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315" w:rsidRPr="00EC15DD" w:rsidRDefault="00C30315" w:rsidP="0020075F">
      <w:pPr>
        <w:spacing w:line="480" w:lineRule="auto"/>
        <w:rPr>
          <w:rFonts w:ascii="Arial" w:hAnsi="Arial" w:cs="Arial"/>
          <w:b/>
          <w:bCs/>
          <w:lang w:val="en-US"/>
        </w:rPr>
      </w:pPr>
      <w:r>
        <w:rPr>
          <w:rFonts w:ascii="Arial" w:hAnsi="Arial" w:cs="Arial"/>
          <w:b/>
          <w:bCs/>
          <w:lang w:val="en-US"/>
        </w:rPr>
        <w:t>C</w:t>
      </w:r>
      <w:r w:rsidRPr="00EC15DD">
        <w:rPr>
          <w:rFonts w:ascii="Arial" w:hAnsi="Arial" w:cs="Arial"/>
          <w:b/>
          <w:bCs/>
          <w:lang w:val="en-US"/>
        </w:rPr>
        <w:t xml:space="preserve">erebrospinal fluid drug concentrations </w:t>
      </w:r>
      <w:r>
        <w:rPr>
          <w:rFonts w:ascii="Arial" w:hAnsi="Arial" w:cs="Arial"/>
          <w:b/>
          <w:bCs/>
          <w:lang w:val="en-US"/>
        </w:rPr>
        <w:t>and v</w:t>
      </w:r>
      <w:r w:rsidRPr="00EC15DD">
        <w:rPr>
          <w:rFonts w:ascii="Arial" w:hAnsi="Arial" w:cs="Arial"/>
          <w:b/>
          <w:bCs/>
          <w:lang w:val="en-US"/>
        </w:rPr>
        <w:t>iral suppression in HIV-1 infected patients receiving ritonavir-boosted atazanavir plus lamivudine dual antiretroviral therapy</w:t>
      </w:r>
      <w:r>
        <w:rPr>
          <w:rFonts w:ascii="Arial" w:hAnsi="Arial" w:cs="Arial"/>
          <w:b/>
          <w:bCs/>
          <w:lang w:val="en-US"/>
        </w:rPr>
        <w:t xml:space="preserve"> (Spanish HIV Research Network, </w:t>
      </w:r>
      <w:r w:rsidRPr="00346943">
        <w:rPr>
          <w:rFonts w:ascii="Arial" w:hAnsi="Arial" w:cs="Arial"/>
          <w:b/>
          <w:bCs/>
          <w:lang w:val="en-US"/>
        </w:rPr>
        <w:t>Pr</w:t>
      </w:r>
      <w:r>
        <w:rPr>
          <w:rFonts w:ascii="Arial" w:hAnsi="Arial" w:cs="Arial"/>
          <w:b/>
          <w:bCs/>
          <w:lang w:val="en-US"/>
        </w:rPr>
        <w:t>E</w:t>
      </w:r>
      <w:r w:rsidRPr="00346943">
        <w:rPr>
          <w:rFonts w:ascii="Arial" w:hAnsi="Arial" w:cs="Arial"/>
          <w:b/>
          <w:bCs/>
          <w:lang w:val="en-US"/>
        </w:rPr>
        <w:t>EC-RIS39</w:t>
      </w:r>
      <w:r>
        <w:rPr>
          <w:rFonts w:ascii="Arial" w:hAnsi="Arial" w:cs="Arial"/>
          <w:b/>
          <w:bCs/>
          <w:lang w:val="en-US"/>
        </w:rPr>
        <w:t>)</w:t>
      </w:r>
    </w:p>
    <w:p w:rsidR="00C30315" w:rsidRPr="00EC15DD" w:rsidRDefault="00C30315" w:rsidP="0020075F">
      <w:pPr>
        <w:spacing w:line="480" w:lineRule="auto"/>
        <w:rPr>
          <w:rFonts w:ascii="Arial" w:hAnsi="Arial" w:cs="Arial"/>
          <w:b/>
          <w:bCs/>
          <w:lang w:val="en-US"/>
        </w:rPr>
      </w:pPr>
    </w:p>
    <w:p w:rsidR="00C30315" w:rsidRPr="00777569" w:rsidRDefault="00C30315" w:rsidP="005A7AA2">
      <w:pPr>
        <w:spacing w:line="480" w:lineRule="auto"/>
        <w:rPr>
          <w:rFonts w:ascii="Arial" w:hAnsi="Arial" w:cs="Arial"/>
          <w:kern w:val="28"/>
          <w:lang w:val="en-US"/>
        </w:rPr>
      </w:pPr>
      <w:proofErr w:type="spellStart"/>
      <w:r w:rsidRPr="00777569">
        <w:rPr>
          <w:rFonts w:ascii="Arial" w:hAnsi="Arial" w:cs="Arial"/>
          <w:kern w:val="28"/>
          <w:lang w:val="en-US"/>
        </w:rPr>
        <w:t>Arkaitz</w:t>
      </w:r>
      <w:proofErr w:type="spellEnd"/>
      <w:r w:rsidRPr="00777569">
        <w:rPr>
          <w:rFonts w:ascii="Arial" w:hAnsi="Arial" w:cs="Arial"/>
          <w:kern w:val="28"/>
          <w:lang w:val="en-US"/>
        </w:rPr>
        <w:t xml:space="preserve"> Imaz</w:t>
      </w:r>
      <w:r w:rsidRPr="00777569">
        <w:rPr>
          <w:rFonts w:ascii="Arial" w:hAnsi="Arial" w:cs="Arial"/>
          <w:kern w:val="28"/>
          <w:vertAlign w:val="superscript"/>
          <w:lang w:val="en-US"/>
        </w:rPr>
        <w:t>1</w:t>
      </w:r>
      <w:r w:rsidRPr="00777569">
        <w:rPr>
          <w:rFonts w:ascii="Arial" w:hAnsi="Arial" w:cs="Arial"/>
          <w:kern w:val="28"/>
          <w:lang w:val="en-US"/>
        </w:rPr>
        <w:t>, Jordi Niubó</w:t>
      </w:r>
      <w:r w:rsidRPr="00777569">
        <w:rPr>
          <w:rFonts w:ascii="Arial" w:hAnsi="Arial" w:cs="Arial"/>
          <w:kern w:val="28"/>
          <w:vertAlign w:val="superscript"/>
          <w:lang w:val="en-US"/>
        </w:rPr>
        <w:t>2</w:t>
      </w:r>
      <w:r w:rsidRPr="00777569">
        <w:rPr>
          <w:rFonts w:ascii="Arial" w:hAnsi="Arial" w:cs="Arial"/>
          <w:kern w:val="28"/>
          <w:lang w:val="en-US"/>
        </w:rPr>
        <w:t>, Alieu Amara</w:t>
      </w:r>
      <w:r w:rsidRPr="00777569">
        <w:rPr>
          <w:rFonts w:ascii="Arial" w:hAnsi="Arial" w:cs="Arial"/>
          <w:kern w:val="28"/>
          <w:vertAlign w:val="superscript"/>
          <w:lang w:val="en-US"/>
        </w:rPr>
        <w:t>3</w:t>
      </w:r>
      <w:r w:rsidRPr="00777569">
        <w:rPr>
          <w:rFonts w:ascii="Arial" w:hAnsi="Arial" w:cs="Arial"/>
          <w:kern w:val="28"/>
          <w:lang w:val="en-US"/>
        </w:rPr>
        <w:t>, Saye Khoo</w:t>
      </w:r>
      <w:r w:rsidRPr="00777569">
        <w:rPr>
          <w:rFonts w:ascii="Arial" w:hAnsi="Arial" w:cs="Arial"/>
          <w:kern w:val="28"/>
          <w:vertAlign w:val="superscript"/>
          <w:lang w:val="en-US"/>
        </w:rPr>
        <w:t>3</w:t>
      </w:r>
      <w:r w:rsidRPr="00777569">
        <w:rPr>
          <w:rFonts w:ascii="Arial" w:hAnsi="Arial" w:cs="Arial"/>
          <w:kern w:val="28"/>
          <w:lang w:val="en-US"/>
        </w:rPr>
        <w:t>, Elena Ferrer</w:t>
      </w:r>
      <w:r w:rsidRPr="00777569">
        <w:rPr>
          <w:rFonts w:ascii="Arial" w:hAnsi="Arial" w:cs="Arial"/>
          <w:kern w:val="28"/>
          <w:vertAlign w:val="superscript"/>
          <w:lang w:val="en-US"/>
        </w:rPr>
        <w:t>1</w:t>
      </w:r>
      <w:r w:rsidRPr="00777569">
        <w:rPr>
          <w:rFonts w:ascii="Arial" w:hAnsi="Arial" w:cs="Arial"/>
          <w:kern w:val="28"/>
          <w:lang w:val="en-US"/>
        </w:rPr>
        <w:t>, Juan M Tiraboschi</w:t>
      </w:r>
      <w:r w:rsidRPr="00777569">
        <w:rPr>
          <w:rFonts w:ascii="Arial" w:hAnsi="Arial" w:cs="Arial"/>
          <w:kern w:val="28"/>
          <w:vertAlign w:val="superscript"/>
          <w:lang w:val="en-US"/>
        </w:rPr>
        <w:t>1</w:t>
      </w:r>
      <w:r w:rsidRPr="00777569">
        <w:rPr>
          <w:rFonts w:ascii="Arial" w:hAnsi="Arial" w:cs="Arial"/>
          <w:kern w:val="28"/>
          <w:lang w:val="en-US"/>
        </w:rPr>
        <w:t>, Laura Acerete</w:t>
      </w:r>
      <w:r w:rsidRPr="00777569">
        <w:rPr>
          <w:rFonts w:ascii="Arial" w:hAnsi="Arial" w:cs="Arial"/>
          <w:kern w:val="28"/>
          <w:vertAlign w:val="superscript"/>
          <w:lang w:val="en-US"/>
        </w:rPr>
        <w:t>1</w:t>
      </w:r>
      <w:r w:rsidRPr="00777569">
        <w:rPr>
          <w:rFonts w:ascii="Arial" w:hAnsi="Arial" w:cs="Arial"/>
          <w:kern w:val="28"/>
          <w:lang w:val="en-US"/>
        </w:rPr>
        <w:t>, Benito Garcia</w:t>
      </w:r>
      <w:r w:rsidRPr="00777569">
        <w:rPr>
          <w:rFonts w:ascii="Arial" w:hAnsi="Arial" w:cs="Arial"/>
          <w:kern w:val="28"/>
          <w:vertAlign w:val="superscript"/>
          <w:lang w:val="en-US"/>
        </w:rPr>
        <w:t>1</w:t>
      </w:r>
      <w:r w:rsidRPr="00777569">
        <w:rPr>
          <w:rFonts w:ascii="Arial" w:hAnsi="Arial" w:cs="Arial"/>
          <w:kern w:val="28"/>
          <w:lang w:val="en-US"/>
        </w:rPr>
        <w:t>, Antonia Vila</w:t>
      </w:r>
      <w:r w:rsidRPr="00777569">
        <w:rPr>
          <w:rFonts w:ascii="Arial" w:hAnsi="Arial" w:cs="Arial"/>
          <w:kern w:val="28"/>
          <w:vertAlign w:val="superscript"/>
          <w:lang w:val="en-US"/>
        </w:rPr>
        <w:t>1</w:t>
      </w:r>
      <w:r w:rsidRPr="00777569">
        <w:rPr>
          <w:rFonts w:ascii="Arial" w:hAnsi="Arial" w:cs="Arial"/>
          <w:kern w:val="28"/>
          <w:lang w:val="en-US"/>
        </w:rPr>
        <w:t xml:space="preserve">, </w:t>
      </w:r>
      <w:smartTag w:uri="urn:schemas-microsoft-com:office:smarttags" w:element="PersonName">
        <w:smartTagPr>
          <w:attr w:name="ProductID" w:val="Daniel Podzamczer"/>
        </w:smartTagPr>
        <w:r w:rsidRPr="00777569">
          <w:rPr>
            <w:rFonts w:ascii="Arial" w:hAnsi="Arial" w:cs="Arial"/>
            <w:kern w:val="28"/>
            <w:lang w:val="en-US"/>
          </w:rPr>
          <w:t>Daniel Podzamczer</w:t>
        </w:r>
      </w:smartTag>
      <w:r w:rsidRPr="00777569">
        <w:rPr>
          <w:rFonts w:ascii="Arial" w:hAnsi="Arial" w:cs="Arial"/>
          <w:kern w:val="28"/>
          <w:vertAlign w:val="superscript"/>
          <w:lang w:val="en-US"/>
        </w:rPr>
        <w:t>1</w:t>
      </w:r>
    </w:p>
    <w:p w:rsidR="00C30315" w:rsidRPr="00777569" w:rsidRDefault="00C30315" w:rsidP="005A7AA2">
      <w:pPr>
        <w:spacing w:line="480" w:lineRule="auto"/>
        <w:rPr>
          <w:rFonts w:ascii="Arial" w:hAnsi="Arial" w:cs="Arial"/>
          <w:kern w:val="28"/>
          <w:lang w:val="en-US"/>
        </w:rPr>
      </w:pPr>
    </w:p>
    <w:p w:rsidR="00C30315" w:rsidRPr="00EC15DD" w:rsidRDefault="00C30315" w:rsidP="005A7AA2">
      <w:pPr>
        <w:spacing w:line="480" w:lineRule="auto"/>
        <w:rPr>
          <w:rFonts w:ascii="Arial" w:hAnsi="Arial" w:cs="Arial"/>
          <w:kern w:val="28"/>
          <w:lang w:val="en-US"/>
        </w:rPr>
      </w:pPr>
      <w:r w:rsidRPr="00EC15DD">
        <w:rPr>
          <w:rFonts w:ascii="Arial" w:hAnsi="Arial" w:cs="Arial"/>
          <w:kern w:val="28"/>
          <w:lang w:val="en-US"/>
        </w:rPr>
        <w:t xml:space="preserve">1. HIV and STD Unit, Department of Infectious Diseases, </w:t>
      </w:r>
      <w:proofErr w:type="spellStart"/>
      <w:r w:rsidRPr="00EC15DD">
        <w:rPr>
          <w:rFonts w:ascii="Arial" w:hAnsi="Arial" w:cs="Arial"/>
          <w:kern w:val="28"/>
          <w:lang w:val="en-US"/>
        </w:rPr>
        <w:t>Bellvitge</w:t>
      </w:r>
      <w:proofErr w:type="spellEnd"/>
      <w:r w:rsidRPr="00EC15DD">
        <w:rPr>
          <w:rFonts w:ascii="Arial" w:hAnsi="Arial" w:cs="Arial"/>
          <w:kern w:val="28"/>
          <w:lang w:val="en-US"/>
        </w:rPr>
        <w:t xml:space="preserve"> University Hospital-</w:t>
      </w:r>
      <w:proofErr w:type="spellStart"/>
      <w:r w:rsidRPr="00EC15DD">
        <w:rPr>
          <w:rFonts w:ascii="Arial" w:hAnsi="Arial" w:cs="Arial"/>
          <w:kern w:val="28"/>
          <w:lang w:val="en-US"/>
        </w:rPr>
        <w:t>IDIBELL</w:t>
      </w:r>
      <w:proofErr w:type="spellEnd"/>
      <w:r w:rsidRPr="00EC15DD">
        <w:rPr>
          <w:rFonts w:ascii="Arial" w:hAnsi="Arial" w:cs="Arial"/>
          <w:kern w:val="28"/>
          <w:lang w:val="en-US"/>
        </w:rPr>
        <w:t>,</w:t>
      </w:r>
      <w:r w:rsidRPr="00EC15DD">
        <w:rPr>
          <w:rFonts w:ascii="Arial" w:hAnsi="Arial" w:cs="Arial"/>
          <w:kern w:val="28"/>
          <w:vertAlign w:val="superscript"/>
          <w:lang w:val="en-US"/>
        </w:rPr>
        <w:t xml:space="preserve"> </w:t>
      </w:r>
      <w:proofErr w:type="spellStart"/>
      <w:r w:rsidRPr="00EC15DD">
        <w:rPr>
          <w:rFonts w:ascii="Arial" w:hAnsi="Arial" w:cs="Arial"/>
          <w:kern w:val="28"/>
          <w:lang w:val="en-US"/>
        </w:rPr>
        <w:t>L’Hospitalet</w:t>
      </w:r>
      <w:proofErr w:type="spellEnd"/>
      <w:r w:rsidRPr="00EC15DD">
        <w:rPr>
          <w:rFonts w:ascii="Arial" w:hAnsi="Arial" w:cs="Arial"/>
          <w:kern w:val="28"/>
          <w:lang w:val="en-US"/>
        </w:rPr>
        <w:t xml:space="preserve"> de </w:t>
      </w:r>
      <w:proofErr w:type="spellStart"/>
      <w:r w:rsidRPr="00EC15DD">
        <w:rPr>
          <w:rFonts w:ascii="Arial" w:hAnsi="Arial" w:cs="Arial"/>
          <w:kern w:val="28"/>
          <w:lang w:val="en-US"/>
        </w:rPr>
        <w:t>Llobregat</w:t>
      </w:r>
      <w:proofErr w:type="spellEnd"/>
      <w:r w:rsidRPr="00EC15DD">
        <w:rPr>
          <w:rFonts w:ascii="Arial" w:hAnsi="Arial" w:cs="Arial"/>
          <w:kern w:val="28"/>
          <w:lang w:val="en-US"/>
        </w:rPr>
        <w:t xml:space="preserve">, </w:t>
      </w:r>
      <w:smartTag w:uri="urn:schemas-microsoft-com:office:smarttags" w:element="City">
        <w:smartTag w:uri="urn:schemas-microsoft-com:office:smarttags" w:element="place">
          <w:r w:rsidRPr="00EC15DD">
            <w:rPr>
              <w:rFonts w:ascii="Arial" w:hAnsi="Arial" w:cs="Arial"/>
              <w:kern w:val="28"/>
              <w:lang w:val="en-US"/>
            </w:rPr>
            <w:t>Barcelona</w:t>
          </w:r>
        </w:smartTag>
        <w:r w:rsidRPr="00EC15DD">
          <w:rPr>
            <w:rFonts w:ascii="Arial" w:hAnsi="Arial" w:cs="Arial"/>
            <w:kern w:val="28"/>
            <w:lang w:val="en-US"/>
          </w:rPr>
          <w:t xml:space="preserve">, </w:t>
        </w:r>
        <w:smartTag w:uri="urn:schemas-microsoft-com:office:smarttags" w:element="country-region">
          <w:r w:rsidRPr="00EC15DD">
            <w:rPr>
              <w:rFonts w:ascii="Arial" w:hAnsi="Arial" w:cs="Arial"/>
              <w:kern w:val="28"/>
              <w:lang w:val="en-US"/>
            </w:rPr>
            <w:t>Spain</w:t>
          </w:r>
        </w:smartTag>
      </w:smartTag>
      <w:r>
        <w:rPr>
          <w:rFonts w:ascii="Arial" w:hAnsi="Arial" w:cs="Arial"/>
          <w:kern w:val="28"/>
          <w:lang w:val="en-US"/>
        </w:rPr>
        <w:t>.</w:t>
      </w:r>
    </w:p>
    <w:p w:rsidR="00C30315" w:rsidRPr="00EC15DD" w:rsidRDefault="00C30315" w:rsidP="0020075F">
      <w:pPr>
        <w:spacing w:line="480" w:lineRule="auto"/>
        <w:rPr>
          <w:rFonts w:ascii="Arial" w:hAnsi="Arial" w:cs="Arial"/>
          <w:kern w:val="28"/>
          <w:lang w:val="en-US"/>
        </w:rPr>
      </w:pPr>
      <w:r w:rsidRPr="00EC15DD">
        <w:rPr>
          <w:rFonts w:ascii="Arial" w:hAnsi="Arial" w:cs="Arial"/>
          <w:kern w:val="28"/>
          <w:lang w:val="en-US"/>
        </w:rPr>
        <w:t xml:space="preserve">2. Department of Microbiology, </w:t>
      </w:r>
      <w:proofErr w:type="spellStart"/>
      <w:r w:rsidRPr="00EC15DD">
        <w:rPr>
          <w:rFonts w:ascii="Arial" w:hAnsi="Arial" w:cs="Arial"/>
          <w:kern w:val="28"/>
          <w:lang w:val="en-US"/>
        </w:rPr>
        <w:t>Bellvitge</w:t>
      </w:r>
      <w:proofErr w:type="spellEnd"/>
      <w:r w:rsidRPr="00EC15DD">
        <w:rPr>
          <w:rFonts w:ascii="Arial" w:hAnsi="Arial" w:cs="Arial"/>
          <w:kern w:val="28"/>
          <w:lang w:val="en-US"/>
        </w:rPr>
        <w:t xml:space="preserve"> University Hospital-</w:t>
      </w:r>
      <w:proofErr w:type="spellStart"/>
      <w:r w:rsidRPr="00EC15DD">
        <w:rPr>
          <w:rFonts w:ascii="Arial" w:hAnsi="Arial" w:cs="Arial"/>
          <w:kern w:val="28"/>
          <w:lang w:val="en-US"/>
        </w:rPr>
        <w:t>IDIBELL</w:t>
      </w:r>
      <w:proofErr w:type="spellEnd"/>
      <w:r w:rsidRPr="00EC15DD">
        <w:rPr>
          <w:rFonts w:ascii="Arial" w:hAnsi="Arial" w:cs="Arial"/>
          <w:kern w:val="28"/>
          <w:lang w:val="en-US"/>
        </w:rPr>
        <w:t>,</w:t>
      </w:r>
      <w:r w:rsidRPr="00EC15DD">
        <w:rPr>
          <w:rFonts w:ascii="Arial" w:hAnsi="Arial" w:cs="Arial"/>
          <w:kern w:val="28"/>
          <w:vertAlign w:val="superscript"/>
          <w:lang w:val="en-US"/>
        </w:rPr>
        <w:t xml:space="preserve"> </w:t>
      </w:r>
      <w:proofErr w:type="spellStart"/>
      <w:r w:rsidRPr="00EC15DD">
        <w:rPr>
          <w:rFonts w:ascii="Arial" w:hAnsi="Arial" w:cs="Arial"/>
          <w:kern w:val="28"/>
          <w:lang w:val="en-US"/>
        </w:rPr>
        <w:t>L’Hospitalet</w:t>
      </w:r>
      <w:proofErr w:type="spellEnd"/>
      <w:r w:rsidRPr="00EC15DD">
        <w:rPr>
          <w:rFonts w:ascii="Arial" w:hAnsi="Arial" w:cs="Arial"/>
          <w:kern w:val="28"/>
          <w:lang w:val="en-US"/>
        </w:rPr>
        <w:t xml:space="preserve"> de </w:t>
      </w:r>
      <w:proofErr w:type="spellStart"/>
      <w:r w:rsidRPr="00EC15DD">
        <w:rPr>
          <w:rFonts w:ascii="Arial" w:hAnsi="Arial" w:cs="Arial"/>
          <w:kern w:val="28"/>
          <w:lang w:val="en-US"/>
        </w:rPr>
        <w:t>Llobregat</w:t>
      </w:r>
      <w:proofErr w:type="spellEnd"/>
      <w:r w:rsidRPr="00EC15DD">
        <w:rPr>
          <w:rFonts w:ascii="Arial" w:hAnsi="Arial" w:cs="Arial"/>
          <w:kern w:val="28"/>
          <w:lang w:val="en-US"/>
        </w:rPr>
        <w:t xml:space="preserve">, </w:t>
      </w:r>
      <w:smartTag w:uri="urn:schemas-microsoft-com:office:smarttags" w:element="City">
        <w:smartTag w:uri="urn:schemas-microsoft-com:office:smarttags" w:element="place">
          <w:r w:rsidRPr="00EC15DD">
            <w:rPr>
              <w:rFonts w:ascii="Arial" w:hAnsi="Arial" w:cs="Arial"/>
              <w:kern w:val="28"/>
              <w:lang w:val="en-US"/>
            </w:rPr>
            <w:t>Barcelona</w:t>
          </w:r>
        </w:smartTag>
        <w:r w:rsidRPr="00EC15DD">
          <w:rPr>
            <w:rFonts w:ascii="Arial" w:hAnsi="Arial" w:cs="Arial"/>
            <w:kern w:val="28"/>
            <w:lang w:val="en-US"/>
          </w:rPr>
          <w:t xml:space="preserve">, </w:t>
        </w:r>
        <w:smartTag w:uri="urn:schemas-microsoft-com:office:smarttags" w:element="country-region">
          <w:r w:rsidRPr="00EC15DD">
            <w:rPr>
              <w:rFonts w:ascii="Arial" w:hAnsi="Arial" w:cs="Arial"/>
              <w:kern w:val="28"/>
              <w:lang w:val="en-US"/>
            </w:rPr>
            <w:t>Spain</w:t>
          </w:r>
        </w:smartTag>
      </w:smartTag>
      <w:r>
        <w:rPr>
          <w:rFonts w:ascii="Arial" w:hAnsi="Arial" w:cs="Arial"/>
          <w:kern w:val="28"/>
          <w:lang w:val="en-US"/>
        </w:rPr>
        <w:t>.</w:t>
      </w:r>
    </w:p>
    <w:p w:rsidR="00C30315" w:rsidRPr="003C267B" w:rsidRDefault="00C30315" w:rsidP="0020075F">
      <w:pPr>
        <w:spacing w:line="480" w:lineRule="auto"/>
        <w:rPr>
          <w:rFonts w:ascii="Arial" w:hAnsi="Arial" w:cs="Arial"/>
          <w:kern w:val="28"/>
          <w:lang w:val="en-US"/>
        </w:rPr>
      </w:pPr>
      <w:r w:rsidRPr="00700A3D">
        <w:rPr>
          <w:rFonts w:ascii="Helvetica" w:hAnsi="Helvetica" w:cs="Arial"/>
          <w:lang w:val="en-US"/>
        </w:rPr>
        <w:t xml:space="preserve">3. Department of Molecular &amp; Clinical Pharmacology, Institute of Translational Medicine, </w:t>
      </w:r>
      <w:smartTag w:uri="urn:schemas-microsoft-com:office:smarttags" w:element="PlaceType">
        <w:r w:rsidRPr="00700A3D">
          <w:rPr>
            <w:rFonts w:ascii="Helvetica" w:hAnsi="Helvetica" w:cs="Arial"/>
            <w:lang w:val="en-US"/>
          </w:rPr>
          <w:t>University</w:t>
        </w:r>
      </w:smartTag>
      <w:r w:rsidRPr="00700A3D">
        <w:rPr>
          <w:rFonts w:ascii="Helvetica" w:hAnsi="Helvetica" w:cs="Arial"/>
          <w:lang w:val="en-US"/>
        </w:rPr>
        <w:t xml:space="preserve"> of </w:t>
      </w:r>
      <w:smartTag w:uri="urn:schemas-microsoft-com:office:smarttags" w:element="PlaceName">
        <w:r w:rsidRPr="00700A3D">
          <w:rPr>
            <w:rFonts w:ascii="Helvetica" w:hAnsi="Helvetica" w:cs="Arial"/>
            <w:lang w:val="en-US"/>
          </w:rPr>
          <w:t>Liverpool</w:t>
        </w:r>
      </w:smartTag>
      <w:r w:rsidRPr="00700A3D">
        <w:rPr>
          <w:rFonts w:ascii="Helvetica" w:hAnsi="Helvetica" w:cs="Arial"/>
          <w:lang w:val="en-US"/>
        </w:rPr>
        <w:t xml:space="preserve">, </w:t>
      </w:r>
      <w:smartTag w:uri="urn:schemas-microsoft-com:office:smarttags" w:element="City">
        <w:smartTag w:uri="urn:schemas-microsoft-com:office:smarttags" w:element="place">
          <w:r w:rsidRPr="00700A3D">
            <w:rPr>
              <w:rFonts w:ascii="Helvetica" w:hAnsi="Helvetica" w:cs="Arial"/>
              <w:lang w:val="en-US"/>
            </w:rPr>
            <w:t>Liverpool</w:t>
          </w:r>
        </w:smartTag>
        <w:r w:rsidRPr="00700A3D">
          <w:rPr>
            <w:rFonts w:ascii="Helvetica" w:hAnsi="Helvetica" w:cs="Arial"/>
            <w:lang w:val="en-US"/>
          </w:rPr>
          <w:t xml:space="preserve">, </w:t>
        </w:r>
        <w:smartTag w:uri="urn:schemas-microsoft-com:office:smarttags" w:element="country-region">
          <w:r w:rsidRPr="00700A3D">
            <w:rPr>
              <w:rFonts w:ascii="Helvetica" w:hAnsi="Helvetica" w:cs="Arial"/>
              <w:lang w:val="en-US"/>
            </w:rPr>
            <w:t>UK</w:t>
          </w:r>
        </w:smartTag>
      </w:smartTag>
      <w:r>
        <w:rPr>
          <w:rFonts w:ascii="Helvetica" w:hAnsi="Helvetica" w:cs="Arial"/>
          <w:lang w:val="en-US"/>
        </w:rPr>
        <w:t>.</w:t>
      </w:r>
    </w:p>
    <w:p w:rsidR="00C30315" w:rsidRPr="00EC15DD" w:rsidRDefault="00C30315" w:rsidP="005A7AA2">
      <w:pPr>
        <w:spacing w:after="240" w:line="480" w:lineRule="auto"/>
        <w:jc w:val="both"/>
        <w:rPr>
          <w:rFonts w:ascii="Arial" w:hAnsi="Arial" w:cs="Arial"/>
          <w:kern w:val="28"/>
          <w:lang w:val="en-US"/>
        </w:rPr>
      </w:pPr>
    </w:p>
    <w:p w:rsidR="00C30315" w:rsidRPr="00EC15DD" w:rsidRDefault="00C30315" w:rsidP="005A7AA2">
      <w:pPr>
        <w:spacing w:after="240" w:line="480" w:lineRule="auto"/>
        <w:jc w:val="both"/>
        <w:rPr>
          <w:rFonts w:ascii="Arial" w:hAnsi="Arial" w:cs="Arial"/>
          <w:lang w:val="en-US"/>
        </w:rPr>
      </w:pPr>
      <w:r w:rsidRPr="00EC15DD">
        <w:rPr>
          <w:rFonts w:ascii="Arial" w:hAnsi="Arial" w:cs="Arial"/>
          <w:b/>
          <w:bCs/>
          <w:lang w:val="en-US"/>
        </w:rPr>
        <w:t xml:space="preserve">Short Title: </w:t>
      </w:r>
      <w:r w:rsidRPr="00F35CA8">
        <w:rPr>
          <w:rFonts w:ascii="Arial" w:hAnsi="Arial" w:cs="Arial"/>
          <w:bCs/>
          <w:lang w:val="en-US"/>
        </w:rPr>
        <w:t>CSF drug levels and HIV-1 RNA on ATV plus 3TC.</w:t>
      </w:r>
    </w:p>
    <w:p w:rsidR="00C30315" w:rsidRPr="00EC15DD" w:rsidRDefault="00C30315" w:rsidP="005A7AA2">
      <w:pPr>
        <w:spacing w:after="240" w:line="480" w:lineRule="auto"/>
        <w:jc w:val="both"/>
        <w:rPr>
          <w:rFonts w:ascii="Arial" w:hAnsi="Arial" w:cs="Arial"/>
          <w:lang w:val="en-US"/>
        </w:rPr>
      </w:pPr>
      <w:r w:rsidRPr="00EC15DD">
        <w:rPr>
          <w:rFonts w:ascii="Arial" w:hAnsi="Arial" w:cs="Arial"/>
          <w:b/>
          <w:bCs/>
          <w:lang w:val="en-US"/>
        </w:rPr>
        <w:t xml:space="preserve">Keywords: </w:t>
      </w:r>
      <w:r w:rsidRPr="00EC15DD">
        <w:rPr>
          <w:rFonts w:ascii="Arial" w:hAnsi="Arial" w:cs="Arial"/>
          <w:lang w:val="en-US"/>
        </w:rPr>
        <w:t>HIV-1; antiretroviral therapy; cerebrospinal fluid; atazanavir; lamivudine</w:t>
      </w:r>
    </w:p>
    <w:p w:rsidR="00C30315" w:rsidRPr="00EC15DD" w:rsidRDefault="00C30315" w:rsidP="005A7AA2">
      <w:pPr>
        <w:spacing w:after="240" w:line="480" w:lineRule="auto"/>
        <w:jc w:val="both"/>
        <w:rPr>
          <w:rFonts w:ascii="Arial" w:hAnsi="Arial" w:cs="Arial"/>
          <w:lang w:val="en-US"/>
        </w:rPr>
      </w:pPr>
      <w:r w:rsidRPr="00EC15DD">
        <w:rPr>
          <w:rFonts w:ascii="Arial" w:hAnsi="Arial" w:cs="Arial"/>
          <w:b/>
          <w:bCs/>
          <w:lang w:val="en-US"/>
        </w:rPr>
        <w:t>Tables</w:t>
      </w:r>
      <w:r>
        <w:rPr>
          <w:rFonts w:ascii="Arial" w:hAnsi="Arial" w:cs="Arial"/>
          <w:lang w:val="en-US"/>
        </w:rPr>
        <w:t>: 2</w:t>
      </w:r>
    </w:p>
    <w:p w:rsidR="00C30315" w:rsidRPr="00EC15DD" w:rsidRDefault="00C30315" w:rsidP="005A7AA2">
      <w:pPr>
        <w:spacing w:after="240" w:line="480" w:lineRule="auto"/>
        <w:jc w:val="both"/>
        <w:rPr>
          <w:rFonts w:ascii="Arial" w:hAnsi="Arial" w:cs="Arial"/>
          <w:lang w:val="en-US"/>
        </w:rPr>
      </w:pPr>
      <w:r w:rsidRPr="00EC15DD">
        <w:rPr>
          <w:rFonts w:ascii="Arial" w:hAnsi="Arial" w:cs="Arial"/>
          <w:b/>
          <w:bCs/>
          <w:lang w:val="en-US"/>
        </w:rPr>
        <w:t>Figures</w:t>
      </w:r>
      <w:r w:rsidRPr="00EC15DD">
        <w:rPr>
          <w:rFonts w:ascii="Arial" w:hAnsi="Arial" w:cs="Arial"/>
          <w:lang w:val="en-US"/>
        </w:rPr>
        <w:t>: 1</w:t>
      </w:r>
    </w:p>
    <w:p w:rsidR="00C30315" w:rsidRPr="00EC15DD" w:rsidRDefault="00C30315" w:rsidP="00456F74">
      <w:pPr>
        <w:spacing w:line="480" w:lineRule="auto"/>
        <w:jc w:val="both"/>
        <w:rPr>
          <w:rFonts w:ascii="Arial" w:hAnsi="Arial" w:cs="Arial"/>
          <w:b/>
          <w:bCs/>
          <w:lang w:val="en-US"/>
        </w:rPr>
      </w:pPr>
      <w:r w:rsidRPr="00EC15DD">
        <w:rPr>
          <w:rFonts w:ascii="Arial" w:hAnsi="Arial" w:cs="Arial"/>
          <w:b/>
          <w:bCs/>
          <w:lang w:val="en-US"/>
        </w:rPr>
        <w:t xml:space="preserve">Corresponding author: </w:t>
      </w:r>
    </w:p>
    <w:p w:rsidR="00C30315" w:rsidRPr="00EC15DD" w:rsidRDefault="00C30315" w:rsidP="00456F74">
      <w:pPr>
        <w:spacing w:line="480" w:lineRule="auto"/>
        <w:jc w:val="both"/>
        <w:rPr>
          <w:rFonts w:ascii="Arial" w:hAnsi="Arial" w:cs="Arial"/>
          <w:bCs/>
          <w:lang w:val="en-US"/>
        </w:rPr>
      </w:pPr>
      <w:proofErr w:type="spellStart"/>
      <w:r w:rsidRPr="00EC15DD">
        <w:rPr>
          <w:rFonts w:ascii="Arial" w:hAnsi="Arial" w:cs="Arial"/>
          <w:bCs/>
          <w:lang w:val="en-US"/>
        </w:rPr>
        <w:t>Arkaitz</w:t>
      </w:r>
      <w:proofErr w:type="spellEnd"/>
      <w:r w:rsidRPr="00EC15DD">
        <w:rPr>
          <w:rFonts w:ascii="Arial" w:hAnsi="Arial" w:cs="Arial"/>
          <w:bCs/>
          <w:lang w:val="en-US"/>
        </w:rPr>
        <w:t xml:space="preserve"> </w:t>
      </w:r>
      <w:proofErr w:type="spellStart"/>
      <w:r w:rsidRPr="00EC15DD">
        <w:rPr>
          <w:rFonts w:ascii="Arial" w:hAnsi="Arial" w:cs="Arial"/>
          <w:bCs/>
          <w:lang w:val="en-US"/>
        </w:rPr>
        <w:t>Imaz</w:t>
      </w:r>
      <w:proofErr w:type="spellEnd"/>
      <w:r w:rsidRPr="00EC15DD">
        <w:rPr>
          <w:rFonts w:ascii="Arial" w:hAnsi="Arial" w:cs="Arial"/>
          <w:bCs/>
          <w:lang w:val="en-US"/>
        </w:rPr>
        <w:t xml:space="preserve"> MD, PhD</w:t>
      </w:r>
    </w:p>
    <w:p w:rsidR="00C30315" w:rsidRDefault="00C30315" w:rsidP="00456F74">
      <w:pPr>
        <w:spacing w:line="480" w:lineRule="auto"/>
        <w:jc w:val="both"/>
        <w:rPr>
          <w:rFonts w:ascii="Arial" w:hAnsi="Arial" w:cs="Arial"/>
          <w:bCs/>
          <w:lang w:val="es-ES_tradnl"/>
        </w:rPr>
      </w:pPr>
      <w:r w:rsidRPr="00EC15DD">
        <w:rPr>
          <w:rFonts w:ascii="Arial" w:hAnsi="Arial" w:cs="Arial"/>
          <w:bCs/>
          <w:lang w:val="en-US"/>
        </w:rPr>
        <w:lastRenderedPageBreak/>
        <w:t xml:space="preserve">HIV and STD Unit, Department of Infectious Diseases, </w:t>
      </w:r>
      <w:proofErr w:type="spellStart"/>
      <w:smartTag w:uri="urn:schemas-microsoft-com:office:smarttags" w:element="PlaceName">
        <w:smartTag w:uri="urn:schemas-microsoft-com:office:smarttags" w:element="place">
          <w:r w:rsidRPr="00EC15DD">
            <w:rPr>
              <w:rFonts w:ascii="Arial" w:hAnsi="Arial" w:cs="Arial"/>
              <w:bCs/>
              <w:lang w:val="en-US"/>
            </w:rPr>
            <w:t>Bellvitge</w:t>
          </w:r>
        </w:smartTag>
        <w:proofErr w:type="spellEnd"/>
        <w:r>
          <w:rPr>
            <w:rFonts w:ascii="Arial" w:hAnsi="Arial" w:cs="Arial"/>
            <w:bCs/>
            <w:lang w:val="en-US"/>
          </w:rPr>
          <w:t xml:space="preserve"> </w:t>
        </w:r>
        <w:smartTag w:uri="urn:schemas-microsoft-com:office:smarttags" w:element="PlaceType">
          <w:r>
            <w:rPr>
              <w:rFonts w:ascii="Arial" w:hAnsi="Arial" w:cs="Arial"/>
              <w:bCs/>
              <w:lang w:val="en-US"/>
            </w:rPr>
            <w:t>University</w:t>
          </w:r>
        </w:smartTag>
        <w:r>
          <w:rPr>
            <w:rFonts w:ascii="Arial" w:hAnsi="Arial" w:cs="Arial"/>
            <w:bCs/>
            <w:lang w:val="en-US"/>
          </w:rPr>
          <w:t xml:space="preserve"> </w:t>
        </w:r>
        <w:smartTag w:uri="urn:schemas-microsoft-com:office:smarttags" w:element="PlaceType">
          <w:r>
            <w:rPr>
              <w:rFonts w:ascii="Arial" w:hAnsi="Arial" w:cs="Arial"/>
              <w:bCs/>
              <w:lang w:val="en-US"/>
            </w:rPr>
            <w:t>Hospital</w:t>
          </w:r>
        </w:smartTag>
      </w:smartTag>
      <w:r w:rsidRPr="00EC15DD">
        <w:rPr>
          <w:rFonts w:ascii="Arial" w:hAnsi="Arial" w:cs="Arial"/>
          <w:bCs/>
          <w:lang w:val="en-US"/>
        </w:rPr>
        <w:t xml:space="preserve">. </w:t>
      </w:r>
      <w:proofErr w:type="spellStart"/>
      <w:r w:rsidRPr="00AD210C">
        <w:rPr>
          <w:rFonts w:ascii="Arial" w:hAnsi="Arial" w:cs="Arial"/>
          <w:bCs/>
          <w:lang w:val="es-ES_tradnl"/>
        </w:rPr>
        <w:t>Feixa</w:t>
      </w:r>
      <w:proofErr w:type="spellEnd"/>
      <w:r w:rsidRPr="00AD210C">
        <w:rPr>
          <w:rFonts w:ascii="Arial" w:hAnsi="Arial" w:cs="Arial"/>
          <w:bCs/>
          <w:lang w:val="es-ES_tradnl"/>
        </w:rPr>
        <w:t xml:space="preserve"> </w:t>
      </w:r>
      <w:proofErr w:type="spellStart"/>
      <w:r w:rsidRPr="00AD210C">
        <w:rPr>
          <w:rFonts w:ascii="Arial" w:hAnsi="Arial" w:cs="Arial"/>
          <w:bCs/>
          <w:lang w:val="es-ES_tradnl"/>
        </w:rPr>
        <w:t>Llarga</w:t>
      </w:r>
      <w:proofErr w:type="spellEnd"/>
      <w:r w:rsidRPr="00AD210C">
        <w:rPr>
          <w:rFonts w:ascii="Arial" w:hAnsi="Arial" w:cs="Arial"/>
          <w:bCs/>
          <w:lang w:val="es-ES_tradnl"/>
        </w:rPr>
        <w:t xml:space="preserve"> S/N, </w:t>
      </w:r>
      <w:proofErr w:type="spellStart"/>
      <w:r w:rsidRPr="00AD210C">
        <w:rPr>
          <w:rFonts w:ascii="Arial" w:hAnsi="Arial" w:cs="Arial"/>
          <w:bCs/>
          <w:lang w:val="es-ES_tradnl"/>
        </w:rPr>
        <w:t>L’Hospitalet</w:t>
      </w:r>
      <w:proofErr w:type="spellEnd"/>
      <w:r w:rsidRPr="00AD210C">
        <w:rPr>
          <w:rFonts w:ascii="Arial" w:hAnsi="Arial" w:cs="Arial"/>
          <w:bCs/>
          <w:lang w:val="es-ES_tradnl"/>
        </w:rPr>
        <w:t xml:space="preserve"> de Llobregat, 08907 Barcelona, </w:t>
      </w:r>
      <w:proofErr w:type="spellStart"/>
      <w:r w:rsidRPr="00AD210C">
        <w:rPr>
          <w:rFonts w:ascii="Arial" w:hAnsi="Arial" w:cs="Arial"/>
          <w:bCs/>
          <w:lang w:val="es-ES_tradnl"/>
        </w:rPr>
        <w:t>Spain</w:t>
      </w:r>
      <w:proofErr w:type="spellEnd"/>
      <w:r w:rsidRPr="00AD210C">
        <w:rPr>
          <w:rFonts w:ascii="Arial" w:hAnsi="Arial" w:cs="Arial"/>
          <w:bCs/>
          <w:lang w:val="es-ES_tradnl"/>
        </w:rPr>
        <w:t>.</w:t>
      </w:r>
    </w:p>
    <w:p w:rsidR="00C30315" w:rsidRPr="00AD210C" w:rsidRDefault="006C5D07" w:rsidP="00456F74">
      <w:pPr>
        <w:spacing w:line="480" w:lineRule="auto"/>
        <w:jc w:val="both"/>
        <w:rPr>
          <w:rFonts w:ascii="Arial" w:hAnsi="Arial" w:cs="Arial"/>
          <w:bCs/>
          <w:lang w:val="es-ES_tradnl"/>
        </w:rPr>
      </w:pPr>
      <w:r>
        <w:rPr>
          <w:rFonts w:ascii="Arial" w:hAnsi="Arial" w:cs="Arial"/>
          <w:noProof/>
          <w:lang w:val="en-GB" w:eastAsia="en-GB"/>
        </w:rPr>
        <w:drawing>
          <wp:inline distT="0" distB="0" distL="0" distR="0">
            <wp:extent cx="2719705" cy="415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9705" cy="415925"/>
                    </a:xfrm>
                    <a:prstGeom prst="rect">
                      <a:avLst/>
                    </a:prstGeom>
                    <a:noFill/>
                    <a:ln>
                      <a:noFill/>
                    </a:ln>
                  </pic:spPr>
                </pic:pic>
              </a:graphicData>
            </a:graphic>
          </wp:inline>
        </w:drawing>
      </w:r>
    </w:p>
    <w:p w:rsidR="00C30315" w:rsidRPr="00777569" w:rsidRDefault="00C30315" w:rsidP="00456F74">
      <w:pPr>
        <w:spacing w:line="480" w:lineRule="auto"/>
        <w:jc w:val="both"/>
        <w:rPr>
          <w:rFonts w:ascii="Arial" w:hAnsi="Arial" w:cs="Arial"/>
          <w:bCs/>
          <w:lang w:val="es-ES_tradnl"/>
        </w:rPr>
      </w:pPr>
      <w:r w:rsidRPr="00777569">
        <w:rPr>
          <w:rFonts w:ascii="Arial" w:hAnsi="Arial" w:cs="Arial"/>
          <w:bCs/>
          <w:lang w:val="es-ES_tradnl"/>
        </w:rPr>
        <w:t xml:space="preserve">Tel: +34 932607667 (ext. 2884); </w:t>
      </w:r>
    </w:p>
    <w:p w:rsidR="00C30315" w:rsidRPr="00777569" w:rsidRDefault="00C30315" w:rsidP="00456F74">
      <w:pPr>
        <w:spacing w:line="480" w:lineRule="auto"/>
        <w:jc w:val="both"/>
        <w:rPr>
          <w:rFonts w:ascii="Arial" w:hAnsi="Arial" w:cs="Arial"/>
          <w:bCs/>
          <w:lang w:val="es-ES_tradnl"/>
        </w:rPr>
      </w:pPr>
      <w:r w:rsidRPr="00777569">
        <w:rPr>
          <w:rFonts w:ascii="Arial" w:hAnsi="Arial" w:cs="Arial"/>
          <w:bCs/>
          <w:lang w:val="es-ES_tradnl"/>
        </w:rPr>
        <w:t xml:space="preserve">Fax: +34-932607669; </w:t>
      </w:r>
    </w:p>
    <w:p w:rsidR="00C30315" w:rsidRPr="00777569" w:rsidRDefault="00C30315" w:rsidP="00456F74">
      <w:pPr>
        <w:spacing w:line="480" w:lineRule="auto"/>
        <w:jc w:val="both"/>
        <w:rPr>
          <w:rFonts w:ascii="Arial" w:hAnsi="Arial" w:cs="Arial"/>
          <w:bCs/>
          <w:lang w:val="es-ES_tradnl"/>
        </w:rPr>
      </w:pPr>
      <w:r w:rsidRPr="00777569">
        <w:rPr>
          <w:rFonts w:ascii="Arial" w:hAnsi="Arial" w:cs="Arial"/>
          <w:bCs/>
          <w:lang w:val="es-ES_tradnl"/>
        </w:rPr>
        <w:t xml:space="preserve">E-mail: aimaz@bellvitgehospital.cat </w:t>
      </w:r>
    </w:p>
    <w:p w:rsidR="00C30315" w:rsidRPr="00777569" w:rsidRDefault="00C30315" w:rsidP="00456F74">
      <w:pPr>
        <w:spacing w:line="480" w:lineRule="auto"/>
        <w:jc w:val="both"/>
        <w:rPr>
          <w:rFonts w:ascii="Arial" w:hAnsi="Arial" w:cs="Arial"/>
          <w:bCs/>
          <w:lang w:val="es-ES_tradnl"/>
        </w:rPr>
      </w:pPr>
    </w:p>
    <w:p w:rsidR="00C30315" w:rsidRPr="00777569" w:rsidRDefault="00C30315" w:rsidP="00456F74">
      <w:pPr>
        <w:spacing w:line="480" w:lineRule="auto"/>
        <w:jc w:val="both"/>
        <w:rPr>
          <w:rFonts w:ascii="Arial" w:hAnsi="Arial" w:cs="Arial"/>
          <w:bCs/>
          <w:lang w:val="es-ES_tradnl"/>
        </w:rPr>
      </w:pPr>
    </w:p>
    <w:p w:rsidR="00C30315" w:rsidRPr="00777569" w:rsidRDefault="00C30315" w:rsidP="00456F74">
      <w:pPr>
        <w:spacing w:line="480" w:lineRule="auto"/>
        <w:jc w:val="both"/>
        <w:rPr>
          <w:rFonts w:ascii="Arial" w:hAnsi="Arial" w:cs="Arial"/>
          <w:bCs/>
          <w:lang w:val="es-ES_tradnl"/>
        </w:rPr>
      </w:pPr>
      <w:proofErr w:type="spellStart"/>
      <w:r w:rsidRPr="00777569">
        <w:rPr>
          <w:rFonts w:ascii="Arial" w:hAnsi="Arial" w:cs="Arial"/>
          <w:bCs/>
          <w:u w:val="single"/>
          <w:lang w:val="es-ES_tradnl"/>
        </w:rPr>
        <w:t>Alternate</w:t>
      </w:r>
      <w:proofErr w:type="spellEnd"/>
      <w:r w:rsidRPr="00777569">
        <w:rPr>
          <w:rFonts w:ascii="Arial" w:hAnsi="Arial" w:cs="Arial"/>
          <w:bCs/>
          <w:u w:val="single"/>
          <w:lang w:val="es-ES_tradnl"/>
        </w:rPr>
        <w:t xml:space="preserve"> </w:t>
      </w:r>
      <w:proofErr w:type="spellStart"/>
      <w:r w:rsidRPr="00777569">
        <w:rPr>
          <w:rFonts w:ascii="Arial" w:hAnsi="Arial" w:cs="Arial"/>
          <w:bCs/>
          <w:u w:val="single"/>
          <w:lang w:val="es-ES_tradnl"/>
        </w:rPr>
        <w:t>corresponding</w:t>
      </w:r>
      <w:proofErr w:type="spellEnd"/>
      <w:r w:rsidRPr="00777569">
        <w:rPr>
          <w:rFonts w:ascii="Arial" w:hAnsi="Arial" w:cs="Arial"/>
          <w:bCs/>
          <w:u w:val="single"/>
          <w:lang w:val="es-ES_tradnl"/>
        </w:rPr>
        <w:t xml:space="preserve"> </w:t>
      </w:r>
      <w:proofErr w:type="spellStart"/>
      <w:r w:rsidRPr="00777569">
        <w:rPr>
          <w:rFonts w:ascii="Arial" w:hAnsi="Arial" w:cs="Arial"/>
          <w:bCs/>
          <w:u w:val="single"/>
          <w:lang w:val="es-ES_tradnl"/>
        </w:rPr>
        <w:t>author</w:t>
      </w:r>
      <w:proofErr w:type="spellEnd"/>
      <w:r w:rsidRPr="00777569">
        <w:rPr>
          <w:rFonts w:ascii="Arial" w:hAnsi="Arial" w:cs="Arial"/>
          <w:bCs/>
          <w:lang w:val="es-ES_tradnl"/>
        </w:rPr>
        <w:t>:</w:t>
      </w:r>
    </w:p>
    <w:p w:rsidR="00C30315" w:rsidRPr="00777569" w:rsidRDefault="00C30315" w:rsidP="00456F74">
      <w:pPr>
        <w:spacing w:line="480" w:lineRule="auto"/>
        <w:jc w:val="both"/>
        <w:rPr>
          <w:rFonts w:ascii="Arial" w:hAnsi="Arial" w:cs="Arial"/>
          <w:bCs/>
          <w:lang w:val="es-ES_tradnl"/>
        </w:rPr>
      </w:pPr>
      <w:smartTag w:uri="urn:schemas-microsoft-com:office:smarttags" w:element="PersonName">
        <w:smartTagPr>
          <w:attr w:name="ProductID" w:val="Daniel Podzamczer"/>
        </w:smartTagPr>
        <w:r w:rsidRPr="00777569">
          <w:rPr>
            <w:rFonts w:ascii="Arial" w:hAnsi="Arial" w:cs="Arial"/>
            <w:bCs/>
            <w:lang w:val="es-ES_tradnl"/>
          </w:rPr>
          <w:t xml:space="preserve">Daniel </w:t>
        </w:r>
        <w:proofErr w:type="spellStart"/>
        <w:r w:rsidRPr="00777569">
          <w:rPr>
            <w:rFonts w:ascii="Arial" w:hAnsi="Arial" w:cs="Arial"/>
            <w:bCs/>
            <w:lang w:val="es-ES_tradnl"/>
          </w:rPr>
          <w:t>Podzamczer</w:t>
        </w:r>
      </w:smartTag>
      <w:proofErr w:type="spellEnd"/>
      <w:r w:rsidRPr="00777569">
        <w:rPr>
          <w:rFonts w:ascii="Arial" w:hAnsi="Arial" w:cs="Arial"/>
          <w:bCs/>
          <w:lang w:val="es-ES_tradnl"/>
        </w:rPr>
        <w:t xml:space="preserve"> MD, PhD</w:t>
      </w:r>
    </w:p>
    <w:p w:rsidR="00C30315" w:rsidRDefault="00C30315" w:rsidP="00456F74">
      <w:pPr>
        <w:spacing w:line="480" w:lineRule="auto"/>
        <w:jc w:val="both"/>
        <w:rPr>
          <w:rFonts w:ascii="Arial" w:hAnsi="Arial" w:cs="Arial"/>
          <w:bCs/>
          <w:lang w:val="es-ES_tradnl"/>
        </w:rPr>
      </w:pPr>
      <w:r w:rsidRPr="00777569">
        <w:rPr>
          <w:rFonts w:ascii="Arial" w:hAnsi="Arial" w:cs="Arial"/>
          <w:bCs/>
          <w:lang w:val="es-ES_tradnl"/>
        </w:rPr>
        <w:t xml:space="preserve">HIV and </w:t>
      </w:r>
      <w:proofErr w:type="spellStart"/>
      <w:r w:rsidRPr="00777569">
        <w:rPr>
          <w:rFonts w:ascii="Arial" w:hAnsi="Arial" w:cs="Arial"/>
          <w:bCs/>
          <w:lang w:val="es-ES_tradnl"/>
        </w:rPr>
        <w:t>STD</w:t>
      </w:r>
      <w:proofErr w:type="spellEnd"/>
      <w:r w:rsidRPr="00777569">
        <w:rPr>
          <w:rFonts w:ascii="Arial" w:hAnsi="Arial" w:cs="Arial"/>
          <w:bCs/>
          <w:lang w:val="es-ES_tradnl"/>
        </w:rPr>
        <w:t xml:space="preserve"> </w:t>
      </w:r>
      <w:proofErr w:type="spellStart"/>
      <w:r w:rsidRPr="00777569">
        <w:rPr>
          <w:rFonts w:ascii="Arial" w:hAnsi="Arial" w:cs="Arial"/>
          <w:bCs/>
          <w:lang w:val="es-ES_tradnl"/>
        </w:rPr>
        <w:t>Unit</w:t>
      </w:r>
      <w:proofErr w:type="spellEnd"/>
      <w:r w:rsidRPr="00777569">
        <w:rPr>
          <w:rFonts w:ascii="Arial" w:hAnsi="Arial" w:cs="Arial"/>
          <w:bCs/>
          <w:lang w:val="es-ES_tradnl"/>
        </w:rPr>
        <w:t xml:space="preserve">, </w:t>
      </w:r>
      <w:proofErr w:type="spellStart"/>
      <w:r w:rsidRPr="00777569">
        <w:rPr>
          <w:rFonts w:ascii="Arial" w:hAnsi="Arial" w:cs="Arial"/>
          <w:bCs/>
          <w:lang w:val="es-ES_tradnl"/>
        </w:rPr>
        <w:t>Department</w:t>
      </w:r>
      <w:proofErr w:type="spellEnd"/>
      <w:r w:rsidRPr="00777569">
        <w:rPr>
          <w:rFonts w:ascii="Arial" w:hAnsi="Arial" w:cs="Arial"/>
          <w:bCs/>
          <w:lang w:val="es-ES_tradnl"/>
        </w:rPr>
        <w:t xml:space="preserve"> of </w:t>
      </w:r>
      <w:proofErr w:type="spellStart"/>
      <w:r w:rsidRPr="00777569">
        <w:rPr>
          <w:rFonts w:ascii="Arial" w:hAnsi="Arial" w:cs="Arial"/>
          <w:bCs/>
          <w:lang w:val="es-ES_tradnl"/>
        </w:rPr>
        <w:t>Infectious</w:t>
      </w:r>
      <w:proofErr w:type="spellEnd"/>
      <w:r w:rsidRPr="00777569">
        <w:rPr>
          <w:rFonts w:ascii="Arial" w:hAnsi="Arial" w:cs="Arial"/>
          <w:bCs/>
          <w:lang w:val="es-ES_tradnl"/>
        </w:rPr>
        <w:t xml:space="preserve"> </w:t>
      </w:r>
      <w:proofErr w:type="spellStart"/>
      <w:r w:rsidRPr="00777569">
        <w:rPr>
          <w:rFonts w:ascii="Arial" w:hAnsi="Arial" w:cs="Arial"/>
          <w:bCs/>
          <w:lang w:val="es-ES_tradnl"/>
        </w:rPr>
        <w:t>Diseases</w:t>
      </w:r>
      <w:proofErr w:type="spellEnd"/>
      <w:r w:rsidRPr="00777569">
        <w:rPr>
          <w:rFonts w:ascii="Arial" w:hAnsi="Arial" w:cs="Arial"/>
          <w:bCs/>
          <w:lang w:val="es-ES_tradnl"/>
        </w:rPr>
        <w:t xml:space="preserve">, </w:t>
      </w:r>
      <w:proofErr w:type="spellStart"/>
      <w:r w:rsidRPr="00777569">
        <w:rPr>
          <w:rFonts w:ascii="Arial" w:hAnsi="Arial" w:cs="Arial"/>
          <w:bCs/>
          <w:lang w:val="es-ES_tradnl"/>
        </w:rPr>
        <w:t>Bellvitge</w:t>
      </w:r>
      <w:proofErr w:type="spellEnd"/>
      <w:r w:rsidRPr="00777569">
        <w:rPr>
          <w:rFonts w:ascii="Arial" w:hAnsi="Arial" w:cs="Arial"/>
          <w:bCs/>
          <w:lang w:val="es-ES_tradnl"/>
        </w:rPr>
        <w:t xml:space="preserve"> </w:t>
      </w:r>
      <w:proofErr w:type="spellStart"/>
      <w:r w:rsidRPr="00777569">
        <w:rPr>
          <w:rFonts w:ascii="Arial" w:hAnsi="Arial" w:cs="Arial"/>
          <w:bCs/>
          <w:lang w:val="es-ES_tradnl"/>
        </w:rPr>
        <w:t>University</w:t>
      </w:r>
      <w:proofErr w:type="spellEnd"/>
      <w:r w:rsidRPr="00777569">
        <w:rPr>
          <w:rFonts w:ascii="Arial" w:hAnsi="Arial" w:cs="Arial"/>
          <w:bCs/>
          <w:lang w:val="es-ES_tradnl"/>
        </w:rPr>
        <w:t xml:space="preserve"> Hospital. </w:t>
      </w:r>
      <w:proofErr w:type="spellStart"/>
      <w:r w:rsidRPr="00AD210C">
        <w:rPr>
          <w:rFonts w:ascii="Arial" w:hAnsi="Arial" w:cs="Arial"/>
          <w:bCs/>
          <w:lang w:val="es-ES_tradnl"/>
        </w:rPr>
        <w:t>Feixa</w:t>
      </w:r>
      <w:proofErr w:type="spellEnd"/>
      <w:r w:rsidRPr="00AD210C">
        <w:rPr>
          <w:rFonts w:ascii="Arial" w:hAnsi="Arial" w:cs="Arial"/>
          <w:bCs/>
          <w:lang w:val="es-ES_tradnl"/>
        </w:rPr>
        <w:t xml:space="preserve"> </w:t>
      </w:r>
      <w:proofErr w:type="spellStart"/>
      <w:r w:rsidRPr="00AD210C">
        <w:rPr>
          <w:rFonts w:ascii="Arial" w:hAnsi="Arial" w:cs="Arial"/>
          <w:bCs/>
          <w:lang w:val="es-ES_tradnl"/>
        </w:rPr>
        <w:t>Llarga</w:t>
      </w:r>
      <w:proofErr w:type="spellEnd"/>
      <w:r w:rsidRPr="00AD210C">
        <w:rPr>
          <w:rFonts w:ascii="Arial" w:hAnsi="Arial" w:cs="Arial"/>
          <w:bCs/>
          <w:lang w:val="es-ES_tradnl"/>
        </w:rPr>
        <w:t xml:space="preserve"> S/N, </w:t>
      </w:r>
      <w:proofErr w:type="spellStart"/>
      <w:r w:rsidRPr="00AD210C">
        <w:rPr>
          <w:rFonts w:ascii="Arial" w:hAnsi="Arial" w:cs="Arial"/>
          <w:bCs/>
          <w:lang w:val="es-ES_tradnl"/>
        </w:rPr>
        <w:t>L’Hospitalet</w:t>
      </w:r>
      <w:proofErr w:type="spellEnd"/>
      <w:r w:rsidRPr="00AD210C">
        <w:rPr>
          <w:rFonts w:ascii="Arial" w:hAnsi="Arial" w:cs="Arial"/>
          <w:bCs/>
          <w:lang w:val="es-ES_tradnl"/>
        </w:rPr>
        <w:t xml:space="preserve"> de Llobregat, 08907 Barcelona, </w:t>
      </w:r>
      <w:proofErr w:type="spellStart"/>
      <w:r w:rsidRPr="00AD210C">
        <w:rPr>
          <w:rFonts w:ascii="Arial" w:hAnsi="Arial" w:cs="Arial"/>
          <w:bCs/>
          <w:lang w:val="es-ES_tradnl"/>
        </w:rPr>
        <w:t>Spain</w:t>
      </w:r>
      <w:proofErr w:type="spellEnd"/>
      <w:r w:rsidRPr="00AD210C">
        <w:rPr>
          <w:rFonts w:ascii="Arial" w:hAnsi="Arial" w:cs="Arial"/>
          <w:bCs/>
          <w:lang w:val="es-ES_tradnl"/>
        </w:rPr>
        <w:t>.</w:t>
      </w:r>
    </w:p>
    <w:p w:rsidR="00C30315" w:rsidRPr="00AD210C" w:rsidRDefault="006C5D07" w:rsidP="00456F74">
      <w:pPr>
        <w:spacing w:line="480" w:lineRule="auto"/>
        <w:jc w:val="both"/>
        <w:rPr>
          <w:rFonts w:ascii="Arial" w:hAnsi="Arial" w:cs="Arial"/>
          <w:bCs/>
          <w:lang w:val="es-ES_tradnl"/>
        </w:rPr>
      </w:pPr>
      <w:r>
        <w:rPr>
          <w:rFonts w:ascii="Arial" w:hAnsi="Arial" w:cs="Arial"/>
          <w:noProof/>
          <w:lang w:val="en-GB" w:eastAsia="en-GB"/>
        </w:rPr>
        <w:drawing>
          <wp:inline distT="0" distB="0" distL="0" distR="0">
            <wp:extent cx="2719705" cy="4159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9705" cy="415925"/>
                    </a:xfrm>
                    <a:prstGeom prst="rect">
                      <a:avLst/>
                    </a:prstGeom>
                    <a:noFill/>
                    <a:ln>
                      <a:noFill/>
                    </a:ln>
                  </pic:spPr>
                </pic:pic>
              </a:graphicData>
            </a:graphic>
          </wp:inline>
        </w:drawing>
      </w:r>
    </w:p>
    <w:p w:rsidR="00C30315" w:rsidRPr="00777569" w:rsidRDefault="00C30315" w:rsidP="00456F74">
      <w:pPr>
        <w:spacing w:line="480" w:lineRule="auto"/>
        <w:jc w:val="both"/>
        <w:rPr>
          <w:rFonts w:ascii="Arial" w:hAnsi="Arial" w:cs="Arial"/>
          <w:bCs/>
          <w:lang w:val="es-ES_tradnl"/>
        </w:rPr>
      </w:pPr>
      <w:r w:rsidRPr="00777569">
        <w:rPr>
          <w:rFonts w:ascii="Arial" w:hAnsi="Arial" w:cs="Arial"/>
          <w:bCs/>
          <w:lang w:val="es-ES_tradnl"/>
        </w:rPr>
        <w:t xml:space="preserve">Tel: +34 932607667 (ext. 2884); </w:t>
      </w:r>
    </w:p>
    <w:p w:rsidR="00C30315" w:rsidRPr="00777569" w:rsidRDefault="00C30315" w:rsidP="00456F74">
      <w:pPr>
        <w:spacing w:line="480" w:lineRule="auto"/>
        <w:jc w:val="both"/>
        <w:rPr>
          <w:rFonts w:ascii="Arial" w:hAnsi="Arial" w:cs="Arial"/>
          <w:bCs/>
          <w:lang w:val="es-ES_tradnl"/>
        </w:rPr>
      </w:pPr>
      <w:r w:rsidRPr="00777569">
        <w:rPr>
          <w:rFonts w:ascii="Arial" w:hAnsi="Arial" w:cs="Arial"/>
          <w:bCs/>
          <w:lang w:val="es-ES_tradnl"/>
        </w:rPr>
        <w:t xml:space="preserve">Fax: +34-932607669; </w:t>
      </w:r>
    </w:p>
    <w:p w:rsidR="00C30315" w:rsidRPr="00777569" w:rsidRDefault="00C30315" w:rsidP="00456F74">
      <w:pPr>
        <w:spacing w:after="240" w:line="480" w:lineRule="auto"/>
        <w:jc w:val="both"/>
        <w:rPr>
          <w:rFonts w:ascii="Arial" w:hAnsi="Arial" w:cs="Arial"/>
          <w:lang w:val="es-ES_tradnl"/>
        </w:rPr>
      </w:pPr>
      <w:r w:rsidRPr="00777569">
        <w:rPr>
          <w:rFonts w:ascii="Arial" w:hAnsi="Arial" w:cs="Arial"/>
          <w:bCs/>
          <w:lang w:val="es-ES_tradnl"/>
        </w:rPr>
        <w:t xml:space="preserve">E-mail: dpodzamczer@bellvitgehospital.cat </w:t>
      </w:r>
      <w:r w:rsidRPr="00777569">
        <w:rPr>
          <w:rFonts w:ascii="Arial" w:hAnsi="Arial" w:cs="Arial"/>
          <w:kern w:val="28"/>
          <w:lang w:val="es-ES_tradnl"/>
        </w:rPr>
        <w:br w:type="page"/>
      </w:r>
      <w:proofErr w:type="spellStart"/>
      <w:r w:rsidRPr="00777569">
        <w:rPr>
          <w:rFonts w:ascii="Arial" w:hAnsi="Arial" w:cs="Arial"/>
          <w:b/>
          <w:bCs/>
          <w:kern w:val="28"/>
          <w:lang w:val="es-ES_tradnl"/>
        </w:rPr>
        <w:lastRenderedPageBreak/>
        <w:t>ABSTRACT</w:t>
      </w:r>
      <w:proofErr w:type="spellEnd"/>
    </w:p>
    <w:p w:rsidR="00C30315" w:rsidRPr="00777569" w:rsidRDefault="00C30315" w:rsidP="00D07C1D">
      <w:pPr>
        <w:spacing w:line="480" w:lineRule="auto"/>
        <w:jc w:val="both"/>
        <w:rPr>
          <w:rFonts w:ascii="Arial" w:hAnsi="Arial" w:cs="Arial"/>
          <w:b/>
          <w:bCs/>
          <w:kern w:val="28"/>
          <w:lang w:val="es-ES_tradnl"/>
        </w:rPr>
      </w:pPr>
      <w:proofErr w:type="spellStart"/>
      <w:r w:rsidRPr="00777569">
        <w:rPr>
          <w:rFonts w:ascii="Arial" w:hAnsi="Arial" w:cs="Arial"/>
          <w:b/>
          <w:bCs/>
          <w:kern w:val="28"/>
          <w:lang w:val="es-ES_tradnl"/>
        </w:rPr>
        <w:t>Objective</w:t>
      </w:r>
      <w:proofErr w:type="spellEnd"/>
      <w:r w:rsidRPr="00777569">
        <w:rPr>
          <w:rFonts w:ascii="Arial" w:hAnsi="Arial" w:cs="Arial"/>
          <w:b/>
          <w:bCs/>
          <w:kern w:val="28"/>
          <w:lang w:val="es-ES_tradnl"/>
        </w:rPr>
        <w:t>:</w:t>
      </w:r>
      <w:r w:rsidRPr="00777569">
        <w:rPr>
          <w:rFonts w:ascii="Arial" w:hAnsi="Arial" w:cs="Arial"/>
          <w:kern w:val="28"/>
          <w:lang w:val="es-ES_tradnl"/>
        </w:rPr>
        <w:t xml:space="preserve"> To </w:t>
      </w:r>
      <w:proofErr w:type="spellStart"/>
      <w:r w:rsidRPr="00777569">
        <w:rPr>
          <w:rFonts w:ascii="Arial" w:hAnsi="Arial" w:cs="Arial"/>
          <w:kern w:val="28"/>
          <w:lang w:val="es-ES_tradnl"/>
        </w:rPr>
        <w:t>assess</w:t>
      </w:r>
      <w:proofErr w:type="spellEnd"/>
      <w:r w:rsidRPr="00777569">
        <w:rPr>
          <w:rFonts w:ascii="Arial" w:hAnsi="Arial" w:cs="Arial"/>
          <w:kern w:val="28"/>
          <w:lang w:val="es-ES_tradnl"/>
        </w:rPr>
        <w:t xml:space="preserve"> </w:t>
      </w:r>
      <w:proofErr w:type="spellStart"/>
      <w:r w:rsidRPr="00777569">
        <w:rPr>
          <w:rFonts w:ascii="Arial" w:hAnsi="Arial" w:cs="Arial"/>
          <w:kern w:val="28"/>
          <w:lang w:val="es-ES_tradnl"/>
        </w:rPr>
        <w:t>cerebrospinal</w:t>
      </w:r>
      <w:proofErr w:type="spellEnd"/>
      <w:r w:rsidRPr="00777569">
        <w:rPr>
          <w:rFonts w:ascii="Arial" w:hAnsi="Arial" w:cs="Arial"/>
          <w:kern w:val="28"/>
          <w:lang w:val="es-ES_tradnl"/>
        </w:rPr>
        <w:t xml:space="preserve"> fluid (CSF) </w:t>
      </w:r>
      <w:proofErr w:type="spellStart"/>
      <w:r w:rsidRPr="00777569">
        <w:rPr>
          <w:rFonts w:ascii="Arial" w:hAnsi="Arial" w:cs="Arial"/>
          <w:kern w:val="28"/>
          <w:lang w:val="es-ES_tradnl"/>
        </w:rPr>
        <w:t>drug</w:t>
      </w:r>
      <w:proofErr w:type="spellEnd"/>
      <w:r w:rsidRPr="00777569">
        <w:rPr>
          <w:rFonts w:ascii="Arial" w:hAnsi="Arial" w:cs="Arial"/>
          <w:kern w:val="28"/>
          <w:lang w:val="es-ES_tradnl"/>
        </w:rPr>
        <w:t xml:space="preserve"> </w:t>
      </w:r>
      <w:proofErr w:type="spellStart"/>
      <w:r w:rsidRPr="00777569">
        <w:rPr>
          <w:rFonts w:ascii="Arial" w:hAnsi="Arial" w:cs="Arial"/>
          <w:kern w:val="28"/>
          <w:lang w:val="es-ES_tradnl"/>
        </w:rPr>
        <w:t>concentrations</w:t>
      </w:r>
      <w:proofErr w:type="spellEnd"/>
      <w:r w:rsidRPr="00777569">
        <w:rPr>
          <w:rFonts w:ascii="Arial" w:hAnsi="Arial" w:cs="Arial"/>
          <w:kern w:val="28"/>
          <w:lang w:val="es-ES_tradnl"/>
        </w:rPr>
        <w:t xml:space="preserve"> and viral </w:t>
      </w:r>
      <w:proofErr w:type="spellStart"/>
      <w:r w:rsidRPr="00777569">
        <w:rPr>
          <w:rFonts w:ascii="Arial" w:hAnsi="Arial" w:cs="Arial"/>
          <w:kern w:val="28"/>
          <w:lang w:val="es-ES_tradnl"/>
        </w:rPr>
        <w:t>suppression</w:t>
      </w:r>
      <w:proofErr w:type="spellEnd"/>
      <w:r w:rsidRPr="00777569">
        <w:rPr>
          <w:rFonts w:ascii="Arial" w:hAnsi="Arial" w:cs="Arial"/>
          <w:kern w:val="28"/>
          <w:lang w:val="es-ES_tradnl"/>
        </w:rPr>
        <w:t xml:space="preserve"> in HIV-1 </w:t>
      </w:r>
      <w:proofErr w:type="spellStart"/>
      <w:r w:rsidRPr="00777569">
        <w:rPr>
          <w:rFonts w:ascii="Arial" w:hAnsi="Arial" w:cs="Arial"/>
          <w:kern w:val="28"/>
          <w:lang w:val="es-ES_tradnl"/>
        </w:rPr>
        <w:t>infected</w:t>
      </w:r>
      <w:proofErr w:type="spellEnd"/>
      <w:r w:rsidRPr="00777569">
        <w:rPr>
          <w:rFonts w:ascii="Arial" w:hAnsi="Arial" w:cs="Arial"/>
          <w:kern w:val="28"/>
          <w:lang w:val="es-ES_tradnl"/>
        </w:rPr>
        <w:t xml:space="preserve"> </w:t>
      </w:r>
      <w:proofErr w:type="spellStart"/>
      <w:r w:rsidRPr="00777569">
        <w:rPr>
          <w:rFonts w:ascii="Arial" w:hAnsi="Arial" w:cs="Arial"/>
          <w:kern w:val="28"/>
          <w:lang w:val="es-ES_tradnl"/>
        </w:rPr>
        <w:t>patients</w:t>
      </w:r>
      <w:proofErr w:type="spellEnd"/>
      <w:r w:rsidRPr="00777569">
        <w:rPr>
          <w:rFonts w:ascii="Arial" w:hAnsi="Arial" w:cs="Arial"/>
          <w:kern w:val="28"/>
          <w:lang w:val="es-ES_tradnl"/>
        </w:rPr>
        <w:t xml:space="preserve"> </w:t>
      </w:r>
      <w:proofErr w:type="spellStart"/>
      <w:r w:rsidRPr="00777569">
        <w:rPr>
          <w:rFonts w:ascii="Arial" w:hAnsi="Arial" w:cs="Arial"/>
          <w:kern w:val="28"/>
          <w:lang w:val="es-ES_tradnl"/>
        </w:rPr>
        <w:t>on</w:t>
      </w:r>
      <w:proofErr w:type="spellEnd"/>
      <w:r w:rsidRPr="00777569">
        <w:rPr>
          <w:rFonts w:ascii="Arial" w:hAnsi="Arial" w:cs="Arial"/>
          <w:kern w:val="28"/>
          <w:lang w:val="es-ES_tradnl"/>
        </w:rPr>
        <w:t xml:space="preserve"> </w:t>
      </w:r>
      <w:proofErr w:type="spellStart"/>
      <w:r w:rsidRPr="00777569">
        <w:rPr>
          <w:rFonts w:ascii="Arial" w:hAnsi="Arial" w:cs="Arial"/>
          <w:kern w:val="28"/>
          <w:lang w:val="es-ES_tradnl"/>
        </w:rPr>
        <w:t>ritonavir-boosted</w:t>
      </w:r>
      <w:proofErr w:type="spellEnd"/>
      <w:r w:rsidRPr="00777569">
        <w:rPr>
          <w:rFonts w:ascii="Arial" w:hAnsi="Arial" w:cs="Arial"/>
          <w:kern w:val="28"/>
          <w:lang w:val="es-ES_tradnl"/>
        </w:rPr>
        <w:t xml:space="preserve"> atazanavir (</w:t>
      </w:r>
      <w:proofErr w:type="spellStart"/>
      <w:r w:rsidRPr="00777569">
        <w:rPr>
          <w:rFonts w:ascii="Arial" w:hAnsi="Arial" w:cs="Arial"/>
          <w:kern w:val="28"/>
          <w:lang w:val="es-ES_tradnl"/>
        </w:rPr>
        <w:t>ATV</w:t>
      </w:r>
      <w:proofErr w:type="spellEnd"/>
      <w:r w:rsidRPr="00777569">
        <w:rPr>
          <w:rFonts w:ascii="Arial" w:hAnsi="Arial" w:cs="Arial"/>
          <w:kern w:val="28"/>
          <w:lang w:val="es-ES_tradnl"/>
        </w:rPr>
        <w:t xml:space="preserve">/r) plus </w:t>
      </w:r>
      <w:proofErr w:type="spellStart"/>
      <w:r w:rsidRPr="00777569">
        <w:rPr>
          <w:rFonts w:ascii="Arial" w:hAnsi="Arial" w:cs="Arial"/>
          <w:kern w:val="28"/>
          <w:lang w:val="es-ES_tradnl"/>
        </w:rPr>
        <w:t>lamivudine</w:t>
      </w:r>
      <w:proofErr w:type="spellEnd"/>
      <w:r w:rsidRPr="00777569">
        <w:rPr>
          <w:rFonts w:ascii="Arial" w:hAnsi="Arial" w:cs="Arial"/>
          <w:kern w:val="28"/>
          <w:lang w:val="es-ES_tradnl"/>
        </w:rPr>
        <w:t xml:space="preserve"> (3TC) dual </w:t>
      </w:r>
      <w:proofErr w:type="spellStart"/>
      <w:r w:rsidRPr="00777569">
        <w:rPr>
          <w:rFonts w:ascii="Arial" w:hAnsi="Arial" w:cs="Arial"/>
          <w:kern w:val="28"/>
          <w:lang w:val="es-ES_tradnl"/>
        </w:rPr>
        <w:t>therapy</w:t>
      </w:r>
      <w:proofErr w:type="spellEnd"/>
      <w:r w:rsidRPr="00777569">
        <w:rPr>
          <w:rFonts w:ascii="Arial" w:hAnsi="Arial" w:cs="Arial"/>
          <w:kern w:val="28"/>
          <w:lang w:val="es-ES_tradnl"/>
        </w:rPr>
        <w:t xml:space="preserve">. </w:t>
      </w:r>
    </w:p>
    <w:p w:rsidR="00C30315" w:rsidRPr="00EC15DD" w:rsidRDefault="00C30315" w:rsidP="00D07C1D">
      <w:pPr>
        <w:spacing w:line="480" w:lineRule="auto"/>
        <w:jc w:val="both"/>
        <w:rPr>
          <w:rFonts w:ascii="Arial" w:hAnsi="Arial" w:cs="Arial"/>
          <w:kern w:val="28"/>
          <w:lang w:val="en-US"/>
        </w:rPr>
      </w:pPr>
      <w:r w:rsidRPr="00EC15DD">
        <w:rPr>
          <w:rFonts w:ascii="Arial" w:hAnsi="Arial" w:cs="Arial"/>
          <w:b/>
          <w:bCs/>
          <w:kern w:val="28"/>
          <w:lang w:val="en-US"/>
        </w:rPr>
        <w:t xml:space="preserve">Methods: </w:t>
      </w:r>
      <w:r w:rsidRPr="00EC15DD">
        <w:rPr>
          <w:rFonts w:ascii="Arial" w:hAnsi="Arial" w:cs="Arial"/>
          <w:bCs/>
          <w:kern w:val="28"/>
          <w:lang w:val="en-US"/>
        </w:rPr>
        <w:t>HIV-1 infected adults with suppressed plasma HIV-1 RNA</w:t>
      </w:r>
      <w:r w:rsidRPr="00EC15DD">
        <w:rPr>
          <w:rFonts w:ascii="Arial" w:hAnsi="Arial" w:cs="Arial"/>
          <w:kern w:val="28"/>
          <w:lang w:val="en-US"/>
        </w:rPr>
        <w:t xml:space="preserve"> </w:t>
      </w:r>
      <w:r w:rsidRPr="00EC15DD">
        <w:rPr>
          <w:rFonts w:ascii="Arial" w:hAnsi="Arial" w:cs="Arial"/>
          <w:bCs/>
          <w:kern w:val="28"/>
          <w:lang w:val="en-US"/>
        </w:rPr>
        <w:t>who switched to ATV/r plus 3TC</w:t>
      </w:r>
      <w:r>
        <w:rPr>
          <w:rFonts w:ascii="Arial" w:hAnsi="Arial" w:cs="Arial"/>
          <w:bCs/>
          <w:kern w:val="28"/>
          <w:lang w:val="en-US"/>
        </w:rPr>
        <w:t xml:space="preserve"> were studied</w:t>
      </w:r>
      <w:r w:rsidRPr="00EC15DD">
        <w:rPr>
          <w:rFonts w:ascii="Arial" w:hAnsi="Arial" w:cs="Arial"/>
          <w:bCs/>
          <w:kern w:val="28"/>
          <w:lang w:val="en-US"/>
        </w:rPr>
        <w:t>. Total ATV and 3TC concentrations at the end of the dosing interval (C</w:t>
      </w:r>
      <w:r w:rsidRPr="00EC15DD">
        <w:rPr>
          <w:rFonts w:ascii="Arial" w:hAnsi="Arial" w:cs="Arial"/>
          <w:bCs/>
          <w:kern w:val="28"/>
          <w:vertAlign w:val="subscript"/>
          <w:lang w:val="en-US"/>
        </w:rPr>
        <w:t>24h</w:t>
      </w:r>
      <w:r w:rsidRPr="00EC15DD">
        <w:rPr>
          <w:rFonts w:ascii="Arial" w:hAnsi="Arial" w:cs="Arial"/>
          <w:bCs/>
          <w:kern w:val="28"/>
          <w:lang w:val="en-US"/>
        </w:rPr>
        <w:t>)</w:t>
      </w:r>
      <w:r>
        <w:rPr>
          <w:rFonts w:ascii="Arial" w:hAnsi="Arial" w:cs="Arial"/>
          <w:bCs/>
          <w:kern w:val="28"/>
          <w:lang w:val="en-US"/>
        </w:rPr>
        <w:t xml:space="preserve">, using a </w:t>
      </w:r>
      <w:r w:rsidRPr="00EC15DD">
        <w:rPr>
          <w:rFonts w:ascii="Arial" w:hAnsi="Arial" w:cs="Arial"/>
          <w:bCs/>
          <w:kern w:val="28"/>
          <w:lang w:val="en-US"/>
        </w:rPr>
        <w:t>v</w:t>
      </w:r>
      <w:r w:rsidRPr="00EC15DD">
        <w:rPr>
          <w:rFonts w:ascii="Arial" w:hAnsi="Arial" w:cs="Arial"/>
          <w:kern w:val="28"/>
          <w:lang w:val="en-US"/>
        </w:rPr>
        <w:t>alidated LC-MS/MS method</w:t>
      </w:r>
      <w:r>
        <w:rPr>
          <w:rFonts w:ascii="Arial" w:hAnsi="Arial" w:cs="Arial"/>
          <w:kern w:val="28"/>
          <w:lang w:val="en-US"/>
        </w:rPr>
        <w:t>,</w:t>
      </w:r>
      <w:r w:rsidRPr="00EC15DD">
        <w:rPr>
          <w:rFonts w:ascii="Arial" w:hAnsi="Arial" w:cs="Arial"/>
          <w:bCs/>
          <w:kern w:val="28"/>
          <w:lang w:val="en-US"/>
        </w:rPr>
        <w:t xml:space="preserve"> and HIV-1 RNA were measured in paired CSF and plasma samples 12 weeks after switching. </w:t>
      </w:r>
    </w:p>
    <w:p w:rsidR="00C30315" w:rsidRPr="00EC15DD" w:rsidRDefault="00C30315" w:rsidP="00D40103">
      <w:pPr>
        <w:spacing w:line="480" w:lineRule="auto"/>
        <w:jc w:val="both"/>
        <w:rPr>
          <w:rFonts w:ascii="Arial" w:hAnsi="Arial" w:cs="Arial"/>
          <w:bCs/>
          <w:kern w:val="28"/>
          <w:lang w:val="en-US"/>
        </w:rPr>
      </w:pPr>
      <w:r w:rsidRPr="00EC15DD">
        <w:rPr>
          <w:rFonts w:ascii="Arial" w:hAnsi="Arial" w:cs="Arial"/>
          <w:b/>
          <w:bCs/>
          <w:kern w:val="28"/>
          <w:lang w:val="en-US"/>
        </w:rPr>
        <w:t>Results:</w:t>
      </w:r>
      <w:r w:rsidRPr="00EC15DD">
        <w:rPr>
          <w:rFonts w:ascii="Arial" w:hAnsi="Arial" w:cs="Arial"/>
          <w:kern w:val="28"/>
          <w:lang w:val="en-US"/>
        </w:rPr>
        <w:t xml:space="preserve"> </w:t>
      </w:r>
      <w:r>
        <w:rPr>
          <w:rFonts w:ascii="Arial" w:hAnsi="Arial" w:cs="Arial"/>
          <w:kern w:val="28"/>
          <w:lang w:val="en-US"/>
        </w:rPr>
        <w:t xml:space="preserve">Ten individuals were included. </w:t>
      </w:r>
      <w:r w:rsidRPr="00EC15DD">
        <w:rPr>
          <w:rFonts w:ascii="Arial" w:hAnsi="Arial" w:cs="Arial"/>
          <w:bCs/>
          <w:kern w:val="28"/>
          <w:lang w:val="en-US"/>
        </w:rPr>
        <w:t xml:space="preserve">Median (range) age was 42.5 (33-70) years, time on ART was 39.5 (11-197) months, and time with plasma HIV-1 RNA &lt;40 c/mL was 15.5 (6-46) months. At baseline, CSF HIV-1 RNA was &lt;40 c/mL in all patients. Twelve weeks after switching to ATV/r plus 3TC, HIV-1 RNA </w:t>
      </w:r>
      <w:r>
        <w:rPr>
          <w:rFonts w:ascii="Arial" w:hAnsi="Arial" w:cs="Arial"/>
          <w:bCs/>
          <w:kern w:val="28"/>
          <w:lang w:val="en-US"/>
        </w:rPr>
        <w:t>remained</w:t>
      </w:r>
      <w:r w:rsidRPr="00EC15DD">
        <w:rPr>
          <w:rFonts w:ascii="Arial" w:hAnsi="Arial" w:cs="Arial"/>
          <w:bCs/>
          <w:kern w:val="28"/>
          <w:lang w:val="en-US"/>
        </w:rPr>
        <w:t xml:space="preserve"> at &lt;40 c/mL in both plasma and CSF in 9/10 patients. One patient with suboptimal adherence to ART had HIV-1 RNA rebound in both plasma and CSF. The median CSF-to-plasma concentration ratios of ATV and 3TC were 0.013 and 0.417, respectively. Median ATV C</w:t>
      </w:r>
      <w:r w:rsidRPr="00EC15DD">
        <w:rPr>
          <w:rFonts w:ascii="Arial" w:hAnsi="Arial" w:cs="Arial"/>
          <w:bCs/>
          <w:kern w:val="28"/>
          <w:vertAlign w:val="subscript"/>
          <w:lang w:val="en-US"/>
        </w:rPr>
        <w:t>24h</w:t>
      </w:r>
      <w:r w:rsidRPr="00EC15DD">
        <w:rPr>
          <w:rFonts w:ascii="Arial" w:hAnsi="Arial" w:cs="Arial"/>
          <w:bCs/>
          <w:kern w:val="28"/>
          <w:lang w:val="en-US"/>
        </w:rPr>
        <w:t xml:space="preserve"> in CSF was 10.4 (3.7-33.5) ng/mL (in vitro ATV IC</w:t>
      </w:r>
      <w:r w:rsidRPr="00EC15DD">
        <w:rPr>
          <w:rFonts w:ascii="Arial" w:hAnsi="Arial" w:cs="Arial"/>
          <w:kern w:val="28"/>
          <w:vertAlign w:val="subscript"/>
          <w:lang w:val="en-US"/>
        </w:rPr>
        <w:t>50</w:t>
      </w:r>
      <w:r w:rsidRPr="00EC15DD">
        <w:rPr>
          <w:rFonts w:ascii="Arial" w:hAnsi="Arial" w:cs="Arial"/>
          <w:bCs/>
          <w:kern w:val="28"/>
          <w:lang w:val="en-US"/>
        </w:rPr>
        <w:t xml:space="preserve"> range, 1-11 ng/mL).  Median 3TC C</w:t>
      </w:r>
      <w:r w:rsidRPr="00EC15DD">
        <w:rPr>
          <w:rFonts w:ascii="Arial" w:hAnsi="Arial" w:cs="Arial"/>
          <w:bCs/>
          <w:kern w:val="28"/>
          <w:vertAlign w:val="subscript"/>
          <w:lang w:val="en-US"/>
        </w:rPr>
        <w:t>24h</w:t>
      </w:r>
      <w:r w:rsidRPr="00EC15DD">
        <w:rPr>
          <w:rFonts w:ascii="Arial" w:hAnsi="Arial" w:cs="Arial"/>
          <w:bCs/>
          <w:kern w:val="28"/>
          <w:lang w:val="en-US"/>
        </w:rPr>
        <w:t xml:space="preserve"> in CSF was 43.4 (16.2-99.3) ng/mL (in vitro 3TC IC</w:t>
      </w:r>
      <w:r w:rsidRPr="00EC15DD">
        <w:rPr>
          <w:rFonts w:ascii="Arial" w:hAnsi="Arial" w:cs="Arial"/>
          <w:kern w:val="28"/>
          <w:vertAlign w:val="subscript"/>
          <w:lang w:val="en-US"/>
        </w:rPr>
        <w:t>50</w:t>
      </w:r>
      <w:r w:rsidRPr="00EC15DD">
        <w:rPr>
          <w:rFonts w:ascii="Arial" w:hAnsi="Arial" w:cs="Arial"/>
          <w:bCs/>
          <w:kern w:val="28"/>
          <w:lang w:val="en-US"/>
        </w:rPr>
        <w:t xml:space="preserve"> range, 0.68-20.6 ng/mL). </w:t>
      </w:r>
    </w:p>
    <w:p w:rsidR="00C30315" w:rsidRPr="00EC15DD" w:rsidRDefault="00C30315" w:rsidP="005A11E0">
      <w:pPr>
        <w:spacing w:line="480" w:lineRule="auto"/>
        <w:jc w:val="both"/>
        <w:rPr>
          <w:rFonts w:ascii="Arial" w:hAnsi="Arial" w:cs="Arial"/>
          <w:bCs/>
          <w:kern w:val="28"/>
          <w:lang w:val="en-US"/>
        </w:rPr>
      </w:pPr>
      <w:r w:rsidRPr="00EC15DD">
        <w:rPr>
          <w:rFonts w:ascii="Arial" w:hAnsi="Arial" w:cs="Arial"/>
          <w:b/>
          <w:bCs/>
          <w:kern w:val="28"/>
          <w:lang w:val="en-US"/>
        </w:rPr>
        <w:t>Conclusion:</w:t>
      </w:r>
      <w:r w:rsidRPr="00EC15DD">
        <w:rPr>
          <w:rFonts w:ascii="Arial" w:hAnsi="Arial" w:cs="Arial"/>
          <w:kern w:val="28"/>
          <w:lang w:val="en-US"/>
        </w:rPr>
        <w:t xml:space="preserve"> </w:t>
      </w:r>
      <w:r>
        <w:rPr>
          <w:rFonts w:ascii="Arial" w:hAnsi="Arial" w:cs="Arial"/>
          <w:bCs/>
          <w:kern w:val="28"/>
          <w:lang w:val="en-US"/>
        </w:rPr>
        <w:t>M</w:t>
      </w:r>
      <w:r w:rsidRPr="00EC15DD">
        <w:rPr>
          <w:rFonts w:ascii="Arial" w:hAnsi="Arial" w:cs="Arial"/>
          <w:bCs/>
          <w:kern w:val="28"/>
          <w:lang w:val="en-US"/>
        </w:rPr>
        <w:t>ost patients maintained HIV-1 RNA in CSF &lt;40 c/mL despite CSF ATV C</w:t>
      </w:r>
      <w:r w:rsidRPr="00EC15DD">
        <w:rPr>
          <w:rFonts w:ascii="Arial" w:hAnsi="Arial" w:cs="Arial"/>
          <w:bCs/>
          <w:kern w:val="28"/>
          <w:vertAlign w:val="subscript"/>
          <w:lang w:val="en-US"/>
        </w:rPr>
        <w:t>24h</w:t>
      </w:r>
      <w:r w:rsidRPr="00EC15DD">
        <w:rPr>
          <w:rFonts w:ascii="Arial" w:hAnsi="Arial" w:cs="Arial"/>
          <w:bCs/>
          <w:kern w:val="28"/>
          <w:lang w:val="en-US"/>
        </w:rPr>
        <w:t xml:space="preserve"> close to or within the IC</w:t>
      </w:r>
      <w:r w:rsidRPr="00EC15DD">
        <w:rPr>
          <w:rFonts w:ascii="Arial" w:hAnsi="Arial" w:cs="Arial"/>
          <w:kern w:val="28"/>
          <w:vertAlign w:val="subscript"/>
          <w:lang w:val="en-US"/>
        </w:rPr>
        <w:t>50</w:t>
      </w:r>
      <w:r w:rsidRPr="00EC15DD">
        <w:rPr>
          <w:rFonts w:ascii="Arial" w:hAnsi="Arial" w:cs="Arial"/>
          <w:bCs/>
          <w:kern w:val="28"/>
          <w:lang w:val="en-US"/>
        </w:rPr>
        <w:t xml:space="preserve"> range in the majority. </w:t>
      </w:r>
      <w:smartTag w:uri="urn:schemas-microsoft-com:office:smarttags" w:element="address">
        <w:smartTag w:uri="urn:schemas-microsoft-com:office:smarttags" w:element="Street">
          <w:r w:rsidRPr="004F1C59">
            <w:rPr>
              <w:rFonts w:ascii="Arial" w:hAnsi="Arial" w:cs="Arial"/>
              <w:bCs/>
              <w:kern w:val="28"/>
              <w:lang w:val="en-US"/>
            </w:rPr>
            <w:t xml:space="preserve">ATV </w:t>
          </w:r>
          <w:r>
            <w:rPr>
              <w:rFonts w:ascii="Arial" w:hAnsi="Arial" w:cs="Arial"/>
              <w:bCs/>
              <w:kern w:val="28"/>
              <w:lang w:val="en-US"/>
            </w:rPr>
            <w:t>PK</w:t>
          </w:r>
        </w:smartTag>
      </w:smartTag>
      <w:r w:rsidRPr="004F1C59">
        <w:rPr>
          <w:rFonts w:ascii="Arial" w:hAnsi="Arial" w:cs="Arial"/>
          <w:bCs/>
          <w:kern w:val="28"/>
          <w:lang w:val="en-US"/>
        </w:rPr>
        <w:t xml:space="preserve"> data in CSF should be </w:t>
      </w:r>
      <w:r>
        <w:rPr>
          <w:rFonts w:ascii="Arial" w:hAnsi="Arial" w:cs="Arial"/>
          <w:bCs/>
          <w:kern w:val="28"/>
          <w:lang w:val="en-US"/>
        </w:rPr>
        <w:t>considered</w:t>
      </w:r>
      <w:r w:rsidRPr="004F1C59">
        <w:rPr>
          <w:rFonts w:ascii="Arial" w:hAnsi="Arial" w:cs="Arial"/>
          <w:bCs/>
          <w:kern w:val="28"/>
          <w:lang w:val="en-US"/>
        </w:rPr>
        <w:t xml:space="preserve"> and rigorous patient selection </w:t>
      </w:r>
      <w:r>
        <w:rPr>
          <w:rFonts w:ascii="Arial" w:hAnsi="Arial" w:cs="Arial"/>
          <w:bCs/>
          <w:kern w:val="28"/>
          <w:lang w:val="en-US"/>
        </w:rPr>
        <w:t xml:space="preserve">is </w:t>
      </w:r>
      <w:r w:rsidRPr="004F1C59">
        <w:rPr>
          <w:rFonts w:ascii="Arial" w:hAnsi="Arial" w:cs="Arial"/>
          <w:bCs/>
          <w:kern w:val="28"/>
          <w:lang w:val="en-US"/>
        </w:rPr>
        <w:t xml:space="preserve">advisable to assure effective CSF viral suppression with this </w:t>
      </w:r>
      <w:r>
        <w:rPr>
          <w:rFonts w:ascii="Arial" w:hAnsi="Arial" w:cs="Arial"/>
          <w:bCs/>
          <w:kern w:val="28"/>
          <w:lang w:val="en-US"/>
        </w:rPr>
        <w:t>two-drug</w:t>
      </w:r>
      <w:r w:rsidRPr="004F1C59">
        <w:rPr>
          <w:rFonts w:ascii="Arial" w:hAnsi="Arial" w:cs="Arial"/>
          <w:bCs/>
          <w:kern w:val="28"/>
          <w:lang w:val="en-US"/>
        </w:rPr>
        <w:t xml:space="preserve"> simplification regimen. </w:t>
      </w:r>
    </w:p>
    <w:p w:rsidR="00C30315" w:rsidRPr="00EC15DD" w:rsidRDefault="00C30315" w:rsidP="00D07C1D">
      <w:pPr>
        <w:spacing w:after="240" w:line="480" w:lineRule="auto"/>
        <w:jc w:val="both"/>
        <w:rPr>
          <w:rFonts w:ascii="Arial" w:hAnsi="Arial" w:cs="Arial"/>
          <w:b/>
          <w:bCs/>
          <w:lang w:val="en-US"/>
        </w:rPr>
      </w:pPr>
      <w:r w:rsidRPr="003C267B">
        <w:rPr>
          <w:rFonts w:ascii="Arial" w:hAnsi="Arial" w:cs="Arial"/>
          <w:b/>
          <w:bCs/>
          <w:lang w:val="en-US"/>
        </w:rPr>
        <w:br w:type="page"/>
      </w:r>
      <w:r w:rsidRPr="00EC15DD">
        <w:rPr>
          <w:rFonts w:ascii="Arial" w:hAnsi="Arial" w:cs="Arial"/>
          <w:b/>
          <w:bCs/>
          <w:lang w:val="en-US"/>
        </w:rPr>
        <w:lastRenderedPageBreak/>
        <w:t>INTRODUCTION</w:t>
      </w:r>
    </w:p>
    <w:p w:rsidR="00C30315" w:rsidRPr="00EC15DD" w:rsidRDefault="00C30315" w:rsidP="00AF68DB">
      <w:pPr>
        <w:spacing w:line="480" w:lineRule="auto"/>
        <w:ind w:firstLine="708"/>
        <w:jc w:val="both"/>
        <w:rPr>
          <w:rFonts w:ascii="Arial" w:hAnsi="Arial" w:cs="Arial"/>
          <w:lang w:val="en-US"/>
        </w:rPr>
      </w:pPr>
      <w:r w:rsidRPr="003A2432">
        <w:rPr>
          <w:rFonts w:ascii="Arial" w:hAnsi="Arial" w:cs="Arial"/>
          <w:lang w:val="en-US"/>
        </w:rPr>
        <w:t>In the context of lifelong antiretroviral therapy (ART) for HIV-infected individuals, issues</w:t>
      </w:r>
      <w:r w:rsidRPr="00EC15DD">
        <w:rPr>
          <w:rFonts w:ascii="Arial" w:hAnsi="Arial" w:cs="Arial"/>
          <w:lang w:val="en-US"/>
        </w:rPr>
        <w:t xml:space="preserve"> such as adherence, long-term drug toxicity, and treatment cost have prompted researchers to seek treatment simplification strategies. Simplification to boosted protease inhibitor (PI) monotherapy is associated with a higher risk of virological rebound compared to standard triple-drug therapy [1]. In contrast, recent randomized clinical trials have found that some dual antiretroviral combinations have </w:t>
      </w:r>
      <w:proofErr w:type="spellStart"/>
      <w:r w:rsidRPr="00EC15DD">
        <w:rPr>
          <w:rFonts w:ascii="Arial" w:hAnsi="Arial" w:cs="Arial"/>
          <w:lang w:val="en-US"/>
        </w:rPr>
        <w:t>noninferior</w:t>
      </w:r>
      <w:proofErr w:type="spellEnd"/>
      <w:r w:rsidRPr="00EC15DD">
        <w:rPr>
          <w:rFonts w:ascii="Arial" w:hAnsi="Arial" w:cs="Arial"/>
          <w:lang w:val="en-US"/>
        </w:rPr>
        <w:t xml:space="preserve"> efficacy relative to triple therapy [2-7]. Most of these studies have evaluated dual therapy with a boosted PI, including ritonavir-boosted lopinavir (LPV/r), atazanavir (ATV/r) or darunavir (DRV/r), and lamivudine (3TC) [2-6]. </w:t>
      </w:r>
    </w:p>
    <w:p w:rsidR="00C30315" w:rsidRPr="00EC15DD" w:rsidRDefault="00C30315" w:rsidP="0013021A">
      <w:pPr>
        <w:spacing w:line="480" w:lineRule="auto"/>
        <w:ind w:firstLine="720"/>
        <w:jc w:val="both"/>
        <w:rPr>
          <w:rFonts w:ascii="Arial" w:hAnsi="Arial" w:cs="Arial"/>
          <w:lang w:val="en-US"/>
        </w:rPr>
      </w:pPr>
      <w:r w:rsidRPr="00EC15DD">
        <w:rPr>
          <w:rFonts w:ascii="Arial" w:hAnsi="Arial" w:cs="Arial"/>
          <w:lang w:val="en-US"/>
        </w:rPr>
        <w:t xml:space="preserve">ATV/r plus 3TC </w:t>
      </w:r>
      <w:r>
        <w:rPr>
          <w:rFonts w:ascii="Arial" w:hAnsi="Arial" w:cs="Arial"/>
          <w:lang w:val="en-US"/>
        </w:rPr>
        <w:t xml:space="preserve">dual therapy has demonstrated to be </w:t>
      </w:r>
      <w:r w:rsidRPr="00EC15DD">
        <w:rPr>
          <w:rFonts w:ascii="Arial" w:hAnsi="Arial" w:cs="Arial"/>
          <w:lang w:val="en-US"/>
        </w:rPr>
        <w:t xml:space="preserve">effective for maintaining plasma viral suppression </w:t>
      </w:r>
      <w:r>
        <w:rPr>
          <w:rFonts w:ascii="Arial" w:hAnsi="Arial" w:cs="Arial"/>
          <w:lang w:val="en-US"/>
        </w:rPr>
        <w:t xml:space="preserve">and it is considered </w:t>
      </w:r>
      <w:r w:rsidRPr="00EC15DD">
        <w:rPr>
          <w:rFonts w:ascii="Arial" w:hAnsi="Arial" w:cs="Arial"/>
          <w:lang w:val="en-US"/>
        </w:rPr>
        <w:t xml:space="preserve">a promising </w:t>
      </w:r>
      <w:r>
        <w:rPr>
          <w:rFonts w:ascii="Arial" w:hAnsi="Arial" w:cs="Arial"/>
          <w:lang w:val="en-US"/>
        </w:rPr>
        <w:t xml:space="preserve">ART </w:t>
      </w:r>
      <w:r w:rsidRPr="00EC15DD">
        <w:rPr>
          <w:rFonts w:ascii="Arial" w:hAnsi="Arial" w:cs="Arial"/>
          <w:lang w:val="en-US"/>
        </w:rPr>
        <w:t xml:space="preserve">simplification option </w:t>
      </w:r>
      <w:r>
        <w:rPr>
          <w:rFonts w:ascii="Arial" w:hAnsi="Arial" w:cs="Arial"/>
          <w:lang w:val="en-US"/>
        </w:rPr>
        <w:t>[4-5]. However, since p</w:t>
      </w:r>
      <w:r w:rsidRPr="003C267B">
        <w:rPr>
          <w:rFonts w:ascii="Arial" w:hAnsi="Arial" w:cs="Arial"/>
          <w:bCs/>
          <w:kern w:val="28"/>
          <w:lang w:val="en-US"/>
        </w:rPr>
        <w:t xml:space="preserve">revious studies </w:t>
      </w:r>
      <w:r>
        <w:rPr>
          <w:rFonts w:ascii="Arial" w:hAnsi="Arial" w:cs="Arial"/>
          <w:bCs/>
          <w:kern w:val="28"/>
          <w:lang w:val="en-US"/>
        </w:rPr>
        <w:t>showed</w:t>
      </w:r>
      <w:r w:rsidRPr="003C267B">
        <w:rPr>
          <w:rFonts w:ascii="Arial" w:hAnsi="Arial" w:cs="Arial"/>
          <w:bCs/>
          <w:kern w:val="28"/>
          <w:lang w:val="en-US"/>
        </w:rPr>
        <w:t xml:space="preserve"> that ATV penetration may be suboptimal in cerebrospinal fluid (CSF) </w:t>
      </w:r>
      <w:r w:rsidRPr="00EC15DD">
        <w:rPr>
          <w:rFonts w:ascii="Arial" w:hAnsi="Arial" w:cs="Arial"/>
          <w:lang w:val="en-US"/>
        </w:rPr>
        <w:t>[8] the antiviral activity of this combination in CSF should be also evaluated. Th</w:t>
      </w:r>
      <w:r>
        <w:rPr>
          <w:rFonts w:ascii="Arial" w:hAnsi="Arial" w:cs="Arial"/>
          <w:lang w:val="en-US"/>
        </w:rPr>
        <w:t xml:space="preserve">is is first study that aimed </w:t>
      </w:r>
      <w:r w:rsidRPr="00EC15DD">
        <w:rPr>
          <w:rFonts w:ascii="Arial" w:hAnsi="Arial" w:cs="Arial"/>
          <w:lang w:val="en-US"/>
        </w:rPr>
        <w:t xml:space="preserve">to determine HIV-1 RNA </w:t>
      </w:r>
      <w:r w:rsidRPr="003C267B">
        <w:rPr>
          <w:rFonts w:ascii="Arial" w:hAnsi="Arial" w:cs="Arial"/>
          <w:bCs/>
          <w:kern w:val="28"/>
          <w:lang w:val="en-US"/>
        </w:rPr>
        <w:t xml:space="preserve">and drug concentrations in CSF samples from </w:t>
      </w:r>
      <w:r w:rsidRPr="00EC15DD">
        <w:rPr>
          <w:rFonts w:ascii="Arial" w:hAnsi="Arial" w:cs="Arial"/>
          <w:lang w:val="en-US"/>
        </w:rPr>
        <w:t xml:space="preserve">HIV-1 infected patients </w:t>
      </w:r>
      <w:r w:rsidRPr="003C267B">
        <w:rPr>
          <w:rFonts w:ascii="Arial" w:hAnsi="Arial" w:cs="Arial"/>
          <w:bCs/>
          <w:kern w:val="28"/>
          <w:lang w:val="en-US"/>
        </w:rPr>
        <w:t>who switched from ATV/r plus tenofovir/emtricitabine (</w:t>
      </w:r>
      <w:proofErr w:type="spellStart"/>
      <w:r w:rsidRPr="003C267B">
        <w:rPr>
          <w:rFonts w:ascii="Arial" w:hAnsi="Arial" w:cs="Arial"/>
          <w:bCs/>
          <w:kern w:val="28"/>
          <w:lang w:val="en-US"/>
        </w:rPr>
        <w:t>TDF</w:t>
      </w:r>
      <w:proofErr w:type="spellEnd"/>
      <w:r w:rsidRPr="003C267B">
        <w:rPr>
          <w:rFonts w:ascii="Arial" w:hAnsi="Arial" w:cs="Arial"/>
          <w:bCs/>
          <w:kern w:val="28"/>
          <w:lang w:val="en-US"/>
        </w:rPr>
        <w:t xml:space="preserve">/FTC) to ATV/r + 3TC. </w:t>
      </w:r>
    </w:p>
    <w:p w:rsidR="00C30315" w:rsidRPr="00EC15DD" w:rsidRDefault="00C30315">
      <w:pPr>
        <w:spacing w:line="480" w:lineRule="auto"/>
        <w:jc w:val="both"/>
        <w:rPr>
          <w:rFonts w:ascii="Arial" w:hAnsi="Arial" w:cs="Arial"/>
          <w:b/>
          <w:bCs/>
          <w:lang w:val="en-US"/>
        </w:rPr>
      </w:pPr>
    </w:p>
    <w:p w:rsidR="00C30315" w:rsidRPr="00EC15DD" w:rsidRDefault="00C30315">
      <w:pPr>
        <w:spacing w:line="480" w:lineRule="auto"/>
        <w:jc w:val="both"/>
        <w:rPr>
          <w:rFonts w:ascii="Arial" w:hAnsi="Arial" w:cs="Arial"/>
          <w:b/>
          <w:bCs/>
          <w:lang w:val="en-US"/>
        </w:rPr>
      </w:pPr>
      <w:r w:rsidRPr="00EC15DD">
        <w:rPr>
          <w:rFonts w:ascii="Arial" w:hAnsi="Arial" w:cs="Arial"/>
          <w:b/>
          <w:bCs/>
          <w:lang w:val="en-US"/>
        </w:rPr>
        <w:t>METHODS</w:t>
      </w:r>
    </w:p>
    <w:p w:rsidR="00C30315" w:rsidRPr="00EC15DD" w:rsidRDefault="00C30315">
      <w:pPr>
        <w:spacing w:line="480" w:lineRule="auto"/>
        <w:jc w:val="both"/>
        <w:rPr>
          <w:rFonts w:ascii="Arial" w:hAnsi="Arial" w:cs="Arial"/>
          <w:b/>
          <w:bCs/>
          <w:lang w:val="en-US"/>
        </w:rPr>
      </w:pPr>
      <w:r w:rsidRPr="00EC15DD">
        <w:rPr>
          <w:rFonts w:ascii="Arial" w:hAnsi="Arial" w:cs="Arial"/>
          <w:b/>
          <w:bCs/>
          <w:lang w:val="en-US"/>
        </w:rPr>
        <w:t xml:space="preserve">Study Design and Population </w:t>
      </w:r>
    </w:p>
    <w:p w:rsidR="00C30315" w:rsidRDefault="00C30315" w:rsidP="006D6B05">
      <w:pPr>
        <w:spacing w:line="480" w:lineRule="auto"/>
        <w:ind w:firstLine="720"/>
        <w:jc w:val="both"/>
        <w:rPr>
          <w:rFonts w:ascii="Arial" w:hAnsi="Arial" w:cs="Arial"/>
          <w:kern w:val="28"/>
          <w:lang w:val="en-US"/>
        </w:rPr>
      </w:pPr>
      <w:r>
        <w:rPr>
          <w:rFonts w:ascii="Arial" w:hAnsi="Arial" w:cs="Arial"/>
          <w:kern w:val="28"/>
          <w:lang w:val="en-US"/>
        </w:rPr>
        <w:t>The objectives of this study were t</w:t>
      </w:r>
      <w:r w:rsidRPr="00EC15DD">
        <w:rPr>
          <w:rFonts w:ascii="Arial" w:hAnsi="Arial" w:cs="Arial"/>
          <w:kern w:val="28"/>
          <w:lang w:val="en-US"/>
        </w:rPr>
        <w:t xml:space="preserve">o assess cerebrospinal fluid (CSF) </w:t>
      </w:r>
      <w:r>
        <w:rPr>
          <w:rFonts w:ascii="Arial" w:hAnsi="Arial" w:cs="Arial"/>
          <w:kern w:val="28"/>
          <w:lang w:val="en-US"/>
        </w:rPr>
        <w:t xml:space="preserve">drug </w:t>
      </w:r>
      <w:r>
        <w:rPr>
          <w:rFonts w:ascii="Arial" w:hAnsi="Arial" w:cs="Arial"/>
          <w:kern w:val="28"/>
          <w:lang w:val="en-US"/>
        </w:rPr>
        <w:lastRenderedPageBreak/>
        <w:t>concentrations</w:t>
      </w:r>
      <w:r w:rsidRPr="00EC15DD">
        <w:rPr>
          <w:rFonts w:ascii="Arial" w:hAnsi="Arial" w:cs="Arial"/>
          <w:kern w:val="28"/>
          <w:lang w:val="en-US"/>
        </w:rPr>
        <w:t xml:space="preserve"> and viral suppression in HIV-1 infected patients </w:t>
      </w:r>
      <w:r>
        <w:rPr>
          <w:rFonts w:ascii="Arial" w:hAnsi="Arial" w:cs="Arial"/>
          <w:kern w:val="28"/>
          <w:lang w:val="en-US"/>
        </w:rPr>
        <w:t>treated with ATV/r plus 3TC</w:t>
      </w:r>
      <w:r w:rsidRPr="00EC15DD">
        <w:rPr>
          <w:rFonts w:ascii="Arial" w:hAnsi="Arial" w:cs="Arial"/>
          <w:kern w:val="28"/>
          <w:lang w:val="en-US"/>
        </w:rPr>
        <w:t xml:space="preserve"> dual therapy.</w:t>
      </w:r>
    </w:p>
    <w:p w:rsidR="00C30315" w:rsidRPr="00EC15DD" w:rsidRDefault="00C30315" w:rsidP="006D6B05">
      <w:pPr>
        <w:spacing w:line="480" w:lineRule="auto"/>
        <w:ind w:firstLine="720"/>
        <w:jc w:val="both"/>
        <w:rPr>
          <w:rFonts w:ascii="Arial" w:hAnsi="Arial" w:cs="Arial"/>
          <w:kern w:val="28"/>
          <w:lang w:val="en-US"/>
        </w:rPr>
      </w:pPr>
      <w:r>
        <w:rPr>
          <w:rFonts w:ascii="Arial" w:hAnsi="Arial" w:cs="Arial"/>
          <w:kern w:val="28"/>
          <w:lang w:val="en-US"/>
        </w:rPr>
        <w:t xml:space="preserve">We undertook a </w:t>
      </w:r>
      <w:r w:rsidRPr="00EC15DD">
        <w:rPr>
          <w:rFonts w:ascii="Arial" w:hAnsi="Arial" w:cs="Arial"/>
          <w:kern w:val="28"/>
          <w:lang w:val="en-US"/>
        </w:rPr>
        <w:t>single-arm, open-label study</w:t>
      </w:r>
      <w:r>
        <w:rPr>
          <w:rFonts w:ascii="Arial" w:hAnsi="Arial" w:cs="Arial"/>
          <w:kern w:val="28"/>
          <w:lang w:val="en-US"/>
        </w:rPr>
        <w:t xml:space="preserve"> </w:t>
      </w:r>
      <w:r w:rsidRPr="00EC15DD">
        <w:rPr>
          <w:rFonts w:ascii="Arial" w:hAnsi="Arial" w:cs="Arial"/>
          <w:kern w:val="28"/>
          <w:lang w:val="en-US"/>
        </w:rPr>
        <w:t xml:space="preserve">at the HIV outpatient clinic of </w:t>
      </w:r>
      <w:proofErr w:type="spellStart"/>
      <w:smartTag w:uri="urn:schemas-microsoft-com:office:smarttags" w:element="PlaceName">
        <w:r w:rsidRPr="00EC15DD">
          <w:rPr>
            <w:rFonts w:ascii="Arial" w:hAnsi="Arial" w:cs="Arial"/>
            <w:kern w:val="28"/>
            <w:lang w:val="en-US"/>
          </w:rPr>
          <w:t>Bellvitge</w:t>
        </w:r>
      </w:smartTag>
      <w:proofErr w:type="spellEnd"/>
      <w:r w:rsidRPr="00EC15DD">
        <w:rPr>
          <w:rFonts w:ascii="Arial" w:hAnsi="Arial" w:cs="Arial"/>
          <w:kern w:val="28"/>
          <w:lang w:val="en-US"/>
        </w:rPr>
        <w:t xml:space="preserve"> </w:t>
      </w:r>
      <w:smartTag w:uri="urn:schemas-microsoft-com:office:smarttags" w:element="PlaceType">
        <w:r w:rsidRPr="00EC15DD">
          <w:rPr>
            <w:rFonts w:ascii="Arial" w:hAnsi="Arial" w:cs="Arial"/>
            <w:kern w:val="28"/>
            <w:lang w:val="en-US"/>
          </w:rPr>
          <w:t>University</w:t>
        </w:r>
      </w:smartTag>
      <w:r w:rsidRPr="00EC15DD">
        <w:rPr>
          <w:rFonts w:ascii="Arial" w:hAnsi="Arial" w:cs="Arial"/>
          <w:kern w:val="28"/>
          <w:lang w:val="en-US"/>
        </w:rPr>
        <w:t xml:space="preserve"> </w:t>
      </w:r>
      <w:smartTag w:uri="urn:schemas-microsoft-com:office:smarttags" w:element="PlaceType">
        <w:r w:rsidRPr="00EC15DD">
          <w:rPr>
            <w:rFonts w:ascii="Arial" w:hAnsi="Arial" w:cs="Arial"/>
            <w:kern w:val="28"/>
            <w:lang w:val="en-US"/>
          </w:rPr>
          <w:t>Hospital</w:t>
        </w:r>
      </w:smartTag>
      <w:r w:rsidRPr="00EC15DD">
        <w:rPr>
          <w:rFonts w:ascii="Arial" w:hAnsi="Arial" w:cs="Arial"/>
          <w:kern w:val="28"/>
          <w:lang w:val="en-US"/>
        </w:rPr>
        <w:t xml:space="preserve"> (</w:t>
      </w:r>
      <w:smartTag w:uri="urn:schemas-microsoft-com:office:smarttags" w:element="City">
        <w:smartTag w:uri="urn:schemas-microsoft-com:office:smarttags" w:element="place">
          <w:r w:rsidRPr="00EC15DD">
            <w:rPr>
              <w:rFonts w:ascii="Arial" w:hAnsi="Arial" w:cs="Arial"/>
              <w:kern w:val="28"/>
              <w:lang w:val="en-US"/>
            </w:rPr>
            <w:t>Barcelona</w:t>
          </w:r>
        </w:smartTag>
        <w:r w:rsidRPr="00EC15DD">
          <w:rPr>
            <w:rFonts w:ascii="Arial" w:hAnsi="Arial" w:cs="Arial"/>
            <w:kern w:val="28"/>
            <w:lang w:val="en-US"/>
          </w:rPr>
          <w:t xml:space="preserve">, </w:t>
        </w:r>
        <w:smartTag w:uri="urn:schemas-microsoft-com:office:smarttags" w:element="country-region">
          <w:r w:rsidRPr="00EC15DD">
            <w:rPr>
              <w:rFonts w:ascii="Arial" w:hAnsi="Arial" w:cs="Arial"/>
              <w:kern w:val="28"/>
              <w:lang w:val="en-US"/>
            </w:rPr>
            <w:t>Spain</w:t>
          </w:r>
        </w:smartTag>
      </w:smartTag>
      <w:r w:rsidRPr="00EC15DD">
        <w:rPr>
          <w:rFonts w:ascii="Arial" w:hAnsi="Arial" w:cs="Arial"/>
          <w:kern w:val="28"/>
          <w:lang w:val="en-US"/>
        </w:rPr>
        <w:t xml:space="preserve">) between October 2014 and February 2016. Eligible patients were HIV-1 infected adults (≥18 years) with plasma HIV-1 RNA suppression (&lt;40 copies/mL) for 6 months or longer while receiving a stable ART regimen of ATV/r 300/100 mg plus </w:t>
      </w:r>
      <w:proofErr w:type="spellStart"/>
      <w:r w:rsidRPr="00EC15DD">
        <w:rPr>
          <w:rFonts w:ascii="Arial" w:hAnsi="Arial" w:cs="Arial"/>
          <w:kern w:val="28"/>
          <w:lang w:val="en-US"/>
        </w:rPr>
        <w:t>TDF</w:t>
      </w:r>
      <w:proofErr w:type="spellEnd"/>
      <w:r w:rsidRPr="00EC15DD">
        <w:rPr>
          <w:rFonts w:ascii="Arial" w:hAnsi="Arial" w:cs="Arial"/>
          <w:kern w:val="28"/>
          <w:lang w:val="en-US"/>
        </w:rPr>
        <w:t xml:space="preserve">/FTC 300/200 mg </w:t>
      </w:r>
      <w:proofErr w:type="spellStart"/>
      <w:r w:rsidRPr="00EC15DD">
        <w:rPr>
          <w:rFonts w:ascii="Arial" w:hAnsi="Arial" w:cs="Arial"/>
          <w:kern w:val="28"/>
          <w:lang w:val="en-US"/>
        </w:rPr>
        <w:t>coformulated</w:t>
      </w:r>
      <w:proofErr w:type="spellEnd"/>
      <w:r w:rsidRPr="00EC15DD">
        <w:rPr>
          <w:rFonts w:ascii="Arial" w:hAnsi="Arial" w:cs="Arial"/>
          <w:kern w:val="28"/>
          <w:lang w:val="en-US"/>
        </w:rPr>
        <w:t xml:space="preserve"> as a single tablet once daily (Truvada</w:t>
      </w:r>
      <w:r w:rsidRPr="00EC15DD">
        <w:rPr>
          <w:rFonts w:ascii="Arial" w:hAnsi="Arial" w:cs="Arial"/>
          <w:kern w:val="28"/>
          <w:vertAlign w:val="superscript"/>
          <w:lang w:val="en-US"/>
        </w:rPr>
        <w:t>®</w:t>
      </w:r>
      <w:r w:rsidRPr="00EC15DD">
        <w:rPr>
          <w:rFonts w:ascii="Arial" w:hAnsi="Arial" w:cs="Arial"/>
          <w:kern w:val="28"/>
          <w:lang w:val="en-US"/>
        </w:rPr>
        <w:t xml:space="preserve">). The exclusion criteria were resistance to 3TC and/or protease inhibitors, chronic HBV hepatitis, need for proton-pump inhibitor treatment, moderate or severe hepatic impairment, and active malignancies. At baseline, participants were switched from their former regimen to ATV/r 300/100 mg once daily plus 3TC 300 mg once daily. </w:t>
      </w:r>
    </w:p>
    <w:p w:rsidR="00C30315" w:rsidRPr="00EC15DD" w:rsidRDefault="00C30315" w:rsidP="00270E93">
      <w:pPr>
        <w:spacing w:line="480" w:lineRule="auto"/>
        <w:ind w:firstLine="720"/>
        <w:jc w:val="both"/>
        <w:rPr>
          <w:rFonts w:ascii="Arial" w:hAnsi="Arial" w:cs="Arial"/>
          <w:kern w:val="28"/>
          <w:lang w:val="en-US"/>
        </w:rPr>
      </w:pPr>
      <w:r w:rsidRPr="00EC15DD">
        <w:rPr>
          <w:rFonts w:ascii="Arial" w:hAnsi="Arial" w:cs="Arial"/>
          <w:kern w:val="28"/>
          <w:lang w:val="en-US"/>
        </w:rPr>
        <w:t xml:space="preserve">The study protocol was approved by the ethical review committee of </w:t>
      </w:r>
      <w:proofErr w:type="spellStart"/>
      <w:smartTag w:uri="urn:schemas-microsoft-com:office:smarttags" w:element="PlaceName">
        <w:smartTag w:uri="urn:schemas-microsoft-com:office:smarttags" w:element="place">
          <w:r w:rsidRPr="00EC15DD">
            <w:rPr>
              <w:rFonts w:ascii="Arial" w:hAnsi="Arial" w:cs="Arial"/>
              <w:kern w:val="28"/>
              <w:lang w:val="en-US"/>
            </w:rPr>
            <w:t>Bellvitge</w:t>
          </w:r>
        </w:smartTag>
        <w:proofErr w:type="spellEnd"/>
        <w:r w:rsidRPr="00EC15DD">
          <w:rPr>
            <w:rFonts w:ascii="Arial" w:hAnsi="Arial" w:cs="Arial"/>
            <w:kern w:val="28"/>
            <w:lang w:val="en-US"/>
          </w:rPr>
          <w:t xml:space="preserve"> </w:t>
        </w:r>
        <w:smartTag w:uri="urn:schemas-microsoft-com:office:smarttags" w:element="PlaceType">
          <w:r w:rsidRPr="00EC15DD">
            <w:rPr>
              <w:rFonts w:ascii="Arial" w:hAnsi="Arial" w:cs="Arial"/>
              <w:kern w:val="28"/>
              <w:lang w:val="en-US"/>
            </w:rPr>
            <w:t>University</w:t>
          </w:r>
        </w:smartTag>
        <w:r w:rsidRPr="00EC15DD">
          <w:rPr>
            <w:rFonts w:ascii="Arial" w:hAnsi="Arial" w:cs="Arial"/>
            <w:kern w:val="28"/>
            <w:lang w:val="en-US"/>
          </w:rPr>
          <w:t xml:space="preserve"> </w:t>
        </w:r>
        <w:smartTag w:uri="urn:schemas-microsoft-com:office:smarttags" w:element="PlaceType">
          <w:r w:rsidRPr="00EC15DD">
            <w:rPr>
              <w:rFonts w:ascii="Arial" w:hAnsi="Arial" w:cs="Arial"/>
              <w:kern w:val="28"/>
              <w:lang w:val="en-US"/>
            </w:rPr>
            <w:t>Hospital</w:t>
          </w:r>
        </w:smartTag>
      </w:smartTag>
      <w:r w:rsidRPr="00EC15DD">
        <w:rPr>
          <w:rFonts w:ascii="Arial" w:hAnsi="Arial" w:cs="Arial"/>
          <w:kern w:val="28"/>
          <w:lang w:val="en-US"/>
        </w:rPr>
        <w:t xml:space="preserve"> in accordance with the principles of the 2008 Declaration of Helsinki and the Spanish regulatory authorities. Written informed consent was obtained from all participants before any study procedures were performed. This study is registered at the EU Clinical Trials Registry (</w:t>
      </w:r>
      <w:proofErr w:type="spellStart"/>
      <w:r w:rsidRPr="00EC15DD">
        <w:rPr>
          <w:rFonts w:ascii="Arial" w:hAnsi="Arial" w:cs="Arial"/>
          <w:kern w:val="28"/>
          <w:lang w:val="en-US"/>
        </w:rPr>
        <w:t>EudraCT</w:t>
      </w:r>
      <w:proofErr w:type="spellEnd"/>
      <w:r w:rsidRPr="00EC15DD">
        <w:rPr>
          <w:rFonts w:ascii="Arial" w:hAnsi="Arial" w:cs="Arial"/>
          <w:kern w:val="28"/>
          <w:lang w:val="en-US"/>
        </w:rPr>
        <w:t xml:space="preserve"> 2014-000496-64).</w:t>
      </w:r>
    </w:p>
    <w:p w:rsidR="00C30315" w:rsidRPr="00EC15DD" w:rsidRDefault="00C30315" w:rsidP="0020126E">
      <w:pPr>
        <w:spacing w:line="480" w:lineRule="auto"/>
        <w:ind w:firstLine="720"/>
        <w:jc w:val="both"/>
        <w:rPr>
          <w:rFonts w:ascii="Arial" w:hAnsi="Arial" w:cs="Arial"/>
          <w:b/>
          <w:kern w:val="28"/>
          <w:lang w:val="en-US"/>
        </w:rPr>
      </w:pPr>
      <w:r w:rsidRPr="00EC15DD">
        <w:rPr>
          <w:rFonts w:ascii="Arial" w:hAnsi="Arial" w:cs="Arial"/>
          <w:b/>
          <w:kern w:val="28"/>
          <w:lang w:val="en-US"/>
        </w:rPr>
        <w:t>Procedures and laboratory methods</w:t>
      </w:r>
    </w:p>
    <w:p w:rsidR="00C30315" w:rsidRPr="00EC15DD" w:rsidRDefault="00C30315" w:rsidP="0020126E">
      <w:pPr>
        <w:spacing w:line="480" w:lineRule="auto"/>
        <w:ind w:firstLine="720"/>
        <w:jc w:val="both"/>
        <w:rPr>
          <w:rFonts w:ascii="Arial" w:hAnsi="Arial" w:cs="Arial"/>
          <w:kern w:val="28"/>
          <w:lang w:val="en-US"/>
        </w:rPr>
      </w:pPr>
      <w:r w:rsidRPr="00EC15DD">
        <w:rPr>
          <w:rFonts w:ascii="Arial" w:hAnsi="Arial" w:cs="Arial"/>
          <w:kern w:val="28"/>
          <w:lang w:val="en-US"/>
        </w:rPr>
        <w:t xml:space="preserve">Paired blood and CSF samples were obtained at baseline and 12 weeks after switching to ATV/r plus 3TC. HIV-1 RNA was determined in blood plasma and CSF samples at baseline and week 12, whereas ATV and 3TC concentrations were measured in plasma and CSF at week 12. CSF samples were collected by </w:t>
      </w:r>
      <w:r w:rsidRPr="00EC15DD">
        <w:rPr>
          <w:rFonts w:ascii="Arial" w:hAnsi="Arial" w:cs="Arial"/>
          <w:kern w:val="28"/>
          <w:lang w:val="en-US"/>
        </w:rPr>
        <w:lastRenderedPageBreak/>
        <w:t>lumbar puncture using pencil-point needles.</w:t>
      </w:r>
    </w:p>
    <w:p w:rsidR="00C30315" w:rsidRPr="00EC15DD" w:rsidRDefault="00C30315" w:rsidP="0047533A">
      <w:pPr>
        <w:spacing w:line="480" w:lineRule="auto"/>
        <w:ind w:firstLine="720"/>
        <w:jc w:val="both"/>
        <w:rPr>
          <w:rFonts w:ascii="Arial" w:hAnsi="Arial" w:cs="Arial"/>
          <w:kern w:val="28"/>
          <w:lang w:val="en-US"/>
        </w:rPr>
      </w:pPr>
      <w:r w:rsidRPr="00EC15DD">
        <w:rPr>
          <w:rFonts w:ascii="Arial" w:hAnsi="Arial" w:cs="Arial"/>
          <w:kern w:val="28"/>
          <w:lang w:val="en-US"/>
        </w:rPr>
        <w:t>HIV-1 RNA levels in plasma and CSF were measured using a real-time polymerase chain reaction (</w:t>
      </w:r>
      <w:proofErr w:type="spellStart"/>
      <w:r w:rsidRPr="00EC15DD">
        <w:rPr>
          <w:rFonts w:ascii="Arial" w:hAnsi="Arial" w:cs="Arial"/>
          <w:kern w:val="28"/>
          <w:lang w:val="en-US"/>
        </w:rPr>
        <w:t>PCR</w:t>
      </w:r>
      <w:proofErr w:type="spellEnd"/>
      <w:r w:rsidRPr="00EC15DD">
        <w:rPr>
          <w:rFonts w:ascii="Arial" w:hAnsi="Arial" w:cs="Arial"/>
          <w:kern w:val="28"/>
          <w:lang w:val="en-US"/>
        </w:rPr>
        <w:t xml:space="preserve">) assay (Abbott </w:t>
      </w:r>
      <w:proofErr w:type="spellStart"/>
      <w:r w:rsidRPr="00EC15DD">
        <w:rPr>
          <w:rFonts w:ascii="Arial" w:hAnsi="Arial" w:cs="Arial"/>
          <w:kern w:val="28"/>
          <w:lang w:val="en-US"/>
        </w:rPr>
        <w:t>RealTime</w:t>
      </w:r>
      <w:proofErr w:type="spellEnd"/>
      <w:r w:rsidRPr="00EC15DD">
        <w:rPr>
          <w:rFonts w:ascii="Arial" w:hAnsi="Arial" w:cs="Arial"/>
          <w:kern w:val="28"/>
          <w:lang w:val="en-US"/>
        </w:rPr>
        <w:t xml:space="preserve"> HIV-1) with a quantification limit of 40 copies/mL.  </w:t>
      </w:r>
    </w:p>
    <w:p w:rsidR="00C30315" w:rsidRPr="002D45B3" w:rsidRDefault="00C30315" w:rsidP="0077571C">
      <w:pPr>
        <w:spacing w:line="480" w:lineRule="auto"/>
        <w:ind w:firstLine="720"/>
        <w:jc w:val="both"/>
        <w:rPr>
          <w:rFonts w:ascii="Arial" w:hAnsi="Arial" w:cs="Arial"/>
          <w:kern w:val="28"/>
          <w:lang w:val="en-US"/>
        </w:rPr>
      </w:pPr>
      <w:r w:rsidRPr="00EC15DD">
        <w:rPr>
          <w:rFonts w:ascii="Arial" w:hAnsi="Arial" w:cs="Arial"/>
          <w:kern w:val="28"/>
          <w:lang w:val="en-US"/>
        </w:rPr>
        <w:t>Total ATV and 3TC concentrations were determined at the end of the dosing interval (C</w:t>
      </w:r>
      <w:r w:rsidRPr="00EC15DD">
        <w:rPr>
          <w:rFonts w:ascii="Arial" w:hAnsi="Arial" w:cs="Arial"/>
          <w:kern w:val="28"/>
          <w:vertAlign w:val="subscript"/>
          <w:lang w:val="en-US"/>
        </w:rPr>
        <w:t>24h</w:t>
      </w:r>
      <w:r w:rsidRPr="00EC15DD">
        <w:rPr>
          <w:rFonts w:ascii="Arial" w:hAnsi="Arial" w:cs="Arial"/>
          <w:kern w:val="28"/>
          <w:lang w:val="en-US"/>
        </w:rPr>
        <w:t>).</w:t>
      </w:r>
      <w:r w:rsidRPr="003C267B">
        <w:rPr>
          <w:lang w:val="en-US"/>
        </w:rPr>
        <w:t xml:space="preserve"> </w:t>
      </w:r>
      <w:r w:rsidRPr="00EC15DD">
        <w:rPr>
          <w:rFonts w:ascii="Arial" w:hAnsi="Arial" w:cs="Arial"/>
          <w:kern w:val="28"/>
          <w:lang w:val="en-US"/>
        </w:rPr>
        <w:t xml:space="preserve">After confirming that the last dose of ATV/r and 3TC had been taken correctly and at the right time, blood and CSF were </w:t>
      </w:r>
      <w:r w:rsidRPr="002D45B3">
        <w:rPr>
          <w:rFonts w:ascii="Arial" w:hAnsi="Arial" w:cs="Arial"/>
          <w:kern w:val="28"/>
          <w:lang w:val="en-US"/>
        </w:rPr>
        <w:t xml:space="preserve">obtained at the end of the dosing interval (24 h post-dose </w:t>
      </w:r>
      <w:r w:rsidRPr="002D45B3">
        <w:rPr>
          <w:rFonts w:ascii="MS Gothi Western" w:eastAsia="MS Gothi" w:hAnsi="MS Gothi Western"/>
          <w:color w:val="000000"/>
          <w:lang w:val="en-US"/>
        </w:rPr>
        <w:t>±</w:t>
      </w:r>
      <w:r w:rsidRPr="002D45B3">
        <w:rPr>
          <w:rFonts w:ascii="Arial" w:hAnsi="Arial" w:cs="Arial"/>
          <w:kern w:val="28"/>
          <w:lang w:val="en-US"/>
        </w:rPr>
        <w:t xml:space="preserve">1 h and before the next dose). Plasma ATV and 3TC concentrations were measured at the Department of Molecular and Clinical Pharmacology, </w:t>
      </w:r>
      <w:smartTag w:uri="urn:schemas-microsoft-com:office:smarttags" w:element="PlaceType">
        <w:r w:rsidRPr="002D45B3">
          <w:rPr>
            <w:rFonts w:ascii="Arial" w:hAnsi="Arial" w:cs="Arial"/>
            <w:kern w:val="28"/>
            <w:lang w:val="en-US"/>
          </w:rPr>
          <w:t>University</w:t>
        </w:r>
      </w:smartTag>
      <w:r w:rsidRPr="002D45B3">
        <w:rPr>
          <w:rFonts w:ascii="Arial" w:hAnsi="Arial" w:cs="Arial"/>
          <w:kern w:val="28"/>
          <w:lang w:val="en-US"/>
        </w:rPr>
        <w:t xml:space="preserve"> of </w:t>
      </w:r>
      <w:smartTag w:uri="urn:schemas-microsoft-com:office:smarttags" w:element="PlaceName">
        <w:r w:rsidRPr="002D45B3">
          <w:rPr>
            <w:rFonts w:ascii="Arial" w:hAnsi="Arial" w:cs="Arial"/>
            <w:kern w:val="28"/>
            <w:lang w:val="en-US"/>
          </w:rPr>
          <w:t>Liverpool</w:t>
        </w:r>
      </w:smartTag>
      <w:r w:rsidRPr="002D45B3">
        <w:rPr>
          <w:rFonts w:ascii="Arial" w:hAnsi="Arial" w:cs="Arial"/>
          <w:kern w:val="28"/>
          <w:lang w:val="en-US"/>
        </w:rPr>
        <w:t xml:space="preserve"> (</w:t>
      </w:r>
      <w:smartTag w:uri="urn:schemas-microsoft-com:office:smarttags" w:element="City">
        <w:smartTag w:uri="urn:schemas-microsoft-com:office:smarttags" w:element="place">
          <w:r w:rsidRPr="002D45B3">
            <w:rPr>
              <w:rFonts w:ascii="Arial" w:hAnsi="Arial" w:cs="Arial"/>
              <w:kern w:val="28"/>
              <w:lang w:val="en-US"/>
            </w:rPr>
            <w:t>Liverpool</w:t>
          </w:r>
        </w:smartTag>
        <w:r w:rsidRPr="002D45B3">
          <w:rPr>
            <w:rFonts w:ascii="Arial" w:hAnsi="Arial" w:cs="Arial"/>
            <w:kern w:val="28"/>
            <w:lang w:val="en-US"/>
          </w:rPr>
          <w:t xml:space="preserve">, </w:t>
        </w:r>
        <w:smartTag w:uri="urn:schemas-microsoft-com:office:smarttags" w:element="country-region">
          <w:r w:rsidRPr="002D45B3">
            <w:rPr>
              <w:rFonts w:ascii="Arial" w:hAnsi="Arial" w:cs="Arial"/>
              <w:kern w:val="28"/>
              <w:lang w:val="en-US"/>
            </w:rPr>
            <w:t>United Kingdom</w:t>
          </w:r>
        </w:smartTag>
      </w:smartTag>
      <w:r w:rsidRPr="002D45B3">
        <w:rPr>
          <w:rFonts w:ascii="Arial" w:hAnsi="Arial" w:cs="Arial"/>
          <w:kern w:val="28"/>
          <w:lang w:val="en-US"/>
        </w:rPr>
        <w:t xml:space="preserve">), using validated liquid chromatography-tandem mass spectrometry (LC-MS/MS) methods previously described [9-10]. ATV concentrations in CSF were measured as follows. Briefly, freshly prepared standards and quality control samples (prepared in artificial CSF) and clinical samples (100 µL) were extracted via protein precipitation using acetonitrile (200ml) with the addition of a stable </w:t>
      </w:r>
      <w:r w:rsidRPr="002D45B3">
        <w:rPr>
          <w:rFonts w:ascii="Arial" w:hAnsi="Arial" w:cs="Arial"/>
          <w:kern w:val="28"/>
          <w:lang w:val="en-GB"/>
        </w:rPr>
        <w:t>isotopically labelled</w:t>
      </w:r>
      <w:r w:rsidRPr="002D45B3">
        <w:rPr>
          <w:rFonts w:ascii="Arial" w:hAnsi="Arial" w:cs="Arial"/>
          <w:kern w:val="28"/>
          <w:lang w:val="en-US"/>
        </w:rPr>
        <w:t xml:space="preserve"> (</w:t>
      </w:r>
      <w:proofErr w:type="spellStart"/>
      <w:r w:rsidRPr="002D45B3">
        <w:rPr>
          <w:rFonts w:ascii="Arial" w:hAnsi="Arial" w:cs="Arial"/>
          <w:kern w:val="28"/>
          <w:lang w:val="en-US"/>
        </w:rPr>
        <w:t>SIL</w:t>
      </w:r>
      <w:proofErr w:type="spellEnd"/>
      <w:r w:rsidRPr="002D45B3">
        <w:rPr>
          <w:rFonts w:ascii="Arial" w:hAnsi="Arial" w:cs="Arial"/>
          <w:kern w:val="28"/>
          <w:lang w:val="en-US"/>
        </w:rPr>
        <w:t xml:space="preserve">) internal standard (ATV-D5; Toronto Research Chemicals, </w:t>
      </w:r>
      <w:smartTag w:uri="urn:schemas-microsoft-com:office:smarttags" w:element="country-region">
        <w:smartTag w:uri="urn:schemas-microsoft-com:office:smarttags" w:element="place">
          <w:r w:rsidRPr="002D45B3">
            <w:rPr>
              <w:rFonts w:ascii="Arial" w:hAnsi="Arial" w:cs="Arial"/>
              <w:kern w:val="28"/>
              <w:lang w:val="en-US"/>
            </w:rPr>
            <w:t>Canada</w:t>
          </w:r>
        </w:smartTag>
      </w:smartTag>
      <w:r w:rsidRPr="002D45B3">
        <w:rPr>
          <w:rFonts w:ascii="Arial" w:hAnsi="Arial" w:cs="Arial"/>
          <w:kern w:val="28"/>
          <w:lang w:val="en-US"/>
        </w:rPr>
        <w:t xml:space="preserve">).  ATV and </w:t>
      </w:r>
      <w:proofErr w:type="spellStart"/>
      <w:r w:rsidRPr="002D45B3">
        <w:rPr>
          <w:rFonts w:ascii="Arial" w:hAnsi="Arial" w:cs="Arial"/>
          <w:kern w:val="28"/>
          <w:lang w:val="en-US"/>
        </w:rPr>
        <w:t>SIL</w:t>
      </w:r>
      <w:proofErr w:type="spellEnd"/>
      <w:r w:rsidRPr="002D45B3">
        <w:rPr>
          <w:rFonts w:ascii="Arial" w:hAnsi="Arial" w:cs="Arial"/>
          <w:kern w:val="28"/>
          <w:lang w:val="en-US"/>
        </w:rPr>
        <w:t xml:space="preserve"> internal standard were resolved on a reverse-phase Fortis C18 column (3mm: </w:t>
      </w:r>
      <w:smartTag w:uri="urn:schemas-microsoft-com:office:smarttags" w:element="metricconverter">
        <w:smartTagPr>
          <w:attr w:name="ProductID" w:val="100 mm"/>
        </w:smartTagPr>
        <w:r w:rsidRPr="002D45B3">
          <w:rPr>
            <w:rFonts w:ascii="Arial" w:hAnsi="Arial" w:cs="Arial"/>
            <w:kern w:val="28"/>
            <w:lang w:val="en-US"/>
          </w:rPr>
          <w:t>100 mm</w:t>
        </w:r>
      </w:smartTag>
      <w:r w:rsidRPr="002D45B3">
        <w:rPr>
          <w:rFonts w:ascii="Arial" w:hAnsi="Arial" w:cs="Arial"/>
          <w:kern w:val="28"/>
          <w:lang w:val="en-US"/>
        </w:rPr>
        <w:t xml:space="preserve"> </w:t>
      </w:r>
      <w:smartTag w:uri="urn:schemas-microsoft-com:office:smarttags" w:element="metricconverter">
        <w:smartTagPr>
          <w:attr w:name="ProductID" w:val="2.1 mm"/>
        </w:smartTagPr>
        <w:r w:rsidRPr="002D45B3">
          <w:rPr>
            <w:rFonts w:ascii="Arial" w:hAnsi="Arial" w:cs="Arial"/>
            <w:kern w:val="28"/>
            <w:lang w:val="en-US"/>
          </w:rPr>
          <w:t>2.1 mm</w:t>
        </w:r>
      </w:smartTag>
      <w:r w:rsidRPr="002D45B3">
        <w:rPr>
          <w:rFonts w:ascii="Arial" w:hAnsi="Arial" w:cs="Arial"/>
          <w:kern w:val="28"/>
          <w:lang w:val="en-US"/>
        </w:rPr>
        <w:t xml:space="preserve">) using a step-wise gradient of 0.1% Formic Acid (aqueous) and Acetonitrile (organic). Quantification was performed using a Thermo Vantage Triple Quadrupole mass spectrometer using selective reaction monitoring in positive </w:t>
      </w:r>
      <w:r w:rsidRPr="002D45B3">
        <w:rPr>
          <w:rFonts w:ascii="Arial" w:hAnsi="Arial" w:cs="Arial"/>
          <w:kern w:val="28"/>
          <w:lang w:val="en-GB"/>
        </w:rPr>
        <w:t>ionisation</w:t>
      </w:r>
      <w:r w:rsidRPr="002D45B3">
        <w:rPr>
          <w:rFonts w:ascii="Arial" w:hAnsi="Arial" w:cs="Arial"/>
          <w:kern w:val="28"/>
          <w:lang w:val="en-US"/>
        </w:rPr>
        <w:t xml:space="preserve"> mode. The lower and upper limits of quantification were 1.96 and 250 ng/mL respectively. 3TC concentrations in CSF were </w:t>
      </w:r>
      <w:r w:rsidRPr="002D45B3">
        <w:rPr>
          <w:rFonts w:ascii="Arial" w:hAnsi="Arial" w:cs="Arial"/>
          <w:kern w:val="28"/>
          <w:lang w:val="en-GB"/>
        </w:rPr>
        <w:t>analysed</w:t>
      </w:r>
      <w:r w:rsidRPr="002D45B3">
        <w:rPr>
          <w:rFonts w:ascii="Arial" w:hAnsi="Arial" w:cs="Arial"/>
          <w:kern w:val="28"/>
          <w:lang w:val="en-US"/>
        </w:rPr>
        <w:t xml:space="preserve"> off an 11-point calibration curve made using artificial CSF and validated for the </w:t>
      </w:r>
      <w:r w:rsidRPr="002D45B3">
        <w:rPr>
          <w:rFonts w:ascii="Arial" w:hAnsi="Arial" w:cs="Arial"/>
          <w:kern w:val="28"/>
          <w:lang w:val="en-US"/>
        </w:rPr>
        <w:lastRenderedPageBreak/>
        <w:t xml:space="preserve">range 0.28-100 ng/mL. Extraction was by protein precipitation, using </w:t>
      </w:r>
      <w:r w:rsidRPr="002D45B3">
        <w:rPr>
          <w:rFonts w:ascii="Arial" w:hAnsi="Arial" w:cs="Arial"/>
          <w:kern w:val="28"/>
          <w:vertAlign w:val="superscript"/>
          <w:lang w:val="en-US"/>
        </w:rPr>
        <w:t>15</w:t>
      </w:r>
      <w:r w:rsidRPr="002D45B3">
        <w:rPr>
          <w:rFonts w:ascii="Arial" w:hAnsi="Arial" w:cs="Arial"/>
          <w:kern w:val="28"/>
          <w:lang w:val="en-US"/>
        </w:rPr>
        <w:t>N</w:t>
      </w:r>
      <w:r w:rsidRPr="002D45B3">
        <w:rPr>
          <w:rFonts w:ascii="Arial" w:hAnsi="Arial" w:cs="Arial"/>
          <w:kern w:val="28"/>
          <w:vertAlign w:val="subscript"/>
          <w:lang w:val="en-US"/>
        </w:rPr>
        <w:t>2</w:t>
      </w:r>
      <w:r w:rsidRPr="002D45B3">
        <w:rPr>
          <w:rFonts w:ascii="Arial" w:hAnsi="Arial" w:cs="Arial"/>
          <w:kern w:val="28"/>
          <w:lang w:val="en-US"/>
        </w:rPr>
        <w:t xml:space="preserve">, </w:t>
      </w:r>
      <w:r w:rsidRPr="002D45B3">
        <w:rPr>
          <w:rFonts w:ascii="Arial" w:hAnsi="Arial" w:cs="Arial"/>
          <w:kern w:val="28"/>
          <w:vertAlign w:val="superscript"/>
          <w:lang w:val="en-US"/>
        </w:rPr>
        <w:t>13</w:t>
      </w:r>
      <w:r w:rsidRPr="002D45B3">
        <w:rPr>
          <w:rFonts w:ascii="Arial" w:hAnsi="Arial" w:cs="Arial"/>
          <w:kern w:val="28"/>
          <w:lang w:val="en-US"/>
        </w:rPr>
        <w:t xml:space="preserve">C-Lamivudine (Toronto Research Chemicals, </w:t>
      </w:r>
      <w:smartTag w:uri="urn:schemas-microsoft-com:office:smarttags" w:element="country-region">
        <w:smartTag w:uri="urn:schemas-microsoft-com:office:smarttags" w:element="place">
          <w:r w:rsidRPr="002D45B3">
            <w:rPr>
              <w:rFonts w:ascii="Arial" w:hAnsi="Arial" w:cs="Arial"/>
              <w:kern w:val="28"/>
              <w:lang w:val="en-US"/>
            </w:rPr>
            <w:t>Canada</w:t>
          </w:r>
        </w:smartTag>
      </w:smartTag>
      <w:r w:rsidRPr="002D45B3">
        <w:rPr>
          <w:rFonts w:ascii="Arial" w:hAnsi="Arial" w:cs="Arial"/>
          <w:kern w:val="28"/>
          <w:lang w:val="en-US"/>
        </w:rPr>
        <w:t xml:space="preserve">) as internal standard. An aliquot of the supernatant was evaporated to dryness in a nitrogen stream and reconstituted in </w:t>
      </w:r>
      <w:proofErr w:type="spellStart"/>
      <w:r w:rsidRPr="002D45B3">
        <w:rPr>
          <w:rFonts w:ascii="Arial" w:hAnsi="Arial" w:cs="Arial"/>
          <w:kern w:val="28"/>
          <w:lang w:val="en-US"/>
        </w:rPr>
        <w:t>water:ACN</w:t>
      </w:r>
      <w:proofErr w:type="spellEnd"/>
      <w:r w:rsidRPr="002D45B3">
        <w:rPr>
          <w:rFonts w:ascii="Arial" w:hAnsi="Arial" w:cs="Arial"/>
          <w:kern w:val="28"/>
          <w:lang w:val="en-US"/>
        </w:rPr>
        <w:t xml:space="preserve"> mixture (99:1). This was then </w:t>
      </w:r>
      <w:r w:rsidRPr="002D45B3">
        <w:rPr>
          <w:rFonts w:ascii="Arial" w:hAnsi="Arial" w:cs="Arial"/>
          <w:kern w:val="28"/>
          <w:lang w:val="en-GB"/>
        </w:rPr>
        <w:t>analysed</w:t>
      </w:r>
      <w:r w:rsidRPr="002D45B3">
        <w:rPr>
          <w:rFonts w:ascii="Arial" w:hAnsi="Arial" w:cs="Arial"/>
          <w:kern w:val="28"/>
          <w:lang w:val="en-US"/>
        </w:rPr>
        <w:t xml:space="preserve"> on a Thermo Vantage Triple Quadrupole mass spectrometer in positive </w:t>
      </w:r>
      <w:r w:rsidRPr="002D45B3">
        <w:rPr>
          <w:rFonts w:ascii="Arial" w:hAnsi="Arial" w:cs="Arial"/>
          <w:kern w:val="28"/>
          <w:lang w:val="en-GB"/>
        </w:rPr>
        <w:t xml:space="preserve">ionisation </w:t>
      </w:r>
      <w:r w:rsidRPr="002D45B3">
        <w:rPr>
          <w:rFonts w:ascii="Arial" w:hAnsi="Arial" w:cs="Arial"/>
          <w:kern w:val="28"/>
          <w:lang w:val="en-US"/>
        </w:rPr>
        <w:t>mode.</w:t>
      </w:r>
    </w:p>
    <w:p w:rsidR="00C30315" w:rsidRPr="00EC15DD" w:rsidRDefault="00C30315" w:rsidP="0020126E">
      <w:pPr>
        <w:pStyle w:val="p"/>
        <w:spacing w:line="480" w:lineRule="auto"/>
        <w:jc w:val="both"/>
        <w:rPr>
          <w:rFonts w:ascii="Arial" w:hAnsi="Arial" w:cs="Arial"/>
          <w:b/>
          <w:bCs/>
        </w:rPr>
      </w:pPr>
      <w:r w:rsidRPr="00EC15DD">
        <w:rPr>
          <w:rFonts w:ascii="Arial" w:hAnsi="Arial" w:cs="Arial"/>
          <w:b/>
          <w:bCs/>
        </w:rPr>
        <w:t>Statistical Methods</w:t>
      </w:r>
    </w:p>
    <w:p w:rsidR="00C30315" w:rsidRPr="00EC15DD" w:rsidRDefault="00C30315" w:rsidP="0020126E">
      <w:pPr>
        <w:spacing w:line="480" w:lineRule="auto"/>
        <w:jc w:val="both"/>
        <w:rPr>
          <w:rFonts w:ascii="Arial" w:hAnsi="Arial" w:cs="Arial"/>
          <w:lang w:val="en-US"/>
        </w:rPr>
      </w:pPr>
      <w:r w:rsidRPr="00EC15DD">
        <w:rPr>
          <w:rFonts w:ascii="Arial" w:hAnsi="Arial" w:cs="Arial"/>
          <w:lang w:val="en-US"/>
        </w:rPr>
        <w:tab/>
        <w:t>Quantitative variables are reported as the mean and standard deviation (SD) and median and range. Qualitative variables are expressed as the number and percentage. The Spearman test was used to determine associations between variables, and the coefficient of variation was used to assess within-group variability. SPSS software for Windows, version 18.0 (SPSS, Chicago, IL) was used for the statistical analyses.</w:t>
      </w:r>
      <w:r w:rsidRPr="00EC15DD">
        <w:rPr>
          <w:rFonts w:ascii="Arial" w:hAnsi="Arial" w:cs="Arial"/>
          <w:lang w:val="en-US"/>
        </w:rPr>
        <w:tab/>
      </w:r>
    </w:p>
    <w:p w:rsidR="00C30315" w:rsidRPr="00EC15DD" w:rsidRDefault="00C30315">
      <w:pPr>
        <w:spacing w:line="480" w:lineRule="auto"/>
        <w:jc w:val="both"/>
        <w:rPr>
          <w:rFonts w:ascii="Arial" w:hAnsi="Arial" w:cs="Arial"/>
          <w:b/>
          <w:bCs/>
          <w:lang w:val="en-US"/>
        </w:rPr>
      </w:pPr>
    </w:p>
    <w:p w:rsidR="00C30315" w:rsidRPr="00EC15DD" w:rsidRDefault="00C30315">
      <w:pPr>
        <w:spacing w:line="480" w:lineRule="auto"/>
        <w:jc w:val="both"/>
        <w:rPr>
          <w:rFonts w:ascii="Arial" w:hAnsi="Arial" w:cs="Arial"/>
          <w:b/>
          <w:bCs/>
          <w:lang w:val="en-US"/>
        </w:rPr>
      </w:pPr>
      <w:r w:rsidRPr="00EC15DD">
        <w:rPr>
          <w:rFonts w:ascii="Arial" w:hAnsi="Arial" w:cs="Arial"/>
          <w:b/>
          <w:bCs/>
          <w:lang w:val="en-US"/>
        </w:rPr>
        <w:t xml:space="preserve">RESULTS </w:t>
      </w:r>
    </w:p>
    <w:p w:rsidR="00C30315" w:rsidRPr="00EC15DD" w:rsidRDefault="00C30315" w:rsidP="00830178">
      <w:pPr>
        <w:spacing w:line="480" w:lineRule="auto"/>
        <w:jc w:val="both"/>
        <w:rPr>
          <w:rFonts w:ascii="Arial" w:hAnsi="Arial" w:cs="Arial"/>
          <w:kern w:val="28"/>
          <w:lang w:val="en-US"/>
        </w:rPr>
      </w:pPr>
      <w:r w:rsidRPr="00EC15DD">
        <w:rPr>
          <w:rFonts w:ascii="Arial" w:hAnsi="Arial" w:cs="Arial"/>
          <w:lang w:val="en-US"/>
        </w:rPr>
        <w:tab/>
        <w:t xml:space="preserve">Ten patients were included in the study (4 men, 6 women). </w:t>
      </w:r>
      <w:r w:rsidRPr="00EC15DD">
        <w:rPr>
          <w:rFonts w:ascii="Arial" w:hAnsi="Arial" w:cs="Arial"/>
          <w:kern w:val="28"/>
          <w:lang w:val="en-US"/>
        </w:rPr>
        <w:t>Median (range) age was 42.5 (33-70) years; time on ART, 39.5 (11-197) months; time with plasma HIV-1 RNA &lt;40 c/mL, 15.5 (6-46) months; nadir CD4 count, 289 (79-580) cells/</w:t>
      </w:r>
      <w:proofErr w:type="spellStart"/>
      <w:r w:rsidRPr="00EC15DD">
        <w:rPr>
          <w:rFonts w:ascii="Arial" w:hAnsi="Arial" w:cs="Arial"/>
          <w:kern w:val="28"/>
          <w:lang w:val="en-US"/>
        </w:rPr>
        <w:t>μL</w:t>
      </w:r>
      <w:proofErr w:type="spellEnd"/>
      <w:r w:rsidRPr="00EC15DD">
        <w:rPr>
          <w:rFonts w:ascii="Arial" w:hAnsi="Arial" w:cs="Arial"/>
          <w:kern w:val="28"/>
          <w:lang w:val="en-US"/>
        </w:rPr>
        <w:t>; and current CD4 count, 740 (357-1380) cells/</w:t>
      </w:r>
      <w:proofErr w:type="spellStart"/>
      <w:r w:rsidRPr="00EC15DD">
        <w:rPr>
          <w:rFonts w:ascii="Arial" w:hAnsi="Arial" w:cs="Arial"/>
          <w:kern w:val="28"/>
          <w:lang w:val="en-US"/>
        </w:rPr>
        <w:t>μL</w:t>
      </w:r>
      <w:proofErr w:type="spellEnd"/>
      <w:r w:rsidRPr="00EC15DD">
        <w:rPr>
          <w:rFonts w:ascii="Arial" w:hAnsi="Arial" w:cs="Arial"/>
          <w:kern w:val="28"/>
          <w:lang w:val="en-US"/>
        </w:rPr>
        <w:t xml:space="preserve">. </w:t>
      </w:r>
    </w:p>
    <w:p w:rsidR="00C30315" w:rsidRPr="00EC15DD" w:rsidRDefault="00C30315" w:rsidP="00830178">
      <w:pPr>
        <w:spacing w:line="480" w:lineRule="auto"/>
        <w:ind w:firstLine="720"/>
        <w:jc w:val="both"/>
        <w:rPr>
          <w:rFonts w:ascii="Arial" w:hAnsi="Arial" w:cs="Arial"/>
          <w:kern w:val="28"/>
          <w:lang w:val="en-US"/>
        </w:rPr>
      </w:pPr>
      <w:r w:rsidRPr="00EC15DD">
        <w:rPr>
          <w:rFonts w:ascii="Arial" w:hAnsi="Arial" w:cs="Arial"/>
          <w:kern w:val="28"/>
          <w:lang w:val="en-US"/>
        </w:rPr>
        <w:t xml:space="preserve">At baseline, CSF HIV-1 RNA was &lt;40 c/mL in all patients. Twelve weeks after switching to ATV/r + 3TC, HIV-1 RNA </w:t>
      </w:r>
      <w:r>
        <w:rPr>
          <w:rFonts w:ascii="Arial" w:hAnsi="Arial" w:cs="Arial"/>
          <w:kern w:val="28"/>
          <w:lang w:val="en-US"/>
        </w:rPr>
        <w:t>remained</w:t>
      </w:r>
      <w:r w:rsidRPr="00EC15DD">
        <w:rPr>
          <w:rFonts w:ascii="Arial" w:hAnsi="Arial" w:cs="Arial"/>
          <w:kern w:val="28"/>
          <w:lang w:val="en-US"/>
        </w:rPr>
        <w:t xml:space="preserve"> at &lt;40 c/mL in both plasma and CSF in 9 of the 10 participants. One patient had HIV-1 RNA rebound in both plasma (2658 copies/mL) and CSF (1233 copies/mL) at </w:t>
      </w:r>
      <w:r w:rsidRPr="00A336FF">
        <w:rPr>
          <w:rFonts w:ascii="Arial" w:hAnsi="Arial" w:cs="Arial"/>
          <w:kern w:val="28"/>
          <w:lang w:val="en-US"/>
        </w:rPr>
        <w:t>week 12 (Table 2).</w:t>
      </w:r>
      <w:r w:rsidRPr="00EC15DD">
        <w:rPr>
          <w:rFonts w:ascii="Arial" w:hAnsi="Arial" w:cs="Arial"/>
          <w:kern w:val="28"/>
          <w:lang w:val="en-US"/>
        </w:rPr>
        <w:t xml:space="preserve"> The </w:t>
      </w:r>
      <w:r w:rsidRPr="00EC15DD">
        <w:rPr>
          <w:rFonts w:ascii="Arial" w:hAnsi="Arial" w:cs="Arial"/>
          <w:kern w:val="28"/>
          <w:lang w:val="en-US"/>
        </w:rPr>
        <w:lastRenderedPageBreak/>
        <w:t>patient was asymptomatic and confirmed</w:t>
      </w:r>
      <w:r>
        <w:rPr>
          <w:rFonts w:ascii="Arial" w:hAnsi="Arial" w:cs="Arial"/>
          <w:kern w:val="28"/>
          <w:lang w:val="en-US"/>
        </w:rPr>
        <w:t xml:space="preserve"> </w:t>
      </w:r>
      <w:r w:rsidRPr="00A336FF">
        <w:rPr>
          <w:rFonts w:ascii="Arial" w:hAnsi="Arial" w:cs="Arial"/>
          <w:kern w:val="28"/>
          <w:lang w:val="en-US"/>
        </w:rPr>
        <w:t>referred</w:t>
      </w:r>
      <w:r w:rsidRPr="00EC15DD">
        <w:rPr>
          <w:rFonts w:ascii="Arial" w:hAnsi="Arial" w:cs="Arial"/>
          <w:kern w:val="28"/>
          <w:lang w:val="en-US"/>
        </w:rPr>
        <w:t xml:space="preserve"> suboptimal adherence to ART during some weeks before week 12. </w:t>
      </w:r>
      <w:proofErr w:type="spellStart"/>
      <w:r w:rsidRPr="00EC15DD">
        <w:rPr>
          <w:rFonts w:ascii="Arial" w:hAnsi="Arial" w:cs="Arial"/>
          <w:kern w:val="28"/>
          <w:lang w:val="en-US"/>
        </w:rPr>
        <w:t>Virologic</w:t>
      </w:r>
      <w:proofErr w:type="spellEnd"/>
      <w:r w:rsidRPr="00EC15DD">
        <w:rPr>
          <w:rFonts w:ascii="Arial" w:hAnsi="Arial" w:cs="Arial"/>
          <w:kern w:val="28"/>
          <w:lang w:val="en-US"/>
        </w:rPr>
        <w:t xml:space="preserve"> failure was confirmed 2 weeks later (plasma HIV-1 RNA 341 copies/mL) and ART was changed empirically to </w:t>
      </w:r>
      <w:proofErr w:type="spellStart"/>
      <w:r w:rsidRPr="00EC15DD">
        <w:rPr>
          <w:rFonts w:ascii="Arial" w:hAnsi="Arial" w:cs="Arial"/>
          <w:kern w:val="28"/>
          <w:lang w:val="en-US"/>
        </w:rPr>
        <w:t>abacavir</w:t>
      </w:r>
      <w:proofErr w:type="spellEnd"/>
      <w:r w:rsidRPr="00EC15DD">
        <w:rPr>
          <w:rFonts w:ascii="Arial" w:hAnsi="Arial" w:cs="Arial"/>
          <w:kern w:val="28"/>
          <w:lang w:val="en-US"/>
        </w:rPr>
        <w:t xml:space="preserve"> (ABC), 3TC, dolutegravir (DTG), and DRV/r. Plasma viral re-suppression was achieved within one month. Genotypic resistance testing at failure showed no selection of resistance-associated mutations, and the ART regimen was simplified to ABC/3TC/DTG. </w:t>
      </w:r>
    </w:p>
    <w:p w:rsidR="00C30315" w:rsidRDefault="00C30315" w:rsidP="005A7E99">
      <w:pPr>
        <w:spacing w:line="480" w:lineRule="auto"/>
        <w:ind w:firstLine="720"/>
        <w:jc w:val="both"/>
        <w:rPr>
          <w:rFonts w:ascii="Arial" w:hAnsi="Arial" w:cs="Arial"/>
          <w:kern w:val="28"/>
          <w:lang w:val="en-US"/>
        </w:rPr>
      </w:pPr>
      <w:r w:rsidRPr="00EC15DD">
        <w:rPr>
          <w:rFonts w:ascii="Arial" w:hAnsi="Arial" w:cs="Arial"/>
          <w:kern w:val="28"/>
          <w:lang w:val="en-US"/>
        </w:rPr>
        <w:t>The median CSF-to-plasma concentration ratios of ATV and 3TC were 0.013 and 0.417, respectively. Median ATV C</w:t>
      </w:r>
      <w:r w:rsidRPr="009B0171">
        <w:rPr>
          <w:rFonts w:ascii="Arial" w:hAnsi="Arial" w:cs="Arial"/>
          <w:kern w:val="28"/>
          <w:vertAlign w:val="subscript"/>
          <w:lang w:val="en-US"/>
        </w:rPr>
        <w:t>24h</w:t>
      </w:r>
      <w:r w:rsidRPr="00EC15DD">
        <w:rPr>
          <w:rFonts w:ascii="Arial" w:hAnsi="Arial" w:cs="Arial"/>
          <w:kern w:val="28"/>
          <w:lang w:val="en-US"/>
        </w:rPr>
        <w:t xml:space="preserve"> in CSF was 10.4 (3.7-33.5) ng/mL (in vitro ATV IC</w:t>
      </w:r>
      <w:r w:rsidRPr="00EC15DD">
        <w:rPr>
          <w:rFonts w:ascii="Arial" w:hAnsi="Arial" w:cs="Arial"/>
          <w:kern w:val="28"/>
          <w:vertAlign w:val="subscript"/>
          <w:lang w:val="en-US"/>
        </w:rPr>
        <w:t>50</w:t>
      </w:r>
      <w:r w:rsidRPr="00EC15DD">
        <w:rPr>
          <w:rFonts w:ascii="Arial" w:hAnsi="Arial" w:cs="Arial"/>
          <w:kern w:val="28"/>
          <w:lang w:val="en-US"/>
        </w:rPr>
        <w:t xml:space="preserve"> range for wild type HIV-1, 1-11 ng/mL </w:t>
      </w:r>
      <w:r w:rsidRPr="00EC15DD">
        <w:rPr>
          <w:rFonts w:ascii="Arial" w:hAnsi="Arial" w:cs="Arial"/>
          <w:lang w:val="en-US"/>
        </w:rPr>
        <w:t>[8]</w:t>
      </w:r>
      <w:r w:rsidRPr="00EC15DD">
        <w:rPr>
          <w:rFonts w:ascii="Arial" w:hAnsi="Arial" w:cs="Arial"/>
          <w:kern w:val="28"/>
          <w:lang w:val="en-US"/>
        </w:rPr>
        <w:t>). Median 3TC C24h in CSF was 43.4 (16.2-99.3) ng/mL (in vitro 3TC IC</w:t>
      </w:r>
      <w:r w:rsidRPr="00EC15DD">
        <w:rPr>
          <w:rFonts w:ascii="Arial" w:hAnsi="Arial" w:cs="Arial"/>
          <w:kern w:val="28"/>
          <w:vertAlign w:val="subscript"/>
          <w:lang w:val="en-US"/>
        </w:rPr>
        <w:t>50</w:t>
      </w:r>
      <w:r w:rsidRPr="00EC15DD">
        <w:rPr>
          <w:rFonts w:ascii="Arial" w:hAnsi="Arial" w:cs="Arial"/>
          <w:kern w:val="28"/>
          <w:lang w:val="en-US"/>
        </w:rPr>
        <w:t xml:space="preserve"> range for wild type HIV-1, 0.68-20.6 ng/mL </w:t>
      </w:r>
      <w:r w:rsidRPr="00EC15DD">
        <w:rPr>
          <w:rFonts w:ascii="Arial" w:hAnsi="Arial" w:cs="Arial"/>
          <w:lang w:val="en-US"/>
        </w:rPr>
        <w:t>[</w:t>
      </w:r>
      <w:r>
        <w:rPr>
          <w:rFonts w:ascii="Arial" w:hAnsi="Arial" w:cs="Arial"/>
          <w:lang w:val="en-US"/>
        </w:rPr>
        <w:t>11</w:t>
      </w:r>
      <w:r w:rsidRPr="00EC15DD">
        <w:rPr>
          <w:rFonts w:ascii="Arial" w:hAnsi="Arial" w:cs="Arial"/>
          <w:lang w:val="en-US"/>
        </w:rPr>
        <w:t>]</w:t>
      </w:r>
      <w:r w:rsidRPr="00EC15DD">
        <w:rPr>
          <w:rFonts w:ascii="Arial" w:hAnsi="Arial" w:cs="Arial"/>
          <w:kern w:val="28"/>
          <w:lang w:val="en-US"/>
        </w:rPr>
        <w:t>) (</w:t>
      </w:r>
      <w:r w:rsidRPr="00EC15DD">
        <w:rPr>
          <w:rFonts w:ascii="Arial" w:hAnsi="Arial" w:cs="Arial"/>
          <w:b/>
          <w:kern w:val="28"/>
          <w:lang w:val="en-US"/>
        </w:rPr>
        <w:t>Table 1 and Figure 1</w:t>
      </w:r>
      <w:r>
        <w:rPr>
          <w:rFonts w:ascii="Arial" w:hAnsi="Arial" w:cs="Arial"/>
          <w:kern w:val="28"/>
          <w:lang w:val="en-US"/>
        </w:rPr>
        <w:t xml:space="preserve">). </w:t>
      </w:r>
      <w:r w:rsidRPr="00EC15DD">
        <w:rPr>
          <w:rFonts w:ascii="Arial" w:hAnsi="Arial" w:cs="Arial"/>
          <w:kern w:val="28"/>
          <w:lang w:val="en-US"/>
        </w:rPr>
        <w:t>The</w:t>
      </w:r>
      <w:r>
        <w:rPr>
          <w:rFonts w:ascii="Arial" w:hAnsi="Arial" w:cs="Arial"/>
          <w:kern w:val="28"/>
          <w:lang w:val="en-US"/>
        </w:rPr>
        <w:t xml:space="preserve"> </w:t>
      </w:r>
      <w:proofErr w:type="spellStart"/>
      <w:r w:rsidRPr="00EC15DD">
        <w:rPr>
          <w:rFonts w:ascii="Arial" w:hAnsi="Arial" w:cs="Arial"/>
          <w:kern w:val="28"/>
          <w:lang w:val="en-US"/>
        </w:rPr>
        <w:t>interindividual</w:t>
      </w:r>
      <w:proofErr w:type="spellEnd"/>
      <w:r w:rsidRPr="00EC15DD">
        <w:rPr>
          <w:rFonts w:ascii="Arial" w:hAnsi="Arial" w:cs="Arial"/>
          <w:kern w:val="28"/>
          <w:lang w:val="en-US"/>
        </w:rPr>
        <w:t xml:space="preserve"> variability of CSF ATV concentrations was higher than that of 3TC concentrations (coefficient of variation 76% and 56%, respectively) (</w:t>
      </w:r>
      <w:r w:rsidRPr="00EC15DD">
        <w:rPr>
          <w:rFonts w:ascii="Arial" w:hAnsi="Arial" w:cs="Arial"/>
          <w:b/>
          <w:kern w:val="28"/>
          <w:lang w:val="en-US"/>
        </w:rPr>
        <w:t>Table 1</w:t>
      </w:r>
      <w:r w:rsidRPr="00EC15DD">
        <w:rPr>
          <w:rFonts w:ascii="Arial" w:hAnsi="Arial" w:cs="Arial"/>
          <w:kern w:val="28"/>
          <w:lang w:val="en-US"/>
        </w:rPr>
        <w:t xml:space="preserve">).  </w:t>
      </w:r>
    </w:p>
    <w:p w:rsidR="00C30315" w:rsidRPr="005A7E99" w:rsidRDefault="00C30315" w:rsidP="005A7E99">
      <w:pPr>
        <w:spacing w:line="480" w:lineRule="auto"/>
        <w:ind w:firstLine="720"/>
        <w:jc w:val="both"/>
        <w:rPr>
          <w:rFonts w:ascii="Arial" w:hAnsi="Arial" w:cs="Arial"/>
          <w:kern w:val="28"/>
          <w:lang w:val="en-US"/>
        </w:rPr>
      </w:pPr>
      <w:r w:rsidRPr="00E74FD8">
        <w:rPr>
          <w:rFonts w:ascii="Arial" w:hAnsi="Arial" w:cs="Arial"/>
          <w:kern w:val="28"/>
          <w:lang w:val="en-US"/>
        </w:rPr>
        <w:t>CSF ATV concentrations were significantly lower in female individuals compared to male individuals (median C</w:t>
      </w:r>
      <w:r w:rsidRPr="00E74FD8">
        <w:rPr>
          <w:rFonts w:ascii="Arial" w:hAnsi="Arial" w:cs="Arial"/>
          <w:kern w:val="28"/>
          <w:vertAlign w:val="subscript"/>
          <w:lang w:val="en-US"/>
        </w:rPr>
        <w:t>24</w:t>
      </w:r>
      <w:r w:rsidRPr="00E74FD8">
        <w:rPr>
          <w:rFonts w:ascii="Arial" w:hAnsi="Arial" w:cs="Arial"/>
          <w:kern w:val="28"/>
          <w:lang w:val="en-US"/>
        </w:rPr>
        <w:t xml:space="preserve"> 5.33 ng/mL, range 3.71-17.07 ng/mL vs 25.82 ng/mL, range 10.96-33.94 ng/mL, in women and men respectively; p=0.019). In this regard, it is worthy of note that only 1 of the 6 female participants had CSF ATV concentrations above IC</w:t>
      </w:r>
      <w:r w:rsidRPr="00E74FD8">
        <w:rPr>
          <w:rFonts w:ascii="Arial" w:hAnsi="Arial" w:cs="Arial"/>
          <w:kern w:val="28"/>
          <w:vertAlign w:val="subscript"/>
          <w:lang w:val="en-US"/>
        </w:rPr>
        <w:t>50</w:t>
      </w:r>
      <w:r w:rsidRPr="00E74FD8">
        <w:rPr>
          <w:rFonts w:ascii="Arial" w:hAnsi="Arial" w:cs="Arial"/>
          <w:kern w:val="28"/>
          <w:lang w:val="en-US"/>
        </w:rPr>
        <w:t xml:space="preserve"> range. BP ATV concentrations were also lower in women compared to men, although this difference did not reach statistical significance (median C</w:t>
      </w:r>
      <w:r w:rsidRPr="00E74FD8">
        <w:rPr>
          <w:rFonts w:ascii="Arial" w:hAnsi="Arial" w:cs="Arial"/>
          <w:kern w:val="28"/>
          <w:vertAlign w:val="subscript"/>
          <w:lang w:val="en-US"/>
        </w:rPr>
        <w:t>24</w:t>
      </w:r>
      <w:r w:rsidRPr="00E74FD8">
        <w:rPr>
          <w:rFonts w:ascii="Arial" w:hAnsi="Arial" w:cs="Arial"/>
          <w:kern w:val="28"/>
          <w:lang w:val="en-US"/>
        </w:rPr>
        <w:t xml:space="preserve"> 621.78 ng/mL, range 296.45-1247.37ng/mL vs 1354.60 ng/mL, range 867.33-1850.02ng/mL, in women and men respectively; p=0.114). No gender-related differences were found in 3TC concentrations in either CSF or </w:t>
      </w:r>
      <w:r w:rsidRPr="00E74FD8">
        <w:rPr>
          <w:rFonts w:ascii="Arial" w:hAnsi="Arial" w:cs="Arial"/>
          <w:kern w:val="28"/>
          <w:lang w:val="en-US"/>
        </w:rPr>
        <w:lastRenderedPageBreak/>
        <w:t>BP.</w:t>
      </w:r>
    </w:p>
    <w:p w:rsidR="00C30315" w:rsidRPr="00EC15DD" w:rsidRDefault="00C30315" w:rsidP="00830178">
      <w:pPr>
        <w:spacing w:line="480" w:lineRule="auto"/>
        <w:jc w:val="both"/>
        <w:rPr>
          <w:rFonts w:ascii="Arial" w:hAnsi="Arial" w:cs="Arial"/>
          <w:lang w:val="en-US"/>
        </w:rPr>
      </w:pPr>
    </w:p>
    <w:p w:rsidR="00C30315" w:rsidRPr="00EC15DD" w:rsidRDefault="00C30315">
      <w:pPr>
        <w:spacing w:line="480" w:lineRule="auto"/>
        <w:jc w:val="both"/>
        <w:rPr>
          <w:rFonts w:ascii="Arial" w:hAnsi="Arial" w:cs="Arial"/>
          <w:b/>
          <w:bCs/>
          <w:lang w:val="en-US"/>
        </w:rPr>
      </w:pPr>
      <w:r w:rsidRPr="00EC15DD">
        <w:rPr>
          <w:rFonts w:ascii="Arial" w:hAnsi="Arial" w:cs="Arial"/>
          <w:b/>
          <w:bCs/>
          <w:lang w:val="en-US"/>
        </w:rPr>
        <w:t>DISCUSSION</w:t>
      </w:r>
    </w:p>
    <w:p w:rsidR="00C30315" w:rsidRPr="002F0DE9" w:rsidRDefault="00C30315" w:rsidP="00C4333A">
      <w:pPr>
        <w:spacing w:line="480" w:lineRule="auto"/>
        <w:ind w:firstLine="720"/>
        <w:jc w:val="both"/>
        <w:rPr>
          <w:rFonts w:ascii="Arial" w:hAnsi="Arial" w:cs="Arial"/>
          <w:color w:val="000000"/>
          <w:lang w:val="en-GB"/>
        </w:rPr>
      </w:pPr>
      <w:r w:rsidRPr="002F0DE9">
        <w:rPr>
          <w:rFonts w:ascii="Arial" w:hAnsi="Arial" w:cs="Arial"/>
          <w:color w:val="000000"/>
          <w:lang w:val="en-US"/>
        </w:rPr>
        <w:t xml:space="preserve">The activity of ARV drugs in the central nervous system (CNS) may be limited by the natural barriers to drug penetration. The ability of drugs to penetrate into the CNS depends on many variables including the molecule size, </w:t>
      </w:r>
      <w:proofErr w:type="spellStart"/>
      <w:r w:rsidRPr="002F0DE9">
        <w:rPr>
          <w:rFonts w:ascii="Arial" w:hAnsi="Arial" w:cs="Arial"/>
          <w:color w:val="000000"/>
          <w:lang w:val="en-US"/>
        </w:rPr>
        <w:t>lipophilicity</w:t>
      </w:r>
      <w:proofErr w:type="spellEnd"/>
      <w:r w:rsidRPr="002F0DE9">
        <w:rPr>
          <w:rFonts w:ascii="Arial" w:hAnsi="Arial" w:cs="Arial"/>
          <w:color w:val="000000"/>
          <w:lang w:val="en-US"/>
        </w:rPr>
        <w:t>, electric charge, plasma protein binding</w:t>
      </w:r>
      <w:r>
        <w:rPr>
          <w:rFonts w:ascii="Arial" w:hAnsi="Arial" w:cs="Arial"/>
          <w:color w:val="000000"/>
          <w:lang w:val="en-US"/>
        </w:rPr>
        <w:t>, and active transport route [12</w:t>
      </w:r>
      <w:r w:rsidRPr="002F0DE9">
        <w:rPr>
          <w:rFonts w:ascii="Arial" w:hAnsi="Arial" w:cs="Arial"/>
          <w:color w:val="000000"/>
          <w:lang w:val="en-US"/>
        </w:rPr>
        <w:t xml:space="preserve">]. </w:t>
      </w:r>
      <w:r w:rsidRPr="002F0DE9">
        <w:rPr>
          <w:rFonts w:ascii="Arial" w:hAnsi="Arial" w:cs="Arial"/>
          <w:color w:val="000000"/>
          <w:lang w:val="en-GB"/>
        </w:rPr>
        <w:t xml:space="preserve">Although </w:t>
      </w:r>
      <w:r w:rsidRPr="002F0DE9">
        <w:rPr>
          <w:rFonts w:ascii="Arial" w:hAnsi="Arial"/>
          <w:color w:val="000000"/>
          <w:lang w:val="en-GB"/>
        </w:rPr>
        <w:t xml:space="preserve">CSF drug concentrations are not necessarily indicative of brain drug exposure, CSF levels are usually used as a surrogate marker of drug penetration into CNS. </w:t>
      </w:r>
    </w:p>
    <w:p w:rsidR="00C30315" w:rsidRPr="002F0DE9" w:rsidRDefault="00C30315" w:rsidP="00C4333A">
      <w:pPr>
        <w:spacing w:line="480" w:lineRule="auto"/>
        <w:ind w:firstLine="708"/>
        <w:jc w:val="both"/>
        <w:rPr>
          <w:rFonts w:ascii="Arial" w:hAnsi="Arial" w:cs="Arial"/>
          <w:color w:val="000000"/>
          <w:lang w:val="en-US"/>
        </w:rPr>
      </w:pPr>
      <w:r w:rsidRPr="002F0DE9">
        <w:rPr>
          <w:rFonts w:ascii="Arial" w:hAnsi="Arial" w:cs="Arial"/>
          <w:color w:val="000000"/>
          <w:lang w:val="en-US"/>
        </w:rPr>
        <w:t xml:space="preserve">Protease inhibitors tend to </w:t>
      </w:r>
      <w:r>
        <w:rPr>
          <w:rFonts w:ascii="Arial" w:hAnsi="Arial" w:cs="Arial"/>
          <w:color w:val="000000"/>
          <w:lang w:val="en-US"/>
        </w:rPr>
        <w:t xml:space="preserve">have a low </w:t>
      </w:r>
      <w:r w:rsidRPr="002F0DE9">
        <w:rPr>
          <w:rFonts w:ascii="Arial" w:hAnsi="Arial" w:cs="Arial"/>
          <w:color w:val="000000"/>
          <w:lang w:val="en-US"/>
        </w:rPr>
        <w:t>CSF</w:t>
      </w:r>
      <w:r>
        <w:rPr>
          <w:rFonts w:ascii="Arial" w:hAnsi="Arial" w:cs="Arial"/>
          <w:color w:val="000000"/>
          <w:lang w:val="en-US"/>
        </w:rPr>
        <w:t>/blood ratio</w:t>
      </w:r>
      <w:r w:rsidRPr="002F0DE9">
        <w:rPr>
          <w:rFonts w:ascii="Arial" w:hAnsi="Arial" w:cs="Arial"/>
          <w:color w:val="000000"/>
          <w:lang w:val="en-US"/>
        </w:rPr>
        <w:t>, although the measured concentrations of these drugs vary. While lopinavir (LPV) and darunavir (DRV) achieve CSF concentrations above the IC</w:t>
      </w:r>
      <w:r w:rsidRPr="002F0DE9">
        <w:rPr>
          <w:rFonts w:ascii="Arial" w:hAnsi="Arial" w:cs="Arial"/>
          <w:color w:val="000000"/>
          <w:kern w:val="24"/>
          <w:vertAlign w:val="subscript"/>
          <w:lang w:val="en-US"/>
        </w:rPr>
        <w:t>50</w:t>
      </w:r>
      <w:r>
        <w:rPr>
          <w:rFonts w:ascii="Arial" w:hAnsi="Arial" w:cs="Arial"/>
          <w:color w:val="000000"/>
          <w:lang w:val="en-US"/>
        </w:rPr>
        <w:t xml:space="preserve"> for the wild-type virus [12-13</w:t>
      </w:r>
      <w:r w:rsidRPr="002F0DE9">
        <w:rPr>
          <w:rFonts w:ascii="Arial" w:hAnsi="Arial" w:cs="Arial"/>
          <w:color w:val="000000"/>
          <w:lang w:val="en-US"/>
        </w:rPr>
        <w:t>], ATV concentrations in CSF do not consistently exceed the wild-type IC</w:t>
      </w:r>
      <w:r w:rsidRPr="002F0DE9">
        <w:rPr>
          <w:rFonts w:ascii="Arial" w:hAnsi="Arial" w:cs="Arial"/>
          <w:color w:val="000000"/>
          <w:kern w:val="24"/>
          <w:vertAlign w:val="subscript"/>
          <w:lang w:val="en-US"/>
        </w:rPr>
        <w:t>50</w:t>
      </w:r>
      <w:r w:rsidRPr="002F0DE9">
        <w:rPr>
          <w:rFonts w:ascii="Arial" w:hAnsi="Arial" w:cs="Arial"/>
          <w:color w:val="000000"/>
          <w:lang w:val="en-US"/>
        </w:rPr>
        <w:t xml:space="preserve"> [8</w:t>
      </w:r>
      <w:r>
        <w:rPr>
          <w:rFonts w:ascii="Arial" w:hAnsi="Arial" w:cs="Arial"/>
          <w:color w:val="000000"/>
          <w:lang w:val="en-US"/>
        </w:rPr>
        <w:t>, 16</w:t>
      </w:r>
      <w:r w:rsidRPr="002F0DE9">
        <w:rPr>
          <w:rFonts w:ascii="Arial" w:hAnsi="Arial" w:cs="Arial"/>
          <w:color w:val="000000"/>
          <w:lang w:val="en-US"/>
        </w:rPr>
        <w:t xml:space="preserve">]. </w:t>
      </w:r>
    </w:p>
    <w:p w:rsidR="00C30315" w:rsidRPr="002F0DE9" w:rsidRDefault="00C30315" w:rsidP="00C4333A">
      <w:pPr>
        <w:spacing w:line="480" w:lineRule="auto"/>
        <w:ind w:firstLine="720"/>
        <w:jc w:val="both"/>
        <w:rPr>
          <w:rFonts w:ascii="Arial" w:hAnsi="Arial" w:cs="Arial"/>
          <w:color w:val="000000"/>
          <w:lang w:val="en-US"/>
        </w:rPr>
      </w:pPr>
      <w:r w:rsidRPr="002F0DE9">
        <w:rPr>
          <w:rFonts w:ascii="Arial" w:hAnsi="Arial" w:cs="Arial"/>
          <w:color w:val="000000"/>
          <w:lang w:val="en-US"/>
        </w:rPr>
        <w:t xml:space="preserve">Several ritonavir-boosted PIs in combination with 3TC have demonstrated </w:t>
      </w:r>
      <w:proofErr w:type="spellStart"/>
      <w:r w:rsidRPr="002F0DE9">
        <w:rPr>
          <w:rFonts w:ascii="Arial" w:hAnsi="Arial" w:cs="Arial"/>
          <w:color w:val="000000"/>
          <w:lang w:val="en-US"/>
        </w:rPr>
        <w:t>noninferior</w:t>
      </w:r>
      <w:proofErr w:type="spellEnd"/>
      <w:r w:rsidRPr="002F0DE9">
        <w:rPr>
          <w:rFonts w:ascii="Arial" w:hAnsi="Arial" w:cs="Arial"/>
          <w:color w:val="000000"/>
          <w:lang w:val="en-US"/>
        </w:rPr>
        <w:t xml:space="preserve"> efficacy compared to boosted PIs plus 2 nucleoside analog reverse transcriptase inhibitors (</w:t>
      </w:r>
      <w:proofErr w:type="spellStart"/>
      <w:r w:rsidRPr="002F0DE9">
        <w:rPr>
          <w:rFonts w:ascii="Arial" w:hAnsi="Arial" w:cs="Arial"/>
          <w:color w:val="000000"/>
          <w:lang w:val="en-US"/>
        </w:rPr>
        <w:t>NRTIs</w:t>
      </w:r>
      <w:proofErr w:type="spellEnd"/>
      <w:r w:rsidRPr="002F0DE9">
        <w:rPr>
          <w:rFonts w:ascii="Arial" w:hAnsi="Arial" w:cs="Arial"/>
          <w:color w:val="000000"/>
          <w:lang w:val="en-US"/>
        </w:rPr>
        <w:t xml:space="preserve">) in </w:t>
      </w:r>
      <w:proofErr w:type="spellStart"/>
      <w:r w:rsidRPr="002F0DE9">
        <w:rPr>
          <w:rFonts w:ascii="Arial" w:hAnsi="Arial" w:cs="Arial"/>
          <w:color w:val="000000"/>
          <w:lang w:val="en-US"/>
        </w:rPr>
        <w:t>virologically</w:t>
      </w:r>
      <w:proofErr w:type="spellEnd"/>
      <w:r w:rsidRPr="002F0DE9">
        <w:rPr>
          <w:rFonts w:ascii="Arial" w:hAnsi="Arial" w:cs="Arial"/>
          <w:color w:val="000000"/>
          <w:lang w:val="en-US"/>
        </w:rPr>
        <w:t xml:space="preserve"> suppressed patients [2-6]. Although these dual combinations may avoid the poten</w:t>
      </w:r>
      <w:r>
        <w:rPr>
          <w:rFonts w:ascii="Arial" w:hAnsi="Arial" w:cs="Arial"/>
          <w:color w:val="000000"/>
          <w:lang w:val="en-US"/>
        </w:rPr>
        <w:t xml:space="preserve">tial toxicity of other </w:t>
      </w:r>
      <w:proofErr w:type="spellStart"/>
      <w:r>
        <w:rPr>
          <w:rFonts w:ascii="Arial" w:hAnsi="Arial" w:cs="Arial"/>
          <w:color w:val="000000"/>
          <w:lang w:val="en-US"/>
        </w:rPr>
        <w:t>NRTIs</w:t>
      </w:r>
      <w:proofErr w:type="spellEnd"/>
      <w:r>
        <w:rPr>
          <w:rFonts w:ascii="Arial" w:hAnsi="Arial" w:cs="Arial"/>
          <w:color w:val="000000"/>
          <w:lang w:val="en-US"/>
        </w:rPr>
        <w:t xml:space="preserve"> [14-15</w:t>
      </w:r>
      <w:r w:rsidRPr="002F0DE9">
        <w:rPr>
          <w:rFonts w:ascii="Arial" w:hAnsi="Arial" w:cs="Arial"/>
          <w:color w:val="000000"/>
          <w:lang w:val="en-US"/>
        </w:rPr>
        <w:t xml:space="preserve">] and reduce treatment cost, there are some concerns about the effectiveness of these strategies to suppress HIV replication in the CNS. </w:t>
      </w:r>
    </w:p>
    <w:p w:rsidR="00C30315" w:rsidRPr="002F0DE9" w:rsidRDefault="00C30315" w:rsidP="00C4333A">
      <w:pPr>
        <w:spacing w:line="480" w:lineRule="auto"/>
        <w:ind w:firstLine="720"/>
        <w:jc w:val="both"/>
        <w:rPr>
          <w:rFonts w:ascii="Arial" w:hAnsi="Arial" w:cs="Arial"/>
          <w:color w:val="000000"/>
          <w:lang w:val="en-US"/>
        </w:rPr>
      </w:pPr>
      <w:r w:rsidRPr="002F0DE9">
        <w:rPr>
          <w:rFonts w:ascii="Arial" w:hAnsi="Arial" w:cs="Arial"/>
          <w:color w:val="000000"/>
          <w:lang w:val="en-US"/>
        </w:rPr>
        <w:t>As it was observed in a previous study assessing the e</w:t>
      </w:r>
      <w:r>
        <w:rPr>
          <w:rFonts w:ascii="Arial" w:hAnsi="Arial" w:cs="Arial"/>
          <w:color w:val="000000"/>
          <w:lang w:val="en-US"/>
        </w:rPr>
        <w:t>fficacy of ATV/r monotherapy [16</w:t>
      </w:r>
      <w:r w:rsidRPr="002F0DE9">
        <w:rPr>
          <w:rFonts w:ascii="Arial" w:hAnsi="Arial" w:cs="Arial"/>
          <w:color w:val="000000"/>
          <w:lang w:val="en-US"/>
        </w:rPr>
        <w:t>]</w:t>
      </w:r>
      <w:r>
        <w:rPr>
          <w:rFonts w:ascii="Arial" w:hAnsi="Arial" w:cs="Arial"/>
          <w:color w:val="000000"/>
          <w:lang w:val="en-US"/>
        </w:rPr>
        <w:t>,</w:t>
      </w:r>
      <w:r w:rsidRPr="002F0DE9">
        <w:rPr>
          <w:rFonts w:ascii="Arial" w:hAnsi="Arial" w:cs="Arial"/>
          <w:color w:val="000000"/>
          <w:lang w:val="en-US"/>
        </w:rPr>
        <w:t xml:space="preserve"> low CSF drug concentrations can facilitate viral escape in this compartment. Therefore, because of the potentially serious consequences o</w:t>
      </w:r>
      <w:r>
        <w:rPr>
          <w:rFonts w:ascii="Arial" w:hAnsi="Arial" w:cs="Arial"/>
          <w:color w:val="000000"/>
          <w:lang w:val="en-US"/>
        </w:rPr>
        <w:t>f HIV replication in the CNS [17-18</w:t>
      </w:r>
      <w:r w:rsidRPr="002F0DE9">
        <w:rPr>
          <w:rFonts w:ascii="Arial" w:hAnsi="Arial" w:cs="Arial"/>
          <w:color w:val="000000"/>
          <w:lang w:val="en-US"/>
        </w:rPr>
        <w:t xml:space="preserve">], the </w:t>
      </w:r>
      <w:r w:rsidRPr="002F0DE9">
        <w:rPr>
          <w:rFonts w:ascii="Arial" w:hAnsi="Arial" w:cs="Arial"/>
          <w:bCs/>
          <w:color w:val="000000"/>
          <w:kern w:val="28"/>
          <w:lang w:val="en-US"/>
        </w:rPr>
        <w:t xml:space="preserve">antiviral efficacy of ATV-based drug-sparing </w:t>
      </w:r>
      <w:r w:rsidRPr="002F0DE9">
        <w:rPr>
          <w:rFonts w:ascii="Arial" w:hAnsi="Arial" w:cs="Arial"/>
          <w:bCs/>
          <w:color w:val="000000"/>
          <w:kern w:val="28"/>
          <w:lang w:val="en-US"/>
        </w:rPr>
        <w:lastRenderedPageBreak/>
        <w:t xml:space="preserve">maintenance therapies in CSF should be explored. </w:t>
      </w:r>
      <w:r w:rsidRPr="002F0DE9">
        <w:rPr>
          <w:rFonts w:ascii="Arial" w:hAnsi="Arial" w:cs="Arial"/>
          <w:color w:val="000000"/>
          <w:lang w:val="en-GB"/>
        </w:rPr>
        <w:t xml:space="preserve">It is worthy of note that neurocognitive function has been evaluated in those clinical trials assessing the efficacy and safety of ATV/r plus 3TC as switching strategy in </w:t>
      </w:r>
      <w:proofErr w:type="spellStart"/>
      <w:r w:rsidRPr="002F0DE9">
        <w:rPr>
          <w:rFonts w:ascii="Arial" w:hAnsi="Arial" w:cs="Arial"/>
          <w:color w:val="000000"/>
          <w:lang w:val="en-GB"/>
        </w:rPr>
        <w:t>virologically</w:t>
      </w:r>
      <w:proofErr w:type="spellEnd"/>
      <w:r w:rsidRPr="002F0DE9">
        <w:rPr>
          <w:rFonts w:ascii="Arial" w:hAnsi="Arial" w:cs="Arial"/>
          <w:color w:val="000000"/>
          <w:lang w:val="en-GB"/>
        </w:rPr>
        <w:t xml:space="preserve"> suppressed patients and no significant differences were found compared to triple therapy after 1 or 2 years of follow up </w:t>
      </w:r>
      <w:r w:rsidRPr="00A36A4E">
        <w:rPr>
          <w:rFonts w:ascii="Arial" w:hAnsi="Arial" w:cs="Arial"/>
          <w:color w:val="000000"/>
          <w:lang w:val="en-US"/>
        </w:rPr>
        <w:t>[19-20].</w:t>
      </w:r>
      <w:r w:rsidRPr="002F0DE9">
        <w:rPr>
          <w:rFonts w:ascii="Arial" w:hAnsi="Arial" w:cs="Arial"/>
          <w:color w:val="000000"/>
          <w:lang w:val="en-US"/>
        </w:rPr>
        <w:t xml:space="preserve"> However, these sub-studies only included a subgroup of participants and did not include information about viral suppression or drug concentrations in CSF.</w:t>
      </w:r>
    </w:p>
    <w:p w:rsidR="00C30315" w:rsidRPr="00E74FD8" w:rsidRDefault="00C30315" w:rsidP="00EC33F8">
      <w:pPr>
        <w:spacing w:line="480" w:lineRule="auto"/>
        <w:ind w:firstLine="720"/>
        <w:jc w:val="both"/>
        <w:rPr>
          <w:rFonts w:ascii="Arial" w:hAnsi="Arial" w:cs="Arial"/>
          <w:bCs/>
          <w:color w:val="000000"/>
          <w:kern w:val="28"/>
          <w:lang w:val="en-US"/>
        </w:rPr>
      </w:pPr>
      <w:r w:rsidRPr="002F0DE9">
        <w:rPr>
          <w:rFonts w:ascii="Arial" w:hAnsi="Arial" w:cs="Arial"/>
          <w:color w:val="000000"/>
          <w:lang w:val="en-US"/>
        </w:rPr>
        <w:t xml:space="preserve">In our study, </w:t>
      </w:r>
      <w:r w:rsidRPr="002F0DE9">
        <w:rPr>
          <w:rFonts w:ascii="Arial" w:hAnsi="Arial" w:cs="Arial"/>
          <w:bCs/>
          <w:color w:val="000000"/>
          <w:kern w:val="28"/>
          <w:lang w:val="en-US"/>
        </w:rPr>
        <w:t xml:space="preserve">CSF HIV-1 RNA was maintained at &lt;40 c/mL in most patients 12 weeks after switching to ATV/r+3TC. As has been reported in previous studies </w:t>
      </w:r>
      <w:r>
        <w:rPr>
          <w:rFonts w:ascii="Arial" w:hAnsi="Arial" w:cs="Arial"/>
          <w:color w:val="000000"/>
          <w:lang w:val="en-US"/>
        </w:rPr>
        <w:t>[8</w:t>
      </w:r>
      <w:r w:rsidRPr="002F0DE9">
        <w:rPr>
          <w:rFonts w:ascii="Arial" w:hAnsi="Arial" w:cs="Arial"/>
          <w:color w:val="000000"/>
          <w:lang w:val="en-US"/>
        </w:rPr>
        <w:t>]</w:t>
      </w:r>
      <w:r w:rsidRPr="002F0DE9">
        <w:rPr>
          <w:rFonts w:ascii="Arial" w:hAnsi="Arial" w:cs="Arial"/>
          <w:bCs/>
          <w:color w:val="000000"/>
          <w:kern w:val="28"/>
          <w:lang w:val="en-US"/>
        </w:rPr>
        <w:t>, ATV penetration in CSF was poor (</w:t>
      </w:r>
      <w:proofErr w:type="spellStart"/>
      <w:r w:rsidRPr="002F0DE9">
        <w:rPr>
          <w:rFonts w:ascii="Arial" w:hAnsi="Arial" w:cs="Arial"/>
          <w:bCs/>
          <w:color w:val="000000"/>
          <w:kern w:val="28"/>
          <w:lang w:val="en-US"/>
        </w:rPr>
        <w:t>CSF:plasma</w:t>
      </w:r>
      <w:proofErr w:type="spellEnd"/>
      <w:r w:rsidRPr="002F0DE9">
        <w:rPr>
          <w:rFonts w:ascii="Arial" w:hAnsi="Arial" w:cs="Arial"/>
          <w:bCs/>
          <w:color w:val="000000"/>
          <w:kern w:val="28"/>
          <w:lang w:val="en-US"/>
        </w:rPr>
        <w:t xml:space="preserve"> ratio 0.013) and the ATV C</w:t>
      </w:r>
      <w:r w:rsidRPr="002F0DE9">
        <w:rPr>
          <w:rFonts w:ascii="Arial" w:hAnsi="Arial" w:cs="Arial"/>
          <w:bCs/>
          <w:color w:val="000000"/>
          <w:kern w:val="28"/>
          <w:vertAlign w:val="subscript"/>
          <w:lang w:val="en-US"/>
        </w:rPr>
        <w:t>24h</w:t>
      </w:r>
      <w:r w:rsidRPr="002F0DE9">
        <w:rPr>
          <w:rFonts w:ascii="Arial" w:hAnsi="Arial" w:cs="Arial"/>
          <w:bCs/>
          <w:color w:val="000000"/>
          <w:kern w:val="28"/>
          <w:lang w:val="en-US"/>
        </w:rPr>
        <w:t xml:space="preserve"> concentration was close to or within the protein-free IC</w:t>
      </w:r>
      <w:r w:rsidRPr="002F0DE9">
        <w:rPr>
          <w:rFonts w:ascii="Arial" w:hAnsi="Arial" w:cs="Arial"/>
          <w:color w:val="000000"/>
          <w:kern w:val="28"/>
          <w:vertAlign w:val="subscript"/>
          <w:lang w:val="en-US"/>
        </w:rPr>
        <w:t>50</w:t>
      </w:r>
      <w:r w:rsidRPr="002F0DE9">
        <w:rPr>
          <w:rFonts w:ascii="Arial" w:hAnsi="Arial" w:cs="Arial"/>
          <w:bCs/>
          <w:color w:val="000000"/>
          <w:kern w:val="28"/>
          <w:lang w:val="en-US"/>
        </w:rPr>
        <w:t xml:space="preserve"> range in the majority of patients</w:t>
      </w:r>
      <w:r w:rsidRPr="002F0DE9">
        <w:rPr>
          <w:rFonts w:ascii="Arial" w:hAnsi="Arial" w:cs="Arial"/>
          <w:color w:val="000000"/>
          <w:kern w:val="28"/>
          <w:lang w:val="en-US"/>
        </w:rPr>
        <w:t xml:space="preserve">. </w:t>
      </w:r>
      <w:r w:rsidRPr="002F0DE9">
        <w:rPr>
          <w:rFonts w:ascii="Arial" w:hAnsi="Arial" w:cs="Arial"/>
          <w:bCs/>
          <w:color w:val="000000"/>
          <w:kern w:val="28"/>
          <w:lang w:val="en-US"/>
        </w:rPr>
        <w:t xml:space="preserve">In contrast, 3TC showed good penetration into CSF, with a </w:t>
      </w:r>
      <w:proofErr w:type="spellStart"/>
      <w:r w:rsidRPr="002F0DE9">
        <w:rPr>
          <w:rFonts w:ascii="Arial" w:hAnsi="Arial" w:cs="Arial"/>
          <w:bCs/>
          <w:color w:val="000000"/>
          <w:kern w:val="28"/>
          <w:lang w:val="en-US"/>
        </w:rPr>
        <w:t>CSF:plasma</w:t>
      </w:r>
      <w:proofErr w:type="spellEnd"/>
      <w:r w:rsidRPr="002F0DE9">
        <w:rPr>
          <w:rFonts w:ascii="Arial" w:hAnsi="Arial" w:cs="Arial"/>
          <w:bCs/>
          <w:color w:val="000000"/>
          <w:kern w:val="28"/>
          <w:lang w:val="en-US"/>
        </w:rPr>
        <w:t xml:space="preserve"> ratio of 0.417, and 3TC CSF concentrations were above the upper limit of the protein-free </w:t>
      </w:r>
      <w:r w:rsidRPr="002F0DE9">
        <w:rPr>
          <w:rFonts w:ascii="Arial" w:hAnsi="Arial" w:cs="Arial"/>
          <w:color w:val="000000"/>
          <w:kern w:val="28"/>
          <w:lang w:val="en-US"/>
        </w:rPr>
        <w:t>IC</w:t>
      </w:r>
      <w:r w:rsidRPr="002F0DE9">
        <w:rPr>
          <w:rFonts w:ascii="Arial" w:hAnsi="Arial" w:cs="Arial"/>
          <w:color w:val="000000"/>
          <w:kern w:val="28"/>
          <w:vertAlign w:val="subscript"/>
          <w:lang w:val="en-US"/>
        </w:rPr>
        <w:t>50</w:t>
      </w:r>
      <w:r w:rsidRPr="002F0DE9">
        <w:rPr>
          <w:rFonts w:ascii="Arial" w:hAnsi="Arial" w:cs="Arial"/>
          <w:bCs/>
          <w:color w:val="000000"/>
          <w:kern w:val="28"/>
          <w:lang w:val="en-US"/>
        </w:rPr>
        <w:t xml:space="preserve"> range in 8/10 patients. </w:t>
      </w:r>
      <w:r w:rsidRPr="002F0DE9">
        <w:rPr>
          <w:rFonts w:ascii="Arial" w:hAnsi="Arial" w:cs="Arial"/>
          <w:color w:val="000000"/>
          <w:kern w:val="28"/>
          <w:lang w:val="en-US"/>
        </w:rPr>
        <w:t>T</w:t>
      </w:r>
      <w:r w:rsidRPr="002F0DE9">
        <w:rPr>
          <w:rFonts w:ascii="Arial" w:hAnsi="Arial" w:cs="Arial"/>
          <w:bCs/>
          <w:color w:val="000000"/>
          <w:kern w:val="28"/>
          <w:lang w:val="en-US"/>
        </w:rPr>
        <w:t xml:space="preserve">he high CSF 3TC concentrations may have contributed to maintain HIV-1 RNA </w:t>
      </w:r>
      <w:r w:rsidRPr="00E74FD8">
        <w:rPr>
          <w:rFonts w:ascii="Arial" w:hAnsi="Arial" w:cs="Arial"/>
          <w:bCs/>
          <w:color w:val="000000"/>
          <w:kern w:val="28"/>
          <w:lang w:val="en-US"/>
        </w:rPr>
        <w:t xml:space="preserve">suppression in this compartment. </w:t>
      </w:r>
      <w:r w:rsidRPr="00E74FD8">
        <w:rPr>
          <w:rFonts w:ascii="Arial" w:hAnsi="Arial" w:cs="Arial"/>
          <w:color w:val="000000"/>
          <w:kern w:val="28"/>
          <w:lang w:val="en-US"/>
        </w:rPr>
        <w:t xml:space="preserve">Of note, ATV CSF ATV concentrations were significantly lower in women compared to men and only 1 of 6 female participants had CSF ATV </w:t>
      </w:r>
      <w:r w:rsidRPr="00E74FD8">
        <w:rPr>
          <w:rFonts w:ascii="Arial" w:hAnsi="Arial" w:cs="Arial"/>
          <w:bCs/>
          <w:color w:val="000000"/>
          <w:kern w:val="28"/>
          <w:lang w:val="en-US"/>
        </w:rPr>
        <w:t>C</w:t>
      </w:r>
      <w:r w:rsidRPr="00E74FD8">
        <w:rPr>
          <w:rFonts w:ascii="Arial" w:hAnsi="Arial" w:cs="Arial"/>
          <w:bCs/>
          <w:color w:val="000000"/>
          <w:kern w:val="28"/>
          <w:vertAlign w:val="subscript"/>
          <w:lang w:val="en-US"/>
        </w:rPr>
        <w:t>24h</w:t>
      </w:r>
      <w:r w:rsidRPr="00E74FD8">
        <w:rPr>
          <w:rFonts w:ascii="Arial" w:hAnsi="Arial" w:cs="Arial"/>
          <w:bCs/>
          <w:color w:val="000000"/>
          <w:kern w:val="28"/>
          <w:lang w:val="en-US"/>
        </w:rPr>
        <w:t xml:space="preserve"> above the IC</w:t>
      </w:r>
      <w:r w:rsidRPr="00E74FD8">
        <w:rPr>
          <w:rFonts w:ascii="Arial" w:hAnsi="Arial" w:cs="Arial"/>
          <w:color w:val="000000"/>
          <w:kern w:val="28"/>
          <w:vertAlign w:val="subscript"/>
          <w:lang w:val="en-US"/>
        </w:rPr>
        <w:t>50</w:t>
      </w:r>
      <w:r w:rsidRPr="00E74FD8">
        <w:rPr>
          <w:rFonts w:ascii="Arial" w:hAnsi="Arial" w:cs="Arial"/>
          <w:bCs/>
          <w:color w:val="000000"/>
          <w:kern w:val="28"/>
          <w:lang w:val="en-US"/>
        </w:rPr>
        <w:t xml:space="preserve"> range. Nevertheless, since this is a small study and gender-related differences in ATV pharmacokinetics have not been described previously </w:t>
      </w:r>
      <w:r w:rsidRPr="00E74FD8">
        <w:rPr>
          <w:rFonts w:ascii="Arial" w:hAnsi="Arial" w:cs="Arial"/>
          <w:lang w:val="en-US"/>
        </w:rPr>
        <w:t>[21]</w:t>
      </w:r>
      <w:r w:rsidRPr="00E74FD8">
        <w:rPr>
          <w:rFonts w:ascii="Arial" w:hAnsi="Arial" w:cs="Arial"/>
          <w:bCs/>
          <w:color w:val="000000"/>
          <w:kern w:val="28"/>
          <w:lang w:val="en-US"/>
        </w:rPr>
        <w:t xml:space="preserve">, this observation must be interpreted with caution. </w:t>
      </w:r>
    </w:p>
    <w:p w:rsidR="00C30315" w:rsidRPr="00CA6872" w:rsidRDefault="00C30315" w:rsidP="00CA6872">
      <w:pPr>
        <w:spacing w:line="480" w:lineRule="auto"/>
        <w:ind w:firstLine="720"/>
        <w:jc w:val="both"/>
        <w:rPr>
          <w:rFonts w:ascii="Arial" w:hAnsi="Arial" w:cs="Arial"/>
          <w:lang w:val="en-US"/>
        </w:rPr>
      </w:pPr>
      <w:r w:rsidRPr="00E74FD8">
        <w:rPr>
          <w:rFonts w:ascii="Arial" w:hAnsi="Arial" w:cs="Arial"/>
          <w:bCs/>
          <w:color w:val="000000"/>
          <w:kern w:val="28"/>
          <w:lang w:val="en-US"/>
        </w:rPr>
        <w:t xml:space="preserve">It is worthy of note that </w:t>
      </w:r>
      <w:r w:rsidRPr="00E74FD8">
        <w:rPr>
          <w:rFonts w:ascii="Arial" w:hAnsi="Arial" w:cs="Arial"/>
          <w:lang w:val="en-US"/>
        </w:rPr>
        <w:t xml:space="preserve">ATV clearance is increased when it is co-administered with </w:t>
      </w:r>
      <w:proofErr w:type="spellStart"/>
      <w:r w:rsidRPr="00E74FD8">
        <w:rPr>
          <w:rFonts w:ascii="Arial" w:hAnsi="Arial" w:cs="Arial"/>
          <w:lang w:val="en-US"/>
        </w:rPr>
        <w:t>TDF</w:t>
      </w:r>
      <w:proofErr w:type="spellEnd"/>
      <w:r w:rsidRPr="00E74FD8">
        <w:rPr>
          <w:rFonts w:ascii="Arial" w:hAnsi="Arial" w:cs="Arial"/>
          <w:lang w:val="en-US"/>
        </w:rPr>
        <w:t xml:space="preserve"> [22], and therefore, ATV levels may increase</w:t>
      </w:r>
      <w:r w:rsidRPr="00EC15DD">
        <w:rPr>
          <w:rFonts w:ascii="Arial" w:hAnsi="Arial" w:cs="Arial"/>
          <w:lang w:val="en-US"/>
        </w:rPr>
        <w:t xml:space="preserve"> after the switch to ATV/r plus 3TC. However, low ATV concentrations were observed in CSF </w:t>
      </w:r>
      <w:r w:rsidRPr="00EC15DD">
        <w:rPr>
          <w:rFonts w:ascii="Arial" w:hAnsi="Arial" w:cs="Arial"/>
          <w:lang w:val="en-US"/>
        </w:rPr>
        <w:lastRenderedPageBreak/>
        <w:t xml:space="preserve">even in the absence of </w:t>
      </w:r>
      <w:proofErr w:type="spellStart"/>
      <w:r w:rsidRPr="00EC15DD">
        <w:rPr>
          <w:rFonts w:ascii="Arial" w:hAnsi="Arial" w:cs="Arial"/>
          <w:lang w:val="en-US"/>
        </w:rPr>
        <w:t>TDF</w:t>
      </w:r>
      <w:proofErr w:type="spellEnd"/>
      <w:r w:rsidRPr="00EC15DD">
        <w:rPr>
          <w:rFonts w:ascii="Arial" w:hAnsi="Arial" w:cs="Arial"/>
          <w:lang w:val="en-US"/>
        </w:rPr>
        <w:t xml:space="preserve">. </w:t>
      </w:r>
    </w:p>
    <w:p w:rsidR="00C30315" w:rsidRDefault="00C30315" w:rsidP="00C4333A">
      <w:pPr>
        <w:spacing w:line="480" w:lineRule="auto"/>
        <w:ind w:firstLine="720"/>
        <w:jc w:val="both"/>
        <w:rPr>
          <w:rFonts w:ascii="Arial" w:hAnsi="Arial" w:cs="Arial"/>
          <w:color w:val="000000"/>
          <w:kern w:val="28"/>
          <w:lang w:val="en-US"/>
        </w:rPr>
      </w:pPr>
      <w:r w:rsidRPr="002F0DE9">
        <w:rPr>
          <w:rFonts w:ascii="Arial" w:hAnsi="Arial" w:cs="Arial"/>
          <w:color w:val="000000"/>
          <w:lang w:val="en-US"/>
        </w:rPr>
        <w:t xml:space="preserve">Our study has some </w:t>
      </w:r>
      <w:r w:rsidRPr="00A336FF">
        <w:rPr>
          <w:rFonts w:ascii="Arial" w:hAnsi="Arial" w:cs="Arial"/>
          <w:color w:val="000000"/>
          <w:lang w:val="en-US"/>
        </w:rPr>
        <w:t>limitations that should be pointed out.</w:t>
      </w:r>
      <w:r w:rsidRPr="002F0DE9">
        <w:rPr>
          <w:rFonts w:ascii="Arial" w:hAnsi="Arial" w:cs="Arial"/>
          <w:color w:val="000000"/>
          <w:lang w:val="en-US"/>
        </w:rPr>
        <w:t xml:space="preserve"> The small sample </w:t>
      </w:r>
      <w:r w:rsidRPr="00E74FD8">
        <w:rPr>
          <w:rFonts w:ascii="Arial" w:hAnsi="Arial" w:cs="Arial"/>
          <w:color w:val="000000"/>
          <w:lang w:val="en-US"/>
        </w:rPr>
        <w:t xml:space="preserve">size and single determination of ATV and 3TC make the results more susceptible to the influence of </w:t>
      </w:r>
      <w:proofErr w:type="spellStart"/>
      <w:r w:rsidRPr="00E74FD8">
        <w:rPr>
          <w:rFonts w:ascii="Arial" w:hAnsi="Arial" w:cs="Arial"/>
          <w:color w:val="000000"/>
          <w:lang w:val="en-US"/>
        </w:rPr>
        <w:t>interindividual</w:t>
      </w:r>
      <w:proofErr w:type="spellEnd"/>
      <w:r w:rsidRPr="00E74FD8">
        <w:rPr>
          <w:rFonts w:ascii="Arial" w:hAnsi="Arial" w:cs="Arial"/>
          <w:color w:val="000000"/>
          <w:lang w:val="en-US"/>
        </w:rPr>
        <w:t xml:space="preserve"> and </w:t>
      </w:r>
      <w:proofErr w:type="spellStart"/>
      <w:r w:rsidRPr="00E74FD8">
        <w:rPr>
          <w:rFonts w:ascii="Arial" w:hAnsi="Arial" w:cs="Arial"/>
          <w:color w:val="000000"/>
          <w:lang w:val="en-US"/>
        </w:rPr>
        <w:t>intraindividual</w:t>
      </w:r>
      <w:proofErr w:type="spellEnd"/>
      <w:r w:rsidRPr="00E74FD8">
        <w:rPr>
          <w:rFonts w:ascii="Arial" w:hAnsi="Arial" w:cs="Arial"/>
          <w:color w:val="000000"/>
          <w:lang w:val="en-US"/>
        </w:rPr>
        <w:t xml:space="preserve"> variability. Moreover, a larger sample size might confirm or rule out the differences observed in ATV concentrations between women and men.  In addition, 12 weeks of follow up might not be enough to evaluate the capability of this strategy to control viral replication in CSF. Indeed, CSF viral escape has been described after 6 months in patients receiving monotherapy with ATV/r </w:t>
      </w:r>
      <w:r w:rsidRPr="00E74FD8">
        <w:rPr>
          <w:rFonts w:ascii="Arial" w:hAnsi="Arial" w:cs="Arial"/>
          <w:lang w:val="en-US"/>
        </w:rPr>
        <w:t>[16]</w:t>
      </w:r>
      <w:r w:rsidRPr="00E74FD8">
        <w:rPr>
          <w:rFonts w:ascii="Arial" w:hAnsi="Arial" w:cs="Arial"/>
          <w:color w:val="000000"/>
          <w:lang w:val="en-US"/>
        </w:rPr>
        <w:t xml:space="preserve"> and a case of encephalitis associated to HIV replication in CSF has been reported in a patient who had been on monotherapy with LPV/r during 9 months </w:t>
      </w:r>
      <w:r w:rsidRPr="00E74FD8">
        <w:rPr>
          <w:rFonts w:ascii="Arial" w:hAnsi="Arial" w:cs="Arial"/>
          <w:lang w:val="en-US"/>
        </w:rPr>
        <w:t>[18]</w:t>
      </w:r>
      <w:r w:rsidRPr="00E74FD8">
        <w:rPr>
          <w:rFonts w:ascii="Arial" w:hAnsi="Arial" w:cs="Arial"/>
          <w:color w:val="000000"/>
          <w:lang w:val="en-US"/>
        </w:rPr>
        <w:t xml:space="preserve">. Nevertheless, the design and sample size is similar to that reported in other studies evaluating ARV concentrations in CSF </w:t>
      </w:r>
      <w:r w:rsidRPr="00E74FD8">
        <w:rPr>
          <w:rFonts w:ascii="Arial" w:hAnsi="Arial" w:cs="Arial"/>
          <w:lang w:val="en-US"/>
        </w:rPr>
        <w:t>[23-24]</w:t>
      </w:r>
      <w:r w:rsidRPr="00E74FD8">
        <w:rPr>
          <w:rFonts w:ascii="Arial" w:hAnsi="Arial" w:cs="Arial"/>
          <w:color w:val="000000"/>
          <w:lang w:val="en-US"/>
        </w:rPr>
        <w:t>.</w:t>
      </w:r>
      <w:r w:rsidRPr="002F0DE9">
        <w:rPr>
          <w:rFonts w:ascii="Arial" w:hAnsi="Arial" w:cs="Arial"/>
          <w:color w:val="000000"/>
          <w:lang w:val="en-US"/>
        </w:rPr>
        <w:t xml:space="preserve"> </w:t>
      </w:r>
    </w:p>
    <w:p w:rsidR="00C30315" w:rsidRDefault="00C30315" w:rsidP="00C4333A">
      <w:pPr>
        <w:spacing w:line="480" w:lineRule="auto"/>
        <w:ind w:firstLine="720"/>
        <w:jc w:val="both"/>
        <w:rPr>
          <w:rFonts w:ascii="Arial" w:hAnsi="Arial" w:cs="Arial"/>
          <w:bCs/>
          <w:color w:val="000000"/>
          <w:kern w:val="28"/>
          <w:lang w:val="en-US"/>
        </w:rPr>
      </w:pPr>
      <w:r w:rsidRPr="00B8246D">
        <w:rPr>
          <w:rFonts w:ascii="Arial" w:hAnsi="Arial" w:cs="Arial"/>
          <w:color w:val="000000"/>
          <w:lang w:val="en-US"/>
        </w:rPr>
        <w:t>In this study, the first study assessing CSF viral suppression and drug concentrations after simplification to ATV/r plus 3TC dual therapy,</w:t>
      </w:r>
      <w:r>
        <w:rPr>
          <w:rFonts w:ascii="Arial" w:hAnsi="Arial" w:cs="Arial"/>
          <w:color w:val="000000"/>
          <w:lang w:val="en-US"/>
        </w:rPr>
        <w:t xml:space="preserve"> we observed that </w:t>
      </w:r>
      <w:r w:rsidRPr="002F0DE9">
        <w:rPr>
          <w:rFonts w:ascii="Arial" w:hAnsi="Arial" w:cs="Arial"/>
          <w:color w:val="000000"/>
          <w:lang w:val="en-US"/>
        </w:rPr>
        <w:t xml:space="preserve">12 </w:t>
      </w:r>
      <w:r w:rsidRPr="002F0DE9">
        <w:rPr>
          <w:rFonts w:ascii="Arial" w:hAnsi="Arial" w:cs="Arial"/>
          <w:bCs/>
          <w:color w:val="000000"/>
          <w:kern w:val="28"/>
          <w:lang w:val="en-US"/>
        </w:rPr>
        <w:t>weeks after switching to ATV/r plus 3TC, CSF HIV-1 RNA was maintained at &lt;40 c/mL in most patients. However, CSF ATV C</w:t>
      </w:r>
      <w:r w:rsidRPr="002F0DE9">
        <w:rPr>
          <w:rFonts w:ascii="Arial" w:hAnsi="Arial" w:cs="Arial"/>
          <w:bCs/>
          <w:color w:val="000000"/>
          <w:kern w:val="28"/>
          <w:vertAlign w:val="subscript"/>
          <w:lang w:val="en-US"/>
        </w:rPr>
        <w:t>24h</w:t>
      </w:r>
      <w:r w:rsidRPr="002F0DE9">
        <w:rPr>
          <w:rFonts w:ascii="Arial" w:hAnsi="Arial" w:cs="Arial"/>
          <w:bCs/>
          <w:color w:val="000000"/>
          <w:kern w:val="28"/>
          <w:lang w:val="en-US"/>
        </w:rPr>
        <w:t xml:space="preserve"> was close to or within the IC</w:t>
      </w:r>
      <w:r w:rsidRPr="002F0DE9">
        <w:rPr>
          <w:rFonts w:ascii="Arial" w:hAnsi="Arial" w:cs="Arial"/>
          <w:color w:val="000000"/>
          <w:kern w:val="28"/>
          <w:vertAlign w:val="subscript"/>
          <w:lang w:val="en-US"/>
        </w:rPr>
        <w:t>50</w:t>
      </w:r>
      <w:r w:rsidRPr="002F0DE9">
        <w:rPr>
          <w:rFonts w:ascii="Arial" w:hAnsi="Arial" w:cs="Arial"/>
          <w:bCs/>
          <w:color w:val="000000"/>
          <w:kern w:val="28"/>
          <w:lang w:val="en-US"/>
        </w:rPr>
        <w:t xml:space="preserve"> range in the majority. Larger studies with a longer follow-up are needed to assess the capability of ATV/r plus 3TC dual therapy for maintaining HIV suppression also in the CSF. In the meantime, ATV pharmacokinetic data in CSF should be taken into account and rigorous patient selection and optimal adherence are advisable to assure effective CSF viral suppression with this dual antiretroviral simplification regimen. </w:t>
      </w:r>
    </w:p>
    <w:p w:rsidR="00C30315" w:rsidRPr="00C4333A" w:rsidRDefault="00C30315" w:rsidP="00C4333A">
      <w:pPr>
        <w:spacing w:line="480" w:lineRule="auto"/>
        <w:ind w:firstLine="720"/>
        <w:jc w:val="both"/>
        <w:rPr>
          <w:rFonts w:ascii="Arial" w:hAnsi="Arial" w:cs="Arial"/>
          <w:bCs/>
          <w:color w:val="000000"/>
          <w:kern w:val="28"/>
          <w:lang w:val="en-US"/>
        </w:rPr>
      </w:pPr>
    </w:p>
    <w:p w:rsidR="00C30315" w:rsidRPr="00EC15DD" w:rsidRDefault="00C30315" w:rsidP="008B28CE">
      <w:pPr>
        <w:spacing w:line="480" w:lineRule="auto"/>
        <w:jc w:val="both"/>
        <w:rPr>
          <w:rFonts w:ascii="Arial" w:hAnsi="Arial" w:cs="Arial"/>
          <w:b/>
          <w:lang w:val="en-US"/>
        </w:rPr>
      </w:pPr>
      <w:r w:rsidRPr="00EC15DD">
        <w:rPr>
          <w:rFonts w:ascii="Arial" w:hAnsi="Arial" w:cs="Arial"/>
          <w:b/>
          <w:lang w:val="en-US"/>
        </w:rPr>
        <w:t>Funding:</w:t>
      </w:r>
    </w:p>
    <w:p w:rsidR="00C30315" w:rsidRDefault="00C30315" w:rsidP="001A01F3">
      <w:pPr>
        <w:spacing w:line="480" w:lineRule="auto"/>
        <w:ind w:firstLine="720"/>
        <w:jc w:val="both"/>
        <w:rPr>
          <w:rFonts w:ascii="Arial" w:hAnsi="Arial" w:cs="Arial"/>
          <w:lang w:val="en-US"/>
        </w:rPr>
      </w:pPr>
      <w:r w:rsidRPr="00EC15DD">
        <w:rPr>
          <w:rFonts w:ascii="Arial" w:hAnsi="Arial" w:cs="Arial"/>
          <w:lang w:val="en-US"/>
        </w:rPr>
        <w:t xml:space="preserve">The study was supported, in part, by the </w:t>
      </w:r>
      <w:r w:rsidRPr="001A01F3">
        <w:rPr>
          <w:rFonts w:ascii="Arial" w:hAnsi="Arial" w:cs="Arial"/>
          <w:lang w:val="en-US"/>
        </w:rPr>
        <w:t>RD16/0025/0003</w:t>
      </w:r>
      <w:r>
        <w:rPr>
          <w:rFonts w:ascii="Arial" w:hAnsi="Arial" w:cs="Arial"/>
          <w:lang w:val="en-US"/>
        </w:rPr>
        <w:t>-ISCIII-FEDER</w:t>
      </w:r>
      <w:r w:rsidRPr="00EC15DD">
        <w:rPr>
          <w:rFonts w:ascii="Arial" w:hAnsi="Arial" w:cs="Arial"/>
          <w:lang w:val="en-US"/>
        </w:rPr>
        <w:t xml:space="preserve">. </w:t>
      </w:r>
    </w:p>
    <w:p w:rsidR="00C30315" w:rsidRPr="00EC15DD" w:rsidRDefault="00C30315" w:rsidP="001A01F3">
      <w:pPr>
        <w:spacing w:line="480" w:lineRule="auto"/>
        <w:ind w:firstLine="720"/>
        <w:jc w:val="both"/>
        <w:rPr>
          <w:rFonts w:ascii="Arial" w:hAnsi="Arial" w:cs="Arial"/>
          <w:lang w:val="en-US"/>
        </w:rPr>
      </w:pPr>
    </w:p>
    <w:p w:rsidR="00C30315" w:rsidRPr="00EC15DD" w:rsidRDefault="00C30315" w:rsidP="004118F3">
      <w:pPr>
        <w:spacing w:line="480" w:lineRule="auto"/>
        <w:jc w:val="both"/>
        <w:rPr>
          <w:rFonts w:ascii="Arial" w:hAnsi="Arial" w:cs="Arial"/>
          <w:lang w:val="en-US"/>
        </w:rPr>
      </w:pPr>
      <w:r w:rsidRPr="00EC15DD">
        <w:rPr>
          <w:rFonts w:ascii="Arial" w:hAnsi="Arial" w:cs="Arial"/>
          <w:b/>
          <w:lang w:val="en-US"/>
        </w:rPr>
        <w:t>Conflicts of interest</w:t>
      </w:r>
      <w:r w:rsidRPr="00EC15DD">
        <w:rPr>
          <w:rFonts w:ascii="Arial" w:hAnsi="Arial" w:cs="Arial"/>
          <w:lang w:val="en-US"/>
        </w:rPr>
        <w:t xml:space="preserve">: </w:t>
      </w:r>
    </w:p>
    <w:p w:rsidR="00C30315" w:rsidRPr="00EC15DD" w:rsidRDefault="00C30315" w:rsidP="005A67E8">
      <w:pPr>
        <w:spacing w:line="480" w:lineRule="auto"/>
        <w:jc w:val="both"/>
        <w:rPr>
          <w:rFonts w:ascii="Arial" w:hAnsi="Arial" w:cs="Arial"/>
          <w:lang w:val="en-US"/>
        </w:rPr>
      </w:pPr>
      <w:proofErr w:type="spellStart"/>
      <w:r w:rsidRPr="00EC15DD">
        <w:rPr>
          <w:rFonts w:ascii="Arial" w:hAnsi="Arial" w:cs="Arial"/>
          <w:lang w:val="en-US"/>
        </w:rPr>
        <w:t>A.I</w:t>
      </w:r>
      <w:proofErr w:type="spellEnd"/>
      <w:r w:rsidRPr="00EC15DD">
        <w:rPr>
          <w:rFonts w:ascii="Arial" w:hAnsi="Arial" w:cs="Arial"/>
          <w:lang w:val="en-US"/>
        </w:rPr>
        <w:t xml:space="preserve">. has received financial compensation for lectures, consultancies, and educational activities, </w:t>
      </w:r>
      <w:r>
        <w:rPr>
          <w:rFonts w:ascii="Arial" w:hAnsi="Arial" w:cs="Arial"/>
          <w:lang w:val="en-US"/>
        </w:rPr>
        <w:t xml:space="preserve">as well as </w:t>
      </w:r>
      <w:r w:rsidRPr="00B5565B">
        <w:rPr>
          <w:rFonts w:ascii="Arial" w:hAnsi="Arial" w:cs="Arial"/>
          <w:lang w:val="en-US"/>
        </w:rPr>
        <w:t xml:space="preserve">research </w:t>
      </w:r>
      <w:r w:rsidRPr="00EC15DD">
        <w:rPr>
          <w:rFonts w:ascii="Arial" w:hAnsi="Arial" w:cs="Arial"/>
          <w:lang w:val="en-US"/>
        </w:rPr>
        <w:t>fund</w:t>
      </w:r>
      <w:r>
        <w:rPr>
          <w:rFonts w:ascii="Arial" w:hAnsi="Arial" w:cs="Arial"/>
          <w:lang w:val="en-US"/>
        </w:rPr>
        <w:t>ing</w:t>
      </w:r>
      <w:r w:rsidRPr="00EC15DD">
        <w:rPr>
          <w:rFonts w:ascii="Arial" w:hAnsi="Arial" w:cs="Arial"/>
          <w:lang w:val="en-US"/>
        </w:rPr>
        <w:t xml:space="preserve"> for from AbbVie, Gilead Sciences, Janssen-</w:t>
      </w:r>
      <w:proofErr w:type="spellStart"/>
      <w:r w:rsidRPr="00EC15DD">
        <w:rPr>
          <w:rFonts w:ascii="Arial" w:hAnsi="Arial" w:cs="Arial"/>
          <w:lang w:val="en-US"/>
        </w:rPr>
        <w:t>Cilag</w:t>
      </w:r>
      <w:proofErr w:type="spellEnd"/>
      <w:r w:rsidRPr="00EC15DD">
        <w:rPr>
          <w:rFonts w:ascii="Arial" w:hAnsi="Arial" w:cs="Arial"/>
          <w:lang w:val="en-US"/>
        </w:rPr>
        <w:t xml:space="preserve">, Merck Sharp &amp; Dome, and </w:t>
      </w:r>
      <w:proofErr w:type="spellStart"/>
      <w:r w:rsidRPr="00EC15DD">
        <w:rPr>
          <w:rFonts w:ascii="Arial" w:hAnsi="Arial" w:cs="Arial"/>
          <w:lang w:val="en-US"/>
        </w:rPr>
        <w:t>ViiV</w:t>
      </w:r>
      <w:proofErr w:type="spellEnd"/>
      <w:r w:rsidRPr="00EC15DD">
        <w:rPr>
          <w:rFonts w:ascii="Arial" w:hAnsi="Arial" w:cs="Arial"/>
          <w:lang w:val="en-US"/>
        </w:rPr>
        <w:t xml:space="preserve"> Healthcare.</w:t>
      </w:r>
    </w:p>
    <w:p w:rsidR="00C30315" w:rsidRPr="00E61213" w:rsidRDefault="00C30315" w:rsidP="004118F3">
      <w:pPr>
        <w:spacing w:line="480" w:lineRule="auto"/>
        <w:jc w:val="both"/>
        <w:rPr>
          <w:rFonts w:ascii="Arial" w:hAnsi="Arial" w:cs="Arial"/>
          <w:lang w:val="en-US"/>
        </w:rPr>
      </w:pPr>
      <w:proofErr w:type="spellStart"/>
      <w:r w:rsidRPr="00EC15DD">
        <w:rPr>
          <w:rFonts w:ascii="Arial" w:hAnsi="Arial" w:cs="Arial"/>
          <w:lang w:val="en-US"/>
        </w:rPr>
        <w:t>J.N</w:t>
      </w:r>
      <w:proofErr w:type="spellEnd"/>
      <w:r w:rsidRPr="00EC15DD">
        <w:rPr>
          <w:rFonts w:ascii="Arial" w:hAnsi="Arial" w:cs="Arial"/>
          <w:lang w:val="en-US"/>
        </w:rPr>
        <w:t>. has received financial compensation for lectures and research from Abbott Molecular.</w:t>
      </w:r>
    </w:p>
    <w:p w:rsidR="00C30315" w:rsidRPr="00EC15DD" w:rsidRDefault="00C30315" w:rsidP="004118F3">
      <w:pPr>
        <w:spacing w:line="480" w:lineRule="auto"/>
        <w:jc w:val="both"/>
        <w:rPr>
          <w:rFonts w:ascii="Arial" w:hAnsi="Arial" w:cs="Arial"/>
          <w:highlight w:val="yellow"/>
          <w:lang w:val="en-US"/>
        </w:rPr>
      </w:pPr>
      <w:proofErr w:type="spellStart"/>
      <w:r w:rsidRPr="00E61213">
        <w:rPr>
          <w:rFonts w:ascii="Arial" w:hAnsi="Arial" w:cs="Arial"/>
          <w:lang w:val="en-US"/>
        </w:rPr>
        <w:t>S.K</w:t>
      </w:r>
      <w:proofErr w:type="spellEnd"/>
      <w:r w:rsidRPr="00E61213">
        <w:rPr>
          <w:rFonts w:ascii="Arial" w:hAnsi="Arial" w:cs="Arial"/>
          <w:lang w:val="en-US"/>
        </w:rPr>
        <w:t>.</w:t>
      </w:r>
      <w:r>
        <w:rPr>
          <w:rFonts w:ascii="Arial" w:hAnsi="Arial" w:cs="Arial"/>
          <w:lang w:val="en-US"/>
        </w:rPr>
        <w:t xml:space="preserve"> </w:t>
      </w:r>
      <w:r w:rsidRPr="00E61213">
        <w:rPr>
          <w:rFonts w:ascii="Arial" w:hAnsi="Arial" w:cs="Arial"/>
          <w:lang w:val="en-US"/>
        </w:rPr>
        <w:t xml:space="preserve">has received funding from Merck Gilead Sciences </w:t>
      </w:r>
      <w:proofErr w:type="spellStart"/>
      <w:r w:rsidRPr="00E61213">
        <w:rPr>
          <w:rFonts w:ascii="Arial" w:hAnsi="Arial" w:cs="Arial"/>
          <w:lang w:val="en-US"/>
        </w:rPr>
        <w:t>Jannsen</w:t>
      </w:r>
      <w:proofErr w:type="spellEnd"/>
      <w:r w:rsidRPr="00E61213">
        <w:rPr>
          <w:rFonts w:ascii="Arial" w:hAnsi="Arial" w:cs="Arial"/>
          <w:lang w:val="en-US"/>
        </w:rPr>
        <w:t xml:space="preserve"> and </w:t>
      </w:r>
      <w:proofErr w:type="spellStart"/>
      <w:r w:rsidRPr="00E61213">
        <w:rPr>
          <w:rFonts w:ascii="Arial" w:hAnsi="Arial" w:cs="Arial"/>
          <w:lang w:val="en-US"/>
        </w:rPr>
        <w:t>ViiV</w:t>
      </w:r>
      <w:proofErr w:type="spellEnd"/>
      <w:r w:rsidRPr="00E61213">
        <w:rPr>
          <w:rFonts w:ascii="Arial" w:hAnsi="Arial" w:cs="Arial"/>
          <w:lang w:val="en-US"/>
        </w:rPr>
        <w:t xml:space="preserve"> Healthcare for research and support of the HIV </w:t>
      </w:r>
      <w:proofErr w:type="spellStart"/>
      <w:r w:rsidRPr="00E61213">
        <w:rPr>
          <w:rFonts w:ascii="Arial" w:hAnsi="Arial" w:cs="Arial"/>
          <w:lang w:val="en-US"/>
        </w:rPr>
        <w:t>drig</w:t>
      </w:r>
      <w:proofErr w:type="spellEnd"/>
      <w:r w:rsidRPr="00E61213">
        <w:rPr>
          <w:rFonts w:ascii="Arial" w:hAnsi="Arial" w:cs="Arial"/>
          <w:lang w:val="en-US"/>
        </w:rPr>
        <w:t xml:space="preserve"> interactions website.</w:t>
      </w:r>
    </w:p>
    <w:p w:rsidR="00C30315" w:rsidRPr="00CF6C19" w:rsidRDefault="00C30315" w:rsidP="004118F3">
      <w:pPr>
        <w:spacing w:line="480" w:lineRule="auto"/>
        <w:jc w:val="both"/>
        <w:rPr>
          <w:rFonts w:ascii="Arial" w:hAnsi="Arial" w:cs="Arial"/>
          <w:lang w:val="en-US"/>
        </w:rPr>
      </w:pPr>
      <w:proofErr w:type="spellStart"/>
      <w:r w:rsidRPr="00CF6C19">
        <w:rPr>
          <w:rFonts w:ascii="Arial" w:hAnsi="Arial" w:cs="Arial"/>
          <w:lang w:val="en-US"/>
        </w:rPr>
        <w:t>J.</w:t>
      </w:r>
      <w:r>
        <w:rPr>
          <w:rFonts w:ascii="Arial" w:hAnsi="Arial" w:cs="Arial"/>
          <w:lang w:val="en-US"/>
        </w:rPr>
        <w:t>M.</w:t>
      </w:r>
      <w:r w:rsidRPr="00CF6C19">
        <w:rPr>
          <w:rFonts w:ascii="Arial" w:hAnsi="Arial" w:cs="Arial"/>
          <w:lang w:val="en-US"/>
        </w:rPr>
        <w:t>T</w:t>
      </w:r>
      <w:proofErr w:type="spellEnd"/>
      <w:r w:rsidRPr="00CF6C19">
        <w:rPr>
          <w:rFonts w:ascii="Arial" w:hAnsi="Arial" w:cs="Arial"/>
          <w:lang w:val="en-US"/>
        </w:rPr>
        <w:t>. has</w:t>
      </w:r>
      <w:r w:rsidRPr="00EC15DD">
        <w:rPr>
          <w:rFonts w:ascii="Arial" w:hAnsi="Arial" w:cs="Arial"/>
          <w:lang w:val="en-US"/>
        </w:rPr>
        <w:t xml:space="preserve"> received financial compensation for lectures, consultancies, and educational activities, </w:t>
      </w:r>
      <w:r>
        <w:rPr>
          <w:rFonts w:ascii="Arial" w:hAnsi="Arial" w:cs="Arial"/>
          <w:lang w:val="en-US"/>
        </w:rPr>
        <w:t xml:space="preserve">as well as </w:t>
      </w:r>
      <w:r w:rsidRPr="00B5565B">
        <w:rPr>
          <w:rFonts w:ascii="Arial" w:hAnsi="Arial" w:cs="Arial"/>
          <w:lang w:val="en-US"/>
        </w:rPr>
        <w:t xml:space="preserve">research </w:t>
      </w:r>
      <w:r w:rsidRPr="00EC15DD">
        <w:rPr>
          <w:rFonts w:ascii="Arial" w:hAnsi="Arial" w:cs="Arial"/>
          <w:lang w:val="en-US"/>
        </w:rPr>
        <w:t>fund</w:t>
      </w:r>
      <w:r>
        <w:rPr>
          <w:rFonts w:ascii="Arial" w:hAnsi="Arial" w:cs="Arial"/>
          <w:lang w:val="en-US"/>
        </w:rPr>
        <w:t>ing</w:t>
      </w:r>
      <w:r w:rsidRPr="00EC15DD">
        <w:rPr>
          <w:rFonts w:ascii="Arial" w:hAnsi="Arial" w:cs="Arial"/>
          <w:lang w:val="en-US"/>
        </w:rPr>
        <w:t xml:space="preserve"> for from AbbVie, Gilead Sciences, Janssen-</w:t>
      </w:r>
      <w:proofErr w:type="spellStart"/>
      <w:r w:rsidRPr="00EC15DD">
        <w:rPr>
          <w:rFonts w:ascii="Arial" w:hAnsi="Arial" w:cs="Arial"/>
          <w:lang w:val="en-US"/>
        </w:rPr>
        <w:t>Cilag</w:t>
      </w:r>
      <w:proofErr w:type="spellEnd"/>
      <w:r w:rsidRPr="00EC15DD">
        <w:rPr>
          <w:rFonts w:ascii="Arial" w:hAnsi="Arial" w:cs="Arial"/>
          <w:lang w:val="en-US"/>
        </w:rPr>
        <w:t xml:space="preserve">, Merck Sharp &amp; Dome, and </w:t>
      </w:r>
      <w:proofErr w:type="spellStart"/>
      <w:r w:rsidRPr="00EC15DD">
        <w:rPr>
          <w:rFonts w:ascii="Arial" w:hAnsi="Arial" w:cs="Arial"/>
          <w:lang w:val="en-US"/>
        </w:rPr>
        <w:t>ViiV</w:t>
      </w:r>
      <w:proofErr w:type="spellEnd"/>
      <w:r w:rsidRPr="00EC15DD">
        <w:rPr>
          <w:rFonts w:ascii="Arial" w:hAnsi="Arial" w:cs="Arial"/>
          <w:lang w:val="en-US"/>
        </w:rPr>
        <w:t xml:space="preserve"> Healthcare.</w:t>
      </w:r>
    </w:p>
    <w:p w:rsidR="00C30315" w:rsidRPr="00EC15DD" w:rsidRDefault="00C30315" w:rsidP="004118F3">
      <w:pPr>
        <w:spacing w:line="480" w:lineRule="auto"/>
        <w:jc w:val="both"/>
        <w:rPr>
          <w:rFonts w:ascii="Arial" w:hAnsi="Arial" w:cs="Arial"/>
          <w:lang w:val="en-US"/>
        </w:rPr>
      </w:pPr>
      <w:proofErr w:type="spellStart"/>
      <w:r w:rsidRPr="00E61213">
        <w:rPr>
          <w:rFonts w:ascii="Arial" w:hAnsi="Arial" w:cs="Arial"/>
          <w:lang w:val="en-US"/>
        </w:rPr>
        <w:t>E.F</w:t>
      </w:r>
      <w:proofErr w:type="spellEnd"/>
      <w:r w:rsidRPr="00E61213">
        <w:rPr>
          <w:rFonts w:ascii="Arial" w:hAnsi="Arial" w:cs="Arial"/>
          <w:lang w:val="en-US"/>
        </w:rPr>
        <w:t>.</w:t>
      </w:r>
      <w:r>
        <w:rPr>
          <w:rFonts w:ascii="Arial" w:hAnsi="Arial" w:cs="Arial"/>
          <w:lang w:val="en-US"/>
        </w:rPr>
        <w:t xml:space="preserve"> </w:t>
      </w:r>
      <w:r w:rsidRPr="00E61213">
        <w:rPr>
          <w:rFonts w:ascii="Arial" w:hAnsi="Arial" w:cs="Arial"/>
          <w:lang w:val="en-US"/>
        </w:rPr>
        <w:t>has</w:t>
      </w:r>
      <w:r w:rsidRPr="00EC15DD">
        <w:rPr>
          <w:rFonts w:ascii="Arial" w:hAnsi="Arial" w:cs="Arial"/>
          <w:lang w:val="en-US"/>
        </w:rPr>
        <w:t xml:space="preserve"> received honoraria for advisories and/or conferences from </w:t>
      </w:r>
      <w:r>
        <w:rPr>
          <w:rFonts w:ascii="Arial" w:hAnsi="Arial" w:cs="Arial"/>
          <w:lang w:val="en-US"/>
        </w:rPr>
        <w:t>V</w:t>
      </w:r>
      <w:r w:rsidRPr="00EC15DD">
        <w:rPr>
          <w:rFonts w:ascii="Arial" w:hAnsi="Arial" w:cs="Arial"/>
          <w:lang w:val="en-US"/>
        </w:rPr>
        <w:t xml:space="preserve">iiv, BMS, Abbott, Gilead, Janssen, and Merck. </w:t>
      </w:r>
    </w:p>
    <w:p w:rsidR="00C30315" w:rsidRPr="00EC15DD" w:rsidRDefault="00C30315" w:rsidP="004118F3">
      <w:pPr>
        <w:spacing w:line="480" w:lineRule="auto"/>
        <w:jc w:val="both"/>
        <w:rPr>
          <w:rFonts w:ascii="Arial" w:hAnsi="Arial" w:cs="Arial"/>
          <w:lang w:val="en-US"/>
        </w:rPr>
      </w:pPr>
      <w:r w:rsidRPr="00EC15DD">
        <w:rPr>
          <w:rFonts w:ascii="Arial" w:hAnsi="Arial" w:cs="Arial"/>
          <w:lang w:val="en-US"/>
        </w:rPr>
        <w:t>D.P. has received research grants and/or honoraria for advisories and/or conferences from</w:t>
      </w:r>
      <w:r>
        <w:rPr>
          <w:rFonts w:ascii="Arial" w:hAnsi="Arial" w:cs="Arial"/>
          <w:lang w:val="en-US"/>
        </w:rPr>
        <w:t xml:space="preserve"> </w:t>
      </w:r>
      <w:r w:rsidRPr="00EC15DD">
        <w:rPr>
          <w:rFonts w:ascii="Arial" w:hAnsi="Arial" w:cs="Arial"/>
          <w:lang w:val="en-US"/>
        </w:rPr>
        <w:t xml:space="preserve">Viiv, BMS, Abbott, Gilead, Janssen, and Merck. </w:t>
      </w:r>
    </w:p>
    <w:p w:rsidR="00C30315" w:rsidRPr="00EC15DD" w:rsidRDefault="00C30315" w:rsidP="00D423EE">
      <w:pPr>
        <w:spacing w:line="480" w:lineRule="auto"/>
        <w:jc w:val="both"/>
        <w:rPr>
          <w:rFonts w:ascii="Arial" w:hAnsi="Arial" w:cs="Arial"/>
          <w:lang w:val="en-US"/>
        </w:rPr>
      </w:pPr>
      <w:proofErr w:type="spellStart"/>
      <w:r>
        <w:rPr>
          <w:rFonts w:ascii="Arial" w:hAnsi="Arial" w:cs="Arial"/>
          <w:kern w:val="28"/>
          <w:lang w:val="en-US"/>
        </w:rPr>
        <w:t>A.A</w:t>
      </w:r>
      <w:proofErr w:type="spellEnd"/>
      <w:r>
        <w:rPr>
          <w:rFonts w:ascii="Arial" w:hAnsi="Arial" w:cs="Arial"/>
          <w:kern w:val="28"/>
          <w:lang w:val="en-US"/>
        </w:rPr>
        <w:t xml:space="preserve">, </w:t>
      </w:r>
      <w:r w:rsidRPr="00EC15DD">
        <w:rPr>
          <w:rFonts w:ascii="Arial" w:hAnsi="Arial" w:cs="Arial"/>
          <w:kern w:val="28"/>
          <w:lang w:val="en-US"/>
        </w:rPr>
        <w:t xml:space="preserve">L.A., </w:t>
      </w:r>
      <w:proofErr w:type="spellStart"/>
      <w:r w:rsidRPr="00EC15DD">
        <w:rPr>
          <w:rFonts w:ascii="Arial" w:hAnsi="Arial" w:cs="Arial"/>
          <w:kern w:val="28"/>
          <w:lang w:val="en-US"/>
        </w:rPr>
        <w:t>B.G</w:t>
      </w:r>
      <w:proofErr w:type="spellEnd"/>
      <w:r w:rsidRPr="00EC15DD">
        <w:rPr>
          <w:rFonts w:ascii="Arial" w:hAnsi="Arial" w:cs="Arial"/>
          <w:kern w:val="28"/>
          <w:lang w:val="en-US"/>
        </w:rPr>
        <w:t xml:space="preserve">., </w:t>
      </w:r>
      <w:proofErr w:type="spellStart"/>
      <w:r w:rsidRPr="00EC15DD">
        <w:rPr>
          <w:rFonts w:ascii="Arial" w:hAnsi="Arial" w:cs="Arial"/>
          <w:kern w:val="28"/>
          <w:lang w:val="en-US"/>
        </w:rPr>
        <w:t>A.V</w:t>
      </w:r>
      <w:proofErr w:type="spellEnd"/>
      <w:r w:rsidRPr="00EC15DD">
        <w:rPr>
          <w:rFonts w:ascii="Arial" w:hAnsi="Arial" w:cs="Arial"/>
          <w:kern w:val="28"/>
          <w:lang w:val="en-US"/>
        </w:rPr>
        <w:t xml:space="preserve">. </w:t>
      </w:r>
      <w:r w:rsidRPr="00EC15DD">
        <w:rPr>
          <w:rFonts w:ascii="Arial" w:hAnsi="Arial" w:cs="Arial"/>
          <w:lang w:val="en-US"/>
        </w:rPr>
        <w:t>declare no conflict</w:t>
      </w:r>
      <w:r>
        <w:rPr>
          <w:rFonts w:ascii="Arial" w:hAnsi="Arial" w:cs="Arial"/>
          <w:lang w:val="en-US"/>
        </w:rPr>
        <w:t>s</w:t>
      </w:r>
      <w:r w:rsidRPr="00EC15DD">
        <w:rPr>
          <w:rFonts w:ascii="Arial" w:hAnsi="Arial" w:cs="Arial"/>
          <w:lang w:val="en-US"/>
        </w:rPr>
        <w:t xml:space="preserve"> of interest regarding this article</w:t>
      </w:r>
      <w:r>
        <w:rPr>
          <w:rFonts w:ascii="Arial" w:hAnsi="Arial" w:cs="Arial"/>
          <w:lang w:val="en-US"/>
        </w:rPr>
        <w:t>.</w:t>
      </w:r>
    </w:p>
    <w:p w:rsidR="00C30315" w:rsidRPr="00EC15DD" w:rsidRDefault="00C30315" w:rsidP="004118F3">
      <w:pPr>
        <w:spacing w:line="480" w:lineRule="auto"/>
        <w:jc w:val="both"/>
        <w:rPr>
          <w:rFonts w:ascii="Arial" w:hAnsi="Arial" w:cs="Arial"/>
          <w:b/>
          <w:lang w:val="en-US"/>
        </w:rPr>
      </w:pPr>
    </w:p>
    <w:p w:rsidR="00C30315" w:rsidRPr="00EC15DD" w:rsidRDefault="00C30315" w:rsidP="008B28CE">
      <w:pPr>
        <w:spacing w:line="480" w:lineRule="auto"/>
        <w:jc w:val="both"/>
        <w:rPr>
          <w:rFonts w:ascii="Arial" w:hAnsi="Arial" w:cs="Arial"/>
          <w:lang w:val="en-US"/>
        </w:rPr>
      </w:pPr>
      <w:r w:rsidRPr="00EC15DD">
        <w:rPr>
          <w:rFonts w:ascii="Arial" w:hAnsi="Arial" w:cs="Arial"/>
          <w:b/>
          <w:bCs/>
          <w:lang w:val="en-US"/>
        </w:rPr>
        <w:t>Acknowledgments</w:t>
      </w:r>
    </w:p>
    <w:p w:rsidR="00C30315" w:rsidRPr="00EC15DD" w:rsidRDefault="00C30315" w:rsidP="004E0B7E">
      <w:pPr>
        <w:spacing w:line="480" w:lineRule="auto"/>
        <w:ind w:firstLine="720"/>
        <w:jc w:val="both"/>
        <w:rPr>
          <w:rFonts w:ascii="Arial" w:hAnsi="Arial" w:cs="Arial"/>
          <w:lang w:val="en-US"/>
        </w:rPr>
      </w:pPr>
      <w:r w:rsidRPr="00EC15DD">
        <w:rPr>
          <w:rFonts w:ascii="Arial" w:hAnsi="Arial" w:cs="Arial"/>
          <w:lang w:val="en-US"/>
        </w:rPr>
        <w:t xml:space="preserve">The authors are grateful to all the patients who participated in this study. We </w:t>
      </w:r>
      <w:r w:rsidRPr="00EC15DD">
        <w:rPr>
          <w:rFonts w:ascii="Arial" w:hAnsi="Arial" w:cs="Arial"/>
          <w:lang w:val="en-US"/>
        </w:rPr>
        <w:lastRenderedPageBreak/>
        <w:t xml:space="preserve">thank </w:t>
      </w:r>
      <w:r>
        <w:rPr>
          <w:rFonts w:ascii="Arial" w:hAnsi="Arial" w:cs="Arial"/>
          <w:lang w:val="en-US"/>
        </w:rPr>
        <w:t xml:space="preserve">Celine </w:t>
      </w:r>
      <w:proofErr w:type="spellStart"/>
      <w:r>
        <w:rPr>
          <w:rFonts w:ascii="Arial" w:hAnsi="Arial" w:cs="Arial"/>
          <w:lang w:val="en-US"/>
        </w:rPr>
        <w:t>Cavallo</w:t>
      </w:r>
      <w:proofErr w:type="spellEnd"/>
      <w:r w:rsidRPr="00EC15DD">
        <w:rPr>
          <w:rFonts w:ascii="Arial" w:hAnsi="Arial" w:cs="Arial"/>
          <w:lang w:val="en-US"/>
        </w:rPr>
        <w:t xml:space="preserve"> for English language support.</w:t>
      </w:r>
      <w:r>
        <w:rPr>
          <w:rFonts w:ascii="Arial" w:hAnsi="Arial" w:cs="Arial"/>
          <w:lang w:val="en-US"/>
        </w:rPr>
        <w:t xml:space="preserve"> </w:t>
      </w:r>
      <w:r w:rsidRPr="004859A8">
        <w:rPr>
          <w:rFonts w:ascii="Arial" w:hAnsi="Arial" w:cs="Arial"/>
          <w:lang w:val="en-US"/>
        </w:rPr>
        <w:t>We acknowledge infrastructural support from the Liverpool Biomedical Research Centre funded by Liverpool Health Partners.</w:t>
      </w:r>
    </w:p>
    <w:p w:rsidR="00C30315" w:rsidRPr="00EC15DD" w:rsidRDefault="00C30315" w:rsidP="008B28CE">
      <w:pPr>
        <w:spacing w:line="480" w:lineRule="auto"/>
        <w:ind w:firstLine="720"/>
        <w:jc w:val="both"/>
        <w:rPr>
          <w:rFonts w:ascii="Arial" w:hAnsi="Arial" w:cs="Arial"/>
          <w:lang w:val="en-US"/>
        </w:rPr>
      </w:pPr>
      <w:r w:rsidRPr="00EC15DD">
        <w:rPr>
          <w:rFonts w:ascii="Arial" w:hAnsi="Arial" w:cs="Arial"/>
          <w:lang w:val="en-US"/>
        </w:rPr>
        <w:t xml:space="preserve">Authors’ contributions: </w:t>
      </w:r>
      <w:proofErr w:type="spellStart"/>
      <w:r w:rsidRPr="00EC15DD">
        <w:rPr>
          <w:rFonts w:ascii="Arial" w:hAnsi="Arial" w:cs="Arial"/>
          <w:lang w:val="en-US"/>
        </w:rPr>
        <w:t>A.I</w:t>
      </w:r>
      <w:proofErr w:type="spellEnd"/>
      <w:r w:rsidRPr="00EC15DD">
        <w:rPr>
          <w:rFonts w:ascii="Arial" w:hAnsi="Arial" w:cs="Arial"/>
          <w:lang w:val="en-US"/>
        </w:rPr>
        <w:t xml:space="preserve">. and D.P. designed the study; </w:t>
      </w:r>
      <w:proofErr w:type="spellStart"/>
      <w:r w:rsidRPr="00EC15DD">
        <w:rPr>
          <w:rFonts w:ascii="Arial" w:hAnsi="Arial" w:cs="Arial"/>
          <w:lang w:val="en-US"/>
        </w:rPr>
        <w:t>A.I</w:t>
      </w:r>
      <w:proofErr w:type="spellEnd"/>
      <w:r w:rsidRPr="00EC15DD">
        <w:rPr>
          <w:rFonts w:ascii="Arial" w:hAnsi="Arial" w:cs="Arial"/>
          <w:lang w:val="en-US"/>
        </w:rPr>
        <w:t xml:space="preserve">., </w:t>
      </w:r>
      <w:proofErr w:type="spellStart"/>
      <w:r w:rsidRPr="00EC15DD">
        <w:rPr>
          <w:rFonts w:ascii="Arial" w:hAnsi="Arial" w:cs="Arial"/>
          <w:lang w:val="en-US"/>
        </w:rPr>
        <w:t>E.F</w:t>
      </w:r>
      <w:proofErr w:type="spellEnd"/>
      <w:r w:rsidRPr="00EC15DD">
        <w:rPr>
          <w:rFonts w:ascii="Arial" w:hAnsi="Arial" w:cs="Arial"/>
          <w:lang w:val="en-US"/>
        </w:rPr>
        <w:t xml:space="preserve">. and D.P. recruited participants; </w:t>
      </w:r>
      <w:proofErr w:type="spellStart"/>
      <w:r w:rsidRPr="00EC15DD">
        <w:rPr>
          <w:rFonts w:ascii="Arial" w:hAnsi="Arial" w:cs="Arial"/>
          <w:lang w:val="en-US"/>
        </w:rPr>
        <w:t>A.I</w:t>
      </w:r>
      <w:proofErr w:type="spellEnd"/>
      <w:r w:rsidRPr="00EC15DD">
        <w:rPr>
          <w:rFonts w:ascii="Arial" w:hAnsi="Arial" w:cs="Arial"/>
          <w:lang w:val="en-US"/>
        </w:rPr>
        <w:t xml:space="preserve">., </w:t>
      </w:r>
      <w:proofErr w:type="spellStart"/>
      <w:r w:rsidRPr="00EC15DD">
        <w:rPr>
          <w:rFonts w:ascii="Arial" w:hAnsi="Arial" w:cs="Arial"/>
          <w:lang w:val="en-US"/>
        </w:rPr>
        <w:t>B.G</w:t>
      </w:r>
      <w:proofErr w:type="spellEnd"/>
      <w:r w:rsidRPr="00EC15DD">
        <w:rPr>
          <w:rFonts w:ascii="Arial" w:hAnsi="Arial" w:cs="Arial"/>
          <w:lang w:val="en-US"/>
        </w:rPr>
        <w:t xml:space="preserve">. and </w:t>
      </w:r>
      <w:proofErr w:type="spellStart"/>
      <w:r w:rsidRPr="00EC15DD">
        <w:rPr>
          <w:rFonts w:ascii="Arial" w:hAnsi="Arial" w:cs="Arial"/>
          <w:lang w:val="en-US"/>
        </w:rPr>
        <w:t>A.V</w:t>
      </w:r>
      <w:proofErr w:type="spellEnd"/>
      <w:r w:rsidRPr="00EC15DD">
        <w:rPr>
          <w:rFonts w:ascii="Arial" w:hAnsi="Arial" w:cs="Arial"/>
          <w:lang w:val="en-US"/>
        </w:rPr>
        <w:t xml:space="preserve">. conducted the study visits; </w:t>
      </w:r>
      <w:proofErr w:type="spellStart"/>
      <w:r w:rsidRPr="00EC15DD">
        <w:rPr>
          <w:rFonts w:ascii="Arial" w:hAnsi="Arial" w:cs="Arial"/>
          <w:lang w:val="en-US"/>
        </w:rPr>
        <w:t>J.N</w:t>
      </w:r>
      <w:proofErr w:type="spellEnd"/>
      <w:r w:rsidRPr="00EC15DD">
        <w:rPr>
          <w:rFonts w:ascii="Arial" w:hAnsi="Arial" w:cs="Arial"/>
          <w:lang w:val="en-US"/>
        </w:rPr>
        <w:t xml:space="preserve">. performed the microbiological procedures. </w:t>
      </w:r>
      <w:proofErr w:type="spellStart"/>
      <w:r w:rsidRPr="00EC15DD">
        <w:rPr>
          <w:rFonts w:ascii="Arial" w:hAnsi="Arial" w:cs="Arial"/>
          <w:lang w:val="en-US"/>
        </w:rPr>
        <w:t>A.A</w:t>
      </w:r>
      <w:proofErr w:type="spellEnd"/>
      <w:r w:rsidRPr="00EC15DD">
        <w:rPr>
          <w:rFonts w:ascii="Arial" w:hAnsi="Arial" w:cs="Arial"/>
          <w:lang w:val="en-US"/>
        </w:rPr>
        <w:t xml:space="preserve">. and </w:t>
      </w:r>
      <w:proofErr w:type="spellStart"/>
      <w:r w:rsidRPr="00EC15DD">
        <w:rPr>
          <w:rFonts w:ascii="Arial" w:hAnsi="Arial" w:cs="Arial"/>
          <w:lang w:val="en-US"/>
        </w:rPr>
        <w:t>S.K</w:t>
      </w:r>
      <w:proofErr w:type="spellEnd"/>
      <w:r w:rsidRPr="00EC15DD">
        <w:rPr>
          <w:rFonts w:ascii="Arial" w:hAnsi="Arial" w:cs="Arial"/>
          <w:lang w:val="en-US"/>
        </w:rPr>
        <w:t xml:space="preserve">. performed </w:t>
      </w:r>
      <w:proofErr w:type="spellStart"/>
      <w:r w:rsidRPr="00EC15DD">
        <w:rPr>
          <w:rFonts w:ascii="Arial" w:hAnsi="Arial" w:cs="Arial"/>
          <w:kern w:val="28"/>
          <w:lang w:val="en-US"/>
        </w:rPr>
        <w:t>LCMS</w:t>
      </w:r>
      <w:proofErr w:type="spellEnd"/>
      <w:r w:rsidRPr="00EC15DD">
        <w:rPr>
          <w:rFonts w:ascii="Arial" w:hAnsi="Arial" w:cs="Arial"/>
          <w:kern w:val="28"/>
          <w:lang w:val="en-US"/>
        </w:rPr>
        <w:t>/MS</w:t>
      </w:r>
      <w:r w:rsidRPr="00EC15DD">
        <w:rPr>
          <w:rFonts w:ascii="Arial" w:hAnsi="Arial" w:cs="Arial"/>
          <w:lang w:val="en-US"/>
        </w:rPr>
        <w:t xml:space="preserve"> to measure ATV and 3TC concentrations in blood plasma and CSF; L.A. assisted in data collection and study coordinati</w:t>
      </w:r>
      <w:r>
        <w:rPr>
          <w:rFonts w:ascii="Arial" w:hAnsi="Arial" w:cs="Arial"/>
          <w:lang w:val="en-US"/>
        </w:rPr>
        <w:t xml:space="preserve">on; </w:t>
      </w:r>
      <w:proofErr w:type="spellStart"/>
      <w:r>
        <w:rPr>
          <w:rFonts w:ascii="Arial" w:hAnsi="Arial" w:cs="Arial"/>
          <w:lang w:val="en-US"/>
        </w:rPr>
        <w:t>A.I</w:t>
      </w:r>
      <w:proofErr w:type="spellEnd"/>
      <w:r>
        <w:rPr>
          <w:rFonts w:ascii="Arial" w:hAnsi="Arial" w:cs="Arial"/>
          <w:lang w:val="en-US"/>
        </w:rPr>
        <w:t xml:space="preserve">., </w:t>
      </w:r>
      <w:proofErr w:type="spellStart"/>
      <w:r>
        <w:rPr>
          <w:rFonts w:ascii="Arial" w:hAnsi="Arial" w:cs="Arial"/>
          <w:lang w:val="en-US"/>
        </w:rPr>
        <w:t>J</w:t>
      </w:r>
      <w:r w:rsidRPr="00EC15DD">
        <w:rPr>
          <w:rFonts w:ascii="Arial" w:hAnsi="Arial" w:cs="Arial"/>
          <w:lang w:val="en-US"/>
        </w:rPr>
        <w:t>.</w:t>
      </w:r>
      <w:r>
        <w:rPr>
          <w:rFonts w:ascii="Arial" w:hAnsi="Arial" w:cs="Arial"/>
          <w:lang w:val="en-US"/>
        </w:rPr>
        <w:t>M.</w:t>
      </w:r>
      <w:r w:rsidRPr="00EC15DD">
        <w:rPr>
          <w:rFonts w:ascii="Arial" w:hAnsi="Arial" w:cs="Arial"/>
          <w:lang w:val="en-US"/>
        </w:rPr>
        <w:t>T</w:t>
      </w:r>
      <w:proofErr w:type="spellEnd"/>
      <w:r>
        <w:rPr>
          <w:rFonts w:ascii="Arial" w:hAnsi="Arial" w:cs="Arial"/>
          <w:lang w:val="en-US"/>
        </w:rPr>
        <w:t>.</w:t>
      </w:r>
      <w:r w:rsidRPr="00EC15DD">
        <w:rPr>
          <w:rFonts w:ascii="Arial" w:hAnsi="Arial" w:cs="Arial"/>
          <w:lang w:val="en-US"/>
        </w:rPr>
        <w:t xml:space="preserve"> and D.P. analyzed and interpreted the results; </w:t>
      </w:r>
      <w:proofErr w:type="spellStart"/>
      <w:r w:rsidRPr="00EC15DD">
        <w:rPr>
          <w:rFonts w:ascii="Arial" w:hAnsi="Arial" w:cs="Arial"/>
          <w:lang w:val="en-US"/>
        </w:rPr>
        <w:t>A.I</w:t>
      </w:r>
      <w:proofErr w:type="spellEnd"/>
      <w:r w:rsidRPr="00EC15DD">
        <w:rPr>
          <w:rFonts w:ascii="Arial" w:hAnsi="Arial" w:cs="Arial"/>
          <w:lang w:val="en-US"/>
        </w:rPr>
        <w:t>.</w:t>
      </w:r>
      <w:r>
        <w:rPr>
          <w:rFonts w:ascii="Arial" w:hAnsi="Arial" w:cs="Arial"/>
          <w:lang w:val="en-US"/>
        </w:rPr>
        <w:t xml:space="preserve"> drafted the manuscript and </w:t>
      </w:r>
      <w:proofErr w:type="spellStart"/>
      <w:r>
        <w:rPr>
          <w:rFonts w:ascii="Arial" w:hAnsi="Arial" w:cs="Arial"/>
          <w:lang w:val="en-US"/>
        </w:rPr>
        <w:t>J.M.</w:t>
      </w:r>
      <w:r w:rsidRPr="00EC15DD">
        <w:rPr>
          <w:rFonts w:ascii="Arial" w:hAnsi="Arial" w:cs="Arial"/>
          <w:lang w:val="en-US"/>
        </w:rPr>
        <w:t>T</w:t>
      </w:r>
      <w:proofErr w:type="spellEnd"/>
      <w:r>
        <w:rPr>
          <w:rFonts w:ascii="Arial" w:hAnsi="Arial" w:cs="Arial"/>
          <w:lang w:val="en-US"/>
        </w:rPr>
        <w:t>.</w:t>
      </w:r>
      <w:r w:rsidRPr="00EC15DD">
        <w:rPr>
          <w:rFonts w:ascii="Arial" w:hAnsi="Arial" w:cs="Arial"/>
          <w:lang w:val="en-US"/>
        </w:rPr>
        <w:t xml:space="preserve">, </w:t>
      </w:r>
      <w:proofErr w:type="spellStart"/>
      <w:r w:rsidRPr="00EC15DD">
        <w:rPr>
          <w:rFonts w:ascii="Arial" w:hAnsi="Arial" w:cs="Arial"/>
          <w:lang w:val="en-US"/>
        </w:rPr>
        <w:t>E.F</w:t>
      </w:r>
      <w:proofErr w:type="spellEnd"/>
      <w:r w:rsidRPr="00EC15DD">
        <w:rPr>
          <w:rFonts w:ascii="Arial" w:hAnsi="Arial" w:cs="Arial"/>
          <w:lang w:val="en-US"/>
        </w:rPr>
        <w:t>.</w:t>
      </w:r>
      <w:r>
        <w:rPr>
          <w:rFonts w:ascii="Arial" w:hAnsi="Arial" w:cs="Arial"/>
          <w:lang w:val="en-US"/>
        </w:rPr>
        <w:t>,</w:t>
      </w:r>
      <w:r w:rsidRPr="00EC15DD">
        <w:rPr>
          <w:rFonts w:ascii="Arial" w:hAnsi="Arial" w:cs="Arial"/>
          <w:lang w:val="en-US"/>
        </w:rPr>
        <w:t xml:space="preserve"> </w:t>
      </w:r>
      <w:proofErr w:type="spellStart"/>
      <w:r>
        <w:rPr>
          <w:rFonts w:ascii="Arial" w:hAnsi="Arial" w:cs="Arial"/>
          <w:lang w:val="en-US"/>
        </w:rPr>
        <w:t>S.K</w:t>
      </w:r>
      <w:proofErr w:type="spellEnd"/>
      <w:r>
        <w:rPr>
          <w:rFonts w:ascii="Arial" w:hAnsi="Arial" w:cs="Arial"/>
          <w:lang w:val="en-US"/>
        </w:rPr>
        <w:t xml:space="preserve">., </w:t>
      </w:r>
      <w:r w:rsidRPr="00EC15DD">
        <w:rPr>
          <w:rFonts w:ascii="Arial" w:hAnsi="Arial" w:cs="Arial"/>
          <w:lang w:val="en-US"/>
        </w:rPr>
        <w:t>and D.P. reviewed it. All authors revised the manuscript for important intellectual content and contributed to the final version.</w:t>
      </w:r>
    </w:p>
    <w:p w:rsidR="00C30315" w:rsidRPr="00EC15DD" w:rsidRDefault="00C30315" w:rsidP="00EA4E19">
      <w:pPr>
        <w:spacing w:line="480" w:lineRule="auto"/>
        <w:ind w:firstLine="720"/>
        <w:jc w:val="both"/>
        <w:rPr>
          <w:rFonts w:ascii="Arial" w:hAnsi="Arial" w:cs="Arial"/>
          <w:lang w:val="en-US"/>
        </w:rPr>
      </w:pPr>
      <w:r w:rsidRPr="0017455F">
        <w:rPr>
          <w:rFonts w:ascii="Arial" w:hAnsi="Arial" w:cs="Arial"/>
          <w:lang w:val="en-US"/>
        </w:rPr>
        <w:t xml:space="preserve">This study </w:t>
      </w:r>
      <w:r>
        <w:rPr>
          <w:rFonts w:ascii="Arial" w:hAnsi="Arial" w:cs="Arial"/>
          <w:lang w:val="en-US"/>
        </w:rPr>
        <w:t>was</w:t>
      </w:r>
      <w:r w:rsidRPr="0017455F">
        <w:rPr>
          <w:rFonts w:ascii="Arial" w:hAnsi="Arial" w:cs="Arial"/>
          <w:lang w:val="en-US"/>
        </w:rPr>
        <w:t xml:space="preserve"> presented in part as a poster in the 9th IAS Conference on HIV Science (IAS 2017) that will take place in Paris, France on 23-26 July 2017. </w:t>
      </w:r>
    </w:p>
    <w:p w:rsidR="00C30315" w:rsidRPr="00777569" w:rsidRDefault="00C30315" w:rsidP="003F4609">
      <w:pPr>
        <w:spacing w:line="480" w:lineRule="auto"/>
        <w:jc w:val="both"/>
        <w:rPr>
          <w:rFonts w:ascii="Arial" w:hAnsi="Arial" w:cs="Arial"/>
          <w:b/>
          <w:bCs/>
          <w:lang w:val="en-US"/>
        </w:rPr>
      </w:pPr>
      <w:r w:rsidRPr="00777569">
        <w:rPr>
          <w:rFonts w:ascii="Arial" w:hAnsi="Arial" w:cs="Arial"/>
          <w:b/>
          <w:bCs/>
          <w:lang w:val="en-GB"/>
        </w:rPr>
        <w:br w:type="page"/>
      </w:r>
      <w:r w:rsidRPr="00777569">
        <w:rPr>
          <w:rFonts w:ascii="Arial" w:hAnsi="Arial" w:cs="Arial"/>
          <w:b/>
          <w:bCs/>
          <w:lang w:val="en-US"/>
        </w:rPr>
        <w:lastRenderedPageBreak/>
        <w:t>References</w:t>
      </w:r>
    </w:p>
    <w:p w:rsidR="00C30315" w:rsidRPr="00EC15DD" w:rsidRDefault="00C30315" w:rsidP="002933AD">
      <w:pPr>
        <w:spacing w:line="480" w:lineRule="auto"/>
        <w:jc w:val="both"/>
        <w:rPr>
          <w:rFonts w:ascii="Arial" w:hAnsi="Arial" w:cs="Arial"/>
          <w:bCs/>
          <w:lang w:val="en-US"/>
        </w:rPr>
      </w:pPr>
      <w:r w:rsidRPr="00777569">
        <w:rPr>
          <w:rFonts w:ascii="Arial" w:hAnsi="Arial" w:cs="Arial"/>
          <w:bCs/>
          <w:lang w:val="en-US"/>
        </w:rPr>
        <w:t xml:space="preserve">1. </w:t>
      </w:r>
      <w:proofErr w:type="spellStart"/>
      <w:r w:rsidRPr="00777569">
        <w:rPr>
          <w:rFonts w:ascii="Arial" w:hAnsi="Arial" w:cs="Arial"/>
          <w:bCs/>
          <w:lang w:val="en-US"/>
        </w:rPr>
        <w:t>Arribas</w:t>
      </w:r>
      <w:proofErr w:type="spellEnd"/>
      <w:r w:rsidRPr="00777569">
        <w:rPr>
          <w:rFonts w:ascii="Arial" w:hAnsi="Arial" w:cs="Arial"/>
          <w:bCs/>
          <w:lang w:val="en-US"/>
        </w:rPr>
        <w:t xml:space="preserve"> JR, Girard PM, Paton N, et al. </w:t>
      </w:r>
      <w:r w:rsidRPr="00EC15DD">
        <w:rPr>
          <w:rFonts w:ascii="Arial" w:hAnsi="Arial" w:cs="Arial"/>
          <w:bCs/>
          <w:lang w:val="en-US"/>
        </w:rPr>
        <w:t>Efficacy of protease inhibitor monotherapy vs. triple therapy: meta-analysis of data from 2303 patients in 13 randomized trials. HIV Med. 2016;17:358-67.</w:t>
      </w:r>
    </w:p>
    <w:p w:rsidR="00C30315" w:rsidRPr="00EC15DD" w:rsidRDefault="00C30315" w:rsidP="002933AD">
      <w:pPr>
        <w:spacing w:line="480" w:lineRule="auto"/>
        <w:jc w:val="both"/>
        <w:rPr>
          <w:rFonts w:ascii="Arial" w:hAnsi="Arial" w:cs="Arial"/>
          <w:bCs/>
          <w:lang w:val="en-US"/>
        </w:rPr>
      </w:pPr>
      <w:r w:rsidRPr="00EC15DD">
        <w:rPr>
          <w:rFonts w:ascii="Arial" w:hAnsi="Arial" w:cs="Arial"/>
          <w:bCs/>
          <w:lang w:val="en-US"/>
        </w:rPr>
        <w:t xml:space="preserve">2. Cahn P, Andrade-Villanueva J, </w:t>
      </w:r>
      <w:proofErr w:type="spellStart"/>
      <w:r w:rsidRPr="00EC15DD">
        <w:rPr>
          <w:rFonts w:ascii="Arial" w:hAnsi="Arial" w:cs="Arial"/>
          <w:bCs/>
          <w:lang w:val="en-US"/>
        </w:rPr>
        <w:t>Arribas</w:t>
      </w:r>
      <w:proofErr w:type="spellEnd"/>
      <w:r w:rsidRPr="00EC15DD">
        <w:rPr>
          <w:rFonts w:ascii="Arial" w:hAnsi="Arial" w:cs="Arial"/>
          <w:bCs/>
          <w:lang w:val="en-US"/>
        </w:rPr>
        <w:t xml:space="preserve"> JR, et al; </w:t>
      </w:r>
      <w:proofErr w:type="spellStart"/>
      <w:r w:rsidRPr="00EC15DD">
        <w:rPr>
          <w:rFonts w:ascii="Arial" w:hAnsi="Arial" w:cs="Arial"/>
          <w:bCs/>
          <w:lang w:val="en-US"/>
        </w:rPr>
        <w:t>GARDEL</w:t>
      </w:r>
      <w:proofErr w:type="spellEnd"/>
      <w:r w:rsidRPr="00EC15DD">
        <w:rPr>
          <w:rFonts w:ascii="Arial" w:hAnsi="Arial" w:cs="Arial"/>
          <w:bCs/>
          <w:lang w:val="en-US"/>
        </w:rPr>
        <w:t xml:space="preserve"> Study Group. Dual therapy with lopinavir and ritonavir plus lamivudine versus triple therapy with lopinavir and ritonavir plus two nucleoside reverse transcriptase inhibitors in antiretroviral-therapy-naive adults with HIV-1 infection: 48 week results of the </w:t>
      </w:r>
      <w:proofErr w:type="spellStart"/>
      <w:r w:rsidRPr="00EC15DD">
        <w:rPr>
          <w:rFonts w:ascii="Arial" w:hAnsi="Arial" w:cs="Arial"/>
          <w:bCs/>
          <w:lang w:val="en-US"/>
        </w:rPr>
        <w:t>randomised</w:t>
      </w:r>
      <w:proofErr w:type="spellEnd"/>
      <w:r w:rsidRPr="00EC15DD">
        <w:rPr>
          <w:rFonts w:ascii="Arial" w:hAnsi="Arial" w:cs="Arial"/>
          <w:bCs/>
          <w:lang w:val="en-US"/>
        </w:rPr>
        <w:t xml:space="preserve">, open label, non-inferiority </w:t>
      </w:r>
      <w:proofErr w:type="spellStart"/>
      <w:r w:rsidRPr="00EC15DD">
        <w:rPr>
          <w:rFonts w:ascii="Arial" w:hAnsi="Arial" w:cs="Arial"/>
          <w:bCs/>
          <w:lang w:val="en-US"/>
        </w:rPr>
        <w:t>GARDEL</w:t>
      </w:r>
      <w:proofErr w:type="spellEnd"/>
      <w:r w:rsidRPr="00EC15DD">
        <w:rPr>
          <w:rFonts w:ascii="Arial" w:hAnsi="Arial" w:cs="Arial"/>
          <w:bCs/>
          <w:lang w:val="en-US"/>
        </w:rPr>
        <w:t xml:space="preserve"> trial. Lancet Infect Dis. 2014;14:572-80.</w:t>
      </w:r>
    </w:p>
    <w:p w:rsidR="00C30315" w:rsidRPr="00EC15DD" w:rsidRDefault="00C30315" w:rsidP="002933AD">
      <w:pPr>
        <w:spacing w:line="480" w:lineRule="auto"/>
        <w:jc w:val="both"/>
        <w:rPr>
          <w:rFonts w:ascii="Arial" w:hAnsi="Arial" w:cs="Arial"/>
          <w:bCs/>
          <w:lang w:val="en-US"/>
        </w:rPr>
      </w:pPr>
      <w:r w:rsidRPr="00EC15DD">
        <w:rPr>
          <w:rFonts w:ascii="Arial" w:hAnsi="Arial" w:cs="Arial"/>
          <w:bCs/>
          <w:lang w:val="en-US"/>
        </w:rPr>
        <w:t xml:space="preserve">3. </w:t>
      </w:r>
      <w:proofErr w:type="spellStart"/>
      <w:r w:rsidRPr="00EC15DD">
        <w:rPr>
          <w:rFonts w:ascii="Arial" w:hAnsi="Arial" w:cs="Arial"/>
          <w:bCs/>
          <w:lang w:val="en-US"/>
        </w:rPr>
        <w:t>Arribas</w:t>
      </w:r>
      <w:proofErr w:type="spellEnd"/>
      <w:r w:rsidRPr="00EC15DD">
        <w:rPr>
          <w:rFonts w:ascii="Arial" w:hAnsi="Arial" w:cs="Arial"/>
          <w:bCs/>
          <w:lang w:val="en-US"/>
        </w:rPr>
        <w:t xml:space="preserve"> JR, Girard PM, Landman R, et al; OLE/RIS-EST13 Study Group. Dual treatment with lopinavir-ritonavir plus lamivudine versus triple treatment with lopinavir-ritonavir plus lamivudine or emtricitabine and a second </w:t>
      </w:r>
      <w:proofErr w:type="spellStart"/>
      <w:r w:rsidRPr="00EC15DD">
        <w:rPr>
          <w:rFonts w:ascii="Arial" w:hAnsi="Arial" w:cs="Arial"/>
          <w:bCs/>
          <w:lang w:val="en-US"/>
        </w:rPr>
        <w:t>nucleos</w:t>
      </w:r>
      <w:proofErr w:type="spellEnd"/>
      <w:r w:rsidRPr="00EC15DD">
        <w:rPr>
          <w:rFonts w:ascii="Arial" w:hAnsi="Arial" w:cs="Arial"/>
          <w:bCs/>
          <w:lang w:val="en-US"/>
        </w:rPr>
        <w:t xml:space="preserve">(t)ide reverse transcriptase inhibitor for maintenance of HIV-1 viral suppression (OLE): a </w:t>
      </w:r>
      <w:proofErr w:type="spellStart"/>
      <w:r w:rsidRPr="00EC15DD">
        <w:rPr>
          <w:rFonts w:ascii="Arial" w:hAnsi="Arial" w:cs="Arial"/>
          <w:bCs/>
          <w:lang w:val="en-US"/>
        </w:rPr>
        <w:t>randomised</w:t>
      </w:r>
      <w:proofErr w:type="spellEnd"/>
      <w:r w:rsidRPr="00EC15DD">
        <w:rPr>
          <w:rFonts w:ascii="Arial" w:hAnsi="Arial" w:cs="Arial"/>
          <w:bCs/>
          <w:lang w:val="en-US"/>
        </w:rPr>
        <w:t>, open-label, non-inferiority trial. Lancet Infect Dis. 2015;15:785-92.</w:t>
      </w:r>
    </w:p>
    <w:p w:rsidR="00C30315" w:rsidRPr="00EC15DD" w:rsidRDefault="00C30315" w:rsidP="002933AD">
      <w:pPr>
        <w:spacing w:line="480" w:lineRule="auto"/>
        <w:jc w:val="both"/>
        <w:rPr>
          <w:rFonts w:ascii="Arial" w:hAnsi="Arial" w:cs="Arial"/>
          <w:bCs/>
          <w:lang w:val="en-US"/>
        </w:rPr>
      </w:pPr>
      <w:r w:rsidRPr="00EC15DD">
        <w:rPr>
          <w:rFonts w:ascii="Arial" w:hAnsi="Arial" w:cs="Arial"/>
          <w:bCs/>
          <w:lang w:val="en-US"/>
        </w:rPr>
        <w:t xml:space="preserve">4. Perez-Molina JA, Rubio R, </w:t>
      </w:r>
      <w:proofErr w:type="spellStart"/>
      <w:r w:rsidRPr="00EC15DD">
        <w:rPr>
          <w:rFonts w:ascii="Arial" w:hAnsi="Arial" w:cs="Arial"/>
          <w:bCs/>
          <w:lang w:val="en-US"/>
        </w:rPr>
        <w:t>Rivero</w:t>
      </w:r>
      <w:proofErr w:type="spellEnd"/>
      <w:r w:rsidRPr="00EC15DD">
        <w:rPr>
          <w:rFonts w:ascii="Arial" w:hAnsi="Arial" w:cs="Arial"/>
          <w:bCs/>
          <w:lang w:val="en-US"/>
        </w:rPr>
        <w:t xml:space="preserve"> A, et al; </w:t>
      </w:r>
      <w:proofErr w:type="spellStart"/>
      <w:r w:rsidRPr="00EC15DD">
        <w:rPr>
          <w:rFonts w:ascii="Arial" w:hAnsi="Arial" w:cs="Arial"/>
          <w:bCs/>
          <w:lang w:val="en-US"/>
        </w:rPr>
        <w:t>GeSIDA</w:t>
      </w:r>
      <w:proofErr w:type="spellEnd"/>
      <w:r w:rsidRPr="00EC15DD">
        <w:rPr>
          <w:rFonts w:ascii="Arial" w:hAnsi="Arial" w:cs="Arial"/>
          <w:bCs/>
          <w:lang w:val="en-US"/>
        </w:rPr>
        <w:t xml:space="preserve"> 7011 Study Group. Simplification to dual therapy (atazanavir/ritonavir</w:t>
      </w:r>
      <w:r w:rsidRPr="00EC15DD">
        <w:rPr>
          <w:rFonts w:ascii="Arial Unicode MS" w:eastAsia="Arial Unicode MS" w:hAnsi="Arial Unicode MS" w:cs="Arial Unicode MS" w:hint="eastAsia"/>
          <w:bCs/>
          <w:lang w:val="en-US"/>
        </w:rPr>
        <w:t> </w:t>
      </w:r>
      <w:r w:rsidRPr="00EC15DD">
        <w:rPr>
          <w:rFonts w:ascii="Arial" w:hAnsi="Arial" w:cs="Arial"/>
          <w:bCs/>
          <w:lang w:val="en-US"/>
        </w:rPr>
        <w:t>+</w:t>
      </w:r>
      <w:r w:rsidRPr="00EC15DD">
        <w:rPr>
          <w:rFonts w:ascii="Arial Unicode MS" w:eastAsia="Arial Unicode MS" w:hAnsi="Arial Unicode MS" w:cs="Arial Unicode MS" w:hint="eastAsia"/>
          <w:bCs/>
          <w:lang w:val="en-US"/>
        </w:rPr>
        <w:t> </w:t>
      </w:r>
      <w:r w:rsidRPr="00EC15DD">
        <w:rPr>
          <w:rFonts w:ascii="Arial" w:hAnsi="Arial" w:cs="Arial"/>
          <w:bCs/>
          <w:lang w:val="en-US"/>
        </w:rPr>
        <w:t>lamivudine) versus standard triple therapy [atazanavir/ritonavir</w:t>
      </w:r>
      <w:r w:rsidRPr="00EC15DD">
        <w:rPr>
          <w:rFonts w:ascii="Arial Unicode MS" w:eastAsia="Arial Unicode MS" w:hAnsi="Arial Unicode MS" w:cs="Arial Unicode MS" w:hint="eastAsia"/>
          <w:bCs/>
          <w:lang w:val="en-US"/>
        </w:rPr>
        <w:t> </w:t>
      </w:r>
      <w:r w:rsidRPr="00EC15DD">
        <w:rPr>
          <w:rFonts w:ascii="Arial" w:hAnsi="Arial" w:cs="Arial"/>
          <w:bCs/>
          <w:lang w:val="en-US"/>
        </w:rPr>
        <w:t>+</w:t>
      </w:r>
      <w:r w:rsidRPr="00EC15DD">
        <w:rPr>
          <w:rFonts w:ascii="Arial Unicode MS" w:eastAsia="Arial Unicode MS" w:hAnsi="Arial Unicode MS" w:cs="Arial Unicode MS" w:hint="eastAsia"/>
          <w:bCs/>
          <w:lang w:val="en-US"/>
        </w:rPr>
        <w:t> </w:t>
      </w:r>
      <w:r w:rsidRPr="00EC15DD">
        <w:rPr>
          <w:rFonts w:ascii="Arial" w:hAnsi="Arial" w:cs="Arial"/>
          <w:bCs/>
          <w:lang w:val="en-US"/>
        </w:rPr>
        <w:t xml:space="preserve">two </w:t>
      </w:r>
      <w:proofErr w:type="spellStart"/>
      <w:r w:rsidRPr="00EC15DD">
        <w:rPr>
          <w:rFonts w:ascii="Arial" w:hAnsi="Arial" w:cs="Arial"/>
          <w:bCs/>
          <w:lang w:val="en-US"/>
        </w:rPr>
        <w:t>nucleos</w:t>
      </w:r>
      <w:proofErr w:type="spellEnd"/>
      <w:r w:rsidRPr="00EC15DD">
        <w:rPr>
          <w:rFonts w:ascii="Arial" w:hAnsi="Arial" w:cs="Arial"/>
          <w:bCs/>
          <w:lang w:val="en-US"/>
        </w:rPr>
        <w:t xml:space="preserve">(t)ides] in </w:t>
      </w:r>
      <w:proofErr w:type="spellStart"/>
      <w:r w:rsidRPr="00EC15DD">
        <w:rPr>
          <w:rFonts w:ascii="Arial" w:hAnsi="Arial" w:cs="Arial"/>
          <w:bCs/>
          <w:lang w:val="en-US"/>
        </w:rPr>
        <w:t>virologically</w:t>
      </w:r>
      <w:proofErr w:type="spellEnd"/>
      <w:r w:rsidRPr="00EC15DD">
        <w:rPr>
          <w:rFonts w:ascii="Arial" w:hAnsi="Arial" w:cs="Arial"/>
          <w:bCs/>
          <w:lang w:val="en-US"/>
        </w:rPr>
        <w:t xml:space="preserve"> stable patients on antiretroviral therapy: 96 week results from an open-label, non-inferiority, randomized clinical trial (SALT study). J </w:t>
      </w:r>
      <w:proofErr w:type="spellStart"/>
      <w:r w:rsidRPr="00EC15DD">
        <w:rPr>
          <w:rFonts w:ascii="Arial" w:hAnsi="Arial" w:cs="Arial"/>
          <w:bCs/>
          <w:lang w:val="en-US"/>
        </w:rPr>
        <w:t>Antimicrob</w:t>
      </w:r>
      <w:proofErr w:type="spellEnd"/>
      <w:r w:rsidRPr="00EC15DD">
        <w:rPr>
          <w:rFonts w:ascii="Arial" w:hAnsi="Arial" w:cs="Arial"/>
          <w:bCs/>
          <w:lang w:val="en-US"/>
        </w:rPr>
        <w:t xml:space="preserve"> </w:t>
      </w:r>
      <w:proofErr w:type="spellStart"/>
      <w:r w:rsidRPr="00EC15DD">
        <w:rPr>
          <w:rFonts w:ascii="Arial" w:hAnsi="Arial" w:cs="Arial"/>
          <w:bCs/>
          <w:lang w:val="en-US"/>
        </w:rPr>
        <w:t>Chemother</w:t>
      </w:r>
      <w:proofErr w:type="spellEnd"/>
      <w:r w:rsidRPr="00EC15DD">
        <w:rPr>
          <w:rFonts w:ascii="Arial" w:hAnsi="Arial" w:cs="Arial"/>
          <w:bCs/>
          <w:lang w:val="en-US"/>
        </w:rPr>
        <w:t>. 2017;72:246-253.</w:t>
      </w:r>
    </w:p>
    <w:p w:rsidR="00C30315" w:rsidRPr="00EC15DD" w:rsidRDefault="00C30315" w:rsidP="002933AD">
      <w:pPr>
        <w:spacing w:line="480" w:lineRule="auto"/>
        <w:jc w:val="both"/>
        <w:rPr>
          <w:rFonts w:ascii="Arial" w:hAnsi="Arial" w:cs="Arial"/>
          <w:bCs/>
          <w:lang w:val="en-US"/>
        </w:rPr>
      </w:pPr>
      <w:r w:rsidRPr="00EC15DD">
        <w:rPr>
          <w:rFonts w:ascii="Arial" w:hAnsi="Arial" w:cs="Arial"/>
          <w:bCs/>
          <w:lang w:val="en-US"/>
        </w:rPr>
        <w:t xml:space="preserve">5. Di </w:t>
      </w:r>
      <w:proofErr w:type="spellStart"/>
      <w:r w:rsidRPr="00EC15DD">
        <w:rPr>
          <w:rFonts w:ascii="Arial" w:hAnsi="Arial" w:cs="Arial"/>
          <w:bCs/>
          <w:lang w:val="en-US"/>
        </w:rPr>
        <w:t>Giambenedetto</w:t>
      </w:r>
      <w:proofErr w:type="spellEnd"/>
      <w:r w:rsidRPr="00EC15DD">
        <w:rPr>
          <w:rFonts w:ascii="Arial" w:hAnsi="Arial" w:cs="Arial"/>
          <w:bCs/>
          <w:lang w:val="en-US"/>
        </w:rPr>
        <w:t xml:space="preserve"> S, </w:t>
      </w:r>
      <w:proofErr w:type="spellStart"/>
      <w:r w:rsidRPr="00EC15DD">
        <w:rPr>
          <w:rFonts w:ascii="Arial" w:hAnsi="Arial" w:cs="Arial"/>
          <w:bCs/>
          <w:lang w:val="en-US"/>
        </w:rPr>
        <w:t>Fabbiani</w:t>
      </w:r>
      <w:proofErr w:type="spellEnd"/>
      <w:r w:rsidRPr="00EC15DD">
        <w:rPr>
          <w:rFonts w:ascii="Arial" w:hAnsi="Arial" w:cs="Arial"/>
          <w:bCs/>
          <w:lang w:val="en-US"/>
        </w:rPr>
        <w:t xml:space="preserve"> M, </w:t>
      </w:r>
      <w:proofErr w:type="spellStart"/>
      <w:r w:rsidRPr="00EC15DD">
        <w:rPr>
          <w:rFonts w:ascii="Arial" w:hAnsi="Arial" w:cs="Arial"/>
          <w:bCs/>
          <w:lang w:val="en-US"/>
        </w:rPr>
        <w:t>Quiros</w:t>
      </w:r>
      <w:proofErr w:type="spellEnd"/>
      <w:r w:rsidRPr="00EC15DD">
        <w:rPr>
          <w:rFonts w:ascii="Arial" w:hAnsi="Arial" w:cs="Arial"/>
          <w:bCs/>
          <w:lang w:val="en-US"/>
        </w:rPr>
        <w:t xml:space="preserve"> Roldan E, et al; Atlas-M Study Group. </w:t>
      </w:r>
      <w:r w:rsidRPr="00EC15DD">
        <w:rPr>
          <w:rFonts w:ascii="Arial" w:hAnsi="Arial" w:cs="Arial"/>
          <w:bCs/>
          <w:lang w:val="en-US"/>
        </w:rPr>
        <w:lastRenderedPageBreak/>
        <w:t>Treatment simplification to atazanavir/ritonavir</w:t>
      </w:r>
      <w:r w:rsidRPr="00EC15DD">
        <w:rPr>
          <w:rFonts w:ascii="Arial Unicode MS" w:eastAsia="Arial Unicode MS" w:hAnsi="Arial Unicode MS" w:cs="Arial Unicode MS" w:hint="eastAsia"/>
          <w:bCs/>
          <w:lang w:val="en-US"/>
        </w:rPr>
        <w:t> </w:t>
      </w:r>
      <w:r w:rsidRPr="00EC15DD">
        <w:rPr>
          <w:rFonts w:ascii="Arial" w:hAnsi="Arial" w:cs="Arial"/>
          <w:bCs/>
          <w:lang w:val="en-US"/>
        </w:rPr>
        <w:t>+</w:t>
      </w:r>
      <w:r w:rsidRPr="00EC15DD">
        <w:rPr>
          <w:rFonts w:ascii="Arial Unicode MS" w:eastAsia="Arial Unicode MS" w:hAnsi="Arial Unicode MS" w:cs="Arial Unicode MS" w:hint="eastAsia"/>
          <w:bCs/>
          <w:lang w:val="en-US"/>
        </w:rPr>
        <w:t> </w:t>
      </w:r>
      <w:r w:rsidRPr="00EC15DD">
        <w:rPr>
          <w:rFonts w:ascii="Arial" w:hAnsi="Arial" w:cs="Arial"/>
          <w:bCs/>
          <w:lang w:val="en-US"/>
        </w:rPr>
        <w:t>lamivudine versus maintenance of atazanavir/ritonavir</w:t>
      </w:r>
      <w:r w:rsidRPr="00EC15DD">
        <w:rPr>
          <w:rFonts w:ascii="Arial Unicode MS" w:eastAsia="Arial Unicode MS" w:hAnsi="Arial Unicode MS" w:cs="Arial Unicode MS" w:hint="eastAsia"/>
          <w:bCs/>
          <w:lang w:val="en-US"/>
        </w:rPr>
        <w:t> </w:t>
      </w:r>
      <w:r w:rsidRPr="00EC15DD">
        <w:rPr>
          <w:rFonts w:ascii="Arial" w:hAnsi="Arial" w:cs="Arial"/>
          <w:bCs/>
          <w:lang w:val="en-US"/>
        </w:rPr>
        <w:t>+</w:t>
      </w:r>
      <w:r w:rsidRPr="00EC15DD">
        <w:rPr>
          <w:rFonts w:ascii="Arial Unicode MS" w:eastAsia="Arial Unicode MS" w:hAnsi="Arial Unicode MS" w:cs="Arial Unicode MS" w:hint="eastAsia"/>
          <w:bCs/>
          <w:lang w:val="en-US"/>
        </w:rPr>
        <w:t> </w:t>
      </w:r>
      <w:r w:rsidRPr="00EC15DD">
        <w:rPr>
          <w:rFonts w:ascii="Arial" w:hAnsi="Arial" w:cs="Arial"/>
          <w:bCs/>
          <w:lang w:val="en-US"/>
        </w:rPr>
        <w:t xml:space="preserve">two </w:t>
      </w:r>
      <w:proofErr w:type="spellStart"/>
      <w:r w:rsidRPr="00EC15DD">
        <w:rPr>
          <w:rFonts w:ascii="Arial" w:hAnsi="Arial" w:cs="Arial"/>
          <w:bCs/>
          <w:lang w:val="en-US"/>
        </w:rPr>
        <w:t>NRTIs</w:t>
      </w:r>
      <w:proofErr w:type="spellEnd"/>
      <w:r w:rsidRPr="00EC15DD">
        <w:rPr>
          <w:rFonts w:ascii="Arial" w:hAnsi="Arial" w:cs="Arial"/>
          <w:bCs/>
          <w:lang w:val="en-US"/>
        </w:rPr>
        <w:t xml:space="preserve"> in </w:t>
      </w:r>
      <w:proofErr w:type="spellStart"/>
      <w:r w:rsidRPr="00EC15DD">
        <w:rPr>
          <w:rFonts w:ascii="Arial" w:hAnsi="Arial" w:cs="Arial"/>
          <w:bCs/>
          <w:lang w:val="en-US"/>
        </w:rPr>
        <w:t>virologically</w:t>
      </w:r>
      <w:proofErr w:type="spellEnd"/>
      <w:r w:rsidRPr="00EC15DD">
        <w:rPr>
          <w:rFonts w:ascii="Arial" w:hAnsi="Arial" w:cs="Arial"/>
          <w:bCs/>
          <w:lang w:val="en-US"/>
        </w:rPr>
        <w:t xml:space="preserve"> suppressed HIV-1-infected patients: 48 week results from a randomized trial (ATLAS-M). J </w:t>
      </w:r>
      <w:proofErr w:type="spellStart"/>
      <w:r w:rsidRPr="00EC15DD">
        <w:rPr>
          <w:rFonts w:ascii="Arial" w:hAnsi="Arial" w:cs="Arial"/>
          <w:bCs/>
          <w:lang w:val="en-US"/>
        </w:rPr>
        <w:t>Antimicrob</w:t>
      </w:r>
      <w:proofErr w:type="spellEnd"/>
      <w:r w:rsidRPr="00EC15DD">
        <w:rPr>
          <w:rFonts w:ascii="Arial" w:hAnsi="Arial" w:cs="Arial"/>
          <w:bCs/>
          <w:lang w:val="en-US"/>
        </w:rPr>
        <w:t xml:space="preserve"> </w:t>
      </w:r>
      <w:proofErr w:type="spellStart"/>
      <w:r w:rsidRPr="00EC15DD">
        <w:rPr>
          <w:rFonts w:ascii="Arial" w:hAnsi="Arial" w:cs="Arial"/>
          <w:bCs/>
          <w:lang w:val="en-US"/>
        </w:rPr>
        <w:t>Chemother</w:t>
      </w:r>
      <w:proofErr w:type="spellEnd"/>
      <w:r w:rsidRPr="00EC15DD">
        <w:rPr>
          <w:rFonts w:ascii="Arial" w:hAnsi="Arial" w:cs="Arial"/>
          <w:bCs/>
          <w:lang w:val="en-US"/>
        </w:rPr>
        <w:t>. 2017 Jan 15. [</w:t>
      </w:r>
      <w:proofErr w:type="spellStart"/>
      <w:r w:rsidRPr="00EC15DD">
        <w:rPr>
          <w:rFonts w:ascii="Arial" w:hAnsi="Arial" w:cs="Arial"/>
          <w:bCs/>
          <w:lang w:val="en-US"/>
        </w:rPr>
        <w:t>Epub</w:t>
      </w:r>
      <w:proofErr w:type="spellEnd"/>
      <w:r w:rsidRPr="00EC15DD">
        <w:rPr>
          <w:rFonts w:ascii="Arial" w:hAnsi="Arial" w:cs="Arial"/>
          <w:bCs/>
          <w:lang w:val="en-US"/>
        </w:rPr>
        <w:t xml:space="preserve"> ahead of print]</w:t>
      </w:r>
    </w:p>
    <w:p w:rsidR="00C30315" w:rsidRPr="00777569" w:rsidRDefault="00C30315" w:rsidP="002933AD">
      <w:pPr>
        <w:spacing w:line="480" w:lineRule="auto"/>
        <w:jc w:val="both"/>
        <w:rPr>
          <w:rFonts w:ascii="Arial" w:hAnsi="Arial" w:cs="Arial"/>
          <w:bCs/>
          <w:lang w:val="fr-FR"/>
        </w:rPr>
      </w:pPr>
      <w:r w:rsidRPr="0055791A">
        <w:rPr>
          <w:rFonts w:ascii="Arial" w:hAnsi="Arial" w:cs="Arial"/>
          <w:bCs/>
          <w:lang w:val="en-US"/>
        </w:rPr>
        <w:t xml:space="preserve">6. Pulido F, Ribera E, </w:t>
      </w:r>
      <w:proofErr w:type="spellStart"/>
      <w:r w:rsidRPr="0055791A">
        <w:rPr>
          <w:rFonts w:ascii="Arial" w:hAnsi="Arial" w:cs="Arial"/>
          <w:bCs/>
          <w:lang w:val="en-US"/>
        </w:rPr>
        <w:t>Lagarde</w:t>
      </w:r>
      <w:proofErr w:type="spellEnd"/>
      <w:r w:rsidRPr="0055791A">
        <w:rPr>
          <w:rFonts w:ascii="Arial" w:hAnsi="Arial" w:cs="Arial"/>
          <w:bCs/>
          <w:lang w:val="en-US"/>
        </w:rPr>
        <w:t xml:space="preserve"> M, et al. </w:t>
      </w:r>
      <w:r w:rsidRPr="00EC15DD">
        <w:rPr>
          <w:rFonts w:ascii="Arial" w:hAnsi="Arial" w:cs="Arial"/>
          <w:bCs/>
          <w:lang w:val="en-US"/>
        </w:rPr>
        <w:t xml:space="preserve">Non-inferiority of dual-therapy (DT) with darunavir/ritonavir (DRV/r) plus 3TC versus triple-therapy (TT) with DRV/r plus </w:t>
      </w:r>
      <w:proofErr w:type="spellStart"/>
      <w:r w:rsidRPr="00EC15DD">
        <w:rPr>
          <w:rFonts w:ascii="Arial" w:hAnsi="Arial" w:cs="Arial"/>
          <w:bCs/>
          <w:lang w:val="en-US"/>
        </w:rPr>
        <w:t>TDF</w:t>
      </w:r>
      <w:proofErr w:type="spellEnd"/>
      <w:r w:rsidRPr="00EC15DD">
        <w:rPr>
          <w:rFonts w:ascii="Arial" w:hAnsi="Arial" w:cs="Arial"/>
          <w:bCs/>
          <w:lang w:val="en-US"/>
        </w:rPr>
        <w:t>/FTC or ABC/3TC for maintenance of viral suppression: 48-week results of the DUAL-</w:t>
      </w:r>
      <w:proofErr w:type="spellStart"/>
      <w:r w:rsidRPr="00EC15DD">
        <w:rPr>
          <w:rFonts w:ascii="Arial" w:hAnsi="Arial" w:cs="Arial"/>
          <w:bCs/>
          <w:lang w:val="en-US"/>
        </w:rPr>
        <w:t>GESIDA</w:t>
      </w:r>
      <w:proofErr w:type="spellEnd"/>
      <w:r w:rsidRPr="00EC15DD">
        <w:rPr>
          <w:rFonts w:ascii="Arial" w:hAnsi="Arial" w:cs="Arial"/>
          <w:bCs/>
          <w:lang w:val="en-US"/>
        </w:rPr>
        <w:t xml:space="preserve"> 8014 trial. Program and abstracts of the 2016 International Congress of Drug Therapy in HIV Infection; October 23-26, 2016; Glasgow, United Kingdom. </w:t>
      </w:r>
      <w:r w:rsidRPr="00777569">
        <w:rPr>
          <w:rFonts w:ascii="Arial" w:hAnsi="Arial" w:cs="Arial"/>
          <w:bCs/>
          <w:lang w:val="fr-FR"/>
        </w:rPr>
        <w:t>Abstract O331.</w:t>
      </w:r>
    </w:p>
    <w:p w:rsidR="00C30315" w:rsidRPr="00EC15DD" w:rsidRDefault="00C30315" w:rsidP="002933AD">
      <w:pPr>
        <w:spacing w:line="480" w:lineRule="auto"/>
        <w:jc w:val="both"/>
        <w:rPr>
          <w:rFonts w:ascii="Arial" w:hAnsi="Arial" w:cs="Arial"/>
          <w:bCs/>
          <w:lang w:val="en-US"/>
        </w:rPr>
      </w:pPr>
      <w:r w:rsidRPr="00777569">
        <w:rPr>
          <w:rFonts w:ascii="Arial" w:hAnsi="Arial" w:cs="Arial"/>
          <w:bCs/>
          <w:lang w:val="fr-FR"/>
        </w:rPr>
        <w:t xml:space="preserve">7. </w:t>
      </w:r>
      <w:proofErr w:type="spellStart"/>
      <w:r w:rsidRPr="00777569">
        <w:rPr>
          <w:rFonts w:ascii="Arial" w:hAnsi="Arial" w:cs="Arial"/>
          <w:bCs/>
          <w:lang w:val="fr-FR"/>
        </w:rPr>
        <w:t>Llibre</w:t>
      </w:r>
      <w:proofErr w:type="spellEnd"/>
      <w:r w:rsidRPr="00777569">
        <w:rPr>
          <w:rFonts w:ascii="Arial" w:hAnsi="Arial" w:cs="Arial"/>
          <w:bCs/>
          <w:lang w:val="fr-FR"/>
        </w:rPr>
        <w:t xml:space="preserve"> </w:t>
      </w:r>
      <w:proofErr w:type="spellStart"/>
      <w:r w:rsidRPr="00777569">
        <w:rPr>
          <w:rFonts w:ascii="Arial" w:hAnsi="Arial" w:cs="Arial"/>
          <w:bCs/>
          <w:lang w:val="fr-FR"/>
        </w:rPr>
        <w:t>JM</w:t>
      </w:r>
      <w:proofErr w:type="spellEnd"/>
      <w:r w:rsidRPr="00777569">
        <w:rPr>
          <w:rFonts w:ascii="Arial" w:hAnsi="Arial" w:cs="Arial"/>
          <w:bCs/>
          <w:lang w:val="fr-FR"/>
        </w:rPr>
        <w:t xml:space="preserve">, Hung CC, </w:t>
      </w:r>
      <w:proofErr w:type="spellStart"/>
      <w:r w:rsidRPr="00777569">
        <w:rPr>
          <w:rFonts w:ascii="Arial" w:hAnsi="Arial" w:cs="Arial"/>
          <w:bCs/>
          <w:lang w:val="fr-FR"/>
        </w:rPr>
        <w:t>Brinson</w:t>
      </w:r>
      <w:proofErr w:type="spellEnd"/>
      <w:r w:rsidRPr="00777569">
        <w:rPr>
          <w:rFonts w:ascii="Arial" w:hAnsi="Arial" w:cs="Arial"/>
          <w:bCs/>
          <w:lang w:val="fr-FR"/>
        </w:rPr>
        <w:t xml:space="preserve"> C, et al. </w:t>
      </w:r>
      <w:r w:rsidRPr="00EC15DD">
        <w:rPr>
          <w:rFonts w:ascii="Arial" w:hAnsi="Arial" w:cs="Arial"/>
          <w:bCs/>
          <w:lang w:val="en-US"/>
        </w:rPr>
        <w:t xml:space="preserve">Phase III SWORD 1&amp;2: Switch To </w:t>
      </w:r>
      <w:proofErr w:type="spellStart"/>
      <w:r w:rsidRPr="00EC15DD">
        <w:rPr>
          <w:rFonts w:ascii="Arial" w:hAnsi="Arial" w:cs="Arial"/>
          <w:bCs/>
          <w:lang w:val="en-US"/>
        </w:rPr>
        <w:t>DTG+RPV</w:t>
      </w:r>
      <w:proofErr w:type="spellEnd"/>
      <w:r w:rsidRPr="00EC15DD">
        <w:rPr>
          <w:rFonts w:ascii="Arial" w:hAnsi="Arial" w:cs="Arial"/>
          <w:bCs/>
          <w:lang w:val="en-US"/>
        </w:rPr>
        <w:t xml:space="preserve"> Maintains </w:t>
      </w:r>
      <w:proofErr w:type="spellStart"/>
      <w:r w:rsidRPr="00EC15DD">
        <w:rPr>
          <w:rFonts w:ascii="Arial" w:hAnsi="Arial" w:cs="Arial"/>
          <w:bCs/>
          <w:lang w:val="en-US"/>
        </w:rPr>
        <w:t>Virologic</w:t>
      </w:r>
      <w:proofErr w:type="spellEnd"/>
      <w:r w:rsidRPr="00EC15DD">
        <w:rPr>
          <w:rFonts w:ascii="Arial" w:hAnsi="Arial" w:cs="Arial"/>
          <w:bCs/>
          <w:lang w:val="en-US"/>
        </w:rPr>
        <w:t xml:space="preserve"> Suppression Through 48 Wks. Conference on Retroviruses and Opportunistic Infections (</w:t>
      </w:r>
      <w:proofErr w:type="spellStart"/>
      <w:r w:rsidRPr="00EC15DD">
        <w:rPr>
          <w:rFonts w:ascii="Arial" w:hAnsi="Arial" w:cs="Arial"/>
          <w:bCs/>
          <w:lang w:val="en-US"/>
        </w:rPr>
        <w:t>CROI</w:t>
      </w:r>
      <w:proofErr w:type="spellEnd"/>
      <w:r w:rsidRPr="00EC15DD">
        <w:rPr>
          <w:rFonts w:ascii="Arial" w:hAnsi="Arial" w:cs="Arial"/>
          <w:bCs/>
          <w:lang w:val="en-US"/>
        </w:rPr>
        <w:t>), February 13-16, 2017, Seattle. Abstract 44LB.</w:t>
      </w:r>
    </w:p>
    <w:p w:rsidR="00C30315" w:rsidRDefault="00C30315" w:rsidP="002933AD">
      <w:pPr>
        <w:spacing w:line="480" w:lineRule="auto"/>
        <w:jc w:val="both"/>
        <w:rPr>
          <w:rFonts w:ascii="Arial" w:hAnsi="Arial" w:cs="Arial"/>
          <w:bCs/>
          <w:lang w:val="en-US"/>
        </w:rPr>
      </w:pPr>
      <w:r w:rsidRPr="00EC15DD">
        <w:rPr>
          <w:rFonts w:ascii="Arial" w:hAnsi="Arial" w:cs="Arial"/>
          <w:bCs/>
          <w:lang w:val="en-US"/>
        </w:rPr>
        <w:t xml:space="preserve">8. Best BM, </w:t>
      </w:r>
      <w:proofErr w:type="spellStart"/>
      <w:r w:rsidRPr="00EC15DD">
        <w:rPr>
          <w:rFonts w:ascii="Arial" w:hAnsi="Arial" w:cs="Arial"/>
          <w:bCs/>
          <w:lang w:val="en-US"/>
        </w:rPr>
        <w:t>Letendre</w:t>
      </w:r>
      <w:proofErr w:type="spellEnd"/>
      <w:r w:rsidRPr="00EC15DD">
        <w:rPr>
          <w:rFonts w:ascii="Arial" w:hAnsi="Arial" w:cs="Arial"/>
          <w:bCs/>
          <w:lang w:val="en-US"/>
        </w:rPr>
        <w:t xml:space="preserve"> SL, Brigid E, et al; CHARTER Group. Low atazanavir concentrations in cerebrospinal fluid. AIDS. 2009;23:83-7.</w:t>
      </w:r>
    </w:p>
    <w:p w:rsidR="00C30315" w:rsidRPr="00DD6395" w:rsidRDefault="00C30315" w:rsidP="002933AD">
      <w:pPr>
        <w:spacing w:line="480" w:lineRule="auto"/>
        <w:jc w:val="both"/>
        <w:rPr>
          <w:rFonts w:ascii="Arial" w:hAnsi="Arial" w:cs="Arial"/>
          <w:bCs/>
          <w:lang w:val="en-US"/>
        </w:rPr>
      </w:pPr>
      <w:r w:rsidRPr="00DD6395">
        <w:rPr>
          <w:rFonts w:ascii="Arial" w:hAnsi="Arial" w:cs="Arial"/>
          <w:bCs/>
          <w:lang w:val="en-US"/>
        </w:rPr>
        <w:t xml:space="preserve">9   Else L, Watson V, </w:t>
      </w:r>
      <w:proofErr w:type="spellStart"/>
      <w:r w:rsidRPr="00DD6395">
        <w:rPr>
          <w:rFonts w:ascii="Arial" w:hAnsi="Arial" w:cs="Arial"/>
          <w:bCs/>
          <w:lang w:val="en-US"/>
        </w:rPr>
        <w:t>Tjia</w:t>
      </w:r>
      <w:proofErr w:type="spellEnd"/>
      <w:r w:rsidRPr="00DD6395">
        <w:rPr>
          <w:rFonts w:ascii="Arial" w:hAnsi="Arial" w:cs="Arial"/>
          <w:bCs/>
          <w:lang w:val="en-US"/>
        </w:rPr>
        <w:t xml:space="preserve"> J, et al. Validation of a rapid and sensitive high-performance liquid chromatography-tandem mass</w:t>
      </w:r>
      <w:r>
        <w:rPr>
          <w:rFonts w:ascii="Arial" w:hAnsi="Arial" w:cs="Arial"/>
          <w:bCs/>
          <w:lang w:val="en-US"/>
        </w:rPr>
        <w:t xml:space="preserve"> </w:t>
      </w:r>
      <w:r w:rsidRPr="00DD6395">
        <w:rPr>
          <w:rFonts w:ascii="Arial" w:hAnsi="Arial" w:cs="Arial"/>
          <w:bCs/>
          <w:lang w:val="en-US"/>
        </w:rPr>
        <w:t xml:space="preserve">spectrometry (HPLC-MS/MS) assay for the simultaneous determination of existing and new antiretroviral compounds. J </w:t>
      </w:r>
      <w:proofErr w:type="spellStart"/>
      <w:r w:rsidRPr="00DD6395">
        <w:rPr>
          <w:rFonts w:ascii="Arial" w:hAnsi="Arial" w:cs="Arial"/>
          <w:bCs/>
          <w:lang w:val="en-US"/>
        </w:rPr>
        <w:t>Chromatogr</w:t>
      </w:r>
      <w:proofErr w:type="spellEnd"/>
      <w:r w:rsidRPr="00DD6395">
        <w:rPr>
          <w:rFonts w:ascii="Arial" w:hAnsi="Arial" w:cs="Arial"/>
          <w:bCs/>
          <w:lang w:val="en-US"/>
        </w:rPr>
        <w:t xml:space="preserve"> B </w:t>
      </w:r>
      <w:proofErr w:type="spellStart"/>
      <w:r w:rsidRPr="00DD6395">
        <w:rPr>
          <w:rFonts w:ascii="Arial" w:hAnsi="Arial" w:cs="Arial"/>
          <w:bCs/>
          <w:lang w:val="en-US"/>
        </w:rPr>
        <w:t>Analyt</w:t>
      </w:r>
      <w:proofErr w:type="spellEnd"/>
      <w:r w:rsidRPr="00DD6395">
        <w:rPr>
          <w:rFonts w:ascii="Arial" w:hAnsi="Arial" w:cs="Arial"/>
          <w:bCs/>
          <w:lang w:val="en-US"/>
        </w:rPr>
        <w:t xml:space="preserve"> </w:t>
      </w:r>
      <w:proofErr w:type="spellStart"/>
      <w:r w:rsidRPr="00DD6395">
        <w:rPr>
          <w:rFonts w:ascii="Arial" w:hAnsi="Arial" w:cs="Arial"/>
          <w:bCs/>
          <w:lang w:val="en-US"/>
        </w:rPr>
        <w:t>Tec</w:t>
      </w:r>
      <w:r>
        <w:rPr>
          <w:rFonts w:ascii="Arial" w:hAnsi="Arial" w:cs="Arial"/>
          <w:bCs/>
          <w:lang w:val="en-US"/>
        </w:rPr>
        <w:t>hnol</w:t>
      </w:r>
      <w:proofErr w:type="spellEnd"/>
      <w:r>
        <w:rPr>
          <w:rFonts w:ascii="Arial" w:hAnsi="Arial" w:cs="Arial"/>
          <w:bCs/>
          <w:lang w:val="en-US"/>
        </w:rPr>
        <w:t xml:space="preserve"> Biomed Life Sci. 2010;878</w:t>
      </w:r>
      <w:r w:rsidRPr="00DD6395">
        <w:rPr>
          <w:rFonts w:ascii="Arial" w:hAnsi="Arial" w:cs="Arial"/>
          <w:bCs/>
          <w:lang w:val="en-US"/>
        </w:rPr>
        <w:t>:1455-65.</w:t>
      </w:r>
    </w:p>
    <w:p w:rsidR="00C30315" w:rsidRPr="00EC15DD" w:rsidRDefault="00C30315" w:rsidP="002933AD">
      <w:pPr>
        <w:spacing w:line="480" w:lineRule="auto"/>
        <w:jc w:val="both"/>
        <w:rPr>
          <w:rFonts w:ascii="Arial" w:hAnsi="Arial" w:cs="Arial"/>
          <w:bCs/>
          <w:lang w:val="en-US"/>
        </w:rPr>
      </w:pPr>
      <w:r w:rsidRPr="00DD6395">
        <w:rPr>
          <w:rFonts w:ascii="Arial" w:hAnsi="Arial" w:cs="Arial"/>
          <w:bCs/>
          <w:lang w:val="en-US"/>
        </w:rPr>
        <w:t xml:space="preserve">10.  Else </w:t>
      </w:r>
      <w:proofErr w:type="spellStart"/>
      <w:r w:rsidRPr="00DD6395">
        <w:rPr>
          <w:rFonts w:ascii="Arial" w:hAnsi="Arial" w:cs="Arial"/>
          <w:bCs/>
          <w:lang w:val="en-US"/>
        </w:rPr>
        <w:t>LJ</w:t>
      </w:r>
      <w:proofErr w:type="spellEnd"/>
      <w:r w:rsidRPr="00DD6395">
        <w:rPr>
          <w:rFonts w:ascii="Arial" w:hAnsi="Arial" w:cs="Arial"/>
          <w:bCs/>
          <w:lang w:val="en-US"/>
        </w:rPr>
        <w:t xml:space="preserve">, Jackson A, Puls R, et al. Pharmacokinetics of lamivudine and lamivudine-triphosphate after administration of 300 milligrams and 150 milligrams </w:t>
      </w:r>
      <w:r w:rsidRPr="00DD6395">
        <w:rPr>
          <w:rFonts w:ascii="Arial" w:hAnsi="Arial" w:cs="Arial"/>
          <w:bCs/>
          <w:lang w:val="en-US"/>
        </w:rPr>
        <w:lastRenderedPageBreak/>
        <w:t xml:space="preserve">once daily to healthy volunteers: results of the ENCORE 2 study. </w:t>
      </w:r>
      <w:proofErr w:type="spellStart"/>
      <w:r w:rsidRPr="00DD6395">
        <w:rPr>
          <w:rFonts w:ascii="Arial" w:hAnsi="Arial" w:cs="Arial"/>
          <w:bCs/>
          <w:lang w:val="en-US"/>
        </w:rPr>
        <w:t>Antimicrob</w:t>
      </w:r>
      <w:proofErr w:type="spellEnd"/>
      <w:r w:rsidRPr="00DD6395">
        <w:rPr>
          <w:rFonts w:ascii="Arial" w:hAnsi="Arial" w:cs="Arial"/>
          <w:bCs/>
          <w:lang w:val="en-US"/>
        </w:rPr>
        <w:t xml:space="preserve"> Agents </w:t>
      </w:r>
      <w:proofErr w:type="spellStart"/>
      <w:r w:rsidRPr="00DD6395">
        <w:rPr>
          <w:rFonts w:ascii="Arial" w:hAnsi="Arial" w:cs="Arial"/>
          <w:bCs/>
          <w:lang w:val="en-US"/>
        </w:rPr>
        <w:t>Chemother</w:t>
      </w:r>
      <w:proofErr w:type="spellEnd"/>
      <w:r w:rsidRPr="00DD6395">
        <w:rPr>
          <w:rFonts w:ascii="Arial" w:hAnsi="Arial" w:cs="Arial"/>
          <w:bCs/>
          <w:lang w:val="en-US"/>
        </w:rPr>
        <w:t>. 2012</w:t>
      </w:r>
      <w:r>
        <w:rPr>
          <w:rFonts w:ascii="Arial" w:hAnsi="Arial" w:cs="Arial"/>
          <w:bCs/>
          <w:lang w:val="en-US"/>
        </w:rPr>
        <w:t>;56</w:t>
      </w:r>
      <w:r w:rsidRPr="00DD6395">
        <w:rPr>
          <w:rFonts w:ascii="Arial" w:hAnsi="Arial" w:cs="Arial"/>
          <w:bCs/>
          <w:lang w:val="en-US"/>
        </w:rPr>
        <w:t>:1427-33</w:t>
      </w:r>
    </w:p>
    <w:p w:rsidR="00C30315" w:rsidRPr="00EC15DD" w:rsidRDefault="00C30315" w:rsidP="002933AD">
      <w:pPr>
        <w:spacing w:line="480" w:lineRule="auto"/>
        <w:jc w:val="both"/>
        <w:rPr>
          <w:rFonts w:ascii="Arial" w:hAnsi="Arial" w:cs="Arial"/>
          <w:bCs/>
          <w:lang w:val="en-US"/>
        </w:rPr>
      </w:pPr>
      <w:r>
        <w:rPr>
          <w:rFonts w:ascii="Arial" w:hAnsi="Arial" w:cs="Arial"/>
          <w:bCs/>
          <w:lang w:val="en-US"/>
        </w:rPr>
        <w:t>11</w:t>
      </w:r>
      <w:r w:rsidRPr="00EC15DD">
        <w:rPr>
          <w:rFonts w:ascii="Arial" w:hAnsi="Arial" w:cs="Arial"/>
          <w:bCs/>
          <w:lang w:val="en-US"/>
        </w:rPr>
        <w:t xml:space="preserve">. Food and Drug Administration. Prescribing information for </w:t>
      </w:r>
      <w:proofErr w:type="spellStart"/>
      <w:r w:rsidRPr="00EC15DD">
        <w:rPr>
          <w:rFonts w:ascii="Arial" w:hAnsi="Arial" w:cs="Arial"/>
          <w:bCs/>
          <w:lang w:val="en-US"/>
        </w:rPr>
        <w:t>EPIVIR</w:t>
      </w:r>
      <w:proofErr w:type="spellEnd"/>
      <w:r w:rsidRPr="00EC15DD">
        <w:rPr>
          <w:rFonts w:ascii="Arial" w:hAnsi="Arial" w:cs="Arial"/>
          <w:bCs/>
          <w:lang w:val="en-US"/>
        </w:rPr>
        <w:t>. http:// http://www.accessdata.fda.gov/drugsatfda_docs/label/2015/020564s035,020596s034lbl.pdf (20 March 2017, date last accessed)</w:t>
      </w:r>
    </w:p>
    <w:p w:rsidR="00C30315" w:rsidRPr="00EC15DD" w:rsidRDefault="00C30315" w:rsidP="002933AD">
      <w:pPr>
        <w:spacing w:line="480" w:lineRule="auto"/>
        <w:jc w:val="both"/>
        <w:rPr>
          <w:rFonts w:ascii="Arial" w:hAnsi="Arial" w:cs="Arial"/>
          <w:bCs/>
          <w:lang w:val="en-US"/>
        </w:rPr>
      </w:pPr>
      <w:r w:rsidRPr="00EC15DD">
        <w:rPr>
          <w:rFonts w:ascii="Arial" w:hAnsi="Arial" w:cs="Arial"/>
          <w:bCs/>
          <w:lang w:val="en-US"/>
        </w:rPr>
        <w:t>1</w:t>
      </w:r>
      <w:r>
        <w:rPr>
          <w:rFonts w:ascii="Arial" w:hAnsi="Arial" w:cs="Arial"/>
          <w:bCs/>
          <w:lang w:val="en-US"/>
        </w:rPr>
        <w:t>2</w:t>
      </w:r>
      <w:r w:rsidRPr="00EC15DD">
        <w:rPr>
          <w:rFonts w:ascii="Arial" w:hAnsi="Arial" w:cs="Arial"/>
          <w:bCs/>
          <w:lang w:val="en-US"/>
        </w:rPr>
        <w:t xml:space="preserve">. Yilmaz A, Price </w:t>
      </w:r>
      <w:proofErr w:type="spellStart"/>
      <w:r w:rsidRPr="00EC15DD">
        <w:rPr>
          <w:rFonts w:ascii="Arial" w:hAnsi="Arial" w:cs="Arial"/>
          <w:bCs/>
          <w:lang w:val="en-US"/>
        </w:rPr>
        <w:t>RW</w:t>
      </w:r>
      <w:proofErr w:type="spellEnd"/>
      <w:r w:rsidRPr="00EC15DD">
        <w:rPr>
          <w:rFonts w:ascii="Arial" w:hAnsi="Arial" w:cs="Arial"/>
          <w:bCs/>
          <w:lang w:val="en-US"/>
        </w:rPr>
        <w:t xml:space="preserve">, </w:t>
      </w:r>
      <w:proofErr w:type="spellStart"/>
      <w:r w:rsidRPr="00EC15DD">
        <w:rPr>
          <w:rFonts w:ascii="Arial" w:hAnsi="Arial" w:cs="Arial"/>
          <w:bCs/>
          <w:lang w:val="en-US"/>
        </w:rPr>
        <w:t>Gisslén</w:t>
      </w:r>
      <w:proofErr w:type="spellEnd"/>
      <w:r w:rsidRPr="00EC15DD">
        <w:rPr>
          <w:rFonts w:ascii="Arial" w:hAnsi="Arial" w:cs="Arial"/>
          <w:bCs/>
          <w:lang w:val="en-US"/>
        </w:rPr>
        <w:t xml:space="preserve"> M. Antiretroviral drug treatment of CNS HIV-1 infection. J </w:t>
      </w:r>
      <w:proofErr w:type="spellStart"/>
      <w:r w:rsidRPr="00EC15DD">
        <w:rPr>
          <w:rFonts w:ascii="Arial" w:hAnsi="Arial" w:cs="Arial"/>
          <w:bCs/>
          <w:lang w:val="en-US"/>
        </w:rPr>
        <w:t>Antimicrob</w:t>
      </w:r>
      <w:proofErr w:type="spellEnd"/>
      <w:r w:rsidRPr="00EC15DD">
        <w:rPr>
          <w:rFonts w:ascii="Arial" w:hAnsi="Arial" w:cs="Arial"/>
          <w:bCs/>
          <w:lang w:val="en-US"/>
        </w:rPr>
        <w:t xml:space="preserve"> </w:t>
      </w:r>
      <w:proofErr w:type="spellStart"/>
      <w:r w:rsidRPr="00EC15DD">
        <w:rPr>
          <w:rFonts w:ascii="Arial" w:hAnsi="Arial" w:cs="Arial"/>
          <w:bCs/>
          <w:lang w:val="en-US"/>
        </w:rPr>
        <w:t>Chemother</w:t>
      </w:r>
      <w:proofErr w:type="spellEnd"/>
      <w:r w:rsidRPr="00EC15DD">
        <w:rPr>
          <w:rFonts w:ascii="Arial" w:hAnsi="Arial" w:cs="Arial"/>
          <w:bCs/>
          <w:lang w:val="en-US"/>
        </w:rPr>
        <w:t>. 2012;67:299-311.</w:t>
      </w:r>
    </w:p>
    <w:p w:rsidR="00C30315" w:rsidRPr="00EC15DD" w:rsidRDefault="00C30315" w:rsidP="002933AD">
      <w:pPr>
        <w:spacing w:line="480" w:lineRule="auto"/>
        <w:jc w:val="both"/>
        <w:rPr>
          <w:rFonts w:ascii="Arial" w:hAnsi="Arial" w:cs="Arial"/>
          <w:bCs/>
          <w:lang w:val="en-US"/>
        </w:rPr>
      </w:pPr>
      <w:r w:rsidRPr="00EC15DD">
        <w:rPr>
          <w:rFonts w:ascii="Arial" w:hAnsi="Arial" w:cs="Arial"/>
          <w:bCs/>
          <w:lang w:val="en-US"/>
        </w:rPr>
        <w:t>1</w:t>
      </w:r>
      <w:r>
        <w:rPr>
          <w:rFonts w:ascii="Arial" w:hAnsi="Arial" w:cs="Arial"/>
          <w:bCs/>
          <w:lang w:val="en-US"/>
        </w:rPr>
        <w:t>3</w:t>
      </w:r>
      <w:r w:rsidRPr="00EC15DD">
        <w:rPr>
          <w:rFonts w:ascii="Arial" w:hAnsi="Arial" w:cs="Arial"/>
          <w:bCs/>
          <w:lang w:val="en-US"/>
        </w:rPr>
        <w:t xml:space="preserve">. </w:t>
      </w:r>
      <w:proofErr w:type="spellStart"/>
      <w:r w:rsidRPr="00EC15DD">
        <w:rPr>
          <w:rFonts w:ascii="Arial" w:hAnsi="Arial" w:cs="Arial"/>
          <w:bCs/>
          <w:lang w:val="en-US"/>
        </w:rPr>
        <w:t>Croteau</w:t>
      </w:r>
      <w:proofErr w:type="spellEnd"/>
      <w:r w:rsidRPr="00EC15DD">
        <w:rPr>
          <w:rFonts w:ascii="Arial" w:hAnsi="Arial" w:cs="Arial"/>
          <w:bCs/>
          <w:lang w:val="en-US"/>
        </w:rPr>
        <w:t xml:space="preserve"> D, Rossi SS, Best BM, et al; CHARTER </w:t>
      </w:r>
      <w:proofErr w:type="spellStart"/>
      <w:r w:rsidRPr="00EC15DD">
        <w:rPr>
          <w:rFonts w:ascii="Arial" w:hAnsi="Arial" w:cs="Arial"/>
          <w:bCs/>
          <w:lang w:val="en-US"/>
        </w:rPr>
        <w:t>Group.Darunavir</w:t>
      </w:r>
      <w:proofErr w:type="spellEnd"/>
      <w:r w:rsidRPr="00EC15DD">
        <w:rPr>
          <w:rFonts w:ascii="Arial" w:hAnsi="Arial" w:cs="Arial"/>
          <w:bCs/>
          <w:lang w:val="en-US"/>
        </w:rPr>
        <w:t xml:space="preserve"> is predominantly unbound to protein in cerebrospinal fluid and concentrations exceed the wild-type HIV-1 median 90% inhibitory concentration. J </w:t>
      </w:r>
      <w:proofErr w:type="spellStart"/>
      <w:r w:rsidRPr="00EC15DD">
        <w:rPr>
          <w:rFonts w:ascii="Arial" w:hAnsi="Arial" w:cs="Arial"/>
          <w:bCs/>
          <w:lang w:val="en-US"/>
        </w:rPr>
        <w:t>Antimicrob</w:t>
      </w:r>
      <w:proofErr w:type="spellEnd"/>
      <w:r w:rsidRPr="00EC15DD">
        <w:rPr>
          <w:rFonts w:ascii="Arial" w:hAnsi="Arial" w:cs="Arial"/>
          <w:bCs/>
          <w:lang w:val="en-US"/>
        </w:rPr>
        <w:t xml:space="preserve"> </w:t>
      </w:r>
      <w:proofErr w:type="spellStart"/>
      <w:r w:rsidRPr="00EC15DD">
        <w:rPr>
          <w:rFonts w:ascii="Arial" w:hAnsi="Arial" w:cs="Arial"/>
          <w:bCs/>
          <w:lang w:val="en-US"/>
        </w:rPr>
        <w:t>Chemother</w:t>
      </w:r>
      <w:proofErr w:type="spellEnd"/>
      <w:r w:rsidRPr="00EC15DD">
        <w:rPr>
          <w:rFonts w:ascii="Arial" w:hAnsi="Arial" w:cs="Arial"/>
          <w:bCs/>
          <w:lang w:val="en-US"/>
        </w:rPr>
        <w:t>. 2013;68:684-9</w:t>
      </w:r>
    </w:p>
    <w:p w:rsidR="00C30315" w:rsidRPr="00777569" w:rsidRDefault="00C30315" w:rsidP="002933AD">
      <w:pPr>
        <w:spacing w:line="480" w:lineRule="auto"/>
        <w:jc w:val="both"/>
        <w:rPr>
          <w:rFonts w:ascii="Arial" w:hAnsi="Arial" w:cs="Arial"/>
          <w:bCs/>
          <w:lang w:val="nl-NL"/>
        </w:rPr>
      </w:pPr>
      <w:r w:rsidRPr="00EC15DD">
        <w:rPr>
          <w:rFonts w:ascii="Arial" w:hAnsi="Arial" w:cs="Arial"/>
          <w:bCs/>
          <w:lang w:val="en-US"/>
        </w:rPr>
        <w:t>1</w:t>
      </w:r>
      <w:r>
        <w:rPr>
          <w:rFonts w:ascii="Arial" w:hAnsi="Arial" w:cs="Arial"/>
          <w:bCs/>
          <w:lang w:val="en-US"/>
        </w:rPr>
        <w:t>4</w:t>
      </w:r>
      <w:r w:rsidRPr="00EC15DD">
        <w:rPr>
          <w:rFonts w:ascii="Arial" w:hAnsi="Arial" w:cs="Arial"/>
          <w:bCs/>
          <w:lang w:val="en-US"/>
        </w:rPr>
        <w:t xml:space="preserve">. </w:t>
      </w:r>
      <w:proofErr w:type="spellStart"/>
      <w:r w:rsidRPr="00EC15DD">
        <w:rPr>
          <w:rFonts w:ascii="Arial" w:hAnsi="Arial" w:cs="Arial"/>
          <w:bCs/>
          <w:lang w:val="en-US"/>
        </w:rPr>
        <w:t>Ryom</w:t>
      </w:r>
      <w:proofErr w:type="spellEnd"/>
      <w:r w:rsidRPr="00EC15DD">
        <w:rPr>
          <w:rFonts w:ascii="Arial" w:hAnsi="Arial" w:cs="Arial"/>
          <w:bCs/>
          <w:lang w:val="en-US"/>
        </w:rPr>
        <w:t xml:space="preserve"> L, </w:t>
      </w:r>
      <w:proofErr w:type="spellStart"/>
      <w:r w:rsidRPr="00EC15DD">
        <w:rPr>
          <w:rFonts w:ascii="Arial" w:hAnsi="Arial" w:cs="Arial"/>
          <w:bCs/>
          <w:lang w:val="en-US"/>
        </w:rPr>
        <w:t>Mocroft</w:t>
      </w:r>
      <w:proofErr w:type="spellEnd"/>
      <w:r w:rsidRPr="00EC15DD">
        <w:rPr>
          <w:rFonts w:ascii="Arial" w:hAnsi="Arial" w:cs="Arial"/>
          <w:bCs/>
          <w:lang w:val="en-US"/>
        </w:rPr>
        <w:t xml:space="preserve"> A, Kirk O, et al; D:A:D Study Group. Association between antiretroviral exposure and renal impairment among HIV-positive persons with normal baseline renal function: the D:A:D study. </w:t>
      </w:r>
      <w:r w:rsidRPr="00777569">
        <w:rPr>
          <w:rFonts w:ascii="Arial" w:hAnsi="Arial" w:cs="Arial"/>
          <w:bCs/>
          <w:lang w:val="nl-NL"/>
        </w:rPr>
        <w:t>J Infect Dis. 2013 ;207:1359-69.</w:t>
      </w:r>
    </w:p>
    <w:p w:rsidR="00C30315" w:rsidRPr="00777569" w:rsidRDefault="00C30315" w:rsidP="002933AD">
      <w:pPr>
        <w:spacing w:line="480" w:lineRule="auto"/>
        <w:jc w:val="both"/>
        <w:rPr>
          <w:rFonts w:ascii="Arial" w:hAnsi="Arial" w:cs="Arial"/>
          <w:bCs/>
          <w:lang w:val="nl-NL"/>
        </w:rPr>
      </w:pPr>
      <w:r w:rsidRPr="00777569">
        <w:rPr>
          <w:rFonts w:ascii="Arial" w:hAnsi="Arial" w:cs="Arial"/>
          <w:bCs/>
          <w:lang w:val="nl-NL"/>
        </w:rPr>
        <w:t>15. McComsey GA, Kitch D, Daar ES, et al. Bone mineral density and fractures in antiretroviral-naive persons randomized to receive abacavir-lamivudine or tenofovir disoproxil fumarate-emtricitabine along with efavirenz or atazanavir-ritonavir: Aids Clinical Trials Group A5224s, a substudy of ACTG A5202. J Infect Dis 2011; 203:1791-801.</w:t>
      </w:r>
    </w:p>
    <w:p w:rsidR="00C30315" w:rsidRPr="00777569" w:rsidRDefault="00C30315" w:rsidP="002933AD">
      <w:pPr>
        <w:spacing w:line="480" w:lineRule="auto"/>
        <w:jc w:val="both"/>
        <w:rPr>
          <w:rFonts w:ascii="Arial" w:hAnsi="Arial" w:cs="Arial"/>
          <w:bCs/>
          <w:lang w:val="fi-FI"/>
        </w:rPr>
      </w:pPr>
      <w:r w:rsidRPr="00777569">
        <w:rPr>
          <w:rFonts w:ascii="Arial" w:hAnsi="Arial" w:cs="Arial"/>
          <w:bCs/>
          <w:lang w:val="nl-NL"/>
        </w:rPr>
        <w:t xml:space="preserve">16. Vernazza P, Daneel S, Schiffer V, et al. </w:t>
      </w:r>
      <w:r w:rsidRPr="00EC15DD">
        <w:rPr>
          <w:rFonts w:ascii="Arial" w:hAnsi="Arial" w:cs="Arial"/>
          <w:bCs/>
          <w:lang w:val="en-US"/>
        </w:rPr>
        <w:t xml:space="preserve">The role of compartment penetration in PI-monotherapy: the Atazanavir-Ritonavir </w:t>
      </w:r>
      <w:proofErr w:type="spellStart"/>
      <w:r w:rsidRPr="00EC15DD">
        <w:rPr>
          <w:rFonts w:ascii="Arial" w:hAnsi="Arial" w:cs="Arial"/>
          <w:bCs/>
          <w:lang w:val="en-US"/>
        </w:rPr>
        <w:t>Monomaintenance</w:t>
      </w:r>
      <w:proofErr w:type="spellEnd"/>
      <w:r w:rsidRPr="00EC15DD">
        <w:rPr>
          <w:rFonts w:ascii="Arial" w:hAnsi="Arial" w:cs="Arial"/>
          <w:bCs/>
          <w:lang w:val="en-US"/>
        </w:rPr>
        <w:t xml:space="preserve"> (</w:t>
      </w:r>
      <w:proofErr w:type="spellStart"/>
      <w:r w:rsidRPr="00EC15DD">
        <w:rPr>
          <w:rFonts w:ascii="Arial" w:hAnsi="Arial" w:cs="Arial"/>
          <w:bCs/>
          <w:lang w:val="en-US"/>
        </w:rPr>
        <w:t>ATARITMO</w:t>
      </w:r>
      <w:proofErr w:type="spellEnd"/>
      <w:r w:rsidRPr="00EC15DD">
        <w:rPr>
          <w:rFonts w:ascii="Arial" w:hAnsi="Arial" w:cs="Arial"/>
          <w:bCs/>
          <w:lang w:val="en-US"/>
        </w:rPr>
        <w:t xml:space="preserve">) Trial. </w:t>
      </w:r>
      <w:r w:rsidRPr="00777569">
        <w:rPr>
          <w:rFonts w:ascii="Arial" w:hAnsi="Arial" w:cs="Arial"/>
          <w:bCs/>
          <w:lang w:val="fi-FI"/>
        </w:rPr>
        <w:t>AIDS. 2007;21:1309-15.</w:t>
      </w:r>
    </w:p>
    <w:p w:rsidR="00C30315" w:rsidRPr="00EC15DD" w:rsidRDefault="00C30315" w:rsidP="002933AD">
      <w:pPr>
        <w:spacing w:line="480" w:lineRule="auto"/>
        <w:jc w:val="both"/>
        <w:rPr>
          <w:rFonts w:ascii="Arial" w:hAnsi="Arial" w:cs="Arial"/>
          <w:bCs/>
          <w:lang w:val="en-US"/>
        </w:rPr>
      </w:pPr>
      <w:r w:rsidRPr="00777569">
        <w:rPr>
          <w:rFonts w:ascii="Arial" w:hAnsi="Arial" w:cs="Arial"/>
          <w:bCs/>
          <w:lang w:val="fi-FI"/>
        </w:rPr>
        <w:t xml:space="preserve">17. Katlama C, Valantin MA, Algarte-Genin M, et al. </w:t>
      </w:r>
      <w:r w:rsidRPr="00EC15DD">
        <w:rPr>
          <w:rFonts w:ascii="Arial" w:hAnsi="Arial" w:cs="Arial"/>
          <w:bCs/>
          <w:lang w:val="en-US"/>
        </w:rPr>
        <w:t xml:space="preserve">Efficacy of darunavir/ritonavir </w:t>
      </w:r>
      <w:r w:rsidRPr="00EC15DD">
        <w:rPr>
          <w:rFonts w:ascii="Arial" w:hAnsi="Arial" w:cs="Arial"/>
          <w:bCs/>
          <w:lang w:val="en-US"/>
        </w:rPr>
        <w:lastRenderedPageBreak/>
        <w:t xml:space="preserve">maintenance monotherapy in patients with HIV-1 viral suppression: a randomized open-label, </w:t>
      </w:r>
      <w:proofErr w:type="spellStart"/>
      <w:r w:rsidRPr="00EC15DD">
        <w:rPr>
          <w:rFonts w:ascii="Arial" w:hAnsi="Arial" w:cs="Arial"/>
          <w:bCs/>
          <w:lang w:val="en-US"/>
        </w:rPr>
        <w:t>noninferiority</w:t>
      </w:r>
      <w:proofErr w:type="spellEnd"/>
      <w:r w:rsidRPr="00EC15DD">
        <w:rPr>
          <w:rFonts w:ascii="Arial" w:hAnsi="Arial" w:cs="Arial"/>
          <w:bCs/>
          <w:lang w:val="en-US"/>
        </w:rPr>
        <w:t xml:space="preserve"> trial, </w:t>
      </w:r>
      <w:proofErr w:type="spellStart"/>
      <w:r w:rsidRPr="00EC15DD">
        <w:rPr>
          <w:rFonts w:ascii="Arial" w:hAnsi="Arial" w:cs="Arial"/>
          <w:bCs/>
          <w:lang w:val="en-US"/>
        </w:rPr>
        <w:t>MONOI-ANRS</w:t>
      </w:r>
      <w:proofErr w:type="spellEnd"/>
      <w:r w:rsidRPr="00EC15DD">
        <w:rPr>
          <w:rFonts w:ascii="Arial" w:hAnsi="Arial" w:cs="Arial"/>
          <w:bCs/>
          <w:lang w:val="en-US"/>
        </w:rPr>
        <w:t xml:space="preserve"> 136. AIDS. 2010;24:2365-74.</w:t>
      </w:r>
    </w:p>
    <w:p w:rsidR="00C30315" w:rsidRPr="00777569" w:rsidRDefault="00C30315" w:rsidP="002933AD">
      <w:pPr>
        <w:spacing w:line="480" w:lineRule="auto"/>
        <w:jc w:val="both"/>
        <w:rPr>
          <w:rFonts w:ascii="Arial" w:hAnsi="Arial" w:cs="Arial"/>
          <w:bCs/>
          <w:lang w:val="en-US"/>
        </w:rPr>
      </w:pPr>
      <w:r w:rsidRPr="00E528E8">
        <w:rPr>
          <w:rFonts w:ascii="Arial" w:hAnsi="Arial" w:cs="Arial"/>
          <w:bCs/>
          <w:lang w:val="en-US"/>
        </w:rPr>
        <w:t xml:space="preserve">18. </w:t>
      </w:r>
      <w:proofErr w:type="spellStart"/>
      <w:r w:rsidRPr="00E528E8">
        <w:rPr>
          <w:rFonts w:ascii="Arial" w:hAnsi="Arial" w:cs="Arial"/>
          <w:bCs/>
          <w:lang w:val="en-US"/>
        </w:rPr>
        <w:t>Imaz</w:t>
      </w:r>
      <w:proofErr w:type="spellEnd"/>
      <w:r w:rsidRPr="00E528E8">
        <w:rPr>
          <w:rFonts w:ascii="Arial" w:hAnsi="Arial" w:cs="Arial"/>
          <w:bCs/>
          <w:lang w:val="en-US"/>
        </w:rPr>
        <w:t xml:space="preserve"> A, </w:t>
      </w:r>
      <w:proofErr w:type="spellStart"/>
      <w:r w:rsidRPr="00E528E8">
        <w:rPr>
          <w:rFonts w:ascii="Arial" w:hAnsi="Arial" w:cs="Arial"/>
          <w:bCs/>
          <w:lang w:val="en-US"/>
        </w:rPr>
        <w:t>Cayuela</w:t>
      </w:r>
      <w:proofErr w:type="spellEnd"/>
      <w:r w:rsidRPr="00E528E8">
        <w:rPr>
          <w:rFonts w:ascii="Arial" w:hAnsi="Arial" w:cs="Arial"/>
          <w:bCs/>
          <w:lang w:val="en-US"/>
        </w:rPr>
        <w:t xml:space="preserve"> N, </w:t>
      </w:r>
      <w:proofErr w:type="spellStart"/>
      <w:r w:rsidRPr="00E528E8">
        <w:rPr>
          <w:rFonts w:ascii="Arial" w:hAnsi="Arial" w:cs="Arial"/>
          <w:bCs/>
          <w:lang w:val="en-US"/>
        </w:rPr>
        <w:t>Niubó</w:t>
      </w:r>
      <w:proofErr w:type="spellEnd"/>
      <w:r w:rsidRPr="00E528E8">
        <w:rPr>
          <w:rFonts w:ascii="Arial" w:hAnsi="Arial" w:cs="Arial"/>
          <w:bCs/>
          <w:lang w:val="en-US"/>
        </w:rPr>
        <w:t xml:space="preserve"> J, et al. </w:t>
      </w:r>
      <w:r w:rsidRPr="00EC15DD">
        <w:rPr>
          <w:rFonts w:ascii="Arial" w:hAnsi="Arial" w:cs="Arial"/>
          <w:bCs/>
          <w:lang w:val="en-US"/>
        </w:rPr>
        <w:t xml:space="preserve">Short communication: focal encephalitis related to viral escape and resistance emergence in cerebrospinal fluid in a patient on lopinavir/ritonavir monotherapy with plasma HIV-1 RNA suppression. </w:t>
      </w:r>
      <w:r w:rsidRPr="00777569">
        <w:rPr>
          <w:rFonts w:ascii="Arial" w:hAnsi="Arial" w:cs="Arial"/>
          <w:bCs/>
          <w:lang w:val="en-US"/>
        </w:rPr>
        <w:t>AIDS Res Hum Retroviruses. 2014;30:984-7.</w:t>
      </w:r>
    </w:p>
    <w:p w:rsidR="00C30315" w:rsidRPr="00EC15DD" w:rsidRDefault="00C30315" w:rsidP="002933AD">
      <w:pPr>
        <w:spacing w:line="480" w:lineRule="auto"/>
        <w:jc w:val="both"/>
        <w:rPr>
          <w:rFonts w:ascii="Arial" w:hAnsi="Arial" w:cs="Arial"/>
          <w:bCs/>
          <w:lang w:val="en-US"/>
        </w:rPr>
      </w:pPr>
      <w:r w:rsidRPr="00777569">
        <w:rPr>
          <w:rFonts w:ascii="Arial" w:hAnsi="Arial" w:cs="Arial"/>
          <w:bCs/>
          <w:lang w:val="en-US"/>
        </w:rPr>
        <w:t xml:space="preserve">19. </w:t>
      </w:r>
      <w:proofErr w:type="spellStart"/>
      <w:r w:rsidRPr="00777569">
        <w:rPr>
          <w:rFonts w:ascii="Arial" w:hAnsi="Arial" w:cs="Arial"/>
          <w:bCs/>
          <w:lang w:val="en-US"/>
        </w:rPr>
        <w:t>Ciccarelli</w:t>
      </w:r>
      <w:proofErr w:type="spellEnd"/>
      <w:r w:rsidRPr="00777569">
        <w:rPr>
          <w:rFonts w:ascii="Arial" w:hAnsi="Arial" w:cs="Arial"/>
          <w:bCs/>
          <w:lang w:val="en-US"/>
        </w:rPr>
        <w:t xml:space="preserve"> N, </w:t>
      </w:r>
      <w:proofErr w:type="spellStart"/>
      <w:r w:rsidRPr="00777569">
        <w:rPr>
          <w:rFonts w:ascii="Arial" w:hAnsi="Arial" w:cs="Arial"/>
          <w:bCs/>
          <w:lang w:val="en-US"/>
        </w:rPr>
        <w:t>Fabbiani</w:t>
      </w:r>
      <w:proofErr w:type="spellEnd"/>
      <w:r w:rsidRPr="00777569">
        <w:rPr>
          <w:rFonts w:ascii="Arial" w:hAnsi="Arial" w:cs="Arial"/>
          <w:bCs/>
          <w:lang w:val="en-US"/>
        </w:rPr>
        <w:t xml:space="preserve"> M, </w:t>
      </w:r>
      <w:proofErr w:type="spellStart"/>
      <w:r w:rsidRPr="00777569">
        <w:rPr>
          <w:rFonts w:ascii="Arial" w:hAnsi="Arial" w:cs="Arial"/>
          <w:bCs/>
          <w:lang w:val="en-US"/>
        </w:rPr>
        <w:t>Quiros</w:t>
      </w:r>
      <w:proofErr w:type="spellEnd"/>
      <w:r w:rsidRPr="00777569">
        <w:rPr>
          <w:rFonts w:ascii="Arial" w:hAnsi="Arial" w:cs="Arial"/>
          <w:bCs/>
          <w:lang w:val="en-US"/>
        </w:rPr>
        <w:t xml:space="preserve"> Roldan E, et al. </w:t>
      </w:r>
      <w:r w:rsidRPr="00D031E8">
        <w:rPr>
          <w:rFonts w:ascii="Arial" w:hAnsi="Arial" w:cs="Arial"/>
          <w:bCs/>
          <w:lang w:val="en-US"/>
        </w:rPr>
        <w:t xml:space="preserve">CNS Safety of Simplification to ATV/r+3TC in </w:t>
      </w:r>
      <w:proofErr w:type="spellStart"/>
      <w:r w:rsidRPr="00D031E8">
        <w:rPr>
          <w:rFonts w:ascii="Arial" w:hAnsi="Arial" w:cs="Arial"/>
          <w:bCs/>
          <w:lang w:val="en-US"/>
        </w:rPr>
        <w:t>Virologically</w:t>
      </w:r>
      <w:proofErr w:type="spellEnd"/>
      <w:r w:rsidRPr="00D031E8">
        <w:rPr>
          <w:rFonts w:ascii="Arial" w:hAnsi="Arial" w:cs="Arial"/>
          <w:bCs/>
          <w:lang w:val="en-US"/>
        </w:rPr>
        <w:t xml:space="preserve"> Suppressed HIV+ Patients</w:t>
      </w:r>
      <w:r w:rsidRPr="00EC15DD">
        <w:rPr>
          <w:rFonts w:ascii="Arial" w:hAnsi="Arial" w:cs="Arial"/>
          <w:bCs/>
          <w:lang w:val="en-US"/>
        </w:rPr>
        <w:t>. Conference on Retroviruses and O</w:t>
      </w:r>
      <w:r>
        <w:rPr>
          <w:rFonts w:ascii="Arial" w:hAnsi="Arial" w:cs="Arial"/>
          <w:bCs/>
          <w:lang w:val="en-US"/>
        </w:rPr>
        <w:t>pportunistic Infections (</w:t>
      </w:r>
      <w:proofErr w:type="spellStart"/>
      <w:r>
        <w:rPr>
          <w:rFonts w:ascii="Arial" w:hAnsi="Arial" w:cs="Arial"/>
          <w:bCs/>
          <w:lang w:val="en-US"/>
        </w:rPr>
        <w:t>CROI</w:t>
      </w:r>
      <w:proofErr w:type="spellEnd"/>
      <w:r>
        <w:rPr>
          <w:rFonts w:ascii="Arial" w:hAnsi="Arial" w:cs="Arial"/>
          <w:bCs/>
          <w:lang w:val="en-US"/>
        </w:rPr>
        <w:t xml:space="preserve">), </w:t>
      </w:r>
      <w:r w:rsidRPr="00EC15DD">
        <w:rPr>
          <w:rFonts w:ascii="Arial" w:hAnsi="Arial" w:cs="Arial"/>
          <w:bCs/>
          <w:lang w:val="en-US"/>
        </w:rPr>
        <w:t>February</w:t>
      </w:r>
      <w:r>
        <w:rPr>
          <w:rFonts w:ascii="Arial" w:hAnsi="Arial" w:cs="Arial"/>
          <w:bCs/>
          <w:lang w:val="en-US"/>
        </w:rPr>
        <w:t xml:space="preserve"> 22–25, 2016, Boston</w:t>
      </w:r>
      <w:r w:rsidRPr="00EC15DD">
        <w:rPr>
          <w:rFonts w:ascii="Arial" w:hAnsi="Arial" w:cs="Arial"/>
          <w:bCs/>
          <w:lang w:val="en-US"/>
        </w:rPr>
        <w:t>. Abstract 4</w:t>
      </w:r>
      <w:r>
        <w:rPr>
          <w:rFonts w:ascii="Arial" w:hAnsi="Arial" w:cs="Arial"/>
          <w:bCs/>
          <w:lang w:val="en-US"/>
        </w:rPr>
        <w:t>17</w:t>
      </w:r>
      <w:r w:rsidRPr="00EC15DD">
        <w:rPr>
          <w:rFonts w:ascii="Arial" w:hAnsi="Arial" w:cs="Arial"/>
          <w:bCs/>
          <w:lang w:val="en-US"/>
        </w:rPr>
        <w:t>.</w:t>
      </w:r>
    </w:p>
    <w:p w:rsidR="00C30315" w:rsidRPr="00E74FD8" w:rsidRDefault="00C30315" w:rsidP="002933AD">
      <w:pPr>
        <w:spacing w:line="480" w:lineRule="auto"/>
        <w:jc w:val="both"/>
        <w:rPr>
          <w:rFonts w:ascii="Arial" w:hAnsi="Arial" w:cs="Arial"/>
          <w:bCs/>
          <w:lang w:val="en-US"/>
        </w:rPr>
      </w:pPr>
      <w:r w:rsidRPr="00777569">
        <w:rPr>
          <w:rFonts w:ascii="Arial" w:hAnsi="Arial" w:cs="Arial"/>
          <w:bCs/>
          <w:lang w:val="it-IT"/>
        </w:rPr>
        <w:t xml:space="preserve">20. Perez-Valero I, Pasquau J, Rubio R, et al. </w:t>
      </w:r>
      <w:r w:rsidRPr="00D031E8">
        <w:rPr>
          <w:rFonts w:ascii="Arial" w:hAnsi="Arial" w:cs="Arial"/>
          <w:bCs/>
          <w:lang w:val="en-US"/>
        </w:rPr>
        <w:t>Neurocognitive Safety After 96-WKs on ATV/r+3TC: Results of the Randomized SALT Trial</w:t>
      </w:r>
      <w:r w:rsidRPr="00EC15DD">
        <w:rPr>
          <w:rFonts w:ascii="Arial" w:hAnsi="Arial" w:cs="Arial"/>
          <w:bCs/>
          <w:lang w:val="en-US"/>
        </w:rPr>
        <w:t xml:space="preserve">. Conference on </w:t>
      </w:r>
      <w:r w:rsidRPr="00E74FD8">
        <w:rPr>
          <w:rFonts w:ascii="Arial" w:hAnsi="Arial" w:cs="Arial"/>
          <w:bCs/>
          <w:lang w:val="en-US"/>
        </w:rPr>
        <w:t>Retroviruses and Opportunistic Infections (</w:t>
      </w:r>
      <w:proofErr w:type="spellStart"/>
      <w:r w:rsidRPr="00E74FD8">
        <w:rPr>
          <w:rFonts w:ascii="Arial" w:hAnsi="Arial" w:cs="Arial"/>
          <w:bCs/>
          <w:lang w:val="en-US"/>
        </w:rPr>
        <w:t>CROI</w:t>
      </w:r>
      <w:proofErr w:type="spellEnd"/>
      <w:r w:rsidRPr="00E74FD8">
        <w:rPr>
          <w:rFonts w:ascii="Arial" w:hAnsi="Arial" w:cs="Arial"/>
          <w:bCs/>
          <w:lang w:val="en-US"/>
        </w:rPr>
        <w:t>), February 22–25, 2016 | Boston, Massachusetts13-16. Abstract 424LB.</w:t>
      </w:r>
    </w:p>
    <w:p w:rsidR="00C30315" w:rsidRPr="00E74FD8" w:rsidRDefault="00C30315" w:rsidP="009D2117">
      <w:pPr>
        <w:spacing w:line="480" w:lineRule="auto"/>
        <w:jc w:val="both"/>
        <w:rPr>
          <w:rFonts w:ascii="Arial" w:hAnsi="Arial" w:cs="Arial"/>
          <w:bCs/>
          <w:lang w:val="en-US"/>
        </w:rPr>
      </w:pPr>
      <w:r w:rsidRPr="00E74FD8">
        <w:rPr>
          <w:rFonts w:ascii="Arial" w:hAnsi="Arial" w:cs="Arial"/>
          <w:bCs/>
          <w:lang w:val="en-US"/>
        </w:rPr>
        <w:t xml:space="preserve">21. von </w:t>
      </w:r>
      <w:proofErr w:type="spellStart"/>
      <w:r w:rsidRPr="00E74FD8">
        <w:rPr>
          <w:rFonts w:ascii="Arial" w:hAnsi="Arial" w:cs="Arial"/>
          <w:bCs/>
          <w:lang w:val="en-US"/>
        </w:rPr>
        <w:t>Hentig</w:t>
      </w:r>
      <w:proofErr w:type="spellEnd"/>
      <w:r w:rsidRPr="00E74FD8">
        <w:rPr>
          <w:rFonts w:ascii="Arial" w:hAnsi="Arial" w:cs="Arial"/>
          <w:bCs/>
          <w:lang w:val="en-US"/>
        </w:rPr>
        <w:t xml:space="preserve"> N, </w:t>
      </w:r>
      <w:proofErr w:type="spellStart"/>
      <w:r w:rsidRPr="00E74FD8">
        <w:rPr>
          <w:rFonts w:ascii="Arial" w:hAnsi="Arial" w:cs="Arial"/>
          <w:bCs/>
          <w:lang w:val="en-US"/>
        </w:rPr>
        <w:t>Babacan</w:t>
      </w:r>
      <w:proofErr w:type="spellEnd"/>
      <w:r w:rsidRPr="00E74FD8">
        <w:rPr>
          <w:rFonts w:ascii="Arial" w:hAnsi="Arial" w:cs="Arial"/>
          <w:bCs/>
          <w:lang w:val="en-US"/>
        </w:rPr>
        <w:t xml:space="preserve"> E, </w:t>
      </w:r>
      <w:proofErr w:type="spellStart"/>
      <w:r w:rsidRPr="00E74FD8">
        <w:rPr>
          <w:rFonts w:ascii="Arial" w:hAnsi="Arial" w:cs="Arial"/>
          <w:bCs/>
          <w:lang w:val="en-US"/>
        </w:rPr>
        <w:t>Lennemann</w:t>
      </w:r>
      <w:proofErr w:type="spellEnd"/>
      <w:r w:rsidRPr="00E74FD8">
        <w:rPr>
          <w:rFonts w:ascii="Arial" w:hAnsi="Arial" w:cs="Arial"/>
          <w:bCs/>
          <w:lang w:val="en-US"/>
        </w:rPr>
        <w:t xml:space="preserve"> T, et al. The steady-state pharmacokinetics of atazanavir/ritonavir in HIV-1-infected adult outpatients is not affected by gender-related co-factors. J </w:t>
      </w:r>
      <w:proofErr w:type="spellStart"/>
      <w:r w:rsidRPr="00E74FD8">
        <w:rPr>
          <w:rFonts w:ascii="Arial" w:hAnsi="Arial" w:cs="Arial"/>
          <w:bCs/>
          <w:lang w:val="en-US"/>
        </w:rPr>
        <w:t>Antimicrob</w:t>
      </w:r>
      <w:proofErr w:type="spellEnd"/>
      <w:r w:rsidRPr="00E74FD8">
        <w:rPr>
          <w:rFonts w:ascii="Arial" w:hAnsi="Arial" w:cs="Arial"/>
          <w:bCs/>
          <w:lang w:val="en-US"/>
        </w:rPr>
        <w:t xml:space="preserve"> </w:t>
      </w:r>
      <w:proofErr w:type="spellStart"/>
      <w:r w:rsidRPr="00E74FD8">
        <w:rPr>
          <w:rFonts w:ascii="Arial" w:hAnsi="Arial" w:cs="Arial"/>
          <w:bCs/>
          <w:lang w:val="en-US"/>
        </w:rPr>
        <w:t>Chemother</w:t>
      </w:r>
      <w:proofErr w:type="spellEnd"/>
      <w:r w:rsidRPr="00E74FD8">
        <w:rPr>
          <w:rFonts w:ascii="Arial" w:hAnsi="Arial" w:cs="Arial"/>
          <w:bCs/>
          <w:lang w:val="en-US"/>
        </w:rPr>
        <w:t>. 2008;62:579-82.</w:t>
      </w:r>
    </w:p>
    <w:p w:rsidR="00C30315" w:rsidRPr="00E74FD8" w:rsidRDefault="00C30315" w:rsidP="002933AD">
      <w:pPr>
        <w:spacing w:line="480" w:lineRule="auto"/>
        <w:jc w:val="both"/>
        <w:rPr>
          <w:rFonts w:ascii="Arial" w:hAnsi="Arial" w:cs="Arial"/>
          <w:bCs/>
          <w:lang w:val="en-US"/>
        </w:rPr>
      </w:pPr>
      <w:r w:rsidRPr="00E74FD8">
        <w:rPr>
          <w:rFonts w:ascii="Arial" w:hAnsi="Arial" w:cs="Arial"/>
          <w:bCs/>
          <w:lang w:val="en-US"/>
        </w:rPr>
        <w:t xml:space="preserve">22. </w:t>
      </w:r>
      <w:proofErr w:type="spellStart"/>
      <w:r w:rsidRPr="00E74FD8">
        <w:rPr>
          <w:rFonts w:ascii="Arial" w:hAnsi="Arial" w:cs="Arial"/>
          <w:bCs/>
          <w:lang w:val="en-US"/>
        </w:rPr>
        <w:t>Dailly</w:t>
      </w:r>
      <w:proofErr w:type="spellEnd"/>
      <w:r w:rsidRPr="00E74FD8">
        <w:rPr>
          <w:rFonts w:ascii="Arial" w:hAnsi="Arial" w:cs="Arial"/>
          <w:bCs/>
          <w:lang w:val="en-US"/>
        </w:rPr>
        <w:t xml:space="preserve"> E, </w:t>
      </w:r>
      <w:proofErr w:type="spellStart"/>
      <w:r w:rsidRPr="00E74FD8">
        <w:rPr>
          <w:rFonts w:ascii="Arial" w:hAnsi="Arial" w:cs="Arial"/>
          <w:bCs/>
          <w:lang w:val="en-US"/>
        </w:rPr>
        <w:t>Tribut</w:t>
      </w:r>
      <w:proofErr w:type="spellEnd"/>
      <w:r w:rsidRPr="00E74FD8">
        <w:rPr>
          <w:rFonts w:ascii="Arial" w:hAnsi="Arial" w:cs="Arial"/>
          <w:bCs/>
          <w:lang w:val="en-US"/>
        </w:rPr>
        <w:t xml:space="preserve"> O, </w:t>
      </w:r>
      <w:proofErr w:type="spellStart"/>
      <w:r w:rsidRPr="00E74FD8">
        <w:rPr>
          <w:rFonts w:ascii="Arial" w:hAnsi="Arial" w:cs="Arial"/>
          <w:bCs/>
          <w:lang w:val="en-US"/>
        </w:rPr>
        <w:t>Tattevin</w:t>
      </w:r>
      <w:proofErr w:type="spellEnd"/>
      <w:r w:rsidRPr="00E74FD8">
        <w:rPr>
          <w:rFonts w:ascii="Arial" w:hAnsi="Arial" w:cs="Arial"/>
          <w:bCs/>
          <w:lang w:val="en-US"/>
        </w:rPr>
        <w:t xml:space="preserve"> P, et al. Influence of tenofovir, nevirapine and efavirenz on ritonavir-boosted atazanavir pharmacokinetics in HIV-infected patients. </w:t>
      </w:r>
      <w:proofErr w:type="spellStart"/>
      <w:r w:rsidRPr="00E74FD8">
        <w:rPr>
          <w:rFonts w:ascii="Arial" w:hAnsi="Arial" w:cs="Arial"/>
          <w:bCs/>
          <w:lang w:val="en-US"/>
        </w:rPr>
        <w:t>Eur</w:t>
      </w:r>
      <w:proofErr w:type="spellEnd"/>
      <w:r w:rsidRPr="00E74FD8">
        <w:rPr>
          <w:rFonts w:ascii="Arial" w:hAnsi="Arial" w:cs="Arial"/>
          <w:bCs/>
          <w:lang w:val="en-US"/>
        </w:rPr>
        <w:t xml:space="preserve"> J </w:t>
      </w:r>
      <w:proofErr w:type="spellStart"/>
      <w:r w:rsidRPr="00E74FD8">
        <w:rPr>
          <w:rFonts w:ascii="Arial" w:hAnsi="Arial" w:cs="Arial"/>
          <w:bCs/>
          <w:lang w:val="en-US"/>
        </w:rPr>
        <w:t>Clin</w:t>
      </w:r>
      <w:proofErr w:type="spellEnd"/>
      <w:r w:rsidRPr="00E74FD8">
        <w:rPr>
          <w:rFonts w:ascii="Arial" w:hAnsi="Arial" w:cs="Arial"/>
          <w:bCs/>
          <w:lang w:val="en-US"/>
        </w:rPr>
        <w:t xml:space="preserve"> </w:t>
      </w:r>
      <w:proofErr w:type="spellStart"/>
      <w:r w:rsidRPr="00E74FD8">
        <w:rPr>
          <w:rFonts w:ascii="Arial" w:hAnsi="Arial" w:cs="Arial"/>
          <w:bCs/>
          <w:lang w:val="en-US"/>
        </w:rPr>
        <w:t>Pharmacol</w:t>
      </w:r>
      <w:proofErr w:type="spellEnd"/>
      <w:r w:rsidRPr="00E74FD8">
        <w:rPr>
          <w:rFonts w:ascii="Arial" w:hAnsi="Arial" w:cs="Arial"/>
          <w:bCs/>
          <w:lang w:val="en-US"/>
        </w:rPr>
        <w:t>. 2006;62:523-6.</w:t>
      </w:r>
    </w:p>
    <w:p w:rsidR="00C30315" w:rsidRPr="00E74FD8" w:rsidRDefault="00C30315" w:rsidP="00622807">
      <w:pPr>
        <w:spacing w:line="480" w:lineRule="auto"/>
        <w:jc w:val="both"/>
        <w:rPr>
          <w:rFonts w:ascii="Arial" w:hAnsi="Arial" w:cs="Arial"/>
          <w:bCs/>
          <w:lang w:val="en-US"/>
        </w:rPr>
      </w:pPr>
      <w:r w:rsidRPr="00E74FD8">
        <w:rPr>
          <w:rFonts w:ascii="Arial" w:hAnsi="Arial" w:cs="Arial"/>
          <w:bCs/>
          <w:lang w:val="en-US"/>
        </w:rPr>
        <w:t xml:space="preserve">23. </w:t>
      </w:r>
      <w:proofErr w:type="spellStart"/>
      <w:r w:rsidRPr="00E74FD8">
        <w:rPr>
          <w:rFonts w:ascii="Arial" w:hAnsi="Arial" w:cs="Arial"/>
          <w:bCs/>
          <w:lang w:val="en-US"/>
        </w:rPr>
        <w:t>Letendre</w:t>
      </w:r>
      <w:proofErr w:type="spellEnd"/>
      <w:r w:rsidRPr="00E74FD8">
        <w:rPr>
          <w:rFonts w:ascii="Arial" w:hAnsi="Arial" w:cs="Arial"/>
          <w:bCs/>
          <w:lang w:val="en-US"/>
        </w:rPr>
        <w:t xml:space="preserve"> SL, Mills AM, </w:t>
      </w:r>
      <w:proofErr w:type="spellStart"/>
      <w:r w:rsidRPr="00E74FD8">
        <w:rPr>
          <w:rFonts w:ascii="Arial" w:hAnsi="Arial" w:cs="Arial"/>
          <w:bCs/>
          <w:lang w:val="en-US"/>
        </w:rPr>
        <w:t>Tashima</w:t>
      </w:r>
      <w:proofErr w:type="spellEnd"/>
      <w:r w:rsidRPr="00E74FD8">
        <w:rPr>
          <w:rFonts w:ascii="Arial" w:hAnsi="Arial" w:cs="Arial"/>
          <w:bCs/>
          <w:lang w:val="en-US"/>
        </w:rPr>
        <w:t xml:space="preserve"> </w:t>
      </w:r>
      <w:proofErr w:type="spellStart"/>
      <w:r w:rsidRPr="00E74FD8">
        <w:rPr>
          <w:rFonts w:ascii="Arial" w:hAnsi="Arial" w:cs="Arial"/>
          <w:bCs/>
          <w:lang w:val="en-US"/>
        </w:rPr>
        <w:t>KT</w:t>
      </w:r>
      <w:proofErr w:type="spellEnd"/>
      <w:r w:rsidRPr="00E74FD8">
        <w:rPr>
          <w:rFonts w:ascii="Arial" w:hAnsi="Arial" w:cs="Arial"/>
          <w:bCs/>
          <w:lang w:val="en-US"/>
        </w:rPr>
        <w:t xml:space="preserve">, et al; extended ING116070 study team. ING116070: a study of the pharmacokinetics and antiviral activity of dolutegravir in cerebrospinal fluid in HIV-1-infected, antiretroviral therapy-naive subjects. </w:t>
      </w:r>
      <w:proofErr w:type="spellStart"/>
      <w:r w:rsidRPr="00E74FD8">
        <w:rPr>
          <w:rFonts w:ascii="Arial" w:hAnsi="Arial" w:cs="Arial"/>
          <w:bCs/>
          <w:lang w:val="en-US"/>
        </w:rPr>
        <w:t>Clin</w:t>
      </w:r>
      <w:proofErr w:type="spellEnd"/>
      <w:r w:rsidRPr="00E74FD8">
        <w:rPr>
          <w:rFonts w:ascii="Arial" w:hAnsi="Arial" w:cs="Arial"/>
          <w:bCs/>
          <w:lang w:val="en-US"/>
        </w:rPr>
        <w:t xml:space="preserve"> </w:t>
      </w:r>
      <w:r w:rsidRPr="00E74FD8">
        <w:rPr>
          <w:rFonts w:ascii="Arial" w:hAnsi="Arial" w:cs="Arial"/>
          <w:bCs/>
          <w:lang w:val="en-US"/>
        </w:rPr>
        <w:lastRenderedPageBreak/>
        <w:t xml:space="preserve">Infect Dis. 2014;59:1032-7. </w:t>
      </w:r>
    </w:p>
    <w:p w:rsidR="00C30315" w:rsidRPr="00622807" w:rsidRDefault="00C30315" w:rsidP="00622807">
      <w:pPr>
        <w:spacing w:line="480" w:lineRule="auto"/>
        <w:jc w:val="both"/>
        <w:rPr>
          <w:rFonts w:ascii="Arial" w:hAnsi="Arial" w:cs="Arial"/>
          <w:bCs/>
          <w:lang w:val="en-US"/>
        </w:rPr>
      </w:pPr>
      <w:r w:rsidRPr="00E74FD8">
        <w:rPr>
          <w:rFonts w:ascii="Arial" w:hAnsi="Arial" w:cs="Arial"/>
          <w:bCs/>
          <w:lang w:val="en-US"/>
        </w:rPr>
        <w:t xml:space="preserve">24. </w:t>
      </w:r>
      <w:proofErr w:type="spellStart"/>
      <w:r w:rsidRPr="00E74FD8">
        <w:rPr>
          <w:rFonts w:ascii="Arial" w:hAnsi="Arial" w:cs="Arial"/>
          <w:bCs/>
          <w:lang w:val="en-US"/>
        </w:rPr>
        <w:t>Tiraboschi</w:t>
      </w:r>
      <w:proofErr w:type="spellEnd"/>
      <w:r w:rsidRPr="00E74FD8">
        <w:rPr>
          <w:rFonts w:ascii="Arial" w:hAnsi="Arial" w:cs="Arial"/>
          <w:bCs/>
          <w:lang w:val="en-US"/>
        </w:rPr>
        <w:t xml:space="preserve"> JM, </w:t>
      </w:r>
      <w:proofErr w:type="spellStart"/>
      <w:r w:rsidRPr="00E74FD8">
        <w:rPr>
          <w:rFonts w:ascii="Arial" w:hAnsi="Arial" w:cs="Arial"/>
          <w:bCs/>
          <w:lang w:val="en-US"/>
        </w:rPr>
        <w:t>Niubo</w:t>
      </w:r>
      <w:proofErr w:type="spellEnd"/>
      <w:r w:rsidRPr="00E74FD8">
        <w:rPr>
          <w:rFonts w:ascii="Arial" w:hAnsi="Arial" w:cs="Arial"/>
          <w:bCs/>
          <w:lang w:val="en-US"/>
        </w:rPr>
        <w:t xml:space="preserve"> J, Vila A, Perez-</w:t>
      </w:r>
      <w:proofErr w:type="spellStart"/>
      <w:r w:rsidRPr="00E74FD8">
        <w:rPr>
          <w:rFonts w:ascii="Arial" w:hAnsi="Arial" w:cs="Arial"/>
          <w:bCs/>
          <w:lang w:val="en-US"/>
        </w:rPr>
        <w:t>Pujol</w:t>
      </w:r>
      <w:proofErr w:type="spellEnd"/>
      <w:r w:rsidRPr="00E74FD8">
        <w:rPr>
          <w:rFonts w:ascii="Arial" w:hAnsi="Arial" w:cs="Arial"/>
          <w:bCs/>
          <w:lang w:val="en-US"/>
        </w:rPr>
        <w:t xml:space="preserve"> S, </w:t>
      </w:r>
      <w:proofErr w:type="spellStart"/>
      <w:r w:rsidRPr="00E74FD8">
        <w:rPr>
          <w:rFonts w:ascii="Arial" w:hAnsi="Arial" w:cs="Arial"/>
          <w:bCs/>
          <w:lang w:val="en-US"/>
        </w:rPr>
        <w:t>Podzamczer</w:t>
      </w:r>
      <w:proofErr w:type="spellEnd"/>
      <w:r w:rsidRPr="00E74FD8">
        <w:rPr>
          <w:rFonts w:ascii="Arial" w:hAnsi="Arial" w:cs="Arial"/>
          <w:bCs/>
          <w:lang w:val="en-US"/>
        </w:rPr>
        <w:t xml:space="preserve"> D. Etravirine concentrations in CSF in HIV-infected patients. J </w:t>
      </w:r>
      <w:proofErr w:type="spellStart"/>
      <w:r w:rsidRPr="00E74FD8">
        <w:rPr>
          <w:rFonts w:ascii="Arial" w:hAnsi="Arial" w:cs="Arial"/>
          <w:bCs/>
          <w:lang w:val="en-US"/>
        </w:rPr>
        <w:t>Antimicrob</w:t>
      </w:r>
      <w:proofErr w:type="spellEnd"/>
      <w:r w:rsidRPr="00E74FD8">
        <w:rPr>
          <w:rFonts w:ascii="Arial" w:hAnsi="Arial" w:cs="Arial"/>
          <w:bCs/>
          <w:lang w:val="en-US"/>
        </w:rPr>
        <w:t xml:space="preserve"> </w:t>
      </w:r>
      <w:proofErr w:type="spellStart"/>
      <w:r w:rsidRPr="00E74FD8">
        <w:rPr>
          <w:rFonts w:ascii="Arial" w:hAnsi="Arial" w:cs="Arial"/>
          <w:bCs/>
          <w:lang w:val="en-US"/>
        </w:rPr>
        <w:t>Chemother</w:t>
      </w:r>
      <w:proofErr w:type="spellEnd"/>
      <w:r w:rsidRPr="00E74FD8">
        <w:rPr>
          <w:rFonts w:ascii="Arial" w:hAnsi="Arial" w:cs="Arial"/>
          <w:bCs/>
          <w:lang w:val="en-US"/>
        </w:rPr>
        <w:t>. 2012;67:1446-8.</w:t>
      </w:r>
    </w:p>
    <w:p w:rsidR="00C30315" w:rsidRPr="00EC15DD" w:rsidRDefault="00C30315" w:rsidP="002933AD">
      <w:pPr>
        <w:spacing w:line="480" w:lineRule="auto"/>
        <w:jc w:val="both"/>
        <w:rPr>
          <w:rFonts w:ascii="Arial" w:hAnsi="Arial" w:cs="Arial"/>
          <w:bCs/>
          <w:lang w:val="en-US"/>
        </w:rPr>
      </w:pPr>
    </w:p>
    <w:p w:rsidR="00C30315" w:rsidRPr="00075B0B" w:rsidRDefault="00C30315" w:rsidP="00075B0B">
      <w:pPr>
        <w:rPr>
          <w:lang w:val="en-US"/>
        </w:rPr>
      </w:pPr>
    </w:p>
    <w:p w:rsidR="00C30315" w:rsidRDefault="00C30315">
      <w:pPr>
        <w:widowControl/>
        <w:suppressAutoHyphens w:val="0"/>
        <w:overflowPunct/>
        <w:adjustRightInd/>
        <w:rPr>
          <w:rFonts w:ascii="Arial" w:hAnsi="Arial" w:cs="Arial"/>
          <w:lang w:val="en-US"/>
        </w:rPr>
      </w:pPr>
      <w:r>
        <w:rPr>
          <w:rFonts w:ascii="Arial" w:hAnsi="Arial" w:cs="Arial"/>
          <w:lang w:val="en-US"/>
        </w:rPr>
        <w:br w:type="page"/>
      </w:r>
    </w:p>
    <w:p w:rsidR="00C30315" w:rsidRPr="00EC15DD" w:rsidRDefault="00C30315" w:rsidP="003F4609">
      <w:pPr>
        <w:spacing w:line="480" w:lineRule="auto"/>
        <w:jc w:val="both"/>
        <w:rPr>
          <w:rFonts w:ascii="Arial" w:hAnsi="Arial" w:cs="Arial"/>
          <w:lang w:val="en-US"/>
        </w:rPr>
      </w:pPr>
      <w:r w:rsidRPr="00EC15DD">
        <w:rPr>
          <w:rFonts w:ascii="Arial" w:hAnsi="Arial" w:cs="Arial"/>
          <w:b/>
          <w:bCs/>
          <w:lang w:val="en-US"/>
        </w:rPr>
        <w:lastRenderedPageBreak/>
        <w:t xml:space="preserve">Figure Legends </w:t>
      </w:r>
    </w:p>
    <w:p w:rsidR="00C30315" w:rsidRPr="00EC15DD" w:rsidRDefault="00C30315" w:rsidP="00804C72">
      <w:pPr>
        <w:spacing w:line="480" w:lineRule="auto"/>
        <w:rPr>
          <w:rFonts w:ascii="Arial" w:hAnsi="Arial" w:cs="Arial"/>
          <w:lang w:val="en-US"/>
        </w:rPr>
      </w:pPr>
      <w:r w:rsidRPr="00EC15DD">
        <w:rPr>
          <w:rFonts w:ascii="Arial" w:hAnsi="Arial" w:cs="Arial"/>
          <w:b/>
          <w:bCs/>
          <w:lang w:val="en-US"/>
        </w:rPr>
        <w:t>Figure 1</w:t>
      </w:r>
      <w:r w:rsidRPr="00EC15DD">
        <w:rPr>
          <w:rFonts w:ascii="Arial" w:hAnsi="Arial" w:cs="Arial"/>
          <w:lang w:val="en-US"/>
        </w:rPr>
        <w:t xml:space="preserve"> </w:t>
      </w:r>
    </w:p>
    <w:p w:rsidR="00C30315" w:rsidRPr="00EC15DD" w:rsidRDefault="00C30315" w:rsidP="00804C72">
      <w:pPr>
        <w:spacing w:line="480" w:lineRule="auto"/>
        <w:rPr>
          <w:rFonts w:ascii="Arial" w:hAnsi="Arial" w:cs="Arial"/>
          <w:lang w:val="en-US"/>
        </w:rPr>
      </w:pPr>
      <w:r w:rsidRPr="00EC15DD">
        <w:rPr>
          <w:rFonts w:ascii="Arial" w:hAnsi="Arial" w:cs="Arial"/>
          <w:lang w:val="en-US"/>
        </w:rPr>
        <w:t>Atazanavir and lamivudine concentrations in plasma and cerebrospinal fluid.</w:t>
      </w:r>
    </w:p>
    <w:p w:rsidR="00C30315" w:rsidRDefault="004E59F7">
      <w:pPr>
        <w:rPr>
          <w:rFonts w:ascii="Arial" w:hAnsi="Arial" w:cs="Arial"/>
          <w:sz w:val="20"/>
          <w:szCs w:val="20"/>
          <w:lang w:val="en-US"/>
        </w:rPr>
      </w:pPr>
      <w:r>
        <w:rPr>
          <w:rFonts w:ascii="Arial" w:hAnsi="Arial" w:cs="Arial"/>
          <w:sz w:val="20"/>
          <w:szCs w:val="20"/>
          <w:lang w:val="en-US"/>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8.4pt;height:446.25pt" o:ole="">
            <v:imagedata r:id="rId8" o:title=""/>
          </v:shape>
          <o:OLEObject Type="Embed" ProgID="AcroExch.Document.2015" ShapeID="_x0000_i1032" DrawAspect="Content" ObjectID="_1589782276" r:id="rId9"/>
        </w:object>
      </w:r>
    </w:p>
    <w:p w:rsidR="00C30315" w:rsidRDefault="00C30315">
      <w:pPr>
        <w:rPr>
          <w:rFonts w:ascii="Arial" w:hAnsi="Arial" w:cs="Arial"/>
          <w:sz w:val="20"/>
          <w:szCs w:val="20"/>
          <w:lang w:val="en-US"/>
        </w:rPr>
      </w:pPr>
      <w:r>
        <w:rPr>
          <w:rFonts w:ascii="Arial" w:hAnsi="Arial" w:cs="Arial"/>
          <w:sz w:val="20"/>
          <w:szCs w:val="20"/>
          <w:lang w:val="en-US"/>
        </w:rPr>
        <w:br w:type="page"/>
      </w:r>
      <w:r w:rsidR="006C5D07" w:rsidRPr="004E59F7">
        <w:rPr>
          <w:rFonts w:ascii="Arial" w:hAnsi="Arial" w:cs="Arial"/>
          <w:noProof/>
          <w:sz w:val="20"/>
          <w:szCs w:val="20"/>
          <w:lang w:val="en-GB" w:eastAsia="en-GB"/>
        </w:rPr>
        <w:lastRenderedPageBreak/>
        <w:drawing>
          <wp:inline distT="0" distB="0" distL="0" distR="0">
            <wp:extent cx="5890260" cy="54508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r="21872"/>
                    <a:stretch>
                      <a:fillRect/>
                    </a:stretch>
                  </pic:blipFill>
                  <pic:spPr bwMode="auto">
                    <a:xfrm>
                      <a:off x="0" y="0"/>
                      <a:ext cx="5890260" cy="5450840"/>
                    </a:xfrm>
                    <a:prstGeom prst="rect">
                      <a:avLst/>
                    </a:prstGeom>
                    <a:noFill/>
                    <a:ln>
                      <a:noFill/>
                    </a:ln>
                  </pic:spPr>
                </pic:pic>
              </a:graphicData>
            </a:graphic>
          </wp:inline>
        </w:drawing>
      </w:r>
    </w:p>
    <w:p w:rsidR="004E59F7" w:rsidRDefault="004E59F7">
      <w:pPr>
        <w:rPr>
          <w:rFonts w:ascii="Arial" w:hAnsi="Arial" w:cs="Arial"/>
          <w:sz w:val="20"/>
          <w:szCs w:val="20"/>
          <w:lang w:val="en-US"/>
        </w:rPr>
        <w:sectPr w:rsidR="004E59F7" w:rsidSect="00310661">
          <w:headerReference w:type="default" r:id="rId11"/>
          <w:footerReference w:type="even" r:id="rId12"/>
          <w:footerReference w:type="default" r:id="rId13"/>
          <w:pgSz w:w="12240" w:h="15840"/>
          <w:pgMar w:top="1440" w:right="1797" w:bottom="1440" w:left="1797" w:header="720" w:footer="720" w:gutter="0"/>
          <w:lnNumType w:countBy="1"/>
          <w:pgNumType w:start="1"/>
          <w:cols w:space="720"/>
          <w:noEndnote/>
          <w:docGrid w:linePitch="326"/>
        </w:sectPr>
      </w:pPr>
    </w:p>
    <w:p w:rsidR="004E59F7" w:rsidRPr="00EC15DD" w:rsidRDefault="004E59F7">
      <w:pPr>
        <w:rPr>
          <w:rFonts w:ascii="Arial" w:hAnsi="Arial" w:cs="Arial"/>
          <w:sz w:val="20"/>
          <w:szCs w:val="20"/>
          <w:lang w:val="en-US"/>
        </w:rPr>
      </w:pPr>
    </w:p>
    <w:tbl>
      <w:tblPr>
        <w:tblpPr w:leftFromText="141" w:rightFromText="141" w:horzAnchor="page" w:tblpX="2350" w:tblpY="1184"/>
        <w:tblW w:w="11700" w:type="dxa"/>
        <w:tblLayout w:type="fixed"/>
        <w:tblLook w:val="01E0" w:firstRow="1" w:lastRow="1" w:firstColumn="1" w:lastColumn="1" w:noHBand="0" w:noVBand="0"/>
      </w:tblPr>
      <w:tblGrid>
        <w:gridCol w:w="1440"/>
        <w:gridCol w:w="1229"/>
        <w:gridCol w:w="1291"/>
        <w:gridCol w:w="1260"/>
        <w:gridCol w:w="1980"/>
        <w:gridCol w:w="1134"/>
        <w:gridCol w:w="1149"/>
        <w:gridCol w:w="2217"/>
      </w:tblGrid>
      <w:tr w:rsidR="004E59F7" w:rsidRPr="00391909" w:rsidTr="00B6642B">
        <w:tc>
          <w:tcPr>
            <w:tcW w:w="1440" w:type="dxa"/>
            <w:tcBorders>
              <w:bottom w:val="single" w:sz="4" w:space="0" w:color="auto"/>
            </w:tcBorders>
          </w:tcPr>
          <w:p w:rsidR="004E59F7" w:rsidRPr="002D3846" w:rsidRDefault="004E59F7" w:rsidP="00670B29">
            <w:pPr>
              <w:jc w:val="center"/>
              <w:rPr>
                <w:rFonts w:ascii="Arial" w:hAnsi="Arial" w:cs="Arial"/>
                <w:b/>
                <w:bCs/>
                <w:sz w:val="20"/>
                <w:szCs w:val="20"/>
                <w:lang w:val="en-US"/>
              </w:rPr>
            </w:pPr>
          </w:p>
        </w:tc>
        <w:tc>
          <w:tcPr>
            <w:tcW w:w="1229" w:type="dxa"/>
            <w:tcBorders>
              <w:bottom w:val="single" w:sz="4" w:space="0" w:color="auto"/>
            </w:tcBorders>
          </w:tcPr>
          <w:p w:rsidR="004E59F7" w:rsidRPr="002D3846" w:rsidRDefault="004E59F7" w:rsidP="00670B29">
            <w:pPr>
              <w:jc w:val="center"/>
              <w:rPr>
                <w:rFonts w:ascii="Arial" w:hAnsi="Arial" w:cs="Arial"/>
                <w:b/>
                <w:bCs/>
                <w:sz w:val="20"/>
                <w:szCs w:val="20"/>
              </w:rPr>
            </w:pPr>
          </w:p>
        </w:tc>
        <w:tc>
          <w:tcPr>
            <w:tcW w:w="4531" w:type="dxa"/>
            <w:gridSpan w:val="3"/>
            <w:tcBorders>
              <w:bottom w:val="single" w:sz="4" w:space="0" w:color="auto"/>
            </w:tcBorders>
            <w:vAlign w:val="bottom"/>
          </w:tcPr>
          <w:p w:rsidR="004E59F7" w:rsidRPr="002D3846" w:rsidRDefault="004E59F7" w:rsidP="00670B29">
            <w:pPr>
              <w:jc w:val="center"/>
              <w:rPr>
                <w:rFonts w:ascii="Arial" w:hAnsi="Arial" w:cs="Arial"/>
                <w:b/>
                <w:bCs/>
                <w:sz w:val="20"/>
                <w:szCs w:val="20"/>
              </w:rPr>
            </w:pPr>
          </w:p>
          <w:p w:rsidR="004E59F7" w:rsidRPr="00391909" w:rsidRDefault="004E59F7" w:rsidP="00670B29">
            <w:pPr>
              <w:jc w:val="center"/>
              <w:rPr>
                <w:rFonts w:ascii="Arial" w:hAnsi="Arial" w:cs="Arial"/>
                <w:b/>
                <w:bCs/>
                <w:sz w:val="20"/>
                <w:szCs w:val="20"/>
              </w:rPr>
            </w:pPr>
            <w:proofErr w:type="spellStart"/>
            <w:r w:rsidRPr="00391909">
              <w:rPr>
                <w:rFonts w:ascii="Arial" w:hAnsi="Arial" w:cs="Arial"/>
                <w:b/>
                <w:bCs/>
                <w:sz w:val="20"/>
                <w:szCs w:val="20"/>
              </w:rPr>
              <w:t>ATV</w:t>
            </w:r>
            <w:proofErr w:type="spellEnd"/>
            <w:r w:rsidRPr="00391909">
              <w:rPr>
                <w:rFonts w:ascii="Arial" w:hAnsi="Arial" w:cs="Arial"/>
                <w:b/>
                <w:bCs/>
                <w:sz w:val="20"/>
                <w:szCs w:val="20"/>
              </w:rPr>
              <w:t xml:space="preserve"> </w:t>
            </w:r>
            <w:r w:rsidRPr="00391909">
              <w:rPr>
                <w:rFonts w:ascii="Arial" w:hAnsi="Arial" w:cs="Arial"/>
                <w:b/>
                <w:bCs/>
                <w:sz w:val="20"/>
                <w:szCs w:val="20"/>
                <w:lang w:val="en-US"/>
              </w:rPr>
              <w:t>concentrations,</w:t>
            </w:r>
            <w:r w:rsidRPr="00391909">
              <w:rPr>
                <w:rFonts w:ascii="Arial" w:hAnsi="Arial" w:cs="Arial"/>
                <w:b/>
                <w:bCs/>
                <w:sz w:val="20"/>
                <w:szCs w:val="20"/>
              </w:rPr>
              <w:t xml:space="preserve"> </w:t>
            </w:r>
            <w:proofErr w:type="spellStart"/>
            <w:r w:rsidRPr="00391909">
              <w:rPr>
                <w:rFonts w:ascii="Arial" w:hAnsi="Arial" w:cs="Arial"/>
                <w:b/>
                <w:bCs/>
                <w:sz w:val="20"/>
                <w:szCs w:val="20"/>
              </w:rPr>
              <w:t>ng</w:t>
            </w:r>
            <w:proofErr w:type="spellEnd"/>
            <w:r w:rsidRPr="00391909">
              <w:rPr>
                <w:rFonts w:ascii="Arial" w:hAnsi="Arial" w:cs="Arial"/>
                <w:b/>
                <w:bCs/>
                <w:sz w:val="20"/>
                <w:szCs w:val="20"/>
              </w:rPr>
              <w:t>/</w:t>
            </w:r>
            <w:proofErr w:type="spellStart"/>
            <w:r w:rsidRPr="00391909">
              <w:rPr>
                <w:rFonts w:ascii="Arial" w:hAnsi="Arial" w:cs="Arial"/>
                <w:b/>
                <w:bCs/>
                <w:sz w:val="20"/>
                <w:szCs w:val="20"/>
              </w:rPr>
              <w:t>mL</w:t>
            </w:r>
            <w:proofErr w:type="spellEnd"/>
          </w:p>
          <w:p w:rsidR="004E59F7" w:rsidRPr="00391909" w:rsidRDefault="004E59F7" w:rsidP="00670B29">
            <w:pPr>
              <w:jc w:val="center"/>
              <w:rPr>
                <w:rFonts w:ascii="Arial" w:hAnsi="Arial" w:cs="Arial"/>
                <w:b/>
                <w:bCs/>
                <w:sz w:val="20"/>
                <w:szCs w:val="20"/>
                <w:lang w:val="en-US"/>
              </w:rPr>
            </w:pPr>
          </w:p>
        </w:tc>
        <w:tc>
          <w:tcPr>
            <w:tcW w:w="4500" w:type="dxa"/>
            <w:gridSpan w:val="3"/>
            <w:tcBorders>
              <w:bottom w:val="single" w:sz="4" w:space="0" w:color="auto"/>
            </w:tcBorders>
            <w:vAlign w:val="bottom"/>
          </w:tcPr>
          <w:p w:rsidR="004E59F7" w:rsidRPr="00391909" w:rsidRDefault="004E59F7" w:rsidP="00670B29">
            <w:pPr>
              <w:jc w:val="center"/>
              <w:rPr>
                <w:rFonts w:ascii="Arial" w:hAnsi="Arial" w:cs="Arial"/>
                <w:b/>
                <w:bCs/>
                <w:sz w:val="20"/>
                <w:szCs w:val="20"/>
              </w:rPr>
            </w:pPr>
            <w:r w:rsidRPr="00391909">
              <w:rPr>
                <w:rFonts w:ascii="Arial" w:hAnsi="Arial" w:cs="Arial"/>
                <w:b/>
                <w:bCs/>
                <w:sz w:val="20"/>
                <w:szCs w:val="20"/>
              </w:rPr>
              <w:t xml:space="preserve">3TC </w:t>
            </w:r>
            <w:r w:rsidRPr="00391909">
              <w:rPr>
                <w:rFonts w:ascii="Arial" w:hAnsi="Arial" w:cs="Arial"/>
                <w:b/>
                <w:bCs/>
                <w:sz w:val="20"/>
                <w:szCs w:val="20"/>
                <w:lang w:val="en-US"/>
              </w:rPr>
              <w:t>concentrations,</w:t>
            </w:r>
            <w:r w:rsidRPr="00391909">
              <w:rPr>
                <w:rFonts w:ascii="Arial" w:hAnsi="Arial" w:cs="Arial"/>
                <w:b/>
                <w:bCs/>
                <w:sz w:val="20"/>
                <w:szCs w:val="20"/>
              </w:rPr>
              <w:t xml:space="preserve"> </w:t>
            </w:r>
            <w:proofErr w:type="spellStart"/>
            <w:r w:rsidRPr="00391909">
              <w:rPr>
                <w:rFonts w:ascii="Arial" w:hAnsi="Arial" w:cs="Arial"/>
                <w:b/>
                <w:bCs/>
                <w:sz w:val="20"/>
                <w:szCs w:val="20"/>
              </w:rPr>
              <w:t>ng</w:t>
            </w:r>
            <w:proofErr w:type="spellEnd"/>
            <w:r w:rsidRPr="00391909">
              <w:rPr>
                <w:rFonts w:ascii="Arial" w:hAnsi="Arial" w:cs="Arial"/>
                <w:b/>
                <w:bCs/>
                <w:sz w:val="20"/>
                <w:szCs w:val="20"/>
              </w:rPr>
              <w:t>/</w:t>
            </w:r>
            <w:proofErr w:type="spellStart"/>
            <w:r w:rsidRPr="00391909">
              <w:rPr>
                <w:rFonts w:ascii="Arial" w:hAnsi="Arial" w:cs="Arial"/>
                <w:b/>
                <w:bCs/>
                <w:sz w:val="20"/>
                <w:szCs w:val="20"/>
              </w:rPr>
              <w:t>mL</w:t>
            </w:r>
            <w:proofErr w:type="spellEnd"/>
          </w:p>
          <w:p w:rsidR="004E59F7" w:rsidRPr="00391909" w:rsidRDefault="004E59F7" w:rsidP="00670B29">
            <w:pPr>
              <w:jc w:val="center"/>
              <w:rPr>
                <w:rFonts w:ascii="Arial" w:hAnsi="Arial" w:cs="Arial"/>
                <w:b/>
                <w:bCs/>
                <w:sz w:val="20"/>
                <w:szCs w:val="20"/>
                <w:lang w:val="en-US"/>
              </w:rPr>
            </w:pPr>
          </w:p>
        </w:tc>
      </w:tr>
      <w:tr w:rsidR="004E59F7" w:rsidRPr="00391909" w:rsidTr="00B6642B">
        <w:tc>
          <w:tcPr>
            <w:tcW w:w="1440" w:type="dxa"/>
            <w:tcBorders>
              <w:top w:val="single" w:sz="4" w:space="0" w:color="auto"/>
              <w:bottom w:val="single" w:sz="4" w:space="0" w:color="auto"/>
            </w:tcBorders>
          </w:tcPr>
          <w:p w:rsidR="004E59F7" w:rsidRPr="00391909" w:rsidRDefault="004E59F7" w:rsidP="00670B29">
            <w:pPr>
              <w:jc w:val="center"/>
              <w:rPr>
                <w:rFonts w:ascii="Arial" w:hAnsi="Arial" w:cs="Arial"/>
                <w:b/>
                <w:bCs/>
                <w:sz w:val="20"/>
                <w:szCs w:val="20"/>
                <w:lang w:val="en-US"/>
              </w:rPr>
            </w:pPr>
          </w:p>
          <w:p w:rsidR="004E59F7" w:rsidRPr="00391909" w:rsidRDefault="004E59F7" w:rsidP="00670B29">
            <w:pPr>
              <w:jc w:val="center"/>
              <w:rPr>
                <w:rFonts w:ascii="Arial" w:hAnsi="Arial" w:cs="Arial"/>
                <w:b/>
                <w:bCs/>
                <w:sz w:val="20"/>
                <w:szCs w:val="20"/>
                <w:lang w:val="en-US"/>
              </w:rPr>
            </w:pPr>
            <w:r w:rsidRPr="00391909">
              <w:rPr>
                <w:rFonts w:ascii="Arial" w:hAnsi="Arial" w:cs="Arial"/>
                <w:b/>
                <w:bCs/>
                <w:sz w:val="20"/>
                <w:szCs w:val="20"/>
                <w:lang w:val="en-US"/>
              </w:rPr>
              <w:t>Patient</w:t>
            </w:r>
          </w:p>
        </w:tc>
        <w:tc>
          <w:tcPr>
            <w:tcW w:w="1229" w:type="dxa"/>
            <w:tcBorders>
              <w:top w:val="single" w:sz="4" w:space="0" w:color="auto"/>
              <w:bottom w:val="single" w:sz="4" w:space="0" w:color="auto"/>
            </w:tcBorders>
          </w:tcPr>
          <w:p w:rsidR="004E59F7" w:rsidRPr="00391909" w:rsidRDefault="004E59F7" w:rsidP="00670B29">
            <w:pPr>
              <w:jc w:val="center"/>
              <w:rPr>
                <w:rFonts w:ascii="Arial" w:hAnsi="Arial" w:cs="Arial"/>
                <w:b/>
                <w:bCs/>
                <w:sz w:val="20"/>
                <w:szCs w:val="20"/>
                <w:lang w:val="en-US"/>
              </w:rPr>
            </w:pPr>
          </w:p>
          <w:p w:rsidR="004E59F7" w:rsidRPr="00391909" w:rsidRDefault="004E59F7" w:rsidP="00670B29">
            <w:pPr>
              <w:jc w:val="center"/>
              <w:rPr>
                <w:rFonts w:ascii="Arial" w:hAnsi="Arial" w:cs="Arial"/>
                <w:b/>
                <w:bCs/>
                <w:sz w:val="20"/>
                <w:szCs w:val="20"/>
                <w:lang w:val="en-US"/>
              </w:rPr>
            </w:pPr>
            <w:r w:rsidRPr="00391909">
              <w:rPr>
                <w:rFonts w:ascii="Arial" w:hAnsi="Arial" w:cs="Arial"/>
                <w:b/>
                <w:bCs/>
                <w:sz w:val="20"/>
                <w:szCs w:val="20"/>
                <w:lang w:val="en-US"/>
              </w:rPr>
              <w:t>Gender</w:t>
            </w:r>
          </w:p>
        </w:tc>
        <w:tc>
          <w:tcPr>
            <w:tcW w:w="1291" w:type="dxa"/>
            <w:tcBorders>
              <w:top w:val="single" w:sz="4" w:space="0" w:color="auto"/>
              <w:bottom w:val="single" w:sz="4" w:space="0" w:color="auto"/>
            </w:tcBorders>
            <w:vAlign w:val="bottom"/>
          </w:tcPr>
          <w:p w:rsidR="004E59F7" w:rsidRPr="00391909" w:rsidRDefault="004E59F7" w:rsidP="00670B29">
            <w:pPr>
              <w:jc w:val="center"/>
              <w:rPr>
                <w:rFonts w:ascii="Arial" w:hAnsi="Arial" w:cs="Arial"/>
                <w:b/>
                <w:bCs/>
                <w:sz w:val="20"/>
                <w:szCs w:val="20"/>
                <w:lang w:val="en-US"/>
              </w:rPr>
            </w:pPr>
          </w:p>
          <w:p w:rsidR="004E59F7" w:rsidRPr="00391909" w:rsidRDefault="004E59F7" w:rsidP="00670B29">
            <w:pPr>
              <w:jc w:val="center"/>
              <w:rPr>
                <w:rFonts w:ascii="Arial" w:hAnsi="Arial" w:cs="Arial"/>
                <w:b/>
                <w:bCs/>
                <w:sz w:val="20"/>
                <w:szCs w:val="20"/>
                <w:lang w:val="en-US"/>
              </w:rPr>
            </w:pPr>
            <w:r w:rsidRPr="00391909">
              <w:rPr>
                <w:rFonts w:ascii="Arial" w:hAnsi="Arial" w:cs="Arial"/>
                <w:b/>
                <w:bCs/>
                <w:sz w:val="20"/>
                <w:szCs w:val="20"/>
                <w:lang w:val="en-US"/>
              </w:rPr>
              <w:t>Plasma</w:t>
            </w:r>
          </w:p>
          <w:p w:rsidR="004E59F7" w:rsidRPr="00391909" w:rsidRDefault="004E59F7" w:rsidP="00670B29">
            <w:pPr>
              <w:jc w:val="center"/>
              <w:rPr>
                <w:rFonts w:ascii="Arial" w:hAnsi="Arial" w:cs="Arial"/>
                <w:sz w:val="20"/>
                <w:szCs w:val="20"/>
                <w:lang w:val="en-US"/>
              </w:rPr>
            </w:pPr>
          </w:p>
        </w:tc>
        <w:tc>
          <w:tcPr>
            <w:tcW w:w="1260" w:type="dxa"/>
            <w:tcBorders>
              <w:top w:val="single" w:sz="4" w:space="0" w:color="auto"/>
              <w:bottom w:val="single" w:sz="4" w:space="0" w:color="auto"/>
            </w:tcBorders>
            <w:vAlign w:val="bottom"/>
          </w:tcPr>
          <w:p w:rsidR="004E59F7" w:rsidRPr="00391909" w:rsidRDefault="004E59F7" w:rsidP="00670B29">
            <w:pPr>
              <w:jc w:val="center"/>
              <w:rPr>
                <w:rFonts w:ascii="Arial" w:hAnsi="Arial" w:cs="Arial"/>
                <w:b/>
                <w:bCs/>
                <w:sz w:val="20"/>
                <w:szCs w:val="20"/>
                <w:lang w:val="en-US"/>
              </w:rPr>
            </w:pPr>
            <w:r w:rsidRPr="00391909">
              <w:rPr>
                <w:rFonts w:ascii="Arial" w:hAnsi="Arial" w:cs="Arial"/>
                <w:b/>
                <w:bCs/>
                <w:sz w:val="20"/>
                <w:szCs w:val="20"/>
                <w:lang w:val="en-US"/>
              </w:rPr>
              <w:t>CSF</w:t>
            </w:r>
          </w:p>
          <w:p w:rsidR="004E59F7" w:rsidRPr="00391909" w:rsidRDefault="004E59F7" w:rsidP="00670B29">
            <w:pPr>
              <w:jc w:val="center"/>
              <w:rPr>
                <w:rFonts w:ascii="Arial" w:hAnsi="Arial" w:cs="Arial"/>
                <w:sz w:val="20"/>
                <w:szCs w:val="20"/>
                <w:lang w:val="en-US"/>
              </w:rPr>
            </w:pPr>
          </w:p>
        </w:tc>
        <w:tc>
          <w:tcPr>
            <w:tcW w:w="1980" w:type="dxa"/>
            <w:tcBorders>
              <w:top w:val="single" w:sz="4" w:space="0" w:color="auto"/>
              <w:bottom w:val="single" w:sz="4" w:space="0" w:color="auto"/>
            </w:tcBorders>
          </w:tcPr>
          <w:p w:rsidR="004E59F7" w:rsidRPr="00391909" w:rsidRDefault="004E59F7" w:rsidP="00670B29">
            <w:pPr>
              <w:jc w:val="center"/>
              <w:rPr>
                <w:rFonts w:ascii="Arial" w:hAnsi="Arial" w:cs="Arial"/>
                <w:b/>
                <w:bCs/>
                <w:sz w:val="20"/>
                <w:szCs w:val="20"/>
                <w:lang w:val="en-US"/>
              </w:rPr>
            </w:pPr>
          </w:p>
          <w:p w:rsidR="004E59F7" w:rsidRPr="00391909" w:rsidRDefault="004E59F7" w:rsidP="00670B29">
            <w:pPr>
              <w:jc w:val="center"/>
              <w:rPr>
                <w:rFonts w:ascii="Arial" w:hAnsi="Arial" w:cs="Arial"/>
                <w:sz w:val="20"/>
                <w:szCs w:val="20"/>
                <w:lang w:val="en-US"/>
              </w:rPr>
            </w:pPr>
            <w:proofErr w:type="spellStart"/>
            <w:r w:rsidRPr="00391909">
              <w:rPr>
                <w:rFonts w:ascii="Arial" w:hAnsi="Arial" w:cs="Arial"/>
                <w:b/>
                <w:bCs/>
                <w:sz w:val="20"/>
                <w:szCs w:val="20"/>
                <w:lang w:val="en-US"/>
              </w:rPr>
              <w:t>CSF:plasma</w:t>
            </w:r>
            <w:proofErr w:type="spellEnd"/>
            <w:r w:rsidRPr="00391909">
              <w:rPr>
                <w:rFonts w:ascii="Arial" w:hAnsi="Arial" w:cs="Arial"/>
                <w:b/>
                <w:bCs/>
                <w:sz w:val="20"/>
                <w:szCs w:val="20"/>
                <w:lang w:val="en-US"/>
              </w:rPr>
              <w:t xml:space="preserve"> ratio</w:t>
            </w:r>
          </w:p>
        </w:tc>
        <w:tc>
          <w:tcPr>
            <w:tcW w:w="1134" w:type="dxa"/>
            <w:tcBorders>
              <w:top w:val="single" w:sz="4" w:space="0" w:color="auto"/>
              <w:bottom w:val="single" w:sz="4" w:space="0" w:color="auto"/>
            </w:tcBorders>
            <w:vAlign w:val="bottom"/>
          </w:tcPr>
          <w:p w:rsidR="004E59F7" w:rsidRPr="00391909" w:rsidRDefault="004E59F7" w:rsidP="00670B29">
            <w:pPr>
              <w:jc w:val="center"/>
              <w:rPr>
                <w:rFonts w:ascii="Arial" w:hAnsi="Arial" w:cs="Arial"/>
                <w:b/>
                <w:bCs/>
                <w:sz w:val="20"/>
                <w:szCs w:val="20"/>
                <w:lang w:val="en-US"/>
              </w:rPr>
            </w:pPr>
            <w:r w:rsidRPr="00391909">
              <w:rPr>
                <w:rFonts w:ascii="Arial" w:hAnsi="Arial" w:cs="Arial"/>
                <w:b/>
                <w:bCs/>
                <w:sz w:val="20"/>
                <w:szCs w:val="20"/>
                <w:lang w:val="en-US"/>
              </w:rPr>
              <w:t>Plasma</w:t>
            </w:r>
          </w:p>
          <w:p w:rsidR="004E59F7" w:rsidRPr="00391909" w:rsidRDefault="004E59F7" w:rsidP="00670B29">
            <w:pPr>
              <w:jc w:val="center"/>
              <w:rPr>
                <w:rFonts w:ascii="Arial" w:hAnsi="Arial" w:cs="Arial"/>
                <w:sz w:val="20"/>
                <w:szCs w:val="20"/>
                <w:lang w:val="en-US"/>
              </w:rPr>
            </w:pPr>
          </w:p>
        </w:tc>
        <w:tc>
          <w:tcPr>
            <w:tcW w:w="1149" w:type="dxa"/>
            <w:tcBorders>
              <w:top w:val="single" w:sz="4" w:space="0" w:color="auto"/>
              <w:bottom w:val="single" w:sz="4" w:space="0" w:color="auto"/>
            </w:tcBorders>
            <w:vAlign w:val="bottom"/>
          </w:tcPr>
          <w:p w:rsidR="004E59F7" w:rsidRPr="00391909" w:rsidRDefault="004E59F7" w:rsidP="00670B29">
            <w:pPr>
              <w:jc w:val="center"/>
              <w:rPr>
                <w:rFonts w:ascii="Arial" w:hAnsi="Arial" w:cs="Arial"/>
                <w:b/>
                <w:bCs/>
                <w:sz w:val="20"/>
                <w:szCs w:val="20"/>
                <w:lang w:val="en-US"/>
              </w:rPr>
            </w:pPr>
            <w:r w:rsidRPr="00391909">
              <w:rPr>
                <w:rFonts w:ascii="Arial" w:hAnsi="Arial" w:cs="Arial"/>
                <w:b/>
                <w:bCs/>
                <w:sz w:val="20"/>
                <w:szCs w:val="20"/>
                <w:lang w:val="en-US"/>
              </w:rPr>
              <w:t>CSF</w:t>
            </w:r>
          </w:p>
          <w:p w:rsidR="004E59F7" w:rsidRPr="00391909" w:rsidRDefault="004E59F7" w:rsidP="00670B29">
            <w:pPr>
              <w:jc w:val="center"/>
              <w:rPr>
                <w:rFonts w:ascii="Arial" w:hAnsi="Arial" w:cs="Arial"/>
                <w:sz w:val="20"/>
                <w:szCs w:val="20"/>
                <w:lang w:val="en-US"/>
              </w:rPr>
            </w:pPr>
          </w:p>
        </w:tc>
        <w:tc>
          <w:tcPr>
            <w:tcW w:w="2217" w:type="dxa"/>
            <w:tcBorders>
              <w:top w:val="single" w:sz="4" w:space="0" w:color="auto"/>
              <w:bottom w:val="single" w:sz="4" w:space="0" w:color="auto"/>
            </w:tcBorders>
          </w:tcPr>
          <w:p w:rsidR="004E59F7" w:rsidRPr="00391909" w:rsidRDefault="004E59F7" w:rsidP="00670B29">
            <w:pPr>
              <w:jc w:val="center"/>
              <w:rPr>
                <w:rFonts w:ascii="Arial" w:hAnsi="Arial" w:cs="Arial"/>
                <w:b/>
                <w:bCs/>
                <w:sz w:val="20"/>
                <w:szCs w:val="20"/>
                <w:lang w:val="en-US"/>
              </w:rPr>
            </w:pPr>
          </w:p>
          <w:p w:rsidR="004E59F7" w:rsidRPr="00391909" w:rsidRDefault="004E59F7" w:rsidP="00670B29">
            <w:pPr>
              <w:jc w:val="center"/>
              <w:rPr>
                <w:rFonts w:ascii="Arial" w:hAnsi="Arial" w:cs="Arial"/>
                <w:sz w:val="20"/>
                <w:szCs w:val="20"/>
                <w:lang w:val="en-US"/>
              </w:rPr>
            </w:pPr>
            <w:proofErr w:type="spellStart"/>
            <w:r w:rsidRPr="00391909">
              <w:rPr>
                <w:rFonts w:ascii="Arial" w:hAnsi="Arial" w:cs="Arial"/>
                <w:b/>
                <w:bCs/>
                <w:sz w:val="20"/>
                <w:szCs w:val="20"/>
                <w:lang w:val="en-US"/>
              </w:rPr>
              <w:t>CSF:plasma</w:t>
            </w:r>
            <w:proofErr w:type="spellEnd"/>
            <w:r w:rsidRPr="00391909">
              <w:rPr>
                <w:rFonts w:ascii="Arial" w:hAnsi="Arial" w:cs="Arial"/>
                <w:b/>
                <w:bCs/>
                <w:sz w:val="20"/>
                <w:szCs w:val="20"/>
                <w:lang w:val="en-US"/>
              </w:rPr>
              <w:t xml:space="preserve"> ratio</w:t>
            </w:r>
          </w:p>
        </w:tc>
      </w:tr>
      <w:tr w:rsidR="004E59F7" w:rsidRPr="00391909" w:rsidTr="00B6642B">
        <w:tc>
          <w:tcPr>
            <w:tcW w:w="1440" w:type="dxa"/>
            <w:tcBorders>
              <w:top w:val="single" w:sz="4" w:space="0" w:color="auto"/>
            </w:tcBorders>
          </w:tcPr>
          <w:p w:rsidR="004E59F7" w:rsidRPr="00391909" w:rsidRDefault="004E59F7" w:rsidP="00670B29">
            <w:pPr>
              <w:jc w:val="center"/>
              <w:rPr>
                <w:rFonts w:ascii="Arial" w:hAnsi="Arial" w:cs="Arial"/>
                <w:sz w:val="20"/>
                <w:szCs w:val="20"/>
              </w:rPr>
            </w:pPr>
            <w:r w:rsidRPr="00391909">
              <w:rPr>
                <w:rFonts w:ascii="Arial" w:hAnsi="Arial" w:cs="Arial"/>
                <w:sz w:val="20"/>
                <w:szCs w:val="20"/>
              </w:rPr>
              <w:t>1</w:t>
            </w:r>
          </w:p>
        </w:tc>
        <w:tc>
          <w:tcPr>
            <w:tcW w:w="1229" w:type="dxa"/>
            <w:tcBorders>
              <w:top w:val="single" w:sz="4" w:space="0" w:color="auto"/>
            </w:tcBorders>
          </w:tcPr>
          <w:p w:rsidR="004E59F7" w:rsidRPr="00391909" w:rsidRDefault="004E59F7" w:rsidP="009A5D8D">
            <w:pPr>
              <w:jc w:val="center"/>
              <w:rPr>
                <w:rFonts w:ascii="Arial" w:hAnsi="Arial" w:cs="Arial"/>
                <w:sz w:val="20"/>
                <w:szCs w:val="20"/>
              </w:rPr>
            </w:pPr>
            <w:r w:rsidRPr="00391909">
              <w:rPr>
                <w:rFonts w:ascii="Arial" w:hAnsi="Arial" w:cs="Arial"/>
                <w:sz w:val="20"/>
                <w:szCs w:val="20"/>
                <w:lang w:val="en-GB"/>
              </w:rPr>
              <w:t>F</w:t>
            </w:r>
          </w:p>
        </w:tc>
        <w:tc>
          <w:tcPr>
            <w:tcW w:w="1291" w:type="dxa"/>
            <w:tcBorders>
              <w:top w:val="single" w:sz="4" w:space="0" w:color="auto"/>
            </w:tcBorders>
            <w:vAlign w:val="bottom"/>
          </w:tcPr>
          <w:p w:rsidR="004E59F7" w:rsidRPr="00391909" w:rsidRDefault="004E59F7" w:rsidP="009A5D8D">
            <w:pPr>
              <w:jc w:val="center"/>
              <w:rPr>
                <w:rFonts w:ascii="Arial" w:hAnsi="Arial" w:cs="Arial"/>
                <w:sz w:val="20"/>
                <w:szCs w:val="20"/>
              </w:rPr>
            </w:pPr>
            <w:r w:rsidRPr="00391909">
              <w:rPr>
                <w:rFonts w:ascii="Arial" w:hAnsi="Arial" w:cs="Arial"/>
                <w:sz w:val="20"/>
                <w:szCs w:val="20"/>
              </w:rPr>
              <w:t>680.71</w:t>
            </w:r>
          </w:p>
        </w:tc>
        <w:tc>
          <w:tcPr>
            <w:tcW w:w="1260" w:type="dxa"/>
            <w:tcBorders>
              <w:top w:val="single" w:sz="4" w:space="0" w:color="auto"/>
            </w:tcBorders>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3.98</w:t>
            </w:r>
          </w:p>
        </w:tc>
        <w:tc>
          <w:tcPr>
            <w:tcW w:w="1980" w:type="dxa"/>
            <w:tcBorders>
              <w:top w:val="single" w:sz="4" w:space="0" w:color="auto"/>
            </w:tcBorders>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0.006</w:t>
            </w:r>
          </w:p>
        </w:tc>
        <w:tc>
          <w:tcPr>
            <w:tcW w:w="1134" w:type="dxa"/>
            <w:tcBorders>
              <w:top w:val="single" w:sz="4" w:space="0" w:color="auto"/>
            </w:tcBorders>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80.06</w:t>
            </w:r>
          </w:p>
        </w:tc>
        <w:tc>
          <w:tcPr>
            <w:tcW w:w="1149" w:type="dxa"/>
            <w:tcBorders>
              <w:top w:val="single" w:sz="4" w:space="0" w:color="auto"/>
            </w:tcBorders>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23.06</w:t>
            </w:r>
          </w:p>
        </w:tc>
        <w:tc>
          <w:tcPr>
            <w:tcW w:w="2217" w:type="dxa"/>
            <w:tcBorders>
              <w:top w:val="single" w:sz="4" w:space="0" w:color="auto"/>
            </w:tcBorders>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0.288</w:t>
            </w:r>
          </w:p>
        </w:tc>
      </w:tr>
      <w:tr w:rsidR="004E59F7" w:rsidRPr="00391909" w:rsidTr="00B6642B">
        <w:tc>
          <w:tcPr>
            <w:tcW w:w="1440" w:type="dxa"/>
          </w:tcPr>
          <w:p w:rsidR="004E59F7" w:rsidRPr="00391909" w:rsidRDefault="004E59F7" w:rsidP="00670B29">
            <w:pPr>
              <w:jc w:val="center"/>
              <w:rPr>
                <w:rFonts w:ascii="Arial" w:hAnsi="Arial" w:cs="Arial"/>
                <w:sz w:val="20"/>
                <w:szCs w:val="20"/>
              </w:rPr>
            </w:pPr>
            <w:r w:rsidRPr="00391909">
              <w:rPr>
                <w:rFonts w:ascii="Arial" w:hAnsi="Arial" w:cs="Arial"/>
                <w:sz w:val="20"/>
                <w:szCs w:val="20"/>
              </w:rPr>
              <w:t>2</w:t>
            </w:r>
          </w:p>
        </w:tc>
        <w:tc>
          <w:tcPr>
            <w:tcW w:w="1229" w:type="dxa"/>
          </w:tcPr>
          <w:p w:rsidR="004E59F7" w:rsidRPr="00391909" w:rsidRDefault="004E59F7" w:rsidP="009A5D8D">
            <w:pPr>
              <w:jc w:val="center"/>
              <w:rPr>
                <w:rFonts w:ascii="Arial" w:hAnsi="Arial" w:cs="Arial"/>
                <w:sz w:val="20"/>
                <w:szCs w:val="20"/>
              </w:rPr>
            </w:pPr>
            <w:r w:rsidRPr="00391909">
              <w:rPr>
                <w:rFonts w:ascii="Arial" w:hAnsi="Arial" w:cs="Arial"/>
                <w:sz w:val="20"/>
                <w:szCs w:val="20"/>
                <w:lang w:val="en-GB"/>
              </w:rPr>
              <w:t>F</w:t>
            </w:r>
          </w:p>
        </w:tc>
        <w:tc>
          <w:tcPr>
            <w:tcW w:w="1291" w:type="dxa"/>
            <w:vAlign w:val="bottom"/>
          </w:tcPr>
          <w:p w:rsidR="004E59F7" w:rsidRPr="00391909" w:rsidRDefault="004E59F7" w:rsidP="009A5D8D">
            <w:pPr>
              <w:jc w:val="center"/>
              <w:rPr>
                <w:rFonts w:ascii="Arial" w:hAnsi="Arial" w:cs="Arial"/>
                <w:sz w:val="20"/>
                <w:szCs w:val="20"/>
              </w:rPr>
            </w:pPr>
            <w:r w:rsidRPr="00391909">
              <w:rPr>
                <w:rFonts w:ascii="Arial" w:hAnsi="Arial" w:cs="Arial"/>
                <w:sz w:val="20"/>
                <w:szCs w:val="20"/>
              </w:rPr>
              <w:t>562.86</w:t>
            </w:r>
          </w:p>
        </w:tc>
        <w:tc>
          <w:tcPr>
            <w:tcW w:w="1260"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4.79</w:t>
            </w:r>
          </w:p>
        </w:tc>
        <w:tc>
          <w:tcPr>
            <w:tcW w:w="1980"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0.009</w:t>
            </w:r>
          </w:p>
        </w:tc>
        <w:tc>
          <w:tcPr>
            <w:tcW w:w="1134"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36.71</w:t>
            </w:r>
          </w:p>
        </w:tc>
        <w:tc>
          <w:tcPr>
            <w:tcW w:w="1149"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16.20</w:t>
            </w:r>
          </w:p>
        </w:tc>
        <w:tc>
          <w:tcPr>
            <w:tcW w:w="2217"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0.441</w:t>
            </w:r>
          </w:p>
        </w:tc>
      </w:tr>
      <w:tr w:rsidR="004E59F7" w:rsidRPr="00391909" w:rsidTr="00B6642B">
        <w:tc>
          <w:tcPr>
            <w:tcW w:w="1440" w:type="dxa"/>
          </w:tcPr>
          <w:p w:rsidR="004E59F7" w:rsidRPr="00391909" w:rsidRDefault="004E59F7" w:rsidP="00670B29">
            <w:pPr>
              <w:jc w:val="center"/>
              <w:rPr>
                <w:rFonts w:ascii="Arial" w:hAnsi="Arial" w:cs="Arial"/>
                <w:sz w:val="20"/>
                <w:szCs w:val="20"/>
              </w:rPr>
            </w:pPr>
            <w:r w:rsidRPr="00391909">
              <w:rPr>
                <w:rFonts w:ascii="Arial" w:hAnsi="Arial" w:cs="Arial"/>
                <w:sz w:val="20"/>
                <w:szCs w:val="20"/>
              </w:rPr>
              <w:t>3</w:t>
            </w:r>
          </w:p>
        </w:tc>
        <w:tc>
          <w:tcPr>
            <w:tcW w:w="1229" w:type="dxa"/>
          </w:tcPr>
          <w:p w:rsidR="004E59F7" w:rsidRPr="00391909" w:rsidRDefault="004E59F7" w:rsidP="009A5D8D">
            <w:pPr>
              <w:jc w:val="center"/>
              <w:rPr>
                <w:rFonts w:ascii="Arial" w:hAnsi="Arial" w:cs="Arial"/>
                <w:sz w:val="20"/>
                <w:szCs w:val="20"/>
              </w:rPr>
            </w:pPr>
            <w:r w:rsidRPr="00391909">
              <w:rPr>
                <w:rFonts w:ascii="Arial" w:hAnsi="Arial" w:cs="Arial"/>
                <w:sz w:val="20"/>
                <w:szCs w:val="20"/>
                <w:lang w:val="en-GB"/>
              </w:rPr>
              <w:t>M</w:t>
            </w:r>
          </w:p>
        </w:tc>
        <w:tc>
          <w:tcPr>
            <w:tcW w:w="1291" w:type="dxa"/>
            <w:vAlign w:val="bottom"/>
          </w:tcPr>
          <w:p w:rsidR="004E59F7" w:rsidRPr="00391909" w:rsidRDefault="004E59F7" w:rsidP="009A5D8D">
            <w:pPr>
              <w:jc w:val="center"/>
              <w:rPr>
                <w:rFonts w:ascii="Arial" w:hAnsi="Arial" w:cs="Arial"/>
                <w:sz w:val="20"/>
                <w:szCs w:val="20"/>
              </w:rPr>
            </w:pPr>
            <w:r w:rsidRPr="00391909">
              <w:rPr>
                <w:rFonts w:ascii="Arial" w:hAnsi="Arial" w:cs="Arial"/>
                <w:sz w:val="20"/>
                <w:szCs w:val="20"/>
              </w:rPr>
              <w:t>867.33</w:t>
            </w:r>
          </w:p>
        </w:tc>
        <w:tc>
          <w:tcPr>
            <w:tcW w:w="1260"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25.91</w:t>
            </w:r>
          </w:p>
        </w:tc>
        <w:tc>
          <w:tcPr>
            <w:tcW w:w="1980"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0.030</w:t>
            </w:r>
          </w:p>
        </w:tc>
        <w:tc>
          <w:tcPr>
            <w:tcW w:w="1134"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69.78</w:t>
            </w:r>
          </w:p>
        </w:tc>
        <w:tc>
          <w:tcPr>
            <w:tcW w:w="1149"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99.33</w:t>
            </w:r>
          </w:p>
        </w:tc>
        <w:tc>
          <w:tcPr>
            <w:tcW w:w="2217"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1.423</w:t>
            </w:r>
          </w:p>
        </w:tc>
      </w:tr>
      <w:tr w:rsidR="004E59F7" w:rsidRPr="00391909" w:rsidTr="00B6642B">
        <w:tc>
          <w:tcPr>
            <w:tcW w:w="1440" w:type="dxa"/>
          </w:tcPr>
          <w:p w:rsidR="004E59F7" w:rsidRPr="00391909" w:rsidRDefault="004E59F7" w:rsidP="00670B29">
            <w:pPr>
              <w:jc w:val="center"/>
              <w:rPr>
                <w:rFonts w:ascii="Arial" w:hAnsi="Arial" w:cs="Arial"/>
                <w:sz w:val="20"/>
                <w:szCs w:val="20"/>
              </w:rPr>
            </w:pPr>
            <w:r w:rsidRPr="00391909">
              <w:rPr>
                <w:rFonts w:ascii="Arial" w:hAnsi="Arial" w:cs="Arial"/>
                <w:sz w:val="20"/>
                <w:szCs w:val="20"/>
              </w:rPr>
              <w:t>4</w:t>
            </w:r>
          </w:p>
        </w:tc>
        <w:tc>
          <w:tcPr>
            <w:tcW w:w="1229" w:type="dxa"/>
          </w:tcPr>
          <w:p w:rsidR="004E59F7" w:rsidRPr="00391909" w:rsidRDefault="004E59F7" w:rsidP="009A5D8D">
            <w:pPr>
              <w:jc w:val="center"/>
              <w:rPr>
                <w:rFonts w:ascii="Arial" w:hAnsi="Arial" w:cs="Arial"/>
                <w:sz w:val="20"/>
                <w:szCs w:val="20"/>
              </w:rPr>
            </w:pPr>
            <w:r w:rsidRPr="00391909">
              <w:rPr>
                <w:rFonts w:ascii="Arial" w:hAnsi="Arial" w:cs="Arial"/>
                <w:sz w:val="20"/>
                <w:szCs w:val="20"/>
                <w:lang w:val="en-GB"/>
              </w:rPr>
              <w:t>M</w:t>
            </w:r>
          </w:p>
        </w:tc>
        <w:tc>
          <w:tcPr>
            <w:tcW w:w="1291" w:type="dxa"/>
            <w:vAlign w:val="bottom"/>
          </w:tcPr>
          <w:p w:rsidR="004E59F7" w:rsidRPr="00391909" w:rsidRDefault="004E59F7" w:rsidP="009A5D8D">
            <w:pPr>
              <w:jc w:val="center"/>
              <w:rPr>
                <w:rFonts w:ascii="Arial" w:hAnsi="Arial" w:cs="Arial"/>
                <w:sz w:val="20"/>
                <w:szCs w:val="20"/>
              </w:rPr>
            </w:pPr>
            <w:r w:rsidRPr="00391909">
              <w:rPr>
                <w:rFonts w:ascii="Arial" w:hAnsi="Arial" w:cs="Arial"/>
                <w:sz w:val="20"/>
                <w:szCs w:val="20"/>
              </w:rPr>
              <w:t>1794.65</w:t>
            </w:r>
          </w:p>
        </w:tc>
        <w:tc>
          <w:tcPr>
            <w:tcW w:w="1260"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25.73</w:t>
            </w:r>
          </w:p>
        </w:tc>
        <w:tc>
          <w:tcPr>
            <w:tcW w:w="1980"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0.014</w:t>
            </w:r>
          </w:p>
        </w:tc>
        <w:tc>
          <w:tcPr>
            <w:tcW w:w="1134"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65.72</w:t>
            </w:r>
          </w:p>
        </w:tc>
        <w:tc>
          <w:tcPr>
            <w:tcW w:w="1149"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60.84</w:t>
            </w:r>
          </w:p>
        </w:tc>
        <w:tc>
          <w:tcPr>
            <w:tcW w:w="2217"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0.926</w:t>
            </w:r>
          </w:p>
        </w:tc>
      </w:tr>
      <w:tr w:rsidR="004E59F7" w:rsidRPr="00391909" w:rsidTr="00B6642B">
        <w:tc>
          <w:tcPr>
            <w:tcW w:w="1440" w:type="dxa"/>
          </w:tcPr>
          <w:p w:rsidR="004E59F7" w:rsidRPr="00391909" w:rsidRDefault="004E59F7" w:rsidP="00670B29">
            <w:pPr>
              <w:jc w:val="center"/>
              <w:rPr>
                <w:rFonts w:ascii="Arial" w:hAnsi="Arial" w:cs="Arial"/>
                <w:sz w:val="20"/>
                <w:szCs w:val="20"/>
              </w:rPr>
            </w:pPr>
            <w:r w:rsidRPr="00391909">
              <w:rPr>
                <w:rFonts w:ascii="Arial" w:hAnsi="Arial" w:cs="Arial"/>
                <w:sz w:val="20"/>
                <w:szCs w:val="20"/>
              </w:rPr>
              <w:t>5</w:t>
            </w:r>
          </w:p>
        </w:tc>
        <w:tc>
          <w:tcPr>
            <w:tcW w:w="1229" w:type="dxa"/>
          </w:tcPr>
          <w:p w:rsidR="004E59F7" w:rsidRPr="00391909" w:rsidRDefault="004E59F7" w:rsidP="009A5D8D">
            <w:pPr>
              <w:jc w:val="center"/>
              <w:rPr>
                <w:rFonts w:ascii="Arial" w:hAnsi="Arial" w:cs="Arial"/>
                <w:sz w:val="20"/>
                <w:szCs w:val="20"/>
              </w:rPr>
            </w:pPr>
            <w:r w:rsidRPr="00391909">
              <w:rPr>
                <w:rFonts w:ascii="Arial" w:hAnsi="Arial" w:cs="Arial"/>
                <w:sz w:val="20"/>
                <w:szCs w:val="20"/>
                <w:lang w:val="en-GB"/>
              </w:rPr>
              <w:t>F</w:t>
            </w:r>
          </w:p>
        </w:tc>
        <w:tc>
          <w:tcPr>
            <w:tcW w:w="1291" w:type="dxa"/>
            <w:vAlign w:val="bottom"/>
          </w:tcPr>
          <w:p w:rsidR="004E59F7" w:rsidRPr="00391909" w:rsidRDefault="004E59F7" w:rsidP="009A5D8D">
            <w:pPr>
              <w:jc w:val="center"/>
              <w:rPr>
                <w:rFonts w:ascii="Arial" w:hAnsi="Arial" w:cs="Arial"/>
                <w:sz w:val="20"/>
                <w:szCs w:val="20"/>
              </w:rPr>
            </w:pPr>
            <w:r w:rsidRPr="00391909">
              <w:rPr>
                <w:rFonts w:ascii="Arial" w:hAnsi="Arial" w:cs="Arial"/>
                <w:sz w:val="20"/>
                <w:szCs w:val="20"/>
              </w:rPr>
              <w:t>1544.08</w:t>
            </w:r>
          </w:p>
        </w:tc>
        <w:tc>
          <w:tcPr>
            <w:tcW w:w="1260"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5.88</w:t>
            </w:r>
          </w:p>
        </w:tc>
        <w:tc>
          <w:tcPr>
            <w:tcW w:w="1980"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0.004</w:t>
            </w:r>
          </w:p>
        </w:tc>
        <w:tc>
          <w:tcPr>
            <w:tcW w:w="1134"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110.09</w:t>
            </w:r>
          </w:p>
        </w:tc>
        <w:tc>
          <w:tcPr>
            <w:tcW w:w="1149"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33.37</w:t>
            </w:r>
          </w:p>
        </w:tc>
        <w:tc>
          <w:tcPr>
            <w:tcW w:w="2217"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0.303</w:t>
            </w:r>
          </w:p>
        </w:tc>
      </w:tr>
      <w:tr w:rsidR="004E59F7" w:rsidRPr="00391909" w:rsidTr="00B6642B">
        <w:tc>
          <w:tcPr>
            <w:tcW w:w="1440" w:type="dxa"/>
          </w:tcPr>
          <w:p w:rsidR="004E59F7" w:rsidRPr="00391909" w:rsidRDefault="004E59F7" w:rsidP="00670B29">
            <w:pPr>
              <w:jc w:val="center"/>
              <w:rPr>
                <w:rFonts w:ascii="Arial" w:hAnsi="Arial" w:cs="Arial"/>
                <w:sz w:val="20"/>
                <w:szCs w:val="20"/>
              </w:rPr>
            </w:pPr>
            <w:r w:rsidRPr="00391909">
              <w:rPr>
                <w:rFonts w:ascii="Arial" w:hAnsi="Arial" w:cs="Arial"/>
                <w:sz w:val="20"/>
                <w:szCs w:val="20"/>
              </w:rPr>
              <w:t>6</w:t>
            </w:r>
          </w:p>
        </w:tc>
        <w:tc>
          <w:tcPr>
            <w:tcW w:w="1229" w:type="dxa"/>
          </w:tcPr>
          <w:p w:rsidR="004E59F7" w:rsidRPr="00391909" w:rsidRDefault="004E59F7" w:rsidP="009A5D8D">
            <w:pPr>
              <w:jc w:val="center"/>
              <w:rPr>
                <w:rFonts w:ascii="Arial" w:hAnsi="Arial" w:cs="Arial"/>
                <w:sz w:val="20"/>
                <w:szCs w:val="20"/>
              </w:rPr>
            </w:pPr>
            <w:r w:rsidRPr="00391909">
              <w:rPr>
                <w:rFonts w:ascii="Arial" w:hAnsi="Arial" w:cs="Arial"/>
                <w:sz w:val="20"/>
                <w:szCs w:val="20"/>
                <w:lang w:val="en-GB"/>
              </w:rPr>
              <w:t>F</w:t>
            </w:r>
          </w:p>
        </w:tc>
        <w:tc>
          <w:tcPr>
            <w:tcW w:w="1291" w:type="dxa"/>
            <w:vAlign w:val="bottom"/>
          </w:tcPr>
          <w:p w:rsidR="004E59F7" w:rsidRPr="00391909" w:rsidRDefault="004E59F7" w:rsidP="009A5D8D">
            <w:pPr>
              <w:jc w:val="center"/>
              <w:rPr>
                <w:rFonts w:ascii="Arial" w:hAnsi="Arial" w:cs="Arial"/>
                <w:sz w:val="20"/>
                <w:szCs w:val="20"/>
              </w:rPr>
            </w:pPr>
            <w:r w:rsidRPr="00391909">
              <w:rPr>
                <w:rFonts w:ascii="Arial" w:hAnsi="Arial" w:cs="Arial"/>
                <w:sz w:val="20"/>
                <w:szCs w:val="20"/>
              </w:rPr>
              <w:t>392.75</w:t>
            </w:r>
          </w:p>
        </w:tc>
        <w:tc>
          <w:tcPr>
            <w:tcW w:w="1260"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9.82</w:t>
            </w:r>
          </w:p>
        </w:tc>
        <w:tc>
          <w:tcPr>
            <w:tcW w:w="1980"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0.025</w:t>
            </w:r>
          </w:p>
        </w:tc>
        <w:tc>
          <w:tcPr>
            <w:tcW w:w="1134"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51.79</w:t>
            </w:r>
          </w:p>
        </w:tc>
        <w:tc>
          <w:tcPr>
            <w:tcW w:w="1149"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58.98</w:t>
            </w:r>
          </w:p>
        </w:tc>
        <w:tc>
          <w:tcPr>
            <w:tcW w:w="2217"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1.139</w:t>
            </w:r>
          </w:p>
        </w:tc>
      </w:tr>
      <w:tr w:rsidR="004E59F7" w:rsidRPr="00391909" w:rsidTr="00B6642B">
        <w:tc>
          <w:tcPr>
            <w:tcW w:w="1440" w:type="dxa"/>
          </w:tcPr>
          <w:p w:rsidR="004E59F7" w:rsidRPr="00391909" w:rsidRDefault="004E59F7" w:rsidP="00670B29">
            <w:pPr>
              <w:jc w:val="center"/>
              <w:rPr>
                <w:rFonts w:ascii="Arial" w:hAnsi="Arial" w:cs="Arial"/>
                <w:sz w:val="20"/>
                <w:szCs w:val="20"/>
              </w:rPr>
            </w:pPr>
            <w:r w:rsidRPr="00391909">
              <w:rPr>
                <w:rFonts w:ascii="Arial" w:hAnsi="Arial" w:cs="Arial"/>
                <w:sz w:val="20"/>
                <w:szCs w:val="20"/>
              </w:rPr>
              <w:t>7</w:t>
            </w:r>
          </w:p>
        </w:tc>
        <w:tc>
          <w:tcPr>
            <w:tcW w:w="1229" w:type="dxa"/>
          </w:tcPr>
          <w:p w:rsidR="004E59F7" w:rsidRPr="00391909" w:rsidRDefault="004E59F7" w:rsidP="009A5D8D">
            <w:pPr>
              <w:jc w:val="center"/>
              <w:rPr>
                <w:rFonts w:ascii="Arial" w:hAnsi="Arial" w:cs="Arial"/>
                <w:sz w:val="20"/>
                <w:szCs w:val="20"/>
              </w:rPr>
            </w:pPr>
            <w:r w:rsidRPr="00391909">
              <w:rPr>
                <w:rFonts w:ascii="Arial" w:hAnsi="Arial" w:cs="Arial"/>
                <w:sz w:val="20"/>
                <w:szCs w:val="20"/>
                <w:lang w:val="en-GB"/>
              </w:rPr>
              <w:t>M</w:t>
            </w:r>
          </w:p>
        </w:tc>
        <w:tc>
          <w:tcPr>
            <w:tcW w:w="1291" w:type="dxa"/>
            <w:vAlign w:val="bottom"/>
          </w:tcPr>
          <w:p w:rsidR="004E59F7" w:rsidRPr="00391909" w:rsidRDefault="004E59F7" w:rsidP="009A5D8D">
            <w:pPr>
              <w:jc w:val="center"/>
              <w:rPr>
                <w:rFonts w:ascii="Arial" w:hAnsi="Arial" w:cs="Arial"/>
                <w:sz w:val="20"/>
                <w:szCs w:val="20"/>
              </w:rPr>
            </w:pPr>
            <w:r w:rsidRPr="00391909">
              <w:rPr>
                <w:rFonts w:ascii="Arial" w:hAnsi="Arial" w:cs="Arial"/>
                <w:sz w:val="20"/>
                <w:szCs w:val="20"/>
              </w:rPr>
              <w:t>914.55</w:t>
            </w:r>
          </w:p>
        </w:tc>
        <w:tc>
          <w:tcPr>
            <w:tcW w:w="1260"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10.96</w:t>
            </w:r>
          </w:p>
        </w:tc>
        <w:tc>
          <w:tcPr>
            <w:tcW w:w="1980"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0.012</w:t>
            </w:r>
          </w:p>
        </w:tc>
        <w:tc>
          <w:tcPr>
            <w:tcW w:w="1134"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48.36</w:t>
            </w:r>
          </w:p>
        </w:tc>
        <w:tc>
          <w:tcPr>
            <w:tcW w:w="1149"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18.73</w:t>
            </w:r>
          </w:p>
        </w:tc>
        <w:tc>
          <w:tcPr>
            <w:tcW w:w="2217"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0.387</w:t>
            </w:r>
          </w:p>
        </w:tc>
      </w:tr>
      <w:tr w:rsidR="004E59F7" w:rsidRPr="00391909" w:rsidTr="00B6642B">
        <w:tc>
          <w:tcPr>
            <w:tcW w:w="1440" w:type="dxa"/>
          </w:tcPr>
          <w:p w:rsidR="004E59F7" w:rsidRPr="00391909" w:rsidRDefault="004E59F7" w:rsidP="00670B29">
            <w:pPr>
              <w:jc w:val="center"/>
              <w:rPr>
                <w:rFonts w:ascii="Arial" w:hAnsi="Arial" w:cs="Arial"/>
                <w:sz w:val="20"/>
                <w:szCs w:val="20"/>
              </w:rPr>
            </w:pPr>
            <w:r w:rsidRPr="00391909">
              <w:rPr>
                <w:rFonts w:ascii="Arial" w:hAnsi="Arial" w:cs="Arial"/>
                <w:sz w:val="20"/>
                <w:szCs w:val="20"/>
              </w:rPr>
              <w:t>8</w:t>
            </w:r>
          </w:p>
        </w:tc>
        <w:tc>
          <w:tcPr>
            <w:tcW w:w="1229" w:type="dxa"/>
          </w:tcPr>
          <w:p w:rsidR="004E59F7" w:rsidRPr="00391909" w:rsidRDefault="004E59F7" w:rsidP="009A5D8D">
            <w:pPr>
              <w:jc w:val="center"/>
              <w:rPr>
                <w:rFonts w:ascii="Arial" w:hAnsi="Arial" w:cs="Arial"/>
                <w:sz w:val="20"/>
                <w:szCs w:val="20"/>
              </w:rPr>
            </w:pPr>
            <w:r w:rsidRPr="00391909">
              <w:rPr>
                <w:rFonts w:ascii="Arial" w:hAnsi="Arial" w:cs="Arial"/>
                <w:sz w:val="20"/>
                <w:szCs w:val="20"/>
                <w:lang w:val="en-GB"/>
              </w:rPr>
              <w:t>F</w:t>
            </w:r>
          </w:p>
        </w:tc>
        <w:tc>
          <w:tcPr>
            <w:tcW w:w="1291" w:type="dxa"/>
            <w:vAlign w:val="bottom"/>
          </w:tcPr>
          <w:p w:rsidR="004E59F7" w:rsidRPr="00391909" w:rsidRDefault="004E59F7" w:rsidP="009A5D8D">
            <w:pPr>
              <w:jc w:val="center"/>
              <w:rPr>
                <w:rFonts w:ascii="Arial" w:hAnsi="Arial" w:cs="Arial"/>
                <w:sz w:val="20"/>
                <w:szCs w:val="20"/>
              </w:rPr>
            </w:pPr>
            <w:r w:rsidRPr="00391909">
              <w:rPr>
                <w:rFonts w:ascii="Arial" w:hAnsi="Arial" w:cs="Arial"/>
                <w:sz w:val="20"/>
                <w:szCs w:val="20"/>
              </w:rPr>
              <w:t>296.45</w:t>
            </w:r>
          </w:p>
        </w:tc>
        <w:tc>
          <w:tcPr>
            <w:tcW w:w="1260"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3.71</w:t>
            </w:r>
          </w:p>
        </w:tc>
        <w:tc>
          <w:tcPr>
            <w:tcW w:w="1980"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0.013</w:t>
            </w:r>
          </w:p>
        </w:tc>
        <w:tc>
          <w:tcPr>
            <w:tcW w:w="1134"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33.69</w:t>
            </w:r>
          </w:p>
        </w:tc>
        <w:tc>
          <w:tcPr>
            <w:tcW w:w="1149"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33.31</w:t>
            </w:r>
          </w:p>
        </w:tc>
        <w:tc>
          <w:tcPr>
            <w:tcW w:w="2217"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0.989</w:t>
            </w:r>
          </w:p>
        </w:tc>
      </w:tr>
      <w:tr w:rsidR="004E59F7" w:rsidRPr="00391909" w:rsidTr="00B6642B">
        <w:tc>
          <w:tcPr>
            <w:tcW w:w="1440" w:type="dxa"/>
          </w:tcPr>
          <w:p w:rsidR="004E59F7" w:rsidRPr="00391909" w:rsidRDefault="004E59F7" w:rsidP="00670B29">
            <w:pPr>
              <w:jc w:val="center"/>
              <w:rPr>
                <w:rFonts w:ascii="Arial" w:hAnsi="Arial" w:cs="Arial"/>
                <w:sz w:val="20"/>
                <w:szCs w:val="20"/>
              </w:rPr>
            </w:pPr>
            <w:r w:rsidRPr="00391909">
              <w:rPr>
                <w:rFonts w:ascii="Arial" w:hAnsi="Arial" w:cs="Arial"/>
                <w:sz w:val="20"/>
                <w:szCs w:val="20"/>
              </w:rPr>
              <w:t>9</w:t>
            </w:r>
          </w:p>
        </w:tc>
        <w:tc>
          <w:tcPr>
            <w:tcW w:w="1229" w:type="dxa"/>
          </w:tcPr>
          <w:p w:rsidR="004E59F7" w:rsidRPr="00391909" w:rsidRDefault="004E59F7" w:rsidP="009A5D8D">
            <w:pPr>
              <w:jc w:val="center"/>
              <w:rPr>
                <w:rFonts w:ascii="Arial" w:hAnsi="Arial" w:cs="Arial"/>
                <w:sz w:val="20"/>
                <w:szCs w:val="20"/>
              </w:rPr>
            </w:pPr>
            <w:r w:rsidRPr="00391909">
              <w:rPr>
                <w:rFonts w:ascii="Arial" w:hAnsi="Arial" w:cs="Arial"/>
                <w:sz w:val="20"/>
                <w:szCs w:val="20"/>
                <w:lang w:val="en-GB"/>
              </w:rPr>
              <w:t>M</w:t>
            </w:r>
          </w:p>
        </w:tc>
        <w:tc>
          <w:tcPr>
            <w:tcW w:w="1291" w:type="dxa"/>
            <w:vAlign w:val="bottom"/>
          </w:tcPr>
          <w:p w:rsidR="004E59F7" w:rsidRPr="00391909" w:rsidRDefault="004E59F7" w:rsidP="009A5D8D">
            <w:pPr>
              <w:jc w:val="center"/>
              <w:rPr>
                <w:rFonts w:ascii="Arial" w:hAnsi="Arial" w:cs="Arial"/>
                <w:sz w:val="20"/>
                <w:szCs w:val="20"/>
              </w:rPr>
            </w:pPr>
            <w:r w:rsidRPr="00391909">
              <w:rPr>
                <w:rFonts w:ascii="Arial" w:hAnsi="Arial" w:cs="Arial"/>
                <w:sz w:val="20"/>
                <w:szCs w:val="20"/>
              </w:rPr>
              <w:t>1850.02</w:t>
            </w:r>
          </w:p>
        </w:tc>
        <w:tc>
          <w:tcPr>
            <w:tcW w:w="1260"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33.44</w:t>
            </w:r>
          </w:p>
        </w:tc>
        <w:tc>
          <w:tcPr>
            <w:tcW w:w="1980"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0.018</w:t>
            </w:r>
          </w:p>
        </w:tc>
        <w:tc>
          <w:tcPr>
            <w:tcW w:w="1134"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173.97</w:t>
            </w:r>
          </w:p>
        </w:tc>
        <w:tc>
          <w:tcPr>
            <w:tcW w:w="1149"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65.72</w:t>
            </w:r>
          </w:p>
        </w:tc>
        <w:tc>
          <w:tcPr>
            <w:tcW w:w="2217"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0.378</w:t>
            </w:r>
          </w:p>
        </w:tc>
      </w:tr>
      <w:tr w:rsidR="004E59F7" w:rsidRPr="00391909" w:rsidTr="00B6642B">
        <w:tc>
          <w:tcPr>
            <w:tcW w:w="1440" w:type="dxa"/>
          </w:tcPr>
          <w:p w:rsidR="004E59F7" w:rsidRPr="00391909" w:rsidRDefault="004E59F7" w:rsidP="00670B29">
            <w:pPr>
              <w:jc w:val="center"/>
              <w:rPr>
                <w:rFonts w:ascii="Arial" w:hAnsi="Arial" w:cs="Arial"/>
                <w:sz w:val="20"/>
                <w:szCs w:val="20"/>
              </w:rPr>
            </w:pPr>
            <w:r w:rsidRPr="00391909">
              <w:rPr>
                <w:rFonts w:ascii="Arial" w:hAnsi="Arial" w:cs="Arial"/>
                <w:sz w:val="20"/>
                <w:szCs w:val="20"/>
              </w:rPr>
              <w:t>10</w:t>
            </w:r>
          </w:p>
        </w:tc>
        <w:tc>
          <w:tcPr>
            <w:tcW w:w="1229" w:type="dxa"/>
          </w:tcPr>
          <w:p w:rsidR="004E59F7" w:rsidRPr="00391909" w:rsidRDefault="004E59F7" w:rsidP="009A5D8D">
            <w:pPr>
              <w:jc w:val="center"/>
              <w:rPr>
                <w:rFonts w:ascii="Arial" w:hAnsi="Arial" w:cs="Arial"/>
                <w:sz w:val="20"/>
                <w:szCs w:val="20"/>
              </w:rPr>
            </w:pPr>
            <w:r w:rsidRPr="00391909">
              <w:rPr>
                <w:rFonts w:ascii="Arial" w:hAnsi="Arial" w:cs="Arial"/>
                <w:sz w:val="20"/>
                <w:szCs w:val="20"/>
                <w:lang w:val="en-GB"/>
              </w:rPr>
              <w:t>F</w:t>
            </w:r>
          </w:p>
        </w:tc>
        <w:tc>
          <w:tcPr>
            <w:tcW w:w="1291" w:type="dxa"/>
            <w:vAlign w:val="bottom"/>
          </w:tcPr>
          <w:p w:rsidR="004E59F7" w:rsidRPr="00391909" w:rsidRDefault="004E59F7" w:rsidP="009A5D8D">
            <w:pPr>
              <w:jc w:val="center"/>
              <w:rPr>
                <w:rFonts w:ascii="Arial" w:hAnsi="Arial" w:cs="Arial"/>
                <w:sz w:val="20"/>
                <w:szCs w:val="20"/>
              </w:rPr>
            </w:pPr>
            <w:r w:rsidRPr="00391909">
              <w:rPr>
                <w:rFonts w:ascii="Arial" w:hAnsi="Arial" w:cs="Arial"/>
                <w:sz w:val="20"/>
                <w:szCs w:val="20"/>
              </w:rPr>
              <w:t>1247.37</w:t>
            </w:r>
          </w:p>
        </w:tc>
        <w:tc>
          <w:tcPr>
            <w:tcW w:w="1260"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17.07</w:t>
            </w:r>
          </w:p>
        </w:tc>
        <w:tc>
          <w:tcPr>
            <w:tcW w:w="1980"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0.014</w:t>
            </w:r>
          </w:p>
        </w:tc>
        <w:tc>
          <w:tcPr>
            <w:tcW w:w="1134"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136.21</w:t>
            </w:r>
          </w:p>
        </w:tc>
        <w:tc>
          <w:tcPr>
            <w:tcW w:w="1149"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53.47</w:t>
            </w:r>
          </w:p>
        </w:tc>
        <w:tc>
          <w:tcPr>
            <w:tcW w:w="2217"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0.393</w:t>
            </w:r>
          </w:p>
        </w:tc>
      </w:tr>
      <w:tr w:rsidR="004E59F7" w:rsidRPr="00391909" w:rsidTr="00B6642B">
        <w:tc>
          <w:tcPr>
            <w:tcW w:w="1440" w:type="dxa"/>
          </w:tcPr>
          <w:p w:rsidR="004E59F7" w:rsidRPr="00391909" w:rsidRDefault="004E59F7" w:rsidP="00670B29">
            <w:pPr>
              <w:jc w:val="center"/>
              <w:rPr>
                <w:rFonts w:ascii="Arial" w:hAnsi="Arial" w:cs="Arial"/>
                <w:sz w:val="20"/>
                <w:szCs w:val="20"/>
                <w:lang w:val="en-US"/>
              </w:rPr>
            </w:pPr>
          </w:p>
        </w:tc>
        <w:tc>
          <w:tcPr>
            <w:tcW w:w="1229" w:type="dxa"/>
          </w:tcPr>
          <w:p w:rsidR="004E59F7" w:rsidRPr="00391909" w:rsidRDefault="004E59F7" w:rsidP="009A5D8D">
            <w:pPr>
              <w:jc w:val="center"/>
              <w:rPr>
                <w:rFonts w:ascii="Arial" w:hAnsi="Arial" w:cs="Arial"/>
                <w:b/>
                <w:sz w:val="20"/>
                <w:szCs w:val="20"/>
              </w:rPr>
            </w:pPr>
          </w:p>
        </w:tc>
        <w:tc>
          <w:tcPr>
            <w:tcW w:w="1291" w:type="dxa"/>
            <w:vAlign w:val="bottom"/>
          </w:tcPr>
          <w:p w:rsidR="004E59F7" w:rsidRPr="00391909" w:rsidRDefault="004E59F7" w:rsidP="009A5D8D">
            <w:pPr>
              <w:jc w:val="center"/>
              <w:rPr>
                <w:rFonts w:ascii="Arial" w:hAnsi="Arial" w:cs="Arial"/>
                <w:b/>
                <w:sz w:val="20"/>
                <w:szCs w:val="20"/>
              </w:rPr>
            </w:pPr>
          </w:p>
        </w:tc>
        <w:tc>
          <w:tcPr>
            <w:tcW w:w="1260" w:type="dxa"/>
            <w:vAlign w:val="bottom"/>
          </w:tcPr>
          <w:p w:rsidR="004E59F7" w:rsidRPr="00391909" w:rsidRDefault="004E59F7" w:rsidP="00670B29">
            <w:pPr>
              <w:jc w:val="center"/>
              <w:rPr>
                <w:rFonts w:ascii="Arial" w:hAnsi="Arial" w:cs="Arial"/>
                <w:b/>
                <w:sz w:val="20"/>
                <w:szCs w:val="20"/>
              </w:rPr>
            </w:pPr>
          </w:p>
        </w:tc>
        <w:tc>
          <w:tcPr>
            <w:tcW w:w="1980" w:type="dxa"/>
            <w:vAlign w:val="bottom"/>
          </w:tcPr>
          <w:p w:rsidR="004E59F7" w:rsidRPr="00391909" w:rsidRDefault="004E59F7" w:rsidP="00670B29">
            <w:pPr>
              <w:jc w:val="center"/>
              <w:rPr>
                <w:rFonts w:ascii="Arial" w:hAnsi="Arial" w:cs="Arial"/>
                <w:b/>
                <w:sz w:val="20"/>
                <w:szCs w:val="20"/>
              </w:rPr>
            </w:pPr>
          </w:p>
        </w:tc>
        <w:tc>
          <w:tcPr>
            <w:tcW w:w="1134" w:type="dxa"/>
            <w:vAlign w:val="bottom"/>
          </w:tcPr>
          <w:p w:rsidR="004E59F7" w:rsidRPr="00391909" w:rsidRDefault="004E59F7" w:rsidP="00670B29">
            <w:pPr>
              <w:jc w:val="center"/>
              <w:rPr>
                <w:rFonts w:ascii="Arial" w:hAnsi="Arial" w:cs="Arial"/>
                <w:b/>
                <w:sz w:val="20"/>
                <w:szCs w:val="20"/>
              </w:rPr>
            </w:pPr>
          </w:p>
        </w:tc>
        <w:tc>
          <w:tcPr>
            <w:tcW w:w="1149" w:type="dxa"/>
            <w:vAlign w:val="bottom"/>
          </w:tcPr>
          <w:p w:rsidR="004E59F7" w:rsidRPr="00391909" w:rsidRDefault="004E59F7" w:rsidP="00670B29">
            <w:pPr>
              <w:jc w:val="center"/>
              <w:rPr>
                <w:rFonts w:ascii="Arial" w:hAnsi="Arial" w:cs="Arial"/>
                <w:b/>
                <w:sz w:val="20"/>
                <w:szCs w:val="20"/>
              </w:rPr>
            </w:pPr>
          </w:p>
        </w:tc>
        <w:tc>
          <w:tcPr>
            <w:tcW w:w="2217" w:type="dxa"/>
            <w:vAlign w:val="bottom"/>
          </w:tcPr>
          <w:p w:rsidR="004E59F7" w:rsidRPr="00391909" w:rsidRDefault="004E59F7" w:rsidP="00670B29">
            <w:pPr>
              <w:jc w:val="center"/>
              <w:rPr>
                <w:rFonts w:ascii="Arial" w:hAnsi="Arial" w:cs="Arial"/>
                <w:b/>
                <w:sz w:val="20"/>
                <w:szCs w:val="20"/>
              </w:rPr>
            </w:pPr>
          </w:p>
        </w:tc>
      </w:tr>
      <w:tr w:rsidR="004E59F7" w:rsidRPr="00391909" w:rsidTr="00E94B93">
        <w:tc>
          <w:tcPr>
            <w:tcW w:w="2669" w:type="dxa"/>
            <w:gridSpan w:val="2"/>
            <w:vMerge w:val="restart"/>
          </w:tcPr>
          <w:p w:rsidR="004E59F7" w:rsidRPr="00391909" w:rsidRDefault="004E59F7" w:rsidP="00B6642B">
            <w:pPr>
              <w:jc w:val="center"/>
              <w:rPr>
                <w:rFonts w:ascii="Arial" w:hAnsi="Arial" w:cs="Arial"/>
                <w:b/>
                <w:sz w:val="20"/>
                <w:szCs w:val="20"/>
                <w:lang w:val="en-US"/>
              </w:rPr>
            </w:pPr>
            <w:r w:rsidRPr="00391909">
              <w:rPr>
                <w:rFonts w:ascii="Arial" w:hAnsi="Arial" w:cs="Arial"/>
                <w:b/>
                <w:sz w:val="20"/>
                <w:szCs w:val="20"/>
                <w:lang w:val="en-US"/>
              </w:rPr>
              <w:t>Median</w:t>
            </w:r>
          </w:p>
          <w:p w:rsidR="004E59F7" w:rsidRPr="00391909" w:rsidRDefault="004E59F7" w:rsidP="00B6642B">
            <w:pPr>
              <w:jc w:val="center"/>
              <w:rPr>
                <w:rFonts w:ascii="Arial" w:hAnsi="Arial" w:cs="Arial"/>
                <w:sz w:val="20"/>
                <w:szCs w:val="20"/>
                <w:lang w:val="en-US"/>
              </w:rPr>
            </w:pPr>
            <w:r w:rsidRPr="00391909">
              <w:rPr>
                <w:rFonts w:ascii="Arial" w:hAnsi="Arial" w:cs="Arial"/>
                <w:sz w:val="20"/>
                <w:szCs w:val="20"/>
                <w:lang w:val="en-US"/>
              </w:rPr>
              <w:t>Mean</w:t>
            </w:r>
          </w:p>
          <w:p w:rsidR="004E59F7" w:rsidRPr="00391909" w:rsidRDefault="004E59F7" w:rsidP="00B6642B">
            <w:pPr>
              <w:jc w:val="center"/>
              <w:rPr>
                <w:rFonts w:ascii="Arial" w:hAnsi="Arial" w:cs="Arial"/>
                <w:sz w:val="20"/>
                <w:szCs w:val="20"/>
                <w:lang w:val="en-US"/>
              </w:rPr>
            </w:pPr>
            <w:r w:rsidRPr="00391909">
              <w:rPr>
                <w:rFonts w:ascii="Arial" w:hAnsi="Arial" w:cs="Arial"/>
                <w:sz w:val="20"/>
                <w:szCs w:val="20"/>
                <w:lang w:val="en-US"/>
              </w:rPr>
              <w:t>SD</w:t>
            </w:r>
          </w:p>
          <w:p w:rsidR="004E59F7" w:rsidRPr="00391909" w:rsidRDefault="004E59F7" w:rsidP="00B6642B">
            <w:pPr>
              <w:jc w:val="center"/>
              <w:rPr>
                <w:rFonts w:ascii="Arial" w:hAnsi="Arial" w:cs="Arial"/>
                <w:sz w:val="20"/>
                <w:szCs w:val="20"/>
                <w:lang w:val="en-US"/>
              </w:rPr>
            </w:pPr>
            <w:r w:rsidRPr="00391909">
              <w:rPr>
                <w:rFonts w:ascii="Arial" w:hAnsi="Arial" w:cs="Arial"/>
                <w:sz w:val="20"/>
                <w:szCs w:val="20"/>
                <w:lang w:val="en-US"/>
              </w:rPr>
              <w:t>CV, %</w:t>
            </w:r>
          </w:p>
        </w:tc>
        <w:tc>
          <w:tcPr>
            <w:tcW w:w="1291" w:type="dxa"/>
            <w:vAlign w:val="bottom"/>
          </w:tcPr>
          <w:p w:rsidR="004E59F7" w:rsidRPr="00391909" w:rsidRDefault="004E59F7" w:rsidP="009A5D8D">
            <w:pPr>
              <w:jc w:val="center"/>
              <w:rPr>
                <w:rFonts w:ascii="Arial" w:hAnsi="Arial" w:cs="Arial"/>
                <w:b/>
                <w:sz w:val="20"/>
                <w:szCs w:val="20"/>
              </w:rPr>
            </w:pPr>
            <w:r w:rsidRPr="00391909">
              <w:rPr>
                <w:rFonts w:ascii="Arial" w:hAnsi="Arial" w:cs="Arial"/>
                <w:b/>
                <w:sz w:val="20"/>
                <w:szCs w:val="20"/>
              </w:rPr>
              <w:t>890.94</w:t>
            </w:r>
          </w:p>
        </w:tc>
        <w:tc>
          <w:tcPr>
            <w:tcW w:w="1260" w:type="dxa"/>
            <w:vAlign w:val="bottom"/>
          </w:tcPr>
          <w:p w:rsidR="004E59F7" w:rsidRPr="00391909" w:rsidRDefault="004E59F7" w:rsidP="00670B29">
            <w:pPr>
              <w:jc w:val="center"/>
              <w:rPr>
                <w:rFonts w:ascii="Arial" w:hAnsi="Arial" w:cs="Arial"/>
                <w:b/>
                <w:sz w:val="20"/>
                <w:szCs w:val="20"/>
              </w:rPr>
            </w:pPr>
            <w:r w:rsidRPr="00391909">
              <w:rPr>
                <w:rFonts w:ascii="Arial" w:hAnsi="Arial" w:cs="Arial"/>
                <w:b/>
                <w:sz w:val="20"/>
                <w:szCs w:val="20"/>
              </w:rPr>
              <w:t>10.39</w:t>
            </w:r>
          </w:p>
        </w:tc>
        <w:tc>
          <w:tcPr>
            <w:tcW w:w="1980" w:type="dxa"/>
            <w:vAlign w:val="bottom"/>
          </w:tcPr>
          <w:p w:rsidR="004E59F7" w:rsidRPr="00391909" w:rsidRDefault="004E59F7" w:rsidP="00670B29">
            <w:pPr>
              <w:jc w:val="center"/>
              <w:rPr>
                <w:rFonts w:ascii="Arial" w:hAnsi="Arial" w:cs="Arial"/>
                <w:b/>
                <w:sz w:val="20"/>
                <w:szCs w:val="20"/>
              </w:rPr>
            </w:pPr>
            <w:r w:rsidRPr="00391909">
              <w:rPr>
                <w:rFonts w:ascii="Arial" w:hAnsi="Arial" w:cs="Arial"/>
                <w:b/>
                <w:sz w:val="20"/>
                <w:szCs w:val="20"/>
              </w:rPr>
              <w:t>0.013</w:t>
            </w:r>
          </w:p>
        </w:tc>
        <w:tc>
          <w:tcPr>
            <w:tcW w:w="1134" w:type="dxa"/>
            <w:vAlign w:val="bottom"/>
          </w:tcPr>
          <w:p w:rsidR="004E59F7" w:rsidRPr="00391909" w:rsidRDefault="004E59F7" w:rsidP="00670B29">
            <w:pPr>
              <w:jc w:val="center"/>
              <w:rPr>
                <w:rFonts w:ascii="Arial" w:hAnsi="Arial" w:cs="Arial"/>
                <w:b/>
                <w:sz w:val="20"/>
                <w:szCs w:val="20"/>
              </w:rPr>
            </w:pPr>
            <w:r w:rsidRPr="00391909">
              <w:rPr>
                <w:rFonts w:ascii="Arial" w:hAnsi="Arial" w:cs="Arial"/>
                <w:b/>
                <w:sz w:val="20"/>
                <w:szCs w:val="20"/>
              </w:rPr>
              <w:t>67.75</w:t>
            </w:r>
          </w:p>
        </w:tc>
        <w:tc>
          <w:tcPr>
            <w:tcW w:w="1149" w:type="dxa"/>
            <w:vAlign w:val="bottom"/>
          </w:tcPr>
          <w:p w:rsidR="004E59F7" w:rsidRPr="00391909" w:rsidRDefault="004E59F7" w:rsidP="00670B29">
            <w:pPr>
              <w:jc w:val="center"/>
              <w:rPr>
                <w:rFonts w:ascii="Arial" w:hAnsi="Arial" w:cs="Arial"/>
                <w:b/>
                <w:sz w:val="20"/>
                <w:szCs w:val="20"/>
              </w:rPr>
            </w:pPr>
            <w:r w:rsidRPr="00391909">
              <w:rPr>
                <w:rFonts w:ascii="Arial" w:hAnsi="Arial" w:cs="Arial"/>
                <w:b/>
                <w:sz w:val="20"/>
                <w:szCs w:val="20"/>
              </w:rPr>
              <w:t>43.42</w:t>
            </w:r>
          </w:p>
        </w:tc>
        <w:tc>
          <w:tcPr>
            <w:tcW w:w="2217" w:type="dxa"/>
            <w:vAlign w:val="bottom"/>
          </w:tcPr>
          <w:p w:rsidR="004E59F7" w:rsidRPr="00391909" w:rsidRDefault="004E59F7" w:rsidP="00670B29">
            <w:pPr>
              <w:jc w:val="center"/>
              <w:rPr>
                <w:rFonts w:ascii="Arial" w:hAnsi="Arial" w:cs="Arial"/>
                <w:b/>
                <w:sz w:val="20"/>
                <w:szCs w:val="20"/>
              </w:rPr>
            </w:pPr>
            <w:r w:rsidRPr="00391909">
              <w:rPr>
                <w:rFonts w:ascii="Arial" w:hAnsi="Arial" w:cs="Arial"/>
                <w:b/>
                <w:sz w:val="20"/>
                <w:szCs w:val="20"/>
              </w:rPr>
              <w:t>0.417</w:t>
            </w:r>
          </w:p>
        </w:tc>
      </w:tr>
      <w:tr w:rsidR="004E59F7" w:rsidRPr="00391909" w:rsidTr="00E94B93">
        <w:tc>
          <w:tcPr>
            <w:tcW w:w="2669" w:type="dxa"/>
            <w:gridSpan w:val="2"/>
            <w:vMerge/>
          </w:tcPr>
          <w:p w:rsidR="004E59F7" w:rsidRPr="00391909" w:rsidRDefault="004E59F7" w:rsidP="00E94B93">
            <w:pPr>
              <w:ind w:right="400"/>
              <w:jc w:val="center"/>
              <w:rPr>
                <w:rFonts w:ascii="Arial" w:hAnsi="Arial" w:cs="Arial"/>
                <w:sz w:val="20"/>
                <w:szCs w:val="20"/>
              </w:rPr>
            </w:pPr>
          </w:p>
        </w:tc>
        <w:tc>
          <w:tcPr>
            <w:tcW w:w="1291" w:type="dxa"/>
            <w:vAlign w:val="bottom"/>
          </w:tcPr>
          <w:p w:rsidR="004E59F7" w:rsidRPr="00391909" w:rsidRDefault="004E59F7" w:rsidP="009A5D8D">
            <w:pPr>
              <w:jc w:val="center"/>
              <w:rPr>
                <w:rFonts w:ascii="Arial" w:hAnsi="Arial" w:cs="Arial"/>
                <w:sz w:val="20"/>
                <w:szCs w:val="20"/>
              </w:rPr>
            </w:pPr>
            <w:r w:rsidRPr="00391909">
              <w:rPr>
                <w:rFonts w:ascii="Arial" w:hAnsi="Arial" w:cs="Arial"/>
                <w:sz w:val="20"/>
                <w:szCs w:val="20"/>
              </w:rPr>
              <w:t>1015.08</w:t>
            </w:r>
          </w:p>
        </w:tc>
        <w:tc>
          <w:tcPr>
            <w:tcW w:w="1260"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14.13</w:t>
            </w:r>
          </w:p>
        </w:tc>
        <w:tc>
          <w:tcPr>
            <w:tcW w:w="1980"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0.014</w:t>
            </w:r>
          </w:p>
        </w:tc>
        <w:tc>
          <w:tcPr>
            <w:tcW w:w="1134"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80.64</w:t>
            </w:r>
          </w:p>
        </w:tc>
        <w:tc>
          <w:tcPr>
            <w:tcW w:w="1149"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46.30</w:t>
            </w:r>
          </w:p>
        </w:tc>
        <w:tc>
          <w:tcPr>
            <w:tcW w:w="2217"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0.667</w:t>
            </w:r>
          </w:p>
        </w:tc>
      </w:tr>
      <w:tr w:rsidR="004E59F7" w:rsidRPr="00391909" w:rsidTr="00E94B93">
        <w:tc>
          <w:tcPr>
            <w:tcW w:w="2669" w:type="dxa"/>
            <w:gridSpan w:val="2"/>
            <w:vMerge/>
          </w:tcPr>
          <w:p w:rsidR="004E59F7" w:rsidRPr="00391909" w:rsidRDefault="004E59F7" w:rsidP="00E94B93">
            <w:pPr>
              <w:ind w:right="400"/>
              <w:jc w:val="center"/>
              <w:rPr>
                <w:rFonts w:ascii="Arial" w:hAnsi="Arial" w:cs="Arial"/>
                <w:sz w:val="20"/>
                <w:szCs w:val="20"/>
              </w:rPr>
            </w:pPr>
          </w:p>
        </w:tc>
        <w:tc>
          <w:tcPr>
            <w:tcW w:w="1291" w:type="dxa"/>
            <w:vAlign w:val="bottom"/>
          </w:tcPr>
          <w:p w:rsidR="004E59F7" w:rsidRPr="00391909" w:rsidRDefault="004E59F7" w:rsidP="009A5D8D">
            <w:pPr>
              <w:jc w:val="center"/>
              <w:rPr>
                <w:rFonts w:ascii="Arial" w:hAnsi="Arial" w:cs="Arial"/>
                <w:sz w:val="20"/>
                <w:szCs w:val="20"/>
              </w:rPr>
            </w:pPr>
            <w:r w:rsidRPr="00391909">
              <w:rPr>
                <w:rFonts w:ascii="Arial" w:hAnsi="Arial" w:cs="Arial"/>
                <w:sz w:val="20"/>
                <w:szCs w:val="20"/>
              </w:rPr>
              <w:t>566.73</w:t>
            </w:r>
          </w:p>
        </w:tc>
        <w:tc>
          <w:tcPr>
            <w:tcW w:w="1260"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10.81</w:t>
            </w:r>
          </w:p>
        </w:tc>
        <w:tc>
          <w:tcPr>
            <w:tcW w:w="1980"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0.008</w:t>
            </w:r>
          </w:p>
        </w:tc>
        <w:tc>
          <w:tcPr>
            <w:tcW w:w="1134"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45.96</w:t>
            </w:r>
          </w:p>
        </w:tc>
        <w:tc>
          <w:tcPr>
            <w:tcW w:w="1149"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26.15</w:t>
            </w:r>
          </w:p>
        </w:tc>
        <w:tc>
          <w:tcPr>
            <w:tcW w:w="2217" w:type="dxa"/>
            <w:vAlign w:val="bottom"/>
          </w:tcPr>
          <w:p w:rsidR="004E59F7" w:rsidRPr="00391909" w:rsidRDefault="004E59F7" w:rsidP="00670B29">
            <w:pPr>
              <w:jc w:val="center"/>
              <w:rPr>
                <w:rFonts w:ascii="Arial" w:hAnsi="Arial" w:cs="Arial"/>
                <w:sz w:val="20"/>
                <w:szCs w:val="20"/>
              </w:rPr>
            </w:pPr>
            <w:r w:rsidRPr="00391909">
              <w:rPr>
                <w:rFonts w:ascii="Arial" w:hAnsi="Arial" w:cs="Arial"/>
                <w:sz w:val="20"/>
                <w:szCs w:val="20"/>
              </w:rPr>
              <w:t>0.412</w:t>
            </w:r>
          </w:p>
        </w:tc>
      </w:tr>
      <w:tr w:rsidR="004E59F7" w:rsidRPr="00391909" w:rsidTr="00E94B93">
        <w:tc>
          <w:tcPr>
            <w:tcW w:w="2669" w:type="dxa"/>
            <w:gridSpan w:val="2"/>
            <w:vMerge/>
            <w:tcBorders>
              <w:bottom w:val="single" w:sz="4" w:space="0" w:color="auto"/>
            </w:tcBorders>
          </w:tcPr>
          <w:p w:rsidR="004E59F7" w:rsidRPr="00391909" w:rsidRDefault="004E59F7" w:rsidP="009A5D8D">
            <w:pPr>
              <w:ind w:right="400"/>
              <w:jc w:val="center"/>
              <w:rPr>
                <w:rFonts w:ascii="Arial" w:hAnsi="Arial" w:cs="Arial"/>
                <w:sz w:val="20"/>
                <w:szCs w:val="20"/>
              </w:rPr>
            </w:pPr>
          </w:p>
        </w:tc>
        <w:tc>
          <w:tcPr>
            <w:tcW w:w="1291" w:type="dxa"/>
            <w:tcBorders>
              <w:bottom w:val="single" w:sz="4" w:space="0" w:color="auto"/>
            </w:tcBorders>
            <w:vAlign w:val="bottom"/>
          </w:tcPr>
          <w:p w:rsidR="004E59F7" w:rsidRPr="00391909" w:rsidRDefault="004E59F7" w:rsidP="009A5D8D">
            <w:pPr>
              <w:ind w:right="400"/>
              <w:jc w:val="center"/>
              <w:rPr>
                <w:rFonts w:ascii="Arial" w:hAnsi="Arial" w:cs="Arial"/>
                <w:sz w:val="20"/>
                <w:szCs w:val="20"/>
              </w:rPr>
            </w:pPr>
            <w:r w:rsidRPr="00391909">
              <w:rPr>
                <w:rFonts w:ascii="Arial" w:hAnsi="Arial" w:cs="Arial"/>
                <w:sz w:val="20"/>
                <w:szCs w:val="20"/>
              </w:rPr>
              <w:t xml:space="preserve">     56</w:t>
            </w:r>
          </w:p>
        </w:tc>
        <w:tc>
          <w:tcPr>
            <w:tcW w:w="1260" w:type="dxa"/>
            <w:tcBorders>
              <w:bottom w:val="single" w:sz="4" w:space="0" w:color="auto"/>
            </w:tcBorders>
            <w:vAlign w:val="bottom"/>
          </w:tcPr>
          <w:p w:rsidR="004E59F7" w:rsidRPr="00391909" w:rsidRDefault="004E59F7" w:rsidP="009A5D8D">
            <w:pPr>
              <w:jc w:val="center"/>
              <w:rPr>
                <w:rFonts w:ascii="Arial" w:hAnsi="Arial" w:cs="Arial"/>
                <w:sz w:val="20"/>
                <w:szCs w:val="20"/>
              </w:rPr>
            </w:pPr>
            <w:r w:rsidRPr="00391909">
              <w:rPr>
                <w:rFonts w:ascii="Arial" w:hAnsi="Arial" w:cs="Arial"/>
                <w:sz w:val="20"/>
                <w:szCs w:val="20"/>
              </w:rPr>
              <w:t>76</w:t>
            </w:r>
          </w:p>
        </w:tc>
        <w:tc>
          <w:tcPr>
            <w:tcW w:w="1980" w:type="dxa"/>
            <w:tcBorders>
              <w:bottom w:val="single" w:sz="4" w:space="0" w:color="auto"/>
            </w:tcBorders>
            <w:vAlign w:val="bottom"/>
          </w:tcPr>
          <w:p w:rsidR="004E59F7" w:rsidRPr="00391909" w:rsidRDefault="004E59F7" w:rsidP="009A5D8D">
            <w:pPr>
              <w:jc w:val="center"/>
              <w:rPr>
                <w:rFonts w:ascii="Arial" w:hAnsi="Arial" w:cs="Arial"/>
                <w:sz w:val="20"/>
                <w:szCs w:val="20"/>
              </w:rPr>
            </w:pPr>
            <w:r w:rsidRPr="00391909">
              <w:rPr>
                <w:rFonts w:ascii="Arial" w:hAnsi="Arial" w:cs="Arial"/>
                <w:sz w:val="20"/>
                <w:szCs w:val="20"/>
              </w:rPr>
              <w:t>57</w:t>
            </w:r>
          </w:p>
        </w:tc>
        <w:tc>
          <w:tcPr>
            <w:tcW w:w="1134" w:type="dxa"/>
            <w:tcBorders>
              <w:bottom w:val="single" w:sz="4" w:space="0" w:color="auto"/>
            </w:tcBorders>
            <w:vAlign w:val="bottom"/>
          </w:tcPr>
          <w:p w:rsidR="004E59F7" w:rsidRPr="00391909" w:rsidRDefault="004E59F7" w:rsidP="009A5D8D">
            <w:pPr>
              <w:jc w:val="center"/>
              <w:rPr>
                <w:rFonts w:ascii="Arial" w:hAnsi="Arial" w:cs="Arial"/>
                <w:sz w:val="20"/>
                <w:szCs w:val="20"/>
              </w:rPr>
            </w:pPr>
            <w:r w:rsidRPr="00391909">
              <w:rPr>
                <w:rFonts w:ascii="Arial" w:hAnsi="Arial" w:cs="Arial"/>
                <w:sz w:val="20"/>
                <w:szCs w:val="20"/>
              </w:rPr>
              <w:t>57</w:t>
            </w:r>
          </w:p>
        </w:tc>
        <w:tc>
          <w:tcPr>
            <w:tcW w:w="1149" w:type="dxa"/>
            <w:tcBorders>
              <w:bottom w:val="single" w:sz="4" w:space="0" w:color="auto"/>
            </w:tcBorders>
            <w:vAlign w:val="bottom"/>
          </w:tcPr>
          <w:p w:rsidR="004E59F7" w:rsidRPr="00391909" w:rsidRDefault="004E59F7" w:rsidP="009A5D8D">
            <w:pPr>
              <w:jc w:val="center"/>
              <w:rPr>
                <w:rFonts w:ascii="Arial" w:hAnsi="Arial" w:cs="Arial"/>
                <w:sz w:val="20"/>
                <w:szCs w:val="20"/>
              </w:rPr>
            </w:pPr>
            <w:r w:rsidRPr="00391909">
              <w:rPr>
                <w:rFonts w:ascii="Arial" w:hAnsi="Arial" w:cs="Arial"/>
                <w:sz w:val="20"/>
                <w:szCs w:val="20"/>
              </w:rPr>
              <w:t>56</w:t>
            </w:r>
          </w:p>
        </w:tc>
        <w:tc>
          <w:tcPr>
            <w:tcW w:w="2217" w:type="dxa"/>
            <w:tcBorders>
              <w:bottom w:val="single" w:sz="4" w:space="0" w:color="auto"/>
            </w:tcBorders>
            <w:vAlign w:val="bottom"/>
          </w:tcPr>
          <w:p w:rsidR="004E59F7" w:rsidRPr="00391909" w:rsidRDefault="004E59F7" w:rsidP="009A5D8D">
            <w:pPr>
              <w:jc w:val="center"/>
              <w:rPr>
                <w:rFonts w:ascii="Arial" w:hAnsi="Arial" w:cs="Arial"/>
                <w:sz w:val="20"/>
                <w:szCs w:val="20"/>
              </w:rPr>
            </w:pPr>
            <w:r w:rsidRPr="00391909">
              <w:rPr>
                <w:rFonts w:ascii="Arial" w:hAnsi="Arial" w:cs="Arial"/>
                <w:sz w:val="20"/>
                <w:szCs w:val="20"/>
              </w:rPr>
              <w:t>62</w:t>
            </w:r>
          </w:p>
        </w:tc>
      </w:tr>
    </w:tbl>
    <w:p w:rsidR="004E59F7" w:rsidRPr="00391909" w:rsidRDefault="004E59F7" w:rsidP="00670B29">
      <w:pPr>
        <w:rPr>
          <w:rFonts w:ascii="Arial" w:hAnsi="Arial" w:cs="Arial"/>
          <w:b/>
          <w:lang w:val="en-GB"/>
        </w:rPr>
      </w:pPr>
      <w:r w:rsidRPr="00391909">
        <w:rPr>
          <w:rFonts w:ascii="Arial" w:hAnsi="Arial" w:cs="Arial"/>
          <w:b/>
          <w:kern w:val="28"/>
          <w:lang w:val="en-US"/>
        </w:rPr>
        <w:t>Table 1</w:t>
      </w:r>
      <w:r w:rsidRPr="00391909">
        <w:rPr>
          <w:rFonts w:ascii="Arial" w:hAnsi="Arial" w:cs="Arial"/>
          <w:kern w:val="28"/>
          <w:lang w:val="en-US"/>
        </w:rPr>
        <w:t xml:space="preserve">. Atazanavir and lamivudine concentrations in Blood plasma and </w:t>
      </w:r>
      <w:r w:rsidRPr="00391909">
        <w:rPr>
          <w:rFonts w:ascii="Arial" w:hAnsi="Arial" w:cs="Arial"/>
          <w:lang w:val="en-GB"/>
        </w:rPr>
        <w:t xml:space="preserve">Cerebrospinal fluid </w:t>
      </w:r>
    </w:p>
    <w:p w:rsidR="004E59F7" w:rsidRPr="00391909" w:rsidRDefault="004E59F7" w:rsidP="00C84D19">
      <w:pPr>
        <w:rPr>
          <w:rFonts w:ascii="Arial" w:hAnsi="Arial" w:cs="Arial"/>
          <w:kern w:val="28"/>
          <w:lang w:val="en-GB"/>
        </w:rPr>
      </w:pPr>
    </w:p>
    <w:p w:rsidR="004E59F7" w:rsidRPr="00391909" w:rsidRDefault="004E59F7" w:rsidP="00C84D19">
      <w:pPr>
        <w:rPr>
          <w:rFonts w:ascii="Arial" w:hAnsi="Arial" w:cs="Arial"/>
          <w:kern w:val="28"/>
          <w:lang w:val="en-US"/>
        </w:rPr>
      </w:pPr>
    </w:p>
    <w:p w:rsidR="004E59F7" w:rsidRPr="00391909" w:rsidRDefault="004E59F7" w:rsidP="00C84D19">
      <w:pPr>
        <w:rPr>
          <w:rFonts w:ascii="Arial" w:hAnsi="Arial" w:cs="Arial"/>
          <w:kern w:val="28"/>
          <w:lang w:val="en-US"/>
        </w:rPr>
      </w:pPr>
    </w:p>
    <w:p w:rsidR="004E59F7" w:rsidRPr="00391909" w:rsidRDefault="004E59F7" w:rsidP="00C84D19">
      <w:pPr>
        <w:rPr>
          <w:rFonts w:ascii="Arial" w:hAnsi="Arial" w:cs="Arial"/>
          <w:kern w:val="28"/>
          <w:lang w:val="en-US"/>
        </w:rPr>
      </w:pPr>
    </w:p>
    <w:p w:rsidR="004E59F7" w:rsidRPr="00391909" w:rsidRDefault="004E59F7" w:rsidP="00C84D19">
      <w:pPr>
        <w:rPr>
          <w:rFonts w:ascii="Arial" w:hAnsi="Arial" w:cs="Arial"/>
          <w:kern w:val="28"/>
          <w:lang w:val="en-US"/>
        </w:rPr>
      </w:pPr>
    </w:p>
    <w:p w:rsidR="004E59F7" w:rsidRPr="00391909" w:rsidRDefault="004E59F7" w:rsidP="00C84D19">
      <w:pPr>
        <w:rPr>
          <w:rFonts w:ascii="Arial" w:hAnsi="Arial" w:cs="Arial"/>
          <w:kern w:val="28"/>
          <w:lang w:val="en-US"/>
        </w:rPr>
      </w:pPr>
    </w:p>
    <w:p w:rsidR="004E59F7" w:rsidRPr="00391909" w:rsidRDefault="004E59F7" w:rsidP="00C84D19">
      <w:pPr>
        <w:rPr>
          <w:rFonts w:ascii="Arial" w:hAnsi="Arial" w:cs="Arial"/>
          <w:kern w:val="28"/>
          <w:lang w:val="en-US"/>
        </w:rPr>
      </w:pPr>
    </w:p>
    <w:p w:rsidR="004E59F7" w:rsidRPr="00391909" w:rsidRDefault="004E59F7" w:rsidP="00C84D19">
      <w:pPr>
        <w:rPr>
          <w:rFonts w:ascii="Arial" w:hAnsi="Arial" w:cs="Arial"/>
          <w:kern w:val="28"/>
          <w:lang w:val="en-US"/>
        </w:rPr>
      </w:pPr>
    </w:p>
    <w:p w:rsidR="004E59F7" w:rsidRPr="00391909" w:rsidRDefault="004E59F7" w:rsidP="00C84D19">
      <w:pPr>
        <w:rPr>
          <w:rFonts w:ascii="Arial" w:hAnsi="Arial" w:cs="Arial"/>
          <w:kern w:val="28"/>
          <w:lang w:val="en-US"/>
        </w:rPr>
      </w:pPr>
    </w:p>
    <w:p w:rsidR="004E59F7" w:rsidRPr="00391909" w:rsidRDefault="004E59F7" w:rsidP="00C84D19">
      <w:pPr>
        <w:rPr>
          <w:rFonts w:ascii="Arial" w:hAnsi="Arial" w:cs="Arial"/>
          <w:kern w:val="28"/>
          <w:lang w:val="en-US"/>
        </w:rPr>
      </w:pPr>
    </w:p>
    <w:p w:rsidR="004E59F7" w:rsidRPr="00391909" w:rsidRDefault="004E59F7" w:rsidP="00C84D19">
      <w:pPr>
        <w:rPr>
          <w:rFonts w:ascii="Arial" w:hAnsi="Arial" w:cs="Arial"/>
          <w:kern w:val="28"/>
          <w:lang w:val="en-US"/>
        </w:rPr>
      </w:pPr>
    </w:p>
    <w:p w:rsidR="004E59F7" w:rsidRPr="00391909" w:rsidRDefault="004E59F7" w:rsidP="00C84D19">
      <w:pPr>
        <w:rPr>
          <w:rFonts w:ascii="Arial" w:hAnsi="Arial" w:cs="Arial"/>
          <w:kern w:val="28"/>
          <w:lang w:val="en-US"/>
        </w:rPr>
      </w:pPr>
    </w:p>
    <w:p w:rsidR="004E59F7" w:rsidRPr="00391909" w:rsidRDefault="004E59F7" w:rsidP="00C84D19">
      <w:pPr>
        <w:rPr>
          <w:rFonts w:ascii="Arial" w:hAnsi="Arial" w:cs="Arial"/>
          <w:kern w:val="28"/>
          <w:lang w:val="en-US"/>
        </w:rPr>
      </w:pPr>
    </w:p>
    <w:p w:rsidR="004E59F7" w:rsidRPr="00391909" w:rsidRDefault="004E59F7" w:rsidP="00C84D19">
      <w:pPr>
        <w:rPr>
          <w:rFonts w:ascii="Arial" w:hAnsi="Arial" w:cs="Arial"/>
          <w:kern w:val="28"/>
          <w:lang w:val="en-US"/>
        </w:rPr>
      </w:pPr>
    </w:p>
    <w:p w:rsidR="004E59F7" w:rsidRPr="00391909" w:rsidRDefault="004E59F7" w:rsidP="00C84D19">
      <w:pPr>
        <w:rPr>
          <w:rFonts w:ascii="Arial" w:hAnsi="Arial" w:cs="Arial"/>
          <w:kern w:val="28"/>
          <w:lang w:val="en-US"/>
        </w:rPr>
      </w:pPr>
    </w:p>
    <w:p w:rsidR="004E59F7" w:rsidRPr="00391909" w:rsidRDefault="004E59F7" w:rsidP="00C84D19">
      <w:pPr>
        <w:rPr>
          <w:rFonts w:ascii="Arial" w:hAnsi="Arial" w:cs="Arial"/>
          <w:kern w:val="28"/>
          <w:lang w:val="en-US"/>
        </w:rPr>
      </w:pPr>
    </w:p>
    <w:p w:rsidR="004E59F7" w:rsidRPr="00391909" w:rsidRDefault="004E59F7" w:rsidP="00C84D19">
      <w:pPr>
        <w:rPr>
          <w:rFonts w:ascii="Arial" w:hAnsi="Arial" w:cs="Arial"/>
          <w:kern w:val="28"/>
          <w:lang w:val="en-US"/>
        </w:rPr>
      </w:pPr>
    </w:p>
    <w:p w:rsidR="004E59F7" w:rsidRPr="00391909" w:rsidRDefault="004E59F7" w:rsidP="00C84D19">
      <w:pPr>
        <w:rPr>
          <w:rFonts w:ascii="Arial" w:hAnsi="Arial" w:cs="Arial"/>
          <w:kern w:val="28"/>
          <w:lang w:val="en-US"/>
        </w:rPr>
      </w:pPr>
    </w:p>
    <w:p w:rsidR="004E59F7" w:rsidRPr="00391909" w:rsidRDefault="004E59F7" w:rsidP="00C84D19">
      <w:pPr>
        <w:rPr>
          <w:rFonts w:ascii="Arial" w:hAnsi="Arial" w:cs="Arial"/>
          <w:kern w:val="28"/>
          <w:lang w:val="en-US"/>
        </w:rPr>
      </w:pPr>
    </w:p>
    <w:p w:rsidR="004E59F7" w:rsidRPr="00391909" w:rsidRDefault="004E59F7" w:rsidP="00C84D19">
      <w:pPr>
        <w:rPr>
          <w:rFonts w:ascii="Arial" w:hAnsi="Arial" w:cs="Arial"/>
          <w:kern w:val="28"/>
          <w:lang w:val="en-US"/>
        </w:rPr>
      </w:pPr>
    </w:p>
    <w:p w:rsidR="004E59F7" w:rsidRPr="00391909" w:rsidRDefault="004E59F7" w:rsidP="00C84D19">
      <w:pPr>
        <w:rPr>
          <w:rFonts w:ascii="Arial" w:hAnsi="Arial" w:cs="Arial"/>
          <w:kern w:val="28"/>
          <w:lang w:val="en-US"/>
        </w:rPr>
      </w:pPr>
    </w:p>
    <w:p w:rsidR="004E59F7" w:rsidRPr="00391909" w:rsidRDefault="004E59F7" w:rsidP="00C84D19">
      <w:pPr>
        <w:rPr>
          <w:rFonts w:ascii="Arial" w:hAnsi="Arial" w:cs="Arial"/>
          <w:kern w:val="28"/>
          <w:lang w:val="en-US"/>
        </w:rPr>
      </w:pPr>
    </w:p>
    <w:p w:rsidR="004E59F7" w:rsidRPr="00391909" w:rsidRDefault="004E59F7" w:rsidP="00C84D19">
      <w:pPr>
        <w:rPr>
          <w:rFonts w:ascii="Arial" w:hAnsi="Arial" w:cs="Arial"/>
          <w:kern w:val="28"/>
          <w:lang w:val="en-US"/>
        </w:rPr>
      </w:pPr>
      <w:r w:rsidRPr="00391909">
        <w:rPr>
          <w:rFonts w:ascii="Arial" w:hAnsi="Arial" w:cs="Arial"/>
          <w:kern w:val="28"/>
          <w:lang w:val="en-US"/>
        </w:rPr>
        <w:t>ATV IC</w:t>
      </w:r>
      <w:r w:rsidRPr="00391909">
        <w:rPr>
          <w:rFonts w:ascii="Arial" w:hAnsi="Arial" w:cs="Arial"/>
          <w:kern w:val="28"/>
          <w:vertAlign w:val="subscript"/>
          <w:lang w:val="en-US"/>
        </w:rPr>
        <w:t>50</w:t>
      </w:r>
      <w:r w:rsidRPr="00391909">
        <w:rPr>
          <w:rFonts w:ascii="Arial" w:hAnsi="Arial" w:cs="Arial"/>
          <w:kern w:val="28"/>
          <w:lang w:val="en-US"/>
        </w:rPr>
        <w:t xml:space="preserve"> range for wild type HIV-1: 1-11 ng/mL </w:t>
      </w:r>
      <w:r w:rsidRPr="00391909">
        <w:rPr>
          <w:rFonts w:ascii="Arial" w:hAnsi="Arial" w:cs="Arial"/>
          <w:lang w:val="en-US"/>
        </w:rPr>
        <w:t>[8]</w:t>
      </w:r>
      <w:r w:rsidRPr="00391909">
        <w:rPr>
          <w:rFonts w:ascii="Arial" w:hAnsi="Arial" w:cs="Arial"/>
          <w:kern w:val="28"/>
          <w:lang w:val="en-US"/>
        </w:rPr>
        <w:t>. 3TC IC</w:t>
      </w:r>
      <w:r w:rsidRPr="00391909">
        <w:rPr>
          <w:rFonts w:ascii="Arial" w:hAnsi="Arial" w:cs="Arial"/>
          <w:kern w:val="28"/>
          <w:vertAlign w:val="subscript"/>
          <w:lang w:val="en-US"/>
        </w:rPr>
        <w:t>50</w:t>
      </w:r>
      <w:r w:rsidRPr="00391909">
        <w:rPr>
          <w:rFonts w:ascii="Arial" w:hAnsi="Arial" w:cs="Arial"/>
          <w:kern w:val="28"/>
          <w:lang w:val="en-US"/>
        </w:rPr>
        <w:t xml:space="preserve"> range for wild type HIV-1: 0.68-20.6 ng/mL </w:t>
      </w:r>
      <w:r w:rsidRPr="00391909">
        <w:rPr>
          <w:rFonts w:ascii="Arial" w:hAnsi="Arial" w:cs="Arial"/>
          <w:lang w:val="en-US"/>
        </w:rPr>
        <w:t>[9].</w:t>
      </w:r>
    </w:p>
    <w:p w:rsidR="004E59F7" w:rsidRPr="00391909" w:rsidRDefault="004E59F7" w:rsidP="00C84D19">
      <w:pPr>
        <w:rPr>
          <w:lang w:val="en-US"/>
        </w:rPr>
      </w:pPr>
    </w:p>
    <w:p w:rsidR="004E59F7" w:rsidRPr="00391909" w:rsidRDefault="004E59F7" w:rsidP="00C84D19">
      <w:pPr>
        <w:rPr>
          <w:lang w:val="en-US"/>
        </w:rPr>
      </w:pPr>
    </w:p>
    <w:p w:rsidR="004E59F7" w:rsidRDefault="004E59F7" w:rsidP="00C84D19">
      <w:pPr>
        <w:rPr>
          <w:rFonts w:ascii="Arial" w:hAnsi="Arial" w:cs="Arial"/>
          <w:lang w:val="en-US"/>
        </w:rPr>
      </w:pPr>
      <w:r w:rsidRPr="00391909">
        <w:rPr>
          <w:rFonts w:ascii="Arial" w:hAnsi="Arial" w:cs="Arial"/>
          <w:lang w:val="en-US"/>
        </w:rPr>
        <w:t>3TC, lamivudine; ATV, atazanavir; CSF, cerebrospinal fluid; CV, coefficient of variation; F, female; M, male; SD,</w:t>
      </w:r>
      <w:r>
        <w:rPr>
          <w:rFonts w:ascii="Arial" w:hAnsi="Arial" w:cs="Arial"/>
          <w:lang w:val="en-US"/>
        </w:rPr>
        <w:t xml:space="preserve"> standard de</w:t>
      </w:r>
      <w:r w:rsidRPr="00117EB4">
        <w:rPr>
          <w:rFonts w:ascii="Arial" w:hAnsi="Arial" w:cs="Arial"/>
          <w:lang w:val="en-US"/>
        </w:rPr>
        <w:t>viation</w:t>
      </w:r>
    </w:p>
    <w:p w:rsidR="004A5F17" w:rsidRDefault="004A5F17" w:rsidP="00C84D19">
      <w:pPr>
        <w:rPr>
          <w:rFonts w:ascii="Arial" w:hAnsi="Arial" w:cs="Arial"/>
          <w:lang w:val="en-US"/>
        </w:rPr>
      </w:pPr>
    </w:p>
    <w:p w:rsidR="004A5F17" w:rsidRPr="00117EB4" w:rsidRDefault="004A5F17" w:rsidP="00C84D19">
      <w:pPr>
        <w:rPr>
          <w:rFonts w:ascii="Arial" w:hAnsi="Arial" w:cs="Arial"/>
          <w:lang w:val="en-US"/>
        </w:rPr>
      </w:pPr>
    </w:p>
    <w:p w:rsidR="004E59F7" w:rsidRPr="008119C5" w:rsidRDefault="004E59F7">
      <w:pPr>
        <w:rPr>
          <w:b/>
          <w:lang w:val="en-GB"/>
        </w:rPr>
      </w:pPr>
      <w:r w:rsidRPr="008119C5">
        <w:rPr>
          <w:b/>
          <w:lang w:val="en-GB"/>
        </w:rPr>
        <w:lastRenderedPageBreak/>
        <w:t xml:space="preserve">Table 2. </w:t>
      </w:r>
      <w:r w:rsidRPr="008119C5">
        <w:rPr>
          <w:lang w:val="en-GB"/>
        </w:rPr>
        <w:t xml:space="preserve">Cerebrospinal fluid </w:t>
      </w:r>
      <w:r>
        <w:rPr>
          <w:lang w:val="en-GB"/>
        </w:rPr>
        <w:t>characteristics and HIV-1 RNA a</w:t>
      </w:r>
      <w:r w:rsidRPr="008119C5">
        <w:rPr>
          <w:lang w:val="en-GB"/>
        </w:rPr>
        <w:t>t Baseline and Week 12</w:t>
      </w:r>
    </w:p>
    <w:p w:rsidR="004E59F7" w:rsidRPr="008119C5" w:rsidRDefault="004E59F7">
      <w:pPr>
        <w:rPr>
          <w:lang w:val="en-GB"/>
        </w:rPr>
      </w:pPr>
    </w:p>
    <w:p w:rsidR="004E59F7" w:rsidRPr="008119C5" w:rsidRDefault="004E59F7">
      <w:pPr>
        <w:rPr>
          <w:lang w:val="en-GB"/>
        </w:rPr>
      </w:pPr>
    </w:p>
    <w:tbl>
      <w:tblPr>
        <w:tblW w:w="12960" w:type="dxa"/>
        <w:tblInd w:w="632" w:type="dxa"/>
        <w:tblLayout w:type="fixed"/>
        <w:tblLook w:val="01E0" w:firstRow="1" w:lastRow="1" w:firstColumn="1" w:lastColumn="1" w:noHBand="0" w:noVBand="0"/>
      </w:tblPr>
      <w:tblGrid>
        <w:gridCol w:w="1308"/>
        <w:gridCol w:w="862"/>
        <w:gridCol w:w="1134"/>
        <w:gridCol w:w="1302"/>
        <w:gridCol w:w="1242"/>
        <w:gridCol w:w="1611"/>
        <w:gridCol w:w="6"/>
        <w:gridCol w:w="1119"/>
        <w:gridCol w:w="1367"/>
        <w:gridCol w:w="1243"/>
        <w:gridCol w:w="1760"/>
        <w:gridCol w:w="6"/>
      </w:tblGrid>
      <w:tr w:rsidR="004E59F7" w:rsidRPr="0075199E" w:rsidTr="004E59F7">
        <w:trPr>
          <w:gridAfter w:val="1"/>
          <w:wAfter w:w="6" w:type="dxa"/>
          <w:trHeight w:val="671"/>
        </w:trPr>
        <w:tc>
          <w:tcPr>
            <w:tcW w:w="1308" w:type="dxa"/>
            <w:tcBorders>
              <w:bottom w:val="single" w:sz="4" w:space="0" w:color="auto"/>
            </w:tcBorders>
          </w:tcPr>
          <w:p w:rsidR="004E59F7" w:rsidRPr="0075199E" w:rsidRDefault="004E59F7" w:rsidP="00C650D8">
            <w:pPr>
              <w:jc w:val="center"/>
              <w:rPr>
                <w:rFonts w:ascii="Arial" w:hAnsi="Arial" w:cs="Arial"/>
                <w:b/>
                <w:bCs/>
                <w:sz w:val="20"/>
                <w:szCs w:val="20"/>
                <w:lang w:val="en-GB"/>
              </w:rPr>
            </w:pPr>
          </w:p>
        </w:tc>
        <w:tc>
          <w:tcPr>
            <w:tcW w:w="862" w:type="dxa"/>
            <w:tcBorders>
              <w:bottom w:val="single" w:sz="4" w:space="0" w:color="auto"/>
            </w:tcBorders>
          </w:tcPr>
          <w:p w:rsidR="004E59F7" w:rsidRPr="0075199E" w:rsidRDefault="004E59F7" w:rsidP="00C650D8">
            <w:pPr>
              <w:jc w:val="center"/>
              <w:rPr>
                <w:rFonts w:ascii="Arial" w:hAnsi="Arial" w:cs="Arial"/>
                <w:b/>
                <w:bCs/>
                <w:sz w:val="20"/>
                <w:szCs w:val="20"/>
                <w:lang w:val="en-GB"/>
              </w:rPr>
            </w:pPr>
          </w:p>
        </w:tc>
        <w:tc>
          <w:tcPr>
            <w:tcW w:w="5289" w:type="dxa"/>
            <w:gridSpan w:val="4"/>
            <w:tcBorders>
              <w:bottom w:val="single" w:sz="4" w:space="0" w:color="auto"/>
            </w:tcBorders>
            <w:vAlign w:val="bottom"/>
          </w:tcPr>
          <w:p w:rsidR="004E59F7" w:rsidRPr="0075199E" w:rsidRDefault="004E59F7" w:rsidP="00C650D8">
            <w:pPr>
              <w:jc w:val="center"/>
              <w:rPr>
                <w:rFonts w:ascii="Arial" w:hAnsi="Arial" w:cs="Arial"/>
                <w:b/>
                <w:bCs/>
                <w:sz w:val="20"/>
                <w:szCs w:val="20"/>
                <w:lang w:val="en-GB"/>
              </w:rPr>
            </w:pPr>
          </w:p>
          <w:p w:rsidR="004E59F7" w:rsidRPr="0075199E" w:rsidRDefault="004E59F7" w:rsidP="00C650D8">
            <w:pPr>
              <w:jc w:val="center"/>
              <w:rPr>
                <w:rFonts w:ascii="Arial" w:hAnsi="Arial" w:cs="Arial"/>
                <w:b/>
                <w:bCs/>
                <w:sz w:val="20"/>
                <w:szCs w:val="20"/>
                <w:lang w:val="en-GB"/>
              </w:rPr>
            </w:pPr>
            <w:r w:rsidRPr="0075199E">
              <w:rPr>
                <w:rFonts w:ascii="Arial" w:hAnsi="Arial" w:cs="Arial"/>
                <w:b/>
                <w:bCs/>
                <w:sz w:val="20"/>
                <w:szCs w:val="20"/>
                <w:lang w:val="en-GB"/>
              </w:rPr>
              <w:t xml:space="preserve">Baseline </w:t>
            </w:r>
          </w:p>
          <w:p w:rsidR="004E59F7" w:rsidRPr="0075199E" w:rsidRDefault="004E59F7" w:rsidP="001B235E">
            <w:pPr>
              <w:jc w:val="center"/>
              <w:rPr>
                <w:rFonts w:ascii="Arial" w:hAnsi="Arial" w:cs="Arial"/>
                <w:b/>
                <w:bCs/>
                <w:sz w:val="20"/>
                <w:szCs w:val="20"/>
                <w:lang w:val="en-GB"/>
              </w:rPr>
            </w:pPr>
          </w:p>
        </w:tc>
        <w:tc>
          <w:tcPr>
            <w:tcW w:w="5495" w:type="dxa"/>
            <w:gridSpan w:val="5"/>
            <w:tcBorders>
              <w:bottom w:val="single" w:sz="4" w:space="0" w:color="auto"/>
            </w:tcBorders>
            <w:vAlign w:val="bottom"/>
          </w:tcPr>
          <w:p w:rsidR="004E59F7" w:rsidRPr="0075199E" w:rsidRDefault="004E59F7" w:rsidP="001B235E">
            <w:pPr>
              <w:jc w:val="center"/>
              <w:rPr>
                <w:rFonts w:ascii="Arial" w:hAnsi="Arial" w:cs="Arial"/>
                <w:b/>
                <w:bCs/>
                <w:sz w:val="20"/>
                <w:szCs w:val="20"/>
                <w:lang w:val="en-GB"/>
              </w:rPr>
            </w:pPr>
            <w:r w:rsidRPr="0075199E">
              <w:rPr>
                <w:rFonts w:ascii="Arial" w:hAnsi="Arial" w:cs="Arial"/>
                <w:b/>
                <w:bCs/>
                <w:sz w:val="20"/>
                <w:szCs w:val="20"/>
                <w:lang w:val="en-GB"/>
              </w:rPr>
              <w:t>Week 12</w:t>
            </w:r>
          </w:p>
          <w:p w:rsidR="004E59F7" w:rsidRPr="0075199E" w:rsidRDefault="004E59F7" w:rsidP="001B235E">
            <w:pPr>
              <w:jc w:val="center"/>
              <w:rPr>
                <w:rFonts w:ascii="Arial" w:hAnsi="Arial" w:cs="Arial"/>
                <w:b/>
                <w:bCs/>
                <w:sz w:val="20"/>
                <w:szCs w:val="20"/>
                <w:lang w:val="en-GB"/>
              </w:rPr>
            </w:pPr>
          </w:p>
        </w:tc>
      </w:tr>
      <w:tr w:rsidR="004E59F7" w:rsidRPr="003E258C" w:rsidTr="004E59F7">
        <w:trPr>
          <w:trHeight w:val="1106"/>
        </w:trPr>
        <w:tc>
          <w:tcPr>
            <w:tcW w:w="1308" w:type="dxa"/>
            <w:tcBorders>
              <w:top w:val="single" w:sz="4" w:space="0" w:color="auto"/>
              <w:bottom w:val="single" w:sz="4" w:space="0" w:color="auto"/>
            </w:tcBorders>
          </w:tcPr>
          <w:p w:rsidR="004E59F7" w:rsidRPr="0075199E" w:rsidRDefault="004E59F7" w:rsidP="00C650D8">
            <w:pPr>
              <w:jc w:val="center"/>
              <w:rPr>
                <w:rFonts w:ascii="Arial" w:hAnsi="Arial" w:cs="Arial"/>
                <w:b/>
                <w:bCs/>
                <w:sz w:val="20"/>
                <w:szCs w:val="20"/>
                <w:lang w:val="en-GB"/>
              </w:rPr>
            </w:pPr>
          </w:p>
          <w:p w:rsidR="004E59F7" w:rsidRPr="003E258C" w:rsidRDefault="004E59F7" w:rsidP="00C650D8">
            <w:pPr>
              <w:jc w:val="center"/>
              <w:rPr>
                <w:rFonts w:ascii="Arial" w:hAnsi="Arial" w:cs="Arial"/>
                <w:b/>
                <w:bCs/>
                <w:sz w:val="20"/>
                <w:szCs w:val="20"/>
                <w:lang w:val="en-GB"/>
              </w:rPr>
            </w:pPr>
            <w:r w:rsidRPr="003E258C">
              <w:rPr>
                <w:rFonts w:ascii="Arial" w:hAnsi="Arial" w:cs="Arial"/>
                <w:b/>
                <w:bCs/>
                <w:sz w:val="20"/>
                <w:szCs w:val="20"/>
                <w:lang w:val="en-GB"/>
              </w:rPr>
              <w:t>Patient</w:t>
            </w:r>
          </w:p>
        </w:tc>
        <w:tc>
          <w:tcPr>
            <w:tcW w:w="862" w:type="dxa"/>
            <w:tcBorders>
              <w:top w:val="single" w:sz="4" w:space="0" w:color="auto"/>
              <w:bottom w:val="single" w:sz="4" w:space="0" w:color="auto"/>
            </w:tcBorders>
          </w:tcPr>
          <w:p w:rsidR="004E59F7" w:rsidRPr="003E258C" w:rsidRDefault="004E59F7" w:rsidP="001B235E">
            <w:pPr>
              <w:jc w:val="center"/>
              <w:rPr>
                <w:rFonts w:ascii="Arial" w:hAnsi="Arial" w:cs="Arial"/>
                <w:b/>
                <w:bCs/>
                <w:sz w:val="20"/>
                <w:szCs w:val="20"/>
                <w:lang w:val="en-GB"/>
              </w:rPr>
            </w:pPr>
          </w:p>
          <w:p w:rsidR="004E59F7" w:rsidRPr="003E258C" w:rsidRDefault="004E59F7" w:rsidP="004E59F7">
            <w:pPr>
              <w:ind w:left="-102"/>
              <w:jc w:val="center"/>
              <w:rPr>
                <w:rFonts w:ascii="Arial" w:hAnsi="Arial" w:cs="Arial"/>
                <w:b/>
                <w:bCs/>
                <w:sz w:val="20"/>
                <w:szCs w:val="20"/>
                <w:lang w:val="en-GB"/>
              </w:rPr>
            </w:pPr>
            <w:r w:rsidRPr="003E258C">
              <w:rPr>
                <w:rFonts w:ascii="Arial" w:hAnsi="Arial" w:cs="Arial"/>
                <w:b/>
                <w:bCs/>
                <w:sz w:val="20"/>
                <w:szCs w:val="20"/>
                <w:lang w:val="en-GB"/>
              </w:rPr>
              <w:t>Gender</w:t>
            </w:r>
          </w:p>
        </w:tc>
        <w:tc>
          <w:tcPr>
            <w:tcW w:w="1134" w:type="dxa"/>
            <w:tcBorders>
              <w:top w:val="single" w:sz="4" w:space="0" w:color="auto"/>
              <w:bottom w:val="single" w:sz="4" w:space="0" w:color="auto"/>
            </w:tcBorders>
            <w:vAlign w:val="bottom"/>
          </w:tcPr>
          <w:p w:rsidR="004E59F7" w:rsidRPr="003E258C" w:rsidRDefault="004E59F7" w:rsidP="001B235E">
            <w:pPr>
              <w:jc w:val="center"/>
              <w:rPr>
                <w:rFonts w:ascii="Arial" w:hAnsi="Arial" w:cs="Arial"/>
                <w:b/>
                <w:bCs/>
                <w:sz w:val="20"/>
                <w:szCs w:val="20"/>
                <w:lang w:val="en-GB"/>
              </w:rPr>
            </w:pPr>
            <w:r w:rsidRPr="003E258C">
              <w:rPr>
                <w:rFonts w:ascii="Arial" w:hAnsi="Arial" w:cs="Arial"/>
                <w:b/>
                <w:bCs/>
                <w:sz w:val="20"/>
                <w:szCs w:val="20"/>
                <w:lang w:val="en-GB"/>
              </w:rPr>
              <w:t>CSF WBC (cells/</w:t>
            </w:r>
            <w:r w:rsidRPr="003E258C">
              <w:rPr>
                <w:rFonts w:ascii="Arial" w:hAnsi="Arial" w:cs="Arial"/>
                <w:b/>
                <w:bCs/>
                <w:sz w:val="20"/>
                <w:szCs w:val="20"/>
                <w:lang w:val="en-GB"/>
              </w:rPr>
              <w:sym w:font="Symbol" w:char="F06D"/>
            </w:r>
            <w:r w:rsidRPr="003E258C">
              <w:rPr>
                <w:rFonts w:ascii="Arial" w:hAnsi="Arial" w:cs="Arial"/>
                <w:b/>
                <w:bCs/>
                <w:sz w:val="20"/>
                <w:szCs w:val="20"/>
                <w:lang w:val="en-GB"/>
              </w:rPr>
              <w:t>L)</w:t>
            </w:r>
          </w:p>
          <w:p w:rsidR="004E59F7" w:rsidRPr="003E258C" w:rsidRDefault="004E59F7" w:rsidP="001B235E">
            <w:pPr>
              <w:jc w:val="center"/>
              <w:rPr>
                <w:rFonts w:ascii="Arial" w:hAnsi="Arial" w:cs="Arial"/>
                <w:sz w:val="20"/>
                <w:szCs w:val="20"/>
                <w:lang w:val="en-GB"/>
              </w:rPr>
            </w:pPr>
          </w:p>
          <w:p w:rsidR="004E59F7" w:rsidRPr="003E258C" w:rsidRDefault="004E59F7" w:rsidP="001B235E">
            <w:pPr>
              <w:jc w:val="center"/>
              <w:rPr>
                <w:rFonts w:ascii="Arial" w:hAnsi="Arial" w:cs="Arial"/>
                <w:sz w:val="20"/>
                <w:szCs w:val="20"/>
                <w:lang w:val="en-GB"/>
              </w:rPr>
            </w:pPr>
          </w:p>
        </w:tc>
        <w:tc>
          <w:tcPr>
            <w:tcW w:w="1302" w:type="dxa"/>
            <w:tcBorders>
              <w:top w:val="single" w:sz="4" w:space="0" w:color="auto"/>
              <w:bottom w:val="single" w:sz="4" w:space="0" w:color="auto"/>
            </w:tcBorders>
            <w:vAlign w:val="bottom"/>
          </w:tcPr>
          <w:p w:rsidR="004E59F7" w:rsidRPr="003E258C" w:rsidRDefault="004E59F7" w:rsidP="001B235E">
            <w:pPr>
              <w:jc w:val="center"/>
              <w:rPr>
                <w:rFonts w:ascii="Arial" w:hAnsi="Arial" w:cs="Arial"/>
                <w:b/>
                <w:bCs/>
                <w:sz w:val="20"/>
                <w:szCs w:val="20"/>
                <w:lang w:val="en-GB"/>
              </w:rPr>
            </w:pPr>
            <w:r w:rsidRPr="003E258C">
              <w:rPr>
                <w:rFonts w:ascii="Arial" w:hAnsi="Arial" w:cs="Arial"/>
                <w:b/>
                <w:bCs/>
                <w:sz w:val="20"/>
                <w:szCs w:val="20"/>
                <w:lang w:val="en-GB"/>
              </w:rPr>
              <w:t>CSF Proteins (g/L)</w:t>
            </w:r>
          </w:p>
          <w:p w:rsidR="004E59F7" w:rsidRPr="003E258C" w:rsidRDefault="004E59F7" w:rsidP="001B235E">
            <w:pPr>
              <w:jc w:val="center"/>
              <w:rPr>
                <w:rFonts w:ascii="Arial" w:hAnsi="Arial" w:cs="Arial"/>
                <w:sz w:val="20"/>
                <w:szCs w:val="20"/>
                <w:lang w:val="en-GB"/>
              </w:rPr>
            </w:pPr>
          </w:p>
          <w:p w:rsidR="004E59F7" w:rsidRPr="003E258C" w:rsidRDefault="004E59F7" w:rsidP="001B235E">
            <w:pPr>
              <w:jc w:val="center"/>
              <w:rPr>
                <w:rFonts w:ascii="Arial" w:hAnsi="Arial" w:cs="Arial"/>
                <w:sz w:val="20"/>
                <w:szCs w:val="20"/>
                <w:lang w:val="en-GB"/>
              </w:rPr>
            </w:pPr>
          </w:p>
        </w:tc>
        <w:tc>
          <w:tcPr>
            <w:tcW w:w="1242" w:type="dxa"/>
            <w:tcBorders>
              <w:top w:val="single" w:sz="4" w:space="0" w:color="auto"/>
              <w:bottom w:val="single" w:sz="4" w:space="0" w:color="auto"/>
            </w:tcBorders>
          </w:tcPr>
          <w:p w:rsidR="004E59F7" w:rsidRPr="003E258C" w:rsidRDefault="004E59F7" w:rsidP="001B235E">
            <w:pPr>
              <w:jc w:val="center"/>
              <w:rPr>
                <w:rFonts w:ascii="Arial" w:hAnsi="Arial" w:cs="Arial"/>
                <w:b/>
                <w:bCs/>
                <w:sz w:val="20"/>
                <w:szCs w:val="20"/>
              </w:rPr>
            </w:pPr>
          </w:p>
          <w:p w:rsidR="004E59F7" w:rsidRPr="003E258C" w:rsidRDefault="004E59F7" w:rsidP="001B235E">
            <w:pPr>
              <w:jc w:val="center"/>
              <w:rPr>
                <w:rFonts w:ascii="Arial" w:hAnsi="Arial" w:cs="Arial"/>
                <w:b/>
                <w:bCs/>
                <w:sz w:val="20"/>
                <w:szCs w:val="20"/>
              </w:rPr>
            </w:pPr>
            <w:r w:rsidRPr="003E258C">
              <w:rPr>
                <w:rFonts w:ascii="Arial" w:hAnsi="Arial" w:cs="Arial"/>
                <w:b/>
                <w:bCs/>
                <w:sz w:val="20"/>
                <w:szCs w:val="20"/>
              </w:rPr>
              <w:t xml:space="preserve">CSF HIV-1 </w:t>
            </w:r>
            <w:proofErr w:type="spellStart"/>
            <w:r w:rsidRPr="003E258C">
              <w:rPr>
                <w:rFonts w:ascii="Arial" w:hAnsi="Arial" w:cs="Arial"/>
                <w:b/>
                <w:bCs/>
                <w:sz w:val="20"/>
                <w:szCs w:val="20"/>
              </w:rPr>
              <w:t>RNA</w:t>
            </w:r>
            <w:proofErr w:type="spellEnd"/>
          </w:p>
          <w:p w:rsidR="004E59F7" w:rsidRPr="003E258C" w:rsidRDefault="004E59F7" w:rsidP="001B235E">
            <w:pPr>
              <w:jc w:val="center"/>
              <w:rPr>
                <w:rFonts w:ascii="Arial" w:hAnsi="Arial" w:cs="Arial"/>
                <w:sz w:val="20"/>
                <w:szCs w:val="20"/>
              </w:rPr>
            </w:pPr>
            <w:r w:rsidRPr="003E258C">
              <w:rPr>
                <w:rFonts w:ascii="Arial" w:hAnsi="Arial" w:cs="Arial"/>
                <w:b/>
                <w:bCs/>
                <w:sz w:val="20"/>
                <w:szCs w:val="20"/>
              </w:rPr>
              <w:t>(copies/</w:t>
            </w:r>
            <w:proofErr w:type="spellStart"/>
            <w:r w:rsidRPr="003E258C">
              <w:rPr>
                <w:rFonts w:ascii="Arial" w:hAnsi="Arial" w:cs="Arial"/>
                <w:b/>
                <w:bCs/>
                <w:sz w:val="20"/>
                <w:szCs w:val="20"/>
              </w:rPr>
              <w:t>mL</w:t>
            </w:r>
            <w:proofErr w:type="spellEnd"/>
            <w:r w:rsidRPr="003E258C">
              <w:rPr>
                <w:rFonts w:ascii="Arial" w:hAnsi="Arial" w:cs="Arial"/>
                <w:b/>
                <w:bCs/>
                <w:sz w:val="20"/>
                <w:szCs w:val="20"/>
              </w:rPr>
              <w:t>)</w:t>
            </w:r>
          </w:p>
        </w:tc>
        <w:tc>
          <w:tcPr>
            <w:tcW w:w="1617" w:type="dxa"/>
            <w:gridSpan w:val="2"/>
            <w:tcBorders>
              <w:top w:val="single" w:sz="4" w:space="0" w:color="auto"/>
              <w:bottom w:val="single" w:sz="4" w:space="0" w:color="auto"/>
            </w:tcBorders>
          </w:tcPr>
          <w:p w:rsidR="004E59F7" w:rsidRPr="003E258C" w:rsidRDefault="004E59F7" w:rsidP="001B235E">
            <w:pPr>
              <w:jc w:val="center"/>
              <w:rPr>
                <w:rFonts w:ascii="Arial" w:hAnsi="Arial" w:cs="Arial"/>
                <w:b/>
                <w:bCs/>
                <w:sz w:val="20"/>
                <w:szCs w:val="20"/>
              </w:rPr>
            </w:pPr>
          </w:p>
          <w:p w:rsidR="004E59F7" w:rsidRPr="003E258C" w:rsidRDefault="004E59F7" w:rsidP="001B235E">
            <w:pPr>
              <w:jc w:val="center"/>
              <w:rPr>
                <w:rFonts w:ascii="Arial" w:hAnsi="Arial" w:cs="Arial"/>
                <w:b/>
                <w:bCs/>
                <w:sz w:val="20"/>
                <w:szCs w:val="20"/>
              </w:rPr>
            </w:pPr>
            <w:proofErr w:type="spellStart"/>
            <w:r w:rsidRPr="003E258C">
              <w:rPr>
                <w:rFonts w:ascii="Arial" w:hAnsi="Arial" w:cs="Arial"/>
                <w:b/>
                <w:bCs/>
                <w:sz w:val="20"/>
                <w:szCs w:val="20"/>
              </w:rPr>
              <w:t>Blood</w:t>
            </w:r>
            <w:proofErr w:type="spellEnd"/>
            <w:r w:rsidRPr="003E258C">
              <w:rPr>
                <w:rFonts w:ascii="Arial" w:hAnsi="Arial" w:cs="Arial"/>
                <w:b/>
                <w:bCs/>
                <w:sz w:val="20"/>
                <w:szCs w:val="20"/>
              </w:rPr>
              <w:t xml:space="preserve"> plasma</w:t>
            </w:r>
          </w:p>
          <w:p w:rsidR="004E59F7" w:rsidRPr="003E258C" w:rsidRDefault="004E59F7" w:rsidP="001B235E">
            <w:pPr>
              <w:jc w:val="center"/>
              <w:rPr>
                <w:rFonts w:ascii="Arial" w:hAnsi="Arial" w:cs="Arial"/>
                <w:b/>
                <w:bCs/>
                <w:sz w:val="20"/>
                <w:szCs w:val="20"/>
              </w:rPr>
            </w:pPr>
            <w:r w:rsidRPr="003E258C">
              <w:rPr>
                <w:rFonts w:ascii="Arial" w:hAnsi="Arial" w:cs="Arial"/>
                <w:b/>
                <w:bCs/>
                <w:sz w:val="20"/>
                <w:szCs w:val="20"/>
              </w:rPr>
              <w:t xml:space="preserve">HIV-1 </w:t>
            </w:r>
            <w:proofErr w:type="spellStart"/>
            <w:r w:rsidRPr="003E258C">
              <w:rPr>
                <w:rFonts w:ascii="Arial" w:hAnsi="Arial" w:cs="Arial"/>
                <w:b/>
                <w:bCs/>
                <w:sz w:val="20"/>
                <w:szCs w:val="20"/>
              </w:rPr>
              <w:t>RNA</w:t>
            </w:r>
            <w:proofErr w:type="spellEnd"/>
          </w:p>
          <w:p w:rsidR="004E59F7" w:rsidRPr="003E258C" w:rsidRDefault="004E59F7" w:rsidP="001B235E">
            <w:pPr>
              <w:jc w:val="center"/>
              <w:rPr>
                <w:rFonts w:ascii="Arial" w:hAnsi="Arial" w:cs="Arial"/>
                <w:b/>
                <w:bCs/>
                <w:sz w:val="20"/>
                <w:szCs w:val="20"/>
              </w:rPr>
            </w:pPr>
            <w:r w:rsidRPr="003E258C">
              <w:rPr>
                <w:rFonts w:ascii="Arial" w:hAnsi="Arial" w:cs="Arial"/>
                <w:b/>
                <w:bCs/>
                <w:sz w:val="20"/>
                <w:szCs w:val="20"/>
              </w:rPr>
              <w:t>(copies/</w:t>
            </w:r>
            <w:proofErr w:type="spellStart"/>
            <w:r w:rsidRPr="003E258C">
              <w:rPr>
                <w:rFonts w:ascii="Arial" w:hAnsi="Arial" w:cs="Arial"/>
                <w:b/>
                <w:bCs/>
                <w:sz w:val="20"/>
                <w:szCs w:val="20"/>
              </w:rPr>
              <w:t>mL</w:t>
            </w:r>
            <w:proofErr w:type="spellEnd"/>
            <w:r w:rsidRPr="003E258C">
              <w:rPr>
                <w:rFonts w:ascii="Arial" w:hAnsi="Arial" w:cs="Arial"/>
                <w:b/>
                <w:bCs/>
                <w:sz w:val="20"/>
                <w:szCs w:val="20"/>
              </w:rPr>
              <w:t>)</w:t>
            </w:r>
          </w:p>
          <w:p w:rsidR="004E59F7" w:rsidRPr="003E258C" w:rsidRDefault="004E59F7" w:rsidP="001B235E">
            <w:pPr>
              <w:jc w:val="center"/>
              <w:rPr>
                <w:rFonts w:ascii="Arial" w:hAnsi="Arial" w:cs="Arial"/>
                <w:b/>
                <w:bCs/>
                <w:sz w:val="20"/>
                <w:szCs w:val="20"/>
              </w:rPr>
            </w:pPr>
          </w:p>
        </w:tc>
        <w:tc>
          <w:tcPr>
            <w:tcW w:w="1119" w:type="dxa"/>
            <w:tcBorders>
              <w:top w:val="single" w:sz="4" w:space="0" w:color="auto"/>
              <w:bottom w:val="single" w:sz="4" w:space="0" w:color="auto"/>
            </w:tcBorders>
            <w:vAlign w:val="bottom"/>
          </w:tcPr>
          <w:p w:rsidR="004E59F7" w:rsidRPr="003E258C" w:rsidRDefault="004E59F7" w:rsidP="001B235E">
            <w:pPr>
              <w:rPr>
                <w:rFonts w:ascii="Arial" w:hAnsi="Arial" w:cs="Arial"/>
                <w:b/>
                <w:bCs/>
                <w:sz w:val="20"/>
                <w:szCs w:val="20"/>
                <w:lang w:val="en-GB"/>
              </w:rPr>
            </w:pPr>
            <w:r w:rsidRPr="003E258C">
              <w:rPr>
                <w:rFonts w:ascii="Arial" w:hAnsi="Arial" w:cs="Arial"/>
                <w:b/>
                <w:bCs/>
                <w:sz w:val="20"/>
                <w:szCs w:val="20"/>
                <w:lang w:val="en-GB"/>
              </w:rPr>
              <w:t>CSF WBC (cells/</w:t>
            </w:r>
            <w:r w:rsidRPr="003E258C">
              <w:rPr>
                <w:rFonts w:ascii="Arial" w:hAnsi="Arial" w:cs="Arial"/>
                <w:b/>
                <w:bCs/>
                <w:sz w:val="20"/>
                <w:szCs w:val="20"/>
                <w:lang w:val="en-GB"/>
              </w:rPr>
              <w:sym w:font="Symbol" w:char="F06D"/>
            </w:r>
            <w:r w:rsidRPr="003E258C">
              <w:rPr>
                <w:rFonts w:ascii="Arial" w:hAnsi="Arial" w:cs="Arial"/>
                <w:b/>
                <w:bCs/>
                <w:sz w:val="20"/>
                <w:szCs w:val="20"/>
                <w:lang w:val="en-GB"/>
              </w:rPr>
              <w:t>L)</w:t>
            </w:r>
          </w:p>
          <w:p w:rsidR="004E59F7" w:rsidRPr="003E258C" w:rsidRDefault="004E59F7" w:rsidP="00C650D8">
            <w:pPr>
              <w:jc w:val="center"/>
              <w:rPr>
                <w:rFonts w:ascii="Arial" w:hAnsi="Arial" w:cs="Arial"/>
                <w:sz w:val="20"/>
                <w:szCs w:val="20"/>
                <w:lang w:val="en-GB"/>
              </w:rPr>
            </w:pPr>
          </w:p>
          <w:p w:rsidR="004E59F7" w:rsidRPr="003E258C" w:rsidRDefault="004E59F7" w:rsidP="00C650D8">
            <w:pPr>
              <w:jc w:val="center"/>
              <w:rPr>
                <w:rFonts w:ascii="Arial" w:hAnsi="Arial" w:cs="Arial"/>
                <w:sz w:val="20"/>
                <w:szCs w:val="20"/>
                <w:lang w:val="en-GB"/>
              </w:rPr>
            </w:pPr>
          </w:p>
        </w:tc>
        <w:tc>
          <w:tcPr>
            <w:tcW w:w="1367" w:type="dxa"/>
            <w:tcBorders>
              <w:top w:val="single" w:sz="4" w:space="0" w:color="auto"/>
              <w:bottom w:val="single" w:sz="4" w:space="0" w:color="auto"/>
            </w:tcBorders>
            <w:vAlign w:val="bottom"/>
          </w:tcPr>
          <w:p w:rsidR="004E59F7" w:rsidRPr="003E258C" w:rsidRDefault="004E59F7" w:rsidP="00C650D8">
            <w:pPr>
              <w:jc w:val="center"/>
              <w:rPr>
                <w:rFonts w:ascii="Arial" w:hAnsi="Arial" w:cs="Arial"/>
                <w:b/>
                <w:bCs/>
                <w:sz w:val="20"/>
                <w:szCs w:val="20"/>
                <w:lang w:val="en-GB"/>
              </w:rPr>
            </w:pPr>
            <w:r w:rsidRPr="003E258C">
              <w:rPr>
                <w:rFonts w:ascii="Arial" w:hAnsi="Arial" w:cs="Arial"/>
                <w:b/>
                <w:bCs/>
                <w:sz w:val="20"/>
                <w:szCs w:val="20"/>
                <w:lang w:val="en-GB"/>
              </w:rPr>
              <w:t>CSF Proteins (g/L)</w:t>
            </w:r>
          </w:p>
          <w:p w:rsidR="004E59F7" w:rsidRPr="003E258C" w:rsidRDefault="004E59F7" w:rsidP="00C650D8">
            <w:pPr>
              <w:jc w:val="center"/>
              <w:rPr>
                <w:rFonts w:ascii="Arial" w:hAnsi="Arial" w:cs="Arial"/>
                <w:sz w:val="20"/>
                <w:szCs w:val="20"/>
                <w:lang w:val="en-GB"/>
              </w:rPr>
            </w:pPr>
          </w:p>
          <w:p w:rsidR="004E59F7" w:rsidRPr="003E258C" w:rsidRDefault="004E59F7" w:rsidP="00C650D8">
            <w:pPr>
              <w:jc w:val="center"/>
              <w:rPr>
                <w:rFonts w:ascii="Arial" w:hAnsi="Arial" w:cs="Arial"/>
                <w:sz w:val="20"/>
                <w:szCs w:val="20"/>
                <w:lang w:val="en-GB"/>
              </w:rPr>
            </w:pPr>
          </w:p>
        </w:tc>
        <w:tc>
          <w:tcPr>
            <w:tcW w:w="1243" w:type="dxa"/>
            <w:tcBorders>
              <w:top w:val="single" w:sz="4" w:space="0" w:color="auto"/>
              <w:bottom w:val="single" w:sz="4" w:space="0" w:color="auto"/>
            </w:tcBorders>
          </w:tcPr>
          <w:p w:rsidR="004E59F7" w:rsidRPr="003E258C" w:rsidRDefault="004E59F7" w:rsidP="00C650D8">
            <w:pPr>
              <w:jc w:val="center"/>
              <w:rPr>
                <w:rFonts w:ascii="Arial" w:hAnsi="Arial" w:cs="Arial"/>
                <w:b/>
                <w:bCs/>
                <w:sz w:val="20"/>
                <w:szCs w:val="20"/>
              </w:rPr>
            </w:pPr>
          </w:p>
          <w:p w:rsidR="004E59F7" w:rsidRPr="003E258C" w:rsidRDefault="004E59F7" w:rsidP="00C650D8">
            <w:pPr>
              <w:jc w:val="center"/>
              <w:rPr>
                <w:rFonts w:ascii="Arial" w:hAnsi="Arial" w:cs="Arial"/>
                <w:b/>
                <w:bCs/>
                <w:sz w:val="20"/>
                <w:szCs w:val="20"/>
              </w:rPr>
            </w:pPr>
            <w:r w:rsidRPr="003E258C">
              <w:rPr>
                <w:rFonts w:ascii="Arial" w:hAnsi="Arial" w:cs="Arial"/>
                <w:b/>
                <w:bCs/>
                <w:sz w:val="20"/>
                <w:szCs w:val="20"/>
              </w:rPr>
              <w:t xml:space="preserve">CSF HIV-1 </w:t>
            </w:r>
            <w:proofErr w:type="spellStart"/>
            <w:r w:rsidRPr="003E258C">
              <w:rPr>
                <w:rFonts w:ascii="Arial" w:hAnsi="Arial" w:cs="Arial"/>
                <w:b/>
                <w:bCs/>
                <w:sz w:val="20"/>
                <w:szCs w:val="20"/>
              </w:rPr>
              <w:t>RNA</w:t>
            </w:r>
            <w:proofErr w:type="spellEnd"/>
          </w:p>
          <w:p w:rsidR="004E59F7" w:rsidRPr="003E258C" w:rsidRDefault="004E59F7" w:rsidP="00C650D8">
            <w:pPr>
              <w:jc w:val="center"/>
              <w:rPr>
                <w:rFonts w:ascii="Arial" w:hAnsi="Arial" w:cs="Arial"/>
                <w:sz w:val="20"/>
                <w:szCs w:val="20"/>
              </w:rPr>
            </w:pPr>
            <w:r w:rsidRPr="003E258C">
              <w:rPr>
                <w:rFonts w:ascii="Arial" w:hAnsi="Arial" w:cs="Arial"/>
                <w:b/>
                <w:bCs/>
                <w:sz w:val="20"/>
                <w:szCs w:val="20"/>
              </w:rPr>
              <w:t>(copies/</w:t>
            </w:r>
            <w:proofErr w:type="spellStart"/>
            <w:r w:rsidRPr="003E258C">
              <w:rPr>
                <w:rFonts w:ascii="Arial" w:hAnsi="Arial" w:cs="Arial"/>
                <w:b/>
                <w:bCs/>
                <w:sz w:val="20"/>
                <w:szCs w:val="20"/>
              </w:rPr>
              <w:t>mL</w:t>
            </w:r>
            <w:proofErr w:type="spellEnd"/>
            <w:r w:rsidRPr="003E258C">
              <w:rPr>
                <w:rFonts w:ascii="Arial" w:hAnsi="Arial" w:cs="Arial"/>
                <w:b/>
                <w:bCs/>
                <w:sz w:val="20"/>
                <w:szCs w:val="20"/>
              </w:rPr>
              <w:t>)</w:t>
            </w:r>
          </w:p>
        </w:tc>
        <w:tc>
          <w:tcPr>
            <w:tcW w:w="1766" w:type="dxa"/>
            <w:gridSpan w:val="2"/>
            <w:tcBorders>
              <w:top w:val="single" w:sz="4" w:space="0" w:color="auto"/>
              <w:bottom w:val="single" w:sz="4" w:space="0" w:color="auto"/>
            </w:tcBorders>
          </w:tcPr>
          <w:p w:rsidR="004E59F7" w:rsidRPr="003E258C" w:rsidRDefault="004E59F7" w:rsidP="001B235E">
            <w:pPr>
              <w:jc w:val="center"/>
              <w:rPr>
                <w:rFonts w:ascii="Arial" w:hAnsi="Arial" w:cs="Arial"/>
                <w:b/>
                <w:bCs/>
                <w:sz w:val="20"/>
                <w:szCs w:val="20"/>
              </w:rPr>
            </w:pPr>
          </w:p>
          <w:p w:rsidR="004E59F7" w:rsidRPr="003E258C" w:rsidRDefault="004E59F7" w:rsidP="001B235E">
            <w:pPr>
              <w:jc w:val="center"/>
              <w:rPr>
                <w:rFonts w:ascii="Arial" w:hAnsi="Arial" w:cs="Arial"/>
                <w:b/>
                <w:bCs/>
                <w:sz w:val="20"/>
                <w:szCs w:val="20"/>
              </w:rPr>
            </w:pPr>
            <w:proofErr w:type="spellStart"/>
            <w:r w:rsidRPr="003E258C">
              <w:rPr>
                <w:rFonts w:ascii="Arial" w:hAnsi="Arial" w:cs="Arial"/>
                <w:b/>
                <w:bCs/>
                <w:sz w:val="20"/>
                <w:szCs w:val="20"/>
              </w:rPr>
              <w:t>Blood</w:t>
            </w:r>
            <w:proofErr w:type="spellEnd"/>
            <w:r w:rsidRPr="003E258C">
              <w:rPr>
                <w:rFonts w:ascii="Arial" w:hAnsi="Arial" w:cs="Arial"/>
                <w:b/>
                <w:bCs/>
                <w:sz w:val="20"/>
                <w:szCs w:val="20"/>
              </w:rPr>
              <w:t xml:space="preserve"> plasma </w:t>
            </w:r>
          </w:p>
          <w:p w:rsidR="004E59F7" w:rsidRPr="003E258C" w:rsidRDefault="004E59F7" w:rsidP="001B235E">
            <w:pPr>
              <w:jc w:val="center"/>
              <w:rPr>
                <w:rFonts w:ascii="Arial" w:hAnsi="Arial" w:cs="Arial"/>
                <w:b/>
                <w:bCs/>
                <w:sz w:val="20"/>
                <w:szCs w:val="20"/>
              </w:rPr>
            </w:pPr>
            <w:r w:rsidRPr="003E258C">
              <w:rPr>
                <w:rFonts w:ascii="Arial" w:hAnsi="Arial" w:cs="Arial"/>
                <w:b/>
                <w:bCs/>
                <w:sz w:val="20"/>
                <w:szCs w:val="20"/>
              </w:rPr>
              <w:t xml:space="preserve">HIV-1 </w:t>
            </w:r>
            <w:proofErr w:type="spellStart"/>
            <w:r w:rsidRPr="003E258C">
              <w:rPr>
                <w:rFonts w:ascii="Arial" w:hAnsi="Arial" w:cs="Arial"/>
                <w:b/>
                <w:bCs/>
                <w:sz w:val="20"/>
                <w:szCs w:val="20"/>
              </w:rPr>
              <w:t>RNA</w:t>
            </w:r>
            <w:proofErr w:type="spellEnd"/>
          </w:p>
          <w:p w:rsidR="004E59F7" w:rsidRPr="003E258C" w:rsidRDefault="004E59F7" w:rsidP="001B235E">
            <w:pPr>
              <w:jc w:val="center"/>
              <w:rPr>
                <w:rFonts w:ascii="Arial" w:hAnsi="Arial" w:cs="Arial"/>
                <w:b/>
                <w:bCs/>
                <w:sz w:val="20"/>
                <w:szCs w:val="20"/>
              </w:rPr>
            </w:pPr>
            <w:r w:rsidRPr="003E258C">
              <w:rPr>
                <w:rFonts w:ascii="Arial" w:hAnsi="Arial" w:cs="Arial"/>
                <w:b/>
                <w:bCs/>
                <w:sz w:val="20"/>
                <w:szCs w:val="20"/>
              </w:rPr>
              <w:t xml:space="preserve"> (copies/</w:t>
            </w:r>
            <w:proofErr w:type="spellStart"/>
            <w:r w:rsidRPr="003E258C">
              <w:rPr>
                <w:rFonts w:ascii="Arial" w:hAnsi="Arial" w:cs="Arial"/>
                <w:b/>
                <w:bCs/>
                <w:sz w:val="20"/>
                <w:szCs w:val="20"/>
              </w:rPr>
              <w:t>mL</w:t>
            </w:r>
            <w:proofErr w:type="spellEnd"/>
            <w:r w:rsidRPr="003E258C">
              <w:rPr>
                <w:rFonts w:ascii="Arial" w:hAnsi="Arial" w:cs="Arial"/>
                <w:b/>
                <w:bCs/>
                <w:sz w:val="20"/>
                <w:szCs w:val="20"/>
              </w:rPr>
              <w:t>)</w:t>
            </w:r>
          </w:p>
          <w:p w:rsidR="004E59F7" w:rsidRPr="003E258C" w:rsidRDefault="004E59F7" w:rsidP="001B235E">
            <w:pPr>
              <w:jc w:val="center"/>
              <w:rPr>
                <w:rFonts w:ascii="Arial" w:hAnsi="Arial" w:cs="Arial"/>
                <w:b/>
                <w:bCs/>
                <w:sz w:val="20"/>
                <w:szCs w:val="20"/>
              </w:rPr>
            </w:pPr>
          </w:p>
        </w:tc>
      </w:tr>
      <w:tr w:rsidR="004E59F7" w:rsidRPr="003E258C" w:rsidTr="004E59F7">
        <w:trPr>
          <w:trHeight w:val="254"/>
        </w:trPr>
        <w:tc>
          <w:tcPr>
            <w:tcW w:w="1308" w:type="dxa"/>
            <w:tcBorders>
              <w:top w:val="single" w:sz="4" w:space="0" w:color="auto"/>
            </w:tcBorders>
          </w:tcPr>
          <w:p w:rsidR="004E59F7" w:rsidRPr="003E258C" w:rsidRDefault="004E59F7" w:rsidP="00C650D8">
            <w:pPr>
              <w:jc w:val="center"/>
              <w:rPr>
                <w:rFonts w:ascii="Arial" w:hAnsi="Arial" w:cs="Arial"/>
                <w:sz w:val="20"/>
                <w:szCs w:val="20"/>
                <w:lang w:val="en-GB"/>
              </w:rPr>
            </w:pPr>
            <w:r w:rsidRPr="003E258C">
              <w:rPr>
                <w:rFonts w:ascii="Arial" w:hAnsi="Arial" w:cs="Arial"/>
                <w:sz w:val="20"/>
                <w:szCs w:val="20"/>
                <w:lang w:val="en-GB"/>
              </w:rPr>
              <w:t>1</w:t>
            </w:r>
          </w:p>
        </w:tc>
        <w:tc>
          <w:tcPr>
            <w:tcW w:w="862" w:type="dxa"/>
            <w:tcBorders>
              <w:top w:val="single" w:sz="4" w:space="0" w:color="auto"/>
            </w:tcBorders>
          </w:tcPr>
          <w:p w:rsidR="004E59F7" w:rsidRPr="003E258C" w:rsidRDefault="004E59F7" w:rsidP="001B235E">
            <w:pPr>
              <w:jc w:val="center"/>
              <w:rPr>
                <w:lang w:val="en-GB"/>
              </w:rPr>
            </w:pPr>
            <w:r w:rsidRPr="003E258C">
              <w:rPr>
                <w:lang w:val="en-GB"/>
              </w:rPr>
              <w:t>F</w:t>
            </w:r>
          </w:p>
        </w:tc>
        <w:tc>
          <w:tcPr>
            <w:tcW w:w="1134" w:type="dxa"/>
            <w:tcBorders>
              <w:top w:val="single" w:sz="4" w:space="0" w:color="auto"/>
            </w:tcBorders>
          </w:tcPr>
          <w:p w:rsidR="004E59F7" w:rsidRPr="003E258C" w:rsidRDefault="004E59F7" w:rsidP="001B235E">
            <w:pPr>
              <w:jc w:val="center"/>
              <w:rPr>
                <w:lang w:val="en-GB"/>
              </w:rPr>
            </w:pPr>
            <w:r w:rsidRPr="003E258C">
              <w:rPr>
                <w:lang w:val="en-GB"/>
              </w:rPr>
              <w:t>&lt;0.001</w:t>
            </w:r>
          </w:p>
        </w:tc>
        <w:tc>
          <w:tcPr>
            <w:tcW w:w="1302" w:type="dxa"/>
            <w:tcBorders>
              <w:top w:val="single" w:sz="4" w:space="0" w:color="auto"/>
            </w:tcBorders>
            <w:vAlign w:val="bottom"/>
          </w:tcPr>
          <w:p w:rsidR="004E59F7" w:rsidRPr="003E258C" w:rsidRDefault="004E59F7" w:rsidP="001B235E">
            <w:pPr>
              <w:jc w:val="center"/>
              <w:rPr>
                <w:rFonts w:ascii="Arial" w:hAnsi="Arial" w:cs="Arial"/>
                <w:sz w:val="20"/>
                <w:szCs w:val="20"/>
                <w:lang w:val="en-GB" w:eastAsia="es-ES_tradnl"/>
              </w:rPr>
            </w:pPr>
            <w:r w:rsidRPr="003E258C">
              <w:rPr>
                <w:rFonts w:ascii="Arial" w:hAnsi="Arial" w:cs="Arial"/>
                <w:sz w:val="20"/>
                <w:szCs w:val="20"/>
                <w:lang w:val="en-GB"/>
              </w:rPr>
              <w:t>0.25</w:t>
            </w:r>
          </w:p>
        </w:tc>
        <w:tc>
          <w:tcPr>
            <w:tcW w:w="1242" w:type="dxa"/>
            <w:tcBorders>
              <w:top w:val="single" w:sz="4" w:space="0" w:color="auto"/>
            </w:tcBorders>
            <w:vAlign w:val="bottom"/>
          </w:tcPr>
          <w:p w:rsidR="004E59F7" w:rsidRPr="003E258C" w:rsidRDefault="004E59F7" w:rsidP="001B235E">
            <w:pPr>
              <w:jc w:val="center"/>
              <w:rPr>
                <w:rFonts w:ascii="Arial" w:hAnsi="Arial" w:cs="Arial"/>
                <w:sz w:val="20"/>
                <w:szCs w:val="20"/>
                <w:lang w:val="en-GB"/>
              </w:rPr>
            </w:pPr>
            <w:r w:rsidRPr="003E258C">
              <w:rPr>
                <w:rFonts w:ascii="Arial" w:hAnsi="Arial" w:cs="Arial"/>
                <w:sz w:val="20"/>
                <w:szCs w:val="20"/>
                <w:lang w:val="en-GB"/>
              </w:rPr>
              <w:t>&lt;40</w:t>
            </w:r>
          </w:p>
        </w:tc>
        <w:tc>
          <w:tcPr>
            <w:tcW w:w="1617" w:type="dxa"/>
            <w:gridSpan w:val="2"/>
            <w:tcBorders>
              <w:top w:val="single" w:sz="4" w:space="0" w:color="auto"/>
            </w:tcBorders>
            <w:vAlign w:val="bottom"/>
          </w:tcPr>
          <w:p w:rsidR="004E59F7" w:rsidRPr="003E258C" w:rsidRDefault="004E59F7" w:rsidP="001B235E">
            <w:pPr>
              <w:jc w:val="center"/>
              <w:rPr>
                <w:lang w:val="en-GB"/>
              </w:rPr>
            </w:pPr>
            <w:r w:rsidRPr="003E258C">
              <w:rPr>
                <w:rFonts w:ascii="Arial" w:hAnsi="Arial" w:cs="Arial"/>
                <w:sz w:val="20"/>
                <w:szCs w:val="20"/>
                <w:lang w:val="en-GB"/>
              </w:rPr>
              <w:t>&lt;40</w:t>
            </w:r>
          </w:p>
        </w:tc>
        <w:tc>
          <w:tcPr>
            <w:tcW w:w="1119" w:type="dxa"/>
            <w:tcBorders>
              <w:top w:val="single" w:sz="4" w:space="0" w:color="auto"/>
            </w:tcBorders>
          </w:tcPr>
          <w:p w:rsidR="004E59F7" w:rsidRPr="003E258C" w:rsidRDefault="004E59F7" w:rsidP="001B235E">
            <w:pPr>
              <w:jc w:val="center"/>
              <w:rPr>
                <w:lang w:val="en-GB"/>
              </w:rPr>
            </w:pPr>
            <w:r w:rsidRPr="003E258C">
              <w:rPr>
                <w:lang w:val="en-GB"/>
              </w:rPr>
              <w:t>0.001</w:t>
            </w:r>
          </w:p>
        </w:tc>
        <w:tc>
          <w:tcPr>
            <w:tcW w:w="1367" w:type="dxa"/>
            <w:tcBorders>
              <w:top w:val="single" w:sz="4" w:space="0" w:color="auto"/>
            </w:tcBorders>
          </w:tcPr>
          <w:p w:rsidR="004E59F7" w:rsidRPr="003E258C" w:rsidRDefault="004E59F7" w:rsidP="001B235E">
            <w:pPr>
              <w:jc w:val="center"/>
              <w:rPr>
                <w:lang w:val="en-GB"/>
              </w:rPr>
            </w:pPr>
            <w:r w:rsidRPr="003E258C">
              <w:rPr>
                <w:lang w:val="en-GB"/>
              </w:rPr>
              <w:t>0.20</w:t>
            </w:r>
          </w:p>
        </w:tc>
        <w:tc>
          <w:tcPr>
            <w:tcW w:w="1243" w:type="dxa"/>
            <w:tcBorders>
              <w:top w:val="single" w:sz="4" w:space="0" w:color="auto"/>
            </w:tcBorders>
          </w:tcPr>
          <w:p w:rsidR="004E59F7" w:rsidRPr="003E258C" w:rsidRDefault="004E59F7" w:rsidP="001B235E">
            <w:pPr>
              <w:jc w:val="center"/>
              <w:rPr>
                <w:lang w:val="en-GB"/>
              </w:rPr>
            </w:pPr>
            <w:r w:rsidRPr="003E258C">
              <w:rPr>
                <w:lang w:val="en-GB"/>
              </w:rPr>
              <w:t>&lt;40</w:t>
            </w:r>
          </w:p>
        </w:tc>
        <w:tc>
          <w:tcPr>
            <w:tcW w:w="1766" w:type="dxa"/>
            <w:gridSpan w:val="2"/>
            <w:tcBorders>
              <w:top w:val="single" w:sz="4" w:space="0" w:color="auto"/>
            </w:tcBorders>
          </w:tcPr>
          <w:p w:rsidR="004E59F7" w:rsidRPr="003E258C" w:rsidRDefault="004E59F7" w:rsidP="001B235E">
            <w:pPr>
              <w:jc w:val="center"/>
              <w:rPr>
                <w:lang w:val="en-GB"/>
              </w:rPr>
            </w:pPr>
            <w:r w:rsidRPr="003E258C">
              <w:rPr>
                <w:lang w:val="en-GB"/>
              </w:rPr>
              <w:t>&lt;40</w:t>
            </w:r>
          </w:p>
        </w:tc>
      </w:tr>
      <w:tr w:rsidR="004E59F7" w:rsidRPr="003E258C" w:rsidTr="004E59F7">
        <w:trPr>
          <w:trHeight w:val="229"/>
        </w:trPr>
        <w:tc>
          <w:tcPr>
            <w:tcW w:w="1308" w:type="dxa"/>
          </w:tcPr>
          <w:p w:rsidR="004E59F7" w:rsidRPr="003E258C" w:rsidRDefault="004E59F7" w:rsidP="00C650D8">
            <w:pPr>
              <w:jc w:val="center"/>
              <w:rPr>
                <w:rFonts w:ascii="Arial" w:hAnsi="Arial" w:cs="Arial"/>
                <w:sz w:val="20"/>
                <w:szCs w:val="20"/>
                <w:lang w:val="en-GB"/>
              </w:rPr>
            </w:pPr>
            <w:r w:rsidRPr="003E258C">
              <w:rPr>
                <w:rFonts w:ascii="Arial" w:hAnsi="Arial" w:cs="Arial"/>
                <w:sz w:val="20"/>
                <w:szCs w:val="20"/>
                <w:lang w:val="en-GB"/>
              </w:rPr>
              <w:t>2</w:t>
            </w:r>
          </w:p>
        </w:tc>
        <w:tc>
          <w:tcPr>
            <w:tcW w:w="862" w:type="dxa"/>
          </w:tcPr>
          <w:p w:rsidR="004E59F7" w:rsidRPr="003E258C" w:rsidRDefault="004E59F7" w:rsidP="001B235E">
            <w:pPr>
              <w:jc w:val="center"/>
              <w:rPr>
                <w:lang w:val="en-GB"/>
              </w:rPr>
            </w:pPr>
            <w:r w:rsidRPr="003E258C">
              <w:rPr>
                <w:lang w:val="en-GB"/>
              </w:rPr>
              <w:t>F</w:t>
            </w:r>
          </w:p>
        </w:tc>
        <w:tc>
          <w:tcPr>
            <w:tcW w:w="1134" w:type="dxa"/>
          </w:tcPr>
          <w:p w:rsidR="004E59F7" w:rsidRPr="003E258C" w:rsidRDefault="004E59F7" w:rsidP="001B235E">
            <w:pPr>
              <w:jc w:val="center"/>
              <w:rPr>
                <w:lang w:val="en-GB"/>
              </w:rPr>
            </w:pPr>
            <w:r w:rsidRPr="003E258C">
              <w:rPr>
                <w:lang w:val="en-GB"/>
              </w:rPr>
              <w:t>&lt;0.001</w:t>
            </w:r>
          </w:p>
        </w:tc>
        <w:tc>
          <w:tcPr>
            <w:tcW w:w="1302" w:type="dxa"/>
            <w:vAlign w:val="bottom"/>
          </w:tcPr>
          <w:p w:rsidR="004E59F7" w:rsidRPr="003E258C" w:rsidRDefault="004E59F7" w:rsidP="001B235E">
            <w:pPr>
              <w:jc w:val="center"/>
              <w:rPr>
                <w:rFonts w:ascii="Arial" w:hAnsi="Arial" w:cs="Arial"/>
                <w:sz w:val="20"/>
                <w:szCs w:val="20"/>
                <w:lang w:val="en-GB"/>
              </w:rPr>
            </w:pPr>
            <w:r w:rsidRPr="003E258C">
              <w:rPr>
                <w:rFonts w:ascii="Arial" w:hAnsi="Arial" w:cs="Arial"/>
                <w:sz w:val="20"/>
                <w:szCs w:val="20"/>
                <w:lang w:val="en-GB"/>
              </w:rPr>
              <w:t>0.30</w:t>
            </w:r>
          </w:p>
        </w:tc>
        <w:tc>
          <w:tcPr>
            <w:tcW w:w="1242" w:type="dxa"/>
          </w:tcPr>
          <w:p w:rsidR="004E59F7" w:rsidRPr="003E258C" w:rsidRDefault="004E59F7" w:rsidP="001B235E">
            <w:pPr>
              <w:jc w:val="center"/>
              <w:rPr>
                <w:lang w:val="en-GB"/>
              </w:rPr>
            </w:pPr>
            <w:r w:rsidRPr="003E258C">
              <w:rPr>
                <w:rFonts w:ascii="Arial" w:hAnsi="Arial" w:cs="Arial"/>
                <w:sz w:val="20"/>
                <w:szCs w:val="20"/>
                <w:lang w:val="en-GB"/>
              </w:rPr>
              <w:t>&lt;40</w:t>
            </w:r>
          </w:p>
        </w:tc>
        <w:tc>
          <w:tcPr>
            <w:tcW w:w="1617" w:type="dxa"/>
            <w:gridSpan w:val="2"/>
          </w:tcPr>
          <w:p w:rsidR="004E59F7" w:rsidRPr="003E258C" w:rsidRDefault="004E59F7" w:rsidP="001B235E">
            <w:pPr>
              <w:jc w:val="center"/>
              <w:rPr>
                <w:lang w:val="en-GB"/>
              </w:rPr>
            </w:pPr>
            <w:r w:rsidRPr="003E258C">
              <w:rPr>
                <w:rFonts w:ascii="Arial" w:hAnsi="Arial" w:cs="Arial"/>
                <w:sz w:val="20"/>
                <w:szCs w:val="20"/>
                <w:lang w:val="en-GB"/>
              </w:rPr>
              <w:t>&lt;40</w:t>
            </w:r>
          </w:p>
        </w:tc>
        <w:tc>
          <w:tcPr>
            <w:tcW w:w="1119" w:type="dxa"/>
          </w:tcPr>
          <w:p w:rsidR="004E59F7" w:rsidRPr="003E258C" w:rsidRDefault="004E59F7" w:rsidP="001B235E">
            <w:pPr>
              <w:jc w:val="center"/>
              <w:rPr>
                <w:lang w:val="en-GB"/>
              </w:rPr>
            </w:pPr>
            <w:r w:rsidRPr="003E258C">
              <w:rPr>
                <w:lang w:val="en-GB"/>
              </w:rPr>
              <w:t>0.001</w:t>
            </w:r>
          </w:p>
        </w:tc>
        <w:tc>
          <w:tcPr>
            <w:tcW w:w="1367" w:type="dxa"/>
          </w:tcPr>
          <w:p w:rsidR="004E59F7" w:rsidRPr="003E258C" w:rsidRDefault="004E59F7" w:rsidP="001B235E">
            <w:pPr>
              <w:jc w:val="center"/>
              <w:rPr>
                <w:lang w:val="en-GB"/>
              </w:rPr>
            </w:pPr>
            <w:r w:rsidRPr="003E258C">
              <w:rPr>
                <w:lang w:val="en-GB"/>
              </w:rPr>
              <w:t>0.25</w:t>
            </w:r>
          </w:p>
        </w:tc>
        <w:tc>
          <w:tcPr>
            <w:tcW w:w="1243" w:type="dxa"/>
          </w:tcPr>
          <w:p w:rsidR="004E59F7" w:rsidRPr="003E258C" w:rsidRDefault="004E59F7" w:rsidP="001B235E">
            <w:pPr>
              <w:jc w:val="center"/>
              <w:rPr>
                <w:lang w:val="en-GB"/>
              </w:rPr>
            </w:pPr>
            <w:r w:rsidRPr="003E258C">
              <w:rPr>
                <w:lang w:val="en-GB"/>
              </w:rPr>
              <w:t>&lt;40</w:t>
            </w:r>
          </w:p>
        </w:tc>
        <w:tc>
          <w:tcPr>
            <w:tcW w:w="1766" w:type="dxa"/>
            <w:gridSpan w:val="2"/>
          </w:tcPr>
          <w:p w:rsidR="004E59F7" w:rsidRPr="003E258C" w:rsidRDefault="004E59F7" w:rsidP="001B235E">
            <w:pPr>
              <w:jc w:val="center"/>
              <w:rPr>
                <w:lang w:val="en-GB"/>
              </w:rPr>
            </w:pPr>
            <w:r w:rsidRPr="003E258C">
              <w:rPr>
                <w:lang w:val="en-GB"/>
              </w:rPr>
              <w:t>&lt;40</w:t>
            </w:r>
          </w:p>
        </w:tc>
      </w:tr>
      <w:tr w:rsidR="004E59F7" w:rsidRPr="003E258C" w:rsidTr="004E59F7">
        <w:trPr>
          <w:trHeight w:val="272"/>
        </w:trPr>
        <w:tc>
          <w:tcPr>
            <w:tcW w:w="1308" w:type="dxa"/>
          </w:tcPr>
          <w:p w:rsidR="004E59F7" w:rsidRPr="003E258C" w:rsidRDefault="004E59F7" w:rsidP="00C650D8">
            <w:pPr>
              <w:jc w:val="center"/>
              <w:rPr>
                <w:rFonts w:ascii="Arial" w:hAnsi="Arial" w:cs="Arial"/>
                <w:sz w:val="20"/>
                <w:szCs w:val="20"/>
                <w:lang w:val="en-GB"/>
              </w:rPr>
            </w:pPr>
            <w:r w:rsidRPr="003E258C">
              <w:rPr>
                <w:rFonts w:ascii="Arial" w:hAnsi="Arial" w:cs="Arial"/>
                <w:sz w:val="20"/>
                <w:szCs w:val="20"/>
                <w:lang w:val="en-GB"/>
              </w:rPr>
              <w:t>3</w:t>
            </w:r>
          </w:p>
        </w:tc>
        <w:tc>
          <w:tcPr>
            <w:tcW w:w="862" w:type="dxa"/>
          </w:tcPr>
          <w:p w:rsidR="004E59F7" w:rsidRPr="003E258C" w:rsidRDefault="004E59F7" w:rsidP="001B235E">
            <w:pPr>
              <w:jc w:val="center"/>
              <w:rPr>
                <w:lang w:val="en-GB"/>
              </w:rPr>
            </w:pPr>
            <w:r w:rsidRPr="003E258C">
              <w:rPr>
                <w:lang w:val="en-GB"/>
              </w:rPr>
              <w:t>M</w:t>
            </w:r>
          </w:p>
        </w:tc>
        <w:tc>
          <w:tcPr>
            <w:tcW w:w="1134" w:type="dxa"/>
          </w:tcPr>
          <w:p w:rsidR="004E59F7" w:rsidRPr="003E258C" w:rsidRDefault="004E59F7" w:rsidP="001B235E">
            <w:pPr>
              <w:jc w:val="center"/>
              <w:rPr>
                <w:lang w:val="en-GB"/>
              </w:rPr>
            </w:pPr>
            <w:r w:rsidRPr="003E258C">
              <w:rPr>
                <w:lang w:val="en-GB"/>
              </w:rPr>
              <w:t>&lt;0.001</w:t>
            </w:r>
          </w:p>
        </w:tc>
        <w:tc>
          <w:tcPr>
            <w:tcW w:w="1302" w:type="dxa"/>
            <w:vAlign w:val="bottom"/>
          </w:tcPr>
          <w:p w:rsidR="004E59F7" w:rsidRPr="003E258C" w:rsidRDefault="004E59F7" w:rsidP="001B235E">
            <w:pPr>
              <w:jc w:val="center"/>
              <w:rPr>
                <w:rFonts w:ascii="Arial" w:hAnsi="Arial" w:cs="Arial"/>
                <w:sz w:val="20"/>
                <w:szCs w:val="20"/>
                <w:lang w:val="en-GB"/>
              </w:rPr>
            </w:pPr>
            <w:r w:rsidRPr="003E258C">
              <w:rPr>
                <w:rFonts w:ascii="Arial" w:hAnsi="Arial" w:cs="Arial"/>
                <w:sz w:val="20"/>
                <w:szCs w:val="20"/>
                <w:lang w:val="en-GB"/>
              </w:rPr>
              <w:t>0.38</w:t>
            </w:r>
          </w:p>
        </w:tc>
        <w:tc>
          <w:tcPr>
            <w:tcW w:w="1242" w:type="dxa"/>
          </w:tcPr>
          <w:p w:rsidR="004E59F7" w:rsidRPr="003E258C" w:rsidRDefault="004E59F7" w:rsidP="001B235E">
            <w:pPr>
              <w:jc w:val="center"/>
              <w:rPr>
                <w:lang w:val="en-GB"/>
              </w:rPr>
            </w:pPr>
            <w:r w:rsidRPr="003E258C">
              <w:rPr>
                <w:rFonts w:ascii="Arial" w:hAnsi="Arial" w:cs="Arial"/>
                <w:sz w:val="20"/>
                <w:szCs w:val="20"/>
                <w:lang w:val="en-GB"/>
              </w:rPr>
              <w:t>&lt;40</w:t>
            </w:r>
          </w:p>
        </w:tc>
        <w:tc>
          <w:tcPr>
            <w:tcW w:w="1617" w:type="dxa"/>
            <w:gridSpan w:val="2"/>
          </w:tcPr>
          <w:p w:rsidR="004E59F7" w:rsidRPr="003E258C" w:rsidRDefault="004E59F7" w:rsidP="001B235E">
            <w:pPr>
              <w:jc w:val="center"/>
              <w:rPr>
                <w:lang w:val="en-GB"/>
              </w:rPr>
            </w:pPr>
            <w:r w:rsidRPr="003E258C">
              <w:rPr>
                <w:rFonts w:ascii="Arial" w:hAnsi="Arial" w:cs="Arial"/>
                <w:sz w:val="20"/>
                <w:szCs w:val="20"/>
                <w:lang w:val="en-GB"/>
              </w:rPr>
              <w:t>&lt;40</w:t>
            </w:r>
          </w:p>
        </w:tc>
        <w:tc>
          <w:tcPr>
            <w:tcW w:w="1119" w:type="dxa"/>
          </w:tcPr>
          <w:p w:rsidR="004E59F7" w:rsidRPr="003E258C" w:rsidRDefault="004E59F7" w:rsidP="001B235E">
            <w:pPr>
              <w:jc w:val="center"/>
              <w:rPr>
                <w:lang w:val="en-GB"/>
              </w:rPr>
            </w:pPr>
            <w:r w:rsidRPr="003E258C">
              <w:rPr>
                <w:lang w:val="en-GB"/>
              </w:rPr>
              <w:t>0.004</w:t>
            </w:r>
          </w:p>
        </w:tc>
        <w:tc>
          <w:tcPr>
            <w:tcW w:w="1367" w:type="dxa"/>
          </w:tcPr>
          <w:p w:rsidR="004E59F7" w:rsidRPr="003E258C" w:rsidRDefault="004E59F7" w:rsidP="001B235E">
            <w:pPr>
              <w:jc w:val="center"/>
              <w:rPr>
                <w:lang w:val="en-GB"/>
              </w:rPr>
            </w:pPr>
            <w:r w:rsidRPr="003E258C">
              <w:rPr>
                <w:lang w:val="en-GB"/>
              </w:rPr>
              <w:t>0.55</w:t>
            </w:r>
          </w:p>
        </w:tc>
        <w:tc>
          <w:tcPr>
            <w:tcW w:w="1243" w:type="dxa"/>
          </w:tcPr>
          <w:p w:rsidR="004E59F7" w:rsidRPr="003E258C" w:rsidRDefault="004E59F7" w:rsidP="001B235E">
            <w:pPr>
              <w:jc w:val="center"/>
              <w:rPr>
                <w:lang w:val="en-GB"/>
              </w:rPr>
            </w:pPr>
            <w:r w:rsidRPr="003E258C">
              <w:rPr>
                <w:lang w:val="en-GB"/>
              </w:rPr>
              <w:t>&lt;40</w:t>
            </w:r>
          </w:p>
        </w:tc>
        <w:tc>
          <w:tcPr>
            <w:tcW w:w="1766" w:type="dxa"/>
            <w:gridSpan w:val="2"/>
          </w:tcPr>
          <w:p w:rsidR="004E59F7" w:rsidRPr="003E258C" w:rsidRDefault="004E59F7" w:rsidP="001B235E">
            <w:pPr>
              <w:jc w:val="center"/>
              <w:rPr>
                <w:lang w:val="en-GB"/>
              </w:rPr>
            </w:pPr>
            <w:r w:rsidRPr="003E258C">
              <w:rPr>
                <w:lang w:val="en-GB"/>
              </w:rPr>
              <w:t>&lt;40</w:t>
            </w:r>
          </w:p>
        </w:tc>
      </w:tr>
      <w:tr w:rsidR="004E59F7" w:rsidRPr="003E258C" w:rsidTr="004E59F7">
        <w:trPr>
          <w:trHeight w:val="254"/>
        </w:trPr>
        <w:tc>
          <w:tcPr>
            <w:tcW w:w="1308" w:type="dxa"/>
          </w:tcPr>
          <w:p w:rsidR="004E59F7" w:rsidRPr="003E258C" w:rsidRDefault="004E59F7" w:rsidP="00C650D8">
            <w:pPr>
              <w:jc w:val="center"/>
              <w:rPr>
                <w:rFonts w:ascii="Arial" w:hAnsi="Arial" w:cs="Arial"/>
                <w:sz w:val="20"/>
                <w:szCs w:val="20"/>
                <w:lang w:val="en-GB"/>
              </w:rPr>
            </w:pPr>
            <w:r w:rsidRPr="003E258C">
              <w:rPr>
                <w:rFonts w:ascii="Arial" w:hAnsi="Arial" w:cs="Arial"/>
                <w:sz w:val="20"/>
                <w:szCs w:val="20"/>
                <w:lang w:val="en-GB"/>
              </w:rPr>
              <w:t>4</w:t>
            </w:r>
          </w:p>
        </w:tc>
        <w:tc>
          <w:tcPr>
            <w:tcW w:w="862" w:type="dxa"/>
          </w:tcPr>
          <w:p w:rsidR="004E59F7" w:rsidRPr="003E258C" w:rsidRDefault="004E59F7" w:rsidP="001B235E">
            <w:pPr>
              <w:jc w:val="center"/>
              <w:rPr>
                <w:lang w:val="en-GB"/>
              </w:rPr>
            </w:pPr>
            <w:r w:rsidRPr="003E258C">
              <w:rPr>
                <w:lang w:val="en-GB"/>
              </w:rPr>
              <w:t>M</w:t>
            </w:r>
          </w:p>
        </w:tc>
        <w:tc>
          <w:tcPr>
            <w:tcW w:w="1134" w:type="dxa"/>
          </w:tcPr>
          <w:p w:rsidR="004E59F7" w:rsidRPr="003E258C" w:rsidRDefault="004E59F7" w:rsidP="001B235E">
            <w:pPr>
              <w:jc w:val="center"/>
              <w:rPr>
                <w:lang w:val="en-GB"/>
              </w:rPr>
            </w:pPr>
            <w:r w:rsidRPr="003E258C">
              <w:rPr>
                <w:lang w:val="en-GB"/>
              </w:rPr>
              <w:t>&lt;0.001</w:t>
            </w:r>
          </w:p>
        </w:tc>
        <w:tc>
          <w:tcPr>
            <w:tcW w:w="1302" w:type="dxa"/>
            <w:vAlign w:val="bottom"/>
          </w:tcPr>
          <w:p w:rsidR="004E59F7" w:rsidRPr="003E258C" w:rsidRDefault="004E59F7" w:rsidP="001B235E">
            <w:pPr>
              <w:jc w:val="center"/>
              <w:rPr>
                <w:rFonts w:ascii="Arial" w:hAnsi="Arial" w:cs="Arial"/>
                <w:sz w:val="20"/>
                <w:szCs w:val="20"/>
                <w:lang w:val="en-GB"/>
              </w:rPr>
            </w:pPr>
            <w:r w:rsidRPr="003E258C">
              <w:rPr>
                <w:rFonts w:ascii="Arial" w:hAnsi="Arial" w:cs="Arial"/>
                <w:sz w:val="20"/>
                <w:szCs w:val="20"/>
                <w:lang w:val="en-GB"/>
              </w:rPr>
              <w:t>0.32</w:t>
            </w:r>
          </w:p>
        </w:tc>
        <w:tc>
          <w:tcPr>
            <w:tcW w:w="1242" w:type="dxa"/>
          </w:tcPr>
          <w:p w:rsidR="004E59F7" w:rsidRPr="003E258C" w:rsidRDefault="004E59F7" w:rsidP="001B235E">
            <w:pPr>
              <w:jc w:val="center"/>
              <w:rPr>
                <w:lang w:val="en-GB"/>
              </w:rPr>
            </w:pPr>
            <w:r w:rsidRPr="003E258C">
              <w:rPr>
                <w:rFonts w:ascii="Arial" w:hAnsi="Arial" w:cs="Arial"/>
                <w:sz w:val="20"/>
                <w:szCs w:val="20"/>
                <w:lang w:val="en-GB"/>
              </w:rPr>
              <w:t>&lt;40</w:t>
            </w:r>
          </w:p>
        </w:tc>
        <w:tc>
          <w:tcPr>
            <w:tcW w:w="1617" w:type="dxa"/>
            <w:gridSpan w:val="2"/>
          </w:tcPr>
          <w:p w:rsidR="004E59F7" w:rsidRPr="003E258C" w:rsidRDefault="004E59F7" w:rsidP="001B235E">
            <w:pPr>
              <w:jc w:val="center"/>
              <w:rPr>
                <w:lang w:val="en-GB"/>
              </w:rPr>
            </w:pPr>
            <w:r w:rsidRPr="003E258C">
              <w:rPr>
                <w:rFonts w:ascii="Arial" w:hAnsi="Arial" w:cs="Arial"/>
                <w:sz w:val="20"/>
                <w:szCs w:val="20"/>
                <w:lang w:val="en-GB"/>
              </w:rPr>
              <w:t>&lt;40</w:t>
            </w:r>
          </w:p>
        </w:tc>
        <w:tc>
          <w:tcPr>
            <w:tcW w:w="1119" w:type="dxa"/>
          </w:tcPr>
          <w:p w:rsidR="004E59F7" w:rsidRPr="003E258C" w:rsidRDefault="004E59F7" w:rsidP="001B235E">
            <w:pPr>
              <w:jc w:val="center"/>
              <w:rPr>
                <w:lang w:val="en-GB"/>
              </w:rPr>
            </w:pPr>
            <w:r w:rsidRPr="003E258C">
              <w:rPr>
                <w:lang w:val="en-GB"/>
              </w:rPr>
              <w:t>&lt;0.001</w:t>
            </w:r>
          </w:p>
        </w:tc>
        <w:tc>
          <w:tcPr>
            <w:tcW w:w="1367" w:type="dxa"/>
          </w:tcPr>
          <w:p w:rsidR="004E59F7" w:rsidRPr="003E258C" w:rsidRDefault="004E59F7" w:rsidP="001B235E">
            <w:pPr>
              <w:jc w:val="center"/>
              <w:rPr>
                <w:lang w:val="en-GB"/>
              </w:rPr>
            </w:pPr>
            <w:r w:rsidRPr="003E258C">
              <w:rPr>
                <w:lang w:val="en-GB"/>
              </w:rPr>
              <w:t>0.25</w:t>
            </w:r>
          </w:p>
        </w:tc>
        <w:tc>
          <w:tcPr>
            <w:tcW w:w="1243" w:type="dxa"/>
          </w:tcPr>
          <w:p w:rsidR="004E59F7" w:rsidRPr="003E258C" w:rsidRDefault="004E59F7" w:rsidP="001B235E">
            <w:pPr>
              <w:jc w:val="center"/>
              <w:rPr>
                <w:lang w:val="en-GB"/>
              </w:rPr>
            </w:pPr>
            <w:r w:rsidRPr="003E258C">
              <w:rPr>
                <w:lang w:val="en-GB"/>
              </w:rPr>
              <w:t>&lt;40</w:t>
            </w:r>
          </w:p>
        </w:tc>
        <w:tc>
          <w:tcPr>
            <w:tcW w:w="1766" w:type="dxa"/>
            <w:gridSpan w:val="2"/>
          </w:tcPr>
          <w:p w:rsidR="004E59F7" w:rsidRPr="003E258C" w:rsidRDefault="004E59F7" w:rsidP="001B235E">
            <w:pPr>
              <w:jc w:val="center"/>
              <w:rPr>
                <w:lang w:val="en-GB"/>
              </w:rPr>
            </w:pPr>
            <w:r w:rsidRPr="003E258C">
              <w:rPr>
                <w:lang w:val="en-GB"/>
              </w:rPr>
              <w:t>&lt;40</w:t>
            </w:r>
          </w:p>
        </w:tc>
      </w:tr>
      <w:tr w:rsidR="004E59F7" w:rsidRPr="003E258C" w:rsidTr="004E59F7">
        <w:trPr>
          <w:trHeight w:val="272"/>
        </w:trPr>
        <w:tc>
          <w:tcPr>
            <w:tcW w:w="1308" w:type="dxa"/>
          </w:tcPr>
          <w:p w:rsidR="004E59F7" w:rsidRPr="003E258C" w:rsidRDefault="004E59F7" w:rsidP="00C650D8">
            <w:pPr>
              <w:jc w:val="center"/>
              <w:rPr>
                <w:rFonts w:ascii="Arial" w:hAnsi="Arial" w:cs="Arial"/>
                <w:sz w:val="20"/>
                <w:szCs w:val="20"/>
                <w:lang w:val="en-GB"/>
              </w:rPr>
            </w:pPr>
            <w:r w:rsidRPr="003E258C">
              <w:rPr>
                <w:rFonts w:ascii="Arial" w:hAnsi="Arial" w:cs="Arial"/>
                <w:sz w:val="20"/>
                <w:szCs w:val="20"/>
                <w:lang w:val="en-GB"/>
              </w:rPr>
              <w:t>5</w:t>
            </w:r>
          </w:p>
        </w:tc>
        <w:tc>
          <w:tcPr>
            <w:tcW w:w="862" w:type="dxa"/>
          </w:tcPr>
          <w:p w:rsidR="004E59F7" w:rsidRPr="003E258C" w:rsidRDefault="004E59F7" w:rsidP="001B235E">
            <w:pPr>
              <w:jc w:val="center"/>
              <w:rPr>
                <w:lang w:val="en-GB"/>
              </w:rPr>
            </w:pPr>
            <w:r w:rsidRPr="003E258C">
              <w:rPr>
                <w:lang w:val="en-GB"/>
              </w:rPr>
              <w:t>F</w:t>
            </w:r>
          </w:p>
        </w:tc>
        <w:tc>
          <w:tcPr>
            <w:tcW w:w="1134" w:type="dxa"/>
          </w:tcPr>
          <w:p w:rsidR="004E59F7" w:rsidRPr="003E258C" w:rsidRDefault="004E59F7" w:rsidP="001B235E">
            <w:pPr>
              <w:jc w:val="center"/>
              <w:rPr>
                <w:lang w:val="en-GB"/>
              </w:rPr>
            </w:pPr>
            <w:r w:rsidRPr="003E258C">
              <w:rPr>
                <w:lang w:val="en-GB"/>
              </w:rPr>
              <w:t>&lt;0.001</w:t>
            </w:r>
          </w:p>
        </w:tc>
        <w:tc>
          <w:tcPr>
            <w:tcW w:w="1302" w:type="dxa"/>
            <w:vAlign w:val="bottom"/>
          </w:tcPr>
          <w:p w:rsidR="004E59F7" w:rsidRPr="003E258C" w:rsidRDefault="004E59F7" w:rsidP="001B235E">
            <w:pPr>
              <w:jc w:val="center"/>
              <w:rPr>
                <w:rFonts w:ascii="Arial" w:hAnsi="Arial" w:cs="Arial"/>
                <w:sz w:val="20"/>
                <w:szCs w:val="20"/>
                <w:lang w:val="en-GB"/>
              </w:rPr>
            </w:pPr>
            <w:r w:rsidRPr="003E258C">
              <w:rPr>
                <w:rFonts w:ascii="Arial" w:hAnsi="Arial" w:cs="Arial"/>
                <w:sz w:val="20"/>
                <w:szCs w:val="20"/>
                <w:lang w:val="en-GB"/>
              </w:rPr>
              <w:t>0.23</w:t>
            </w:r>
          </w:p>
        </w:tc>
        <w:tc>
          <w:tcPr>
            <w:tcW w:w="1242" w:type="dxa"/>
          </w:tcPr>
          <w:p w:rsidR="004E59F7" w:rsidRPr="003E258C" w:rsidRDefault="004E59F7" w:rsidP="001B235E">
            <w:pPr>
              <w:jc w:val="center"/>
              <w:rPr>
                <w:lang w:val="en-GB"/>
              </w:rPr>
            </w:pPr>
            <w:r w:rsidRPr="003E258C">
              <w:rPr>
                <w:rFonts w:ascii="Arial" w:hAnsi="Arial" w:cs="Arial"/>
                <w:sz w:val="20"/>
                <w:szCs w:val="20"/>
                <w:lang w:val="en-GB"/>
              </w:rPr>
              <w:t>&lt;40</w:t>
            </w:r>
          </w:p>
        </w:tc>
        <w:tc>
          <w:tcPr>
            <w:tcW w:w="1617" w:type="dxa"/>
            <w:gridSpan w:val="2"/>
          </w:tcPr>
          <w:p w:rsidR="004E59F7" w:rsidRPr="003E258C" w:rsidRDefault="004E59F7" w:rsidP="001B235E">
            <w:pPr>
              <w:jc w:val="center"/>
              <w:rPr>
                <w:lang w:val="en-GB"/>
              </w:rPr>
            </w:pPr>
            <w:r w:rsidRPr="003E258C">
              <w:rPr>
                <w:rFonts w:ascii="Arial" w:hAnsi="Arial" w:cs="Arial"/>
                <w:sz w:val="20"/>
                <w:szCs w:val="20"/>
                <w:lang w:val="en-GB"/>
              </w:rPr>
              <w:t>&lt;40</w:t>
            </w:r>
          </w:p>
        </w:tc>
        <w:tc>
          <w:tcPr>
            <w:tcW w:w="1119" w:type="dxa"/>
          </w:tcPr>
          <w:p w:rsidR="004E59F7" w:rsidRPr="003E258C" w:rsidRDefault="004E59F7" w:rsidP="001B235E">
            <w:pPr>
              <w:jc w:val="center"/>
              <w:rPr>
                <w:lang w:val="en-GB"/>
              </w:rPr>
            </w:pPr>
            <w:r w:rsidRPr="003E258C">
              <w:rPr>
                <w:lang w:val="en-GB"/>
              </w:rPr>
              <w:t>&lt;0.001</w:t>
            </w:r>
          </w:p>
        </w:tc>
        <w:tc>
          <w:tcPr>
            <w:tcW w:w="1367" w:type="dxa"/>
          </w:tcPr>
          <w:p w:rsidR="004E59F7" w:rsidRPr="003E258C" w:rsidRDefault="004E59F7" w:rsidP="001B235E">
            <w:pPr>
              <w:jc w:val="center"/>
              <w:rPr>
                <w:lang w:val="en-GB"/>
              </w:rPr>
            </w:pPr>
            <w:r w:rsidRPr="003E258C">
              <w:rPr>
                <w:lang w:val="en-GB"/>
              </w:rPr>
              <w:t>0.26</w:t>
            </w:r>
          </w:p>
        </w:tc>
        <w:tc>
          <w:tcPr>
            <w:tcW w:w="1243" w:type="dxa"/>
          </w:tcPr>
          <w:p w:rsidR="004E59F7" w:rsidRPr="003E258C" w:rsidRDefault="004E59F7" w:rsidP="001B235E">
            <w:pPr>
              <w:jc w:val="center"/>
              <w:rPr>
                <w:lang w:val="en-GB"/>
              </w:rPr>
            </w:pPr>
            <w:r w:rsidRPr="003E258C">
              <w:rPr>
                <w:lang w:val="en-GB"/>
              </w:rPr>
              <w:t>&lt;40</w:t>
            </w:r>
          </w:p>
        </w:tc>
        <w:tc>
          <w:tcPr>
            <w:tcW w:w="1766" w:type="dxa"/>
            <w:gridSpan w:val="2"/>
          </w:tcPr>
          <w:p w:rsidR="004E59F7" w:rsidRPr="003E258C" w:rsidRDefault="004E59F7" w:rsidP="001B235E">
            <w:pPr>
              <w:jc w:val="center"/>
              <w:rPr>
                <w:lang w:val="en-GB"/>
              </w:rPr>
            </w:pPr>
            <w:r w:rsidRPr="003E258C">
              <w:rPr>
                <w:lang w:val="en-GB"/>
              </w:rPr>
              <w:t>&lt;40</w:t>
            </w:r>
          </w:p>
        </w:tc>
      </w:tr>
      <w:tr w:rsidR="004E59F7" w:rsidRPr="003E258C" w:rsidTr="004E59F7">
        <w:trPr>
          <w:trHeight w:val="272"/>
        </w:trPr>
        <w:tc>
          <w:tcPr>
            <w:tcW w:w="1308" w:type="dxa"/>
          </w:tcPr>
          <w:p w:rsidR="004E59F7" w:rsidRPr="003E258C" w:rsidRDefault="004E59F7" w:rsidP="00C650D8">
            <w:pPr>
              <w:jc w:val="center"/>
              <w:rPr>
                <w:rFonts w:ascii="Arial" w:hAnsi="Arial" w:cs="Arial"/>
                <w:sz w:val="20"/>
                <w:szCs w:val="20"/>
                <w:lang w:val="en-GB"/>
              </w:rPr>
            </w:pPr>
            <w:r w:rsidRPr="003E258C">
              <w:rPr>
                <w:rFonts w:ascii="Arial" w:hAnsi="Arial" w:cs="Arial"/>
                <w:sz w:val="20"/>
                <w:szCs w:val="20"/>
                <w:lang w:val="en-GB"/>
              </w:rPr>
              <w:t>6</w:t>
            </w:r>
          </w:p>
        </w:tc>
        <w:tc>
          <w:tcPr>
            <w:tcW w:w="862" w:type="dxa"/>
          </w:tcPr>
          <w:p w:rsidR="004E59F7" w:rsidRPr="003E258C" w:rsidRDefault="004E59F7" w:rsidP="001B235E">
            <w:pPr>
              <w:jc w:val="center"/>
              <w:rPr>
                <w:lang w:val="en-GB"/>
              </w:rPr>
            </w:pPr>
            <w:r w:rsidRPr="003E258C">
              <w:rPr>
                <w:lang w:val="en-GB"/>
              </w:rPr>
              <w:t>F</w:t>
            </w:r>
          </w:p>
        </w:tc>
        <w:tc>
          <w:tcPr>
            <w:tcW w:w="1134" w:type="dxa"/>
          </w:tcPr>
          <w:p w:rsidR="004E59F7" w:rsidRPr="003E258C" w:rsidRDefault="004E59F7" w:rsidP="001B235E">
            <w:pPr>
              <w:jc w:val="center"/>
              <w:rPr>
                <w:lang w:val="en-GB"/>
              </w:rPr>
            </w:pPr>
            <w:r w:rsidRPr="003E258C">
              <w:rPr>
                <w:lang w:val="en-GB"/>
              </w:rPr>
              <w:t>&lt;0.001</w:t>
            </w:r>
          </w:p>
        </w:tc>
        <w:tc>
          <w:tcPr>
            <w:tcW w:w="1302" w:type="dxa"/>
            <w:vAlign w:val="bottom"/>
          </w:tcPr>
          <w:p w:rsidR="004E59F7" w:rsidRPr="003E258C" w:rsidRDefault="004E59F7" w:rsidP="001B235E">
            <w:pPr>
              <w:jc w:val="center"/>
              <w:rPr>
                <w:rFonts w:ascii="Arial" w:hAnsi="Arial" w:cs="Arial"/>
                <w:sz w:val="20"/>
                <w:szCs w:val="20"/>
                <w:lang w:val="en-GB"/>
              </w:rPr>
            </w:pPr>
            <w:r w:rsidRPr="003E258C">
              <w:rPr>
                <w:rFonts w:ascii="Arial" w:hAnsi="Arial" w:cs="Arial"/>
                <w:sz w:val="20"/>
                <w:szCs w:val="20"/>
                <w:lang w:val="en-GB"/>
              </w:rPr>
              <w:t>0.36</w:t>
            </w:r>
          </w:p>
        </w:tc>
        <w:tc>
          <w:tcPr>
            <w:tcW w:w="1242" w:type="dxa"/>
          </w:tcPr>
          <w:p w:rsidR="004E59F7" w:rsidRPr="003E258C" w:rsidRDefault="004E59F7" w:rsidP="001B235E">
            <w:pPr>
              <w:jc w:val="center"/>
              <w:rPr>
                <w:lang w:val="en-GB"/>
              </w:rPr>
            </w:pPr>
            <w:r w:rsidRPr="003E258C">
              <w:rPr>
                <w:rFonts w:ascii="Arial" w:hAnsi="Arial" w:cs="Arial"/>
                <w:sz w:val="20"/>
                <w:szCs w:val="20"/>
                <w:lang w:val="en-GB"/>
              </w:rPr>
              <w:t>&lt;40</w:t>
            </w:r>
          </w:p>
        </w:tc>
        <w:tc>
          <w:tcPr>
            <w:tcW w:w="1617" w:type="dxa"/>
            <w:gridSpan w:val="2"/>
          </w:tcPr>
          <w:p w:rsidR="004E59F7" w:rsidRPr="003E258C" w:rsidRDefault="004E59F7" w:rsidP="001B235E">
            <w:pPr>
              <w:jc w:val="center"/>
              <w:rPr>
                <w:lang w:val="en-GB"/>
              </w:rPr>
            </w:pPr>
            <w:r w:rsidRPr="003E258C">
              <w:rPr>
                <w:rFonts w:ascii="Arial" w:hAnsi="Arial" w:cs="Arial"/>
                <w:sz w:val="20"/>
                <w:szCs w:val="20"/>
                <w:lang w:val="en-GB"/>
              </w:rPr>
              <w:t>&lt;40</w:t>
            </w:r>
          </w:p>
        </w:tc>
        <w:tc>
          <w:tcPr>
            <w:tcW w:w="1119" w:type="dxa"/>
          </w:tcPr>
          <w:p w:rsidR="004E59F7" w:rsidRPr="003E258C" w:rsidRDefault="004E59F7" w:rsidP="001B235E">
            <w:pPr>
              <w:jc w:val="center"/>
              <w:rPr>
                <w:lang w:val="en-GB"/>
              </w:rPr>
            </w:pPr>
            <w:r w:rsidRPr="003E258C">
              <w:rPr>
                <w:lang w:val="en-GB"/>
              </w:rPr>
              <w:t>&lt;0.001</w:t>
            </w:r>
          </w:p>
        </w:tc>
        <w:tc>
          <w:tcPr>
            <w:tcW w:w="1367" w:type="dxa"/>
          </w:tcPr>
          <w:p w:rsidR="004E59F7" w:rsidRPr="003E258C" w:rsidRDefault="004E59F7" w:rsidP="001B235E">
            <w:pPr>
              <w:jc w:val="center"/>
              <w:rPr>
                <w:lang w:val="en-GB"/>
              </w:rPr>
            </w:pPr>
            <w:r w:rsidRPr="003E258C">
              <w:rPr>
                <w:lang w:val="en-GB"/>
              </w:rPr>
              <w:t>0.37</w:t>
            </w:r>
          </w:p>
        </w:tc>
        <w:tc>
          <w:tcPr>
            <w:tcW w:w="1243" w:type="dxa"/>
          </w:tcPr>
          <w:p w:rsidR="004E59F7" w:rsidRPr="003E258C" w:rsidRDefault="004E59F7" w:rsidP="001B235E">
            <w:pPr>
              <w:jc w:val="center"/>
              <w:rPr>
                <w:lang w:val="en-GB"/>
              </w:rPr>
            </w:pPr>
            <w:r w:rsidRPr="003E258C">
              <w:rPr>
                <w:lang w:val="en-GB"/>
              </w:rPr>
              <w:t>&lt;40</w:t>
            </w:r>
          </w:p>
        </w:tc>
        <w:tc>
          <w:tcPr>
            <w:tcW w:w="1766" w:type="dxa"/>
            <w:gridSpan w:val="2"/>
          </w:tcPr>
          <w:p w:rsidR="004E59F7" w:rsidRPr="003E258C" w:rsidRDefault="004E59F7" w:rsidP="001B235E">
            <w:pPr>
              <w:jc w:val="center"/>
              <w:rPr>
                <w:lang w:val="en-GB"/>
              </w:rPr>
            </w:pPr>
            <w:r w:rsidRPr="003E258C">
              <w:rPr>
                <w:lang w:val="en-GB"/>
              </w:rPr>
              <w:t>&lt;40</w:t>
            </w:r>
          </w:p>
        </w:tc>
      </w:tr>
      <w:tr w:rsidR="004E59F7" w:rsidRPr="003E258C" w:rsidTr="004E59F7">
        <w:trPr>
          <w:trHeight w:val="272"/>
        </w:trPr>
        <w:tc>
          <w:tcPr>
            <w:tcW w:w="1308" w:type="dxa"/>
          </w:tcPr>
          <w:p w:rsidR="004E59F7" w:rsidRPr="003E258C" w:rsidRDefault="004E59F7" w:rsidP="00C650D8">
            <w:pPr>
              <w:jc w:val="center"/>
              <w:rPr>
                <w:rFonts w:ascii="Arial" w:hAnsi="Arial" w:cs="Arial"/>
                <w:sz w:val="20"/>
                <w:szCs w:val="20"/>
                <w:lang w:val="en-GB"/>
              </w:rPr>
            </w:pPr>
            <w:r w:rsidRPr="003E258C">
              <w:rPr>
                <w:rFonts w:ascii="Arial" w:hAnsi="Arial" w:cs="Arial"/>
                <w:sz w:val="20"/>
                <w:szCs w:val="20"/>
                <w:lang w:val="en-GB"/>
              </w:rPr>
              <w:t>7</w:t>
            </w:r>
          </w:p>
        </w:tc>
        <w:tc>
          <w:tcPr>
            <w:tcW w:w="862" w:type="dxa"/>
          </w:tcPr>
          <w:p w:rsidR="004E59F7" w:rsidRPr="003E258C" w:rsidRDefault="004E59F7" w:rsidP="001B235E">
            <w:pPr>
              <w:jc w:val="center"/>
              <w:rPr>
                <w:lang w:val="en-GB"/>
              </w:rPr>
            </w:pPr>
            <w:r w:rsidRPr="003E258C">
              <w:rPr>
                <w:lang w:val="en-GB"/>
              </w:rPr>
              <w:t>M</w:t>
            </w:r>
          </w:p>
        </w:tc>
        <w:tc>
          <w:tcPr>
            <w:tcW w:w="1134" w:type="dxa"/>
          </w:tcPr>
          <w:p w:rsidR="004E59F7" w:rsidRPr="003E258C" w:rsidRDefault="004E59F7" w:rsidP="001B235E">
            <w:pPr>
              <w:jc w:val="center"/>
              <w:rPr>
                <w:lang w:val="en-GB"/>
              </w:rPr>
            </w:pPr>
            <w:r w:rsidRPr="003E258C">
              <w:rPr>
                <w:lang w:val="en-GB"/>
              </w:rPr>
              <w:t>&lt;0.001</w:t>
            </w:r>
          </w:p>
        </w:tc>
        <w:tc>
          <w:tcPr>
            <w:tcW w:w="1302" w:type="dxa"/>
            <w:vAlign w:val="bottom"/>
          </w:tcPr>
          <w:p w:rsidR="004E59F7" w:rsidRPr="003E258C" w:rsidRDefault="004E59F7" w:rsidP="001B235E">
            <w:pPr>
              <w:jc w:val="center"/>
              <w:rPr>
                <w:rFonts w:ascii="Arial" w:hAnsi="Arial" w:cs="Arial"/>
                <w:sz w:val="20"/>
                <w:szCs w:val="20"/>
                <w:lang w:val="en-GB"/>
              </w:rPr>
            </w:pPr>
            <w:r w:rsidRPr="003E258C">
              <w:rPr>
                <w:rFonts w:ascii="Arial" w:hAnsi="Arial" w:cs="Arial"/>
                <w:sz w:val="20"/>
                <w:szCs w:val="20"/>
                <w:lang w:val="en-GB"/>
              </w:rPr>
              <w:t>0.42</w:t>
            </w:r>
          </w:p>
        </w:tc>
        <w:tc>
          <w:tcPr>
            <w:tcW w:w="1242" w:type="dxa"/>
          </w:tcPr>
          <w:p w:rsidR="004E59F7" w:rsidRPr="003E258C" w:rsidRDefault="004E59F7" w:rsidP="001B235E">
            <w:pPr>
              <w:jc w:val="center"/>
              <w:rPr>
                <w:lang w:val="en-GB"/>
              </w:rPr>
            </w:pPr>
            <w:r w:rsidRPr="003E258C">
              <w:rPr>
                <w:rFonts w:ascii="Arial" w:hAnsi="Arial" w:cs="Arial"/>
                <w:sz w:val="20"/>
                <w:szCs w:val="20"/>
                <w:lang w:val="en-GB"/>
              </w:rPr>
              <w:t>&lt;40</w:t>
            </w:r>
          </w:p>
        </w:tc>
        <w:tc>
          <w:tcPr>
            <w:tcW w:w="1617" w:type="dxa"/>
            <w:gridSpan w:val="2"/>
          </w:tcPr>
          <w:p w:rsidR="004E59F7" w:rsidRPr="003E258C" w:rsidRDefault="004E59F7" w:rsidP="001B235E">
            <w:pPr>
              <w:jc w:val="center"/>
              <w:rPr>
                <w:lang w:val="en-GB"/>
              </w:rPr>
            </w:pPr>
            <w:r w:rsidRPr="003E258C">
              <w:rPr>
                <w:rFonts w:ascii="Arial" w:hAnsi="Arial" w:cs="Arial"/>
                <w:sz w:val="20"/>
                <w:szCs w:val="20"/>
                <w:lang w:val="en-GB"/>
              </w:rPr>
              <w:t>&lt;40</w:t>
            </w:r>
          </w:p>
        </w:tc>
        <w:tc>
          <w:tcPr>
            <w:tcW w:w="1119" w:type="dxa"/>
          </w:tcPr>
          <w:p w:rsidR="004E59F7" w:rsidRPr="003E258C" w:rsidRDefault="004E59F7" w:rsidP="001B235E">
            <w:pPr>
              <w:jc w:val="center"/>
              <w:rPr>
                <w:lang w:val="en-GB"/>
              </w:rPr>
            </w:pPr>
            <w:r w:rsidRPr="003E258C">
              <w:rPr>
                <w:lang w:val="en-GB"/>
              </w:rPr>
              <w:t>&lt;0.001</w:t>
            </w:r>
          </w:p>
        </w:tc>
        <w:tc>
          <w:tcPr>
            <w:tcW w:w="1367" w:type="dxa"/>
          </w:tcPr>
          <w:p w:rsidR="004E59F7" w:rsidRPr="003E258C" w:rsidRDefault="004E59F7" w:rsidP="001B235E">
            <w:pPr>
              <w:jc w:val="center"/>
              <w:rPr>
                <w:lang w:val="en-GB"/>
              </w:rPr>
            </w:pPr>
            <w:r w:rsidRPr="003E258C">
              <w:rPr>
                <w:lang w:val="en-GB"/>
              </w:rPr>
              <w:t>0.41</w:t>
            </w:r>
          </w:p>
        </w:tc>
        <w:tc>
          <w:tcPr>
            <w:tcW w:w="1243" w:type="dxa"/>
          </w:tcPr>
          <w:p w:rsidR="004E59F7" w:rsidRPr="003E258C" w:rsidRDefault="004E59F7" w:rsidP="001B235E">
            <w:pPr>
              <w:jc w:val="center"/>
              <w:rPr>
                <w:lang w:val="en-GB"/>
              </w:rPr>
            </w:pPr>
            <w:r w:rsidRPr="003E258C">
              <w:rPr>
                <w:lang w:val="en-GB"/>
              </w:rPr>
              <w:t>&lt;40</w:t>
            </w:r>
          </w:p>
        </w:tc>
        <w:tc>
          <w:tcPr>
            <w:tcW w:w="1766" w:type="dxa"/>
            <w:gridSpan w:val="2"/>
          </w:tcPr>
          <w:p w:rsidR="004E59F7" w:rsidRPr="003E258C" w:rsidRDefault="004E59F7" w:rsidP="001B235E">
            <w:pPr>
              <w:jc w:val="center"/>
              <w:rPr>
                <w:lang w:val="en-GB"/>
              </w:rPr>
            </w:pPr>
            <w:r w:rsidRPr="003E258C">
              <w:rPr>
                <w:lang w:val="en-GB"/>
              </w:rPr>
              <w:t>&lt;40</w:t>
            </w:r>
          </w:p>
        </w:tc>
      </w:tr>
      <w:tr w:rsidR="004E59F7" w:rsidRPr="003E258C" w:rsidTr="004E59F7">
        <w:trPr>
          <w:trHeight w:val="272"/>
        </w:trPr>
        <w:tc>
          <w:tcPr>
            <w:tcW w:w="1308" w:type="dxa"/>
          </w:tcPr>
          <w:p w:rsidR="004E59F7" w:rsidRPr="003E258C" w:rsidRDefault="004E59F7" w:rsidP="00C650D8">
            <w:pPr>
              <w:jc w:val="center"/>
              <w:rPr>
                <w:rFonts w:ascii="Arial" w:hAnsi="Arial" w:cs="Arial"/>
                <w:sz w:val="20"/>
                <w:szCs w:val="20"/>
                <w:lang w:val="en-GB"/>
              </w:rPr>
            </w:pPr>
            <w:r w:rsidRPr="003E258C">
              <w:rPr>
                <w:rFonts w:ascii="Arial" w:hAnsi="Arial" w:cs="Arial"/>
                <w:sz w:val="20"/>
                <w:szCs w:val="20"/>
                <w:lang w:val="en-GB"/>
              </w:rPr>
              <w:t>8</w:t>
            </w:r>
          </w:p>
        </w:tc>
        <w:tc>
          <w:tcPr>
            <w:tcW w:w="862" w:type="dxa"/>
          </w:tcPr>
          <w:p w:rsidR="004E59F7" w:rsidRPr="003E258C" w:rsidRDefault="004E59F7" w:rsidP="001B235E">
            <w:pPr>
              <w:jc w:val="center"/>
              <w:rPr>
                <w:lang w:val="en-GB"/>
              </w:rPr>
            </w:pPr>
            <w:r w:rsidRPr="003E258C">
              <w:rPr>
                <w:lang w:val="en-GB"/>
              </w:rPr>
              <w:t>F</w:t>
            </w:r>
          </w:p>
        </w:tc>
        <w:tc>
          <w:tcPr>
            <w:tcW w:w="1134" w:type="dxa"/>
          </w:tcPr>
          <w:p w:rsidR="004E59F7" w:rsidRPr="003E258C" w:rsidRDefault="004E59F7" w:rsidP="001B235E">
            <w:pPr>
              <w:jc w:val="center"/>
              <w:rPr>
                <w:lang w:val="en-GB"/>
              </w:rPr>
            </w:pPr>
            <w:r w:rsidRPr="003E258C">
              <w:rPr>
                <w:lang w:val="en-GB"/>
              </w:rPr>
              <w:t>&lt;0.001</w:t>
            </w:r>
          </w:p>
        </w:tc>
        <w:tc>
          <w:tcPr>
            <w:tcW w:w="1302" w:type="dxa"/>
            <w:vAlign w:val="bottom"/>
          </w:tcPr>
          <w:p w:rsidR="004E59F7" w:rsidRPr="003E258C" w:rsidRDefault="004E59F7" w:rsidP="001B235E">
            <w:pPr>
              <w:jc w:val="center"/>
              <w:rPr>
                <w:rFonts w:ascii="Arial" w:hAnsi="Arial" w:cs="Arial"/>
                <w:sz w:val="20"/>
                <w:szCs w:val="20"/>
                <w:lang w:val="en-GB"/>
              </w:rPr>
            </w:pPr>
            <w:r w:rsidRPr="003E258C">
              <w:rPr>
                <w:rFonts w:ascii="Arial" w:hAnsi="Arial" w:cs="Arial"/>
                <w:sz w:val="20"/>
                <w:szCs w:val="20"/>
                <w:lang w:val="en-GB"/>
              </w:rPr>
              <w:t>0.29</w:t>
            </w:r>
          </w:p>
        </w:tc>
        <w:tc>
          <w:tcPr>
            <w:tcW w:w="1242" w:type="dxa"/>
          </w:tcPr>
          <w:p w:rsidR="004E59F7" w:rsidRPr="003E258C" w:rsidRDefault="004E59F7" w:rsidP="001B235E">
            <w:pPr>
              <w:jc w:val="center"/>
              <w:rPr>
                <w:lang w:val="en-GB"/>
              </w:rPr>
            </w:pPr>
            <w:r w:rsidRPr="003E258C">
              <w:rPr>
                <w:rFonts w:ascii="Arial" w:hAnsi="Arial" w:cs="Arial"/>
                <w:sz w:val="20"/>
                <w:szCs w:val="20"/>
                <w:lang w:val="en-GB"/>
              </w:rPr>
              <w:t>&lt;40</w:t>
            </w:r>
          </w:p>
        </w:tc>
        <w:tc>
          <w:tcPr>
            <w:tcW w:w="1617" w:type="dxa"/>
            <w:gridSpan w:val="2"/>
          </w:tcPr>
          <w:p w:rsidR="004E59F7" w:rsidRPr="003E258C" w:rsidRDefault="004E59F7" w:rsidP="001B235E">
            <w:pPr>
              <w:jc w:val="center"/>
              <w:rPr>
                <w:lang w:val="en-GB"/>
              </w:rPr>
            </w:pPr>
            <w:r w:rsidRPr="003E258C">
              <w:rPr>
                <w:rFonts w:ascii="Arial" w:hAnsi="Arial" w:cs="Arial"/>
                <w:sz w:val="20"/>
                <w:szCs w:val="20"/>
                <w:lang w:val="en-GB"/>
              </w:rPr>
              <w:t>&lt;40</w:t>
            </w:r>
          </w:p>
        </w:tc>
        <w:tc>
          <w:tcPr>
            <w:tcW w:w="1119" w:type="dxa"/>
          </w:tcPr>
          <w:p w:rsidR="004E59F7" w:rsidRPr="003E258C" w:rsidRDefault="004E59F7" w:rsidP="001B235E">
            <w:pPr>
              <w:jc w:val="center"/>
              <w:rPr>
                <w:lang w:val="en-GB"/>
              </w:rPr>
            </w:pPr>
            <w:r w:rsidRPr="003E258C">
              <w:rPr>
                <w:lang w:val="en-GB"/>
              </w:rPr>
              <w:t>0.008</w:t>
            </w:r>
          </w:p>
        </w:tc>
        <w:tc>
          <w:tcPr>
            <w:tcW w:w="1367" w:type="dxa"/>
          </w:tcPr>
          <w:p w:rsidR="004E59F7" w:rsidRPr="003E258C" w:rsidRDefault="004E59F7" w:rsidP="001B235E">
            <w:pPr>
              <w:jc w:val="center"/>
              <w:rPr>
                <w:lang w:val="en-GB"/>
              </w:rPr>
            </w:pPr>
            <w:r w:rsidRPr="003E258C">
              <w:rPr>
                <w:lang w:val="en-GB"/>
              </w:rPr>
              <w:t>0.26</w:t>
            </w:r>
          </w:p>
        </w:tc>
        <w:tc>
          <w:tcPr>
            <w:tcW w:w="1243" w:type="dxa"/>
          </w:tcPr>
          <w:p w:rsidR="004E59F7" w:rsidRPr="003E258C" w:rsidRDefault="004E59F7" w:rsidP="001B235E">
            <w:pPr>
              <w:jc w:val="center"/>
              <w:rPr>
                <w:lang w:val="en-GB"/>
              </w:rPr>
            </w:pPr>
            <w:r w:rsidRPr="003E258C">
              <w:rPr>
                <w:lang w:val="en-GB"/>
              </w:rPr>
              <w:t>1,233</w:t>
            </w:r>
          </w:p>
        </w:tc>
        <w:tc>
          <w:tcPr>
            <w:tcW w:w="1766" w:type="dxa"/>
            <w:gridSpan w:val="2"/>
          </w:tcPr>
          <w:p w:rsidR="004E59F7" w:rsidRPr="003E258C" w:rsidRDefault="004E59F7" w:rsidP="001B235E">
            <w:pPr>
              <w:jc w:val="center"/>
              <w:rPr>
                <w:lang w:val="en-GB"/>
              </w:rPr>
            </w:pPr>
            <w:r w:rsidRPr="003E258C">
              <w:rPr>
                <w:rFonts w:ascii="Arial" w:hAnsi="Arial" w:cs="Arial"/>
                <w:kern w:val="28"/>
                <w:lang w:val="en-GB"/>
              </w:rPr>
              <w:t>2,658</w:t>
            </w:r>
          </w:p>
        </w:tc>
      </w:tr>
      <w:tr w:rsidR="004E59F7" w:rsidRPr="003E258C" w:rsidTr="004E59F7">
        <w:trPr>
          <w:trHeight w:val="254"/>
        </w:trPr>
        <w:tc>
          <w:tcPr>
            <w:tcW w:w="1308" w:type="dxa"/>
          </w:tcPr>
          <w:p w:rsidR="004E59F7" w:rsidRPr="003E258C" w:rsidRDefault="004E59F7" w:rsidP="00C650D8">
            <w:pPr>
              <w:jc w:val="center"/>
              <w:rPr>
                <w:rFonts w:ascii="Arial" w:hAnsi="Arial" w:cs="Arial"/>
                <w:sz w:val="20"/>
                <w:szCs w:val="20"/>
                <w:lang w:val="en-GB"/>
              </w:rPr>
            </w:pPr>
            <w:r w:rsidRPr="003E258C">
              <w:rPr>
                <w:rFonts w:ascii="Arial" w:hAnsi="Arial" w:cs="Arial"/>
                <w:sz w:val="20"/>
                <w:szCs w:val="20"/>
                <w:lang w:val="en-GB"/>
              </w:rPr>
              <w:t>9</w:t>
            </w:r>
          </w:p>
        </w:tc>
        <w:tc>
          <w:tcPr>
            <w:tcW w:w="862" w:type="dxa"/>
          </w:tcPr>
          <w:p w:rsidR="004E59F7" w:rsidRPr="003E258C" w:rsidRDefault="004E59F7" w:rsidP="001B235E">
            <w:pPr>
              <w:jc w:val="center"/>
              <w:rPr>
                <w:lang w:val="en-GB"/>
              </w:rPr>
            </w:pPr>
            <w:r w:rsidRPr="003E258C">
              <w:rPr>
                <w:lang w:val="en-GB"/>
              </w:rPr>
              <w:t>M</w:t>
            </w:r>
          </w:p>
        </w:tc>
        <w:tc>
          <w:tcPr>
            <w:tcW w:w="1134" w:type="dxa"/>
          </w:tcPr>
          <w:p w:rsidR="004E59F7" w:rsidRPr="003E258C" w:rsidRDefault="004E59F7" w:rsidP="001B235E">
            <w:pPr>
              <w:jc w:val="center"/>
              <w:rPr>
                <w:lang w:val="en-GB"/>
              </w:rPr>
            </w:pPr>
            <w:r w:rsidRPr="003E258C">
              <w:rPr>
                <w:lang w:val="en-GB"/>
              </w:rPr>
              <w:t>&lt;0.001</w:t>
            </w:r>
          </w:p>
        </w:tc>
        <w:tc>
          <w:tcPr>
            <w:tcW w:w="1302" w:type="dxa"/>
            <w:vAlign w:val="bottom"/>
          </w:tcPr>
          <w:p w:rsidR="004E59F7" w:rsidRPr="003E258C" w:rsidRDefault="004E59F7" w:rsidP="001B235E">
            <w:pPr>
              <w:jc w:val="center"/>
              <w:rPr>
                <w:rFonts w:ascii="Arial" w:hAnsi="Arial" w:cs="Arial"/>
                <w:sz w:val="20"/>
                <w:szCs w:val="20"/>
                <w:lang w:val="en-GB"/>
              </w:rPr>
            </w:pPr>
            <w:r w:rsidRPr="003E258C">
              <w:rPr>
                <w:rFonts w:ascii="Arial" w:hAnsi="Arial" w:cs="Arial"/>
                <w:sz w:val="20"/>
                <w:szCs w:val="20"/>
                <w:lang w:val="en-GB"/>
              </w:rPr>
              <w:t>0.33</w:t>
            </w:r>
          </w:p>
        </w:tc>
        <w:tc>
          <w:tcPr>
            <w:tcW w:w="1242" w:type="dxa"/>
          </w:tcPr>
          <w:p w:rsidR="004E59F7" w:rsidRPr="003E258C" w:rsidRDefault="004E59F7" w:rsidP="001B235E">
            <w:pPr>
              <w:jc w:val="center"/>
              <w:rPr>
                <w:lang w:val="en-GB"/>
              </w:rPr>
            </w:pPr>
            <w:r w:rsidRPr="003E258C">
              <w:rPr>
                <w:rFonts w:ascii="Arial" w:hAnsi="Arial" w:cs="Arial"/>
                <w:sz w:val="20"/>
                <w:szCs w:val="20"/>
                <w:lang w:val="en-GB"/>
              </w:rPr>
              <w:t>&lt;40</w:t>
            </w:r>
          </w:p>
        </w:tc>
        <w:tc>
          <w:tcPr>
            <w:tcW w:w="1617" w:type="dxa"/>
            <w:gridSpan w:val="2"/>
          </w:tcPr>
          <w:p w:rsidR="004E59F7" w:rsidRPr="003E258C" w:rsidRDefault="004E59F7" w:rsidP="001B235E">
            <w:pPr>
              <w:jc w:val="center"/>
              <w:rPr>
                <w:lang w:val="en-GB"/>
              </w:rPr>
            </w:pPr>
            <w:r w:rsidRPr="003E258C">
              <w:rPr>
                <w:rFonts w:ascii="Arial" w:hAnsi="Arial" w:cs="Arial"/>
                <w:sz w:val="20"/>
                <w:szCs w:val="20"/>
                <w:lang w:val="en-GB"/>
              </w:rPr>
              <w:t>&lt;40</w:t>
            </w:r>
          </w:p>
        </w:tc>
        <w:tc>
          <w:tcPr>
            <w:tcW w:w="1119" w:type="dxa"/>
          </w:tcPr>
          <w:p w:rsidR="004E59F7" w:rsidRPr="003E258C" w:rsidRDefault="004E59F7" w:rsidP="001B235E">
            <w:pPr>
              <w:jc w:val="center"/>
              <w:rPr>
                <w:lang w:val="en-GB"/>
              </w:rPr>
            </w:pPr>
            <w:r w:rsidRPr="003E258C">
              <w:rPr>
                <w:lang w:val="en-GB"/>
              </w:rPr>
              <w:t>&lt;0.001</w:t>
            </w:r>
          </w:p>
        </w:tc>
        <w:tc>
          <w:tcPr>
            <w:tcW w:w="1367" w:type="dxa"/>
          </w:tcPr>
          <w:p w:rsidR="004E59F7" w:rsidRPr="003E258C" w:rsidRDefault="004E59F7" w:rsidP="001B235E">
            <w:pPr>
              <w:jc w:val="center"/>
              <w:rPr>
                <w:lang w:val="en-GB"/>
              </w:rPr>
            </w:pPr>
            <w:r w:rsidRPr="003E258C">
              <w:rPr>
                <w:lang w:val="en-GB"/>
              </w:rPr>
              <w:t>0.38</w:t>
            </w:r>
          </w:p>
        </w:tc>
        <w:tc>
          <w:tcPr>
            <w:tcW w:w="1243" w:type="dxa"/>
          </w:tcPr>
          <w:p w:rsidR="004E59F7" w:rsidRPr="003E258C" w:rsidRDefault="004E59F7" w:rsidP="001B235E">
            <w:pPr>
              <w:jc w:val="center"/>
              <w:rPr>
                <w:lang w:val="en-GB"/>
              </w:rPr>
            </w:pPr>
            <w:r w:rsidRPr="003E258C">
              <w:rPr>
                <w:lang w:val="en-GB"/>
              </w:rPr>
              <w:t>&lt;40</w:t>
            </w:r>
          </w:p>
        </w:tc>
        <w:tc>
          <w:tcPr>
            <w:tcW w:w="1766" w:type="dxa"/>
            <w:gridSpan w:val="2"/>
          </w:tcPr>
          <w:p w:rsidR="004E59F7" w:rsidRPr="003E258C" w:rsidRDefault="004E59F7" w:rsidP="001B235E">
            <w:pPr>
              <w:jc w:val="center"/>
              <w:rPr>
                <w:lang w:val="en-GB"/>
              </w:rPr>
            </w:pPr>
            <w:r w:rsidRPr="003E258C">
              <w:rPr>
                <w:lang w:val="en-GB"/>
              </w:rPr>
              <w:t>&lt;40</w:t>
            </w:r>
          </w:p>
        </w:tc>
      </w:tr>
      <w:tr w:rsidR="004E59F7" w:rsidRPr="003E258C" w:rsidTr="004E59F7">
        <w:trPr>
          <w:trHeight w:val="343"/>
        </w:trPr>
        <w:tc>
          <w:tcPr>
            <w:tcW w:w="1308" w:type="dxa"/>
            <w:tcBorders>
              <w:bottom w:val="single" w:sz="4" w:space="0" w:color="auto"/>
            </w:tcBorders>
          </w:tcPr>
          <w:p w:rsidR="004E59F7" w:rsidRPr="003E258C" w:rsidRDefault="004E59F7" w:rsidP="00C650D8">
            <w:pPr>
              <w:jc w:val="center"/>
              <w:rPr>
                <w:rFonts w:ascii="Arial" w:hAnsi="Arial" w:cs="Arial"/>
                <w:sz w:val="20"/>
                <w:szCs w:val="20"/>
                <w:lang w:val="en-GB"/>
              </w:rPr>
            </w:pPr>
            <w:r w:rsidRPr="003E258C">
              <w:rPr>
                <w:rFonts w:ascii="Arial" w:hAnsi="Arial" w:cs="Arial"/>
                <w:sz w:val="20"/>
                <w:szCs w:val="20"/>
                <w:lang w:val="en-GB"/>
              </w:rPr>
              <w:t>10</w:t>
            </w:r>
          </w:p>
        </w:tc>
        <w:tc>
          <w:tcPr>
            <w:tcW w:w="862" w:type="dxa"/>
            <w:tcBorders>
              <w:bottom w:val="single" w:sz="4" w:space="0" w:color="auto"/>
            </w:tcBorders>
          </w:tcPr>
          <w:p w:rsidR="004E59F7" w:rsidRPr="003E258C" w:rsidRDefault="004E59F7" w:rsidP="001B235E">
            <w:pPr>
              <w:jc w:val="center"/>
              <w:rPr>
                <w:lang w:val="en-GB"/>
              </w:rPr>
            </w:pPr>
            <w:r w:rsidRPr="003E258C">
              <w:rPr>
                <w:lang w:val="en-GB"/>
              </w:rPr>
              <w:t>F</w:t>
            </w:r>
          </w:p>
        </w:tc>
        <w:tc>
          <w:tcPr>
            <w:tcW w:w="1134" w:type="dxa"/>
            <w:tcBorders>
              <w:bottom w:val="single" w:sz="4" w:space="0" w:color="auto"/>
            </w:tcBorders>
          </w:tcPr>
          <w:p w:rsidR="004E59F7" w:rsidRPr="003E258C" w:rsidRDefault="004E59F7" w:rsidP="001B235E">
            <w:pPr>
              <w:jc w:val="center"/>
              <w:rPr>
                <w:lang w:val="en-GB"/>
              </w:rPr>
            </w:pPr>
            <w:r w:rsidRPr="003E258C">
              <w:rPr>
                <w:lang w:val="en-GB"/>
              </w:rPr>
              <w:t>&lt;0.001</w:t>
            </w:r>
          </w:p>
        </w:tc>
        <w:tc>
          <w:tcPr>
            <w:tcW w:w="1302" w:type="dxa"/>
            <w:tcBorders>
              <w:bottom w:val="single" w:sz="4" w:space="0" w:color="auto"/>
            </w:tcBorders>
            <w:vAlign w:val="bottom"/>
          </w:tcPr>
          <w:p w:rsidR="004E59F7" w:rsidRPr="003E258C" w:rsidRDefault="004E59F7" w:rsidP="001B235E">
            <w:pPr>
              <w:jc w:val="center"/>
              <w:rPr>
                <w:rFonts w:ascii="Arial" w:hAnsi="Arial" w:cs="Arial"/>
                <w:sz w:val="20"/>
                <w:szCs w:val="20"/>
                <w:lang w:val="en-GB"/>
              </w:rPr>
            </w:pPr>
            <w:r w:rsidRPr="003E258C">
              <w:rPr>
                <w:rFonts w:ascii="Arial" w:hAnsi="Arial" w:cs="Arial"/>
                <w:sz w:val="20"/>
                <w:szCs w:val="20"/>
                <w:lang w:val="en-GB"/>
              </w:rPr>
              <w:t>0.50</w:t>
            </w:r>
          </w:p>
        </w:tc>
        <w:tc>
          <w:tcPr>
            <w:tcW w:w="1242" w:type="dxa"/>
            <w:tcBorders>
              <w:bottom w:val="single" w:sz="4" w:space="0" w:color="auto"/>
            </w:tcBorders>
          </w:tcPr>
          <w:p w:rsidR="004E59F7" w:rsidRPr="003E258C" w:rsidRDefault="004E59F7" w:rsidP="001B235E">
            <w:pPr>
              <w:jc w:val="center"/>
              <w:rPr>
                <w:lang w:val="en-GB"/>
              </w:rPr>
            </w:pPr>
            <w:r w:rsidRPr="003E258C">
              <w:rPr>
                <w:rFonts w:ascii="Arial" w:hAnsi="Arial" w:cs="Arial"/>
                <w:sz w:val="20"/>
                <w:szCs w:val="20"/>
                <w:lang w:val="en-GB"/>
              </w:rPr>
              <w:t>&lt;40</w:t>
            </w:r>
          </w:p>
        </w:tc>
        <w:tc>
          <w:tcPr>
            <w:tcW w:w="1617" w:type="dxa"/>
            <w:gridSpan w:val="2"/>
            <w:tcBorders>
              <w:bottom w:val="single" w:sz="4" w:space="0" w:color="auto"/>
            </w:tcBorders>
          </w:tcPr>
          <w:p w:rsidR="004E59F7" w:rsidRPr="003E258C" w:rsidRDefault="004E59F7" w:rsidP="001B235E">
            <w:pPr>
              <w:jc w:val="center"/>
              <w:rPr>
                <w:lang w:val="en-GB"/>
              </w:rPr>
            </w:pPr>
            <w:r w:rsidRPr="003E258C">
              <w:rPr>
                <w:rFonts w:ascii="Arial" w:hAnsi="Arial" w:cs="Arial"/>
                <w:sz w:val="20"/>
                <w:szCs w:val="20"/>
                <w:lang w:val="en-GB"/>
              </w:rPr>
              <w:t>&lt;40</w:t>
            </w:r>
          </w:p>
        </w:tc>
        <w:tc>
          <w:tcPr>
            <w:tcW w:w="1119" w:type="dxa"/>
            <w:tcBorders>
              <w:bottom w:val="single" w:sz="4" w:space="0" w:color="auto"/>
            </w:tcBorders>
          </w:tcPr>
          <w:p w:rsidR="004E59F7" w:rsidRPr="003E258C" w:rsidRDefault="004E59F7" w:rsidP="001B235E">
            <w:pPr>
              <w:jc w:val="center"/>
              <w:rPr>
                <w:lang w:val="en-GB"/>
              </w:rPr>
            </w:pPr>
            <w:r w:rsidRPr="003E258C">
              <w:rPr>
                <w:lang w:val="en-GB"/>
              </w:rPr>
              <w:t>&lt;0.001</w:t>
            </w:r>
          </w:p>
        </w:tc>
        <w:tc>
          <w:tcPr>
            <w:tcW w:w="1367" w:type="dxa"/>
            <w:tcBorders>
              <w:bottom w:val="single" w:sz="4" w:space="0" w:color="auto"/>
            </w:tcBorders>
          </w:tcPr>
          <w:p w:rsidR="004E59F7" w:rsidRPr="003E258C" w:rsidRDefault="004E59F7" w:rsidP="001B235E">
            <w:pPr>
              <w:jc w:val="center"/>
              <w:rPr>
                <w:lang w:val="en-GB"/>
              </w:rPr>
            </w:pPr>
            <w:r w:rsidRPr="003E258C">
              <w:rPr>
                <w:lang w:val="en-GB"/>
              </w:rPr>
              <w:t>0.58</w:t>
            </w:r>
          </w:p>
        </w:tc>
        <w:tc>
          <w:tcPr>
            <w:tcW w:w="1243" w:type="dxa"/>
            <w:tcBorders>
              <w:bottom w:val="single" w:sz="4" w:space="0" w:color="auto"/>
            </w:tcBorders>
          </w:tcPr>
          <w:p w:rsidR="004E59F7" w:rsidRPr="003E258C" w:rsidRDefault="004E59F7" w:rsidP="001B235E">
            <w:pPr>
              <w:jc w:val="center"/>
              <w:rPr>
                <w:lang w:val="en-GB"/>
              </w:rPr>
            </w:pPr>
            <w:r w:rsidRPr="003E258C">
              <w:rPr>
                <w:lang w:val="en-GB"/>
              </w:rPr>
              <w:t>&lt;40</w:t>
            </w:r>
          </w:p>
        </w:tc>
        <w:tc>
          <w:tcPr>
            <w:tcW w:w="1766" w:type="dxa"/>
            <w:gridSpan w:val="2"/>
            <w:tcBorders>
              <w:bottom w:val="single" w:sz="4" w:space="0" w:color="auto"/>
            </w:tcBorders>
          </w:tcPr>
          <w:p w:rsidR="004E59F7" w:rsidRPr="003E258C" w:rsidRDefault="004E59F7" w:rsidP="001B235E">
            <w:pPr>
              <w:jc w:val="center"/>
              <w:rPr>
                <w:lang w:val="en-GB"/>
              </w:rPr>
            </w:pPr>
            <w:r w:rsidRPr="003E258C">
              <w:rPr>
                <w:lang w:val="en-GB"/>
              </w:rPr>
              <w:t>&lt;40</w:t>
            </w:r>
          </w:p>
        </w:tc>
      </w:tr>
      <w:tr w:rsidR="004E59F7" w:rsidRPr="003E258C" w:rsidTr="004E59F7">
        <w:trPr>
          <w:trHeight w:val="179"/>
        </w:trPr>
        <w:tc>
          <w:tcPr>
            <w:tcW w:w="1308" w:type="dxa"/>
            <w:tcBorders>
              <w:top w:val="single" w:sz="4" w:space="0" w:color="auto"/>
            </w:tcBorders>
          </w:tcPr>
          <w:p w:rsidR="004E59F7" w:rsidRPr="003E258C" w:rsidRDefault="004E59F7" w:rsidP="00C650D8">
            <w:pPr>
              <w:jc w:val="center"/>
              <w:rPr>
                <w:rFonts w:ascii="Arial" w:hAnsi="Arial" w:cs="Arial"/>
                <w:sz w:val="20"/>
                <w:szCs w:val="20"/>
                <w:lang w:val="en-GB"/>
              </w:rPr>
            </w:pPr>
          </w:p>
        </w:tc>
        <w:tc>
          <w:tcPr>
            <w:tcW w:w="862" w:type="dxa"/>
            <w:tcBorders>
              <w:top w:val="single" w:sz="4" w:space="0" w:color="auto"/>
            </w:tcBorders>
          </w:tcPr>
          <w:p w:rsidR="004E59F7" w:rsidRPr="003E258C" w:rsidRDefault="004E59F7" w:rsidP="001B235E">
            <w:pPr>
              <w:jc w:val="center"/>
              <w:rPr>
                <w:rFonts w:ascii="Arial" w:hAnsi="Arial" w:cs="Arial"/>
                <w:b/>
                <w:sz w:val="20"/>
                <w:szCs w:val="20"/>
                <w:lang w:val="en-GB"/>
              </w:rPr>
            </w:pPr>
          </w:p>
        </w:tc>
        <w:tc>
          <w:tcPr>
            <w:tcW w:w="1134" w:type="dxa"/>
            <w:tcBorders>
              <w:top w:val="single" w:sz="4" w:space="0" w:color="auto"/>
            </w:tcBorders>
            <w:vAlign w:val="bottom"/>
          </w:tcPr>
          <w:p w:rsidR="004E59F7" w:rsidRPr="003E258C" w:rsidRDefault="004E59F7" w:rsidP="001B235E">
            <w:pPr>
              <w:jc w:val="center"/>
              <w:rPr>
                <w:rFonts w:ascii="Arial" w:hAnsi="Arial" w:cs="Arial"/>
                <w:b/>
                <w:sz w:val="20"/>
                <w:szCs w:val="20"/>
                <w:lang w:val="en-GB"/>
              </w:rPr>
            </w:pPr>
          </w:p>
        </w:tc>
        <w:tc>
          <w:tcPr>
            <w:tcW w:w="1302" w:type="dxa"/>
            <w:tcBorders>
              <w:top w:val="single" w:sz="4" w:space="0" w:color="auto"/>
            </w:tcBorders>
            <w:vAlign w:val="bottom"/>
          </w:tcPr>
          <w:p w:rsidR="004E59F7" w:rsidRPr="003E258C" w:rsidRDefault="004E59F7" w:rsidP="001B235E">
            <w:pPr>
              <w:jc w:val="center"/>
              <w:rPr>
                <w:rFonts w:ascii="Arial" w:hAnsi="Arial" w:cs="Arial"/>
                <w:b/>
                <w:sz w:val="20"/>
                <w:szCs w:val="20"/>
                <w:lang w:val="en-GB"/>
              </w:rPr>
            </w:pPr>
          </w:p>
        </w:tc>
        <w:tc>
          <w:tcPr>
            <w:tcW w:w="1242" w:type="dxa"/>
            <w:tcBorders>
              <w:top w:val="single" w:sz="4" w:space="0" w:color="auto"/>
            </w:tcBorders>
          </w:tcPr>
          <w:p w:rsidR="004E59F7" w:rsidRPr="003E258C" w:rsidRDefault="004E59F7" w:rsidP="001B235E">
            <w:pPr>
              <w:jc w:val="center"/>
              <w:rPr>
                <w:lang w:val="en-GB"/>
              </w:rPr>
            </w:pPr>
          </w:p>
        </w:tc>
        <w:tc>
          <w:tcPr>
            <w:tcW w:w="1617" w:type="dxa"/>
            <w:gridSpan w:val="2"/>
            <w:tcBorders>
              <w:top w:val="single" w:sz="4" w:space="0" w:color="auto"/>
            </w:tcBorders>
          </w:tcPr>
          <w:p w:rsidR="004E59F7" w:rsidRPr="003E258C" w:rsidRDefault="004E59F7" w:rsidP="001B235E">
            <w:pPr>
              <w:jc w:val="center"/>
              <w:rPr>
                <w:rFonts w:ascii="Arial" w:hAnsi="Arial" w:cs="Arial"/>
                <w:b/>
                <w:sz w:val="20"/>
                <w:szCs w:val="20"/>
                <w:lang w:val="en-GB"/>
              </w:rPr>
            </w:pPr>
          </w:p>
        </w:tc>
        <w:tc>
          <w:tcPr>
            <w:tcW w:w="1119" w:type="dxa"/>
            <w:tcBorders>
              <w:top w:val="single" w:sz="4" w:space="0" w:color="auto"/>
            </w:tcBorders>
            <w:vAlign w:val="bottom"/>
          </w:tcPr>
          <w:p w:rsidR="004E59F7" w:rsidRPr="003E258C" w:rsidRDefault="004E59F7" w:rsidP="001B235E">
            <w:pPr>
              <w:jc w:val="center"/>
              <w:rPr>
                <w:rFonts w:ascii="Arial" w:hAnsi="Arial" w:cs="Arial"/>
                <w:b/>
                <w:sz w:val="20"/>
                <w:szCs w:val="20"/>
                <w:lang w:val="en-GB"/>
              </w:rPr>
            </w:pPr>
          </w:p>
        </w:tc>
        <w:tc>
          <w:tcPr>
            <w:tcW w:w="1367" w:type="dxa"/>
            <w:tcBorders>
              <w:top w:val="single" w:sz="4" w:space="0" w:color="auto"/>
            </w:tcBorders>
            <w:vAlign w:val="bottom"/>
          </w:tcPr>
          <w:p w:rsidR="004E59F7" w:rsidRPr="003E258C" w:rsidRDefault="004E59F7" w:rsidP="001B235E">
            <w:pPr>
              <w:jc w:val="center"/>
              <w:rPr>
                <w:rFonts w:ascii="Arial" w:hAnsi="Arial" w:cs="Arial"/>
                <w:b/>
                <w:sz w:val="20"/>
                <w:szCs w:val="20"/>
                <w:lang w:val="en-GB"/>
              </w:rPr>
            </w:pPr>
          </w:p>
        </w:tc>
        <w:tc>
          <w:tcPr>
            <w:tcW w:w="1243" w:type="dxa"/>
            <w:tcBorders>
              <w:top w:val="single" w:sz="4" w:space="0" w:color="auto"/>
            </w:tcBorders>
            <w:vAlign w:val="bottom"/>
          </w:tcPr>
          <w:p w:rsidR="004E59F7" w:rsidRPr="003E258C" w:rsidRDefault="004E59F7" w:rsidP="001B235E">
            <w:pPr>
              <w:jc w:val="center"/>
              <w:rPr>
                <w:rFonts w:ascii="Arial" w:hAnsi="Arial" w:cs="Arial"/>
                <w:b/>
                <w:sz w:val="20"/>
                <w:szCs w:val="20"/>
                <w:lang w:val="en-GB"/>
              </w:rPr>
            </w:pPr>
          </w:p>
        </w:tc>
        <w:tc>
          <w:tcPr>
            <w:tcW w:w="1766" w:type="dxa"/>
            <w:gridSpan w:val="2"/>
            <w:tcBorders>
              <w:top w:val="single" w:sz="4" w:space="0" w:color="auto"/>
            </w:tcBorders>
          </w:tcPr>
          <w:p w:rsidR="004E59F7" w:rsidRPr="003E258C" w:rsidRDefault="004E59F7" w:rsidP="001B235E">
            <w:pPr>
              <w:jc w:val="center"/>
              <w:rPr>
                <w:rFonts w:ascii="Arial" w:hAnsi="Arial" w:cs="Arial"/>
                <w:b/>
                <w:sz w:val="20"/>
                <w:szCs w:val="20"/>
                <w:lang w:val="en-GB"/>
              </w:rPr>
            </w:pPr>
          </w:p>
        </w:tc>
      </w:tr>
    </w:tbl>
    <w:p w:rsidR="004E59F7" w:rsidRPr="008119C5" w:rsidRDefault="004E59F7">
      <w:pPr>
        <w:rPr>
          <w:lang w:val="en-GB"/>
        </w:rPr>
      </w:pPr>
      <w:r w:rsidRPr="003E258C">
        <w:rPr>
          <w:lang w:val="en-GB"/>
        </w:rPr>
        <w:t>CSF: Cerebrospinal fluid; F, female; M, male;</w:t>
      </w:r>
      <w:r>
        <w:rPr>
          <w:lang w:val="en-GB"/>
        </w:rPr>
        <w:t xml:space="preserve"> WBC: white blood cells;</w:t>
      </w:r>
    </w:p>
    <w:p w:rsidR="004E59F7" w:rsidRPr="00670B29" w:rsidRDefault="004E59F7" w:rsidP="00C84D19">
      <w:pPr>
        <w:rPr>
          <w:lang w:val="en-US"/>
        </w:rPr>
      </w:pPr>
    </w:p>
    <w:p w:rsidR="004E59F7" w:rsidRPr="00EC15DD" w:rsidRDefault="004E59F7">
      <w:pPr>
        <w:rPr>
          <w:rFonts w:ascii="Arial" w:hAnsi="Arial" w:cs="Arial"/>
          <w:sz w:val="20"/>
          <w:szCs w:val="20"/>
          <w:lang w:val="en-US"/>
        </w:rPr>
      </w:pPr>
      <w:bookmarkStart w:id="0" w:name="_GoBack"/>
      <w:bookmarkEnd w:id="0"/>
    </w:p>
    <w:sectPr w:rsidR="004E59F7" w:rsidRPr="00EC15DD" w:rsidSect="004E59F7">
      <w:pgSz w:w="15840" w:h="12240" w:orient="landscape"/>
      <w:pgMar w:top="1797" w:right="1440" w:bottom="1797" w:left="1440" w:header="720" w:footer="720" w:gutter="0"/>
      <w:lnNumType w:countBy="1"/>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BA9" w:rsidRDefault="00A35BA9" w:rsidP="00EC2756">
      <w:r>
        <w:separator/>
      </w:r>
    </w:p>
  </w:endnote>
  <w:endnote w:type="continuationSeparator" w:id="0">
    <w:p w:rsidR="00A35BA9" w:rsidRDefault="00A35BA9" w:rsidP="00EC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 Western">
    <w:altName w:val="Calibri"/>
    <w:panose1 w:val="00000000000000000000"/>
    <w:charset w:val="00"/>
    <w:family w:val="auto"/>
    <w:notTrueType/>
    <w:pitch w:val="variable"/>
    <w:sig w:usb0="00000003" w:usb1="00000000" w:usb2="00000000" w:usb3="00000000" w:csb0="00000001" w:csb1="00000000"/>
  </w:font>
  <w:font w:name="MS Gothi">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15" w:rsidRDefault="00C30315" w:rsidP="005A7A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0315" w:rsidRDefault="00C30315" w:rsidP="005A7A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15" w:rsidRDefault="00C30315" w:rsidP="005A7A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5F17">
      <w:rPr>
        <w:rStyle w:val="PageNumber"/>
        <w:noProof/>
      </w:rPr>
      <w:t>2</w:t>
    </w:r>
    <w:r>
      <w:rPr>
        <w:rStyle w:val="PageNumber"/>
      </w:rPr>
      <w:fldChar w:fldCharType="end"/>
    </w:r>
  </w:p>
  <w:p w:rsidR="00C30315" w:rsidRDefault="00C30315" w:rsidP="005A7AA2">
    <w:pPr>
      <w:tabs>
        <w:tab w:val="center" w:pos="4320"/>
        <w:tab w:val="right" w:pos="8640"/>
      </w:tabs>
      <w:ind w:right="360"/>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BA9" w:rsidRDefault="00A35BA9" w:rsidP="00EC2756">
      <w:r>
        <w:separator/>
      </w:r>
    </w:p>
  </w:footnote>
  <w:footnote w:type="continuationSeparator" w:id="0">
    <w:p w:rsidR="00A35BA9" w:rsidRDefault="00A35BA9" w:rsidP="00EC2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15" w:rsidRDefault="00C3031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465A8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8A688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604821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F6A36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FEADB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9677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6E40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7204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9CFA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F7202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2143D"/>
    <w:multiLevelType w:val="multilevel"/>
    <w:tmpl w:val="C43E02FC"/>
    <w:lvl w:ilvl="0">
      <w:start w:val="1"/>
      <w:numFmt w:val="decimal"/>
      <w:lvlText w:val="%1."/>
      <w:lvlJc w:val="left"/>
      <w:pPr>
        <w:tabs>
          <w:tab w:val="num" w:pos="720"/>
        </w:tabs>
        <w:ind w:left="720" w:hanging="720"/>
      </w:pPr>
      <w:rPr>
        <w:rFonts w:cs="Times New Roman"/>
        <w:vertAlign w:val="baseline"/>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534D7846"/>
    <w:multiLevelType w:val="hybridMultilevel"/>
    <w:tmpl w:val="EDE4CFAA"/>
    <w:lvl w:ilvl="0" w:tplc="22823A06">
      <w:start w:val="1"/>
      <w:numFmt w:val="bullet"/>
      <w:lvlText w:val="o"/>
      <w:lvlJc w:val="left"/>
      <w:pPr>
        <w:tabs>
          <w:tab w:val="num" w:pos="720"/>
        </w:tabs>
        <w:ind w:left="720" w:hanging="360"/>
      </w:pPr>
      <w:rPr>
        <w:rFonts w:ascii="Courier New" w:hAnsi="Courier New" w:hint="default"/>
      </w:rPr>
    </w:lvl>
    <w:lvl w:ilvl="1" w:tplc="71AE78A6" w:tentative="1">
      <w:start w:val="1"/>
      <w:numFmt w:val="bullet"/>
      <w:lvlText w:val="o"/>
      <w:lvlJc w:val="left"/>
      <w:pPr>
        <w:tabs>
          <w:tab w:val="num" w:pos="1440"/>
        </w:tabs>
        <w:ind w:left="1440" w:hanging="360"/>
      </w:pPr>
      <w:rPr>
        <w:rFonts w:ascii="Courier New" w:hAnsi="Courier New" w:hint="default"/>
      </w:rPr>
    </w:lvl>
    <w:lvl w:ilvl="2" w:tplc="1C0436D4" w:tentative="1">
      <w:start w:val="1"/>
      <w:numFmt w:val="bullet"/>
      <w:lvlText w:val="o"/>
      <w:lvlJc w:val="left"/>
      <w:pPr>
        <w:tabs>
          <w:tab w:val="num" w:pos="2160"/>
        </w:tabs>
        <w:ind w:left="2160" w:hanging="360"/>
      </w:pPr>
      <w:rPr>
        <w:rFonts w:ascii="Courier New" w:hAnsi="Courier New" w:hint="default"/>
      </w:rPr>
    </w:lvl>
    <w:lvl w:ilvl="3" w:tplc="EAD23870" w:tentative="1">
      <w:start w:val="1"/>
      <w:numFmt w:val="bullet"/>
      <w:lvlText w:val="o"/>
      <w:lvlJc w:val="left"/>
      <w:pPr>
        <w:tabs>
          <w:tab w:val="num" w:pos="2880"/>
        </w:tabs>
        <w:ind w:left="2880" w:hanging="360"/>
      </w:pPr>
      <w:rPr>
        <w:rFonts w:ascii="Courier New" w:hAnsi="Courier New" w:hint="default"/>
      </w:rPr>
    </w:lvl>
    <w:lvl w:ilvl="4" w:tplc="71207B1E" w:tentative="1">
      <w:start w:val="1"/>
      <w:numFmt w:val="bullet"/>
      <w:lvlText w:val="o"/>
      <w:lvlJc w:val="left"/>
      <w:pPr>
        <w:tabs>
          <w:tab w:val="num" w:pos="3600"/>
        </w:tabs>
        <w:ind w:left="3600" w:hanging="360"/>
      </w:pPr>
      <w:rPr>
        <w:rFonts w:ascii="Courier New" w:hAnsi="Courier New" w:hint="default"/>
      </w:rPr>
    </w:lvl>
    <w:lvl w:ilvl="5" w:tplc="A4C48EB6" w:tentative="1">
      <w:start w:val="1"/>
      <w:numFmt w:val="bullet"/>
      <w:lvlText w:val="o"/>
      <w:lvlJc w:val="left"/>
      <w:pPr>
        <w:tabs>
          <w:tab w:val="num" w:pos="4320"/>
        </w:tabs>
        <w:ind w:left="4320" w:hanging="360"/>
      </w:pPr>
      <w:rPr>
        <w:rFonts w:ascii="Courier New" w:hAnsi="Courier New" w:hint="default"/>
      </w:rPr>
    </w:lvl>
    <w:lvl w:ilvl="6" w:tplc="3EC0AD56" w:tentative="1">
      <w:start w:val="1"/>
      <w:numFmt w:val="bullet"/>
      <w:lvlText w:val="o"/>
      <w:lvlJc w:val="left"/>
      <w:pPr>
        <w:tabs>
          <w:tab w:val="num" w:pos="5040"/>
        </w:tabs>
        <w:ind w:left="5040" w:hanging="360"/>
      </w:pPr>
      <w:rPr>
        <w:rFonts w:ascii="Courier New" w:hAnsi="Courier New" w:hint="default"/>
      </w:rPr>
    </w:lvl>
    <w:lvl w:ilvl="7" w:tplc="3C16A94E" w:tentative="1">
      <w:start w:val="1"/>
      <w:numFmt w:val="bullet"/>
      <w:lvlText w:val="o"/>
      <w:lvlJc w:val="left"/>
      <w:pPr>
        <w:tabs>
          <w:tab w:val="num" w:pos="5760"/>
        </w:tabs>
        <w:ind w:left="5760" w:hanging="360"/>
      </w:pPr>
      <w:rPr>
        <w:rFonts w:ascii="Courier New" w:hAnsi="Courier New" w:hint="default"/>
      </w:rPr>
    </w:lvl>
    <w:lvl w:ilvl="8" w:tplc="A2FAFBC6"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6AB208E9"/>
    <w:multiLevelType w:val="hybridMultilevel"/>
    <w:tmpl w:val="FB02FE7C"/>
    <w:lvl w:ilvl="0" w:tplc="9084B064">
      <w:start w:val="1"/>
      <w:numFmt w:val="bullet"/>
      <w:lvlText w:val="o"/>
      <w:lvlJc w:val="left"/>
      <w:pPr>
        <w:tabs>
          <w:tab w:val="num" w:pos="720"/>
        </w:tabs>
        <w:ind w:left="720" w:hanging="360"/>
      </w:pPr>
      <w:rPr>
        <w:rFonts w:ascii="Courier New" w:hAnsi="Courier New" w:hint="default"/>
      </w:rPr>
    </w:lvl>
    <w:lvl w:ilvl="1" w:tplc="6F185E0E" w:tentative="1">
      <w:start w:val="1"/>
      <w:numFmt w:val="bullet"/>
      <w:lvlText w:val="o"/>
      <w:lvlJc w:val="left"/>
      <w:pPr>
        <w:tabs>
          <w:tab w:val="num" w:pos="1440"/>
        </w:tabs>
        <w:ind w:left="1440" w:hanging="360"/>
      </w:pPr>
      <w:rPr>
        <w:rFonts w:ascii="Courier New" w:hAnsi="Courier New" w:hint="default"/>
      </w:rPr>
    </w:lvl>
    <w:lvl w:ilvl="2" w:tplc="AA2E161C" w:tentative="1">
      <w:start w:val="1"/>
      <w:numFmt w:val="bullet"/>
      <w:lvlText w:val="o"/>
      <w:lvlJc w:val="left"/>
      <w:pPr>
        <w:tabs>
          <w:tab w:val="num" w:pos="2160"/>
        </w:tabs>
        <w:ind w:left="2160" w:hanging="360"/>
      </w:pPr>
      <w:rPr>
        <w:rFonts w:ascii="Courier New" w:hAnsi="Courier New" w:hint="default"/>
      </w:rPr>
    </w:lvl>
    <w:lvl w:ilvl="3" w:tplc="7B307208" w:tentative="1">
      <w:start w:val="1"/>
      <w:numFmt w:val="bullet"/>
      <w:lvlText w:val="o"/>
      <w:lvlJc w:val="left"/>
      <w:pPr>
        <w:tabs>
          <w:tab w:val="num" w:pos="2880"/>
        </w:tabs>
        <w:ind w:left="2880" w:hanging="360"/>
      </w:pPr>
      <w:rPr>
        <w:rFonts w:ascii="Courier New" w:hAnsi="Courier New" w:hint="default"/>
      </w:rPr>
    </w:lvl>
    <w:lvl w:ilvl="4" w:tplc="2E501D28" w:tentative="1">
      <w:start w:val="1"/>
      <w:numFmt w:val="bullet"/>
      <w:lvlText w:val="o"/>
      <w:lvlJc w:val="left"/>
      <w:pPr>
        <w:tabs>
          <w:tab w:val="num" w:pos="3600"/>
        </w:tabs>
        <w:ind w:left="3600" w:hanging="360"/>
      </w:pPr>
      <w:rPr>
        <w:rFonts w:ascii="Courier New" w:hAnsi="Courier New" w:hint="default"/>
      </w:rPr>
    </w:lvl>
    <w:lvl w:ilvl="5" w:tplc="EC8071E4" w:tentative="1">
      <w:start w:val="1"/>
      <w:numFmt w:val="bullet"/>
      <w:lvlText w:val="o"/>
      <w:lvlJc w:val="left"/>
      <w:pPr>
        <w:tabs>
          <w:tab w:val="num" w:pos="4320"/>
        </w:tabs>
        <w:ind w:left="4320" w:hanging="360"/>
      </w:pPr>
      <w:rPr>
        <w:rFonts w:ascii="Courier New" w:hAnsi="Courier New" w:hint="default"/>
      </w:rPr>
    </w:lvl>
    <w:lvl w:ilvl="6" w:tplc="C72A35CC" w:tentative="1">
      <w:start w:val="1"/>
      <w:numFmt w:val="bullet"/>
      <w:lvlText w:val="o"/>
      <w:lvlJc w:val="left"/>
      <w:pPr>
        <w:tabs>
          <w:tab w:val="num" w:pos="5040"/>
        </w:tabs>
        <w:ind w:left="5040" w:hanging="360"/>
      </w:pPr>
      <w:rPr>
        <w:rFonts w:ascii="Courier New" w:hAnsi="Courier New" w:hint="default"/>
      </w:rPr>
    </w:lvl>
    <w:lvl w:ilvl="7" w:tplc="63284CC0" w:tentative="1">
      <w:start w:val="1"/>
      <w:numFmt w:val="bullet"/>
      <w:lvlText w:val="o"/>
      <w:lvlJc w:val="left"/>
      <w:pPr>
        <w:tabs>
          <w:tab w:val="num" w:pos="5760"/>
        </w:tabs>
        <w:ind w:left="5760" w:hanging="360"/>
      </w:pPr>
      <w:rPr>
        <w:rFonts w:ascii="Courier New" w:hAnsi="Courier New" w:hint="default"/>
      </w:rPr>
    </w:lvl>
    <w:lvl w:ilvl="8" w:tplc="BCF6A530"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746F2298"/>
    <w:multiLevelType w:val="hybridMultilevel"/>
    <w:tmpl w:val="98A0D56C"/>
    <w:lvl w:ilvl="0" w:tplc="4C18CA1E">
      <w:start w:val="1"/>
      <w:numFmt w:val="bullet"/>
      <w:lvlText w:val="o"/>
      <w:lvlJc w:val="left"/>
      <w:pPr>
        <w:tabs>
          <w:tab w:val="num" w:pos="720"/>
        </w:tabs>
        <w:ind w:left="720" w:hanging="360"/>
      </w:pPr>
      <w:rPr>
        <w:rFonts w:ascii="Courier New" w:hAnsi="Courier New" w:hint="default"/>
      </w:rPr>
    </w:lvl>
    <w:lvl w:ilvl="1" w:tplc="99AA7378" w:tentative="1">
      <w:start w:val="1"/>
      <w:numFmt w:val="bullet"/>
      <w:lvlText w:val="o"/>
      <w:lvlJc w:val="left"/>
      <w:pPr>
        <w:tabs>
          <w:tab w:val="num" w:pos="1440"/>
        </w:tabs>
        <w:ind w:left="1440" w:hanging="360"/>
      </w:pPr>
      <w:rPr>
        <w:rFonts w:ascii="Courier New" w:hAnsi="Courier New" w:hint="default"/>
      </w:rPr>
    </w:lvl>
    <w:lvl w:ilvl="2" w:tplc="48AEB664" w:tentative="1">
      <w:start w:val="1"/>
      <w:numFmt w:val="bullet"/>
      <w:lvlText w:val="o"/>
      <w:lvlJc w:val="left"/>
      <w:pPr>
        <w:tabs>
          <w:tab w:val="num" w:pos="2160"/>
        </w:tabs>
        <w:ind w:left="2160" w:hanging="360"/>
      </w:pPr>
      <w:rPr>
        <w:rFonts w:ascii="Courier New" w:hAnsi="Courier New" w:hint="default"/>
      </w:rPr>
    </w:lvl>
    <w:lvl w:ilvl="3" w:tplc="8F3EC608" w:tentative="1">
      <w:start w:val="1"/>
      <w:numFmt w:val="bullet"/>
      <w:lvlText w:val="o"/>
      <w:lvlJc w:val="left"/>
      <w:pPr>
        <w:tabs>
          <w:tab w:val="num" w:pos="2880"/>
        </w:tabs>
        <w:ind w:left="2880" w:hanging="360"/>
      </w:pPr>
      <w:rPr>
        <w:rFonts w:ascii="Courier New" w:hAnsi="Courier New" w:hint="default"/>
      </w:rPr>
    </w:lvl>
    <w:lvl w:ilvl="4" w:tplc="A43C10EE" w:tentative="1">
      <w:start w:val="1"/>
      <w:numFmt w:val="bullet"/>
      <w:lvlText w:val="o"/>
      <w:lvlJc w:val="left"/>
      <w:pPr>
        <w:tabs>
          <w:tab w:val="num" w:pos="3600"/>
        </w:tabs>
        <w:ind w:left="3600" w:hanging="360"/>
      </w:pPr>
      <w:rPr>
        <w:rFonts w:ascii="Courier New" w:hAnsi="Courier New" w:hint="default"/>
      </w:rPr>
    </w:lvl>
    <w:lvl w:ilvl="5" w:tplc="D764D474" w:tentative="1">
      <w:start w:val="1"/>
      <w:numFmt w:val="bullet"/>
      <w:lvlText w:val="o"/>
      <w:lvlJc w:val="left"/>
      <w:pPr>
        <w:tabs>
          <w:tab w:val="num" w:pos="4320"/>
        </w:tabs>
        <w:ind w:left="4320" w:hanging="360"/>
      </w:pPr>
      <w:rPr>
        <w:rFonts w:ascii="Courier New" w:hAnsi="Courier New" w:hint="default"/>
      </w:rPr>
    </w:lvl>
    <w:lvl w:ilvl="6" w:tplc="F2D217FA" w:tentative="1">
      <w:start w:val="1"/>
      <w:numFmt w:val="bullet"/>
      <w:lvlText w:val="o"/>
      <w:lvlJc w:val="left"/>
      <w:pPr>
        <w:tabs>
          <w:tab w:val="num" w:pos="5040"/>
        </w:tabs>
        <w:ind w:left="5040" w:hanging="360"/>
      </w:pPr>
      <w:rPr>
        <w:rFonts w:ascii="Courier New" w:hAnsi="Courier New" w:hint="default"/>
      </w:rPr>
    </w:lvl>
    <w:lvl w:ilvl="7" w:tplc="426CBAD8" w:tentative="1">
      <w:start w:val="1"/>
      <w:numFmt w:val="bullet"/>
      <w:lvlText w:val="o"/>
      <w:lvlJc w:val="left"/>
      <w:pPr>
        <w:tabs>
          <w:tab w:val="num" w:pos="5760"/>
        </w:tabs>
        <w:ind w:left="5760" w:hanging="360"/>
      </w:pPr>
      <w:rPr>
        <w:rFonts w:ascii="Courier New" w:hAnsi="Courier New" w:hint="default"/>
      </w:rPr>
    </w:lvl>
    <w:lvl w:ilvl="8" w:tplc="8A660D40" w:tentative="1">
      <w:start w:val="1"/>
      <w:numFmt w:val="bullet"/>
      <w:lvlText w:val="o"/>
      <w:lvlJc w:val="left"/>
      <w:pPr>
        <w:tabs>
          <w:tab w:val="num" w:pos="6480"/>
        </w:tabs>
        <w:ind w:left="6480" w:hanging="360"/>
      </w:pPr>
      <w:rPr>
        <w:rFonts w:ascii="Courier New" w:hAnsi="Courier New"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720"/>
  <w:hyphenationZone w:val="425"/>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C2756"/>
    <w:rsid w:val="00010893"/>
    <w:rsid w:val="00011AC6"/>
    <w:rsid w:val="0001212C"/>
    <w:rsid w:val="0001405C"/>
    <w:rsid w:val="000219FF"/>
    <w:rsid w:val="0002400B"/>
    <w:rsid w:val="00025F00"/>
    <w:rsid w:val="0002685A"/>
    <w:rsid w:val="0003559B"/>
    <w:rsid w:val="00044C35"/>
    <w:rsid w:val="00044EC5"/>
    <w:rsid w:val="00053FA8"/>
    <w:rsid w:val="00054565"/>
    <w:rsid w:val="000575DA"/>
    <w:rsid w:val="000613DD"/>
    <w:rsid w:val="00062332"/>
    <w:rsid w:val="00075B0B"/>
    <w:rsid w:val="00090B33"/>
    <w:rsid w:val="00093318"/>
    <w:rsid w:val="000A2528"/>
    <w:rsid w:val="000A3254"/>
    <w:rsid w:val="000A4986"/>
    <w:rsid w:val="000B20F1"/>
    <w:rsid w:val="000B6AE4"/>
    <w:rsid w:val="000C3EA2"/>
    <w:rsid w:val="000D7DD4"/>
    <w:rsid w:val="000E04E7"/>
    <w:rsid w:val="000E2C4B"/>
    <w:rsid w:val="000E39D9"/>
    <w:rsid w:val="000E7DB5"/>
    <w:rsid w:val="000F24FD"/>
    <w:rsid w:val="000F72AD"/>
    <w:rsid w:val="000F7844"/>
    <w:rsid w:val="00103001"/>
    <w:rsid w:val="00105FD9"/>
    <w:rsid w:val="00107046"/>
    <w:rsid w:val="00114F94"/>
    <w:rsid w:val="00116226"/>
    <w:rsid w:val="00117836"/>
    <w:rsid w:val="00117EB4"/>
    <w:rsid w:val="001276D5"/>
    <w:rsid w:val="0013021A"/>
    <w:rsid w:val="001344F7"/>
    <w:rsid w:val="001364DD"/>
    <w:rsid w:val="001417E3"/>
    <w:rsid w:val="00143430"/>
    <w:rsid w:val="00153358"/>
    <w:rsid w:val="00154DEF"/>
    <w:rsid w:val="00155E0E"/>
    <w:rsid w:val="001575F9"/>
    <w:rsid w:val="00157B46"/>
    <w:rsid w:val="00157BF9"/>
    <w:rsid w:val="0016005E"/>
    <w:rsid w:val="001728C4"/>
    <w:rsid w:val="0017455F"/>
    <w:rsid w:val="00175B58"/>
    <w:rsid w:val="00180C07"/>
    <w:rsid w:val="00180C87"/>
    <w:rsid w:val="00186330"/>
    <w:rsid w:val="00186ACF"/>
    <w:rsid w:val="0019451E"/>
    <w:rsid w:val="00194729"/>
    <w:rsid w:val="001952EC"/>
    <w:rsid w:val="001A01F3"/>
    <w:rsid w:val="001A1308"/>
    <w:rsid w:val="001A1862"/>
    <w:rsid w:val="001A45B4"/>
    <w:rsid w:val="001A4F69"/>
    <w:rsid w:val="001A5DD5"/>
    <w:rsid w:val="001B1551"/>
    <w:rsid w:val="001B1ABC"/>
    <w:rsid w:val="001B6E02"/>
    <w:rsid w:val="001C240A"/>
    <w:rsid w:val="001C4FDF"/>
    <w:rsid w:val="001C58BE"/>
    <w:rsid w:val="001C67B3"/>
    <w:rsid w:val="001E1053"/>
    <w:rsid w:val="001E1A96"/>
    <w:rsid w:val="001E4BA0"/>
    <w:rsid w:val="001E5DBA"/>
    <w:rsid w:val="001E6984"/>
    <w:rsid w:val="001E75E8"/>
    <w:rsid w:val="002003AA"/>
    <w:rsid w:val="0020075F"/>
    <w:rsid w:val="0020126E"/>
    <w:rsid w:val="00201AC3"/>
    <w:rsid w:val="00201D73"/>
    <w:rsid w:val="00202471"/>
    <w:rsid w:val="00203BD0"/>
    <w:rsid w:val="00203D09"/>
    <w:rsid w:val="0020582E"/>
    <w:rsid w:val="00210540"/>
    <w:rsid w:val="00212BAE"/>
    <w:rsid w:val="002142C4"/>
    <w:rsid w:val="00215AA9"/>
    <w:rsid w:val="00216DF0"/>
    <w:rsid w:val="00217689"/>
    <w:rsid w:val="00217F6B"/>
    <w:rsid w:val="002207DA"/>
    <w:rsid w:val="00230B27"/>
    <w:rsid w:val="002407CD"/>
    <w:rsid w:val="00241BA8"/>
    <w:rsid w:val="002423AC"/>
    <w:rsid w:val="0024597A"/>
    <w:rsid w:val="0025734D"/>
    <w:rsid w:val="00257785"/>
    <w:rsid w:val="00257E7B"/>
    <w:rsid w:val="00260DA2"/>
    <w:rsid w:val="0026136B"/>
    <w:rsid w:val="002613C1"/>
    <w:rsid w:val="00263B5E"/>
    <w:rsid w:val="00270304"/>
    <w:rsid w:val="00270E93"/>
    <w:rsid w:val="00272CF8"/>
    <w:rsid w:val="0027341A"/>
    <w:rsid w:val="002739AA"/>
    <w:rsid w:val="00273A23"/>
    <w:rsid w:val="002760FD"/>
    <w:rsid w:val="00277A15"/>
    <w:rsid w:val="00277AE7"/>
    <w:rsid w:val="00281D66"/>
    <w:rsid w:val="002836B8"/>
    <w:rsid w:val="00284DDB"/>
    <w:rsid w:val="00285362"/>
    <w:rsid w:val="00285A7C"/>
    <w:rsid w:val="0028786F"/>
    <w:rsid w:val="00291B29"/>
    <w:rsid w:val="002922EA"/>
    <w:rsid w:val="002933AD"/>
    <w:rsid w:val="0029785F"/>
    <w:rsid w:val="002A05DD"/>
    <w:rsid w:val="002A23A1"/>
    <w:rsid w:val="002A7281"/>
    <w:rsid w:val="002A759C"/>
    <w:rsid w:val="002B1A02"/>
    <w:rsid w:val="002B62D8"/>
    <w:rsid w:val="002C1DF5"/>
    <w:rsid w:val="002C3609"/>
    <w:rsid w:val="002D3846"/>
    <w:rsid w:val="002D4487"/>
    <w:rsid w:val="002D45B3"/>
    <w:rsid w:val="002D6EEF"/>
    <w:rsid w:val="002E1DB4"/>
    <w:rsid w:val="002E2442"/>
    <w:rsid w:val="002F0DE9"/>
    <w:rsid w:val="002F1F0F"/>
    <w:rsid w:val="002F758B"/>
    <w:rsid w:val="00300628"/>
    <w:rsid w:val="003027EA"/>
    <w:rsid w:val="003053F5"/>
    <w:rsid w:val="003075F6"/>
    <w:rsid w:val="00310661"/>
    <w:rsid w:val="0032092D"/>
    <w:rsid w:val="00320EDA"/>
    <w:rsid w:val="00326583"/>
    <w:rsid w:val="00327956"/>
    <w:rsid w:val="0033496E"/>
    <w:rsid w:val="0033593C"/>
    <w:rsid w:val="00336007"/>
    <w:rsid w:val="003406A7"/>
    <w:rsid w:val="00346943"/>
    <w:rsid w:val="0035072C"/>
    <w:rsid w:val="0035089A"/>
    <w:rsid w:val="00355886"/>
    <w:rsid w:val="003605FC"/>
    <w:rsid w:val="003612B7"/>
    <w:rsid w:val="00363ADD"/>
    <w:rsid w:val="00363FD3"/>
    <w:rsid w:val="003641D9"/>
    <w:rsid w:val="00370432"/>
    <w:rsid w:val="00371B01"/>
    <w:rsid w:val="00373213"/>
    <w:rsid w:val="00374029"/>
    <w:rsid w:val="00376124"/>
    <w:rsid w:val="00384A32"/>
    <w:rsid w:val="003A1DB5"/>
    <w:rsid w:val="003A2208"/>
    <w:rsid w:val="003A2432"/>
    <w:rsid w:val="003A25D4"/>
    <w:rsid w:val="003A3DAD"/>
    <w:rsid w:val="003A5FBF"/>
    <w:rsid w:val="003A6DBD"/>
    <w:rsid w:val="003B154A"/>
    <w:rsid w:val="003B1DFA"/>
    <w:rsid w:val="003B4D42"/>
    <w:rsid w:val="003B6000"/>
    <w:rsid w:val="003C094F"/>
    <w:rsid w:val="003C267B"/>
    <w:rsid w:val="003C3C6E"/>
    <w:rsid w:val="003D4753"/>
    <w:rsid w:val="003E3B0B"/>
    <w:rsid w:val="003E574E"/>
    <w:rsid w:val="003E7DC2"/>
    <w:rsid w:val="003F16BC"/>
    <w:rsid w:val="003F2591"/>
    <w:rsid w:val="003F4609"/>
    <w:rsid w:val="00400D60"/>
    <w:rsid w:val="00401E6A"/>
    <w:rsid w:val="00403F12"/>
    <w:rsid w:val="004103C8"/>
    <w:rsid w:val="00410A6E"/>
    <w:rsid w:val="0041100D"/>
    <w:rsid w:val="004114B9"/>
    <w:rsid w:val="004118F3"/>
    <w:rsid w:val="00412070"/>
    <w:rsid w:val="00414879"/>
    <w:rsid w:val="004156B2"/>
    <w:rsid w:val="00415D30"/>
    <w:rsid w:val="004216B7"/>
    <w:rsid w:val="00421DDA"/>
    <w:rsid w:val="00425F47"/>
    <w:rsid w:val="00436EFD"/>
    <w:rsid w:val="004372C2"/>
    <w:rsid w:val="0043788F"/>
    <w:rsid w:val="004379EF"/>
    <w:rsid w:val="00440CCA"/>
    <w:rsid w:val="00444978"/>
    <w:rsid w:val="004451ED"/>
    <w:rsid w:val="00446A39"/>
    <w:rsid w:val="004539A4"/>
    <w:rsid w:val="00454D43"/>
    <w:rsid w:val="00456F74"/>
    <w:rsid w:val="004576D3"/>
    <w:rsid w:val="0046278F"/>
    <w:rsid w:val="0046285B"/>
    <w:rsid w:val="00463C78"/>
    <w:rsid w:val="00471F3C"/>
    <w:rsid w:val="00473C81"/>
    <w:rsid w:val="0047533A"/>
    <w:rsid w:val="00481526"/>
    <w:rsid w:val="00483E79"/>
    <w:rsid w:val="004859A8"/>
    <w:rsid w:val="00485D49"/>
    <w:rsid w:val="00491DEF"/>
    <w:rsid w:val="0049259A"/>
    <w:rsid w:val="004969C1"/>
    <w:rsid w:val="00497B25"/>
    <w:rsid w:val="00497BF8"/>
    <w:rsid w:val="004A0606"/>
    <w:rsid w:val="004A5F17"/>
    <w:rsid w:val="004A6498"/>
    <w:rsid w:val="004B0682"/>
    <w:rsid w:val="004B3F5B"/>
    <w:rsid w:val="004B553E"/>
    <w:rsid w:val="004B5910"/>
    <w:rsid w:val="004B6B70"/>
    <w:rsid w:val="004B714D"/>
    <w:rsid w:val="004B7EB9"/>
    <w:rsid w:val="004C2A71"/>
    <w:rsid w:val="004C2B1C"/>
    <w:rsid w:val="004C6877"/>
    <w:rsid w:val="004D4240"/>
    <w:rsid w:val="004D637C"/>
    <w:rsid w:val="004D72F4"/>
    <w:rsid w:val="004D77B8"/>
    <w:rsid w:val="004D7C87"/>
    <w:rsid w:val="004E0B7E"/>
    <w:rsid w:val="004E3BCD"/>
    <w:rsid w:val="004E554A"/>
    <w:rsid w:val="004E59F7"/>
    <w:rsid w:val="004E766C"/>
    <w:rsid w:val="004F0858"/>
    <w:rsid w:val="004F13C4"/>
    <w:rsid w:val="004F1C59"/>
    <w:rsid w:val="004F5547"/>
    <w:rsid w:val="00507CAD"/>
    <w:rsid w:val="00512A4F"/>
    <w:rsid w:val="00513A61"/>
    <w:rsid w:val="005155E6"/>
    <w:rsid w:val="00527AB9"/>
    <w:rsid w:val="00536D2B"/>
    <w:rsid w:val="00543F11"/>
    <w:rsid w:val="00544EB0"/>
    <w:rsid w:val="00545856"/>
    <w:rsid w:val="00550277"/>
    <w:rsid w:val="00550870"/>
    <w:rsid w:val="0055508E"/>
    <w:rsid w:val="0055760D"/>
    <w:rsid w:val="0055791A"/>
    <w:rsid w:val="00563B80"/>
    <w:rsid w:val="00563BBD"/>
    <w:rsid w:val="00564A23"/>
    <w:rsid w:val="005665F8"/>
    <w:rsid w:val="00567BFE"/>
    <w:rsid w:val="005704C6"/>
    <w:rsid w:val="00570FDD"/>
    <w:rsid w:val="005712CA"/>
    <w:rsid w:val="005756D0"/>
    <w:rsid w:val="00575B1C"/>
    <w:rsid w:val="0057616A"/>
    <w:rsid w:val="00583A5A"/>
    <w:rsid w:val="00584AAD"/>
    <w:rsid w:val="005875AE"/>
    <w:rsid w:val="00593D26"/>
    <w:rsid w:val="00593D64"/>
    <w:rsid w:val="005A0674"/>
    <w:rsid w:val="005A11E0"/>
    <w:rsid w:val="005A1E84"/>
    <w:rsid w:val="005A67E8"/>
    <w:rsid w:val="005A6C69"/>
    <w:rsid w:val="005A7AA2"/>
    <w:rsid w:val="005A7E99"/>
    <w:rsid w:val="005B0859"/>
    <w:rsid w:val="005B7711"/>
    <w:rsid w:val="005C5506"/>
    <w:rsid w:val="005C5B97"/>
    <w:rsid w:val="005C65C5"/>
    <w:rsid w:val="005D09F3"/>
    <w:rsid w:val="005D1671"/>
    <w:rsid w:val="005D2FBB"/>
    <w:rsid w:val="005D434B"/>
    <w:rsid w:val="005D5157"/>
    <w:rsid w:val="005D586E"/>
    <w:rsid w:val="005E1A2E"/>
    <w:rsid w:val="005E23F1"/>
    <w:rsid w:val="005E7744"/>
    <w:rsid w:val="005E7D35"/>
    <w:rsid w:val="005F0335"/>
    <w:rsid w:val="005F051A"/>
    <w:rsid w:val="005F36F8"/>
    <w:rsid w:val="005F4E9F"/>
    <w:rsid w:val="005F56D5"/>
    <w:rsid w:val="006002A1"/>
    <w:rsid w:val="0060128D"/>
    <w:rsid w:val="006038B7"/>
    <w:rsid w:val="00611F6D"/>
    <w:rsid w:val="00612DB0"/>
    <w:rsid w:val="00617FBA"/>
    <w:rsid w:val="00620C11"/>
    <w:rsid w:val="006219A5"/>
    <w:rsid w:val="00622807"/>
    <w:rsid w:val="006323F7"/>
    <w:rsid w:val="0063680F"/>
    <w:rsid w:val="006369BE"/>
    <w:rsid w:val="006406CB"/>
    <w:rsid w:val="00641231"/>
    <w:rsid w:val="006446AE"/>
    <w:rsid w:val="00645242"/>
    <w:rsid w:val="006525E5"/>
    <w:rsid w:val="00655DFF"/>
    <w:rsid w:val="00662D44"/>
    <w:rsid w:val="00663A57"/>
    <w:rsid w:val="006668C1"/>
    <w:rsid w:val="00667714"/>
    <w:rsid w:val="00670797"/>
    <w:rsid w:val="00671734"/>
    <w:rsid w:val="00671EED"/>
    <w:rsid w:val="0068487A"/>
    <w:rsid w:val="006853CA"/>
    <w:rsid w:val="006865B5"/>
    <w:rsid w:val="006A4084"/>
    <w:rsid w:val="006B78EF"/>
    <w:rsid w:val="006C13D8"/>
    <w:rsid w:val="006C4A88"/>
    <w:rsid w:val="006C59F8"/>
    <w:rsid w:val="006C5D07"/>
    <w:rsid w:val="006D32D4"/>
    <w:rsid w:val="006D441A"/>
    <w:rsid w:val="006D51A3"/>
    <w:rsid w:val="006D55D2"/>
    <w:rsid w:val="006D5CAE"/>
    <w:rsid w:val="006D6B05"/>
    <w:rsid w:val="006E01DD"/>
    <w:rsid w:val="006E3681"/>
    <w:rsid w:val="006E7629"/>
    <w:rsid w:val="006F347B"/>
    <w:rsid w:val="00700A3D"/>
    <w:rsid w:val="00704971"/>
    <w:rsid w:val="0070579D"/>
    <w:rsid w:val="00706EDB"/>
    <w:rsid w:val="007142F5"/>
    <w:rsid w:val="00716EA5"/>
    <w:rsid w:val="00720EE7"/>
    <w:rsid w:val="00723239"/>
    <w:rsid w:val="00736E99"/>
    <w:rsid w:val="007438B5"/>
    <w:rsid w:val="00744779"/>
    <w:rsid w:val="00745ADD"/>
    <w:rsid w:val="0074769E"/>
    <w:rsid w:val="00750992"/>
    <w:rsid w:val="007548DB"/>
    <w:rsid w:val="00757EF3"/>
    <w:rsid w:val="00760321"/>
    <w:rsid w:val="0076563E"/>
    <w:rsid w:val="007663AA"/>
    <w:rsid w:val="00771D68"/>
    <w:rsid w:val="00774C68"/>
    <w:rsid w:val="00774C9F"/>
    <w:rsid w:val="0077571C"/>
    <w:rsid w:val="00777569"/>
    <w:rsid w:val="007803D1"/>
    <w:rsid w:val="00782A03"/>
    <w:rsid w:val="007838DA"/>
    <w:rsid w:val="00783F10"/>
    <w:rsid w:val="00785423"/>
    <w:rsid w:val="00791FCB"/>
    <w:rsid w:val="007926F6"/>
    <w:rsid w:val="0079376C"/>
    <w:rsid w:val="007940C6"/>
    <w:rsid w:val="00796E95"/>
    <w:rsid w:val="007A1DAD"/>
    <w:rsid w:val="007B2BCD"/>
    <w:rsid w:val="007B55F5"/>
    <w:rsid w:val="007B7D74"/>
    <w:rsid w:val="007C0DC0"/>
    <w:rsid w:val="007C2CE5"/>
    <w:rsid w:val="007C3129"/>
    <w:rsid w:val="007C3457"/>
    <w:rsid w:val="007C4EB7"/>
    <w:rsid w:val="007C5418"/>
    <w:rsid w:val="007C6621"/>
    <w:rsid w:val="007D0A92"/>
    <w:rsid w:val="007D209A"/>
    <w:rsid w:val="007D5A66"/>
    <w:rsid w:val="007D616B"/>
    <w:rsid w:val="007D684E"/>
    <w:rsid w:val="007E087B"/>
    <w:rsid w:val="007E1946"/>
    <w:rsid w:val="007E2CAB"/>
    <w:rsid w:val="007E32CA"/>
    <w:rsid w:val="007F01BF"/>
    <w:rsid w:val="007F0A79"/>
    <w:rsid w:val="007F462C"/>
    <w:rsid w:val="007F65C4"/>
    <w:rsid w:val="007F682D"/>
    <w:rsid w:val="00801496"/>
    <w:rsid w:val="008039E1"/>
    <w:rsid w:val="00804C72"/>
    <w:rsid w:val="00806359"/>
    <w:rsid w:val="008119C5"/>
    <w:rsid w:val="00812AB9"/>
    <w:rsid w:val="00812E85"/>
    <w:rsid w:val="00816F1C"/>
    <w:rsid w:val="0081729A"/>
    <w:rsid w:val="008229B1"/>
    <w:rsid w:val="00830178"/>
    <w:rsid w:val="00831BD3"/>
    <w:rsid w:val="00860DD7"/>
    <w:rsid w:val="00861514"/>
    <w:rsid w:val="00862C12"/>
    <w:rsid w:val="00865BA5"/>
    <w:rsid w:val="00866DFE"/>
    <w:rsid w:val="00866FFF"/>
    <w:rsid w:val="00874DD3"/>
    <w:rsid w:val="008755BB"/>
    <w:rsid w:val="00875F20"/>
    <w:rsid w:val="00890CA4"/>
    <w:rsid w:val="00891B7A"/>
    <w:rsid w:val="008927D8"/>
    <w:rsid w:val="008A103D"/>
    <w:rsid w:val="008A37F8"/>
    <w:rsid w:val="008A5079"/>
    <w:rsid w:val="008A5A59"/>
    <w:rsid w:val="008B28CE"/>
    <w:rsid w:val="008B2EDC"/>
    <w:rsid w:val="008B368F"/>
    <w:rsid w:val="008B6E58"/>
    <w:rsid w:val="008B7CE5"/>
    <w:rsid w:val="008C0F00"/>
    <w:rsid w:val="008C45D6"/>
    <w:rsid w:val="008C5B50"/>
    <w:rsid w:val="008C7D7D"/>
    <w:rsid w:val="008C7F85"/>
    <w:rsid w:val="008D0423"/>
    <w:rsid w:val="008D0E41"/>
    <w:rsid w:val="008D3210"/>
    <w:rsid w:val="008D4DF1"/>
    <w:rsid w:val="008D5372"/>
    <w:rsid w:val="008D5565"/>
    <w:rsid w:val="008E2540"/>
    <w:rsid w:val="008E5E79"/>
    <w:rsid w:val="008F0EBB"/>
    <w:rsid w:val="008F60C0"/>
    <w:rsid w:val="00900094"/>
    <w:rsid w:val="00900DDE"/>
    <w:rsid w:val="00901884"/>
    <w:rsid w:val="009107F7"/>
    <w:rsid w:val="0091081D"/>
    <w:rsid w:val="00917EB5"/>
    <w:rsid w:val="00920485"/>
    <w:rsid w:val="00920924"/>
    <w:rsid w:val="00933BE0"/>
    <w:rsid w:val="009376D0"/>
    <w:rsid w:val="00937B92"/>
    <w:rsid w:val="00937CD2"/>
    <w:rsid w:val="00941689"/>
    <w:rsid w:val="009476EA"/>
    <w:rsid w:val="00950D32"/>
    <w:rsid w:val="00955594"/>
    <w:rsid w:val="00966020"/>
    <w:rsid w:val="00972653"/>
    <w:rsid w:val="0097756C"/>
    <w:rsid w:val="009801A9"/>
    <w:rsid w:val="00981087"/>
    <w:rsid w:val="00982E20"/>
    <w:rsid w:val="009836F8"/>
    <w:rsid w:val="00984633"/>
    <w:rsid w:val="00986E4D"/>
    <w:rsid w:val="00986F9F"/>
    <w:rsid w:val="0099096C"/>
    <w:rsid w:val="009914A0"/>
    <w:rsid w:val="00996C12"/>
    <w:rsid w:val="009B00C9"/>
    <w:rsid w:val="009B0171"/>
    <w:rsid w:val="009C366E"/>
    <w:rsid w:val="009C4554"/>
    <w:rsid w:val="009D00BD"/>
    <w:rsid w:val="009D2117"/>
    <w:rsid w:val="009D468E"/>
    <w:rsid w:val="009E2E0B"/>
    <w:rsid w:val="009F223F"/>
    <w:rsid w:val="009F2CE7"/>
    <w:rsid w:val="009F3C36"/>
    <w:rsid w:val="00A0058A"/>
    <w:rsid w:val="00A05962"/>
    <w:rsid w:val="00A05DD5"/>
    <w:rsid w:val="00A06ADB"/>
    <w:rsid w:val="00A0739D"/>
    <w:rsid w:val="00A075A9"/>
    <w:rsid w:val="00A114FD"/>
    <w:rsid w:val="00A11A8D"/>
    <w:rsid w:val="00A11C19"/>
    <w:rsid w:val="00A13390"/>
    <w:rsid w:val="00A144C4"/>
    <w:rsid w:val="00A336FF"/>
    <w:rsid w:val="00A353B1"/>
    <w:rsid w:val="00A35BA9"/>
    <w:rsid w:val="00A36A4E"/>
    <w:rsid w:val="00A452E2"/>
    <w:rsid w:val="00A46422"/>
    <w:rsid w:val="00A55BE7"/>
    <w:rsid w:val="00A56390"/>
    <w:rsid w:val="00A577B4"/>
    <w:rsid w:val="00A7566F"/>
    <w:rsid w:val="00A77697"/>
    <w:rsid w:val="00A82A1E"/>
    <w:rsid w:val="00A8590B"/>
    <w:rsid w:val="00A8682D"/>
    <w:rsid w:val="00A91859"/>
    <w:rsid w:val="00A94733"/>
    <w:rsid w:val="00A94794"/>
    <w:rsid w:val="00AA1E1A"/>
    <w:rsid w:val="00AA25DE"/>
    <w:rsid w:val="00AA5500"/>
    <w:rsid w:val="00AA622C"/>
    <w:rsid w:val="00AA6556"/>
    <w:rsid w:val="00AA6FA2"/>
    <w:rsid w:val="00AA7B81"/>
    <w:rsid w:val="00AB2548"/>
    <w:rsid w:val="00AB2DF8"/>
    <w:rsid w:val="00AC4B99"/>
    <w:rsid w:val="00AC63DF"/>
    <w:rsid w:val="00AD1ED4"/>
    <w:rsid w:val="00AD210C"/>
    <w:rsid w:val="00AD564E"/>
    <w:rsid w:val="00AE4C26"/>
    <w:rsid w:val="00AE561D"/>
    <w:rsid w:val="00AF68DB"/>
    <w:rsid w:val="00B01000"/>
    <w:rsid w:val="00B01062"/>
    <w:rsid w:val="00B01F17"/>
    <w:rsid w:val="00B045A7"/>
    <w:rsid w:val="00B04A8E"/>
    <w:rsid w:val="00B117B4"/>
    <w:rsid w:val="00B14515"/>
    <w:rsid w:val="00B16947"/>
    <w:rsid w:val="00B21C65"/>
    <w:rsid w:val="00B22D4D"/>
    <w:rsid w:val="00B2423A"/>
    <w:rsid w:val="00B24D5E"/>
    <w:rsid w:val="00B25DA3"/>
    <w:rsid w:val="00B30044"/>
    <w:rsid w:val="00B30053"/>
    <w:rsid w:val="00B304E1"/>
    <w:rsid w:val="00B36782"/>
    <w:rsid w:val="00B40742"/>
    <w:rsid w:val="00B43473"/>
    <w:rsid w:val="00B45CB4"/>
    <w:rsid w:val="00B47CA6"/>
    <w:rsid w:val="00B5007A"/>
    <w:rsid w:val="00B509D0"/>
    <w:rsid w:val="00B5565B"/>
    <w:rsid w:val="00B57B63"/>
    <w:rsid w:val="00B64CCA"/>
    <w:rsid w:val="00B7358E"/>
    <w:rsid w:val="00B73BFD"/>
    <w:rsid w:val="00B764E2"/>
    <w:rsid w:val="00B7783C"/>
    <w:rsid w:val="00B77F6F"/>
    <w:rsid w:val="00B8246D"/>
    <w:rsid w:val="00B943C5"/>
    <w:rsid w:val="00BA01B1"/>
    <w:rsid w:val="00BA124F"/>
    <w:rsid w:val="00BA4E7C"/>
    <w:rsid w:val="00BB0155"/>
    <w:rsid w:val="00BB4A03"/>
    <w:rsid w:val="00BC19F4"/>
    <w:rsid w:val="00BC23A1"/>
    <w:rsid w:val="00BC3707"/>
    <w:rsid w:val="00BE058D"/>
    <w:rsid w:val="00BE09DD"/>
    <w:rsid w:val="00BE09FB"/>
    <w:rsid w:val="00BE7C4C"/>
    <w:rsid w:val="00BF254C"/>
    <w:rsid w:val="00BF3F0E"/>
    <w:rsid w:val="00C0187D"/>
    <w:rsid w:val="00C01E77"/>
    <w:rsid w:val="00C04A92"/>
    <w:rsid w:val="00C05310"/>
    <w:rsid w:val="00C055FD"/>
    <w:rsid w:val="00C07475"/>
    <w:rsid w:val="00C149D1"/>
    <w:rsid w:val="00C15467"/>
    <w:rsid w:val="00C16FD7"/>
    <w:rsid w:val="00C17CEB"/>
    <w:rsid w:val="00C23DB2"/>
    <w:rsid w:val="00C265F8"/>
    <w:rsid w:val="00C26BD9"/>
    <w:rsid w:val="00C30315"/>
    <w:rsid w:val="00C30A10"/>
    <w:rsid w:val="00C4333A"/>
    <w:rsid w:val="00C4622D"/>
    <w:rsid w:val="00C4666D"/>
    <w:rsid w:val="00C5241C"/>
    <w:rsid w:val="00C52608"/>
    <w:rsid w:val="00C529A9"/>
    <w:rsid w:val="00C5540A"/>
    <w:rsid w:val="00C55EC7"/>
    <w:rsid w:val="00C62748"/>
    <w:rsid w:val="00C70398"/>
    <w:rsid w:val="00C72061"/>
    <w:rsid w:val="00C720E4"/>
    <w:rsid w:val="00C72BE1"/>
    <w:rsid w:val="00C72F76"/>
    <w:rsid w:val="00C74D04"/>
    <w:rsid w:val="00C74EB2"/>
    <w:rsid w:val="00C7722B"/>
    <w:rsid w:val="00C80651"/>
    <w:rsid w:val="00C8125C"/>
    <w:rsid w:val="00C82D3B"/>
    <w:rsid w:val="00C90E9D"/>
    <w:rsid w:val="00C9124E"/>
    <w:rsid w:val="00C91973"/>
    <w:rsid w:val="00C95FB4"/>
    <w:rsid w:val="00C9626D"/>
    <w:rsid w:val="00C96ADD"/>
    <w:rsid w:val="00C96B9B"/>
    <w:rsid w:val="00CA0F3A"/>
    <w:rsid w:val="00CA1297"/>
    <w:rsid w:val="00CA1A9E"/>
    <w:rsid w:val="00CA6282"/>
    <w:rsid w:val="00CA6872"/>
    <w:rsid w:val="00CB1221"/>
    <w:rsid w:val="00CB7572"/>
    <w:rsid w:val="00CC18AD"/>
    <w:rsid w:val="00CC6C52"/>
    <w:rsid w:val="00CC7232"/>
    <w:rsid w:val="00CD2853"/>
    <w:rsid w:val="00CD2DBC"/>
    <w:rsid w:val="00CD3CAF"/>
    <w:rsid w:val="00CD49E2"/>
    <w:rsid w:val="00CD6A36"/>
    <w:rsid w:val="00CE085B"/>
    <w:rsid w:val="00CE0C69"/>
    <w:rsid w:val="00CE3F35"/>
    <w:rsid w:val="00CE4F76"/>
    <w:rsid w:val="00CE534B"/>
    <w:rsid w:val="00CE6934"/>
    <w:rsid w:val="00CE6FD6"/>
    <w:rsid w:val="00CE792A"/>
    <w:rsid w:val="00CF086F"/>
    <w:rsid w:val="00CF1A9C"/>
    <w:rsid w:val="00CF3F3D"/>
    <w:rsid w:val="00CF4B36"/>
    <w:rsid w:val="00CF5D8F"/>
    <w:rsid w:val="00CF6C19"/>
    <w:rsid w:val="00D031E8"/>
    <w:rsid w:val="00D07C1D"/>
    <w:rsid w:val="00D13455"/>
    <w:rsid w:val="00D17E5E"/>
    <w:rsid w:val="00D207CB"/>
    <w:rsid w:val="00D25542"/>
    <w:rsid w:val="00D262D3"/>
    <w:rsid w:val="00D27550"/>
    <w:rsid w:val="00D30267"/>
    <w:rsid w:val="00D310F0"/>
    <w:rsid w:val="00D343C4"/>
    <w:rsid w:val="00D40103"/>
    <w:rsid w:val="00D423EE"/>
    <w:rsid w:val="00D43E80"/>
    <w:rsid w:val="00D4457B"/>
    <w:rsid w:val="00D45C5C"/>
    <w:rsid w:val="00D45F84"/>
    <w:rsid w:val="00D47884"/>
    <w:rsid w:val="00D533D8"/>
    <w:rsid w:val="00D55451"/>
    <w:rsid w:val="00D55685"/>
    <w:rsid w:val="00D558F8"/>
    <w:rsid w:val="00D60D47"/>
    <w:rsid w:val="00D61530"/>
    <w:rsid w:val="00D61C11"/>
    <w:rsid w:val="00D61D14"/>
    <w:rsid w:val="00D643FE"/>
    <w:rsid w:val="00D66457"/>
    <w:rsid w:val="00D6796D"/>
    <w:rsid w:val="00D7465F"/>
    <w:rsid w:val="00D74CBD"/>
    <w:rsid w:val="00D75613"/>
    <w:rsid w:val="00D762C5"/>
    <w:rsid w:val="00D85E33"/>
    <w:rsid w:val="00D86B89"/>
    <w:rsid w:val="00D925B1"/>
    <w:rsid w:val="00D95731"/>
    <w:rsid w:val="00DA27EF"/>
    <w:rsid w:val="00DA2C77"/>
    <w:rsid w:val="00DA6BE9"/>
    <w:rsid w:val="00DA6C69"/>
    <w:rsid w:val="00DB0BA7"/>
    <w:rsid w:val="00DB1CB2"/>
    <w:rsid w:val="00DB20CD"/>
    <w:rsid w:val="00DB2587"/>
    <w:rsid w:val="00DB3109"/>
    <w:rsid w:val="00DB3347"/>
    <w:rsid w:val="00DC2F3C"/>
    <w:rsid w:val="00DC6146"/>
    <w:rsid w:val="00DC7AF0"/>
    <w:rsid w:val="00DD15FA"/>
    <w:rsid w:val="00DD3E49"/>
    <w:rsid w:val="00DD6288"/>
    <w:rsid w:val="00DD6395"/>
    <w:rsid w:val="00DE08C2"/>
    <w:rsid w:val="00DE27C0"/>
    <w:rsid w:val="00DE3A4D"/>
    <w:rsid w:val="00DE4193"/>
    <w:rsid w:val="00DE52F6"/>
    <w:rsid w:val="00DF3107"/>
    <w:rsid w:val="00DF533D"/>
    <w:rsid w:val="00DF6835"/>
    <w:rsid w:val="00E00018"/>
    <w:rsid w:val="00E016D1"/>
    <w:rsid w:val="00E01B29"/>
    <w:rsid w:val="00E137BC"/>
    <w:rsid w:val="00E14FA3"/>
    <w:rsid w:val="00E174FA"/>
    <w:rsid w:val="00E2291E"/>
    <w:rsid w:val="00E22C04"/>
    <w:rsid w:val="00E234F0"/>
    <w:rsid w:val="00E308AE"/>
    <w:rsid w:val="00E33462"/>
    <w:rsid w:val="00E340F9"/>
    <w:rsid w:val="00E35789"/>
    <w:rsid w:val="00E3602D"/>
    <w:rsid w:val="00E4565C"/>
    <w:rsid w:val="00E528E8"/>
    <w:rsid w:val="00E548C3"/>
    <w:rsid w:val="00E5684E"/>
    <w:rsid w:val="00E56E5E"/>
    <w:rsid w:val="00E57427"/>
    <w:rsid w:val="00E61213"/>
    <w:rsid w:val="00E633C1"/>
    <w:rsid w:val="00E637AC"/>
    <w:rsid w:val="00E65D05"/>
    <w:rsid w:val="00E66915"/>
    <w:rsid w:val="00E67DD1"/>
    <w:rsid w:val="00E7221A"/>
    <w:rsid w:val="00E7317C"/>
    <w:rsid w:val="00E74FD8"/>
    <w:rsid w:val="00E759CD"/>
    <w:rsid w:val="00E77113"/>
    <w:rsid w:val="00E83620"/>
    <w:rsid w:val="00E83E1C"/>
    <w:rsid w:val="00E84993"/>
    <w:rsid w:val="00E8778E"/>
    <w:rsid w:val="00E91A06"/>
    <w:rsid w:val="00E922A2"/>
    <w:rsid w:val="00E93604"/>
    <w:rsid w:val="00E954E7"/>
    <w:rsid w:val="00E95853"/>
    <w:rsid w:val="00EA1405"/>
    <w:rsid w:val="00EA4E19"/>
    <w:rsid w:val="00EA6C13"/>
    <w:rsid w:val="00EB31C1"/>
    <w:rsid w:val="00EB68B9"/>
    <w:rsid w:val="00EB70E1"/>
    <w:rsid w:val="00EC0BF5"/>
    <w:rsid w:val="00EC15DD"/>
    <w:rsid w:val="00EC2756"/>
    <w:rsid w:val="00EC33F8"/>
    <w:rsid w:val="00ED35FE"/>
    <w:rsid w:val="00ED3EA5"/>
    <w:rsid w:val="00EE08ED"/>
    <w:rsid w:val="00EE0D4F"/>
    <w:rsid w:val="00EE260F"/>
    <w:rsid w:val="00EE3EAD"/>
    <w:rsid w:val="00EE5780"/>
    <w:rsid w:val="00EE6206"/>
    <w:rsid w:val="00EF0188"/>
    <w:rsid w:val="00EF1082"/>
    <w:rsid w:val="00EF4F6C"/>
    <w:rsid w:val="00EF5659"/>
    <w:rsid w:val="00F02A8D"/>
    <w:rsid w:val="00F02F91"/>
    <w:rsid w:val="00F061A6"/>
    <w:rsid w:val="00F06EF5"/>
    <w:rsid w:val="00F11ECC"/>
    <w:rsid w:val="00F15C26"/>
    <w:rsid w:val="00F17DC9"/>
    <w:rsid w:val="00F233AB"/>
    <w:rsid w:val="00F23BEB"/>
    <w:rsid w:val="00F2472F"/>
    <w:rsid w:val="00F2626D"/>
    <w:rsid w:val="00F30E09"/>
    <w:rsid w:val="00F35CA8"/>
    <w:rsid w:val="00F36DC2"/>
    <w:rsid w:val="00F40406"/>
    <w:rsid w:val="00F42E4D"/>
    <w:rsid w:val="00F44D46"/>
    <w:rsid w:val="00F45784"/>
    <w:rsid w:val="00F573D1"/>
    <w:rsid w:val="00F60092"/>
    <w:rsid w:val="00F609EE"/>
    <w:rsid w:val="00F61CB0"/>
    <w:rsid w:val="00F6548A"/>
    <w:rsid w:val="00F73B45"/>
    <w:rsid w:val="00F748AE"/>
    <w:rsid w:val="00F8230F"/>
    <w:rsid w:val="00F83802"/>
    <w:rsid w:val="00FA0DD7"/>
    <w:rsid w:val="00FA17C6"/>
    <w:rsid w:val="00FB082E"/>
    <w:rsid w:val="00FB234B"/>
    <w:rsid w:val="00FB4134"/>
    <w:rsid w:val="00FB4DB7"/>
    <w:rsid w:val="00FC752E"/>
    <w:rsid w:val="00FC78F7"/>
    <w:rsid w:val="00FC7CCA"/>
    <w:rsid w:val="00FD3587"/>
    <w:rsid w:val="00FD49EA"/>
    <w:rsid w:val="00FD5337"/>
    <w:rsid w:val="00FE1468"/>
    <w:rsid w:val="00FE42BB"/>
    <w:rsid w:val="00FE4B6C"/>
    <w:rsid w:val="00FF00D3"/>
    <w:rsid w:val="00FF2A53"/>
    <w:rsid w:val="00FF5FBC"/>
    <w:rsid w:val="00FF76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62828F1A"/>
  <w15:docId w15:val="{3D18C018-C8F8-4D37-98D5-29D37C91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422"/>
    <w:pPr>
      <w:widowControl w:val="0"/>
      <w:suppressAutoHyphens/>
      <w:overflowPunct w:val="0"/>
      <w:adjustRightInd w:val="0"/>
    </w:pPr>
    <w:rPr>
      <w:rFonts w:ascii="Times New Roman"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j-lbldoi">
    <w:name w:val="ej-lbldoi"/>
    <w:uiPriority w:val="99"/>
    <w:rsid w:val="00791FCB"/>
  </w:style>
  <w:style w:type="character" w:styleId="CommentReference">
    <w:name w:val="annotation reference"/>
    <w:basedOn w:val="DefaultParagraphFont"/>
    <w:uiPriority w:val="99"/>
    <w:semiHidden/>
    <w:rsid w:val="00CF4B36"/>
    <w:rPr>
      <w:rFonts w:cs="Times New Roman"/>
      <w:sz w:val="18"/>
    </w:rPr>
  </w:style>
  <w:style w:type="paragraph" w:styleId="CommentText">
    <w:name w:val="annotation text"/>
    <w:basedOn w:val="Normal"/>
    <w:link w:val="CommentTextChar"/>
    <w:uiPriority w:val="99"/>
    <w:semiHidden/>
    <w:rsid w:val="00CF4B36"/>
    <w:rPr>
      <w:szCs w:val="20"/>
    </w:rPr>
  </w:style>
  <w:style w:type="character" w:customStyle="1" w:styleId="CommentTextChar">
    <w:name w:val="Comment Text Char"/>
    <w:basedOn w:val="DefaultParagraphFont"/>
    <w:link w:val="CommentText"/>
    <w:uiPriority w:val="99"/>
    <w:semiHidden/>
    <w:locked/>
    <w:rsid w:val="00CF4B36"/>
    <w:rPr>
      <w:rFonts w:ascii="Times New Roman" w:hAnsi="Times New Roman" w:cs="Times New Roman"/>
      <w:kern w:val="1"/>
      <w:sz w:val="24"/>
    </w:rPr>
  </w:style>
  <w:style w:type="paragraph" w:styleId="CommentSubject">
    <w:name w:val="annotation subject"/>
    <w:basedOn w:val="CommentText"/>
    <w:next w:val="CommentText"/>
    <w:link w:val="CommentSubjectChar"/>
    <w:uiPriority w:val="99"/>
    <w:semiHidden/>
    <w:rsid w:val="00CF4B36"/>
    <w:rPr>
      <w:b/>
    </w:rPr>
  </w:style>
  <w:style w:type="character" w:customStyle="1" w:styleId="CommentSubjectChar">
    <w:name w:val="Comment Subject Char"/>
    <w:basedOn w:val="CommentTextChar"/>
    <w:link w:val="CommentSubject"/>
    <w:uiPriority w:val="99"/>
    <w:semiHidden/>
    <w:locked/>
    <w:rsid w:val="00CF4B36"/>
    <w:rPr>
      <w:rFonts w:ascii="Times New Roman" w:hAnsi="Times New Roman" w:cs="Times New Roman"/>
      <w:b/>
      <w:kern w:val="1"/>
      <w:sz w:val="24"/>
    </w:rPr>
  </w:style>
  <w:style w:type="paragraph" w:customStyle="1" w:styleId="Revisin1">
    <w:name w:val="Revisión1"/>
    <w:hidden/>
    <w:uiPriority w:val="99"/>
    <w:semiHidden/>
    <w:rsid w:val="00CF4B36"/>
    <w:rPr>
      <w:rFonts w:ascii="Times New Roman" w:hAnsi="Times New Roman" w:cs="Times New Roman"/>
      <w:kern w:val="1"/>
      <w:sz w:val="24"/>
      <w:szCs w:val="24"/>
    </w:rPr>
  </w:style>
  <w:style w:type="paragraph" w:styleId="BalloonText">
    <w:name w:val="Balloon Text"/>
    <w:basedOn w:val="Normal"/>
    <w:link w:val="BalloonTextChar"/>
    <w:uiPriority w:val="99"/>
    <w:semiHidden/>
    <w:rsid w:val="00CF4B36"/>
    <w:rPr>
      <w:rFonts w:ascii="Lucida Grande" w:hAnsi="Lucida Grande"/>
      <w:sz w:val="18"/>
      <w:szCs w:val="20"/>
    </w:rPr>
  </w:style>
  <w:style w:type="character" w:customStyle="1" w:styleId="BalloonTextChar">
    <w:name w:val="Balloon Text Char"/>
    <w:basedOn w:val="DefaultParagraphFont"/>
    <w:link w:val="BalloonText"/>
    <w:uiPriority w:val="99"/>
    <w:semiHidden/>
    <w:locked/>
    <w:rsid w:val="00CF4B36"/>
    <w:rPr>
      <w:rFonts w:ascii="Lucida Grande" w:hAnsi="Lucida Grande" w:cs="Times New Roman"/>
      <w:kern w:val="1"/>
      <w:sz w:val="18"/>
    </w:rPr>
  </w:style>
  <w:style w:type="paragraph" w:customStyle="1" w:styleId="p">
    <w:name w:val="p"/>
    <w:basedOn w:val="Normal"/>
    <w:uiPriority w:val="99"/>
    <w:rsid w:val="009C4554"/>
    <w:pPr>
      <w:widowControl/>
      <w:suppressAutoHyphens w:val="0"/>
      <w:overflowPunct/>
      <w:adjustRightInd/>
      <w:spacing w:before="100" w:beforeAutospacing="1" w:after="100" w:afterAutospacing="1"/>
    </w:pPr>
    <w:rPr>
      <w:kern w:val="0"/>
      <w:lang w:val="en-US" w:eastAsia="en-US"/>
    </w:rPr>
  </w:style>
  <w:style w:type="paragraph" w:styleId="NormalWeb">
    <w:name w:val="Normal (Web)"/>
    <w:basedOn w:val="Normal"/>
    <w:uiPriority w:val="99"/>
    <w:semiHidden/>
    <w:rsid w:val="009C4554"/>
    <w:pPr>
      <w:widowControl/>
      <w:suppressAutoHyphens w:val="0"/>
      <w:overflowPunct/>
      <w:adjustRightInd/>
      <w:spacing w:before="100" w:beforeAutospacing="1" w:after="100" w:afterAutospacing="1"/>
    </w:pPr>
    <w:rPr>
      <w:kern w:val="0"/>
      <w:lang w:val="en-US" w:eastAsia="en-US"/>
    </w:rPr>
  </w:style>
  <w:style w:type="table" w:styleId="TableGrid">
    <w:name w:val="Table Grid"/>
    <w:basedOn w:val="TableNormal"/>
    <w:uiPriority w:val="99"/>
    <w:locked/>
    <w:rsid w:val="0016005E"/>
    <w:rPr>
      <w:rFonts w:ascii="Times New Roman" w:eastAsia="MS Minng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6005E"/>
    <w:pPr>
      <w:tabs>
        <w:tab w:val="center" w:pos="4252"/>
        <w:tab w:val="right" w:pos="8504"/>
      </w:tabs>
    </w:pPr>
  </w:style>
  <w:style w:type="character" w:customStyle="1" w:styleId="HeaderChar">
    <w:name w:val="Header Char"/>
    <w:basedOn w:val="DefaultParagraphFont"/>
    <w:link w:val="Header"/>
    <w:uiPriority w:val="99"/>
    <w:semiHidden/>
    <w:locked/>
    <w:rsid w:val="004451ED"/>
    <w:rPr>
      <w:rFonts w:ascii="Times New Roman" w:hAnsi="Times New Roman" w:cs="Times New Roman"/>
      <w:kern w:val="1"/>
      <w:sz w:val="24"/>
    </w:rPr>
  </w:style>
  <w:style w:type="paragraph" w:styleId="Footer">
    <w:name w:val="footer"/>
    <w:basedOn w:val="Normal"/>
    <w:link w:val="FooterChar"/>
    <w:uiPriority w:val="99"/>
    <w:rsid w:val="0016005E"/>
    <w:pPr>
      <w:tabs>
        <w:tab w:val="center" w:pos="4252"/>
        <w:tab w:val="right" w:pos="8504"/>
      </w:tabs>
    </w:pPr>
  </w:style>
  <w:style w:type="character" w:customStyle="1" w:styleId="FooterChar">
    <w:name w:val="Footer Char"/>
    <w:basedOn w:val="DefaultParagraphFont"/>
    <w:link w:val="Footer"/>
    <w:uiPriority w:val="99"/>
    <w:semiHidden/>
    <w:locked/>
    <w:rsid w:val="004451ED"/>
    <w:rPr>
      <w:rFonts w:ascii="Times New Roman" w:hAnsi="Times New Roman" w:cs="Times New Roman"/>
      <w:kern w:val="1"/>
      <w:sz w:val="24"/>
    </w:rPr>
  </w:style>
  <w:style w:type="character" w:styleId="PageNumber">
    <w:name w:val="page number"/>
    <w:basedOn w:val="DefaultParagraphFont"/>
    <w:uiPriority w:val="99"/>
    <w:rsid w:val="005A7AA2"/>
    <w:rPr>
      <w:rFonts w:cs="Times New Roman"/>
    </w:rPr>
  </w:style>
  <w:style w:type="character" w:styleId="LineNumber">
    <w:name w:val="line number"/>
    <w:basedOn w:val="DefaultParagraphFont"/>
    <w:uiPriority w:val="99"/>
    <w:rsid w:val="009914A0"/>
    <w:rPr>
      <w:rFonts w:cs="Times New Roman"/>
    </w:rPr>
  </w:style>
  <w:style w:type="paragraph" w:styleId="ListParagraph">
    <w:name w:val="List Paragraph"/>
    <w:basedOn w:val="Normal"/>
    <w:uiPriority w:val="99"/>
    <w:qFormat/>
    <w:rsid w:val="008B368F"/>
    <w:pPr>
      <w:widowControl/>
      <w:suppressAutoHyphens w:val="0"/>
      <w:overflowPunct/>
      <w:adjustRightInd/>
      <w:ind w:left="720"/>
      <w:contextualSpacing/>
    </w:pPr>
    <w:rPr>
      <w:kern w:val="0"/>
      <w:lang w:val="en-GB" w:eastAsia="en-GB"/>
    </w:rPr>
  </w:style>
  <w:style w:type="paragraph" w:styleId="Revision">
    <w:name w:val="Revision"/>
    <w:hidden/>
    <w:uiPriority w:val="99"/>
    <w:semiHidden/>
    <w:rsid w:val="00700A3D"/>
    <w:rPr>
      <w:rFonts w:ascii="Times New Roman"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3282">
      <w:marLeft w:val="0"/>
      <w:marRight w:val="0"/>
      <w:marTop w:val="0"/>
      <w:marBottom w:val="0"/>
      <w:divBdr>
        <w:top w:val="none" w:sz="0" w:space="0" w:color="auto"/>
        <w:left w:val="none" w:sz="0" w:space="0" w:color="auto"/>
        <w:bottom w:val="none" w:sz="0" w:space="0" w:color="auto"/>
        <w:right w:val="none" w:sz="0" w:space="0" w:color="auto"/>
      </w:divBdr>
      <w:divsChild>
        <w:div w:id="73283281">
          <w:marLeft w:val="0"/>
          <w:marRight w:val="0"/>
          <w:marTop w:val="0"/>
          <w:marBottom w:val="0"/>
          <w:divBdr>
            <w:top w:val="none" w:sz="0" w:space="0" w:color="auto"/>
            <w:left w:val="none" w:sz="0" w:space="0" w:color="auto"/>
            <w:bottom w:val="none" w:sz="0" w:space="0" w:color="auto"/>
            <w:right w:val="none" w:sz="0" w:space="0" w:color="auto"/>
          </w:divBdr>
          <w:divsChild>
            <w:div w:id="73283284">
              <w:marLeft w:val="0"/>
              <w:marRight w:val="0"/>
              <w:marTop w:val="0"/>
              <w:marBottom w:val="0"/>
              <w:divBdr>
                <w:top w:val="none" w:sz="0" w:space="0" w:color="auto"/>
                <w:left w:val="none" w:sz="0" w:space="0" w:color="auto"/>
                <w:bottom w:val="none" w:sz="0" w:space="0" w:color="auto"/>
                <w:right w:val="none" w:sz="0" w:space="0" w:color="auto"/>
              </w:divBdr>
              <w:divsChild>
                <w:div w:id="73283285">
                  <w:marLeft w:val="0"/>
                  <w:marRight w:val="0"/>
                  <w:marTop w:val="0"/>
                  <w:marBottom w:val="0"/>
                  <w:divBdr>
                    <w:top w:val="none" w:sz="0" w:space="0" w:color="auto"/>
                    <w:left w:val="none" w:sz="0" w:space="0" w:color="auto"/>
                    <w:bottom w:val="none" w:sz="0" w:space="0" w:color="auto"/>
                    <w:right w:val="none" w:sz="0" w:space="0" w:color="auto"/>
                  </w:divBdr>
                  <w:divsChild>
                    <w:div w:id="732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3283">
      <w:marLeft w:val="0"/>
      <w:marRight w:val="0"/>
      <w:marTop w:val="0"/>
      <w:marBottom w:val="0"/>
      <w:divBdr>
        <w:top w:val="none" w:sz="0" w:space="0" w:color="auto"/>
        <w:left w:val="none" w:sz="0" w:space="0" w:color="auto"/>
        <w:bottom w:val="none" w:sz="0" w:space="0" w:color="auto"/>
        <w:right w:val="none" w:sz="0" w:space="0" w:color="auto"/>
      </w:divBdr>
    </w:div>
    <w:div w:id="73283287">
      <w:marLeft w:val="0"/>
      <w:marRight w:val="0"/>
      <w:marTop w:val="0"/>
      <w:marBottom w:val="0"/>
      <w:divBdr>
        <w:top w:val="none" w:sz="0" w:space="0" w:color="auto"/>
        <w:left w:val="none" w:sz="0" w:space="0" w:color="auto"/>
        <w:bottom w:val="none" w:sz="0" w:space="0" w:color="auto"/>
        <w:right w:val="none" w:sz="0" w:space="0" w:color="auto"/>
      </w:divBdr>
    </w:div>
    <w:div w:id="73283290">
      <w:marLeft w:val="0"/>
      <w:marRight w:val="0"/>
      <w:marTop w:val="0"/>
      <w:marBottom w:val="0"/>
      <w:divBdr>
        <w:top w:val="none" w:sz="0" w:space="0" w:color="auto"/>
        <w:left w:val="none" w:sz="0" w:space="0" w:color="auto"/>
        <w:bottom w:val="none" w:sz="0" w:space="0" w:color="auto"/>
        <w:right w:val="none" w:sz="0" w:space="0" w:color="auto"/>
      </w:divBdr>
      <w:divsChild>
        <w:div w:id="73283280">
          <w:marLeft w:val="1267"/>
          <w:marRight w:val="0"/>
          <w:marTop w:val="0"/>
          <w:marBottom w:val="0"/>
          <w:divBdr>
            <w:top w:val="none" w:sz="0" w:space="0" w:color="auto"/>
            <w:left w:val="none" w:sz="0" w:space="0" w:color="auto"/>
            <w:bottom w:val="none" w:sz="0" w:space="0" w:color="auto"/>
            <w:right w:val="none" w:sz="0" w:space="0" w:color="auto"/>
          </w:divBdr>
        </w:div>
        <w:div w:id="73283288">
          <w:marLeft w:val="1267"/>
          <w:marRight w:val="0"/>
          <w:marTop w:val="0"/>
          <w:marBottom w:val="400"/>
          <w:divBdr>
            <w:top w:val="none" w:sz="0" w:space="0" w:color="auto"/>
            <w:left w:val="none" w:sz="0" w:space="0" w:color="auto"/>
            <w:bottom w:val="none" w:sz="0" w:space="0" w:color="auto"/>
            <w:right w:val="none" w:sz="0" w:space="0" w:color="auto"/>
          </w:divBdr>
        </w:div>
        <w:div w:id="73283289">
          <w:marLeft w:val="1267"/>
          <w:marRight w:val="0"/>
          <w:marTop w:val="0"/>
          <w:marBottom w:val="0"/>
          <w:divBdr>
            <w:top w:val="none" w:sz="0" w:space="0" w:color="auto"/>
            <w:left w:val="none" w:sz="0" w:space="0" w:color="auto"/>
            <w:bottom w:val="none" w:sz="0" w:space="0" w:color="auto"/>
            <w:right w:val="none" w:sz="0" w:space="0" w:color="auto"/>
          </w:divBdr>
        </w:div>
        <w:div w:id="73283292">
          <w:marLeft w:val="1267"/>
          <w:marRight w:val="0"/>
          <w:marTop w:val="0"/>
          <w:marBottom w:val="400"/>
          <w:divBdr>
            <w:top w:val="none" w:sz="0" w:space="0" w:color="auto"/>
            <w:left w:val="none" w:sz="0" w:space="0" w:color="auto"/>
            <w:bottom w:val="none" w:sz="0" w:space="0" w:color="auto"/>
            <w:right w:val="none" w:sz="0" w:space="0" w:color="auto"/>
          </w:divBdr>
        </w:div>
        <w:div w:id="73283293">
          <w:marLeft w:val="1267"/>
          <w:marRight w:val="0"/>
          <w:marTop w:val="0"/>
          <w:marBottom w:val="0"/>
          <w:divBdr>
            <w:top w:val="none" w:sz="0" w:space="0" w:color="auto"/>
            <w:left w:val="none" w:sz="0" w:space="0" w:color="auto"/>
            <w:bottom w:val="none" w:sz="0" w:space="0" w:color="auto"/>
            <w:right w:val="none" w:sz="0" w:space="0" w:color="auto"/>
          </w:divBdr>
        </w:div>
        <w:div w:id="73283294">
          <w:marLeft w:val="1267"/>
          <w:marRight w:val="0"/>
          <w:marTop w:val="0"/>
          <w:marBottom w:val="400"/>
          <w:divBdr>
            <w:top w:val="none" w:sz="0" w:space="0" w:color="auto"/>
            <w:left w:val="none" w:sz="0" w:space="0" w:color="auto"/>
            <w:bottom w:val="none" w:sz="0" w:space="0" w:color="auto"/>
            <w:right w:val="none" w:sz="0" w:space="0" w:color="auto"/>
          </w:divBdr>
        </w:div>
        <w:div w:id="73283295">
          <w:marLeft w:val="1267"/>
          <w:marRight w:val="0"/>
          <w:marTop w:val="0"/>
          <w:marBottom w:val="0"/>
          <w:divBdr>
            <w:top w:val="none" w:sz="0" w:space="0" w:color="auto"/>
            <w:left w:val="none" w:sz="0" w:space="0" w:color="auto"/>
            <w:bottom w:val="none" w:sz="0" w:space="0" w:color="auto"/>
            <w:right w:val="none" w:sz="0" w:space="0" w:color="auto"/>
          </w:divBdr>
        </w:div>
      </w:divsChild>
    </w:div>
    <w:div w:id="73283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3946</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HIV-1 decay and dolutegravir concentrations in semen of antiretroviral naïve patients initiating abacavir/lamivudine plus dolutegravir</vt:lpstr>
    </vt:vector>
  </TitlesOfParts>
  <Company>UNC Eshelman School of Pharmacy</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HIV-1 decay and dolutegravir concentrations in semen of antiretroviral naïve patients initiating abacavir/lamivudine plus dolutegravir</dc:title>
  <dc:subject/>
  <dc:creator>arkaitzmarga</dc:creator>
  <cp:keywords/>
  <dc:description/>
  <cp:lastModifiedBy>Amara, Alieu</cp:lastModifiedBy>
  <cp:revision>3</cp:revision>
  <cp:lastPrinted>2017-04-24T12:00:00Z</cp:lastPrinted>
  <dcterms:created xsi:type="dcterms:W3CDTF">2018-06-06T08:24:00Z</dcterms:created>
  <dcterms:modified xsi:type="dcterms:W3CDTF">2018-06-06T08:25:00Z</dcterms:modified>
</cp:coreProperties>
</file>