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81CF76" w14:textId="073E9329" w:rsidR="006D41AD" w:rsidRDefault="006D41AD" w:rsidP="006D41AD">
      <w:pPr>
        <w:widowControl w:val="0"/>
        <w:autoSpaceDE w:val="0"/>
        <w:autoSpaceDN w:val="0"/>
        <w:adjustRightInd w:val="0"/>
        <w:rPr>
          <w:rFonts w:ascii="PO¸Rˇ" w:hAnsi="PO¸Rˇ" w:cs="PO¸Rˇ"/>
          <w:sz w:val="36"/>
          <w:szCs w:val="36"/>
        </w:rPr>
      </w:pPr>
      <w:r>
        <w:rPr>
          <w:rFonts w:ascii="PO¸Rˇ" w:hAnsi="PO¸Rˇ" w:cs="PO¸Rˇ"/>
          <w:sz w:val="36"/>
          <w:szCs w:val="36"/>
        </w:rPr>
        <w:t>A methodological framework for defining</w:t>
      </w:r>
      <w:r w:rsidR="0070652F">
        <w:rPr>
          <w:rFonts w:ascii="PO¸Rˇ" w:hAnsi="PO¸Rˇ" w:cs="PO¸Rˇ"/>
          <w:sz w:val="36"/>
          <w:szCs w:val="36"/>
        </w:rPr>
        <w:t xml:space="preserve"> </w:t>
      </w:r>
      <w:r>
        <w:rPr>
          <w:rFonts w:ascii="PO¸Rˇ" w:hAnsi="PO¸Rˇ" w:cs="PO¸Rˇ"/>
          <w:sz w:val="36"/>
          <w:szCs w:val="36"/>
        </w:rPr>
        <w:t>‘typological process’: the transformation of the</w:t>
      </w:r>
      <w:r w:rsidR="0070652F">
        <w:rPr>
          <w:rFonts w:ascii="PO¸Rˇ" w:hAnsi="PO¸Rˇ" w:cs="PO¸Rˇ"/>
          <w:sz w:val="36"/>
          <w:szCs w:val="36"/>
        </w:rPr>
        <w:t xml:space="preserve"> </w:t>
      </w:r>
      <w:r>
        <w:rPr>
          <w:rFonts w:ascii="PO¸Rˇ" w:hAnsi="PO¸Rˇ" w:cs="PO¸Rˇ"/>
          <w:sz w:val="36"/>
          <w:szCs w:val="36"/>
        </w:rPr>
        <w:t>residential environment in Ankara, Turkey</w:t>
      </w:r>
    </w:p>
    <w:p w14:paraId="0600C7A0" w14:textId="77777777" w:rsidR="006D41AD" w:rsidRDefault="006D41AD" w:rsidP="006D41AD">
      <w:pPr>
        <w:widowControl w:val="0"/>
        <w:autoSpaceDE w:val="0"/>
        <w:autoSpaceDN w:val="0"/>
        <w:adjustRightInd w:val="0"/>
        <w:rPr>
          <w:rFonts w:ascii="PO¸Rˇ" w:hAnsi="PO¸Rˇ" w:cs="PO¸Rˇ"/>
          <w:sz w:val="36"/>
          <w:szCs w:val="36"/>
        </w:rPr>
      </w:pPr>
    </w:p>
    <w:p w14:paraId="66F6EBDC" w14:textId="77777777" w:rsidR="00122754" w:rsidRDefault="006D41AD" w:rsidP="006D41AD">
      <w:pPr>
        <w:rPr>
          <w:rFonts w:ascii="PO¸Rˇ" w:hAnsi="PO¸Rˇ" w:cs="PO¸Rˇ"/>
        </w:rPr>
      </w:pPr>
      <w:r>
        <w:rPr>
          <w:rFonts w:ascii="PO¸Rˇ" w:hAnsi="PO¸Rˇ" w:cs="PO¸Rˇ"/>
        </w:rPr>
        <w:t>Duygu Gokce &amp; Fei Chen</w:t>
      </w:r>
    </w:p>
    <w:p w14:paraId="29C3539B" w14:textId="77777777" w:rsidR="006D41AD" w:rsidRDefault="006D41AD" w:rsidP="006D41AD">
      <w:pPr>
        <w:rPr>
          <w:rFonts w:ascii="Times New Roman" w:hAnsi="Times New Roman" w:cs="Times New Roman"/>
          <w:sz w:val="18"/>
          <w:szCs w:val="18"/>
        </w:rPr>
      </w:pPr>
    </w:p>
    <w:p w14:paraId="456B1E60" w14:textId="77777777" w:rsidR="006D41AD" w:rsidRDefault="006D41AD" w:rsidP="006D41AD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School of Architecture, The University of Liverpool, Liverpool, UK</w:t>
      </w:r>
    </w:p>
    <w:p w14:paraId="39792423" w14:textId="77777777" w:rsidR="006D41AD" w:rsidRDefault="006D41AD" w:rsidP="006D41AD">
      <w:pPr>
        <w:rPr>
          <w:rFonts w:ascii="Times New Roman" w:hAnsi="Times New Roman" w:cs="Times New Roman"/>
          <w:sz w:val="18"/>
          <w:szCs w:val="18"/>
        </w:rPr>
      </w:pPr>
    </w:p>
    <w:p w14:paraId="776C35B1" w14:textId="77777777" w:rsidR="006D41AD" w:rsidRPr="0070652F" w:rsidRDefault="006D41AD" w:rsidP="0070652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Abstract</w:t>
      </w:r>
    </w:p>
    <w:p w14:paraId="3D65D86E" w14:textId="6736732E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2"/>
          <w:szCs w:val="22"/>
        </w:rPr>
      </w:pPr>
      <w:r w:rsidRPr="0070652F">
        <w:rPr>
          <w:rFonts w:ascii="Times New Roman" w:hAnsi="Times New Roman" w:cs="Times New Roman"/>
          <w:sz w:val="22"/>
          <w:szCs w:val="22"/>
        </w:rPr>
        <w:t>This paper investigates ‘typological process’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, a key term in urban </w:t>
      </w:r>
      <w:r w:rsidRPr="0070652F">
        <w:rPr>
          <w:rFonts w:ascii="Times New Roman" w:hAnsi="Times New Roman" w:cs="Times New Roman"/>
          <w:sz w:val="22"/>
          <w:szCs w:val="22"/>
        </w:rPr>
        <w:t>morphology due to its benefit to culturally-responsive urban design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and place-making. The empirical identification of typological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process is problematic </w:t>
      </w:r>
      <w:r w:rsidRPr="0070652F">
        <w:rPr>
          <w:rFonts w:ascii="Times New Roman" w:hAnsi="Times New Roman" w:cs="Times New Roman"/>
          <w:sz w:val="22"/>
          <w:szCs w:val="22"/>
        </w:rPr>
        <w:t>because of researchers’ subjectivity in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identifying changes, and the randomness of their selection of spatial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characteristics in defining types. The paper demonstrates a method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for defining an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d analyzing typological process </w:t>
      </w:r>
      <w:r w:rsidRPr="0070652F">
        <w:rPr>
          <w:rFonts w:ascii="Times New Roman" w:hAnsi="Times New Roman" w:cs="Times New Roman"/>
          <w:sz w:val="22"/>
          <w:szCs w:val="22"/>
        </w:rPr>
        <w:t>in the transformation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process of the residential environment in Ankara since the late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nineteenth century. Three degrees of transformation are identified: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continuity, partial continuity and mutation. The proposed method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improves consistency and objectivity in the empirical validation of</w:t>
      </w:r>
      <w:r w:rsidR="0070652F" w:rsidRPr="0070652F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typological process.</w:t>
      </w:r>
    </w:p>
    <w:p w14:paraId="072CC6B0" w14:textId="77777777" w:rsidR="006D41AD" w:rsidRPr="0070652F" w:rsidRDefault="006D41AD" w:rsidP="006D41AD">
      <w:pPr>
        <w:rPr>
          <w:rFonts w:ascii="Times New Roman" w:hAnsi="Times New Roman" w:cs="Times New Roman"/>
          <w:sz w:val="22"/>
          <w:szCs w:val="22"/>
        </w:rPr>
      </w:pPr>
    </w:p>
    <w:p w14:paraId="5BCEEF6E" w14:textId="77777777" w:rsidR="006D41AD" w:rsidRPr="0070652F" w:rsidRDefault="006D41AD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Introduction</w:t>
      </w:r>
    </w:p>
    <w:p w14:paraId="61376297" w14:textId="111AE197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Typological process is a key concept in urban morphology 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because it bridges the analysis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of old forms and the design of new forms (Moudon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).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The concept was proposed in the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1960s by Muratori and Caniggia, the founders of the Italian School of Typology (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Gauthiez</w:t>
      </w:r>
      <w:proofErr w:type="spellEnd"/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 as a means of identifying continuity in urban transf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>ormation</w:t>
      </w:r>
      <w:proofErr w:type="gramEnd"/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. A typological process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features ‘progressive differentiation’ perceived in several historical building types over time</w:t>
      </w:r>
    </w:p>
    <w:p w14:paraId="24CE26AE" w14:textId="77777777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within a cultural area (Caniggia and Maffei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, 54). Such progressive changes of type can</w:t>
      </w:r>
    </w:p>
    <w:p w14:paraId="6509BBD2" w14:textId="793C965E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be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widespread in a cultural area and reflect continuous adaptation to changing human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needs. The process can be established through ‘comparing a new order (type) to its previous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version’ (Caniggia and Maffei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, 55). As Gauthiez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, 76) puts it, typological process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is ‘a result of an historical evolution, where one dominant type gives way to another by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means of an accumulation of small changes carried out on the first type during a period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when investment in new building is slack’. Various scholars have advocated the benefit of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continuity in urban transformation in terms of socio-cultural sustainability (Lynch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1960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;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Rapoport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1969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Alexander et al.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1977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Chen and Thwaites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Gokce and Chen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,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),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and have also claimed that robust historical types should be recycled in contemporary urban and architectural design to achieve socio-cultural benefit (e.g. Moudon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1989, 1994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Kropf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; Chen and Thwaites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; Gokce and Chen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,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Typological process is a tool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by which ‘to understand how and why the built environment changes’ (Kropf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, 72)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and reveals the robustness of some historical types or characteristics in terms of their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c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ontemporary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use.</w:t>
      </w:r>
    </w:p>
    <w:p w14:paraId="0A9A708C" w14:textId="77777777" w:rsidR="0070652F" w:rsidRDefault="0070652F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4C40D2F4" w14:textId="2D13B430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However, it has always been challenging to define typological process, first because judgement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the degree to which the transformation of types is determined to be continuous is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largely subject to individual researchers’ opinions (Nasr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Whitehand et al.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); second,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because it is not clear what type of spatial characteristics and levels of specificity should be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considered in the investigation (Scheer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2016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; and third, because empirical studies of typological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process at articulated  scales have been limited, despite many of the studies focusing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on individual scales with limited levels of specificity (for example, Gygax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; Oliveira,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Monteiro, and Partanen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2015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Whitehand et al.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 called for an exploration of the concept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 non-European contexts, and for more empirical studies to test its applicability and to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clarify the definition.</w:t>
      </w:r>
    </w:p>
    <w:p w14:paraId="4956AA9B" w14:textId="77777777" w:rsidR="0070652F" w:rsidRDefault="0070652F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4205B163" w14:textId="0BA51B6C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lastRenderedPageBreak/>
        <w:t>This paper therefore aims to demonstrate a method of constructing typological process.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following sections focus first on the key concepts and present a brief literature review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typological process. Thereafter, the paper proposes a three-step methodological framework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for defining typological process: (1) selecting cases over a series of morphological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periods in a cultural area; (2) setting up a typological framework consisting of a set of spatial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characteristics to define types at three levels of specificity, namely, the building, street and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neighbourhood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scales; and (3) comparing types pairwise and in c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hronological order to establish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typological process. The proposed framework is then applied to the Turkish housing</w:t>
      </w:r>
    </w:p>
    <w:p w14:paraId="29FFF502" w14:textId="6B4AD5BA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context in Ankara since the late nineteenth century. Discussion and conclusions are drawn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on the practicality and applicability of the framework in future research.</w:t>
      </w:r>
    </w:p>
    <w:p w14:paraId="5B671E46" w14:textId="77777777" w:rsidR="006D41AD" w:rsidRPr="0070652F" w:rsidRDefault="006D41AD" w:rsidP="006D41AD">
      <w:pPr>
        <w:rPr>
          <w:rFonts w:ascii="Times New Roman" w:hAnsi="Times New Roman" w:cs="Times New Roman"/>
          <w:color w:val="000000"/>
          <w:sz w:val="22"/>
          <w:szCs w:val="22"/>
        </w:rPr>
      </w:pPr>
    </w:p>
    <w:p w14:paraId="1E014763" w14:textId="77777777" w:rsidR="006D41AD" w:rsidRPr="0070652F" w:rsidRDefault="006D41AD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Typological process</w:t>
      </w:r>
    </w:p>
    <w:p w14:paraId="26806AF6" w14:textId="03ABF0EF" w:rsidR="006D41AD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Emerging in the 1960s, the concept of typological process and the theory of typology was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grounded in the belief of the city as an organism, an analogy to nature that meant it was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going through (and should go through) a gradual metabolic process. This belief features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urban development occurring in a piecemeal manner and largely 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confined within the constraints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culturally embedded lifestyle, materials and technology. It states that, as in nature,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organicity is reflected through the reciprocal relationship among and wi</w:t>
      </w:r>
      <w:r w:rsidR="000E20A9">
        <w:rPr>
          <w:rFonts w:ascii="Times New Roman" w:hAnsi="Times New Roman" w:cs="Times New Roman"/>
          <w:color w:val="000000"/>
          <w:sz w:val="22"/>
          <w:szCs w:val="22"/>
        </w:rPr>
        <w:t xml:space="preserve">thin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components</w:t>
      </w:r>
      <w:r w:rsid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an aggregate. According to Caniggia and Maffei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1979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,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), an aggregate of components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 the organism could be at the building level, urban tissue level, urban entity level, regional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level and so forth. The concept of the city as an organism not only encompasses the characteristics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a component, but also the cohesive and consistent relationship between the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component with other components at the same or other levels (Kropf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; Caniggia and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Maffei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</w:t>
      </w:r>
    </w:p>
    <w:p w14:paraId="15D0ADED" w14:textId="77777777" w:rsidR="004B168F" w:rsidRPr="0070652F" w:rsidRDefault="004B168F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27941C49" w14:textId="77777777" w:rsidR="006D41AD" w:rsidRPr="0070652F" w:rsidRDefault="006D41AD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Key concepts: type, typological framework, phase/morphological period and</w:t>
      </w:r>
    </w:p>
    <w:p w14:paraId="780DE9D8" w14:textId="77777777" w:rsidR="006D41AD" w:rsidRPr="0070652F" w:rsidRDefault="006D41AD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cultural area</w:t>
      </w:r>
    </w:p>
    <w:p w14:paraId="48D0EEB1" w14:textId="77777777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Types are defined as the possession of a set of mutual features observed in architectural and</w:t>
      </w:r>
    </w:p>
    <w:p w14:paraId="6BB48057" w14:textId="4C8B703D" w:rsidR="006D41AD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urban spaces at a certain scale (Chen and Thwaites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Gokce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Caniggia and Maffei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 identified synchronic and diachronic types. In synchronic types, production decreases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over time and remains strictly confined to the period in which it was introduced, while the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diachronic type undergoes a series of progressive changes throughout a significant time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period (Marzot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In this regard, some types can be observed in different places within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 certain period of time; other types are more robust and can survive over consecutive time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periods in the same place (Burkay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The typological process is relevant to diachronic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types where the type evolves and adapts but retains the essential characteristics of the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previous version. Such robust types are usually observed in areas of sustained cultural id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entity,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such as those in traditional Italian cities where the theory was formed.</w:t>
      </w:r>
    </w:p>
    <w:p w14:paraId="472042D9" w14:textId="77777777" w:rsidR="004B168F" w:rsidRPr="0070652F" w:rsidRDefault="004B168F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6A75524A" w14:textId="0E6950B1" w:rsidR="004B168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A typological framework consists of a set of physical characteristics of type against which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diachronic types can be compared to identify possible typological processes. Nevertheless,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there is no consensus in literature regarding what physical chara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cteristics should be considered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in the definition of types and typology (see Table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</w:t>
      </w:r>
      <w:r w:rsidR="00960B72">
        <w:rPr>
          <w:rFonts w:ascii="Times New Roman" w:hAnsi="Times New Roman" w:cs="Times New Roman"/>
          <w:color w:val="000081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for those characteristics most commonly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considered). In light of these characteristics, this paper proposes a comprehensive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typological framework for the investigation of types and typological process at the building,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street and neighbourhood scales. This is discussed fur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ther in the following sections. </w:t>
      </w:r>
    </w:p>
    <w:p w14:paraId="66AE4880" w14:textId="77777777" w:rsidR="004B168F" w:rsidRDefault="004B168F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4E11B54C" w14:textId="65076182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As a typological process can only be constructed over time, Muratori and Caniggia used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term ‘phase’ to describe the time period during which a type transforms and matures.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For them, a long-time interval (or phase) is needed for changes to type to become sufficiently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clear (Caniggia and Maffei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1979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,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; Marzot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A similar idea is the ‘morphological</w:t>
      </w:r>
    </w:p>
    <w:p w14:paraId="5DA2B67A" w14:textId="38F4A730" w:rsidR="006D41AD" w:rsidRPr="0070652F" w:rsidRDefault="00960B72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proofErr w:type="gramStart"/>
      <w:r>
        <w:rPr>
          <w:rFonts w:ascii="Times New Roman" w:hAnsi="Times New Roman" w:cs="Times New Roman"/>
          <w:color w:val="000000"/>
          <w:sz w:val="22"/>
          <w:szCs w:val="22"/>
        </w:rPr>
        <w:t>period’</w:t>
      </w:r>
      <w:proofErr w:type="gramEnd"/>
      <w:r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>proposed by M.R.G. Conzen (</w:t>
      </w:r>
      <w:r w:rsidR="006D41AD" w:rsidRPr="0070652F">
        <w:rPr>
          <w:rFonts w:ascii="Times New Roman" w:hAnsi="Times New Roman" w:cs="Times New Roman"/>
          <w:color w:val="000081"/>
          <w:sz w:val="22"/>
          <w:szCs w:val="22"/>
        </w:rPr>
        <w:t>1960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), founder of the British morphological school</w:t>
      </w:r>
      <w:r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>(</w:t>
      </w:r>
      <w:proofErr w:type="spellStart"/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>Moudon</w:t>
      </w:r>
      <w:proofErr w:type="spellEnd"/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="006D41AD" w:rsidRPr="0070652F">
        <w:rPr>
          <w:rFonts w:ascii="Times New Roman" w:hAnsi="Times New Roman" w:cs="Times New Roman"/>
          <w:color w:val="000081"/>
          <w:sz w:val="22"/>
          <w:szCs w:val="22"/>
        </w:rPr>
        <w:t>1994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 and echoed by other morphologists. Morphological periods often witness</w:t>
      </w:r>
      <w:r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>the transformation of physical environment at different rates under various forces. The start</w:t>
      </w:r>
      <w:r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>and end points of each morphological period refer to the ‘turning point’ of morphological</w:t>
      </w:r>
      <w:r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changes (Chen </w:t>
      </w:r>
      <w:proofErr w:type="gramStart"/>
      <w:r w:rsidR="006D41AD"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in a cultural area which may not always be c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onsistent in terms of different </w:t>
      </w:r>
      <w:r w:rsidR="006D41AD" w:rsidRPr="0070652F">
        <w:rPr>
          <w:rFonts w:ascii="Times New Roman" w:hAnsi="Times New Roman" w:cs="Times New Roman"/>
          <w:color w:val="000000"/>
          <w:sz w:val="22"/>
          <w:szCs w:val="22"/>
        </w:rPr>
        <w:t>types or typological processes.</w:t>
      </w:r>
    </w:p>
    <w:p w14:paraId="689E92DD" w14:textId="77777777" w:rsidR="004B168F" w:rsidRDefault="004B168F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787AD5E1" w14:textId="02A81DEB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Another concept connected with typological process is the ‘cultural area’. This delimits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the territories or context within which types are generated, adapted, transformed or 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disappeared.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Types within the same cultural area are often affected by the same internal and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external factors in relation to social, political, cultural and economic changes. In other words,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types emerge and change under specific factors which are distinct to a given context (Chen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and Thwaites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2013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.</w:t>
      </w:r>
    </w:p>
    <w:p w14:paraId="1B6C1B1E" w14:textId="77777777" w:rsidR="006D41AD" w:rsidRPr="0070652F" w:rsidRDefault="006D41AD" w:rsidP="006D41AD">
      <w:pPr>
        <w:rPr>
          <w:rFonts w:ascii="Times New Roman" w:hAnsi="Times New Roman" w:cs="Times New Roman"/>
          <w:color w:val="000000"/>
          <w:sz w:val="22"/>
          <w:szCs w:val="22"/>
        </w:rPr>
      </w:pPr>
    </w:p>
    <w:p w14:paraId="1D59037A" w14:textId="77777777" w:rsidR="006D41AD" w:rsidRPr="0070652F" w:rsidRDefault="006D41AD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Study of typological process</w:t>
      </w:r>
    </w:p>
    <w:p w14:paraId="3CF06E38" w14:textId="43DCC65B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Over the last 50 years, numerous studies in the field of urban morphology have documented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transformation process of the built forms in different cultural contexts (examples include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Dufaux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2000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Kirjakka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Gauthier 2005, 1997; Darin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2010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Maretto and Scardigno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2016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).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common purposes of these studies were threefold: first, to understand the transformation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process of the urban form using a variety of methods (for example, Dufaux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2000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; Kirjakka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); second, to manage changes in conservation and regeneration areas (for example,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Satoh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Siksna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); and third, to guide contemporary design practice to better link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the new with the old (for example, Gygax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Racine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It is widely accepted that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making new forms responsive to their context benefits cultural continuity and identity.</w:t>
      </w:r>
    </w:p>
    <w:p w14:paraId="01F81901" w14:textId="77777777" w:rsidR="004B168F" w:rsidRDefault="004B168F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01BB341D" w14:textId="2BDA653B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Only a handful of studies specifically mention the concept of typological process precisely.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Corsini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 traced the transformation of residential buildings in three Italian cities from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medieval period to the 1930s, identifying continuity in the process in terms of building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layout, structure, façade pattern, building-plot relationship and building-street relationship.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Building on existing studies on Parisian dwellings in the sevent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eenth and eighteenth centuries,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Darin’s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2010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 research demonstrated how house types changed in line with social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changes. Nevertheless, his approach was largely descriptive, making it hard to replicate, and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difficult to understand in the context of further studies. Two studies in relation to typological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process have been conducted in the Chinese context.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Gu et al.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2008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 looked at the evolution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process of traditional houses in Guangzhou, but only at the building scale. Feng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focused on the continuous changes of shikumen (or lilong) houses in Shanghai in terms of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building layout, and building-plot and building-street relationships. Although Barke’s study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(2011) of a particular building type in Spain mentions typological 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process to evaluate appropriate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ways through which this building type was conserved, he suggested that such buildings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were not able to meet contemporary needs. This claim arguably contradicts the concept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typological process. Whitehand et al.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 compared the evolutionary processes of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terrace house types in England and lilong houses in Shanghai with the aim of finding out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whether the latter had been influenced by the former in the late nineteenth and early twentieth</w:t>
      </w:r>
    </w:p>
    <w:p w14:paraId="7CD7321B" w14:textId="19E0AA61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centuries. As mentioned before, their study suggests p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roblems in defining typological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process, including the ambiguity of the typological framework and the lack of empirical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validation in reconstructing the typological process, as well as uncovering its mechanism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(Whitehand et al.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A recent study by Oliveira, Monteiro, and Partanen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2015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 examines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typological process of houses in a traditional gateway area of the city of Porto, Portugal,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 terms of the positioning of each building within its plot, its relation to adjacent buildings,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size and shape of plot, and building layout. However, this study only focused on limited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morphological characteristics.</w:t>
      </w:r>
    </w:p>
    <w:p w14:paraId="5AF5084E" w14:textId="77777777" w:rsidR="004B168F" w:rsidRDefault="004B168F" w:rsidP="006D41AD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7351E380" w14:textId="510D56DF" w:rsidR="006D41AD" w:rsidRPr="0070652F" w:rsidRDefault="006D41AD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As typological process is about continuity in change over time, it is naturally challenging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to determine to what degree change can be considered continuous, and then to qualify a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typological process. In this respect, the existing studies are extremely specific to individual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cases, although they mostly examine building layouts, and building-plot and building-street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relationships. Moreover, none specifically mentions the importance of articulated scales in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the examination of typological process. With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their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own various research purposes, these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studies have not made it clear how to define and analyze typological process with a precise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typological framework, articulated scales and the potential to be applied to different cultural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areas. This paper aims to fill this gap.</w:t>
      </w:r>
    </w:p>
    <w:p w14:paraId="2791A734" w14:textId="77777777" w:rsidR="006D41AD" w:rsidRPr="0070652F" w:rsidRDefault="006D41AD" w:rsidP="006D41AD">
      <w:pPr>
        <w:rPr>
          <w:rFonts w:ascii="Times New Roman" w:hAnsi="Times New Roman" w:cs="Times New Roman"/>
          <w:color w:val="000000"/>
          <w:sz w:val="22"/>
          <w:szCs w:val="22"/>
        </w:rPr>
      </w:pPr>
    </w:p>
    <w:p w14:paraId="19C8398E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Defining typological process</w:t>
      </w:r>
    </w:p>
    <w:p w14:paraId="3154B0E3" w14:textId="77777777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This paper proposes the following three steps by which to define typological process, and</w:t>
      </w:r>
    </w:p>
    <w:p w14:paraId="1912C611" w14:textId="77777777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then tests these steps with reference to case studies in Ankara, Turkey:</w:t>
      </w:r>
    </w:p>
    <w:p w14:paraId="0045263D" w14:textId="77777777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(1) selecting cases over identified morphological periods within a cultural area;</w:t>
      </w:r>
    </w:p>
    <w:p w14:paraId="77D89E24" w14:textId="77777777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(2) setting up a typological framework by which types are defined from the cases at</w:t>
      </w:r>
    </w:p>
    <w:p w14:paraId="4C37BCD2" w14:textId="77777777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certain scales or levels of specificity;</w:t>
      </w:r>
    </w:p>
    <w:p w14:paraId="1153A22D" w14:textId="77777777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(3) comparing types pairwise and in chronological order to establish typological process.</w:t>
      </w:r>
    </w:p>
    <w:p w14:paraId="054C739A" w14:textId="77777777" w:rsidR="004B168F" w:rsidRDefault="004B168F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19C18FFC" w14:textId="3BA6E54F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In the first step, cases should be representative of their specific morphological periods,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requiring the carrying out of a general geographic study of the history of the cultural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area in question. This paper focuses on the transformation process of Turkish houses in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Ankara during five morphological periods from the late Ottoman Empire period (that is,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late nineteenth century) to the present. Ankara is chosen because of the city’s long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cultural tradition, and because of the dramatic changes it experienced after 1923 when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it became the capital city of the Republic of Turkey. Starting with the Ottoman tradition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and continuing to the present day, the city has thus accommodated a greater variety of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house types than other places in Turkey (a more detailed explanation is given later in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paper).</w:t>
      </w:r>
    </w:p>
    <w:p w14:paraId="60FB9790" w14:textId="77777777" w:rsidR="004B168F" w:rsidRDefault="004B168F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50E4F783" w14:textId="71E20100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The second step sets up an operational typological framework by which to analyze the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types. The research focuses on three scales and levels of specificity: building, street and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neighbourhood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scales, being the three scales most relevant to architectural and urban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design. The spatial characteristics relevant to each scale are extracted from the literature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(Table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The study at the building scale mainly involves the configurational analysis of the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house layouts with regard to the arrangement of rooms, functional zoning and internal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circulation patterns. The street scale analysis focuses on building plot arrangements along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 street, building entrance positioning, street width, active front coverage, and spatial and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visual access patterns and hierarchies, from the nearest street to the 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housing unit. The neighbourhood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scale analysis is conducted at the site/street block level and involves the identification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the relationship of the buildings to the site/block, the public-private area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relationship, land coverage, spatial sequences and street configuration. 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1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shows these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characteristics in detail and briefly describes the ways in which e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ach characteristic is discussed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(see also the detailed analysis carried out for a sample case).</w:t>
      </w:r>
    </w:p>
    <w:p w14:paraId="77E67168" w14:textId="77777777" w:rsidR="004B168F" w:rsidRDefault="004B168F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5FAE7005" w14:textId="47D3A1B6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The third step carries out pairwise comparisons of the characteristics of the typological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framework between types, following a chronological order. These comparisons reveal the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d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egree of change in the transformation process. This research considers continuity, partial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continuity or mutation, defined in relation to the number of changed physical characteristics.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Differentiation among the three categories of transformation was internally relative, so no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ambiguity would result. It is therefore clearer to draw the line between typological process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(the former two categories) and mutation. The comparison is carried out at the three scales.</w:t>
      </w:r>
    </w:p>
    <w:p w14:paraId="5E99A3E2" w14:textId="77777777" w:rsidR="004B168F" w:rsidRDefault="004B168F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</w:p>
    <w:p w14:paraId="420C5292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Typological process in the transformation of Turkish houses</w:t>
      </w:r>
    </w:p>
    <w:p w14:paraId="6DC89450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Selecting cases from the morphological periods of Ankara</w:t>
      </w:r>
    </w:p>
    <w:p w14:paraId="1C81A919" w14:textId="5EE396B8" w:rsidR="00AB4743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Located in the north west of central Anatolia, Ankara’s history dates back to prehistoric times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(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Cansever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and Yener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1966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).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Its urban form has always been influenced by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the terrain, water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resources and local climate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. Although geomorphological structure played an important role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 the city’s formation, Ankara’s current importance and peculiarity are derived mainly from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its designation as a new capital city after the proclamation of the Republic of Turkey in 1923.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desire to create a modern capital and efforts to do so, embedded with the cultural notion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the new republic, strongly affected the development of this new administrative and political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centre of the country (Ankara Development Agency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n.d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>).</w:t>
      </w:r>
    </w:p>
    <w:p w14:paraId="1CEFAB92" w14:textId="77777777" w:rsidR="00960B72" w:rsidRPr="0070652F" w:rsidRDefault="00960B72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20A638B3" w14:textId="00D4FED9" w:rsidR="00AB4743" w:rsidRPr="0070652F" w:rsidRDefault="00AB4743" w:rsidP="00960B7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Five morphological periods can be identified in Ankara. The Late Ottoman Empire Period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(1890s to 1923) is the earliest and is represented by remaining housing stock. Since the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establishment of the Turkish Republic and Ankara becoming the 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capital, the city has 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undergone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dramatic changes, giving rise to the other four m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orphological periods: 1923–1950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(the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early Republic period), 1950–1980 (the modernist period), 1980–2000 (the liberalization</w:t>
      </w:r>
      <w:r w:rsidR="00960B7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period) and post-2000s (the contemporary period).</w:t>
      </w:r>
    </w:p>
    <w:p w14:paraId="197EA12B" w14:textId="77777777" w:rsidR="004B168F" w:rsidRDefault="004B168F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0BF453CF" w14:textId="29A8A785" w:rsidR="006D41AD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Table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2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summarizes the key features of the history of housing development during these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five periods. The study chose eight typical housing developments in different morphological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periods; these are located in three boroughs of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Ankara which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are within the same cultural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area and share the same cultural identity. Cases I and II are from Beypazari, Case III is from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Cankaya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and the others are from Yenimahalle (Figure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2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. Cases I and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II are examples of traditional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house types dating back to the late Ottoman Em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pire period. Case III (from the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early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Republic period) is the first garden city development con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structed in Turkey and consists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single-family detached, semi-detached and terrace housing units. Case IV (the modernist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period) is an example of the low-rise apartment block type, introduced in the 1950s to replace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garden house type. Cases V, VI and VII are three examples of house types adopted by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housing cooperatives in the 1980s and 1990s (the liberalization period). Case V consists of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single-family terrace houses; Case VI and Case VII are medium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-rise apartment buildings. 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Case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VIII (from the contemporary period) is an example of the contemporary dwelling type,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consisting of two high-rise apartment blocks.</w:t>
      </w:r>
    </w:p>
    <w:p w14:paraId="30E953CE" w14:textId="77777777" w:rsidR="004B168F" w:rsidRPr="0070652F" w:rsidRDefault="004B168F" w:rsidP="00AB4743">
      <w:pPr>
        <w:rPr>
          <w:rFonts w:ascii="Times New Roman" w:hAnsi="Times New Roman" w:cs="Times New Roman"/>
          <w:sz w:val="22"/>
          <w:szCs w:val="22"/>
        </w:rPr>
      </w:pPr>
    </w:p>
    <w:p w14:paraId="373FED63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Late Ottoman Empire period: Case I and Case II</w:t>
      </w:r>
    </w:p>
    <w:p w14:paraId="095371E2" w14:textId="3E3DEBB4" w:rsidR="00AB4743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In the early nineteenth century, the dominant house type was still traditional Turkish housing,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which had developed over a period of hundreds of years according to the spatial demand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the nomadic lifestyle of Turkish people before they settled in Anatolia. These houses are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distinctive in terms of the presence or the relative location of a hall and rooms (that is, they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could be without a hall, with an exterior hall, with an interior hall, or with a central hall, from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most primitive to the most developed). The most common surviving types are those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with an interior hall (Case I) and with a central hall (Case II). These were introduced in the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eighteenth century and became widespread in the nineteenth century (Bozkurt Azezli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The rooms in the former type are arranged along two sides of the hall (Bozkurt Azezli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);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in the latter, the hall is located centrally and mainly serves as a living room (Figure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Case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I and Case II type houses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were mainly used by extended families. Their layouts have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varied in terms of the number and size of room, depending on residents’ needs, family size and socio-economic status. However, their associated streets and neighbourhoods share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same spatial characteristics: the streets are narrow, with meandering street lines and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continuous street facades, and are largely used by pedestrians; neighbourhoods made up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this type of housing are characterized by high land coverage, and by having blocks and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plots in various shapes, sizes and irregular arrangements (Figure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</w:t>
      </w:r>
    </w:p>
    <w:p w14:paraId="0240E659" w14:textId="77777777" w:rsidR="004B168F" w:rsidRPr="0070652F" w:rsidRDefault="004B168F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61448E9E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Early Republic period: Case III</w:t>
      </w:r>
    </w:p>
    <w:p w14:paraId="20B0B67B" w14:textId="031D97E9" w:rsidR="00AB4743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Garden city houses were introduced into Ankara (although without its associated social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agenda) by the German planner Hermann Jansen in 1934, as a low-density housing solution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adopting the anti-modernist approach popular in Germany after World War I (siedlungs in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Germany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(Kansu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The Bahcelievler housing development was the first garden city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housing development in Turkey and was occupied until the 1950s (Ucar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2005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Yalcinkaya</w:t>
      </w:r>
      <w:proofErr w:type="spellEnd"/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2007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;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Kansu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), after which it underwent rapid demolition and was replaced by three- to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four-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storey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apartment buildings (Yalcinkaya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; Kansu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Today, only a few of these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housing units survive and are mainly used for co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>mmercial purposes. The origin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al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neighbourhood</w:t>
      </w:r>
      <w:proofErr w:type="spellEnd"/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layout has been lost (Kansu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; this stud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y thus conducts its analysis of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this type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based on archive materials and the few houses which remain.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Case III, the surviving part of the Bahcelievler development, mainly consists of detached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houses with side walls extending both sides from the front façade and set out in continuous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street lines. At the building level, the Case III house type has two floors with a level entry on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to the lower floor where the living room and the kitchen are located, and an upper floor for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the bedrooms (Figure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5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. The houses are located close to the street line in their individual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plots, and have front and back gardens. Compared to the traditional street network, the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street layout is more regular and rigid.</w:t>
      </w:r>
    </w:p>
    <w:p w14:paraId="16A76862" w14:textId="77777777" w:rsidR="004B168F" w:rsidRPr="0070652F" w:rsidRDefault="004B168F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365545EE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Modernization period: Case IV</w:t>
      </w:r>
    </w:p>
    <w:p w14:paraId="79A1D326" w14:textId="2E7EA8C2" w:rsidR="00AB4743" w:rsidRPr="0070652F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The years following the 1950s saw a dramatic increase in population in Ankara (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Keles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>,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Hamamci</w:t>
      </w:r>
      <w:proofErr w:type="spell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, and Coban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With changes to regulations, t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hree- to five-storey apartment  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buildings (Case IV) (Figure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became widespread in the city (Altaban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1998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 and largely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replaced garden houses, to the extent which, in the 1960s, Ankara was known as ‘the city of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apartment blocks’ (Altaban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1998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There were a few attempts by the housing cooperatives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and municipalities to provide affordable housing for low-income groups and slum dwellers;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however, these were unsuccessful due to lack of funding (Batuman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2006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.</w:t>
      </w:r>
    </w:p>
    <w:p w14:paraId="7F3AE0EF" w14:textId="77777777" w:rsidR="004B168F" w:rsidRDefault="004B168F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2A4161DC" w14:textId="1335A126" w:rsidR="00AB4743" w:rsidRPr="0070652F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During this period, construction of three-storey apartment buildings with high land coverage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was widespread. At the building level, the layout 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of individual apartments showed 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similar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characteristics to those of traditional houses in terms of the central location of the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hall and rooms with mixed functions. At the street level, their arrangements were similar to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those of the garden houses they usually replaced. Currently, most of the apartments have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been knocked down and replaced by new apartment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buildings which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have four storeys and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slightly bigger footprints. The plot size and pattern have hardly changed.</w:t>
      </w:r>
    </w:p>
    <w:p w14:paraId="7D87418E" w14:textId="77777777" w:rsidR="004B168F" w:rsidRDefault="004B168F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</w:p>
    <w:p w14:paraId="2953FF07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Liberalization period: Case V, Case VI and Case VII</w:t>
      </w:r>
    </w:p>
    <w:p w14:paraId="23B8FF34" w14:textId="14445EF5" w:rsidR="00AB4743" w:rsidRPr="0070652F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Despite a high demand for affordable housing in the late 1970s (Coban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2012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), in the 1980s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only houses constructed at a larger scale were those developed by the private sector for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middle- and high-income groups (Burkay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2006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. The overwhelming number of urban poor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remained in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slums which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spread continuously in many areas of the city (Erman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="0070691E">
        <w:rPr>
          <w:rFonts w:ascii="Times New Roman" w:hAnsi="Times New Roman" w:cs="Times New Roman"/>
          <w:color w:val="000000"/>
          <w:sz w:val="22"/>
          <w:szCs w:val="22"/>
        </w:rPr>
        <w:t xml:space="preserve">). </w:t>
      </w:r>
      <w:proofErr w:type="gramStart"/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Without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adequate financial support from the government, houses constructed by housing cooperatives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were occupied by mid- and high- income groups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(Sey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1998a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One example was the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Batikent housing cooperative in Ankara (Batuman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; Coban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2012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This study has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selected  three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housing developments from the Batikent project to examine their typological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characteristics.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One example from the Batikent project is a low-rise, high-coverage mass housing development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built in 1988 (Case V) (Figure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It consists of 288 single-family terrace housing units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arranged adjacent to each other and back-to-back. The individual units have two- to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three-storeys and are arranged along pedestrian streets. The houses face either west or east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and the routes lie north to south. Their front gardens serve as a buffer zone between the</w:t>
      </w:r>
      <w:r w:rsidR="004B168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housing unit and the pedestrian street (Figure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8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</w:t>
      </w:r>
    </w:p>
    <w:p w14:paraId="7AB87EC1" w14:textId="77777777" w:rsidR="00114E02" w:rsidRDefault="00114E02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51ADE480" w14:textId="1DFB9068" w:rsidR="00AB4743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The second example is that of the mid-rise, medium-coverage mass housing development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from the early 1990s (Case VI) (Figure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The borders of the sit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e are fenced, but access is not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restricted by security personnel (although the development is managed by a specific administration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office of the housing cooperative). On site, there are five identical buildings, each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five storeys; each floor contains four flats which accommodate modern nuclear families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rather than extended families. The development also includes a car park, a playground and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 meeting area.</w:t>
      </w:r>
    </w:p>
    <w:p w14:paraId="53659B5C" w14:textId="77777777" w:rsidR="00114E02" w:rsidRPr="0070652F" w:rsidRDefault="00114E02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5BF2EEB3" w14:textId="4B0BD5CD" w:rsidR="00AB4743" w:rsidRPr="0070652F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The third example is also a mid-rise, medium-coverage mass housing development from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the early 1990s (Case VII) (Figure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10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Like Case VI, the site is enclosed by low fences and there  are no security personnel. Within the site there are eight iden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tical building blocks, linearly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arranged in two rows. The buildings have five floors, each of which contains four flats. The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development provides limited car parking, but has many outdoor seating areas with</w:t>
      </w:r>
    </w:p>
    <w:p w14:paraId="11BC2F3C" w14:textId="77777777" w:rsidR="00AB4743" w:rsidRDefault="00AB4743" w:rsidP="0070691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well-managed vegetation and gardens.</w:t>
      </w:r>
    </w:p>
    <w:p w14:paraId="541537E0" w14:textId="77777777" w:rsidR="00114E02" w:rsidRPr="0070652F" w:rsidRDefault="00114E02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7B6CBAFA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Contemporary period: Case VIII</w:t>
      </w:r>
    </w:p>
    <w:p w14:paraId="3A08BF79" w14:textId="623094CF" w:rsidR="00114E02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It was not until the 2000s that affordable housing was constructed at a large scale in Ankara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to replace slums and squatter houses (Burkay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2006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>. The housing cooperatives were not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active after the 2000s (Coban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2012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), and private developers and th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e public housing administration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were the main actors in the housing market (Güzey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2009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High-rise apartment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buildings became the urban norm in the contemporary period. The layouts of these new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apartment buildings were inspired by international models and were entirely different from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previous house types in Turkey. Due to tension among different social groups, high-rise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apartment blocks were mostly gated (Coban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2012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). These gated developments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incorporated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spaces for commercial and other uses, often on the lower floors facing the street. </w:t>
      </w:r>
    </w:p>
    <w:p w14:paraId="112FEF23" w14:textId="77777777" w:rsidR="00114E02" w:rsidRDefault="00114E02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6DCCD896" w14:textId="7CA6683C" w:rsidR="00AB4743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Case VIII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is an example of this type (Figure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It is a mixed-use housing development consisting of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two 12-storey apartment buildings accommodating 80 flats in total, with a car park and a  podium for commercial use situated between the two buildings. It is located in a new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residential</w:t>
      </w:r>
      <w:r w:rsidR="00114E02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neighbourhood.</w:t>
      </w:r>
    </w:p>
    <w:p w14:paraId="76F5C7BC" w14:textId="77777777" w:rsidR="00114E02" w:rsidRPr="0070652F" w:rsidRDefault="00114E02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669DDF5C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Analyzing types according to typological framework</w:t>
      </w:r>
    </w:p>
    <w:p w14:paraId="38F19EA8" w14:textId="079876CB" w:rsidR="00AB4743" w:rsidRPr="008D594C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This study starts by analyzing each case according to the proposed typological framework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at the three scales (see Figure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. Tables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3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,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4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and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5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illustrate ho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w this analysis was carried out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for Case IV.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</w:t>
      </w:r>
    </w:p>
    <w:p w14:paraId="41E1B522" w14:textId="77777777" w:rsidR="008D594C" w:rsidRDefault="008D594C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63BC9BA3" w14:textId="42C241F0" w:rsidR="00AB4743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Based on the typological analysis of all eight cases, the study conducted 13 pairwise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comparisons of the cases in terms of their spatial characteristics at the three scales. These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comparisons were carried out in chronological order between 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cases in the same morphological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period and with other cases from a later morphological period at the building, street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and neighbourhood scales. Figures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>12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,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13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and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14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present the respective results of the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comparisons.</w:t>
      </w:r>
    </w:p>
    <w:p w14:paraId="261EA352" w14:textId="77777777" w:rsidR="008D594C" w:rsidRPr="0070652F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55ABA50A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Establishing a typological process</w:t>
      </w:r>
    </w:p>
    <w:p w14:paraId="4AD06D54" w14:textId="2A1273F3" w:rsidR="00AB4743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Following the pairwise comparisons, the study identified three categories of transformation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among the cases at the three scales: continuity, partial continuity and mutation, where the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first two refer to a typological process. The judgement has been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made according to a calculated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transformation score (represented by T) for each pairwise comparison.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transformation score (T) is calculated using the following formula:</w:t>
      </w:r>
    </w:p>
    <w:p w14:paraId="08D6DA98" w14:textId="77777777" w:rsidR="008D594C" w:rsidRPr="0070652F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38FF0E60" w14:textId="77777777" w:rsidR="00AB4743" w:rsidRPr="00AF6E60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0"/>
          <w:szCs w:val="20"/>
        </w:rPr>
      </w:pPr>
      <w:proofErr w:type="gramStart"/>
      <w:r w:rsidRPr="00AF6E60">
        <w:rPr>
          <w:rFonts w:ascii="Times New Roman" w:hAnsi="Times New Roman" w:cs="Times New Roman"/>
          <w:color w:val="000000"/>
          <w:sz w:val="20"/>
          <w:szCs w:val="20"/>
        </w:rPr>
        <w:t>where</w:t>
      </w:r>
      <w:proofErr w:type="gramEnd"/>
      <w:r w:rsidRPr="00AF6E60">
        <w:rPr>
          <w:rFonts w:ascii="Times New Roman" w:hAnsi="Times New Roman" w:cs="Times New Roman"/>
          <w:color w:val="000000"/>
          <w:sz w:val="20"/>
          <w:szCs w:val="20"/>
        </w:rPr>
        <w:t xml:space="preserve"> NC  represents the number of continued characteristics, NPC  represents the number of</w:t>
      </w:r>
    </w:p>
    <w:p w14:paraId="2BD75111" w14:textId="77777777" w:rsidR="00AB4743" w:rsidRPr="00AF6E60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0"/>
          <w:szCs w:val="20"/>
        </w:rPr>
      </w:pPr>
      <w:proofErr w:type="gramStart"/>
      <w:r w:rsidRPr="00AF6E60">
        <w:rPr>
          <w:rFonts w:ascii="Times New Roman" w:hAnsi="Times New Roman" w:cs="Times New Roman"/>
          <w:color w:val="000000"/>
          <w:sz w:val="20"/>
          <w:szCs w:val="20"/>
        </w:rPr>
        <w:t>partly</w:t>
      </w:r>
      <w:proofErr w:type="gramEnd"/>
      <w:r w:rsidRPr="00AF6E60">
        <w:rPr>
          <w:rFonts w:ascii="Times New Roman" w:hAnsi="Times New Roman" w:cs="Times New Roman"/>
          <w:color w:val="000000"/>
          <w:sz w:val="20"/>
          <w:szCs w:val="20"/>
        </w:rPr>
        <w:t xml:space="preserve"> continued characteristics, and NDC  represents the number of discontinued</w:t>
      </w:r>
    </w:p>
    <w:p w14:paraId="7E4DCAFE" w14:textId="77777777" w:rsidR="00AB4743" w:rsidRPr="00AF6E60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0"/>
          <w:szCs w:val="20"/>
        </w:rPr>
      </w:pPr>
      <w:proofErr w:type="gramStart"/>
      <w:r w:rsidRPr="00AF6E60">
        <w:rPr>
          <w:rFonts w:ascii="Times New Roman" w:hAnsi="Times New Roman" w:cs="Times New Roman"/>
          <w:color w:val="000000"/>
          <w:sz w:val="20"/>
          <w:szCs w:val="20"/>
        </w:rPr>
        <w:t>characteristics</w:t>
      </w:r>
      <w:proofErr w:type="gramEnd"/>
      <w:r w:rsidRPr="00AF6E60">
        <w:rPr>
          <w:rFonts w:ascii="Times New Roman" w:hAnsi="Times New Roman" w:cs="Times New Roman"/>
          <w:color w:val="000000"/>
          <w:sz w:val="20"/>
          <w:szCs w:val="20"/>
        </w:rPr>
        <w:t>.</w:t>
      </w:r>
    </w:p>
    <w:p w14:paraId="358CA62D" w14:textId="77777777" w:rsidR="008D594C" w:rsidRPr="0070652F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4949B4DE" w14:textId="187C2E80" w:rsidR="006D41AD" w:rsidRPr="0070652F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Higher sc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>ores of ‘T’ indicate continuity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, while lower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scores of ‘T’ suggest mutation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. Six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characteristics are studied for each place scale. The maximum possible score is thus 18 [=(6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x 3)+(0 x 2)+(0 x 1)] if all the characteristics are continued in the type developed thereafter;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minimum possible score is 6 [=(0 x 3)+(0 x 2)+(6 x 1)]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if all the characteristics are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discontinued.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If 6 ≤ T &lt; 10, the transformation is defined as mutation; if 10 ≤ T &lt; 14, it is partial  continuity, and if 14 ≤ T &lt; 18, it is continuity. Typological process can therefore be identified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when T ≥ 10. 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15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summarizes the relative relationships between the cases at the three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scales.</w:t>
      </w:r>
    </w:p>
    <w:p w14:paraId="2BAC8DBA" w14:textId="77777777" w:rsidR="00AB4743" w:rsidRPr="0070652F" w:rsidRDefault="00AB4743" w:rsidP="00AF6E60">
      <w:pPr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47AE4C02" w14:textId="623E9AA1" w:rsidR="00AB4743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2"/>
          <w:szCs w:val="22"/>
        </w:rPr>
      </w:pPr>
      <w:r w:rsidRPr="0070652F">
        <w:rPr>
          <w:rFonts w:ascii="Times New Roman" w:hAnsi="Times New Roman" w:cs="Times New Roman"/>
          <w:sz w:val="22"/>
          <w:szCs w:val="22"/>
        </w:rPr>
        <w:t>The transformations among the eight cases were found to be at different degrees at the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three place scales. In the second morphological period, the gradual transformation of the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traditional Turkish houses (Case I and Case II) stopped at all place scales and mutation was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noted with the introduction of the garden houses (Case III). Typological process then started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again at all scales with partial continuities in the third morpholog</w:t>
      </w:r>
      <w:r w:rsidR="008D594C">
        <w:rPr>
          <w:rFonts w:ascii="Times New Roman" w:hAnsi="Times New Roman" w:cs="Times New Roman"/>
          <w:sz w:val="22"/>
          <w:szCs w:val="22"/>
        </w:rPr>
        <w:t xml:space="preserve">ical period. This has continued </w:t>
      </w:r>
      <w:r w:rsidRPr="0070652F">
        <w:rPr>
          <w:rFonts w:ascii="Times New Roman" w:hAnsi="Times New Roman" w:cs="Times New Roman"/>
          <w:sz w:val="22"/>
          <w:szCs w:val="22"/>
        </w:rPr>
        <w:t>to date at the building scale with partial changes; however, typological processes at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the street and neighbourhood scales stopped again in the fourth and third morphological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periods, respectively. At the street scale, following Case III, typological process continued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during the next two periods; mutation then occurred and typological process stopped. At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the neighbourhood scale, gradual transformation was observed from Case III to Case V. The</w:t>
      </w:r>
      <w:r w:rsidR="00AF6E60">
        <w:rPr>
          <w:rFonts w:ascii="Times New Roman" w:hAnsi="Times New Roman" w:cs="Times New Roman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sz w:val="22"/>
          <w:szCs w:val="22"/>
        </w:rPr>
        <w:t>remaining cases mainly showed mutations.</w:t>
      </w:r>
    </w:p>
    <w:p w14:paraId="54E59A0C" w14:textId="77777777" w:rsidR="008D594C" w:rsidRPr="0070652F" w:rsidRDefault="008D594C" w:rsidP="00AB4743">
      <w:pPr>
        <w:rPr>
          <w:rFonts w:ascii="Times New Roman" w:hAnsi="Times New Roman" w:cs="Times New Roman"/>
          <w:sz w:val="22"/>
          <w:szCs w:val="22"/>
        </w:rPr>
      </w:pPr>
    </w:p>
    <w:p w14:paraId="04A6BDED" w14:textId="77777777" w:rsidR="00AB4743" w:rsidRPr="0070652F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 w:rsidRPr="0070652F">
        <w:rPr>
          <w:rFonts w:ascii="Times New Roman" w:hAnsi="Times New Roman" w:cs="Times New Roman"/>
          <w:color w:val="5478B4"/>
          <w:sz w:val="22"/>
          <w:szCs w:val="22"/>
        </w:rPr>
        <w:t>Discussion and conclusion</w:t>
      </w:r>
    </w:p>
    <w:p w14:paraId="009B3ED1" w14:textId="1E0CF33A" w:rsidR="00AB4743" w:rsidRPr="0070652F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Caniggia and Maffei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) promoted the idea of ‘operational typology’ (Moudon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1994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 and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importance of ordinary buildings being built without input from architects, to facilitate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expression of local cultural identities. They believed that the city should evolve in the same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way as an organism, as a result of collective forces. This proposition is widely echoed by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neo-rationalists and neo-traditionalists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who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advocate the use of cultural types in design.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Designers need to consider to what degree the act of design should respect natural constraints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and socio-cultural traditions. This study argues that the concept of typological process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is important even in the contemporary period, when uniqueness of form in design and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heroism of architects are highly celebrated. As reviewed in the earlier part of the paper,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existing studies suggest that typological process can inform management strategies in terms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of changes to and conservation of urban landscape (Whitehand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2004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; Barke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Reconstructing typological process can help to discover ‘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the rules and laws through which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urban landscape develops and to which any new design could then be related’ (</w:t>
      </w:r>
      <w:proofErr w:type="spell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Feng</w:t>
      </w:r>
      <w:proofErr w:type="spellEnd"/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2014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, 166). Through appropriate design guidelines and coding, types of typological process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are hugely valuable for socio-cultural sustainability and sense of place (Gokce and Chen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); therefore it is necessary to identify the most robust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types which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have survived and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adapted to the demands of local people over time. However, existing literature also suggests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 lack of clarity in the empirical validation of typological process, because of the obscurity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the typological framework, the subjectivity of the judgement of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the degrees of transformation,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and the lack of consideration of morphological characteristics at articulated scales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and levels of specificity.</w:t>
      </w:r>
    </w:p>
    <w:p w14:paraId="37959320" w14:textId="77777777" w:rsidR="008D594C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3BDD2A30" w14:textId="6E8A05EF" w:rsidR="00AB4743" w:rsidRPr="0070652F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This study has aimed to demonstrate a clearer, more consistent and less subjective way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defining typological process. It proposed a three-step approach and then demonstrated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it through reference to the Turkish cases. The first step carried out a general examination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of urban form transformation in the selected study area in Ankara, Turkey. It then selected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eight Turkish housing typologies representing the different housing design concepts of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Ankara’s five morphological periods. This first step of analysis is specific to the case study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context. While these five morphological periods may be applicable to other Turkish cities,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 assessment of specific morphological periods is necessary for other contexts to ensure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that the selection of case studies is a true representation of the transformation of houses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 the context in question. The second step constructed a typological framework (that is, a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list of spatial characteristics) at the three articulated scales, derived from the existing literature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(Figure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), and used this framework to analyse all the cases spatially. This paper advocates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for the consistent use of this typological framework, which serves as the basis for other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researchers to carry out typological analysis. However, at the sam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e time the need is acknowledged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for this framework to retain a certain degree of flexibility to enable it to fit different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research purposes, spatial scales and cultures. In other words, in future studies the list of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morphological characteristics can be extended or reduced in order to make them specific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to the cultural area in question; the levels of specificity can also be altered, for example, by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including smaller scales (such as the room) and bigger scales (such as the district or region)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 order to fulfil specific research purposes. The third step examines the degree of change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among the cases through the pairwise comparison of the spatial characteristics which the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typological framework defined at the three scales. The study calculated the numbers of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continued, partly continued and discontinued characteristics at each of the three scales, and then identified three degrees of change </w:t>
      </w:r>
      <w:r w:rsidRPr="0070652F">
        <w:rPr>
          <w:rFonts w:ascii="PO¸Rˇ" w:hAnsi="PO¸Rˇ" w:cs="PO¸Rˇ"/>
          <w:color w:val="000000"/>
          <w:sz w:val="22"/>
          <w:szCs w:val="22"/>
        </w:rPr>
        <w:t xml:space="preserve">‒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continuity, partial continuity and mutation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proofErr w:type="gramStart"/>
      <w:r w:rsidRPr="0070652F">
        <w:rPr>
          <w:rFonts w:ascii="PO¸Rˇ" w:hAnsi="PO¸Rˇ" w:cs="PO¸Rˇ"/>
          <w:color w:val="000000"/>
          <w:sz w:val="22"/>
          <w:szCs w:val="22"/>
        </w:rPr>
        <w:t xml:space="preserve">‒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of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which the former two are determined to be part of the typological process. The simple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formula that this paper adopts makes the judgement of the three degrees of change absolutely</w:t>
      </w:r>
    </w:p>
    <w:p w14:paraId="59F6B6E5" w14:textId="6EB038E4" w:rsidR="00AB4743" w:rsidRPr="0070652F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clear and easy for other researchers to apply in similar studies. A counter argument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to the formula could be that the characteristics defined in the typological framework may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have different values in terms of their effect on people’s perception and cultural identity,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and that the formula ignores such complexity. The research recognizes such a possibility,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but believes that qualitative judgements about the value or weig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ht of each of the morphological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features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can only be made according to specific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situations which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this paper is unable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to cover.</w:t>
      </w:r>
    </w:p>
    <w:p w14:paraId="212D164F" w14:textId="77777777" w:rsidR="008D594C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28C00B53" w14:textId="3D286E4E" w:rsidR="00AB4743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This research discusses the concept of typological process in relation to articulated scales,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because changes occurring at one scale most certainly influence built form components at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other scales. The results showed that the degree of change was not always consistent across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three scales; in the Turkish cases, a typological process was more prominent and lasted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longer at the building scale. The typological process stopped after the first morphological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period and started again in the third morphological period, continuing to date with partial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changes. More changes in typological characteristics (that is, mutations) were observed at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larger scales. This shows that while typological process is observed at one level, it might not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be observed at others. It is thus suggested that some typological processes (for example,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that which this study defines as ‘continuity’) are more visible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than others (such as that which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this study defines as ‘partial continuity’).</w:t>
      </w:r>
    </w:p>
    <w:p w14:paraId="59BDA4CC" w14:textId="77777777" w:rsidR="008D594C" w:rsidRPr="0070652F" w:rsidRDefault="008D594C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5A1E4833" w14:textId="4F6E77AB" w:rsidR="00AB4743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Providing guidance for contemporary design practice is one of the key aims of the studies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of typological process, because what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is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really valuable for new design in the local area is the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physical characteristics which have survived over time. New des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ign therefore has the potential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to adopt those physical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characteristics which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go beyond imitating traditional images,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which is less beneficial for their residents (Chen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2011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). In the Turkish cases, a few spatial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characteristics were proved to be robust during the transformation process. For example,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at the building scale the particular visibility of rooms from t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he living area has been noted as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the most robust spatial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characteristic which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has sustained over the five morphological periods.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Moreover, the internal access pattern and compactness of the house layouts have also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been robust and lasted over time, apart from minor changes. Integration was continuous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from the second morphological period, while functional zoning and connectivity occurred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from the third morphological period onwards (Figures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12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and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15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 The traditional rooms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with mixed functions, and the connected and integrated living rooms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of the first two morphological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periods, were not incorporated in later designs because this no longer suited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changing lifestyles or family structure. This was reflected in a disrupted typological process.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Instead, in later designs the functions of rooms are clearly defined, and personal and shared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zones partly or strictly separated.</w:t>
      </w:r>
    </w:p>
    <w:p w14:paraId="6EACAE9C" w14:textId="77777777" w:rsidR="008D594C" w:rsidRPr="0070652F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2"/>
          <w:szCs w:val="22"/>
        </w:rPr>
      </w:pPr>
    </w:p>
    <w:p w14:paraId="6E422A3F" w14:textId="704D3F4F" w:rsidR="00AB4743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At the street scale, visual accessibility was the only characteristic observed in all cases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over the five periods. Its robustness proves that visual continuity or enclosure created by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the arrangement of buildings in the context of the streetscape has been considered desirable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over the years. Moreover, in the neighbourhoods with vegetation, r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esidents expressed appreciation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for the shared communal spaces, preferring to use these to access their houses rather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than entering directly from the public street, as had been the case in traditional neighbourhoods.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This possibly is due to safety considerations in relation to car ownership and increased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social conflict associated with twenty-first century living (this paper does not intend to make  judgements on this phenomenon, but rather to document such changes in the residential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environment of Ankara). Furthermore, a few spatial characteristics have been found to be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continuous in the first four morphological periods, including the traditional arrangement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of buildings along a street and the positioning of building entrances (see Figures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13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and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15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).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Other characteristics (such as street width and length, and the spatial hierarchy of access to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housing units from the public street) also showed continuity from the second morphological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period to the present.</w:t>
      </w:r>
    </w:p>
    <w:p w14:paraId="1D6811D2" w14:textId="77777777" w:rsidR="008D594C" w:rsidRPr="0070652F" w:rsidRDefault="008D594C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608382D1" w14:textId="41F1A7FE" w:rsidR="00AB4743" w:rsidRPr="0070652F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At the neighbourhood scale, most of the characteristics were found not to continue (see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Figures </w:t>
      </w:r>
      <w:proofErr w:type="gramStart"/>
      <w:r w:rsidRPr="0070652F">
        <w:rPr>
          <w:rFonts w:ascii="Times New Roman" w:hAnsi="Times New Roman" w:cs="Times New Roman"/>
          <w:color w:val="000081"/>
          <w:sz w:val="22"/>
          <w:szCs w:val="22"/>
        </w:rPr>
        <w:t xml:space="preserve">14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and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15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), although a similar block arrangement, spatial sequence and number of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turns were observed in the cases of the first three periods. Another paper by Gokce and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Chen (</w:t>
      </w:r>
      <w:r w:rsidRPr="0070652F">
        <w:rPr>
          <w:rFonts w:ascii="Times New Roman" w:hAnsi="Times New Roman" w:cs="Times New Roman"/>
          <w:color w:val="000081"/>
          <w:sz w:val="22"/>
          <w:szCs w:val="22"/>
        </w:rPr>
        <w:t>2017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) suggests that residents’ sense of place is comparatively low at the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neighbourhood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scale because of these prominent morphological mutations.</w:t>
      </w:r>
    </w:p>
    <w:p w14:paraId="68D0453C" w14:textId="77777777" w:rsidR="008D594C" w:rsidRDefault="008D594C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</w:p>
    <w:p w14:paraId="7374B642" w14:textId="50CE9093" w:rsidR="00AB4743" w:rsidRPr="0070652F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70652F">
        <w:rPr>
          <w:rFonts w:ascii="Times New Roman" w:hAnsi="Times New Roman" w:cs="Times New Roman"/>
          <w:color w:val="000000"/>
          <w:sz w:val="22"/>
          <w:szCs w:val="22"/>
        </w:rPr>
        <w:t>In sum, the methodological approach that the paper proposes improves clarity and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consistency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in defining and analyzing typological process through a proposed typological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framework at articulated scales, pairwise comparison, and categorization of the three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degrees of changes. It proposes an 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approach which</w:t>
      </w:r>
      <w:proofErr w:type="gramEnd"/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 is applicable to other cities and countries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(with appropriate modifications to the typological framework or plac</w:t>
      </w:r>
      <w:r w:rsidR="008D594C">
        <w:rPr>
          <w:rFonts w:ascii="Times New Roman" w:hAnsi="Times New Roman" w:cs="Times New Roman"/>
          <w:color w:val="000000"/>
          <w:sz w:val="22"/>
          <w:szCs w:val="22"/>
        </w:rPr>
        <w:t xml:space="preserve">e scales/level of specificity),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because the three steps are largely operational rather than specific to a particular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context. This can be tested in further research. The study helps the understanding of the</w:t>
      </w:r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>transformation process of urban form and identifies spatial characteristics (or types</w:t>
      </w:r>
      <w:proofErr w:type="gramStart"/>
      <w:r w:rsidRPr="0070652F">
        <w:rPr>
          <w:rFonts w:ascii="Times New Roman" w:hAnsi="Times New Roman" w:cs="Times New Roman"/>
          <w:color w:val="000000"/>
          <w:sz w:val="22"/>
          <w:szCs w:val="22"/>
        </w:rPr>
        <w:t>) which</w:t>
      </w:r>
      <w:proofErr w:type="gramEnd"/>
      <w:r w:rsidR="00AF6E60">
        <w:rPr>
          <w:rFonts w:ascii="Times New Roman" w:hAnsi="Times New Roman" w:cs="Times New Roman"/>
          <w:color w:val="000000"/>
          <w:sz w:val="22"/>
          <w:szCs w:val="22"/>
        </w:rPr>
        <w:t xml:space="preserve"> </w:t>
      </w:r>
      <w:r w:rsidRPr="0070652F">
        <w:rPr>
          <w:rFonts w:ascii="Times New Roman" w:hAnsi="Times New Roman" w:cs="Times New Roman"/>
          <w:color w:val="000000"/>
          <w:sz w:val="22"/>
          <w:szCs w:val="22"/>
        </w:rPr>
        <w:t xml:space="preserve">are culturally valuable in terms of design. </w:t>
      </w:r>
    </w:p>
    <w:p w14:paraId="5F80E448" w14:textId="77777777" w:rsidR="00AB4743" w:rsidRDefault="00AB4743" w:rsidP="00AF6E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14:paraId="6EC283FB" w14:textId="77777777" w:rsidR="00AB4743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>
        <w:rPr>
          <w:rFonts w:ascii="Times New Roman" w:hAnsi="Times New Roman" w:cs="Times New Roman"/>
          <w:color w:val="5478B4"/>
          <w:sz w:val="22"/>
          <w:szCs w:val="22"/>
        </w:rPr>
        <w:t>Note</w:t>
      </w:r>
    </w:p>
    <w:p w14:paraId="4D5F35BF" w14:textId="09D74478" w:rsidR="00AB4743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5478B4"/>
          <w:sz w:val="18"/>
          <w:szCs w:val="18"/>
        </w:rPr>
        <w:t xml:space="preserve">1. </w:t>
      </w:r>
      <w:r>
        <w:rPr>
          <w:rFonts w:ascii="Times New Roman" w:hAnsi="Times New Roman" w:cs="Times New Roman"/>
          <w:color w:val="000000"/>
          <w:sz w:val="18"/>
          <w:szCs w:val="18"/>
        </w:rPr>
        <w:t>The same analysis was conducted for other cases but is not included here due to the length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restriction of the paper.</w:t>
      </w:r>
    </w:p>
    <w:p w14:paraId="351C5B5A" w14:textId="77777777" w:rsidR="008D594C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18"/>
          <w:szCs w:val="18"/>
        </w:rPr>
      </w:pPr>
    </w:p>
    <w:p w14:paraId="589DABC3" w14:textId="77777777" w:rsidR="00AB4743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>
        <w:rPr>
          <w:rFonts w:ascii="Times New Roman" w:hAnsi="Times New Roman" w:cs="Times New Roman"/>
          <w:color w:val="5478B4"/>
          <w:sz w:val="22"/>
          <w:szCs w:val="22"/>
        </w:rPr>
        <w:t>Acknowledgements</w:t>
      </w:r>
    </w:p>
    <w:p w14:paraId="0404B79A" w14:textId="4AD24CD5" w:rsidR="00AB4743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>This research was conducted during the lead author’s research stay in the Department of Architecture,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at the University of Liverpool, funded by Research Development Initiative Fund of the School of the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Arts. Their support is hereby gratefully acknowledged.</w:t>
      </w:r>
    </w:p>
    <w:p w14:paraId="1BE96E27" w14:textId="77777777" w:rsidR="008D594C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18"/>
          <w:szCs w:val="18"/>
        </w:rPr>
      </w:pPr>
    </w:p>
    <w:p w14:paraId="44044FD5" w14:textId="77777777" w:rsidR="00AB4743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>
        <w:rPr>
          <w:rFonts w:ascii="Times New Roman" w:hAnsi="Times New Roman" w:cs="Times New Roman"/>
          <w:color w:val="5478B4"/>
          <w:sz w:val="22"/>
          <w:szCs w:val="22"/>
        </w:rPr>
        <w:t>Disclosure statement</w:t>
      </w:r>
    </w:p>
    <w:p w14:paraId="747783C1" w14:textId="77777777" w:rsidR="00AB4743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>No potential conflict of interest was reported by the authors.</w:t>
      </w:r>
    </w:p>
    <w:p w14:paraId="65339B91" w14:textId="77777777" w:rsidR="008D594C" w:rsidRDefault="008D594C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18"/>
          <w:szCs w:val="18"/>
        </w:rPr>
      </w:pPr>
    </w:p>
    <w:p w14:paraId="28067A1A" w14:textId="77777777" w:rsidR="00AB4743" w:rsidRDefault="00AB4743" w:rsidP="00AB474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5478B4"/>
          <w:sz w:val="22"/>
          <w:szCs w:val="22"/>
        </w:rPr>
      </w:pPr>
      <w:r>
        <w:rPr>
          <w:rFonts w:ascii="Times New Roman" w:hAnsi="Times New Roman" w:cs="Times New Roman"/>
          <w:color w:val="5478B4"/>
          <w:sz w:val="22"/>
          <w:szCs w:val="22"/>
        </w:rPr>
        <w:t>References</w:t>
      </w:r>
    </w:p>
    <w:p w14:paraId="247E93EC" w14:textId="551B2FA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Alexander, C., S. Ishikawa, M. Silverstein, M. Jacobson, I. Fiksdahl-King, and S. Angel. </w:t>
      </w:r>
      <w:r>
        <w:rPr>
          <w:rFonts w:ascii="Times New Roman" w:hAnsi="Times New Roman" w:cs="Times New Roman"/>
          <w:color w:val="000081"/>
          <w:sz w:val="18"/>
          <w:szCs w:val="18"/>
        </w:rPr>
        <w:t>1977</w:t>
      </w:r>
      <w:r>
        <w:rPr>
          <w:rFonts w:ascii="Times New Roman" w:hAnsi="Times New Roman" w:cs="Times New Roman"/>
          <w:color w:val="000000"/>
          <w:sz w:val="18"/>
          <w:szCs w:val="18"/>
        </w:rPr>
        <w:t>. A Pattern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Language: Towns, Buildings,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Construction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>. New York: Oxford University Press.</w:t>
      </w:r>
    </w:p>
    <w:p w14:paraId="3CBEDD80" w14:textId="15752AB1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Altaban, O. </w:t>
      </w:r>
      <w:r>
        <w:rPr>
          <w:rFonts w:ascii="Times New Roman" w:hAnsi="Times New Roman" w:cs="Times New Roman"/>
          <w:color w:val="000081"/>
          <w:sz w:val="18"/>
          <w:szCs w:val="18"/>
        </w:rPr>
        <w:t>1998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“Cumhuriyetin Kent Planlama Politikaları ve Ankara Deneyimi.” In 75 Yılda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Değişen</w:t>
      </w:r>
      <w:proofErr w:type="spellEnd"/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Kent ve Mimarlık [City and Architecture changing in 75 years], edited by Y. Sey, 41–64. İstanbul: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İş</w:t>
      </w:r>
      <w:proofErr w:type="spellEnd"/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Bankası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Kültür Publishing.</w:t>
      </w:r>
    </w:p>
    <w:p w14:paraId="5A76493C" w14:textId="059AA92A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 xml:space="preserve">Balamir, M. </w:t>
      </w:r>
      <w:r>
        <w:rPr>
          <w:rFonts w:ascii="Times New Roman" w:hAnsi="Times New Roman" w:cs="Times New Roman"/>
          <w:color w:val="000081"/>
          <w:sz w:val="18"/>
          <w:szCs w:val="18"/>
        </w:rPr>
        <w:t>1994</w:t>
      </w:r>
      <w:r>
        <w:rPr>
          <w:rFonts w:ascii="Times New Roman" w:hAnsi="Times New Roman" w:cs="Times New Roman"/>
          <w:color w:val="000000"/>
          <w:sz w:val="18"/>
          <w:szCs w:val="18"/>
        </w:rPr>
        <w:t>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“Kira evinden kat evlerine apartmanlaşma: Bir zihniyet d.nüşümü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tarihçesinden</w:t>
      </w:r>
      <w:proofErr w:type="spellEnd"/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kesitler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[The Apartmentalisation From Rent Houses To Floor Houses: Cross Sections of A Mentality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Conversion History].” Mimarlık 260: 29–33.</w:t>
      </w:r>
    </w:p>
    <w:p w14:paraId="01191285" w14:textId="71B1758A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Barke, M. </w:t>
      </w:r>
      <w:r>
        <w:rPr>
          <w:rFonts w:ascii="Times New Roman" w:hAnsi="Times New Roman" w:cs="Times New Roman"/>
          <w:color w:val="000081"/>
          <w:sz w:val="18"/>
          <w:szCs w:val="18"/>
        </w:rPr>
        <w:t>2011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“The Lifespan of A Typological Form? Los Corales De Malaga.” Spain.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Urban Morphology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15 (1): 21–38.</w:t>
      </w:r>
      <w:proofErr w:type="gramEnd"/>
    </w:p>
    <w:p w14:paraId="1CC4E6D3" w14:textId="7CC2C10C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 xml:space="preserve">Batuman, B. </w:t>
      </w:r>
      <w:r>
        <w:rPr>
          <w:rFonts w:ascii="Times New Roman" w:hAnsi="Times New Roman" w:cs="Times New Roman"/>
          <w:color w:val="000081"/>
          <w:sz w:val="18"/>
          <w:szCs w:val="18"/>
        </w:rPr>
        <w:t>2006</w:t>
      </w:r>
      <w:r>
        <w:rPr>
          <w:rFonts w:ascii="Times New Roman" w:hAnsi="Times New Roman" w:cs="Times New Roman"/>
          <w:color w:val="000000"/>
          <w:sz w:val="18"/>
          <w:szCs w:val="18"/>
        </w:rPr>
        <w:t>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“Turkish Urban Professionals and the Politics of Housing, 1960-1980.”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METU Journal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 w:rsidR="00DF16B2">
        <w:rPr>
          <w:rFonts w:ascii="Times New Roman" w:hAnsi="Times New Roman" w:cs="Times New Roman"/>
          <w:color w:val="000000"/>
          <w:sz w:val="18"/>
          <w:szCs w:val="18"/>
        </w:rPr>
        <w:t xml:space="preserve">of </w:t>
      </w:r>
      <w:r>
        <w:rPr>
          <w:rFonts w:ascii="Times New Roman" w:hAnsi="Times New Roman" w:cs="Times New Roman"/>
          <w:color w:val="000000"/>
          <w:sz w:val="18"/>
          <w:szCs w:val="18"/>
        </w:rPr>
        <w:t>Faculty of Architecture 23 (1): 59–91.</w:t>
      </w:r>
      <w:proofErr w:type="gramEnd"/>
    </w:p>
    <w:p w14:paraId="1EBDCCA4" w14:textId="7C47DC50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Bozkurt Azezli, S. G. </w:t>
      </w:r>
      <w:r>
        <w:rPr>
          <w:rFonts w:ascii="Times New Roman" w:hAnsi="Times New Roman" w:cs="Times New Roman"/>
          <w:color w:val="000081"/>
          <w:sz w:val="18"/>
          <w:szCs w:val="18"/>
        </w:rPr>
        <w:t>2009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Investigation at instance of Safranbolu Houses of Indoor Montage in Ottoman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Domestic Architecture in 19th Centruy.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s.l.: s.n.</w:t>
      </w:r>
    </w:p>
    <w:p w14:paraId="7BC12855" w14:textId="6ED88424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Burkay, H. O. </w:t>
      </w:r>
      <w:r>
        <w:rPr>
          <w:rFonts w:ascii="Times New Roman" w:hAnsi="Times New Roman" w:cs="Times New Roman"/>
          <w:color w:val="000081"/>
          <w:sz w:val="18"/>
          <w:szCs w:val="18"/>
        </w:rPr>
        <w:t>2006</w:t>
      </w:r>
      <w:r>
        <w:rPr>
          <w:rFonts w:ascii="Times New Roman" w:hAnsi="Times New Roman" w:cs="Times New Roman"/>
          <w:color w:val="000000"/>
          <w:sz w:val="18"/>
          <w:szCs w:val="18"/>
        </w:rPr>
        <w:t>. "Social Policy of Urban Transformation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:Social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Housing Policies in Turkey from the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1980s to Present." Master’s Dissertation.</w:t>
      </w:r>
    </w:p>
    <w:p w14:paraId="5D250A9D" w14:textId="0B0832B6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Caniggia, G., and G. L. Maffei. </w:t>
      </w:r>
      <w:r>
        <w:rPr>
          <w:rFonts w:ascii="Times New Roman" w:hAnsi="Times New Roman" w:cs="Times New Roman"/>
          <w:color w:val="000081"/>
          <w:sz w:val="18"/>
          <w:szCs w:val="18"/>
        </w:rPr>
        <w:t>1979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Composizione architettonica e tipologia edilizia/1 Letttura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dell’edilizia</w:t>
      </w:r>
      <w:proofErr w:type="spellEnd"/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di base [Architectural Composition and Building Typology: Interpreting Basic Building].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Venezia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>: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Marsilio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Editori.</w:t>
      </w:r>
    </w:p>
    <w:p w14:paraId="4E895822" w14:textId="6A2C6495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Caniggia, G., and G. L. Maffei. </w:t>
      </w:r>
      <w:r>
        <w:rPr>
          <w:rFonts w:ascii="Times New Roman" w:hAnsi="Times New Roman" w:cs="Times New Roman"/>
          <w:color w:val="000081"/>
          <w:sz w:val="18"/>
          <w:szCs w:val="18"/>
        </w:rPr>
        <w:t>2001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Architectural Composition and Building Typology. Firenze: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Alinea</w:t>
      </w:r>
      <w:proofErr w:type="spellEnd"/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Editrice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>.</w:t>
      </w:r>
    </w:p>
    <w:p w14:paraId="0606E699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Cansever, T., and E. Yener. </w:t>
      </w:r>
      <w:r>
        <w:rPr>
          <w:rFonts w:ascii="Times New Roman" w:hAnsi="Times New Roman" w:cs="Times New Roman"/>
          <w:color w:val="000081"/>
          <w:sz w:val="18"/>
          <w:szCs w:val="18"/>
        </w:rPr>
        <w:t>1966</w:t>
      </w:r>
      <w:r>
        <w:rPr>
          <w:rFonts w:ascii="Times New Roman" w:hAnsi="Times New Roman" w:cs="Times New Roman"/>
          <w:color w:val="000000"/>
          <w:sz w:val="18"/>
          <w:szCs w:val="18"/>
        </w:rPr>
        <w:t>. Turkish Historical Society, 145–149. Ankara: s.n.</w:t>
      </w:r>
    </w:p>
    <w:p w14:paraId="107CB7C5" w14:textId="77777777" w:rsidR="00AF6E60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Chen, F. </w:t>
      </w:r>
      <w:r>
        <w:rPr>
          <w:rFonts w:ascii="Times New Roman" w:hAnsi="Times New Roman" w:cs="Times New Roman"/>
          <w:color w:val="000081"/>
          <w:sz w:val="18"/>
          <w:szCs w:val="18"/>
        </w:rPr>
        <w:t>2009</w:t>
      </w:r>
      <w:r>
        <w:rPr>
          <w:rFonts w:ascii="Times New Roman" w:hAnsi="Times New Roman" w:cs="Times New Roman"/>
          <w:color w:val="000000"/>
          <w:sz w:val="18"/>
          <w:szCs w:val="18"/>
        </w:rPr>
        <w:t>. The Role of Typomorphology In Sustaining The Cultural Identity of Chinese Cities: The Case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Study of Nanjing, China. Glasgow: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s.n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>.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</w:p>
    <w:p w14:paraId="0CAAD5FE" w14:textId="1A8C1792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 xml:space="preserve">Chen, F. </w:t>
      </w:r>
      <w:r>
        <w:rPr>
          <w:rFonts w:ascii="Times New Roman" w:hAnsi="Times New Roman" w:cs="Times New Roman"/>
          <w:color w:val="000081"/>
          <w:sz w:val="18"/>
          <w:szCs w:val="18"/>
        </w:rPr>
        <w:t>2011</w:t>
      </w:r>
      <w:r>
        <w:rPr>
          <w:rFonts w:ascii="Times New Roman" w:hAnsi="Times New Roman" w:cs="Times New Roman"/>
          <w:color w:val="000000"/>
          <w:sz w:val="18"/>
          <w:szCs w:val="18"/>
        </w:rPr>
        <w:t>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“Traditional architectural forms in market oriented Chinese cities: Place for localities or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symbol of culture?” Habitat International 35 (2): 410–418.</w:t>
      </w:r>
    </w:p>
    <w:p w14:paraId="10E034DD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Chen, F., and K. Thwaites. </w:t>
      </w:r>
      <w:r>
        <w:rPr>
          <w:rFonts w:ascii="Times New Roman" w:hAnsi="Times New Roman" w:cs="Times New Roman"/>
          <w:color w:val="000081"/>
          <w:sz w:val="18"/>
          <w:szCs w:val="18"/>
        </w:rPr>
        <w:t>2013</w:t>
      </w:r>
      <w:r>
        <w:rPr>
          <w:rFonts w:ascii="Times New Roman" w:hAnsi="Times New Roman" w:cs="Times New Roman"/>
          <w:color w:val="000000"/>
          <w:sz w:val="18"/>
          <w:szCs w:val="18"/>
        </w:rPr>
        <w:t>. Chinese Urban Design: The Typomorphological Approach. Surrey: Ashgate.</w:t>
      </w:r>
    </w:p>
    <w:p w14:paraId="5956161D" w14:textId="0947CE1C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Coban, A. N. </w:t>
      </w:r>
      <w:r>
        <w:rPr>
          <w:rFonts w:ascii="Times New Roman" w:hAnsi="Times New Roman" w:cs="Times New Roman"/>
          <w:color w:val="000081"/>
          <w:sz w:val="18"/>
          <w:szCs w:val="18"/>
        </w:rPr>
        <w:t>2012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“Housing Policies from the Proclamation of the Republic to the Present.”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 xml:space="preserve">SBF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Dergisi</w:t>
      </w:r>
      <w:proofErr w:type="spellEnd"/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(Journal of Faculty of Political Sciences) 67 (3): 75–108.</w:t>
      </w:r>
      <w:proofErr w:type="gramEnd"/>
    </w:p>
    <w:p w14:paraId="1F306FC9" w14:textId="6EA6F90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Conzen, M. </w:t>
      </w:r>
      <w:r>
        <w:rPr>
          <w:rFonts w:ascii="Times New Roman" w:hAnsi="Times New Roman" w:cs="Times New Roman"/>
          <w:color w:val="000081"/>
          <w:sz w:val="18"/>
          <w:szCs w:val="18"/>
        </w:rPr>
        <w:t>1960</w:t>
      </w:r>
      <w:r>
        <w:rPr>
          <w:rFonts w:ascii="Times New Roman" w:hAnsi="Times New Roman" w:cs="Times New Roman"/>
          <w:color w:val="000000"/>
          <w:sz w:val="18"/>
          <w:szCs w:val="18"/>
        </w:rPr>
        <w:t>. Alnwick, Northumberland: A Study in Town-Plan Analysis. London: George Philip &amp;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Son Ltd.</w:t>
      </w:r>
    </w:p>
    <w:p w14:paraId="65C00034" w14:textId="72CC5033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Corsini, M. G. </w:t>
      </w:r>
      <w:r>
        <w:rPr>
          <w:rFonts w:ascii="Times New Roman" w:hAnsi="Times New Roman" w:cs="Times New Roman"/>
          <w:color w:val="000081"/>
          <w:sz w:val="18"/>
          <w:szCs w:val="18"/>
        </w:rPr>
        <w:t>1997</w:t>
      </w:r>
      <w:r>
        <w:rPr>
          <w:rFonts w:ascii="Times New Roman" w:hAnsi="Times New Roman" w:cs="Times New Roman"/>
          <w:color w:val="000000"/>
          <w:sz w:val="18"/>
          <w:szCs w:val="18"/>
        </w:rPr>
        <w:t>. “Residential building Types in Italy before 1930: The Significance of Local Typological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Processes.” Urban Morphology 1: 34–48.</w:t>
      </w:r>
    </w:p>
    <w:p w14:paraId="26C8DFB6" w14:textId="293FDB45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Darin, M. </w:t>
      </w:r>
      <w:r>
        <w:rPr>
          <w:rFonts w:ascii="Times New Roman" w:hAnsi="Times New Roman" w:cs="Times New Roman"/>
          <w:color w:val="000081"/>
          <w:sz w:val="18"/>
          <w:szCs w:val="18"/>
        </w:rPr>
        <w:t>2010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“The Ordinary Dwellings of Paris in the Seventeenth and Eighteenth Centuries.”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Urban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M</w:t>
      </w:r>
      <w:r>
        <w:rPr>
          <w:rFonts w:ascii="Times New Roman" w:hAnsi="Times New Roman" w:cs="Times New Roman"/>
          <w:color w:val="000000"/>
          <w:sz w:val="18"/>
          <w:szCs w:val="18"/>
        </w:rPr>
        <w:t>orphology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14 (2): 129–136.</w:t>
      </w:r>
    </w:p>
    <w:p w14:paraId="1BE36E51" w14:textId="3FFC6332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Dikmen, C. B. </w:t>
      </w:r>
      <w:r>
        <w:rPr>
          <w:rFonts w:ascii="Times New Roman" w:hAnsi="Times New Roman" w:cs="Times New Roman"/>
          <w:color w:val="000081"/>
          <w:sz w:val="18"/>
          <w:szCs w:val="18"/>
        </w:rPr>
        <w:t>2012</w:t>
      </w:r>
      <w:r>
        <w:rPr>
          <w:rFonts w:ascii="Times New Roman" w:hAnsi="Times New Roman" w:cs="Times New Roman"/>
          <w:color w:val="000000"/>
          <w:sz w:val="18"/>
          <w:szCs w:val="18"/>
        </w:rPr>
        <w:t>. “Cumhuriyetin ilanindan gunumuze Ankara’da katli konutlarin cephe duzeni [Façade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Organisation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Of The Floor Houses In Ankara From The Proclamation Of The Republic To Date].” In:</w:t>
      </w:r>
      <w:r w:rsidR="00AF6E6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6. Ulusal Çatı &amp; Cephe Sempozyumu (6th National Roof &amp; Façade Symposium), 12-13 April, Bursa.</w:t>
      </w:r>
    </w:p>
    <w:p w14:paraId="077D390B" w14:textId="26D0E07C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Dufaux, F. </w:t>
      </w:r>
      <w:r>
        <w:rPr>
          <w:rFonts w:ascii="Times New Roman" w:hAnsi="Times New Roman" w:cs="Times New Roman"/>
          <w:color w:val="000081"/>
          <w:sz w:val="18"/>
          <w:szCs w:val="18"/>
        </w:rPr>
        <w:t>2000</w:t>
      </w:r>
      <w:r>
        <w:rPr>
          <w:rFonts w:ascii="Times New Roman" w:hAnsi="Times New Roman" w:cs="Times New Roman"/>
          <w:color w:val="000000"/>
          <w:sz w:val="18"/>
          <w:szCs w:val="18"/>
        </w:rPr>
        <w:t>. “A New World from Two Old Ones: The Evolution of Montreal’s Tenements, 1850–1892.”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Urban Morphology 4 (1): 9–19.</w:t>
      </w:r>
    </w:p>
    <w:p w14:paraId="6D117CB2" w14:textId="6B4B7A4E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Erman, T. </w:t>
      </w:r>
      <w:r>
        <w:rPr>
          <w:rFonts w:ascii="Times New Roman" w:hAnsi="Times New Roman" w:cs="Times New Roman"/>
          <w:color w:val="000081"/>
          <w:sz w:val="18"/>
          <w:szCs w:val="18"/>
        </w:rPr>
        <w:t>2001</w:t>
      </w:r>
      <w:r>
        <w:rPr>
          <w:rFonts w:ascii="Times New Roman" w:hAnsi="Times New Roman" w:cs="Times New Roman"/>
          <w:color w:val="000000"/>
          <w:sz w:val="18"/>
          <w:szCs w:val="18"/>
        </w:rPr>
        <w:t>. “The Politics of Squatter (Gecekondu) Studies in Turkey: The Changing Representations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of Rural Migrants in the Academic Discourse.” Urban Studies 38 (7): 983.</w:t>
      </w:r>
    </w:p>
    <w:p w14:paraId="67106050" w14:textId="16BFC5A6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Feng, Q. </w:t>
      </w:r>
      <w:r>
        <w:rPr>
          <w:rFonts w:ascii="Times New Roman" w:hAnsi="Times New Roman" w:cs="Times New Roman"/>
          <w:color w:val="000081"/>
          <w:sz w:val="18"/>
          <w:szCs w:val="18"/>
        </w:rPr>
        <w:t>2014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A Typo-Morphological Enquiry into the Evolution of Urban and Architectural Forms in the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Huangpu District of Shanghai, China.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Montreal: s.n.</w:t>
      </w:r>
    </w:p>
    <w:p w14:paraId="495AC38F" w14:textId="5D8D3281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Gauthier, P. </w:t>
      </w:r>
      <w:r>
        <w:rPr>
          <w:rFonts w:ascii="Times New Roman" w:hAnsi="Times New Roman" w:cs="Times New Roman"/>
          <w:color w:val="000081"/>
          <w:sz w:val="18"/>
          <w:szCs w:val="18"/>
        </w:rPr>
        <w:t>1997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Morphogenese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et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Syntaxe Spatiale des Tissus Residentiels du Quartier Saint-Sauveur De</w:t>
      </w:r>
      <w:r w:rsidR="00DF16B2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Quebec. Canada: s.n.</w:t>
      </w:r>
    </w:p>
    <w:p w14:paraId="24D5F7E2" w14:textId="12CC3F7E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Gauthier, P. </w:t>
      </w:r>
      <w:r>
        <w:rPr>
          <w:rFonts w:ascii="Times New Roman" w:hAnsi="Times New Roman" w:cs="Times New Roman"/>
          <w:color w:val="000081"/>
          <w:sz w:val="18"/>
          <w:szCs w:val="18"/>
        </w:rPr>
        <w:t>2005</w:t>
      </w:r>
      <w:r>
        <w:rPr>
          <w:rFonts w:ascii="Times New Roman" w:hAnsi="Times New Roman" w:cs="Times New Roman"/>
          <w:color w:val="000000"/>
          <w:sz w:val="18"/>
          <w:szCs w:val="18"/>
        </w:rPr>
        <w:t>. “Conceptualizing the Social Construction of Urban and Architectural Forms Through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t</w:t>
      </w:r>
      <w:r>
        <w:rPr>
          <w:rFonts w:ascii="Times New Roman" w:hAnsi="Times New Roman" w:cs="Times New Roman"/>
          <w:color w:val="000000"/>
          <w:sz w:val="18"/>
          <w:szCs w:val="18"/>
        </w:rPr>
        <w:t>he Typological Process.” Urban Morphology 9 (2): 83–93.</w:t>
      </w:r>
    </w:p>
    <w:p w14:paraId="3F93671A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Gauthiez, B. </w:t>
      </w:r>
      <w:r>
        <w:rPr>
          <w:rFonts w:ascii="Times New Roman" w:hAnsi="Times New Roman" w:cs="Times New Roman"/>
          <w:color w:val="000081"/>
          <w:sz w:val="18"/>
          <w:szCs w:val="18"/>
        </w:rPr>
        <w:t>2004</w:t>
      </w:r>
      <w:r>
        <w:rPr>
          <w:rFonts w:ascii="Times New Roman" w:hAnsi="Times New Roman" w:cs="Times New Roman"/>
          <w:color w:val="000000"/>
          <w:sz w:val="18"/>
          <w:szCs w:val="18"/>
        </w:rPr>
        <w:t>. “The History of Urban Morphology.” Urnam Morphology 8 (2): 71–89.</w:t>
      </w:r>
    </w:p>
    <w:p w14:paraId="45644245" w14:textId="276BB6F4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Gokce, D. </w:t>
      </w:r>
      <w:r>
        <w:rPr>
          <w:rFonts w:ascii="Times New Roman" w:hAnsi="Times New Roman" w:cs="Times New Roman"/>
          <w:color w:val="000081"/>
          <w:sz w:val="18"/>
          <w:szCs w:val="18"/>
        </w:rPr>
        <w:t>2017</w:t>
      </w:r>
      <w:r>
        <w:rPr>
          <w:rFonts w:ascii="Times New Roman" w:hAnsi="Times New Roman" w:cs="Times New Roman"/>
          <w:color w:val="000000"/>
          <w:sz w:val="18"/>
          <w:szCs w:val="18"/>
        </w:rPr>
        <w:t>. "An Empirical Investigation of the Interplay between Typo-Morphological Transformation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of Historic House Form and Sense of Place."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PhD Thesis, Department of Architecture, University of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Liverpool.</w:t>
      </w:r>
      <w:proofErr w:type="gramEnd"/>
    </w:p>
    <w:p w14:paraId="22F70EE7" w14:textId="3F2D43A3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Gokce, D., and F. Chen. </w:t>
      </w:r>
      <w:r>
        <w:rPr>
          <w:rFonts w:ascii="Times New Roman" w:hAnsi="Times New Roman" w:cs="Times New Roman"/>
          <w:color w:val="000081"/>
          <w:sz w:val="18"/>
          <w:szCs w:val="18"/>
        </w:rPr>
        <w:t>2016</w:t>
      </w:r>
      <w:r>
        <w:rPr>
          <w:rFonts w:ascii="Times New Roman" w:hAnsi="Times New Roman" w:cs="Times New Roman"/>
          <w:color w:val="000000"/>
          <w:sz w:val="18"/>
          <w:szCs w:val="18"/>
        </w:rPr>
        <w:t>. “Does typological Process Help to Build a Sense of Place?” Urban Morphology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 w:rsidR="00DF16B2">
        <w:rPr>
          <w:rFonts w:ascii="Times New Roman" w:hAnsi="Times New Roman" w:cs="Times New Roman"/>
          <w:color w:val="000000"/>
          <w:sz w:val="18"/>
          <w:szCs w:val="18"/>
        </w:rPr>
        <w:t xml:space="preserve">20 </w:t>
      </w:r>
      <w:r>
        <w:rPr>
          <w:rFonts w:ascii="Times New Roman" w:hAnsi="Times New Roman" w:cs="Times New Roman"/>
          <w:color w:val="000000"/>
          <w:sz w:val="18"/>
          <w:szCs w:val="18"/>
        </w:rPr>
        <w:t>(1): 66–69.</w:t>
      </w:r>
    </w:p>
    <w:p w14:paraId="6E349215" w14:textId="3C78021B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Gokce, D., and F. Chen. </w:t>
      </w:r>
      <w:r>
        <w:rPr>
          <w:rFonts w:ascii="Times New Roman" w:hAnsi="Times New Roman" w:cs="Times New Roman"/>
          <w:color w:val="000081"/>
          <w:sz w:val="18"/>
          <w:szCs w:val="18"/>
        </w:rPr>
        <w:t>2017</w:t>
      </w:r>
      <w:r>
        <w:rPr>
          <w:rFonts w:ascii="Times New Roman" w:hAnsi="Times New Roman" w:cs="Times New Roman"/>
          <w:color w:val="000000"/>
          <w:sz w:val="18"/>
          <w:szCs w:val="18"/>
        </w:rPr>
        <w:t>. “Sense of Place in the Changing Process of House Form: Case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Studies from Ankara, Turkey.” Environment and Planning B: Urban Analytics and City Science.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doi:</w:t>
      </w:r>
      <w:r>
        <w:rPr>
          <w:rFonts w:ascii="Times New Roman" w:hAnsi="Times New Roman" w:cs="Times New Roman"/>
          <w:color w:val="000081"/>
          <w:sz w:val="18"/>
          <w:szCs w:val="18"/>
        </w:rPr>
        <w:t>10.1177</w:t>
      </w:r>
      <w:proofErr w:type="gramEnd"/>
      <w:r>
        <w:rPr>
          <w:rFonts w:ascii="Times New Roman" w:hAnsi="Times New Roman" w:cs="Times New Roman"/>
          <w:color w:val="000081"/>
          <w:sz w:val="18"/>
          <w:szCs w:val="18"/>
        </w:rPr>
        <w:t>/0265813516686970</w:t>
      </w:r>
      <w:r>
        <w:rPr>
          <w:rFonts w:ascii="Times New Roman" w:hAnsi="Times New Roman" w:cs="Times New Roman"/>
          <w:color w:val="000000"/>
          <w:sz w:val="18"/>
          <w:szCs w:val="18"/>
        </w:rPr>
        <w:t>.</w:t>
      </w:r>
    </w:p>
    <w:p w14:paraId="172C17A6" w14:textId="4F5A66CA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Gu, K., Y. Tian, J. Whitehand, and S. M. Whitehand. </w:t>
      </w:r>
      <w:r>
        <w:rPr>
          <w:rFonts w:ascii="Times New Roman" w:hAnsi="Times New Roman" w:cs="Times New Roman"/>
          <w:color w:val="000081"/>
          <w:sz w:val="18"/>
          <w:szCs w:val="18"/>
        </w:rPr>
        <w:t>2008</w:t>
      </w:r>
      <w:r>
        <w:rPr>
          <w:rFonts w:ascii="Times New Roman" w:hAnsi="Times New Roman" w:cs="Times New Roman"/>
          <w:color w:val="000000"/>
          <w:sz w:val="18"/>
          <w:szCs w:val="18"/>
        </w:rPr>
        <w:t>. “Residential Buildings Types As An Evolutionary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Process: The Guangzhou Area.” China. Urban Morphology 12 (1): 97–115.</w:t>
      </w:r>
    </w:p>
    <w:p w14:paraId="73E8B891" w14:textId="65E9AFE8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Guney, Y. I., and J. Wineman. </w:t>
      </w:r>
      <w:r>
        <w:rPr>
          <w:rFonts w:ascii="Times New Roman" w:hAnsi="Times New Roman" w:cs="Times New Roman"/>
          <w:color w:val="000081"/>
          <w:sz w:val="18"/>
          <w:szCs w:val="18"/>
        </w:rPr>
        <w:t>2008</w:t>
      </w:r>
      <w:r>
        <w:rPr>
          <w:rFonts w:ascii="Times New Roman" w:hAnsi="Times New Roman" w:cs="Times New Roman"/>
          <w:color w:val="000000"/>
          <w:sz w:val="18"/>
          <w:szCs w:val="18"/>
        </w:rPr>
        <w:t>. “The Evolving Design of 20th Century Apartments in Ankara.”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Environment and Planning B: Planning and Design 35: 627–646. </w:t>
      </w:r>
    </w:p>
    <w:p w14:paraId="3557F1C0" w14:textId="0867B570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 xml:space="preserve">Güzey, Özlem </w:t>
      </w:r>
      <w:r>
        <w:rPr>
          <w:rFonts w:ascii="Times New Roman" w:hAnsi="Times New Roman" w:cs="Times New Roman"/>
          <w:color w:val="000081"/>
          <w:sz w:val="18"/>
          <w:szCs w:val="18"/>
        </w:rPr>
        <w:t>2009</w:t>
      </w:r>
      <w:r>
        <w:rPr>
          <w:rFonts w:ascii="Times New Roman" w:hAnsi="Times New Roman" w:cs="Times New Roman"/>
          <w:color w:val="000000"/>
          <w:sz w:val="18"/>
          <w:szCs w:val="18"/>
        </w:rPr>
        <w:t>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“Urban Regeneration and Increased Competitive Power: Ankara in an Era of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Globalization.” Cities 26 (1): 27–37.</w:t>
      </w:r>
    </w:p>
    <w:p w14:paraId="40D8FC70" w14:textId="0CDD07CD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Gygax, F. </w:t>
      </w:r>
      <w:r>
        <w:rPr>
          <w:rFonts w:ascii="Times New Roman" w:hAnsi="Times New Roman" w:cs="Times New Roman"/>
          <w:color w:val="000081"/>
          <w:sz w:val="18"/>
          <w:szCs w:val="18"/>
        </w:rPr>
        <w:t>2007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“The Morphological Basis Of Urban Design: Experiments In Giudecca.” Venice.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Urban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Morphology 11 (2): 111–125.</w:t>
      </w:r>
      <w:proofErr w:type="gramEnd"/>
    </w:p>
    <w:p w14:paraId="7C0FDA90" w14:textId="6C523CAA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Kansu, A. </w:t>
      </w:r>
      <w:r>
        <w:rPr>
          <w:rFonts w:ascii="Times New Roman" w:hAnsi="Times New Roman" w:cs="Times New Roman"/>
          <w:color w:val="000081"/>
          <w:sz w:val="18"/>
          <w:szCs w:val="18"/>
        </w:rPr>
        <w:t>2009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“Jansen’in Ankara’sı için Ornek bir Bahce Sehir ya da Siedlung: Bahcesehir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Kooperatifi</w:t>
      </w:r>
      <w:proofErr w:type="spellEnd"/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1934–39.” [Jansen’s Example of a Garden City or Siedlung to Ankara.] Toplumsal Tarih 187: 2–14.</w:t>
      </w:r>
    </w:p>
    <w:p w14:paraId="0740CEFC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Keles, R., C. Hamamci, and A. Coban. </w:t>
      </w:r>
      <w:r>
        <w:rPr>
          <w:rFonts w:ascii="Times New Roman" w:hAnsi="Times New Roman" w:cs="Times New Roman"/>
          <w:color w:val="000081"/>
          <w:sz w:val="18"/>
          <w:szCs w:val="18"/>
        </w:rPr>
        <w:t>2009</w:t>
      </w:r>
      <w:r>
        <w:rPr>
          <w:rFonts w:ascii="Times New Roman" w:hAnsi="Times New Roman" w:cs="Times New Roman"/>
          <w:color w:val="000000"/>
          <w:sz w:val="18"/>
          <w:szCs w:val="18"/>
        </w:rPr>
        <w:t>. Cevre Politikasi [Environmental Politics]. Ankara: Imge.</w:t>
      </w:r>
    </w:p>
    <w:p w14:paraId="37D09C29" w14:textId="30A6521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Kirjakka, M. </w:t>
      </w:r>
      <w:r>
        <w:rPr>
          <w:rFonts w:ascii="Times New Roman" w:hAnsi="Times New Roman" w:cs="Times New Roman"/>
          <w:color w:val="000081"/>
          <w:sz w:val="18"/>
          <w:szCs w:val="18"/>
        </w:rPr>
        <w:t>2003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“The Concept of The Ideal City: The Case of Finnish Orthogonal Towns.”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Urban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Morphology 7 (2): 87–98.</w:t>
      </w:r>
      <w:proofErr w:type="gramEnd"/>
    </w:p>
    <w:p w14:paraId="5903A317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Kropf, K. </w:t>
      </w:r>
      <w:r>
        <w:rPr>
          <w:rFonts w:ascii="Times New Roman" w:hAnsi="Times New Roman" w:cs="Times New Roman"/>
          <w:color w:val="000081"/>
          <w:sz w:val="18"/>
          <w:szCs w:val="18"/>
        </w:rPr>
        <w:t>1993</w:t>
      </w:r>
      <w:r>
        <w:rPr>
          <w:rFonts w:ascii="Times New Roman" w:hAnsi="Times New Roman" w:cs="Times New Roman"/>
          <w:color w:val="000000"/>
          <w:sz w:val="18"/>
          <w:szCs w:val="18"/>
        </w:rPr>
        <w:t>. The Definition of Built Form in Urban Morphology. Birmingham, AL: s.n.</w:t>
      </w:r>
    </w:p>
    <w:p w14:paraId="0CF835A4" w14:textId="03E18AF0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Kropf, K. </w:t>
      </w:r>
      <w:r>
        <w:rPr>
          <w:rFonts w:ascii="Times New Roman" w:hAnsi="Times New Roman" w:cs="Times New Roman"/>
          <w:color w:val="000081"/>
          <w:sz w:val="18"/>
          <w:szCs w:val="18"/>
        </w:rPr>
        <w:t>2006</w:t>
      </w:r>
      <w:r>
        <w:rPr>
          <w:rFonts w:ascii="Times New Roman" w:hAnsi="Times New Roman" w:cs="Times New Roman"/>
          <w:color w:val="000000"/>
          <w:sz w:val="18"/>
          <w:szCs w:val="18"/>
        </w:rPr>
        <w:t>. “Crisis in the typological Process and the Language of Innovation and Tradition.” Urban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Morphology 10 (1): 70–77.</w:t>
      </w:r>
    </w:p>
    <w:p w14:paraId="292E7CAB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Kropf, K. </w:t>
      </w:r>
      <w:r>
        <w:rPr>
          <w:rFonts w:ascii="Times New Roman" w:hAnsi="Times New Roman" w:cs="Times New Roman"/>
          <w:color w:val="000081"/>
          <w:sz w:val="18"/>
          <w:szCs w:val="18"/>
        </w:rPr>
        <w:t>2009</w:t>
      </w:r>
      <w:r>
        <w:rPr>
          <w:rFonts w:ascii="Times New Roman" w:hAnsi="Times New Roman" w:cs="Times New Roman"/>
          <w:color w:val="000000"/>
          <w:sz w:val="18"/>
          <w:szCs w:val="18"/>
        </w:rPr>
        <w:t>. “Aspects of urban form.” Urban Morphology 13 (2): 105–120.</w:t>
      </w:r>
    </w:p>
    <w:p w14:paraId="7771666A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Lynch, K. </w:t>
      </w:r>
      <w:r>
        <w:rPr>
          <w:rFonts w:ascii="Times New Roman" w:hAnsi="Times New Roman" w:cs="Times New Roman"/>
          <w:color w:val="000081"/>
          <w:sz w:val="18"/>
          <w:szCs w:val="18"/>
        </w:rPr>
        <w:t>1960</w:t>
      </w:r>
      <w:r>
        <w:rPr>
          <w:rFonts w:ascii="Times New Roman" w:hAnsi="Times New Roman" w:cs="Times New Roman"/>
          <w:color w:val="000000"/>
          <w:sz w:val="18"/>
          <w:szCs w:val="18"/>
        </w:rPr>
        <w:t>. The Image of City. Cambridge: The MIT Press.</w:t>
      </w:r>
    </w:p>
    <w:p w14:paraId="549B3521" w14:textId="3AF31CD3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Maretto, M., and N. Scardigno. </w:t>
      </w:r>
      <w:r>
        <w:rPr>
          <w:rFonts w:ascii="Times New Roman" w:hAnsi="Times New Roman" w:cs="Times New Roman"/>
          <w:color w:val="000081"/>
          <w:sz w:val="18"/>
          <w:szCs w:val="18"/>
        </w:rPr>
        <w:t>2016</w:t>
      </w:r>
      <w:r>
        <w:rPr>
          <w:rFonts w:ascii="Times New Roman" w:hAnsi="Times New Roman" w:cs="Times New Roman"/>
          <w:color w:val="000000"/>
          <w:sz w:val="18"/>
          <w:szCs w:val="18"/>
        </w:rPr>
        <w:t>. “Muratorian Urban Morphology: The Walled City Of Ahmedabad.”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Urban Morphology 20 (1): 18–33.</w:t>
      </w:r>
      <w:proofErr w:type="gramEnd"/>
    </w:p>
    <w:p w14:paraId="226CE214" w14:textId="3DACBB8C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Marzot, N. </w:t>
      </w:r>
      <w:r>
        <w:rPr>
          <w:rFonts w:ascii="Times New Roman" w:hAnsi="Times New Roman" w:cs="Times New Roman"/>
          <w:color w:val="000081"/>
          <w:sz w:val="18"/>
          <w:szCs w:val="18"/>
        </w:rPr>
        <w:t>2001</w:t>
      </w:r>
      <w:r>
        <w:rPr>
          <w:rFonts w:ascii="Times New Roman" w:hAnsi="Times New Roman" w:cs="Times New Roman"/>
          <w:color w:val="000000"/>
          <w:sz w:val="18"/>
          <w:szCs w:val="18"/>
        </w:rPr>
        <w:t>. “Critical Glossary.” In Architectural Composition and Building Typology, edited by G.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Caniggia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and G. L. Maffei, 243–252. Firenze: Alinea Editrice.</w:t>
      </w:r>
    </w:p>
    <w:p w14:paraId="510FD39C" w14:textId="7432B4B6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Moudon, A. V. </w:t>
      </w:r>
      <w:r>
        <w:rPr>
          <w:rFonts w:ascii="Times New Roman" w:hAnsi="Times New Roman" w:cs="Times New Roman"/>
          <w:color w:val="000081"/>
          <w:sz w:val="18"/>
          <w:szCs w:val="18"/>
        </w:rPr>
        <w:t>1989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“The Role of Typo-morphological Studies in Environmental Design Research.”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EDRA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20: 41–48.</w:t>
      </w:r>
      <w:proofErr w:type="gramEnd"/>
    </w:p>
    <w:p w14:paraId="3AC13692" w14:textId="11321CB6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Moudon, A. V. </w:t>
      </w:r>
      <w:r>
        <w:rPr>
          <w:rFonts w:ascii="Times New Roman" w:hAnsi="Times New Roman" w:cs="Times New Roman"/>
          <w:color w:val="000081"/>
          <w:sz w:val="18"/>
          <w:szCs w:val="18"/>
        </w:rPr>
        <w:t>1994</w:t>
      </w:r>
      <w:r>
        <w:rPr>
          <w:rFonts w:ascii="Times New Roman" w:hAnsi="Times New Roman" w:cs="Times New Roman"/>
          <w:color w:val="000000"/>
          <w:sz w:val="18"/>
          <w:szCs w:val="18"/>
        </w:rPr>
        <w:t>. “Getting to Know the Built Landscape: Typomorphology.” In Ordering Space: Types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and in Architecture and Design, edited by K. A. Franck and L. H. Schneekloth, 289–311. New York: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Van Nostrand Reinhold.</w:t>
      </w:r>
    </w:p>
    <w:p w14:paraId="215744F3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Nasr, J. </w:t>
      </w:r>
      <w:r>
        <w:rPr>
          <w:rFonts w:ascii="Times New Roman" w:hAnsi="Times New Roman" w:cs="Times New Roman"/>
          <w:color w:val="000081"/>
          <w:sz w:val="18"/>
          <w:szCs w:val="18"/>
        </w:rPr>
        <w:t>2003</w:t>
      </w:r>
      <w:r>
        <w:rPr>
          <w:rFonts w:ascii="Times New Roman" w:hAnsi="Times New Roman" w:cs="Times New Roman"/>
          <w:color w:val="000000"/>
          <w:sz w:val="18"/>
          <w:szCs w:val="18"/>
        </w:rPr>
        <w:t>. “Morphology of disaster: Challenges for research.” Urban Morphology 7 (2): 105–106.</w:t>
      </w:r>
    </w:p>
    <w:p w14:paraId="1FBC6B9F" w14:textId="4BBF9D16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Oliveira, V., C. Monteiro, and J. Partanen. </w:t>
      </w:r>
      <w:r>
        <w:rPr>
          <w:rFonts w:ascii="Times New Roman" w:hAnsi="Times New Roman" w:cs="Times New Roman"/>
          <w:color w:val="000081"/>
          <w:sz w:val="18"/>
          <w:szCs w:val="18"/>
        </w:rPr>
        <w:t>2015</w:t>
      </w:r>
      <w:r>
        <w:rPr>
          <w:rFonts w:ascii="Times New Roman" w:hAnsi="Times New Roman" w:cs="Times New Roman"/>
          <w:color w:val="000000"/>
          <w:sz w:val="18"/>
          <w:szCs w:val="18"/>
        </w:rPr>
        <w:t>. “A Comparative Study of Urban Form.” Urban Morphology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19 (1): 73–92.</w:t>
      </w:r>
    </w:p>
    <w:p w14:paraId="3EE69D3D" w14:textId="6AEBBBA4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Racine, F. </w:t>
      </w:r>
      <w:r>
        <w:rPr>
          <w:rFonts w:ascii="Times New Roman" w:hAnsi="Times New Roman" w:cs="Times New Roman"/>
          <w:color w:val="000081"/>
          <w:sz w:val="18"/>
          <w:szCs w:val="18"/>
        </w:rPr>
        <w:t>2016</w:t>
      </w:r>
      <w:r>
        <w:rPr>
          <w:rFonts w:ascii="Times New Roman" w:hAnsi="Times New Roman" w:cs="Times New Roman"/>
          <w:color w:val="000000"/>
          <w:sz w:val="18"/>
          <w:szCs w:val="18"/>
        </w:rPr>
        <w:t>. “Developments In Urban Design Practice In Montreal: A Morphological Perspective.”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Urban Morphology 20 (2): 122–137.</w:t>
      </w:r>
      <w:proofErr w:type="gramEnd"/>
    </w:p>
    <w:p w14:paraId="302AF432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Rapoport, A. </w:t>
      </w:r>
      <w:r>
        <w:rPr>
          <w:rFonts w:ascii="Times New Roman" w:hAnsi="Times New Roman" w:cs="Times New Roman"/>
          <w:color w:val="000081"/>
          <w:sz w:val="18"/>
          <w:szCs w:val="18"/>
        </w:rPr>
        <w:t>1969</w:t>
      </w:r>
      <w:r>
        <w:rPr>
          <w:rFonts w:ascii="Times New Roman" w:hAnsi="Times New Roman" w:cs="Times New Roman"/>
          <w:color w:val="000000"/>
          <w:sz w:val="18"/>
          <w:szCs w:val="18"/>
        </w:rPr>
        <w:t>. House Form and Culture. London: Prentice-HALL, INC.Englewood Cliffs, N.J.</w:t>
      </w:r>
    </w:p>
    <w:p w14:paraId="05BE3952" w14:textId="017AB864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Ryan, B. D. </w:t>
      </w:r>
      <w:r>
        <w:rPr>
          <w:rFonts w:ascii="Times New Roman" w:hAnsi="Times New Roman" w:cs="Times New Roman"/>
          <w:color w:val="000081"/>
          <w:sz w:val="18"/>
          <w:szCs w:val="18"/>
        </w:rPr>
        <w:t>2006</w:t>
      </w:r>
      <w:r>
        <w:rPr>
          <w:rFonts w:ascii="Times New Roman" w:hAnsi="Times New Roman" w:cs="Times New Roman"/>
          <w:color w:val="000000"/>
          <w:sz w:val="18"/>
          <w:szCs w:val="18"/>
        </w:rPr>
        <w:t>. “Morphological Change Through Residential Redevelopment: Detroit, 1951-2000.”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U</w:t>
      </w:r>
      <w:r w:rsidR="00DF16B2">
        <w:rPr>
          <w:rFonts w:ascii="Times New Roman" w:hAnsi="Times New Roman" w:cs="Times New Roman"/>
          <w:color w:val="000000"/>
          <w:sz w:val="18"/>
          <w:szCs w:val="18"/>
        </w:rPr>
        <w:t xml:space="preserve">rban </w:t>
      </w:r>
      <w:r>
        <w:rPr>
          <w:rFonts w:ascii="Times New Roman" w:hAnsi="Times New Roman" w:cs="Times New Roman"/>
          <w:color w:val="000000"/>
          <w:sz w:val="18"/>
          <w:szCs w:val="18"/>
        </w:rPr>
        <w:t>Morphology 10 (1): 5–22.</w:t>
      </w:r>
    </w:p>
    <w:p w14:paraId="23989BD3" w14:textId="1D46C5EA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Satoh, S. </w:t>
      </w:r>
      <w:r>
        <w:rPr>
          <w:rFonts w:ascii="Times New Roman" w:hAnsi="Times New Roman" w:cs="Times New Roman"/>
          <w:color w:val="000081"/>
          <w:sz w:val="18"/>
          <w:szCs w:val="18"/>
        </w:rPr>
        <w:t>1997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“The Morphological Transformation of Japanese Castle-Town Cities.”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Urban Morphology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 w:rsidR="00DF16B2">
        <w:rPr>
          <w:rFonts w:ascii="Times New Roman" w:hAnsi="Times New Roman" w:cs="Times New Roman"/>
          <w:color w:val="000000"/>
          <w:sz w:val="18"/>
          <w:szCs w:val="18"/>
        </w:rPr>
        <w:t xml:space="preserve">1: 11 </w:t>
      </w:r>
      <w:r>
        <w:rPr>
          <w:rFonts w:ascii="Times New Roman" w:hAnsi="Times New Roman" w:cs="Times New Roman"/>
          <w:color w:val="000000"/>
          <w:sz w:val="18"/>
          <w:szCs w:val="18"/>
        </w:rPr>
        <w:t>18.</w:t>
      </w:r>
      <w:proofErr w:type="gramEnd"/>
    </w:p>
    <w:p w14:paraId="309EAA6C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Scheer, B. C. </w:t>
      </w:r>
      <w:r>
        <w:rPr>
          <w:rFonts w:ascii="Times New Roman" w:hAnsi="Times New Roman" w:cs="Times New Roman"/>
          <w:color w:val="000081"/>
          <w:sz w:val="18"/>
          <w:szCs w:val="18"/>
        </w:rPr>
        <w:t>2016</w:t>
      </w:r>
      <w:r>
        <w:rPr>
          <w:rFonts w:ascii="Times New Roman" w:hAnsi="Times New Roman" w:cs="Times New Roman"/>
          <w:color w:val="000000"/>
          <w:sz w:val="18"/>
          <w:szCs w:val="18"/>
        </w:rPr>
        <w:t>. “The Epistomology of Urban Morphology.” Urban Morphology, April, 20 (1): 5–17.</w:t>
      </w:r>
    </w:p>
    <w:p w14:paraId="6610B739" w14:textId="1D0D01E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Sey, Y. </w:t>
      </w:r>
      <w:r>
        <w:rPr>
          <w:rFonts w:ascii="Times New Roman" w:hAnsi="Times New Roman" w:cs="Times New Roman"/>
          <w:color w:val="000081"/>
          <w:sz w:val="18"/>
          <w:szCs w:val="18"/>
        </w:rPr>
        <w:t>1998a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“Republican Turkey Architecture and Building Production.”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 xml:space="preserve">75 Yılda Değişen Kent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ve</w:t>
      </w:r>
      <w:proofErr w:type="spellEnd"/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Mimarlık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>, 24–39.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Istanbul: Is Bankası Kultur Press.</w:t>
      </w:r>
    </w:p>
    <w:p w14:paraId="5581C4F4" w14:textId="79345B98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Sey, Y. </w:t>
      </w:r>
      <w:r>
        <w:rPr>
          <w:rFonts w:ascii="Times New Roman" w:hAnsi="Times New Roman" w:cs="Times New Roman"/>
          <w:color w:val="000081"/>
          <w:sz w:val="18"/>
          <w:szCs w:val="18"/>
        </w:rPr>
        <w:t>1998b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“Cumhuriyet Döneminde Konut.” [Housing in Republican Period.] In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75 yılda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Değişen Kent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ve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Mimarlık [The Changing City and Architecture in 75 years], edited by Y. Sey, 273–300. Istanbul: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 w:rsidR="00DF16B2">
        <w:rPr>
          <w:rFonts w:ascii="Times New Roman" w:hAnsi="Times New Roman" w:cs="Times New Roman"/>
          <w:color w:val="000000"/>
          <w:sz w:val="18"/>
          <w:szCs w:val="18"/>
        </w:rPr>
        <w:t>Tarih</w:t>
      </w:r>
      <w:proofErr w:type="spellEnd"/>
      <w:r w:rsidR="00DF16B2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 w:rsidR="00DF16B2">
        <w:rPr>
          <w:rFonts w:ascii="Times New Roman" w:hAnsi="Times New Roman" w:cs="Times New Roman"/>
          <w:color w:val="000000"/>
          <w:sz w:val="18"/>
          <w:szCs w:val="18"/>
        </w:rPr>
        <w:t>Vakfi</w:t>
      </w:r>
      <w:proofErr w:type="spellEnd"/>
      <w:r w:rsidR="00DF16B2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Press.</w:t>
      </w:r>
    </w:p>
    <w:p w14:paraId="7FC45693" w14:textId="6EB14DE5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Siksna, A. </w:t>
      </w:r>
      <w:r>
        <w:rPr>
          <w:rFonts w:ascii="Times New Roman" w:hAnsi="Times New Roman" w:cs="Times New Roman"/>
          <w:color w:val="000081"/>
          <w:sz w:val="18"/>
          <w:szCs w:val="18"/>
        </w:rPr>
        <w:t>1997</w:t>
      </w:r>
      <w:r>
        <w:rPr>
          <w:rFonts w:ascii="Times New Roman" w:hAnsi="Times New Roman" w:cs="Times New Roman"/>
          <w:color w:val="000000"/>
          <w:sz w:val="18"/>
          <w:szCs w:val="18"/>
        </w:rPr>
        <w:t>. “The Effects of Block Size and Form in North American and Australian City Centre.”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Urban Moprhology 1: 19–33.</w:t>
      </w:r>
      <w:proofErr w:type="gramEnd"/>
    </w:p>
    <w:p w14:paraId="201FB102" w14:textId="43B81B14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Toker, U. and Z. Toker </w:t>
      </w:r>
      <w:r>
        <w:rPr>
          <w:rFonts w:ascii="Times New Roman" w:hAnsi="Times New Roman" w:cs="Times New Roman"/>
          <w:color w:val="000081"/>
          <w:sz w:val="18"/>
          <w:szCs w:val="18"/>
        </w:rPr>
        <w:t>2003</w:t>
      </w:r>
      <w:r>
        <w:rPr>
          <w:rFonts w:ascii="Times New Roman" w:hAnsi="Times New Roman" w:cs="Times New Roman"/>
          <w:color w:val="000000"/>
          <w:sz w:val="18"/>
          <w:szCs w:val="18"/>
        </w:rPr>
        <w:t>. “Family Structure and Spatial Configuration In Turkish House Form In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Anatolia From Late Nineteenth Century To Late Twentieth Century.”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>In 4th International Space Syntax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Symposium Proceedings.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London, 2003.</w:t>
      </w:r>
    </w:p>
    <w:p w14:paraId="796F627B" w14:textId="0DA9D261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Ucar, O. M. </w:t>
      </w:r>
      <w:r>
        <w:rPr>
          <w:rFonts w:ascii="Times New Roman" w:hAnsi="Times New Roman" w:cs="Times New Roman"/>
          <w:color w:val="000081"/>
          <w:sz w:val="18"/>
          <w:szCs w:val="18"/>
        </w:rPr>
        <w:t>2005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Sinir kavramina mekansal bir yaklasim: Ankara Bahcelievler Yerlesiminde Sinirlara Bagli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Bir</w:t>
      </w:r>
      <w:proofErr w:type="spellEnd"/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Analiz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[A Spatial Approach to the Border Concept: A Border-Based Analysis of Ankara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Bahcelieverler</w:t>
      </w:r>
      <w:proofErr w:type="spellEnd"/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Housing Development]. s.l.: s.n.</w:t>
      </w:r>
    </w:p>
    <w:p w14:paraId="4121FE06" w14:textId="77777777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Whitehand, J. </w:t>
      </w:r>
      <w:r>
        <w:rPr>
          <w:rFonts w:ascii="Times New Roman" w:hAnsi="Times New Roman" w:cs="Times New Roman"/>
          <w:color w:val="000081"/>
          <w:sz w:val="18"/>
          <w:szCs w:val="18"/>
        </w:rPr>
        <w:t>2004</w:t>
      </w:r>
      <w:r>
        <w:rPr>
          <w:rFonts w:ascii="Times New Roman" w:hAnsi="Times New Roman" w:cs="Times New Roman"/>
          <w:color w:val="000000"/>
          <w:sz w:val="18"/>
          <w:szCs w:val="18"/>
        </w:rPr>
        <w:t>. “Editorial Comment.” Urban Morphology 8 (2): 69–70.</w:t>
      </w:r>
    </w:p>
    <w:p w14:paraId="2835266A" w14:textId="6DD2D396" w:rsidR="00AB4743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Whitehand, J., K. Gu, M. P. Conzen, and S. M. Whitehand. </w:t>
      </w:r>
      <w:r>
        <w:rPr>
          <w:rFonts w:ascii="Times New Roman" w:hAnsi="Times New Roman" w:cs="Times New Roman"/>
          <w:color w:val="000081"/>
          <w:sz w:val="18"/>
          <w:szCs w:val="18"/>
        </w:rPr>
        <w:t>2014</w:t>
      </w:r>
      <w:r>
        <w:rPr>
          <w:rFonts w:ascii="Times New Roman" w:hAnsi="Times New Roman" w:cs="Times New Roman"/>
          <w:color w:val="000000"/>
          <w:sz w:val="18"/>
          <w:szCs w:val="18"/>
        </w:rPr>
        <w:t>. “The Typological Process and the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Morphological Period: A Cross-Cultural Assessment.” Environment and Planning B: Planning and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Design 41 (3): 512–533.</w:t>
      </w:r>
    </w:p>
    <w:p w14:paraId="0B5905D5" w14:textId="4B92F0B3" w:rsidR="00AB4743" w:rsidRPr="007567A0" w:rsidRDefault="00AB4743" w:rsidP="00DF16B2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Yalcinkaya, F. </w:t>
      </w:r>
      <w:r>
        <w:rPr>
          <w:rFonts w:ascii="Times New Roman" w:hAnsi="Times New Roman" w:cs="Times New Roman"/>
          <w:color w:val="000081"/>
          <w:sz w:val="18"/>
          <w:szCs w:val="18"/>
        </w:rPr>
        <w:t>2007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. Ankara-Bahçelievler Aşkabat Caddesi’nin (7. </w:t>
      </w:r>
      <w:proofErr w:type="gramStart"/>
      <w:r>
        <w:rPr>
          <w:rFonts w:ascii="Times New Roman" w:hAnsi="Times New Roman" w:cs="Times New Roman"/>
          <w:color w:val="000000"/>
          <w:sz w:val="18"/>
          <w:szCs w:val="18"/>
        </w:rPr>
        <w:t xml:space="preserve">Cadde’nin) yayalaştirilmasinin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peyzaj</w:t>
      </w:r>
      <w:proofErr w:type="spellEnd"/>
      <w:r w:rsidR="00DF16B2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8"/>
          <w:szCs w:val="18"/>
        </w:rPr>
        <w:t>mimarliği</w:t>
      </w:r>
      <w:proofErr w:type="spell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açisindan irdelenmesi [A Case Study on the Pedestrianisation of Bahçelievler 7th Street in</w:t>
      </w:r>
      <w:r w:rsidR="007567A0">
        <w:rPr>
          <w:rFonts w:ascii="Times New Roman" w:hAnsi="Times New Roman" w:cs="Times New Roman"/>
          <w:color w:val="00000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  <w:szCs w:val="18"/>
        </w:rPr>
        <w:t>Ankara from the Landscape Architecture Point of View].</w:t>
      </w:r>
      <w:proofErr w:type="gramEnd"/>
      <w:r>
        <w:rPr>
          <w:rFonts w:ascii="Times New Roman" w:hAnsi="Times New Roman" w:cs="Times New Roman"/>
          <w:color w:val="000000"/>
          <w:sz w:val="18"/>
          <w:szCs w:val="18"/>
        </w:rPr>
        <w:t xml:space="preserve"> Ankara: s.n.</w:t>
      </w:r>
    </w:p>
    <w:p w14:paraId="7141837C" w14:textId="77777777" w:rsidR="00AB4743" w:rsidRDefault="00AB4743" w:rsidP="006D41AD">
      <w:pPr>
        <w:rPr>
          <w:rFonts w:ascii="PO¸Rˇ" w:hAnsi="PO¸Rˇ" w:cs="PO¸Rˇ"/>
        </w:rPr>
      </w:pPr>
    </w:p>
    <w:p w14:paraId="5F28D7C5" w14:textId="3E395FD0" w:rsidR="00DF16B2" w:rsidRDefault="002E61EB" w:rsidP="006D41AD">
      <w:pPr>
        <w:rPr>
          <w:rFonts w:ascii="PO¸Rˇ" w:hAnsi="PO¸Rˇ" w:cs="PO¸Rˇ"/>
        </w:rPr>
      </w:pPr>
      <w:r>
        <w:rPr>
          <w:rFonts w:ascii="PO¸Rˇ" w:hAnsi="PO¸Rˇ" w:cs="PO¸Rˇ"/>
          <w:noProof/>
        </w:rPr>
        <w:drawing>
          <wp:inline distT="0" distB="0" distL="0" distR="0" wp14:anchorId="5138CF93" wp14:editId="254CD0B3">
            <wp:extent cx="4696032" cy="8686800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179" cy="868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3C92" w14:textId="0AF362D7" w:rsidR="002E61EB" w:rsidRDefault="002E61EB" w:rsidP="006D41AD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1. </w:t>
      </w:r>
      <w:r>
        <w:rPr>
          <w:rFonts w:ascii="Times New Roman" w:hAnsi="Times New Roman" w:cs="Times New Roman"/>
          <w:color w:val="000000"/>
          <w:sz w:val="19"/>
          <w:szCs w:val="19"/>
        </w:rPr>
        <w:t>The typological framework adopted in this study.</w:t>
      </w:r>
    </w:p>
    <w:p w14:paraId="3623959E" w14:textId="29CC2E2C" w:rsidR="002E61EB" w:rsidRDefault="002E61EB" w:rsidP="006D41AD">
      <w:pPr>
        <w:rPr>
          <w:rFonts w:ascii="PO¸Rˇ" w:hAnsi="PO¸Rˇ" w:cs="PO¸Rˇ"/>
        </w:rPr>
      </w:pPr>
      <w:r>
        <w:rPr>
          <w:rFonts w:ascii="PO¸Rˇ" w:hAnsi="PO¸Rˇ" w:cs="PO¸Rˇ"/>
          <w:noProof/>
        </w:rPr>
        <w:drawing>
          <wp:inline distT="0" distB="0" distL="0" distR="0" wp14:anchorId="1DA7594F" wp14:editId="22EBDE25">
            <wp:extent cx="3314700" cy="2684822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632" cy="268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F1FAE" w14:textId="77777777" w:rsidR="002E61EB" w:rsidRDefault="002E61EB" w:rsidP="006D41AD">
      <w:pPr>
        <w:rPr>
          <w:rFonts w:ascii="PO¸Rˇ" w:hAnsi="PO¸Rˇ" w:cs="PO¸Rˇ"/>
        </w:rPr>
      </w:pPr>
    </w:p>
    <w:p w14:paraId="795E1458" w14:textId="62D74D56" w:rsidR="006D41AD" w:rsidRDefault="002E61EB" w:rsidP="006D41AD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2. </w:t>
      </w:r>
      <w:r>
        <w:rPr>
          <w:rFonts w:ascii="Times New Roman" w:hAnsi="Times New Roman" w:cs="Times New Roman"/>
          <w:color w:val="000000"/>
          <w:sz w:val="19"/>
          <w:szCs w:val="19"/>
        </w:rPr>
        <w:t>Case location map.</w:t>
      </w:r>
    </w:p>
    <w:p w14:paraId="78BECB0F" w14:textId="77777777" w:rsidR="002E61EB" w:rsidRDefault="002E61EB" w:rsidP="006D41AD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4A80F117" w14:textId="7DBE2C65" w:rsidR="002E61EB" w:rsidRDefault="002E61EB" w:rsidP="006D41AD">
      <w:pPr>
        <w:rPr>
          <w:rFonts w:ascii="PO¸Rˇ" w:hAnsi="PO¸Rˇ" w:cs="PO¸Rˇ"/>
        </w:rPr>
      </w:pPr>
      <w:r>
        <w:rPr>
          <w:rFonts w:ascii="PO¸Rˇ" w:hAnsi="PO¸Rˇ" w:cs="PO¸Rˇ"/>
          <w:noProof/>
        </w:rPr>
        <w:drawing>
          <wp:inline distT="0" distB="0" distL="0" distR="0" wp14:anchorId="0159C0A9" wp14:editId="28EAE645">
            <wp:extent cx="4564117" cy="2534613"/>
            <wp:effectExtent l="0" t="0" r="825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779" cy="253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F6E2E" w14:textId="77777777" w:rsidR="006D41AD" w:rsidRDefault="006D41AD" w:rsidP="006D41AD">
      <w:pPr>
        <w:rPr>
          <w:rFonts w:ascii="PO¸Rˇ" w:hAnsi="PO¸Rˇ" w:cs="PO¸Rˇ"/>
        </w:rPr>
      </w:pPr>
    </w:p>
    <w:p w14:paraId="01729815" w14:textId="1CFD5329" w:rsidR="006D41AD" w:rsidRDefault="002E61EB" w:rsidP="006D41AD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3. </w:t>
      </w:r>
      <w:r>
        <w:rPr>
          <w:rFonts w:ascii="Times New Roman" w:hAnsi="Times New Roman" w:cs="Times New Roman"/>
          <w:color w:val="000000"/>
          <w:sz w:val="19"/>
          <w:szCs w:val="19"/>
        </w:rPr>
        <w:t xml:space="preserve">Case </w:t>
      </w:r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I (left) and Case II</w:t>
      </w:r>
      <w:proofErr w:type="gram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(right).</w:t>
      </w:r>
    </w:p>
    <w:p w14:paraId="3D6C177F" w14:textId="77777777" w:rsidR="002E61EB" w:rsidRDefault="002E61EB" w:rsidP="006D41AD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76CE478A" w14:textId="6B5CE737" w:rsidR="002E61EB" w:rsidRDefault="002E61EB" w:rsidP="006D41AD">
      <w:r>
        <w:rPr>
          <w:noProof/>
        </w:rPr>
        <w:drawing>
          <wp:inline distT="0" distB="0" distL="0" distR="0" wp14:anchorId="3A59B5DE" wp14:editId="5974CD2C">
            <wp:extent cx="4750384" cy="24307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042" cy="243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FF9CE" w14:textId="1C016DD4" w:rsidR="002E61EB" w:rsidRDefault="002E61EB" w:rsidP="006D41AD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4. 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Neighbourhood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plan of Case </w:t>
      </w:r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I and Case II houses</w:t>
      </w:r>
      <w:proofErr w:type="gramEnd"/>
      <w:r>
        <w:rPr>
          <w:rFonts w:ascii="Times New Roman" w:hAnsi="Times New Roman" w:cs="Times New Roman"/>
          <w:color w:val="000000"/>
          <w:sz w:val="19"/>
          <w:szCs w:val="19"/>
        </w:rPr>
        <w:t>.</w:t>
      </w:r>
    </w:p>
    <w:p w14:paraId="7DDF1203" w14:textId="2C00EAA7" w:rsidR="002E61EB" w:rsidRDefault="002E61EB" w:rsidP="006D41AD">
      <w:r>
        <w:rPr>
          <w:noProof/>
        </w:rPr>
        <w:drawing>
          <wp:inline distT="0" distB="0" distL="0" distR="0" wp14:anchorId="7EEA75E8" wp14:editId="2F7741CD">
            <wp:extent cx="5270500" cy="1923525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2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DD8AE" w14:textId="77777777" w:rsidR="002E61EB" w:rsidRDefault="002E61EB" w:rsidP="002E61E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5. </w:t>
      </w:r>
      <w:r>
        <w:rPr>
          <w:rFonts w:ascii="Times New Roman" w:hAnsi="Times New Roman" w:cs="Times New Roman"/>
          <w:color w:val="000000"/>
          <w:sz w:val="19"/>
          <w:szCs w:val="19"/>
        </w:rPr>
        <w:t xml:space="preserve">A common house and street typology used in Case III type housing. Source: Adapted from 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Ucar</w:t>
      </w:r>
      <w:proofErr w:type="spellEnd"/>
    </w:p>
    <w:p w14:paraId="0D2411F1" w14:textId="559E565D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(</w:t>
      </w:r>
      <w:r>
        <w:rPr>
          <w:rFonts w:ascii="Times New Roman" w:hAnsi="Times New Roman" w:cs="Times New Roman"/>
          <w:color w:val="000081"/>
          <w:sz w:val="19"/>
          <w:szCs w:val="19"/>
        </w:rPr>
        <w:t>2005</w:t>
      </w:r>
      <w:r>
        <w:rPr>
          <w:rFonts w:ascii="Times New Roman" w:hAnsi="Times New Roman" w:cs="Times New Roman"/>
          <w:color w:val="000000"/>
          <w:sz w:val="19"/>
          <w:szCs w:val="19"/>
        </w:rPr>
        <w:t>).</w:t>
      </w:r>
    </w:p>
    <w:p w14:paraId="36640EBE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37966A83" w14:textId="6FE6DBF6" w:rsidR="002E61EB" w:rsidRDefault="002E61EB" w:rsidP="002E61EB">
      <w:r>
        <w:rPr>
          <w:noProof/>
        </w:rPr>
        <w:drawing>
          <wp:inline distT="0" distB="0" distL="0" distR="0" wp14:anchorId="5A43583D" wp14:editId="15E3CE0C">
            <wp:extent cx="5270500" cy="1396439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39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47215" w14:textId="6D56E0AD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6. </w:t>
      </w:r>
      <w:r>
        <w:rPr>
          <w:rFonts w:ascii="Times New Roman" w:hAnsi="Times New Roman" w:cs="Times New Roman"/>
          <w:color w:val="000000"/>
          <w:sz w:val="19"/>
          <w:szCs w:val="19"/>
        </w:rPr>
        <w:t xml:space="preserve">Case IV and its 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neighbourhood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plan.</w:t>
      </w:r>
    </w:p>
    <w:p w14:paraId="38F63539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5864A698" w14:textId="2B00D337" w:rsidR="002E61EB" w:rsidRDefault="002E61EB" w:rsidP="002E61EB">
      <w:r>
        <w:rPr>
          <w:noProof/>
        </w:rPr>
        <w:drawing>
          <wp:inline distT="0" distB="0" distL="0" distR="0" wp14:anchorId="3D669129" wp14:editId="543D79D4">
            <wp:extent cx="4572000" cy="1775901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372" cy="177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A8580" w14:textId="77777777" w:rsidR="002E61EB" w:rsidRDefault="002E61EB" w:rsidP="002E61E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7.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Baskent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Housing Cooperative (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Batikent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>) (Case V).</w:t>
      </w:r>
      <w:proofErr w:type="gramEnd"/>
    </w:p>
    <w:p w14:paraId="55779F2B" w14:textId="0BD6AEFA" w:rsidR="002E61EB" w:rsidRDefault="002E61EB" w:rsidP="002E61EB">
      <w:pPr>
        <w:rPr>
          <w:rFonts w:ascii="Times New Roman" w:hAnsi="Times New Roman" w:cs="Times New Roman"/>
          <w:color w:val="5478B4"/>
          <w:sz w:val="19"/>
          <w:szCs w:val="19"/>
        </w:rPr>
      </w:pPr>
    </w:p>
    <w:p w14:paraId="46035DE6" w14:textId="6322CDF6" w:rsidR="002E61EB" w:rsidRDefault="002E61EB" w:rsidP="002E61EB">
      <w:r>
        <w:rPr>
          <w:noProof/>
        </w:rPr>
        <w:drawing>
          <wp:inline distT="0" distB="0" distL="0" distR="0" wp14:anchorId="203994F0" wp14:editId="07891D56">
            <wp:extent cx="4686300" cy="1818841"/>
            <wp:effectExtent l="0" t="0" r="0" b="101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861" cy="18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70FD6" w14:textId="657F9B85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8. </w:t>
      </w:r>
      <w:r>
        <w:rPr>
          <w:rFonts w:ascii="Times New Roman" w:hAnsi="Times New Roman" w:cs="Times New Roman"/>
          <w:color w:val="000000"/>
          <w:sz w:val="19"/>
          <w:szCs w:val="19"/>
        </w:rPr>
        <w:t xml:space="preserve">The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neighbourhood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plan</w:t>
      </w:r>
      <w:proofErr w:type="gram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of Case V.</w:t>
      </w:r>
    </w:p>
    <w:p w14:paraId="6B7E2F35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62E5E1B0" w14:textId="10BF1158" w:rsidR="002E61EB" w:rsidRDefault="002E61EB" w:rsidP="002E61EB">
      <w:r>
        <w:rPr>
          <w:noProof/>
        </w:rPr>
        <w:drawing>
          <wp:inline distT="0" distB="0" distL="0" distR="0" wp14:anchorId="2ACEFA35" wp14:editId="46233080">
            <wp:extent cx="5270500" cy="20189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01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875F1" w14:textId="576F07AE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9.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Ozyuvam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Housing Cooperative (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Batikent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>) (Case VI).</w:t>
      </w:r>
      <w:proofErr w:type="gramEnd"/>
    </w:p>
    <w:p w14:paraId="598686CF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18EEA2EC" w14:textId="20DD27E2" w:rsidR="002E61EB" w:rsidRDefault="002E61EB" w:rsidP="002E61EB">
      <w:r>
        <w:rPr>
          <w:noProof/>
        </w:rPr>
        <w:drawing>
          <wp:inline distT="0" distB="0" distL="0" distR="0" wp14:anchorId="1B8A219C" wp14:editId="6E3E8A90">
            <wp:extent cx="5270500" cy="1996150"/>
            <wp:effectExtent l="0" t="0" r="0" b="1079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6A820" w14:textId="1A58C375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10.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Apak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Yapi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Housing Cooperative (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Batikent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>) (Case VII).</w:t>
      </w:r>
      <w:proofErr w:type="gramEnd"/>
    </w:p>
    <w:p w14:paraId="5A4F0F02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25FF9FB6" w14:textId="74C86CCF" w:rsidR="002E61EB" w:rsidRDefault="002E61EB" w:rsidP="002E61EB">
      <w:r>
        <w:rPr>
          <w:noProof/>
        </w:rPr>
        <w:drawing>
          <wp:inline distT="0" distB="0" distL="0" distR="0" wp14:anchorId="2EEF0156" wp14:editId="6268064D">
            <wp:extent cx="5270500" cy="1826000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69495" w14:textId="38C0E724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11. </w:t>
      </w:r>
      <w:proofErr w:type="spellStart"/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Anatolya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Ikizleri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Gated Community (Case VIII).</w:t>
      </w:r>
      <w:proofErr w:type="gramEnd"/>
    </w:p>
    <w:p w14:paraId="5B702C2A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795B2A29" w14:textId="48E890A2" w:rsidR="002E61EB" w:rsidRDefault="002E61EB" w:rsidP="002E61EB">
      <w:r>
        <w:rPr>
          <w:noProof/>
        </w:rPr>
        <w:drawing>
          <wp:inline distT="0" distB="0" distL="0" distR="0" wp14:anchorId="75F798A5" wp14:editId="5AFAB7E9">
            <wp:extent cx="4678417" cy="816508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905" cy="8165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11427" w14:textId="0E3FAF2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12. </w:t>
      </w:r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Comparison through the cases at the building scale.</w:t>
      </w:r>
      <w:proofErr w:type="gramEnd"/>
    </w:p>
    <w:p w14:paraId="3C2F344C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79F62C3C" w14:textId="0FB0017B" w:rsidR="002E61EB" w:rsidRDefault="002E61EB" w:rsidP="002E61EB">
      <w:r>
        <w:rPr>
          <w:noProof/>
        </w:rPr>
        <w:drawing>
          <wp:inline distT="0" distB="0" distL="0" distR="0" wp14:anchorId="00A3BB60" wp14:editId="7F45879C">
            <wp:extent cx="4566387" cy="8001000"/>
            <wp:effectExtent l="0" t="0" r="571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656" cy="800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059D1" w14:textId="6A99AFD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13. </w:t>
      </w:r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Comparison through the cases at the street scale.</w:t>
      </w:r>
      <w:proofErr w:type="gramEnd"/>
    </w:p>
    <w:p w14:paraId="24FBA9E4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65B1610C" w14:textId="582BF744" w:rsidR="002E61EB" w:rsidRDefault="002E61EB" w:rsidP="002E61EB">
      <w:r>
        <w:rPr>
          <w:noProof/>
        </w:rPr>
        <w:drawing>
          <wp:inline distT="0" distB="0" distL="0" distR="0" wp14:anchorId="204EA0DF" wp14:editId="32F35E28">
            <wp:extent cx="4739271" cy="8115300"/>
            <wp:effectExtent l="0" t="0" r="1079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445" cy="811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FE904" w14:textId="210C85A0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14. </w:t>
      </w:r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 xml:space="preserve">Comparison through the cases at the </w:t>
      </w:r>
      <w:proofErr w:type="spellStart"/>
      <w:r>
        <w:rPr>
          <w:rFonts w:ascii="Times New Roman" w:hAnsi="Times New Roman" w:cs="Times New Roman"/>
          <w:color w:val="000000"/>
          <w:sz w:val="19"/>
          <w:szCs w:val="19"/>
        </w:rPr>
        <w:t>neighbourhood</w:t>
      </w:r>
      <w:proofErr w:type="spellEnd"/>
      <w:r>
        <w:rPr>
          <w:rFonts w:ascii="Times New Roman" w:hAnsi="Times New Roman" w:cs="Times New Roman"/>
          <w:color w:val="000000"/>
          <w:sz w:val="19"/>
          <w:szCs w:val="19"/>
        </w:rPr>
        <w:t xml:space="preserve"> scale.</w:t>
      </w:r>
      <w:proofErr w:type="gramEnd"/>
    </w:p>
    <w:p w14:paraId="786F21AA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5A6B6F17" w14:textId="1F724F12" w:rsidR="002E61EB" w:rsidRDefault="002E61EB" w:rsidP="002E61EB">
      <w:r>
        <w:rPr>
          <w:noProof/>
        </w:rPr>
        <w:drawing>
          <wp:inline distT="0" distB="0" distL="0" distR="0" wp14:anchorId="674DB245" wp14:editId="71EB8D64">
            <wp:extent cx="4478791" cy="51435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179" cy="514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E3E3E" w14:textId="37069921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Figure 15. </w:t>
      </w:r>
      <w:proofErr w:type="gramStart"/>
      <w:r>
        <w:rPr>
          <w:rFonts w:ascii="Times New Roman" w:hAnsi="Times New Roman" w:cs="Times New Roman"/>
          <w:color w:val="000000"/>
          <w:sz w:val="19"/>
          <w:szCs w:val="19"/>
        </w:rPr>
        <w:t>Typological process analysis at the three scales.</w:t>
      </w:r>
      <w:proofErr w:type="gramEnd"/>
    </w:p>
    <w:p w14:paraId="132D6134" w14:textId="77777777" w:rsidR="002E61EB" w:rsidRDefault="002E61EB" w:rsidP="002E61EB">
      <w:pPr>
        <w:rPr>
          <w:rFonts w:ascii="Times New Roman" w:hAnsi="Times New Roman" w:cs="Times New Roman"/>
          <w:color w:val="000000"/>
          <w:sz w:val="19"/>
          <w:szCs w:val="19"/>
        </w:rPr>
      </w:pPr>
    </w:p>
    <w:p w14:paraId="0C7E4F7F" w14:textId="77777777" w:rsidR="002E61EB" w:rsidRPr="00683186" w:rsidRDefault="002E61EB" w:rsidP="002E61EB">
      <w:pPr>
        <w:pStyle w:val="Caption"/>
        <w:keepNext/>
        <w:ind w:left="0" w:firstLine="0"/>
        <w:jc w:val="left"/>
        <w:outlineLvl w:val="0"/>
        <w:rPr>
          <w:rFonts w:ascii="Times New Roman" w:hAnsi="Times New Roman" w:cs="Times New Roman"/>
        </w:rPr>
      </w:pPr>
      <w:r w:rsidRPr="00683186">
        <w:rPr>
          <w:rFonts w:ascii="Times New Roman" w:hAnsi="Times New Roman" w:cs="Times New Roman"/>
        </w:rPr>
        <w:t xml:space="preserve">Table 1 </w:t>
      </w:r>
      <w:proofErr w:type="gramStart"/>
      <w:r w:rsidRPr="00683186">
        <w:rPr>
          <w:rFonts w:ascii="Times New Roman" w:hAnsi="Times New Roman" w:cs="Times New Roman"/>
        </w:rPr>
        <w:t>The</w:t>
      </w:r>
      <w:proofErr w:type="gramEnd"/>
      <w:r w:rsidRPr="00683186">
        <w:rPr>
          <w:rFonts w:ascii="Times New Roman" w:hAnsi="Times New Roman" w:cs="Times New Roman"/>
        </w:rPr>
        <w:t xml:space="preserve"> commonly used physical characteristics in the definition of types and typology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7"/>
        <w:gridCol w:w="4893"/>
      </w:tblGrid>
      <w:tr w:rsidR="002E61EB" w:rsidRPr="00683186" w14:paraId="0BC8B586" w14:textId="77777777" w:rsidTr="002E61EB">
        <w:tc>
          <w:tcPr>
            <w:tcW w:w="3397" w:type="dxa"/>
            <w:vAlign w:val="center"/>
          </w:tcPr>
          <w:p w14:paraId="64BC7534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r w:rsidRPr="00683186">
              <w:rPr>
                <w:color w:val="000000" w:themeColor="text1"/>
              </w:rPr>
              <w:t>Building layouts</w:t>
            </w:r>
          </w:p>
        </w:tc>
        <w:tc>
          <w:tcPr>
            <w:tcW w:w="4893" w:type="dxa"/>
          </w:tcPr>
          <w:p w14:paraId="2CE94354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</w:rPr>
              <w:t>e</w:t>
            </w:r>
            <w:proofErr w:type="gramEnd"/>
            <w:r w:rsidRPr="00683186">
              <w:rPr>
                <w:color w:val="000000" w:themeColor="text1"/>
              </w:rPr>
              <w:t xml:space="preserve">.g. </w:t>
            </w:r>
            <w:proofErr w:type="spellStart"/>
            <w:r w:rsidRPr="00683186">
              <w:rPr>
                <w:color w:val="000000" w:themeColor="text1"/>
              </w:rPr>
              <w:t>Corsini</w:t>
            </w:r>
            <w:proofErr w:type="spellEnd"/>
            <w:r w:rsidRPr="00683186">
              <w:rPr>
                <w:color w:val="000000" w:themeColor="text1"/>
              </w:rPr>
              <w:t xml:space="preserve"> (1997); </w:t>
            </w:r>
            <w:proofErr w:type="spellStart"/>
            <w:r w:rsidRPr="00683186">
              <w:rPr>
                <w:color w:val="000000" w:themeColor="text1"/>
              </w:rPr>
              <w:t>Dufaux</w:t>
            </w:r>
            <w:proofErr w:type="spellEnd"/>
            <w:r w:rsidRPr="00683186">
              <w:rPr>
                <w:color w:val="000000" w:themeColor="text1"/>
              </w:rPr>
              <w:t xml:space="preserve"> (2000); Darin (2010); </w:t>
            </w:r>
            <w:proofErr w:type="spellStart"/>
            <w:r w:rsidRPr="00683186">
              <w:rPr>
                <w:color w:val="000000" w:themeColor="text1"/>
              </w:rPr>
              <w:t>Gu</w:t>
            </w:r>
            <w:proofErr w:type="spellEnd"/>
            <w:r w:rsidRPr="00683186">
              <w:rPr>
                <w:color w:val="000000" w:themeColor="text1"/>
              </w:rPr>
              <w:t xml:space="preserve"> et al. (2008); </w:t>
            </w:r>
            <w:r w:rsidRPr="00683186">
              <w:rPr>
                <w:color w:val="000000" w:themeColor="text1"/>
                <w:lang w:val="en-US"/>
              </w:rPr>
              <w:t xml:space="preserve">Oliveira et al. (2015); </w:t>
            </w:r>
            <w:proofErr w:type="spellStart"/>
            <w:r w:rsidRPr="00683186">
              <w:rPr>
                <w:color w:val="000000" w:themeColor="text1"/>
              </w:rPr>
              <w:t>Maretto</w:t>
            </w:r>
            <w:proofErr w:type="spellEnd"/>
            <w:r w:rsidRPr="00683186">
              <w:rPr>
                <w:color w:val="000000" w:themeColor="text1"/>
              </w:rPr>
              <w:t xml:space="preserve"> and </w:t>
            </w:r>
            <w:proofErr w:type="spellStart"/>
            <w:r w:rsidRPr="00683186">
              <w:rPr>
                <w:color w:val="000000" w:themeColor="text1"/>
              </w:rPr>
              <w:t>Scardigno</w:t>
            </w:r>
            <w:proofErr w:type="spellEnd"/>
            <w:r w:rsidRPr="00683186">
              <w:rPr>
                <w:color w:val="000000" w:themeColor="text1"/>
              </w:rPr>
              <w:t xml:space="preserve"> (2016)</w:t>
            </w:r>
          </w:p>
        </w:tc>
      </w:tr>
      <w:tr w:rsidR="002E61EB" w:rsidRPr="00683186" w14:paraId="6FE6A81E" w14:textId="77777777" w:rsidTr="002E61EB">
        <w:tc>
          <w:tcPr>
            <w:tcW w:w="3397" w:type="dxa"/>
            <w:vAlign w:val="center"/>
          </w:tcPr>
          <w:p w14:paraId="2DE89E83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r w:rsidRPr="00683186">
              <w:rPr>
                <w:color w:val="000000" w:themeColor="text1"/>
              </w:rPr>
              <w:t xml:space="preserve">Building </w:t>
            </w:r>
            <w:r w:rsidRPr="00683186">
              <w:rPr>
                <w:color w:val="000000" w:themeColor="text1"/>
                <w:lang w:val="en-US"/>
              </w:rPr>
              <w:t>facades</w:t>
            </w:r>
          </w:p>
        </w:tc>
        <w:tc>
          <w:tcPr>
            <w:tcW w:w="4893" w:type="dxa"/>
          </w:tcPr>
          <w:p w14:paraId="5015D058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</w:rPr>
              <w:t>e</w:t>
            </w:r>
            <w:proofErr w:type="gramEnd"/>
            <w:r w:rsidRPr="00683186">
              <w:rPr>
                <w:color w:val="000000" w:themeColor="text1"/>
              </w:rPr>
              <w:t xml:space="preserve">.g. </w:t>
            </w:r>
            <w:proofErr w:type="spellStart"/>
            <w:r w:rsidRPr="00683186">
              <w:rPr>
                <w:color w:val="000000" w:themeColor="text1"/>
              </w:rPr>
              <w:t>Dufaux</w:t>
            </w:r>
            <w:proofErr w:type="spellEnd"/>
            <w:r w:rsidRPr="00683186">
              <w:rPr>
                <w:color w:val="000000" w:themeColor="text1"/>
              </w:rPr>
              <w:t xml:space="preserve"> (2000); </w:t>
            </w:r>
            <w:proofErr w:type="spellStart"/>
            <w:r w:rsidRPr="00683186">
              <w:rPr>
                <w:color w:val="000000" w:themeColor="text1"/>
              </w:rPr>
              <w:t>Gu</w:t>
            </w:r>
            <w:proofErr w:type="spellEnd"/>
            <w:r w:rsidRPr="00683186">
              <w:rPr>
                <w:color w:val="000000" w:themeColor="text1"/>
              </w:rPr>
              <w:t xml:space="preserve"> et al. (2008); </w:t>
            </w:r>
            <w:proofErr w:type="spellStart"/>
            <w:r w:rsidRPr="00683186">
              <w:rPr>
                <w:color w:val="000000" w:themeColor="text1"/>
              </w:rPr>
              <w:t>Corsini</w:t>
            </w:r>
            <w:proofErr w:type="spellEnd"/>
            <w:r w:rsidRPr="00683186">
              <w:rPr>
                <w:color w:val="000000" w:themeColor="text1"/>
              </w:rPr>
              <w:t xml:space="preserve"> (1997)</w:t>
            </w:r>
          </w:p>
        </w:tc>
      </w:tr>
      <w:tr w:rsidR="002E61EB" w:rsidRPr="00683186" w14:paraId="1D67AB52" w14:textId="77777777" w:rsidTr="002E61EB">
        <w:tc>
          <w:tcPr>
            <w:tcW w:w="3397" w:type="dxa"/>
            <w:vAlign w:val="center"/>
          </w:tcPr>
          <w:p w14:paraId="7ECC732B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r w:rsidRPr="00683186">
              <w:rPr>
                <w:color w:val="000000" w:themeColor="text1"/>
                <w:lang w:val="en-US"/>
              </w:rPr>
              <w:t>N</w:t>
            </w:r>
            <w:r w:rsidRPr="00683186">
              <w:rPr>
                <w:color w:val="000000" w:themeColor="text1"/>
              </w:rPr>
              <w:t>umber of floors</w:t>
            </w:r>
          </w:p>
        </w:tc>
        <w:tc>
          <w:tcPr>
            <w:tcW w:w="4893" w:type="dxa"/>
          </w:tcPr>
          <w:p w14:paraId="046B2499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</w:rPr>
              <w:t>e</w:t>
            </w:r>
            <w:proofErr w:type="gramEnd"/>
            <w:r w:rsidRPr="00683186">
              <w:rPr>
                <w:color w:val="000000" w:themeColor="text1"/>
              </w:rPr>
              <w:t xml:space="preserve">.g. </w:t>
            </w:r>
            <w:proofErr w:type="spellStart"/>
            <w:r w:rsidRPr="00683186">
              <w:rPr>
                <w:color w:val="000000" w:themeColor="text1"/>
              </w:rPr>
              <w:t>Corsini</w:t>
            </w:r>
            <w:proofErr w:type="spellEnd"/>
            <w:r w:rsidRPr="00683186">
              <w:rPr>
                <w:color w:val="000000" w:themeColor="text1"/>
              </w:rPr>
              <w:t xml:space="preserve"> (1997)</w:t>
            </w:r>
          </w:p>
        </w:tc>
      </w:tr>
      <w:tr w:rsidR="002E61EB" w:rsidRPr="00683186" w14:paraId="3143C289" w14:textId="77777777" w:rsidTr="002E61EB">
        <w:tc>
          <w:tcPr>
            <w:tcW w:w="3397" w:type="dxa"/>
            <w:vAlign w:val="center"/>
          </w:tcPr>
          <w:p w14:paraId="2D2422EF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r w:rsidRPr="00683186">
              <w:rPr>
                <w:color w:val="000000" w:themeColor="text1"/>
              </w:rPr>
              <w:t>Roof types, building materials and structural system</w:t>
            </w:r>
          </w:p>
        </w:tc>
        <w:tc>
          <w:tcPr>
            <w:tcW w:w="4893" w:type="dxa"/>
          </w:tcPr>
          <w:p w14:paraId="5E5D02DD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</w:rPr>
              <w:t>e</w:t>
            </w:r>
            <w:proofErr w:type="gramEnd"/>
            <w:r w:rsidRPr="00683186">
              <w:rPr>
                <w:color w:val="000000" w:themeColor="text1"/>
              </w:rPr>
              <w:t xml:space="preserve">.g. </w:t>
            </w:r>
            <w:proofErr w:type="spellStart"/>
            <w:r w:rsidRPr="00683186">
              <w:rPr>
                <w:color w:val="000000" w:themeColor="text1"/>
              </w:rPr>
              <w:t>Dufaux</w:t>
            </w:r>
            <w:proofErr w:type="spellEnd"/>
            <w:r w:rsidRPr="00683186">
              <w:rPr>
                <w:color w:val="000000" w:themeColor="text1"/>
              </w:rPr>
              <w:t xml:space="preserve"> (2000)</w:t>
            </w:r>
          </w:p>
        </w:tc>
      </w:tr>
      <w:tr w:rsidR="002E61EB" w:rsidRPr="00683186" w14:paraId="525152A1" w14:textId="77777777" w:rsidTr="002E61EB">
        <w:tc>
          <w:tcPr>
            <w:tcW w:w="3397" w:type="dxa"/>
            <w:vAlign w:val="center"/>
          </w:tcPr>
          <w:p w14:paraId="0F8ACAFA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r w:rsidRPr="00683186">
              <w:rPr>
                <w:color w:val="000000" w:themeColor="text1"/>
              </w:rPr>
              <w:t>Public-private access hierarchy</w:t>
            </w:r>
          </w:p>
        </w:tc>
        <w:tc>
          <w:tcPr>
            <w:tcW w:w="4893" w:type="dxa"/>
          </w:tcPr>
          <w:p w14:paraId="5A999E0E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spellStart"/>
            <w:r w:rsidRPr="00683186">
              <w:rPr>
                <w:color w:val="000000" w:themeColor="text1"/>
                <w:lang w:val="en-US"/>
              </w:rPr>
              <w:t>Feng</w:t>
            </w:r>
            <w:proofErr w:type="spellEnd"/>
            <w:r w:rsidRPr="00683186">
              <w:rPr>
                <w:color w:val="000000" w:themeColor="text1"/>
                <w:lang w:val="en-US"/>
              </w:rPr>
              <w:t xml:space="preserve"> (2014); </w:t>
            </w:r>
            <w:proofErr w:type="spellStart"/>
            <w:r w:rsidRPr="00683186">
              <w:rPr>
                <w:color w:val="000000" w:themeColor="text1"/>
                <w:lang w:val="en-US"/>
              </w:rPr>
              <w:t>Gygax</w:t>
            </w:r>
            <w:proofErr w:type="spellEnd"/>
            <w:r w:rsidRPr="00683186">
              <w:rPr>
                <w:color w:val="000000" w:themeColor="text1"/>
                <w:lang w:val="en-US"/>
              </w:rPr>
              <w:t xml:space="preserve"> (2007)</w:t>
            </w:r>
          </w:p>
        </w:tc>
      </w:tr>
      <w:tr w:rsidR="002E61EB" w:rsidRPr="00683186" w14:paraId="5189CF32" w14:textId="77777777" w:rsidTr="002E61EB">
        <w:tc>
          <w:tcPr>
            <w:tcW w:w="3397" w:type="dxa"/>
            <w:vAlign w:val="center"/>
          </w:tcPr>
          <w:p w14:paraId="14DBD8A3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r w:rsidRPr="00683186">
              <w:rPr>
                <w:color w:val="000000" w:themeColor="text1"/>
              </w:rPr>
              <w:t>Street network, street layout and pattern</w:t>
            </w:r>
          </w:p>
        </w:tc>
        <w:tc>
          <w:tcPr>
            <w:tcW w:w="4893" w:type="dxa"/>
          </w:tcPr>
          <w:p w14:paraId="51129924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</w:rPr>
              <w:t>e</w:t>
            </w:r>
            <w:proofErr w:type="gramEnd"/>
            <w:r w:rsidRPr="00683186">
              <w:rPr>
                <w:color w:val="000000" w:themeColor="text1"/>
              </w:rPr>
              <w:t xml:space="preserve">.g. Satoh (1997); </w:t>
            </w:r>
            <w:r w:rsidRPr="00683186">
              <w:rPr>
                <w:color w:val="000000" w:themeColor="text1"/>
                <w:lang w:val="en-US"/>
              </w:rPr>
              <w:t>Ryan (2006)</w:t>
            </w:r>
          </w:p>
        </w:tc>
      </w:tr>
      <w:tr w:rsidR="002E61EB" w:rsidRPr="00683186" w14:paraId="7A573A6A" w14:textId="77777777" w:rsidTr="002E61EB">
        <w:tc>
          <w:tcPr>
            <w:tcW w:w="3397" w:type="dxa"/>
            <w:vAlign w:val="center"/>
          </w:tcPr>
          <w:p w14:paraId="2EDE9831" w14:textId="77777777" w:rsidR="002E61EB" w:rsidRPr="00683186" w:rsidRDefault="002E61EB" w:rsidP="002E61EB">
            <w:pPr>
              <w:rPr>
                <w:color w:val="000000" w:themeColor="text1"/>
              </w:rPr>
            </w:pPr>
            <w:r w:rsidRPr="00683186">
              <w:rPr>
                <w:color w:val="000000" w:themeColor="text1"/>
              </w:rPr>
              <w:t>Plot and block layouts, size and shapes</w:t>
            </w:r>
          </w:p>
        </w:tc>
        <w:tc>
          <w:tcPr>
            <w:tcW w:w="4893" w:type="dxa"/>
          </w:tcPr>
          <w:p w14:paraId="2C816046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</w:rPr>
              <w:t>e</w:t>
            </w:r>
            <w:proofErr w:type="gramEnd"/>
            <w:r w:rsidRPr="00683186">
              <w:rPr>
                <w:color w:val="000000" w:themeColor="text1"/>
              </w:rPr>
              <w:t xml:space="preserve">.g. </w:t>
            </w:r>
            <w:proofErr w:type="spellStart"/>
            <w:r w:rsidRPr="00683186">
              <w:rPr>
                <w:color w:val="000000" w:themeColor="text1"/>
              </w:rPr>
              <w:t>Siksna</w:t>
            </w:r>
            <w:proofErr w:type="spellEnd"/>
            <w:r w:rsidRPr="00683186">
              <w:rPr>
                <w:color w:val="000000" w:themeColor="text1"/>
              </w:rPr>
              <w:t xml:space="preserve"> (1997); </w:t>
            </w:r>
            <w:proofErr w:type="spellStart"/>
            <w:r w:rsidRPr="00683186">
              <w:rPr>
                <w:color w:val="000000" w:themeColor="text1"/>
              </w:rPr>
              <w:t>Corsini</w:t>
            </w:r>
            <w:proofErr w:type="spellEnd"/>
            <w:r w:rsidRPr="00683186">
              <w:rPr>
                <w:color w:val="000000" w:themeColor="text1"/>
              </w:rPr>
              <w:t xml:space="preserve"> (1997); </w:t>
            </w:r>
            <w:r w:rsidRPr="00683186">
              <w:rPr>
                <w:color w:val="000000" w:themeColor="text1"/>
                <w:lang w:val="en-US"/>
              </w:rPr>
              <w:t>Ryan (2006); Oliveira et al. (2015)</w:t>
            </w:r>
          </w:p>
        </w:tc>
      </w:tr>
      <w:tr w:rsidR="002E61EB" w:rsidRPr="00683186" w14:paraId="3173608A" w14:textId="77777777" w:rsidTr="002E61EB">
        <w:tc>
          <w:tcPr>
            <w:tcW w:w="3397" w:type="dxa"/>
            <w:vAlign w:val="center"/>
          </w:tcPr>
          <w:p w14:paraId="7F68DE4E" w14:textId="77777777" w:rsidR="002E61EB" w:rsidRPr="00683186" w:rsidRDefault="002E61EB" w:rsidP="002E61EB">
            <w:pPr>
              <w:rPr>
                <w:color w:val="000000" w:themeColor="text1"/>
              </w:rPr>
            </w:pPr>
            <w:r w:rsidRPr="00683186">
              <w:rPr>
                <w:color w:val="000000" w:themeColor="text1"/>
                <w:lang w:val="en-US"/>
              </w:rPr>
              <w:t>Density and land coverage</w:t>
            </w:r>
          </w:p>
        </w:tc>
        <w:tc>
          <w:tcPr>
            <w:tcW w:w="4893" w:type="dxa"/>
          </w:tcPr>
          <w:p w14:paraId="75254274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  <w:lang w:val="en-US"/>
              </w:rPr>
              <w:t>e</w:t>
            </w:r>
            <w:proofErr w:type="gramEnd"/>
            <w:r w:rsidRPr="00683186">
              <w:rPr>
                <w:color w:val="000000" w:themeColor="text1"/>
                <w:lang w:val="en-US"/>
              </w:rPr>
              <w:t xml:space="preserve">.g. Ryan (2006); </w:t>
            </w:r>
            <w:proofErr w:type="spellStart"/>
            <w:r w:rsidRPr="00683186">
              <w:rPr>
                <w:color w:val="000000" w:themeColor="text1"/>
                <w:lang w:val="en-US"/>
              </w:rPr>
              <w:t>Gygax</w:t>
            </w:r>
            <w:proofErr w:type="spellEnd"/>
            <w:r w:rsidRPr="00683186">
              <w:rPr>
                <w:color w:val="000000" w:themeColor="text1"/>
                <w:lang w:val="en-US"/>
              </w:rPr>
              <w:t xml:space="preserve"> (2007),</w:t>
            </w:r>
          </w:p>
        </w:tc>
      </w:tr>
      <w:tr w:rsidR="002E61EB" w:rsidRPr="00683186" w14:paraId="5112BE90" w14:textId="77777777" w:rsidTr="002E61EB">
        <w:tc>
          <w:tcPr>
            <w:tcW w:w="3397" w:type="dxa"/>
            <w:vAlign w:val="center"/>
          </w:tcPr>
          <w:p w14:paraId="324B6679" w14:textId="77777777" w:rsidR="002E61EB" w:rsidRPr="00683186" w:rsidRDefault="002E61EB" w:rsidP="002E61EB">
            <w:pPr>
              <w:rPr>
                <w:color w:val="000000" w:themeColor="text1"/>
              </w:rPr>
            </w:pPr>
            <w:r w:rsidRPr="00683186">
              <w:rPr>
                <w:color w:val="000000" w:themeColor="text1"/>
              </w:rPr>
              <w:t>Building-plot-block-street relations</w:t>
            </w:r>
          </w:p>
        </w:tc>
        <w:tc>
          <w:tcPr>
            <w:tcW w:w="4893" w:type="dxa"/>
          </w:tcPr>
          <w:p w14:paraId="11A70FB8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</w:rPr>
              <w:t>e</w:t>
            </w:r>
            <w:proofErr w:type="gramEnd"/>
            <w:r w:rsidRPr="00683186">
              <w:rPr>
                <w:color w:val="000000" w:themeColor="text1"/>
              </w:rPr>
              <w:t xml:space="preserve">.g. </w:t>
            </w:r>
            <w:proofErr w:type="spellStart"/>
            <w:r w:rsidRPr="00683186">
              <w:rPr>
                <w:color w:val="000000" w:themeColor="text1"/>
              </w:rPr>
              <w:t>Corsini</w:t>
            </w:r>
            <w:proofErr w:type="spellEnd"/>
            <w:r w:rsidRPr="00683186">
              <w:rPr>
                <w:color w:val="000000" w:themeColor="text1"/>
              </w:rPr>
              <w:t xml:space="preserve"> (1997); </w:t>
            </w:r>
            <w:proofErr w:type="spellStart"/>
            <w:r w:rsidRPr="00683186">
              <w:rPr>
                <w:color w:val="000000" w:themeColor="text1"/>
                <w:lang w:val="en-US"/>
              </w:rPr>
              <w:t>Feng</w:t>
            </w:r>
            <w:proofErr w:type="spellEnd"/>
            <w:r w:rsidRPr="00683186">
              <w:rPr>
                <w:color w:val="000000" w:themeColor="text1"/>
                <w:lang w:val="en-US"/>
              </w:rPr>
              <w:t xml:space="preserve"> (2014); </w:t>
            </w:r>
            <w:r w:rsidRPr="00683186">
              <w:rPr>
                <w:color w:val="000000" w:themeColor="text1"/>
              </w:rPr>
              <w:t>Racine (2016)</w:t>
            </w:r>
            <w:r w:rsidRPr="00683186">
              <w:rPr>
                <w:color w:val="000000" w:themeColor="text1"/>
                <w:lang w:val="en-US"/>
              </w:rPr>
              <w:t>,</w:t>
            </w:r>
          </w:p>
        </w:tc>
      </w:tr>
      <w:tr w:rsidR="002E61EB" w:rsidRPr="00683186" w14:paraId="09C6D866" w14:textId="77777777" w:rsidTr="002E61EB">
        <w:tc>
          <w:tcPr>
            <w:tcW w:w="3397" w:type="dxa"/>
            <w:vAlign w:val="center"/>
          </w:tcPr>
          <w:p w14:paraId="57258768" w14:textId="77777777" w:rsidR="002E61EB" w:rsidRPr="00683186" w:rsidRDefault="002E61EB" w:rsidP="002E61EB">
            <w:pPr>
              <w:rPr>
                <w:color w:val="000000" w:themeColor="text1"/>
              </w:rPr>
            </w:pPr>
            <w:r w:rsidRPr="00683186">
              <w:rPr>
                <w:color w:val="000000" w:themeColor="text1"/>
                <w:lang w:val="en-US"/>
              </w:rPr>
              <w:t>Open space design and its relation to buildings</w:t>
            </w:r>
          </w:p>
        </w:tc>
        <w:tc>
          <w:tcPr>
            <w:tcW w:w="4893" w:type="dxa"/>
          </w:tcPr>
          <w:p w14:paraId="55C88C9A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  <w:lang w:val="en-US"/>
              </w:rPr>
              <w:t>e</w:t>
            </w:r>
            <w:proofErr w:type="gramEnd"/>
            <w:r w:rsidRPr="00683186">
              <w:rPr>
                <w:color w:val="000000" w:themeColor="text1"/>
                <w:lang w:val="en-US"/>
              </w:rPr>
              <w:t xml:space="preserve">.g. </w:t>
            </w:r>
            <w:proofErr w:type="spellStart"/>
            <w:r w:rsidRPr="00683186">
              <w:rPr>
                <w:color w:val="000000" w:themeColor="text1"/>
                <w:lang w:val="en-US"/>
              </w:rPr>
              <w:t>Gygax</w:t>
            </w:r>
            <w:proofErr w:type="spellEnd"/>
            <w:r w:rsidRPr="00683186">
              <w:rPr>
                <w:color w:val="000000" w:themeColor="text1"/>
                <w:lang w:val="en-US"/>
              </w:rPr>
              <w:t xml:space="preserve"> (2007);</w:t>
            </w:r>
            <w:r w:rsidRPr="00683186">
              <w:rPr>
                <w:color w:val="000000" w:themeColor="text1"/>
              </w:rPr>
              <w:t xml:space="preserve"> Racine (2016)</w:t>
            </w:r>
            <w:r w:rsidRPr="00683186">
              <w:rPr>
                <w:color w:val="000000" w:themeColor="text1"/>
                <w:lang w:val="en-US"/>
              </w:rPr>
              <w:t>,</w:t>
            </w:r>
          </w:p>
        </w:tc>
      </w:tr>
      <w:tr w:rsidR="002E61EB" w:rsidRPr="00683186" w14:paraId="14804C11" w14:textId="77777777" w:rsidTr="002E61EB">
        <w:tc>
          <w:tcPr>
            <w:tcW w:w="3397" w:type="dxa"/>
            <w:vAlign w:val="center"/>
          </w:tcPr>
          <w:p w14:paraId="2C687C79" w14:textId="77777777" w:rsidR="002E61EB" w:rsidRPr="00683186" w:rsidRDefault="002E61EB" w:rsidP="002E61EB">
            <w:pPr>
              <w:rPr>
                <w:color w:val="000000" w:themeColor="text1"/>
                <w:lang w:val="en-US"/>
              </w:rPr>
            </w:pPr>
            <w:r w:rsidRPr="00683186">
              <w:rPr>
                <w:color w:val="000000" w:themeColor="text1"/>
              </w:rPr>
              <w:t>Site configuration</w:t>
            </w:r>
          </w:p>
        </w:tc>
        <w:tc>
          <w:tcPr>
            <w:tcW w:w="4893" w:type="dxa"/>
          </w:tcPr>
          <w:p w14:paraId="3F7C095F" w14:textId="77777777" w:rsidR="002E61EB" w:rsidRPr="00683186" w:rsidRDefault="002E61EB" w:rsidP="002E61EB">
            <w:pPr>
              <w:rPr>
                <w:color w:val="000000" w:themeColor="text1"/>
                <w:highlight w:val="yellow"/>
              </w:rPr>
            </w:pPr>
            <w:proofErr w:type="gramStart"/>
            <w:r w:rsidRPr="00683186">
              <w:rPr>
                <w:color w:val="000000" w:themeColor="text1"/>
              </w:rPr>
              <w:t>e</w:t>
            </w:r>
            <w:proofErr w:type="gramEnd"/>
            <w:r w:rsidRPr="00683186">
              <w:rPr>
                <w:color w:val="000000" w:themeColor="text1"/>
              </w:rPr>
              <w:t>.g. Racine (2016)</w:t>
            </w:r>
          </w:p>
        </w:tc>
      </w:tr>
    </w:tbl>
    <w:p w14:paraId="18F2F7C1" w14:textId="77777777" w:rsidR="002E61EB" w:rsidRDefault="002E61EB" w:rsidP="002E61EB">
      <w:pPr>
        <w:pStyle w:val="Tablecaption"/>
        <w:rPr>
          <w:rFonts w:ascii="Times New Roman" w:hAnsi="Times New Roman"/>
          <w:sz w:val="18"/>
          <w:szCs w:val="18"/>
        </w:rPr>
      </w:pPr>
      <w:bookmarkStart w:id="0" w:name="_Ref434699395"/>
    </w:p>
    <w:p w14:paraId="3BD2C245" w14:textId="77777777" w:rsidR="002E61EB" w:rsidRDefault="002E61EB" w:rsidP="002E61EB">
      <w:pPr>
        <w:pStyle w:val="Tablecaption"/>
        <w:rPr>
          <w:rFonts w:ascii="Times New Roman" w:hAnsi="Times New Roman"/>
          <w:sz w:val="18"/>
          <w:szCs w:val="18"/>
        </w:rPr>
      </w:pPr>
    </w:p>
    <w:p w14:paraId="1F739BFF" w14:textId="77777777" w:rsidR="002E61EB" w:rsidRPr="00683186" w:rsidRDefault="002E61EB" w:rsidP="002E61EB">
      <w:pPr>
        <w:pStyle w:val="Tablecaption"/>
        <w:rPr>
          <w:rFonts w:ascii="Times New Roman" w:hAnsi="Times New Roman"/>
          <w:sz w:val="18"/>
          <w:szCs w:val="18"/>
        </w:rPr>
      </w:pPr>
    </w:p>
    <w:bookmarkEnd w:id="0"/>
    <w:p w14:paraId="4EF6D60A" w14:textId="77777777" w:rsidR="002E61EB" w:rsidRDefault="002E61EB" w:rsidP="002E61EB"/>
    <w:p w14:paraId="22FF687C" w14:textId="77777777" w:rsidR="002E61EB" w:rsidRPr="009160C5" w:rsidRDefault="002E61EB" w:rsidP="002E61EB">
      <w:pPr>
        <w:pStyle w:val="Tablecaption"/>
        <w:rPr>
          <w:rFonts w:ascii="Times New Roman" w:hAnsi="Times New Roman"/>
          <w:sz w:val="18"/>
          <w:szCs w:val="18"/>
        </w:rPr>
      </w:pPr>
      <w:r w:rsidRPr="009160C5">
        <w:rPr>
          <w:rFonts w:ascii="Times New Roman" w:hAnsi="Times New Roman"/>
          <w:sz w:val="18"/>
          <w:szCs w:val="18"/>
        </w:rPr>
        <w:t xml:space="preserve">Table 2. Changing Turkish housing contexts over time (adapted from </w:t>
      </w:r>
      <w:proofErr w:type="spellStart"/>
      <w:r w:rsidRPr="009160C5">
        <w:rPr>
          <w:rFonts w:ascii="Times New Roman" w:hAnsi="Times New Roman"/>
          <w:sz w:val="18"/>
          <w:szCs w:val="18"/>
        </w:rPr>
        <w:t>Altaban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1998; </w:t>
      </w:r>
      <w:proofErr w:type="spellStart"/>
      <w:r w:rsidRPr="009160C5">
        <w:rPr>
          <w:rFonts w:ascii="Times New Roman" w:hAnsi="Times New Roman"/>
          <w:sz w:val="18"/>
          <w:szCs w:val="18"/>
        </w:rPr>
        <w:t>Balamir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1994; </w:t>
      </w:r>
      <w:proofErr w:type="spellStart"/>
      <w:r w:rsidRPr="009160C5">
        <w:rPr>
          <w:rFonts w:ascii="Times New Roman" w:hAnsi="Times New Roman"/>
          <w:sz w:val="18"/>
          <w:szCs w:val="18"/>
        </w:rPr>
        <w:t>Batuman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2006; </w:t>
      </w:r>
      <w:proofErr w:type="spellStart"/>
      <w:r w:rsidRPr="009160C5">
        <w:rPr>
          <w:rFonts w:ascii="Times New Roman" w:hAnsi="Times New Roman"/>
          <w:sz w:val="18"/>
          <w:szCs w:val="18"/>
        </w:rPr>
        <w:t>Dikmen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2012; </w:t>
      </w:r>
      <w:proofErr w:type="spellStart"/>
      <w:r w:rsidRPr="009160C5">
        <w:rPr>
          <w:rFonts w:ascii="Times New Roman" w:hAnsi="Times New Roman"/>
          <w:sz w:val="18"/>
          <w:szCs w:val="18"/>
        </w:rPr>
        <w:t>Guney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&amp; </w:t>
      </w:r>
      <w:proofErr w:type="spellStart"/>
      <w:r w:rsidRPr="009160C5">
        <w:rPr>
          <w:rFonts w:ascii="Times New Roman" w:hAnsi="Times New Roman"/>
          <w:sz w:val="18"/>
          <w:szCs w:val="18"/>
        </w:rPr>
        <w:t>Wineman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2008; </w:t>
      </w:r>
      <w:proofErr w:type="spellStart"/>
      <w:r w:rsidRPr="009160C5">
        <w:rPr>
          <w:rFonts w:ascii="Times New Roman" w:hAnsi="Times New Roman"/>
          <w:sz w:val="18"/>
          <w:szCs w:val="18"/>
        </w:rPr>
        <w:t>Sey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1998b; </w:t>
      </w:r>
      <w:proofErr w:type="spellStart"/>
      <w:r w:rsidRPr="009160C5">
        <w:rPr>
          <w:rFonts w:ascii="Times New Roman" w:hAnsi="Times New Roman"/>
          <w:sz w:val="18"/>
          <w:szCs w:val="18"/>
        </w:rPr>
        <w:t>Toker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&amp; </w:t>
      </w:r>
      <w:proofErr w:type="spellStart"/>
      <w:r w:rsidRPr="009160C5">
        <w:rPr>
          <w:rFonts w:ascii="Times New Roman" w:hAnsi="Times New Roman"/>
          <w:sz w:val="18"/>
          <w:szCs w:val="18"/>
        </w:rPr>
        <w:t>Toker</w:t>
      </w:r>
      <w:proofErr w:type="spellEnd"/>
      <w:r w:rsidRPr="009160C5">
        <w:rPr>
          <w:rFonts w:ascii="Times New Roman" w:hAnsi="Times New Roman"/>
          <w:sz w:val="18"/>
          <w:szCs w:val="18"/>
        </w:rPr>
        <w:t xml:space="preserve"> 2003).</w:t>
      </w:r>
    </w:p>
    <w:tbl>
      <w:tblPr>
        <w:tblStyle w:val="TableGrid"/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4A0" w:firstRow="1" w:lastRow="0" w:firstColumn="1" w:lastColumn="0" w:noHBand="0" w:noVBand="1"/>
      </w:tblPr>
      <w:tblGrid>
        <w:gridCol w:w="424"/>
        <w:gridCol w:w="8092"/>
      </w:tblGrid>
      <w:tr w:rsidR="002E61EB" w:rsidRPr="009160C5" w14:paraId="415E3E39" w14:textId="77777777" w:rsidTr="002E61EB">
        <w:trPr>
          <w:trHeight w:val="281"/>
        </w:trPr>
        <w:tc>
          <w:tcPr>
            <w:tcW w:w="5000" w:type="pct"/>
            <w:gridSpan w:val="2"/>
            <w:shd w:val="clear" w:color="auto" w:fill="FFFFFF" w:themeFill="background1"/>
            <w:vAlign w:val="center"/>
          </w:tcPr>
          <w:p w14:paraId="3B58310B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 xml:space="preserve">MORPHOLOGICAL PERIODS AND CHANGING HOUSING TRENDS </w:t>
            </w:r>
          </w:p>
        </w:tc>
      </w:tr>
      <w:tr w:rsidR="002E61EB" w:rsidRPr="009160C5" w14:paraId="224CD43E" w14:textId="77777777" w:rsidTr="002E61EB">
        <w:tc>
          <w:tcPr>
            <w:tcW w:w="249" w:type="pct"/>
            <w:shd w:val="clear" w:color="auto" w:fill="D9D9D9" w:themeFill="background1" w:themeFillShade="D9"/>
          </w:tcPr>
          <w:p w14:paraId="5785F8A2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>1</w:t>
            </w:r>
          </w:p>
        </w:tc>
        <w:tc>
          <w:tcPr>
            <w:tcW w:w="4751" w:type="pct"/>
            <w:shd w:val="clear" w:color="auto" w:fill="D9D9D9" w:themeFill="background1" w:themeFillShade="D9"/>
          </w:tcPr>
          <w:p w14:paraId="49A03638" w14:textId="77777777" w:rsidR="002E61EB" w:rsidRPr="009160C5" w:rsidRDefault="002E61EB" w:rsidP="002E61EB">
            <w:pPr>
              <w:pStyle w:val="TT"/>
              <w:spacing w:before="0" w:after="0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 xml:space="preserve">1890s-1923 </w:t>
            </w:r>
            <w:r w:rsidRPr="009160C5">
              <w:rPr>
                <w:b/>
                <w:color w:val="auto"/>
                <w:sz w:val="18"/>
                <w:szCs w:val="18"/>
              </w:rPr>
              <w:sym w:font="Wingdings" w:char="F0E0"/>
            </w:r>
            <w:r w:rsidRPr="009160C5">
              <w:rPr>
                <w:b/>
                <w:color w:val="auto"/>
                <w:sz w:val="18"/>
                <w:szCs w:val="18"/>
              </w:rPr>
              <w:t xml:space="preserve"> The Late Ottoman Empire Period</w:t>
            </w:r>
          </w:p>
        </w:tc>
      </w:tr>
      <w:tr w:rsidR="002E61EB" w:rsidRPr="009160C5" w14:paraId="5474ACD3" w14:textId="77777777" w:rsidTr="002E61EB">
        <w:tc>
          <w:tcPr>
            <w:tcW w:w="249" w:type="pct"/>
          </w:tcPr>
          <w:p w14:paraId="78771674" w14:textId="77777777" w:rsidR="002E61EB" w:rsidRPr="009160C5" w:rsidRDefault="002E61EB" w:rsidP="002E61EB">
            <w:pPr>
              <w:pStyle w:val="TT"/>
              <w:spacing w:before="0" w:after="0"/>
              <w:ind w:right="-166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4751" w:type="pct"/>
          </w:tcPr>
          <w:p w14:paraId="0BA5485F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People were still in favour of traditional houses following the spatial principles of nomadic lifestyle.</w:t>
            </w:r>
          </w:p>
          <w:p w14:paraId="5ED60B19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However, the increasingly close relations with Western countries brought in new house types.</w:t>
            </w:r>
          </w:p>
        </w:tc>
      </w:tr>
      <w:tr w:rsidR="002E61EB" w:rsidRPr="009160C5" w14:paraId="72D3FBC7" w14:textId="77777777" w:rsidTr="002E61EB">
        <w:tc>
          <w:tcPr>
            <w:tcW w:w="249" w:type="pct"/>
            <w:shd w:val="clear" w:color="auto" w:fill="D9D9D9" w:themeFill="background1" w:themeFillShade="D9"/>
          </w:tcPr>
          <w:p w14:paraId="1B170654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>2</w:t>
            </w:r>
          </w:p>
        </w:tc>
        <w:tc>
          <w:tcPr>
            <w:tcW w:w="4751" w:type="pct"/>
            <w:shd w:val="clear" w:color="auto" w:fill="D9D9D9" w:themeFill="background1" w:themeFillShade="D9"/>
          </w:tcPr>
          <w:p w14:paraId="5D5A78AA" w14:textId="77777777" w:rsidR="002E61EB" w:rsidRPr="009160C5" w:rsidRDefault="002E61EB" w:rsidP="002E61EB">
            <w:pPr>
              <w:pStyle w:val="TT"/>
              <w:spacing w:before="0" w:after="0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 xml:space="preserve">1923-1950s </w:t>
            </w:r>
            <w:r w:rsidRPr="009160C5">
              <w:rPr>
                <w:b/>
                <w:color w:val="auto"/>
                <w:sz w:val="18"/>
                <w:szCs w:val="18"/>
              </w:rPr>
              <w:sym w:font="Wingdings" w:char="F0E0"/>
            </w:r>
            <w:r w:rsidRPr="009160C5">
              <w:rPr>
                <w:b/>
                <w:color w:val="auto"/>
                <w:sz w:val="18"/>
                <w:szCs w:val="18"/>
              </w:rPr>
              <w:t>The Early Republican Period</w:t>
            </w:r>
          </w:p>
        </w:tc>
      </w:tr>
      <w:tr w:rsidR="002E61EB" w:rsidRPr="009160C5" w14:paraId="647081D8" w14:textId="77777777" w:rsidTr="002E61EB">
        <w:tc>
          <w:tcPr>
            <w:tcW w:w="249" w:type="pct"/>
          </w:tcPr>
          <w:p w14:paraId="496F0252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4751" w:type="pct"/>
          </w:tcPr>
          <w:p w14:paraId="42B8D589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There was a significant housing shortage after WWI.</w:t>
            </w:r>
          </w:p>
          <w:p w14:paraId="47E4C921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 xml:space="preserve">The ideal housing types were Garden City Houses. </w:t>
            </w:r>
          </w:p>
          <w:p w14:paraId="2F04C118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 xml:space="preserve">However, apartment buildings emerged and the </w:t>
            </w:r>
            <w:proofErr w:type="spellStart"/>
            <w:r w:rsidRPr="009160C5">
              <w:rPr>
                <w:color w:val="auto"/>
                <w:sz w:val="18"/>
                <w:szCs w:val="18"/>
              </w:rPr>
              <w:t>apartmentalisation</w:t>
            </w:r>
            <w:proofErr w:type="spellEnd"/>
            <w:r w:rsidRPr="009160C5">
              <w:rPr>
                <w:color w:val="auto"/>
                <w:sz w:val="18"/>
                <w:szCs w:val="18"/>
              </w:rPr>
              <w:t xml:space="preserve"> was heavily criticised.</w:t>
            </w:r>
          </w:p>
        </w:tc>
      </w:tr>
      <w:tr w:rsidR="002E61EB" w:rsidRPr="009160C5" w14:paraId="67D76C49" w14:textId="77777777" w:rsidTr="002E61EB">
        <w:tc>
          <w:tcPr>
            <w:tcW w:w="249" w:type="pct"/>
            <w:shd w:val="clear" w:color="auto" w:fill="D9D9D9" w:themeFill="background1" w:themeFillShade="D9"/>
          </w:tcPr>
          <w:p w14:paraId="4B322A4A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>3</w:t>
            </w:r>
          </w:p>
        </w:tc>
        <w:tc>
          <w:tcPr>
            <w:tcW w:w="4751" w:type="pct"/>
            <w:shd w:val="clear" w:color="auto" w:fill="D9D9D9" w:themeFill="background1" w:themeFillShade="D9"/>
          </w:tcPr>
          <w:p w14:paraId="5E8D2529" w14:textId="77777777" w:rsidR="002E61EB" w:rsidRPr="009160C5" w:rsidRDefault="002E61EB" w:rsidP="002E61EB">
            <w:pPr>
              <w:pStyle w:val="TT"/>
              <w:spacing w:before="0" w:after="0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 xml:space="preserve">1950s-1980s </w:t>
            </w:r>
            <w:r w:rsidRPr="009160C5">
              <w:rPr>
                <w:b/>
                <w:color w:val="auto"/>
                <w:sz w:val="18"/>
                <w:szCs w:val="18"/>
              </w:rPr>
              <w:sym w:font="Wingdings" w:char="F0E0"/>
            </w:r>
            <w:r w:rsidRPr="009160C5">
              <w:rPr>
                <w:b/>
                <w:color w:val="auto"/>
                <w:sz w:val="18"/>
                <w:szCs w:val="18"/>
              </w:rPr>
              <w:t xml:space="preserve"> The Modernisation Period</w:t>
            </w:r>
          </w:p>
        </w:tc>
      </w:tr>
      <w:tr w:rsidR="002E61EB" w:rsidRPr="009160C5" w14:paraId="6144706E" w14:textId="77777777" w:rsidTr="002E61EB">
        <w:tc>
          <w:tcPr>
            <w:tcW w:w="249" w:type="pct"/>
          </w:tcPr>
          <w:p w14:paraId="4E6216EB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4751" w:type="pct"/>
          </w:tcPr>
          <w:p w14:paraId="24160C84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 xml:space="preserve">The construction of informal houses increased dramatically. </w:t>
            </w:r>
          </w:p>
          <w:p w14:paraId="7CEAE0F1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Apartment buildings became widespread and replaced the garden houses.</w:t>
            </w:r>
          </w:p>
          <w:p w14:paraId="59C47835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The apartment lifestyle was well promoted and adopted by the Turkish culture.</w:t>
            </w:r>
          </w:p>
        </w:tc>
      </w:tr>
      <w:tr w:rsidR="002E61EB" w:rsidRPr="009160C5" w14:paraId="41C5AF29" w14:textId="77777777" w:rsidTr="002E61EB">
        <w:tc>
          <w:tcPr>
            <w:tcW w:w="249" w:type="pct"/>
            <w:shd w:val="clear" w:color="auto" w:fill="D9D9D9" w:themeFill="background1" w:themeFillShade="D9"/>
          </w:tcPr>
          <w:p w14:paraId="199A0A60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>4</w:t>
            </w:r>
          </w:p>
        </w:tc>
        <w:tc>
          <w:tcPr>
            <w:tcW w:w="4751" w:type="pct"/>
            <w:shd w:val="clear" w:color="auto" w:fill="D9D9D9" w:themeFill="background1" w:themeFillShade="D9"/>
          </w:tcPr>
          <w:p w14:paraId="458CB341" w14:textId="77777777" w:rsidR="002E61EB" w:rsidRPr="009160C5" w:rsidRDefault="002E61EB" w:rsidP="002E61EB">
            <w:pPr>
              <w:pStyle w:val="TT"/>
              <w:spacing w:before="0" w:after="0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 xml:space="preserve">1980s-2000 </w:t>
            </w:r>
            <w:r w:rsidRPr="009160C5">
              <w:rPr>
                <w:b/>
                <w:color w:val="auto"/>
                <w:sz w:val="18"/>
                <w:szCs w:val="18"/>
              </w:rPr>
              <w:sym w:font="Wingdings" w:char="F0E0"/>
            </w:r>
            <w:r w:rsidRPr="009160C5">
              <w:rPr>
                <w:b/>
                <w:color w:val="auto"/>
                <w:sz w:val="18"/>
                <w:szCs w:val="18"/>
              </w:rPr>
              <w:t>The Liberalisation Period</w:t>
            </w:r>
          </w:p>
        </w:tc>
      </w:tr>
      <w:tr w:rsidR="002E61EB" w:rsidRPr="009160C5" w14:paraId="107E6DC8" w14:textId="77777777" w:rsidTr="002E61EB">
        <w:tc>
          <w:tcPr>
            <w:tcW w:w="249" w:type="pct"/>
          </w:tcPr>
          <w:p w14:paraId="57DD9CF9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4751" w:type="pct"/>
          </w:tcPr>
          <w:p w14:paraId="6BDBD791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This was the period of recession in terms of housing production.</w:t>
            </w:r>
          </w:p>
          <w:p w14:paraId="6BE9D115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There was a significant decline in the ratio of slums.</w:t>
            </w:r>
          </w:p>
          <w:p w14:paraId="0406F2C4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Housing cooperatives were established.</w:t>
            </w:r>
          </w:p>
          <w:p w14:paraId="199BFE7B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Gated communities were initiated.</w:t>
            </w:r>
          </w:p>
        </w:tc>
      </w:tr>
      <w:tr w:rsidR="002E61EB" w:rsidRPr="009160C5" w14:paraId="272BCB9C" w14:textId="77777777" w:rsidTr="002E61EB">
        <w:tc>
          <w:tcPr>
            <w:tcW w:w="249" w:type="pct"/>
            <w:shd w:val="clear" w:color="auto" w:fill="D9D9D9" w:themeFill="background1" w:themeFillShade="D9"/>
          </w:tcPr>
          <w:p w14:paraId="5D4654DE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>5</w:t>
            </w:r>
          </w:p>
        </w:tc>
        <w:tc>
          <w:tcPr>
            <w:tcW w:w="4751" w:type="pct"/>
            <w:shd w:val="clear" w:color="auto" w:fill="D9D9D9" w:themeFill="background1" w:themeFillShade="D9"/>
          </w:tcPr>
          <w:p w14:paraId="6E329FDD" w14:textId="77777777" w:rsidR="002E61EB" w:rsidRPr="009160C5" w:rsidRDefault="002E61EB" w:rsidP="002E61EB">
            <w:pPr>
              <w:pStyle w:val="TT"/>
              <w:spacing w:before="0" w:after="0"/>
              <w:rPr>
                <w:b/>
                <w:color w:val="auto"/>
                <w:sz w:val="18"/>
                <w:szCs w:val="18"/>
              </w:rPr>
            </w:pPr>
            <w:r w:rsidRPr="009160C5">
              <w:rPr>
                <w:b/>
                <w:color w:val="auto"/>
                <w:sz w:val="18"/>
                <w:szCs w:val="18"/>
              </w:rPr>
              <w:t xml:space="preserve">2000 to date </w:t>
            </w:r>
            <w:r w:rsidRPr="009160C5">
              <w:rPr>
                <w:b/>
                <w:color w:val="auto"/>
                <w:sz w:val="18"/>
                <w:szCs w:val="18"/>
              </w:rPr>
              <w:sym w:font="Wingdings" w:char="F0E0"/>
            </w:r>
            <w:r w:rsidRPr="009160C5">
              <w:rPr>
                <w:b/>
                <w:color w:val="auto"/>
                <w:sz w:val="18"/>
                <w:szCs w:val="18"/>
              </w:rPr>
              <w:t xml:space="preserve"> The Contemporary Period</w:t>
            </w:r>
          </w:p>
        </w:tc>
      </w:tr>
      <w:tr w:rsidR="002E61EB" w:rsidRPr="009160C5" w14:paraId="4C86086A" w14:textId="77777777" w:rsidTr="002E61EB">
        <w:tc>
          <w:tcPr>
            <w:tcW w:w="249" w:type="pct"/>
          </w:tcPr>
          <w:p w14:paraId="562EEFEB" w14:textId="77777777" w:rsidR="002E61EB" w:rsidRPr="009160C5" w:rsidRDefault="002E61EB" w:rsidP="002E61EB">
            <w:pPr>
              <w:pStyle w:val="TT"/>
              <w:spacing w:before="0" w:after="0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4751" w:type="pct"/>
          </w:tcPr>
          <w:p w14:paraId="61B6F8D0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 xml:space="preserve">Urban regeneration </w:t>
            </w:r>
            <w:proofErr w:type="gramStart"/>
            <w:r w:rsidRPr="009160C5">
              <w:rPr>
                <w:color w:val="auto"/>
                <w:sz w:val="18"/>
                <w:szCs w:val="18"/>
              </w:rPr>
              <w:t>are</w:t>
            </w:r>
            <w:proofErr w:type="gramEnd"/>
            <w:r w:rsidRPr="009160C5">
              <w:rPr>
                <w:color w:val="auto"/>
                <w:sz w:val="18"/>
                <w:szCs w:val="18"/>
              </w:rPr>
              <w:t xml:space="preserve"> high on the agenda.</w:t>
            </w:r>
          </w:p>
          <w:p w14:paraId="437439B9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>Gated communities have become widespread.</w:t>
            </w:r>
          </w:p>
          <w:p w14:paraId="5CD75934" w14:textId="77777777" w:rsidR="002E61EB" w:rsidRPr="009160C5" w:rsidRDefault="002E61EB" w:rsidP="002E61EB">
            <w:pPr>
              <w:pStyle w:val="TT"/>
              <w:spacing w:before="0" w:after="0"/>
              <w:rPr>
                <w:color w:val="auto"/>
                <w:sz w:val="18"/>
                <w:szCs w:val="18"/>
              </w:rPr>
            </w:pPr>
            <w:r w:rsidRPr="009160C5">
              <w:rPr>
                <w:color w:val="auto"/>
                <w:sz w:val="18"/>
                <w:szCs w:val="18"/>
              </w:rPr>
              <w:t xml:space="preserve">Mixed-use housing developments are widely constructed at present. </w:t>
            </w:r>
          </w:p>
        </w:tc>
      </w:tr>
    </w:tbl>
    <w:p w14:paraId="4CFDB342" w14:textId="77777777" w:rsidR="002E61EB" w:rsidRDefault="002E61EB" w:rsidP="002E61EB"/>
    <w:p w14:paraId="751ECF66" w14:textId="77777777" w:rsidR="00EA0BE8" w:rsidRDefault="00EA0BE8" w:rsidP="002E61EB"/>
    <w:p w14:paraId="3A076A46" w14:textId="77777777" w:rsidR="00EA0BE8" w:rsidRDefault="00EA0BE8" w:rsidP="002E61EB"/>
    <w:p w14:paraId="4984E0C3" w14:textId="77777777" w:rsidR="00EA0BE8" w:rsidRDefault="00EA0BE8" w:rsidP="002E61EB"/>
    <w:p w14:paraId="09AF70CF" w14:textId="77777777" w:rsidR="00EA0BE8" w:rsidRDefault="00EA0BE8" w:rsidP="002E61EB"/>
    <w:p w14:paraId="2A87721E" w14:textId="77777777" w:rsidR="00EA0BE8" w:rsidRDefault="00EA0BE8" w:rsidP="002E61EB"/>
    <w:p w14:paraId="2931B63A" w14:textId="77777777" w:rsidR="00EA0BE8" w:rsidRDefault="00EA0BE8" w:rsidP="002E61EB"/>
    <w:p w14:paraId="732893ED" w14:textId="77777777" w:rsidR="00EA0BE8" w:rsidRDefault="00EA0BE8" w:rsidP="002E61EB"/>
    <w:p w14:paraId="76BFE886" w14:textId="77777777" w:rsidR="00EA0BE8" w:rsidRDefault="00EA0BE8" w:rsidP="002E61EB"/>
    <w:p w14:paraId="3B485F94" w14:textId="77777777" w:rsidR="00EA0BE8" w:rsidRDefault="00EA0BE8" w:rsidP="002E61EB"/>
    <w:p w14:paraId="62879731" w14:textId="77777777" w:rsidR="00EA0BE8" w:rsidRDefault="00EA0BE8" w:rsidP="002E61EB"/>
    <w:p w14:paraId="06C01842" w14:textId="77777777" w:rsidR="00EA0BE8" w:rsidRDefault="00EA0BE8" w:rsidP="002E61EB"/>
    <w:p w14:paraId="126F4D35" w14:textId="77777777" w:rsidR="00EA0BE8" w:rsidRDefault="00EA0BE8" w:rsidP="002E61EB"/>
    <w:p w14:paraId="52F1AAB1" w14:textId="77777777" w:rsidR="00EA0BE8" w:rsidRDefault="00EA0BE8" w:rsidP="002E61EB"/>
    <w:p w14:paraId="1C2E2A3C" w14:textId="77777777" w:rsidR="00EA0BE8" w:rsidRDefault="00EA0BE8" w:rsidP="002E61EB"/>
    <w:p w14:paraId="321702C9" w14:textId="77777777" w:rsidR="00EA0BE8" w:rsidRDefault="00EA0BE8" w:rsidP="002E61EB"/>
    <w:p w14:paraId="37D29B55" w14:textId="77777777" w:rsidR="00EA0BE8" w:rsidRDefault="00EA0BE8" w:rsidP="002E61EB"/>
    <w:p w14:paraId="259DDC34" w14:textId="77777777" w:rsidR="00EA0BE8" w:rsidRDefault="00EA0BE8" w:rsidP="002E61EB"/>
    <w:p w14:paraId="341585F1" w14:textId="77777777" w:rsidR="00EA0BE8" w:rsidRDefault="00EA0BE8" w:rsidP="002E61EB"/>
    <w:p w14:paraId="38C03A3B" w14:textId="77777777" w:rsidR="00EA0BE8" w:rsidRDefault="00EA0BE8" w:rsidP="002E61EB"/>
    <w:p w14:paraId="4186AE71" w14:textId="77777777" w:rsidR="00EA0BE8" w:rsidRDefault="00EA0BE8" w:rsidP="002E61EB"/>
    <w:p w14:paraId="66DF0A0D" w14:textId="77777777" w:rsidR="00EA0BE8" w:rsidRDefault="00EA0BE8" w:rsidP="002E61EB"/>
    <w:p w14:paraId="15918F3C" w14:textId="77777777" w:rsidR="00EA0BE8" w:rsidRDefault="00EA0BE8" w:rsidP="002E61EB"/>
    <w:p w14:paraId="0C30A39A" w14:textId="77777777" w:rsidR="00EA0BE8" w:rsidRDefault="00EA0BE8" w:rsidP="002E61EB"/>
    <w:p w14:paraId="41010444" w14:textId="77777777" w:rsidR="00EA0BE8" w:rsidRDefault="00EA0BE8" w:rsidP="002E61EB"/>
    <w:p w14:paraId="5F0D7CD1" w14:textId="77777777" w:rsidR="00EA0BE8" w:rsidRDefault="00EA0BE8" w:rsidP="002E61EB"/>
    <w:p w14:paraId="237A4F25" w14:textId="77777777" w:rsidR="00EA0BE8" w:rsidRDefault="00EA0BE8" w:rsidP="002E61EB"/>
    <w:p w14:paraId="263B0387" w14:textId="77777777" w:rsidR="00EA0BE8" w:rsidRDefault="00EA0BE8" w:rsidP="002E61EB"/>
    <w:p w14:paraId="410317A7" w14:textId="77777777" w:rsidR="00EA0BE8" w:rsidRDefault="00EA0BE8" w:rsidP="002E61EB"/>
    <w:p w14:paraId="2EAF31B1" w14:textId="77777777" w:rsidR="00EA0BE8" w:rsidRPr="009160C5" w:rsidRDefault="00EA0BE8" w:rsidP="002E61EB"/>
    <w:p w14:paraId="68E8C01E" w14:textId="77777777" w:rsidR="00680CC4" w:rsidRPr="00D90477" w:rsidRDefault="00680CC4" w:rsidP="00680CC4">
      <w:pPr>
        <w:pStyle w:val="Caption"/>
        <w:keepNext/>
        <w:ind w:left="0" w:firstLine="0"/>
        <w:jc w:val="both"/>
        <w:outlineLvl w:val="0"/>
        <w:rPr>
          <w:rFonts w:ascii="Times New Roman" w:hAnsi="Times New Roman" w:cs="Times New Roman"/>
        </w:rPr>
      </w:pPr>
      <w:r w:rsidRPr="00D90477">
        <w:rPr>
          <w:rFonts w:ascii="Times New Roman" w:hAnsi="Times New Roman" w:cs="Times New Roman"/>
        </w:rPr>
        <w:t>Table 3 Sample building scale analysis</w:t>
      </w:r>
    </w:p>
    <w:tbl>
      <w:tblPr>
        <w:tblW w:w="5008" w:type="pct"/>
        <w:tblInd w:w="-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10"/>
        <w:gridCol w:w="5620"/>
      </w:tblGrid>
      <w:tr w:rsidR="00680CC4" w:rsidRPr="00D90477" w14:paraId="7B99D313" w14:textId="77777777" w:rsidTr="0096337D">
        <w:trPr>
          <w:trHeight w:val="157"/>
        </w:trPr>
        <w:tc>
          <w:tcPr>
            <w:tcW w:w="5000" w:type="pct"/>
            <w:gridSpan w:val="2"/>
            <w:tcBorders>
              <w:top w:val="single" w:sz="8" w:space="0" w:color="auto"/>
            </w:tcBorders>
            <w:vAlign w:val="center"/>
          </w:tcPr>
          <w:p w14:paraId="441F30A4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  <w:b/>
              </w:rPr>
            </w:pPr>
            <w:r w:rsidRPr="00D90477">
              <w:rPr>
                <w:rFonts w:ascii="Times New Roman" w:hAnsi="Times New Roman" w:cs="Times New Roman"/>
                <w:b/>
              </w:rPr>
              <w:t>BUILDING SCALE ANALYSIS FOR CASE IV</w:t>
            </w:r>
          </w:p>
        </w:tc>
      </w:tr>
      <w:tr w:rsidR="00680CC4" w:rsidRPr="00D90477" w14:paraId="3137EAB6" w14:textId="77777777" w:rsidTr="0096337D">
        <w:trPr>
          <w:trHeight w:val="143"/>
        </w:trPr>
        <w:tc>
          <w:tcPr>
            <w:tcW w:w="1706" w:type="pct"/>
            <w:vMerge w:val="restart"/>
            <w:shd w:val="clear" w:color="000000" w:fill="auto"/>
            <w:vAlign w:val="center"/>
          </w:tcPr>
          <w:p w14:paraId="57437564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CAE3FCC" wp14:editId="73D25A8F">
                  <wp:extent cx="1478280" cy="1144905"/>
                  <wp:effectExtent l="0" t="0" r="0" b="0"/>
                  <wp:docPr id="16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4" w:type="pct"/>
            <w:shd w:val="clear" w:color="000000" w:fill="808080" w:themeFill="background1" w:themeFillShade="80"/>
            <w:tcMar>
              <w:left w:w="57" w:type="dxa"/>
              <w:right w:w="57" w:type="dxa"/>
            </w:tcMar>
            <w:vAlign w:val="center"/>
            <w:hideMark/>
          </w:tcPr>
          <w:p w14:paraId="51FB4FF9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FUNCTIONAL ZONING</w:t>
            </w:r>
          </w:p>
        </w:tc>
      </w:tr>
      <w:tr w:rsidR="00680CC4" w:rsidRPr="00D90477" w14:paraId="5AF024DE" w14:textId="77777777" w:rsidTr="0096337D">
        <w:trPr>
          <w:trHeight w:val="20"/>
        </w:trPr>
        <w:tc>
          <w:tcPr>
            <w:tcW w:w="1706" w:type="pct"/>
            <w:vMerge/>
            <w:vAlign w:val="center"/>
          </w:tcPr>
          <w:p w14:paraId="49340722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3294" w:type="pct"/>
            <w:shd w:val="clear" w:color="auto" w:fill="auto"/>
            <w:tcMar>
              <w:left w:w="57" w:type="dxa"/>
              <w:right w:w="57" w:type="dxa"/>
            </w:tcMar>
            <w:vAlign w:val="center"/>
            <w:hideMark/>
          </w:tcPr>
          <w:p w14:paraId="6C0273F9" w14:textId="77777777" w:rsidR="00680CC4" w:rsidRPr="00D90477" w:rsidRDefault="00680CC4" w:rsidP="0096337D">
            <w:pPr>
              <w:pStyle w:val="TOC1"/>
              <w:numPr>
                <w:ilvl w:val="0"/>
                <w:numId w:val="2"/>
              </w:numPr>
              <w:ind w:left="590"/>
              <w:jc w:val="left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Functions are partly defined with living room, bath room and kitchen specified, other rooms not specified.</w:t>
            </w:r>
          </w:p>
          <w:p w14:paraId="35280261" w14:textId="77777777" w:rsidR="00680CC4" w:rsidRPr="00D90477" w:rsidRDefault="00680CC4" w:rsidP="0096337D">
            <w:pPr>
              <w:pStyle w:val="TOC1"/>
              <w:numPr>
                <w:ilvl w:val="0"/>
                <w:numId w:val="2"/>
              </w:numPr>
              <w:ind w:left="590"/>
              <w:jc w:val="left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The private zones are partly separated.</w:t>
            </w:r>
          </w:p>
        </w:tc>
      </w:tr>
      <w:tr w:rsidR="00680CC4" w:rsidRPr="00D90477" w14:paraId="72120213" w14:textId="77777777" w:rsidTr="0096337D">
        <w:trPr>
          <w:trHeight w:val="129"/>
        </w:trPr>
        <w:tc>
          <w:tcPr>
            <w:tcW w:w="1706" w:type="pct"/>
            <w:vMerge/>
            <w:vAlign w:val="center"/>
          </w:tcPr>
          <w:p w14:paraId="49C34C7D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3294" w:type="pct"/>
            <w:shd w:val="clear" w:color="auto" w:fill="808080" w:themeFill="background1" w:themeFillShade="80"/>
            <w:tcMar>
              <w:left w:w="57" w:type="dxa"/>
              <w:right w:w="57" w:type="dxa"/>
            </w:tcMar>
            <w:vAlign w:val="center"/>
            <w:hideMark/>
          </w:tcPr>
          <w:p w14:paraId="645A2A34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VISIBILITY</w:t>
            </w:r>
          </w:p>
        </w:tc>
      </w:tr>
      <w:tr w:rsidR="00680CC4" w:rsidRPr="00D90477" w14:paraId="134065F1" w14:textId="77777777" w:rsidTr="0096337D">
        <w:trPr>
          <w:trHeight w:val="323"/>
        </w:trPr>
        <w:tc>
          <w:tcPr>
            <w:tcW w:w="1706" w:type="pct"/>
            <w:vMerge/>
            <w:vAlign w:val="center"/>
          </w:tcPr>
          <w:p w14:paraId="37E69667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3294" w:type="pc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424BEDE" w14:textId="77777777" w:rsidR="00680CC4" w:rsidRPr="00D90477" w:rsidRDefault="00680CC4" w:rsidP="0096337D">
            <w:pPr>
              <w:pStyle w:val="TOC1"/>
              <w:numPr>
                <w:ilvl w:val="0"/>
                <w:numId w:val="6"/>
              </w:numPr>
              <w:ind w:left="590"/>
              <w:jc w:val="left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Living space from the entrance is not directly visible</w:t>
            </w:r>
          </w:p>
          <w:p w14:paraId="30BB0F22" w14:textId="77777777" w:rsidR="00680CC4" w:rsidRPr="00D90477" w:rsidRDefault="00680CC4" w:rsidP="0096337D">
            <w:pPr>
              <w:pStyle w:val="TOC1"/>
              <w:numPr>
                <w:ilvl w:val="0"/>
                <w:numId w:val="6"/>
              </w:numPr>
              <w:ind w:left="590"/>
              <w:jc w:val="left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The rooms are visible mainly from the living room, but the rest of the house is visible from the circulation area(s) separated from the main living area.</w:t>
            </w:r>
            <w:r w:rsidRPr="00D90477" w:rsidDel="00145AC3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80CC4" w:rsidRPr="00D90477" w14:paraId="59DB9F95" w14:textId="77777777" w:rsidTr="0096337D">
        <w:trPr>
          <w:trHeight w:val="20"/>
        </w:trPr>
        <w:tc>
          <w:tcPr>
            <w:tcW w:w="1706" w:type="pct"/>
            <w:shd w:val="clear" w:color="auto" w:fill="auto"/>
            <w:vAlign w:val="center"/>
          </w:tcPr>
          <w:p w14:paraId="2893992E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3294" w:type="pct"/>
            <w:shd w:val="clear" w:color="auto" w:fill="808080" w:themeFill="background1" w:themeFillShade="80"/>
            <w:tcMar>
              <w:left w:w="57" w:type="dxa"/>
              <w:right w:w="57" w:type="dxa"/>
            </w:tcMar>
            <w:vAlign w:val="center"/>
          </w:tcPr>
          <w:p w14:paraId="41685041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SPATIAL SEQUENCE</w:t>
            </w:r>
          </w:p>
        </w:tc>
      </w:tr>
      <w:tr w:rsidR="00680CC4" w:rsidRPr="00D90477" w14:paraId="2D8F5AA8" w14:textId="77777777" w:rsidTr="0096337D">
        <w:trPr>
          <w:trHeight w:val="1713"/>
        </w:trPr>
        <w:tc>
          <w:tcPr>
            <w:tcW w:w="1706" w:type="pct"/>
            <w:vAlign w:val="center"/>
          </w:tcPr>
          <w:p w14:paraId="59860C64" w14:textId="77777777" w:rsidR="00680CC4" w:rsidRPr="00D90477" w:rsidRDefault="00680CC4" w:rsidP="0096337D">
            <w:pPr>
              <w:pStyle w:val="TOC1"/>
              <w:ind w:left="0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7E91E0D" wp14:editId="7532CD88">
                  <wp:extent cx="1764556" cy="922020"/>
                  <wp:effectExtent l="0" t="0" r="0" b="0"/>
                  <wp:docPr id="1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556" cy="9220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4" w:type="pc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6963C70" w14:textId="77777777" w:rsidR="00680CC4" w:rsidRPr="00D90477" w:rsidRDefault="00680CC4" w:rsidP="0096337D">
            <w:pPr>
              <w:pStyle w:val="TOC1"/>
              <w:numPr>
                <w:ilvl w:val="0"/>
                <w:numId w:val="3"/>
              </w:numPr>
              <w:ind w:left="590"/>
              <w:jc w:val="left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 xml:space="preserve">Entrance hall leads to the living room (Public </w:t>
            </w:r>
            <w:r w:rsidRPr="00D90477">
              <w:rPr>
                <w:rFonts w:ascii="Times New Roman" w:hAnsi="Times New Roman" w:cs="Times New Roman"/>
              </w:rPr>
              <w:sym w:font="Wingdings" w:char="F0E0"/>
            </w:r>
            <w:r w:rsidRPr="00D90477">
              <w:rPr>
                <w:rFonts w:ascii="Times New Roman" w:hAnsi="Times New Roman" w:cs="Times New Roman"/>
              </w:rPr>
              <w:t xml:space="preserve"> Public)</w:t>
            </w:r>
          </w:p>
          <w:p w14:paraId="4C993B93" w14:textId="77777777" w:rsidR="00680CC4" w:rsidRPr="00D90477" w:rsidRDefault="00680CC4" w:rsidP="0096337D">
            <w:pPr>
              <w:pStyle w:val="TOC1"/>
              <w:numPr>
                <w:ilvl w:val="0"/>
                <w:numId w:val="3"/>
              </w:numPr>
              <w:ind w:left="590"/>
              <w:jc w:val="left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 xml:space="preserve">The living room leads to some more private rooms and a public corridor which in turn leads to another private room and some public areas such as kitchen and bathroom (Public </w:t>
            </w:r>
            <w:r w:rsidRPr="00D90477">
              <w:rPr>
                <w:rFonts w:ascii="Times New Roman" w:hAnsi="Times New Roman" w:cs="Times New Roman"/>
              </w:rPr>
              <w:sym w:font="Wingdings" w:char="F0E0"/>
            </w:r>
            <w:r w:rsidRPr="00D90477">
              <w:rPr>
                <w:rFonts w:ascii="Times New Roman" w:hAnsi="Times New Roman" w:cs="Times New Roman"/>
              </w:rPr>
              <w:t xml:space="preserve"> Public + Private)</w:t>
            </w:r>
          </w:p>
        </w:tc>
      </w:tr>
      <w:tr w:rsidR="00680CC4" w:rsidRPr="00D90477" w14:paraId="0633C900" w14:textId="77777777" w:rsidTr="0096337D">
        <w:trPr>
          <w:trHeight w:val="74"/>
        </w:trPr>
        <w:tc>
          <w:tcPr>
            <w:tcW w:w="1706" w:type="pct"/>
            <w:shd w:val="clear" w:color="auto" w:fill="auto"/>
            <w:vAlign w:val="center"/>
          </w:tcPr>
          <w:p w14:paraId="6F95BA37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3294" w:type="pct"/>
            <w:shd w:val="clear" w:color="auto" w:fill="808080" w:themeFill="background1" w:themeFillShade="80"/>
            <w:tcMar>
              <w:left w:w="57" w:type="dxa"/>
              <w:right w:w="57" w:type="dxa"/>
            </w:tcMar>
            <w:vAlign w:val="center"/>
          </w:tcPr>
          <w:p w14:paraId="5E15D25B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INTERNAL ACCESS PATTERNS/COMPACTNESS</w:t>
            </w:r>
          </w:p>
        </w:tc>
      </w:tr>
      <w:tr w:rsidR="00680CC4" w:rsidRPr="00D90477" w14:paraId="22DF5164" w14:textId="77777777" w:rsidTr="0096337D">
        <w:trPr>
          <w:trHeight w:val="2286"/>
        </w:trPr>
        <w:tc>
          <w:tcPr>
            <w:tcW w:w="1706" w:type="pct"/>
            <w:vAlign w:val="center"/>
          </w:tcPr>
          <w:p w14:paraId="0BB2B39C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3903E16E" wp14:editId="64EBF8B9">
                  <wp:extent cx="1505455" cy="1088779"/>
                  <wp:effectExtent l="0" t="0" r="0" b="3810"/>
                  <wp:docPr id="18" name="Picture 1" descr="Macintosh HD:Users:duygugokce:Desktop:HELLO PHD:DIAGRAMMES:housing layout acess pattern diagrammes:narin  access pattern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Macintosh HD:Users:duygugokce:Desktop:HELLO PHD:DIAGRAMMES:housing layout acess pattern diagrammes:narin  access pattern.png"/>
                          <pic:cNvPicPr/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59166" cy="1127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4" w:type="pc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1A11A66" w14:textId="77777777" w:rsidR="00680CC4" w:rsidRPr="00D90477" w:rsidRDefault="00680CC4" w:rsidP="0096337D">
            <w:pPr>
              <w:pStyle w:val="ListParagraph"/>
              <w:numPr>
                <w:ilvl w:val="0"/>
                <w:numId w:val="4"/>
              </w:numPr>
              <w:ind w:left="590"/>
              <w:jc w:val="lef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0477">
              <w:rPr>
                <w:rFonts w:ascii="Times New Roman" w:hAnsi="Times New Roman" w:cs="Times New Roman"/>
                <w:bCs/>
                <w:sz w:val="20"/>
                <w:szCs w:val="20"/>
              </w:rPr>
              <w:t>An entrance hall leads to the rest of the house.</w:t>
            </w:r>
          </w:p>
          <w:p w14:paraId="7C7E93C4" w14:textId="77777777" w:rsidR="00680CC4" w:rsidRPr="00D90477" w:rsidRDefault="00680CC4" w:rsidP="0096337D">
            <w:pPr>
              <w:pStyle w:val="ListParagraph"/>
              <w:numPr>
                <w:ilvl w:val="0"/>
                <w:numId w:val="4"/>
              </w:numPr>
              <w:ind w:left="590"/>
              <w:jc w:val="lef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0477">
              <w:rPr>
                <w:rFonts w:ascii="Times New Roman" w:hAnsi="Times New Roman" w:cs="Times New Roman"/>
                <w:bCs/>
                <w:sz w:val="20"/>
                <w:szCs w:val="20"/>
              </w:rPr>
              <w:t>The centrally located living room provides all the primary access within the home.</w:t>
            </w:r>
          </w:p>
          <w:p w14:paraId="1EF7C8CE" w14:textId="77777777" w:rsidR="00680CC4" w:rsidRPr="00D90477" w:rsidRDefault="00680CC4" w:rsidP="0096337D">
            <w:pPr>
              <w:pStyle w:val="ListParagraph"/>
              <w:numPr>
                <w:ilvl w:val="0"/>
                <w:numId w:val="4"/>
              </w:numPr>
              <w:ind w:left="590"/>
              <w:jc w:val="lef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D90477">
              <w:rPr>
                <w:rFonts w:ascii="Times New Roman" w:hAnsi="Times New Roman" w:cs="Times New Roman"/>
                <w:bCs/>
                <w:sz w:val="20"/>
                <w:szCs w:val="20"/>
              </w:rPr>
              <w:t>There is a secondary circulation area; therefore, the layout is partly compact.</w:t>
            </w:r>
          </w:p>
        </w:tc>
      </w:tr>
      <w:tr w:rsidR="00680CC4" w:rsidRPr="00D90477" w14:paraId="31D85DB1" w14:textId="77777777" w:rsidTr="0096337D">
        <w:trPr>
          <w:trHeight w:val="20"/>
        </w:trPr>
        <w:tc>
          <w:tcPr>
            <w:tcW w:w="1706" w:type="pct"/>
            <w:shd w:val="clear" w:color="auto" w:fill="auto"/>
            <w:vAlign w:val="center"/>
          </w:tcPr>
          <w:p w14:paraId="6C4238E6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3294" w:type="pct"/>
            <w:shd w:val="clear" w:color="auto" w:fill="808080" w:themeFill="background1" w:themeFillShade="80"/>
            <w:tcMar>
              <w:left w:w="57" w:type="dxa"/>
              <w:right w:w="57" w:type="dxa"/>
            </w:tcMar>
            <w:vAlign w:val="center"/>
          </w:tcPr>
          <w:p w14:paraId="438DCC03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CONNECTIVITY/INTEGRATION</w:t>
            </w:r>
          </w:p>
        </w:tc>
      </w:tr>
      <w:tr w:rsidR="00680CC4" w:rsidRPr="00D90477" w14:paraId="439CAD60" w14:textId="77777777" w:rsidTr="0096337D">
        <w:trPr>
          <w:trHeight w:val="2280"/>
        </w:trPr>
        <w:tc>
          <w:tcPr>
            <w:tcW w:w="1706" w:type="pct"/>
            <w:vAlign w:val="center"/>
          </w:tcPr>
          <w:p w14:paraId="548F1788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4BB1C126" wp14:editId="7D4BB6E0">
                  <wp:extent cx="1325232" cy="1228264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r="52074" b="50516"/>
                          <a:stretch/>
                        </pic:blipFill>
                        <pic:spPr bwMode="auto">
                          <a:xfrm>
                            <a:off x="0" y="0"/>
                            <a:ext cx="1337729" cy="1239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4" w:type="pc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0869A25" w14:textId="77777777" w:rsidR="00680CC4" w:rsidRPr="00D90477" w:rsidRDefault="00680CC4" w:rsidP="0096337D">
            <w:pPr>
              <w:pStyle w:val="ListParagraph"/>
              <w:numPr>
                <w:ilvl w:val="0"/>
                <w:numId w:val="5"/>
              </w:numPr>
              <w:ind w:left="590"/>
              <w:rPr>
                <w:rFonts w:ascii="Times New Roman" w:hAnsi="Times New Roman" w:cs="Times New Roman"/>
                <w:sz w:val="20"/>
                <w:szCs w:val="20"/>
              </w:rPr>
            </w:pPr>
            <w:r w:rsidRPr="00D90477">
              <w:rPr>
                <w:rFonts w:ascii="Times New Roman" w:hAnsi="Times New Roman" w:cs="Times New Roman"/>
                <w:sz w:val="20"/>
                <w:szCs w:val="20"/>
              </w:rPr>
              <w:t>The living room has the highest connectivity and highest integration, followed by the corridor.</w:t>
            </w:r>
          </w:p>
          <w:p w14:paraId="16D439D6" w14:textId="77777777" w:rsidR="00680CC4" w:rsidRPr="00D90477" w:rsidRDefault="00680CC4" w:rsidP="0096337D">
            <w:pPr>
              <w:pStyle w:val="ListParagraph"/>
              <w:numPr>
                <w:ilvl w:val="0"/>
                <w:numId w:val="5"/>
              </w:numPr>
              <w:ind w:left="590"/>
              <w:rPr>
                <w:rFonts w:ascii="Times New Roman" w:hAnsi="Times New Roman" w:cs="Times New Roman"/>
                <w:sz w:val="20"/>
                <w:szCs w:val="20"/>
              </w:rPr>
            </w:pPr>
            <w:r w:rsidRPr="00D90477">
              <w:rPr>
                <w:rFonts w:ascii="Times New Roman" w:hAnsi="Times New Roman" w:cs="Times New Roman"/>
                <w:sz w:val="20"/>
                <w:szCs w:val="20"/>
              </w:rPr>
              <w:t>The house layout is partly living and partly circulation oriented.</w:t>
            </w:r>
          </w:p>
          <w:p w14:paraId="66BB89A7" w14:textId="77777777" w:rsidR="00680CC4" w:rsidRPr="00D90477" w:rsidRDefault="00680CC4" w:rsidP="0096337D">
            <w:pPr>
              <w:pStyle w:val="ListParagraph"/>
              <w:numPr>
                <w:ilvl w:val="0"/>
                <w:numId w:val="5"/>
              </w:numPr>
              <w:ind w:left="590"/>
              <w:rPr>
                <w:rFonts w:ascii="Times New Roman" w:hAnsi="Times New Roman" w:cs="Times New Roman"/>
                <w:sz w:val="20"/>
                <w:szCs w:val="20"/>
              </w:rPr>
            </w:pPr>
            <w:r w:rsidRPr="00D90477">
              <w:rPr>
                <w:rFonts w:ascii="Times New Roman" w:hAnsi="Times New Roman" w:cs="Times New Roman"/>
                <w:sz w:val="20"/>
                <w:szCs w:val="20"/>
              </w:rPr>
              <w:t>Entrance and other intimate areas are segregated and with lowest level of connectivity and integration.</w:t>
            </w:r>
          </w:p>
        </w:tc>
      </w:tr>
      <w:tr w:rsidR="00680CC4" w:rsidRPr="00D90477" w14:paraId="65FCEC94" w14:textId="77777777" w:rsidTr="0096337D">
        <w:trPr>
          <w:trHeight w:val="20"/>
        </w:trPr>
        <w:tc>
          <w:tcPr>
            <w:tcW w:w="1706" w:type="pct"/>
            <w:shd w:val="clear" w:color="auto" w:fill="auto"/>
            <w:vAlign w:val="center"/>
          </w:tcPr>
          <w:p w14:paraId="6CB41051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3294" w:type="pct"/>
            <w:shd w:val="clear" w:color="auto" w:fill="808080" w:themeFill="background1" w:themeFillShade="80"/>
            <w:tcMar>
              <w:left w:w="57" w:type="dxa"/>
              <w:right w:w="57" w:type="dxa"/>
            </w:tcMar>
            <w:vAlign w:val="center"/>
          </w:tcPr>
          <w:p w14:paraId="52E2E877" w14:textId="77777777" w:rsidR="00680CC4" w:rsidRPr="00D90477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</w:rPr>
              <w:t>JUSTIFIED PERMEABILITY</w:t>
            </w:r>
          </w:p>
        </w:tc>
      </w:tr>
      <w:tr w:rsidR="00680CC4" w:rsidRPr="00D90477" w14:paraId="265C6EBA" w14:textId="77777777" w:rsidTr="0096337D">
        <w:trPr>
          <w:trHeight w:val="1993"/>
        </w:trPr>
        <w:tc>
          <w:tcPr>
            <w:tcW w:w="1706" w:type="pct"/>
            <w:vAlign w:val="center"/>
          </w:tcPr>
          <w:p w14:paraId="330CD151" w14:textId="77777777" w:rsidR="00680CC4" w:rsidRPr="00D90477" w:rsidRDefault="00680CC4" w:rsidP="0096337D">
            <w:pPr>
              <w:pStyle w:val="TOC1"/>
              <w:ind w:left="38"/>
              <w:rPr>
                <w:rFonts w:ascii="Times New Roman" w:hAnsi="Times New Roman" w:cs="Times New Roman"/>
              </w:rPr>
            </w:pPr>
            <w:r w:rsidRPr="00D90477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CB3BB0A" wp14:editId="761B5EA6">
                  <wp:extent cx="1654757" cy="1404000"/>
                  <wp:effectExtent l="0" t="0" r="0" b="0"/>
                  <wp:docPr id="20" name="Picture 1" descr="Macintosh HD:Users:duygugokce:Desktop:HELLO PHD:DIAGRAMMES:diagrammes accesibility:justified per grapghs:Narin justified permeability grapg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Macintosh HD:Users:duygugokce:Desktop:HELLO PHD:DIAGRAMMES:diagrammes accesibility:justified per grapghs:Narin justified permeability grapgh.png"/>
                          <pic:cNvPicPr/>
                        </pic:nvPicPr>
                        <pic:blipFill rotWithShape="1"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57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4" w:type="pc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DC6EB51" w14:textId="77777777" w:rsidR="00680CC4" w:rsidRPr="00D90477" w:rsidRDefault="00680CC4" w:rsidP="0096337D">
            <w:pPr>
              <w:pStyle w:val="ListParagraph"/>
              <w:numPr>
                <w:ilvl w:val="0"/>
                <w:numId w:val="1"/>
              </w:numPr>
              <w:ind w:left="590"/>
              <w:rPr>
                <w:rFonts w:ascii="Times New Roman" w:hAnsi="Times New Roman" w:cs="Times New Roman"/>
                <w:sz w:val="20"/>
              </w:rPr>
            </w:pPr>
            <w:r w:rsidRPr="00D90477">
              <w:rPr>
                <w:rFonts w:ascii="Times New Roman" w:hAnsi="Times New Roman" w:cs="Times New Roman"/>
                <w:bCs/>
                <w:sz w:val="20"/>
              </w:rPr>
              <w:t>Five steps from the entrance.</w:t>
            </w:r>
          </w:p>
          <w:p w14:paraId="233E4291" w14:textId="77777777" w:rsidR="00680CC4" w:rsidRPr="00D90477" w:rsidRDefault="00680CC4" w:rsidP="0096337D">
            <w:pPr>
              <w:pStyle w:val="ListParagraph"/>
              <w:numPr>
                <w:ilvl w:val="0"/>
                <w:numId w:val="1"/>
              </w:numPr>
              <w:ind w:left="590"/>
              <w:rPr>
                <w:rFonts w:ascii="Times New Roman" w:hAnsi="Times New Roman" w:cs="Times New Roman"/>
                <w:sz w:val="20"/>
              </w:rPr>
            </w:pPr>
            <w:r w:rsidRPr="00D90477">
              <w:rPr>
                <w:rFonts w:ascii="Times New Roman" w:hAnsi="Times New Roman" w:cs="Times New Roman"/>
                <w:bCs/>
                <w:sz w:val="20"/>
              </w:rPr>
              <w:t>Linear access through transitional space to the living room.</w:t>
            </w:r>
          </w:p>
          <w:p w14:paraId="268C7ABC" w14:textId="77777777" w:rsidR="00680CC4" w:rsidRPr="00D90477" w:rsidRDefault="00680CC4" w:rsidP="0096337D">
            <w:pPr>
              <w:pStyle w:val="ListParagraph"/>
              <w:numPr>
                <w:ilvl w:val="0"/>
                <w:numId w:val="1"/>
              </w:numPr>
              <w:ind w:left="590"/>
              <w:rPr>
                <w:rFonts w:ascii="Times New Roman" w:hAnsi="Times New Roman" w:cs="Times New Roman"/>
                <w:sz w:val="20"/>
              </w:rPr>
            </w:pPr>
            <w:r w:rsidRPr="00D90477">
              <w:rPr>
                <w:rFonts w:ascii="Times New Roman" w:hAnsi="Times New Roman" w:cs="Times New Roman"/>
                <w:bCs/>
                <w:sz w:val="20"/>
              </w:rPr>
              <w:t>The living room is accessed through the second step.</w:t>
            </w:r>
          </w:p>
          <w:p w14:paraId="764D51C4" w14:textId="77777777" w:rsidR="00680CC4" w:rsidRPr="00D90477" w:rsidRDefault="00680CC4" w:rsidP="0096337D">
            <w:pPr>
              <w:pStyle w:val="ListParagraph"/>
              <w:numPr>
                <w:ilvl w:val="0"/>
                <w:numId w:val="1"/>
              </w:numPr>
              <w:ind w:left="590"/>
              <w:rPr>
                <w:rFonts w:ascii="Times New Roman" w:hAnsi="Times New Roman" w:cs="Times New Roman"/>
                <w:sz w:val="20"/>
              </w:rPr>
            </w:pPr>
            <w:r w:rsidRPr="00D90477">
              <w:rPr>
                <w:rFonts w:ascii="Times New Roman" w:hAnsi="Times New Roman" w:cs="Times New Roman"/>
                <w:bCs/>
                <w:sz w:val="20"/>
              </w:rPr>
              <w:t>Tree-like access pattern after the living room.</w:t>
            </w:r>
          </w:p>
          <w:p w14:paraId="0F46B362" w14:textId="77777777" w:rsidR="00680CC4" w:rsidRPr="00D90477" w:rsidRDefault="00680CC4" w:rsidP="0096337D">
            <w:pPr>
              <w:pStyle w:val="ListParagraph"/>
              <w:numPr>
                <w:ilvl w:val="0"/>
                <w:numId w:val="1"/>
              </w:numPr>
              <w:ind w:left="590"/>
              <w:rPr>
                <w:rFonts w:ascii="Times New Roman" w:hAnsi="Times New Roman" w:cs="Times New Roman"/>
                <w:sz w:val="20"/>
                <w:szCs w:val="20"/>
              </w:rPr>
            </w:pPr>
            <w:r w:rsidRPr="00D90477">
              <w:rPr>
                <w:rFonts w:ascii="Times New Roman" w:hAnsi="Times New Roman" w:cs="Times New Roman"/>
                <w:bCs/>
                <w:sz w:val="20"/>
              </w:rPr>
              <w:t>There are three further steps after the living room.</w:t>
            </w:r>
          </w:p>
        </w:tc>
      </w:tr>
    </w:tbl>
    <w:p w14:paraId="43108AEB" w14:textId="77777777" w:rsidR="00680CC4" w:rsidRPr="00D90477" w:rsidRDefault="00680CC4" w:rsidP="00680CC4"/>
    <w:p w14:paraId="294E1F11" w14:textId="77777777" w:rsidR="00680CC4" w:rsidRDefault="00680CC4" w:rsidP="00680CC4">
      <w:pPr>
        <w:pStyle w:val="Caption"/>
        <w:keepNext/>
        <w:ind w:left="0" w:firstLine="0"/>
        <w:jc w:val="both"/>
        <w:outlineLvl w:val="0"/>
        <w:rPr>
          <w:rFonts w:ascii="Times New Roman" w:hAnsi="Times New Roman" w:cs="Times New Roman"/>
        </w:rPr>
      </w:pPr>
    </w:p>
    <w:p w14:paraId="72EC282D" w14:textId="12122CD8" w:rsidR="00680CC4" w:rsidRDefault="00680CC4" w:rsidP="00680CC4">
      <w:pPr>
        <w:pStyle w:val="Caption"/>
        <w:keepNext/>
        <w:ind w:left="0" w:firstLine="0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5478B4"/>
          <w:sz w:val="19"/>
          <w:szCs w:val="19"/>
        </w:rPr>
        <w:t xml:space="preserve">Table 4. </w:t>
      </w:r>
      <w:r>
        <w:rPr>
          <w:rFonts w:ascii="Times New Roman" w:hAnsi="Times New Roman" w:cs="Times New Roman"/>
          <w:color w:val="000000"/>
          <w:sz w:val="19"/>
          <w:szCs w:val="19"/>
        </w:rPr>
        <w:t>Sample street scale analysis.</w:t>
      </w:r>
    </w:p>
    <w:p w14:paraId="68CE4559" w14:textId="77462874" w:rsidR="00680CC4" w:rsidRDefault="00680CC4" w:rsidP="00680CC4">
      <w:pPr>
        <w:pStyle w:val="Caption"/>
        <w:keepNext/>
        <w:ind w:left="0" w:firstLine="0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9BECBD7" wp14:editId="3034DE6F">
            <wp:extent cx="5265420" cy="7696200"/>
            <wp:effectExtent l="0" t="0" r="0" b="0"/>
            <wp:docPr id="22" name="Picture 22" descr="Macintosh HD:Users:feichen:Desktop:Screen Shot 2018-06-06 at 13.38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feichen:Desktop:Screen Shot 2018-06-06 at 13.38.0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E5F67" w14:textId="77777777" w:rsidR="00EA0BE8" w:rsidRDefault="00EA0BE8" w:rsidP="00EA0BE8"/>
    <w:p w14:paraId="72F326A7" w14:textId="77777777" w:rsidR="00EA0BE8" w:rsidRDefault="00EA0BE8" w:rsidP="00EA0BE8"/>
    <w:p w14:paraId="5E4F1044" w14:textId="77777777" w:rsidR="00EA0BE8" w:rsidRPr="00EA0BE8" w:rsidRDefault="00EA0BE8" w:rsidP="00EA0BE8">
      <w:bookmarkStart w:id="1" w:name="_GoBack"/>
      <w:bookmarkEnd w:id="1"/>
    </w:p>
    <w:p w14:paraId="4C47630A" w14:textId="77777777" w:rsidR="00680CC4" w:rsidRDefault="00680CC4" w:rsidP="00680CC4">
      <w:pPr>
        <w:pStyle w:val="Caption"/>
        <w:keepNext/>
        <w:ind w:left="0" w:firstLine="0"/>
        <w:jc w:val="both"/>
        <w:outlineLvl w:val="0"/>
        <w:rPr>
          <w:rFonts w:ascii="Times New Roman" w:hAnsi="Times New Roman" w:cs="Times New Roman"/>
        </w:rPr>
      </w:pPr>
    </w:p>
    <w:p w14:paraId="0FBDC0C0" w14:textId="77777777" w:rsidR="00680CC4" w:rsidRPr="00747A93" w:rsidRDefault="00680CC4" w:rsidP="00680CC4">
      <w:pPr>
        <w:pStyle w:val="Caption"/>
        <w:keepNext/>
        <w:ind w:left="0" w:firstLine="0"/>
        <w:jc w:val="both"/>
        <w:outlineLvl w:val="0"/>
        <w:rPr>
          <w:rFonts w:ascii="Times New Roman" w:hAnsi="Times New Roman" w:cs="Times New Roman"/>
        </w:rPr>
      </w:pPr>
      <w:r w:rsidRPr="00747A93">
        <w:rPr>
          <w:rFonts w:ascii="Times New Roman" w:hAnsi="Times New Roman" w:cs="Times New Roman"/>
        </w:rPr>
        <w:t>Table 5 Sample neighbourhood scale analysis</w:t>
      </w:r>
    </w:p>
    <w:tbl>
      <w:tblPr>
        <w:tblW w:w="5000" w:type="pct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4144"/>
        <w:gridCol w:w="4372"/>
      </w:tblGrid>
      <w:tr w:rsidR="00680CC4" w:rsidRPr="00747A93" w14:paraId="56D4D557" w14:textId="77777777" w:rsidTr="0096337D">
        <w:trPr>
          <w:trHeight w:val="157"/>
        </w:trPr>
        <w:tc>
          <w:tcPr>
            <w:tcW w:w="5000" w:type="pct"/>
            <w:gridSpan w:val="2"/>
            <w:tcBorders>
              <w:top w:val="single" w:sz="8" w:space="0" w:color="auto"/>
            </w:tcBorders>
          </w:tcPr>
          <w:p w14:paraId="7D984D27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  <w:b/>
              </w:rPr>
            </w:pPr>
            <w:r w:rsidRPr="00747A93">
              <w:rPr>
                <w:rFonts w:ascii="Times New Roman" w:hAnsi="Times New Roman" w:cs="Times New Roman"/>
                <w:b/>
              </w:rPr>
              <w:t>NEIGHBOURHOOD SCALE ANALYSIS FOR CASE IV</w:t>
            </w:r>
          </w:p>
        </w:tc>
      </w:tr>
      <w:tr w:rsidR="00680CC4" w:rsidRPr="00747A93" w14:paraId="00012535" w14:textId="77777777" w:rsidTr="0096337D">
        <w:trPr>
          <w:trHeight w:val="143"/>
        </w:trPr>
        <w:tc>
          <w:tcPr>
            <w:tcW w:w="2433" w:type="pct"/>
            <w:shd w:val="clear" w:color="000000" w:fill="auto"/>
          </w:tcPr>
          <w:p w14:paraId="3E095454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2567" w:type="pct"/>
            <w:shd w:val="clear" w:color="000000" w:fill="808080" w:themeFill="background1" w:themeFillShade="80"/>
            <w:vAlign w:val="center"/>
          </w:tcPr>
          <w:p w14:paraId="06F4FFAC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SITE/BLOCK ARRANGEMENT</w:t>
            </w:r>
          </w:p>
        </w:tc>
      </w:tr>
      <w:tr w:rsidR="00680CC4" w:rsidRPr="00747A93" w14:paraId="5A9BACA9" w14:textId="77777777" w:rsidTr="0096337D">
        <w:trPr>
          <w:trHeight w:val="843"/>
        </w:trPr>
        <w:tc>
          <w:tcPr>
            <w:tcW w:w="2433" w:type="pct"/>
            <w:vMerge w:val="restart"/>
            <w:vAlign w:val="center"/>
          </w:tcPr>
          <w:p w14:paraId="46FD0CD0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1D87270" wp14:editId="77AB1D88">
                  <wp:extent cx="2139950" cy="1672590"/>
                  <wp:effectExtent l="0" t="0" r="0" b="3810"/>
                  <wp:docPr id="27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/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324" t="1847" r="14371" b="5985"/>
                          <a:stretch/>
                        </pic:blipFill>
                        <pic:spPr bwMode="auto">
                          <a:xfrm>
                            <a:off x="0" y="0"/>
                            <a:ext cx="2139950" cy="167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pct"/>
            <w:vAlign w:val="center"/>
          </w:tcPr>
          <w:p w14:paraId="74E167FE" w14:textId="77777777" w:rsidR="00680CC4" w:rsidRPr="00747A93" w:rsidRDefault="00680CC4" w:rsidP="00680CC4">
            <w:pPr>
              <w:pStyle w:val="TOC1"/>
              <w:numPr>
                <w:ilvl w:val="0"/>
                <w:numId w:val="7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Open site (planned development)</w:t>
            </w:r>
          </w:p>
          <w:p w14:paraId="065F8093" w14:textId="77777777" w:rsidR="00680CC4" w:rsidRPr="00747A93" w:rsidRDefault="00680CC4" w:rsidP="00680CC4">
            <w:pPr>
              <w:pStyle w:val="TOC1"/>
              <w:numPr>
                <w:ilvl w:val="0"/>
                <w:numId w:val="7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Grid arrangement</w:t>
            </w:r>
          </w:p>
          <w:p w14:paraId="18D44047" w14:textId="77777777" w:rsidR="00680CC4" w:rsidRPr="00747A93" w:rsidRDefault="00680CC4" w:rsidP="00680CC4">
            <w:pPr>
              <w:pStyle w:val="TOC1"/>
              <w:numPr>
                <w:ilvl w:val="0"/>
                <w:numId w:val="7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Approx. 23-24 plots per block</w:t>
            </w:r>
          </w:p>
          <w:p w14:paraId="21B2921A" w14:textId="77777777" w:rsidR="00680CC4" w:rsidRPr="00747A93" w:rsidRDefault="00680CC4" w:rsidP="00680CC4">
            <w:pPr>
              <w:pStyle w:val="TOC1"/>
              <w:numPr>
                <w:ilvl w:val="0"/>
                <w:numId w:val="7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No strictly defined site boundaries</w:t>
            </w:r>
          </w:p>
        </w:tc>
      </w:tr>
      <w:tr w:rsidR="00680CC4" w:rsidRPr="00747A93" w14:paraId="37C48492" w14:textId="77777777" w:rsidTr="0096337D">
        <w:trPr>
          <w:trHeight w:val="260"/>
        </w:trPr>
        <w:tc>
          <w:tcPr>
            <w:tcW w:w="2433" w:type="pct"/>
            <w:vMerge/>
            <w:vAlign w:val="center"/>
          </w:tcPr>
          <w:p w14:paraId="213BB899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2567" w:type="pct"/>
            <w:shd w:val="clear" w:color="auto" w:fill="808080" w:themeFill="background1" w:themeFillShade="80"/>
            <w:vAlign w:val="center"/>
          </w:tcPr>
          <w:p w14:paraId="0B2579F6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  <w:b/>
              </w:rPr>
            </w:pPr>
            <w:r w:rsidRPr="00747A93">
              <w:rPr>
                <w:rFonts w:ascii="Times New Roman" w:hAnsi="Times New Roman" w:cs="Times New Roman"/>
              </w:rPr>
              <w:t>BLOCK SIZE AND SHAPE</w:t>
            </w:r>
          </w:p>
        </w:tc>
      </w:tr>
      <w:tr w:rsidR="00680CC4" w:rsidRPr="00747A93" w14:paraId="2FF12ED8" w14:textId="77777777" w:rsidTr="0096337D">
        <w:trPr>
          <w:trHeight w:val="842"/>
        </w:trPr>
        <w:tc>
          <w:tcPr>
            <w:tcW w:w="2433" w:type="pct"/>
            <w:vMerge/>
            <w:vAlign w:val="center"/>
          </w:tcPr>
          <w:p w14:paraId="091EA358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2567" w:type="pct"/>
            <w:vAlign w:val="center"/>
          </w:tcPr>
          <w:p w14:paraId="776D1353" w14:textId="77777777" w:rsidR="00680CC4" w:rsidRPr="00747A93" w:rsidRDefault="00680CC4" w:rsidP="00680CC4">
            <w:pPr>
              <w:pStyle w:val="TOC1"/>
              <w:numPr>
                <w:ilvl w:val="0"/>
                <w:numId w:val="8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Mainly regular, sometimes deformed, rectangular shape blocks, but the length of the blocks slightly vary</w:t>
            </w:r>
          </w:p>
          <w:p w14:paraId="2E8B4560" w14:textId="77777777" w:rsidR="00680CC4" w:rsidRPr="00747A93" w:rsidRDefault="00680CC4" w:rsidP="00680CC4">
            <w:pPr>
              <w:pStyle w:val="TOC1"/>
              <w:numPr>
                <w:ilvl w:val="0"/>
                <w:numId w:val="8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The block consists of two rows of identical plots where the back gardens of the buildings are aligned back to back</w:t>
            </w:r>
          </w:p>
        </w:tc>
      </w:tr>
      <w:tr w:rsidR="00680CC4" w:rsidRPr="00747A93" w14:paraId="1D9EA4A3" w14:textId="77777777" w:rsidTr="0096337D">
        <w:trPr>
          <w:trHeight w:val="20"/>
        </w:trPr>
        <w:tc>
          <w:tcPr>
            <w:tcW w:w="2433" w:type="pct"/>
            <w:vMerge/>
            <w:shd w:val="clear" w:color="auto" w:fill="808080" w:themeFill="background1" w:themeFillShade="80"/>
          </w:tcPr>
          <w:p w14:paraId="529EEC6F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2567" w:type="pct"/>
            <w:shd w:val="clear" w:color="auto" w:fill="808080" w:themeFill="background1" w:themeFillShade="80"/>
          </w:tcPr>
          <w:p w14:paraId="35E1419B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SPATIAL SEQUENCE/NUMBER OF TURNS</w:t>
            </w:r>
          </w:p>
        </w:tc>
      </w:tr>
      <w:tr w:rsidR="00680CC4" w:rsidRPr="00747A93" w14:paraId="267C37D0" w14:textId="77777777" w:rsidTr="0096337D">
        <w:trPr>
          <w:trHeight w:val="2196"/>
        </w:trPr>
        <w:tc>
          <w:tcPr>
            <w:tcW w:w="2433" w:type="pct"/>
            <w:vMerge/>
            <w:tcBorders>
              <w:bottom w:val="single" w:sz="2" w:space="0" w:color="auto"/>
            </w:tcBorders>
          </w:tcPr>
          <w:p w14:paraId="6A1EC612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2567" w:type="pct"/>
            <w:tcBorders>
              <w:bottom w:val="single" w:sz="2" w:space="0" w:color="auto"/>
            </w:tcBorders>
            <w:vAlign w:val="center"/>
          </w:tcPr>
          <w:p w14:paraId="39A19DF8" w14:textId="77777777" w:rsidR="00680CC4" w:rsidRPr="00747A93" w:rsidRDefault="00680CC4" w:rsidP="00680CC4">
            <w:pPr>
              <w:pStyle w:val="TOC1"/>
              <w:numPr>
                <w:ilvl w:val="0"/>
                <w:numId w:val="9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 xml:space="preserve">Primary (PUBLIC) </w:t>
            </w:r>
            <w:r w:rsidRPr="00747A93">
              <w:rPr>
                <w:rFonts w:ascii="Times New Roman" w:hAnsi="Times New Roman" w:cs="Times New Roman"/>
              </w:rPr>
              <w:sym w:font="Wingdings" w:char="F0E0"/>
            </w:r>
            <w:r w:rsidRPr="00747A93">
              <w:rPr>
                <w:rFonts w:ascii="Times New Roman" w:hAnsi="Times New Roman" w:cs="Times New Roman"/>
              </w:rPr>
              <w:t xml:space="preserve"> Secondary (PUBLIC) </w:t>
            </w:r>
            <w:r w:rsidRPr="00747A93">
              <w:rPr>
                <w:rFonts w:ascii="Times New Roman" w:hAnsi="Times New Roman" w:cs="Times New Roman"/>
              </w:rPr>
              <w:sym w:font="Wingdings" w:char="F0E0"/>
            </w:r>
            <w:r w:rsidRPr="00747A93">
              <w:rPr>
                <w:rFonts w:ascii="Times New Roman" w:hAnsi="Times New Roman" w:cs="Times New Roman"/>
              </w:rPr>
              <w:t xml:space="preserve"> Tertiary (PUBLIC) </w:t>
            </w:r>
            <w:r w:rsidRPr="00747A93">
              <w:rPr>
                <w:rFonts w:ascii="Times New Roman" w:hAnsi="Times New Roman" w:cs="Times New Roman"/>
              </w:rPr>
              <w:sym w:font="Wingdings" w:char="F0E0"/>
            </w:r>
            <w:r w:rsidRPr="00747A93">
              <w:rPr>
                <w:rFonts w:ascii="Times New Roman" w:hAnsi="Times New Roman" w:cs="Times New Roman"/>
              </w:rPr>
              <w:t xml:space="preserve"> Quaternary (SEMI-PUBLIC/SEMI-PRIVATE) </w:t>
            </w:r>
            <w:r w:rsidRPr="00747A93">
              <w:rPr>
                <w:rFonts w:ascii="Times New Roman" w:hAnsi="Times New Roman" w:cs="Times New Roman"/>
              </w:rPr>
              <w:sym w:font="Wingdings" w:char="F0E0"/>
            </w:r>
            <w:r w:rsidRPr="00747A93">
              <w:rPr>
                <w:rFonts w:ascii="Times New Roman" w:hAnsi="Times New Roman" w:cs="Times New Roman"/>
              </w:rPr>
              <w:t xml:space="preserve"> Housing Unit (PRIVATE)</w:t>
            </w:r>
          </w:p>
          <w:p w14:paraId="08360F7C" w14:textId="77777777" w:rsidR="00680CC4" w:rsidRPr="00747A93" w:rsidRDefault="00680CC4" w:rsidP="00680CC4">
            <w:pPr>
              <w:pStyle w:val="ListParagraph"/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240" w:line="300" w:lineRule="atLeast"/>
              <w:ind w:left="554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47A9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Need to perform 4 turns to access the housing units from the street</w:t>
            </w:r>
          </w:p>
          <w:p w14:paraId="1CFCBA1A" w14:textId="77777777" w:rsidR="00680CC4" w:rsidRPr="00747A93" w:rsidRDefault="00680CC4" w:rsidP="0096337D">
            <w:pPr>
              <w:ind w:left="360"/>
            </w:pPr>
            <w:r w:rsidRPr="00747A93">
              <w:rPr>
                <w:noProof/>
              </w:rPr>
              <w:drawing>
                <wp:inline distT="0" distB="0" distL="0" distR="0" wp14:anchorId="7A98EB5B" wp14:editId="5789F320">
                  <wp:extent cx="1625600" cy="304800"/>
                  <wp:effectExtent l="0" t="0" r="0" b="0"/>
                  <wp:docPr id="3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/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0CC4" w:rsidRPr="00747A93" w14:paraId="3FEC5516" w14:textId="77777777" w:rsidTr="0096337D">
        <w:trPr>
          <w:trHeight w:val="114"/>
        </w:trPr>
        <w:tc>
          <w:tcPr>
            <w:tcW w:w="2433" w:type="pct"/>
            <w:shd w:val="clear" w:color="000000" w:fill="auto"/>
          </w:tcPr>
          <w:p w14:paraId="0675DB2A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2567" w:type="pct"/>
            <w:shd w:val="clear" w:color="000000" w:fill="808080" w:themeFill="background1" w:themeFillShade="80"/>
          </w:tcPr>
          <w:p w14:paraId="7265A15D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BUILDING HEIGHTS/SPACIOUSNESS</w:t>
            </w:r>
          </w:p>
        </w:tc>
      </w:tr>
      <w:tr w:rsidR="00680CC4" w:rsidRPr="00747A93" w14:paraId="44D227F2" w14:textId="77777777" w:rsidTr="0096337D">
        <w:trPr>
          <w:trHeight w:val="1735"/>
        </w:trPr>
        <w:tc>
          <w:tcPr>
            <w:tcW w:w="2433" w:type="pct"/>
            <w:vAlign w:val="center"/>
          </w:tcPr>
          <w:p w14:paraId="688900D6" w14:textId="77777777" w:rsidR="00680CC4" w:rsidRPr="00747A93" w:rsidRDefault="00680CC4" w:rsidP="0096337D">
            <w:pPr>
              <w:ind w:left="35"/>
              <w:jc w:val="center"/>
            </w:pPr>
            <w:r w:rsidRPr="00747A93">
              <w:rPr>
                <w:noProof/>
              </w:rPr>
              <w:drawing>
                <wp:inline distT="0" distB="0" distL="0" distR="0" wp14:anchorId="6240F035" wp14:editId="704C1C6F">
                  <wp:extent cx="2464435" cy="1108710"/>
                  <wp:effectExtent l="0" t="0" r="0" b="8890"/>
                  <wp:docPr id="33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/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435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pct"/>
            <w:vAlign w:val="center"/>
          </w:tcPr>
          <w:p w14:paraId="6AF1F565" w14:textId="77777777" w:rsidR="00680CC4" w:rsidRPr="00747A93" w:rsidRDefault="00680CC4" w:rsidP="00680CC4">
            <w:pPr>
              <w:pStyle w:val="TOC1"/>
              <w:numPr>
                <w:ilvl w:val="0"/>
                <w:numId w:val="10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Low rise apartment buildings</w:t>
            </w:r>
          </w:p>
          <w:p w14:paraId="5F6013DC" w14:textId="77777777" w:rsidR="00680CC4" w:rsidRPr="00747A93" w:rsidRDefault="00680CC4" w:rsidP="00680CC4">
            <w:pPr>
              <w:pStyle w:val="TOC1"/>
              <w:numPr>
                <w:ilvl w:val="0"/>
                <w:numId w:val="10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Buildings are 3-6m apart in the block (See Table 3)</w:t>
            </w:r>
          </w:p>
          <w:p w14:paraId="03E6B59E" w14:textId="77777777" w:rsidR="00680CC4" w:rsidRPr="00747A93" w:rsidRDefault="00680CC4" w:rsidP="00680CC4">
            <w:pPr>
              <w:pStyle w:val="TOC1"/>
              <w:numPr>
                <w:ilvl w:val="0"/>
                <w:numId w:val="10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Buildings flank the street are 20m apart</w:t>
            </w:r>
          </w:p>
        </w:tc>
      </w:tr>
      <w:tr w:rsidR="00680CC4" w:rsidRPr="00747A93" w14:paraId="4F844566" w14:textId="77777777" w:rsidTr="0096337D">
        <w:trPr>
          <w:trHeight w:val="20"/>
        </w:trPr>
        <w:tc>
          <w:tcPr>
            <w:tcW w:w="2433" w:type="pct"/>
            <w:shd w:val="clear" w:color="auto" w:fill="auto"/>
          </w:tcPr>
          <w:p w14:paraId="4D533592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2567" w:type="pct"/>
            <w:shd w:val="clear" w:color="auto" w:fill="808080" w:themeFill="background1" w:themeFillShade="80"/>
          </w:tcPr>
          <w:p w14:paraId="0C3B06E5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LAND COVERAGE</w:t>
            </w:r>
          </w:p>
        </w:tc>
      </w:tr>
      <w:tr w:rsidR="00680CC4" w:rsidRPr="00747A93" w14:paraId="6796CB8D" w14:textId="77777777" w:rsidTr="0096337D">
        <w:trPr>
          <w:trHeight w:val="20"/>
        </w:trPr>
        <w:tc>
          <w:tcPr>
            <w:tcW w:w="2433" w:type="pct"/>
          </w:tcPr>
          <w:p w14:paraId="20673B77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32EBBFD7" wp14:editId="192B7C24">
                  <wp:extent cx="1635760" cy="1206631"/>
                  <wp:effectExtent l="0" t="0" r="0" b="12700"/>
                  <wp:docPr id="30" name="Picture 2" descr="C:\Users\dg338\Dropbox\AUTOCAD THESIS\CASE CONFIGURATION COMPOSITION NEIGHBOURHOOD\Case III\narin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2" descr="C:\Users\dg338\Dropbox\AUTOCAD THESIS\CASE CONFIGURATION COMPOSITION NEIGHBOURHOOD\Case III\narin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80" r="16493" b="4485"/>
                          <a:stretch/>
                        </pic:blipFill>
                        <pic:spPr bwMode="auto">
                          <a:xfrm>
                            <a:off x="0" y="0"/>
                            <a:ext cx="1675349" cy="1235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pct"/>
            <w:shd w:val="clear" w:color="auto" w:fill="auto"/>
            <w:vAlign w:val="center"/>
          </w:tcPr>
          <w:p w14:paraId="3360FCCD" w14:textId="77777777" w:rsidR="00680CC4" w:rsidRPr="00747A93" w:rsidRDefault="00680CC4" w:rsidP="00680CC4">
            <w:pPr>
              <w:pStyle w:val="TOC1"/>
              <w:numPr>
                <w:ilvl w:val="0"/>
                <w:numId w:val="11"/>
              </w:numPr>
              <w:ind w:left="554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Approx. 50% land coverage</w:t>
            </w:r>
          </w:p>
          <w:p w14:paraId="2ACF23A2" w14:textId="77777777" w:rsidR="00680CC4" w:rsidRPr="00747A93" w:rsidRDefault="00680CC4" w:rsidP="0096337D">
            <w:pPr>
              <w:pStyle w:val="TOC1"/>
              <w:ind w:left="554"/>
              <w:jc w:val="left"/>
              <w:rPr>
                <w:rFonts w:ascii="Times New Roman" w:hAnsi="Times New Roman" w:cs="Times New Roman"/>
              </w:rPr>
            </w:pPr>
          </w:p>
        </w:tc>
      </w:tr>
      <w:tr w:rsidR="00680CC4" w:rsidRPr="00747A93" w14:paraId="3139F936" w14:textId="77777777" w:rsidTr="0096337D">
        <w:trPr>
          <w:trHeight w:val="20"/>
        </w:trPr>
        <w:tc>
          <w:tcPr>
            <w:tcW w:w="2433" w:type="pct"/>
            <w:shd w:val="clear" w:color="auto" w:fill="auto"/>
          </w:tcPr>
          <w:p w14:paraId="1F0BC7ED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</w:p>
        </w:tc>
        <w:tc>
          <w:tcPr>
            <w:tcW w:w="2567" w:type="pct"/>
            <w:shd w:val="clear" w:color="auto" w:fill="808080" w:themeFill="background1" w:themeFillShade="80"/>
          </w:tcPr>
          <w:p w14:paraId="22019190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</w:rPr>
              <w:t>STREET CONFIGURATION</w:t>
            </w:r>
          </w:p>
        </w:tc>
      </w:tr>
      <w:tr w:rsidR="00680CC4" w:rsidRPr="00747A93" w14:paraId="5AA5577E" w14:textId="77777777" w:rsidTr="0096337D">
        <w:trPr>
          <w:trHeight w:val="2336"/>
        </w:trPr>
        <w:tc>
          <w:tcPr>
            <w:tcW w:w="2433" w:type="pct"/>
          </w:tcPr>
          <w:p w14:paraId="181A536D" w14:textId="77777777" w:rsidR="00680CC4" w:rsidRPr="00747A93" w:rsidRDefault="00680CC4" w:rsidP="0096337D">
            <w:pPr>
              <w:pStyle w:val="TOC1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34462D2C" wp14:editId="033FBE64">
                  <wp:extent cx="1747520" cy="1120775"/>
                  <wp:effectExtent l="0" t="0" r="5080" b="0"/>
                  <wp:docPr id="29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/>
                        </pic:nvPicPr>
                        <pic:blipFill>
                          <a:blip r:embed="rId31">
                            <a:duotone>
                              <a:prstClr val="black"/>
                              <a:srgbClr val="D9C3A5">
                                <a:tint val="50000"/>
                                <a:satMod val="18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520" cy="112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F4906" w14:textId="77777777" w:rsidR="00680CC4" w:rsidRPr="00747A93" w:rsidRDefault="00680CC4" w:rsidP="0096337D">
            <w:pPr>
              <w:jc w:val="center"/>
            </w:pPr>
            <w:r w:rsidRPr="00747A93">
              <w:rPr>
                <w:noProof/>
              </w:rPr>
              <w:drawing>
                <wp:inline distT="0" distB="0" distL="0" distR="0" wp14:anchorId="3F77A7CB" wp14:editId="6C6CE9B1">
                  <wp:extent cx="2328968" cy="300801"/>
                  <wp:effectExtent l="0" t="0" r="8255" b="444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968" cy="300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7" w:type="pct"/>
            <w:vAlign w:val="center"/>
          </w:tcPr>
          <w:p w14:paraId="10A14F83" w14:textId="77777777" w:rsidR="00680CC4" w:rsidRPr="00747A93" w:rsidRDefault="00680CC4" w:rsidP="00680CC4">
            <w:pPr>
              <w:pStyle w:val="ListParagraph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240" w:line="300" w:lineRule="atLeast"/>
              <w:ind w:left="554"/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47A9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The main road (primary) generally leads to the secondary streets, which form a grid with the third-level streets. The private pathways link the building entrances with the third-level streets.</w:t>
            </w:r>
          </w:p>
          <w:p w14:paraId="17741063" w14:textId="77777777" w:rsidR="00680CC4" w:rsidRPr="00747A93" w:rsidRDefault="00680CC4" w:rsidP="00680CC4">
            <w:pPr>
              <w:pStyle w:val="ListParagraph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00" w:lineRule="atLeast"/>
              <w:ind w:left="550" w:hanging="357"/>
              <w:jc w:val="left"/>
              <w:rPr>
                <w:rFonts w:ascii="Times New Roman" w:hAnsi="Times New Roman" w:cs="Times New Roman"/>
              </w:rPr>
            </w:pPr>
            <w:r w:rsidRPr="00747A9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Clearly separated pedestrian paths/sidewalks from vehicle streets</w:t>
            </w:r>
          </w:p>
        </w:tc>
      </w:tr>
    </w:tbl>
    <w:p w14:paraId="3C1756D8" w14:textId="77777777" w:rsidR="002E61EB" w:rsidRDefault="002E61EB" w:rsidP="002E61EB"/>
    <w:sectPr w:rsidR="002E61EB" w:rsidSect="00C54357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PO¸Rˇ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E5E1D"/>
    <w:multiLevelType w:val="hybridMultilevel"/>
    <w:tmpl w:val="997E029C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40E305C"/>
    <w:multiLevelType w:val="hybridMultilevel"/>
    <w:tmpl w:val="ECAACB5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CFB7A82"/>
    <w:multiLevelType w:val="hybridMultilevel"/>
    <w:tmpl w:val="E69EEC6C"/>
    <w:lvl w:ilvl="0" w:tplc="6CCE7F5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EF9723C"/>
    <w:multiLevelType w:val="hybridMultilevel"/>
    <w:tmpl w:val="5A6A2FB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20C6781A"/>
    <w:multiLevelType w:val="hybridMultilevel"/>
    <w:tmpl w:val="AD8A022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4B74CD1"/>
    <w:multiLevelType w:val="hybridMultilevel"/>
    <w:tmpl w:val="8A347B3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45767030"/>
    <w:multiLevelType w:val="hybridMultilevel"/>
    <w:tmpl w:val="4B0692B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4F87251C"/>
    <w:multiLevelType w:val="hybridMultilevel"/>
    <w:tmpl w:val="D8B6503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553F1ECD"/>
    <w:multiLevelType w:val="hybridMultilevel"/>
    <w:tmpl w:val="2382B3E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633C53D9"/>
    <w:multiLevelType w:val="hybridMultilevel"/>
    <w:tmpl w:val="C5222B7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6E101A33"/>
    <w:multiLevelType w:val="hybridMultilevel"/>
    <w:tmpl w:val="B12A084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6"/>
  </w:num>
  <w:num w:numId="5">
    <w:abstractNumId w:val="2"/>
  </w:num>
  <w:num w:numId="6">
    <w:abstractNumId w:val="5"/>
  </w:num>
  <w:num w:numId="7">
    <w:abstractNumId w:val="9"/>
  </w:num>
  <w:num w:numId="8">
    <w:abstractNumId w:val="10"/>
  </w:num>
  <w:num w:numId="9">
    <w:abstractNumId w:val="0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41AD"/>
    <w:rsid w:val="000E20A9"/>
    <w:rsid w:val="00114E02"/>
    <w:rsid w:val="00122754"/>
    <w:rsid w:val="002E61EB"/>
    <w:rsid w:val="003B4105"/>
    <w:rsid w:val="004B168F"/>
    <w:rsid w:val="00680CC4"/>
    <w:rsid w:val="006D41AD"/>
    <w:rsid w:val="0070652F"/>
    <w:rsid w:val="0070691E"/>
    <w:rsid w:val="007567A0"/>
    <w:rsid w:val="008D594C"/>
    <w:rsid w:val="00960B72"/>
    <w:rsid w:val="00AB4743"/>
    <w:rsid w:val="00AF6E60"/>
    <w:rsid w:val="00C54357"/>
    <w:rsid w:val="00DF16B2"/>
    <w:rsid w:val="00EA0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6DDE3A2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61E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61EB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2E61EB"/>
    <w:rPr>
      <w:rFonts w:ascii="Times New Roman" w:eastAsia="Times New Roman" w:hAnsi="Times New Roman" w:cs="Times New Roman"/>
      <w:sz w:val="20"/>
      <w:szCs w:val="20"/>
      <w:lang w:val="en-GB" w:eastAsia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2E61EB"/>
    <w:pPr>
      <w:ind w:left="284" w:firstLine="510"/>
      <w:jc w:val="center"/>
    </w:pPr>
    <w:rPr>
      <w:rFonts w:asciiTheme="majorHAnsi" w:eastAsiaTheme="minorHAnsi" w:hAnsiTheme="majorHAnsi"/>
      <w:b/>
      <w:bCs/>
      <w:color w:val="000000" w:themeColor="text1"/>
      <w:sz w:val="18"/>
      <w:szCs w:val="18"/>
      <w:lang w:val="en-GB"/>
    </w:rPr>
  </w:style>
  <w:style w:type="paragraph" w:customStyle="1" w:styleId="Tablecaption">
    <w:name w:val="Table caption"/>
    <w:basedOn w:val="Caption"/>
    <w:autoRedefine/>
    <w:qFormat/>
    <w:rsid w:val="002E61EB"/>
    <w:pPr>
      <w:ind w:left="0" w:firstLine="0"/>
      <w:jc w:val="left"/>
    </w:pPr>
    <w:rPr>
      <w:rFonts w:asciiTheme="minorHAnsi" w:eastAsia="Times New Roman" w:hAnsiTheme="minorHAnsi" w:cs="Times New Roman"/>
      <w:color w:val="auto"/>
      <w:sz w:val="20"/>
      <w:szCs w:val="20"/>
    </w:rPr>
  </w:style>
  <w:style w:type="paragraph" w:customStyle="1" w:styleId="TT">
    <w:name w:val="TT"/>
    <w:basedOn w:val="Normal"/>
    <w:rsid w:val="002E61EB"/>
    <w:pPr>
      <w:spacing w:before="120" w:after="120"/>
      <w:jc w:val="both"/>
    </w:pPr>
    <w:rPr>
      <w:rFonts w:ascii="Times New Roman" w:eastAsia="Times New Roman" w:hAnsi="Times New Roman" w:cs="Times New Roman"/>
      <w:color w:val="007474"/>
    </w:rPr>
  </w:style>
  <w:style w:type="paragraph" w:styleId="ListParagraph">
    <w:name w:val="List Paragraph"/>
    <w:basedOn w:val="Normal"/>
    <w:uiPriority w:val="34"/>
    <w:qFormat/>
    <w:rsid w:val="00680CC4"/>
    <w:pPr>
      <w:spacing w:after="200"/>
      <w:contextualSpacing/>
      <w:jc w:val="both"/>
    </w:pPr>
    <w:rPr>
      <w:rFonts w:asciiTheme="majorHAnsi" w:eastAsiaTheme="minorHAnsi" w:hAnsiTheme="majorHAnsi"/>
      <w:szCs w:val="22"/>
      <w:lang w:val="en-GB"/>
    </w:rPr>
  </w:style>
  <w:style w:type="paragraph" w:styleId="TOC1">
    <w:name w:val="toc 1"/>
    <w:basedOn w:val="Normal"/>
    <w:next w:val="Normal"/>
    <w:autoRedefine/>
    <w:uiPriority w:val="39"/>
    <w:unhideWhenUsed/>
    <w:rsid w:val="00680CC4"/>
    <w:pPr>
      <w:ind w:left="-104"/>
      <w:jc w:val="center"/>
    </w:pPr>
    <w:rPr>
      <w:rFonts w:asciiTheme="majorHAnsi" w:hAnsiTheme="majorHAnsi"/>
      <w:color w:val="000000" w:themeColor="text1"/>
      <w:sz w:val="20"/>
      <w:szCs w:val="20"/>
      <w:lang w:val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61E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61EB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2E61EB"/>
    <w:rPr>
      <w:rFonts w:ascii="Times New Roman" w:eastAsia="Times New Roman" w:hAnsi="Times New Roman" w:cs="Times New Roman"/>
      <w:sz w:val="20"/>
      <w:szCs w:val="20"/>
      <w:lang w:val="en-GB" w:eastAsia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2E61EB"/>
    <w:pPr>
      <w:ind w:left="284" w:firstLine="510"/>
      <w:jc w:val="center"/>
    </w:pPr>
    <w:rPr>
      <w:rFonts w:asciiTheme="majorHAnsi" w:eastAsiaTheme="minorHAnsi" w:hAnsiTheme="majorHAnsi"/>
      <w:b/>
      <w:bCs/>
      <w:color w:val="000000" w:themeColor="text1"/>
      <w:sz w:val="18"/>
      <w:szCs w:val="18"/>
      <w:lang w:val="en-GB"/>
    </w:rPr>
  </w:style>
  <w:style w:type="paragraph" w:customStyle="1" w:styleId="Tablecaption">
    <w:name w:val="Table caption"/>
    <w:basedOn w:val="Caption"/>
    <w:autoRedefine/>
    <w:qFormat/>
    <w:rsid w:val="002E61EB"/>
    <w:pPr>
      <w:ind w:left="0" w:firstLine="0"/>
      <w:jc w:val="left"/>
    </w:pPr>
    <w:rPr>
      <w:rFonts w:asciiTheme="minorHAnsi" w:eastAsia="Times New Roman" w:hAnsiTheme="minorHAnsi" w:cs="Times New Roman"/>
      <w:color w:val="auto"/>
      <w:sz w:val="20"/>
      <w:szCs w:val="20"/>
    </w:rPr>
  </w:style>
  <w:style w:type="paragraph" w:customStyle="1" w:styleId="TT">
    <w:name w:val="TT"/>
    <w:basedOn w:val="Normal"/>
    <w:rsid w:val="002E61EB"/>
    <w:pPr>
      <w:spacing w:before="120" w:after="120"/>
      <w:jc w:val="both"/>
    </w:pPr>
    <w:rPr>
      <w:rFonts w:ascii="Times New Roman" w:eastAsia="Times New Roman" w:hAnsi="Times New Roman" w:cs="Times New Roman"/>
      <w:color w:val="007474"/>
    </w:rPr>
  </w:style>
  <w:style w:type="paragraph" w:styleId="ListParagraph">
    <w:name w:val="List Paragraph"/>
    <w:basedOn w:val="Normal"/>
    <w:uiPriority w:val="34"/>
    <w:qFormat/>
    <w:rsid w:val="00680CC4"/>
    <w:pPr>
      <w:spacing w:after="200"/>
      <w:contextualSpacing/>
      <w:jc w:val="both"/>
    </w:pPr>
    <w:rPr>
      <w:rFonts w:asciiTheme="majorHAnsi" w:eastAsiaTheme="minorHAnsi" w:hAnsiTheme="majorHAnsi"/>
      <w:szCs w:val="22"/>
      <w:lang w:val="en-GB"/>
    </w:rPr>
  </w:style>
  <w:style w:type="paragraph" w:styleId="TOC1">
    <w:name w:val="toc 1"/>
    <w:basedOn w:val="Normal"/>
    <w:next w:val="Normal"/>
    <w:autoRedefine/>
    <w:uiPriority w:val="39"/>
    <w:unhideWhenUsed/>
    <w:rsid w:val="00680CC4"/>
    <w:pPr>
      <w:ind w:left="-104"/>
      <w:jc w:val="center"/>
    </w:pPr>
    <w:rPr>
      <w:rFonts w:asciiTheme="majorHAnsi" w:hAnsiTheme="majorHAnsi"/>
      <w:color w:val="000000" w:themeColor="text1"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5.png"/><Relationship Id="rId21" Type="http://schemas.openxmlformats.org/officeDocument/2006/relationships/image" Target="media/image16.emf"/><Relationship Id="rId22" Type="http://schemas.openxmlformats.org/officeDocument/2006/relationships/image" Target="media/image17.emf"/><Relationship Id="rId23" Type="http://schemas.openxmlformats.org/officeDocument/2006/relationships/image" Target="media/image18.png"/><Relationship Id="rId24" Type="http://schemas.openxmlformats.org/officeDocument/2006/relationships/image" Target="media/image19.emf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emf"/><Relationship Id="rId28" Type="http://schemas.openxmlformats.org/officeDocument/2006/relationships/image" Target="media/image23.emf"/><Relationship Id="rId29" Type="http://schemas.openxmlformats.org/officeDocument/2006/relationships/image" Target="media/image24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5.jpeg"/><Relationship Id="rId31" Type="http://schemas.openxmlformats.org/officeDocument/2006/relationships/image" Target="media/image26.emf"/><Relationship Id="rId32" Type="http://schemas.openxmlformats.org/officeDocument/2006/relationships/image" Target="media/image27.emf"/><Relationship Id="rId9" Type="http://schemas.openxmlformats.org/officeDocument/2006/relationships/image" Target="media/image4.png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24</Pages>
  <Words>8055</Words>
  <Characters>45914</Characters>
  <Application>Microsoft Macintosh Word</Application>
  <DocSecurity>0</DocSecurity>
  <Lines>382</Lines>
  <Paragraphs>107</Paragraphs>
  <ScaleCrop>false</ScaleCrop>
  <Company>University of Liverpool</Company>
  <LinksUpToDate>false</LinksUpToDate>
  <CharactersWithSpaces>53862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Fei Chen</dc:creator>
  <cp:keywords/>
  <dc:description/>
  <cp:lastModifiedBy>Fei Chen</cp:lastModifiedBy>
  <cp:revision>13</cp:revision>
  <dcterms:created xsi:type="dcterms:W3CDTF">2018-06-01T10:54:00Z</dcterms:created>
  <dcterms:modified xsi:type="dcterms:W3CDTF">2018-06-06T10:40:00Z</dcterms:modified>
</cp:coreProperties>
</file>