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74D" w:rsidRPr="003C0052" w:rsidRDefault="00F9574D" w:rsidP="00F9574D">
      <w:pPr>
        <w:rPr>
          <w:rFonts w:ascii="Times New Roman" w:hAnsi="Times New Roman" w:cs="Times New Roman"/>
        </w:rPr>
      </w:pPr>
      <w:r>
        <w:rPr>
          <w:rFonts w:ascii="Times New Roman" w:hAnsi="Times New Roman" w:cs="Times New Roman"/>
          <w:b/>
        </w:rPr>
        <w:t xml:space="preserve">PRE-PROOF VERSION OF: </w:t>
      </w:r>
      <w:r w:rsidRPr="003C0052">
        <w:rPr>
          <w:rFonts w:ascii="Times New Roman" w:hAnsi="Times New Roman" w:cs="Times New Roman"/>
        </w:rPr>
        <w:t>The Burgeoning Recognition and Accommodation of the Social Supply of Drugs in International Criminal Justice Systems: An Eleven-</w:t>
      </w:r>
      <w:r>
        <w:rPr>
          <w:rFonts w:ascii="Times New Roman" w:hAnsi="Times New Roman" w:cs="Times New Roman"/>
        </w:rPr>
        <w:t xml:space="preserve">Nation Comparative Overview, </w:t>
      </w:r>
      <w:r w:rsidRPr="00F9574D">
        <w:rPr>
          <w:rFonts w:ascii="Times New Roman" w:hAnsi="Times New Roman" w:cs="Times New Roman"/>
          <w:i/>
        </w:rPr>
        <w:t>International Journal of Drug Policy</w:t>
      </w:r>
      <w:r>
        <w:rPr>
          <w:rFonts w:ascii="Times New Roman" w:hAnsi="Times New Roman" w:cs="Times New Roman"/>
        </w:rPr>
        <w:t>, 58, 93-103.</w:t>
      </w:r>
      <w:bookmarkStart w:id="0" w:name="_GoBack"/>
      <w:bookmarkEnd w:id="0"/>
    </w:p>
    <w:p w:rsidR="00F9574D" w:rsidRDefault="00F9574D" w:rsidP="00016F57">
      <w:pPr>
        <w:rPr>
          <w:rFonts w:ascii="Times New Roman" w:hAnsi="Times New Roman" w:cs="Times New Roman"/>
          <w:b/>
        </w:rPr>
      </w:pPr>
    </w:p>
    <w:p w:rsidR="00F9574D" w:rsidRDefault="00F9574D" w:rsidP="00016F57">
      <w:pPr>
        <w:rPr>
          <w:rFonts w:ascii="Times New Roman" w:hAnsi="Times New Roman" w:cs="Times New Roman"/>
          <w:b/>
        </w:rPr>
      </w:pPr>
    </w:p>
    <w:p w:rsidR="00F9574D" w:rsidRDefault="00F9574D" w:rsidP="00016F57">
      <w:pPr>
        <w:rPr>
          <w:rFonts w:ascii="Times New Roman" w:hAnsi="Times New Roman" w:cs="Times New Roman"/>
          <w:b/>
        </w:rPr>
      </w:pPr>
    </w:p>
    <w:p w:rsidR="00F9574D" w:rsidRDefault="00F9574D" w:rsidP="00016F57">
      <w:pPr>
        <w:rPr>
          <w:rFonts w:ascii="Times New Roman" w:hAnsi="Times New Roman" w:cs="Times New Roman"/>
          <w:b/>
        </w:rPr>
      </w:pPr>
    </w:p>
    <w:p w:rsidR="00F9574D" w:rsidRDefault="00F9574D" w:rsidP="00016F57">
      <w:pPr>
        <w:rPr>
          <w:rFonts w:ascii="Times New Roman" w:hAnsi="Times New Roman" w:cs="Times New Roman"/>
          <w:b/>
        </w:rPr>
      </w:pPr>
    </w:p>
    <w:p w:rsidR="00016F57" w:rsidRPr="003C0052" w:rsidRDefault="00016F57" w:rsidP="00016F57">
      <w:pPr>
        <w:rPr>
          <w:rFonts w:ascii="Times New Roman" w:hAnsi="Times New Roman" w:cs="Times New Roman"/>
        </w:rPr>
      </w:pPr>
      <w:r w:rsidRPr="003C0052">
        <w:rPr>
          <w:rFonts w:ascii="Times New Roman" w:hAnsi="Times New Roman" w:cs="Times New Roman"/>
          <w:b/>
        </w:rPr>
        <w:t>Title</w:t>
      </w:r>
      <w:r w:rsidRPr="003C0052">
        <w:rPr>
          <w:rFonts w:ascii="Times New Roman" w:hAnsi="Times New Roman" w:cs="Times New Roman"/>
        </w:rPr>
        <w:t>: The Burgeoning Recognition and Accommodation of the Social Supply of Drugs in International Criminal Justice Systems: A</w:t>
      </w:r>
      <w:r w:rsidR="00A37570" w:rsidRPr="003C0052">
        <w:rPr>
          <w:rFonts w:ascii="Times New Roman" w:hAnsi="Times New Roman" w:cs="Times New Roman"/>
        </w:rPr>
        <w:t>n Eleven-</w:t>
      </w:r>
      <w:r w:rsidRPr="003C0052">
        <w:rPr>
          <w:rFonts w:ascii="Times New Roman" w:hAnsi="Times New Roman" w:cs="Times New Roman"/>
        </w:rPr>
        <w:t>Nation Comparative Overview.</w:t>
      </w:r>
    </w:p>
    <w:p w:rsidR="00016F57" w:rsidRPr="003C0052" w:rsidRDefault="00016F57" w:rsidP="00016F57">
      <w:pPr>
        <w:rPr>
          <w:rFonts w:ascii="Times New Roman" w:hAnsi="Times New Roman" w:cs="Times New Roman"/>
        </w:rPr>
      </w:pPr>
    </w:p>
    <w:p w:rsidR="00016F57" w:rsidRPr="003C0052" w:rsidRDefault="00016F57" w:rsidP="00016F57">
      <w:pPr>
        <w:rPr>
          <w:rFonts w:ascii="Times New Roman" w:hAnsi="Times New Roman" w:cs="Times New Roman"/>
        </w:rPr>
      </w:pPr>
      <w:r w:rsidRPr="003C0052">
        <w:rPr>
          <w:rFonts w:ascii="Times New Roman" w:hAnsi="Times New Roman" w:cs="Times New Roman"/>
          <w:b/>
        </w:rPr>
        <w:t>Authors</w:t>
      </w:r>
      <w:r w:rsidRPr="003C0052">
        <w:rPr>
          <w:rFonts w:ascii="Times New Roman" w:hAnsi="Times New Roman" w:cs="Times New Roman"/>
        </w:rPr>
        <w:t xml:space="preserve">: </w:t>
      </w:r>
    </w:p>
    <w:p w:rsidR="00016F57" w:rsidRPr="003C0052" w:rsidRDefault="00016F57" w:rsidP="00016F57">
      <w:pPr>
        <w:rPr>
          <w:rFonts w:ascii="Times New Roman" w:hAnsi="Times New Roman" w:cs="Times New Roman"/>
        </w:rPr>
      </w:pPr>
    </w:p>
    <w:p w:rsidR="00016F57" w:rsidRPr="003C0052" w:rsidRDefault="00016F57" w:rsidP="00016F57">
      <w:pPr>
        <w:rPr>
          <w:rFonts w:ascii="Times New Roman" w:hAnsi="Times New Roman" w:cs="Times New Roman"/>
          <w:vertAlign w:val="superscript"/>
        </w:rPr>
      </w:pPr>
      <w:r w:rsidRPr="003C0052">
        <w:rPr>
          <w:rFonts w:ascii="Times New Roman" w:hAnsi="Times New Roman" w:cs="Times New Roman"/>
        </w:rPr>
        <w:t>Ross Coomber (Corresponding Author</w:t>
      </w:r>
      <w:proofErr w:type="gramStart"/>
      <w:r w:rsidRPr="003C0052">
        <w:rPr>
          <w:rFonts w:ascii="Times New Roman" w:hAnsi="Times New Roman" w:cs="Times New Roman"/>
        </w:rPr>
        <w:t>)</w:t>
      </w:r>
      <w:r w:rsidRPr="003C0052">
        <w:rPr>
          <w:rFonts w:ascii="Times New Roman" w:hAnsi="Times New Roman" w:cs="Times New Roman"/>
          <w:vertAlign w:val="superscript"/>
        </w:rPr>
        <w:t>1</w:t>
      </w:r>
      <w:proofErr w:type="gramEnd"/>
    </w:p>
    <w:p w:rsidR="00016F57" w:rsidRPr="003C0052" w:rsidRDefault="00016F57" w:rsidP="00016F57">
      <w:pPr>
        <w:rPr>
          <w:rFonts w:ascii="Times New Roman" w:hAnsi="Times New Roman" w:cs="Times New Roman"/>
          <w:vertAlign w:val="superscript"/>
        </w:rPr>
      </w:pPr>
      <w:r w:rsidRPr="003C0052">
        <w:rPr>
          <w:rFonts w:ascii="Times New Roman" w:hAnsi="Times New Roman" w:cs="Times New Roman"/>
        </w:rPr>
        <w:t>Leah Moyle</w:t>
      </w:r>
      <w:r w:rsidRPr="003C0052">
        <w:rPr>
          <w:rFonts w:ascii="Times New Roman" w:hAnsi="Times New Roman" w:cs="Times New Roman"/>
          <w:vertAlign w:val="superscript"/>
        </w:rPr>
        <w:t>2</w:t>
      </w:r>
    </w:p>
    <w:p w:rsidR="00016F57" w:rsidRPr="003C0052" w:rsidRDefault="00016F57" w:rsidP="00016F57">
      <w:pPr>
        <w:rPr>
          <w:rFonts w:ascii="Times New Roman" w:hAnsi="Times New Roman" w:cs="Times New Roman"/>
          <w:vertAlign w:val="superscript"/>
        </w:rPr>
      </w:pPr>
      <w:proofErr w:type="spellStart"/>
      <w:r w:rsidRPr="003C0052">
        <w:rPr>
          <w:rFonts w:ascii="Times New Roman" w:hAnsi="Times New Roman" w:cs="Times New Roman"/>
        </w:rPr>
        <w:t>Vendula</w:t>
      </w:r>
      <w:proofErr w:type="spellEnd"/>
      <w:r w:rsidRPr="003C0052">
        <w:rPr>
          <w:rFonts w:ascii="Times New Roman" w:hAnsi="Times New Roman" w:cs="Times New Roman"/>
        </w:rPr>
        <w:t xml:space="preserve"> Belackova</w:t>
      </w:r>
      <w:r w:rsidRPr="003C0052">
        <w:rPr>
          <w:rFonts w:ascii="Times New Roman" w:hAnsi="Times New Roman" w:cs="Times New Roman"/>
          <w:vertAlign w:val="superscript"/>
        </w:rPr>
        <w:t>3</w:t>
      </w:r>
    </w:p>
    <w:p w:rsidR="00016F57" w:rsidRPr="003C0052" w:rsidRDefault="00016F57" w:rsidP="00016F57">
      <w:pPr>
        <w:rPr>
          <w:rFonts w:ascii="Times New Roman" w:hAnsi="Times New Roman" w:cs="Times New Roman"/>
          <w:vertAlign w:val="superscript"/>
        </w:rPr>
      </w:pPr>
      <w:r w:rsidRPr="003C0052">
        <w:rPr>
          <w:rFonts w:ascii="Times New Roman" w:hAnsi="Times New Roman" w:cs="Times New Roman"/>
        </w:rPr>
        <w:t>Tom Decorte</w:t>
      </w:r>
      <w:r w:rsidRPr="003C0052">
        <w:rPr>
          <w:rFonts w:ascii="Times New Roman" w:hAnsi="Times New Roman" w:cs="Times New Roman"/>
          <w:vertAlign w:val="superscript"/>
        </w:rPr>
        <w:t>4</w:t>
      </w:r>
    </w:p>
    <w:p w:rsidR="00016F57" w:rsidRPr="003C0052" w:rsidRDefault="00016F57" w:rsidP="00016F57">
      <w:pPr>
        <w:rPr>
          <w:rFonts w:ascii="Times New Roman" w:hAnsi="Times New Roman" w:cs="Times New Roman"/>
          <w:vertAlign w:val="superscript"/>
        </w:rPr>
      </w:pPr>
      <w:proofErr w:type="spellStart"/>
      <w:r w:rsidRPr="003C0052">
        <w:rPr>
          <w:rFonts w:ascii="Times New Roman" w:hAnsi="Times New Roman" w:cs="Times New Roman"/>
        </w:rPr>
        <w:t>Pekka</w:t>
      </w:r>
      <w:proofErr w:type="spellEnd"/>
      <w:r w:rsidRPr="003C0052">
        <w:rPr>
          <w:rFonts w:ascii="Times New Roman" w:hAnsi="Times New Roman" w:cs="Times New Roman"/>
        </w:rPr>
        <w:t xml:space="preserve"> Hakkarainen</w:t>
      </w:r>
      <w:r w:rsidRPr="003C0052">
        <w:rPr>
          <w:rFonts w:ascii="Times New Roman" w:hAnsi="Times New Roman" w:cs="Times New Roman"/>
          <w:vertAlign w:val="superscript"/>
        </w:rPr>
        <w:t>5</w:t>
      </w:r>
    </w:p>
    <w:p w:rsidR="00016F57" w:rsidRPr="003C0052" w:rsidRDefault="00016F57" w:rsidP="00016F57">
      <w:pPr>
        <w:rPr>
          <w:rFonts w:ascii="Times New Roman" w:hAnsi="Times New Roman" w:cs="Times New Roman"/>
          <w:vertAlign w:val="superscript"/>
        </w:rPr>
      </w:pPr>
      <w:r w:rsidRPr="003C0052">
        <w:rPr>
          <w:rFonts w:ascii="Times New Roman" w:hAnsi="Times New Roman" w:cs="Times New Roman"/>
        </w:rPr>
        <w:t>Andrew Hathaway</w:t>
      </w:r>
      <w:r w:rsidRPr="003C0052">
        <w:rPr>
          <w:rFonts w:ascii="Times New Roman" w:hAnsi="Times New Roman" w:cs="Times New Roman"/>
          <w:vertAlign w:val="superscript"/>
        </w:rPr>
        <w:t>6</w:t>
      </w:r>
    </w:p>
    <w:p w:rsidR="00016F57" w:rsidRPr="003C0052" w:rsidRDefault="00016F57" w:rsidP="00016F57">
      <w:pPr>
        <w:rPr>
          <w:rFonts w:ascii="Times New Roman" w:hAnsi="Times New Roman" w:cs="Times New Roman"/>
          <w:vertAlign w:val="superscript"/>
        </w:rPr>
      </w:pPr>
      <w:r w:rsidRPr="003C0052">
        <w:rPr>
          <w:rFonts w:ascii="Times New Roman" w:hAnsi="Times New Roman" w:cs="Times New Roman"/>
        </w:rPr>
        <w:t>Karen Joe Laidler</w:t>
      </w:r>
      <w:r w:rsidRPr="003C0052">
        <w:rPr>
          <w:rFonts w:ascii="Times New Roman" w:hAnsi="Times New Roman" w:cs="Times New Roman"/>
          <w:vertAlign w:val="superscript"/>
        </w:rPr>
        <w:t>7</w:t>
      </w:r>
    </w:p>
    <w:p w:rsidR="00016F57" w:rsidRPr="003C0052" w:rsidRDefault="00016F57" w:rsidP="00016F57">
      <w:pPr>
        <w:rPr>
          <w:rFonts w:ascii="Times New Roman" w:hAnsi="Times New Roman" w:cs="Times New Roman"/>
          <w:vertAlign w:val="superscript"/>
        </w:rPr>
      </w:pPr>
      <w:r w:rsidRPr="003C0052">
        <w:rPr>
          <w:rFonts w:ascii="Times New Roman" w:hAnsi="Times New Roman" w:cs="Times New Roman"/>
        </w:rPr>
        <w:t>Simon Lenton</w:t>
      </w:r>
      <w:r w:rsidRPr="003C0052">
        <w:rPr>
          <w:rFonts w:ascii="Times New Roman" w:hAnsi="Times New Roman" w:cs="Times New Roman"/>
          <w:vertAlign w:val="superscript"/>
        </w:rPr>
        <w:t>8</w:t>
      </w:r>
    </w:p>
    <w:p w:rsidR="00016F57" w:rsidRPr="003C0052" w:rsidRDefault="00016F57" w:rsidP="00016F57">
      <w:pPr>
        <w:rPr>
          <w:rFonts w:ascii="Times New Roman" w:hAnsi="Times New Roman" w:cs="Times New Roman"/>
          <w:vertAlign w:val="superscript"/>
        </w:rPr>
      </w:pPr>
      <w:proofErr w:type="spellStart"/>
      <w:r w:rsidRPr="003C0052">
        <w:rPr>
          <w:rFonts w:ascii="Times New Roman" w:hAnsi="Times New Roman" w:cs="Times New Roman"/>
        </w:rPr>
        <w:t>Sheigla</w:t>
      </w:r>
      <w:proofErr w:type="spellEnd"/>
      <w:r w:rsidRPr="003C0052">
        <w:rPr>
          <w:rFonts w:ascii="Times New Roman" w:hAnsi="Times New Roman" w:cs="Times New Roman"/>
        </w:rPr>
        <w:t xml:space="preserve"> Murphy</w:t>
      </w:r>
      <w:r w:rsidRPr="003C0052">
        <w:rPr>
          <w:rFonts w:ascii="Times New Roman" w:hAnsi="Times New Roman" w:cs="Times New Roman"/>
          <w:vertAlign w:val="superscript"/>
        </w:rPr>
        <w:t>9</w:t>
      </w:r>
    </w:p>
    <w:p w:rsidR="00016F57" w:rsidRPr="003C0052" w:rsidRDefault="00016F57" w:rsidP="00016F57">
      <w:pPr>
        <w:rPr>
          <w:rFonts w:ascii="Times New Roman" w:hAnsi="Times New Roman" w:cs="Times New Roman"/>
          <w:vertAlign w:val="superscript"/>
        </w:rPr>
      </w:pPr>
      <w:r w:rsidRPr="003C0052">
        <w:rPr>
          <w:rFonts w:ascii="Times New Roman" w:hAnsi="Times New Roman" w:cs="Times New Roman"/>
        </w:rPr>
        <w:t>John Scott</w:t>
      </w:r>
      <w:r w:rsidRPr="003C0052">
        <w:rPr>
          <w:rFonts w:ascii="Times New Roman" w:hAnsi="Times New Roman" w:cs="Times New Roman"/>
          <w:vertAlign w:val="superscript"/>
        </w:rPr>
        <w:t>10</w:t>
      </w:r>
    </w:p>
    <w:p w:rsidR="00016F57" w:rsidRPr="003C0052" w:rsidRDefault="00016F57" w:rsidP="00016F57">
      <w:pPr>
        <w:rPr>
          <w:rFonts w:ascii="Times New Roman" w:hAnsi="Times New Roman" w:cs="Times New Roman"/>
          <w:vertAlign w:val="superscript"/>
        </w:rPr>
      </w:pPr>
      <w:r w:rsidRPr="003C0052">
        <w:rPr>
          <w:rFonts w:ascii="Times New Roman" w:hAnsi="Times New Roman" w:cs="Times New Roman"/>
        </w:rPr>
        <w:t>Michaela Stefunkova</w:t>
      </w:r>
      <w:r w:rsidRPr="003C0052">
        <w:rPr>
          <w:rFonts w:ascii="Times New Roman" w:hAnsi="Times New Roman" w:cs="Times New Roman"/>
          <w:vertAlign w:val="superscript"/>
        </w:rPr>
        <w:t>11</w:t>
      </w:r>
    </w:p>
    <w:p w:rsidR="00016F57" w:rsidRPr="003C0052" w:rsidRDefault="00016F57" w:rsidP="00016F57">
      <w:pPr>
        <w:rPr>
          <w:rFonts w:ascii="Times New Roman" w:hAnsi="Times New Roman" w:cs="Times New Roman"/>
          <w:vertAlign w:val="superscript"/>
        </w:rPr>
      </w:pPr>
      <w:proofErr w:type="spellStart"/>
      <w:r w:rsidRPr="003C0052">
        <w:rPr>
          <w:rFonts w:ascii="Times New Roman" w:hAnsi="Times New Roman" w:cs="Times New Roman"/>
        </w:rPr>
        <w:t>Katinka</w:t>
      </w:r>
      <w:proofErr w:type="spellEnd"/>
      <w:r w:rsidRPr="003C0052">
        <w:rPr>
          <w:rFonts w:ascii="Times New Roman" w:hAnsi="Times New Roman" w:cs="Times New Roman"/>
        </w:rPr>
        <w:t xml:space="preserve"> van de Ven</w:t>
      </w:r>
      <w:r w:rsidRPr="003C0052">
        <w:rPr>
          <w:rFonts w:ascii="Times New Roman" w:hAnsi="Times New Roman" w:cs="Times New Roman"/>
          <w:vertAlign w:val="superscript"/>
        </w:rPr>
        <w:t>12</w:t>
      </w:r>
    </w:p>
    <w:p w:rsidR="00016F57" w:rsidRPr="003C0052" w:rsidRDefault="00016F57" w:rsidP="00016F57">
      <w:pPr>
        <w:rPr>
          <w:rFonts w:ascii="Times New Roman" w:hAnsi="Times New Roman" w:cs="Times New Roman"/>
        </w:rPr>
      </w:pPr>
      <w:r w:rsidRPr="003C0052">
        <w:rPr>
          <w:rFonts w:ascii="Times New Roman" w:hAnsi="Times New Roman" w:cs="Times New Roman"/>
        </w:rPr>
        <w:t>Marieke Vlaemynck</w:t>
      </w:r>
      <w:r w:rsidRPr="003C0052">
        <w:rPr>
          <w:rFonts w:ascii="Times New Roman" w:hAnsi="Times New Roman" w:cs="Times New Roman"/>
          <w:vertAlign w:val="superscript"/>
        </w:rPr>
        <w:t>4</w:t>
      </w:r>
      <w:r w:rsidRPr="003C0052">
        <w:rPr>
          <w:rFonts w:ascii="Times New Roman" w:hAnsi="Times New Roman" w:cs="Times New Roman"/>
        </w:rPr>
        <w:t xml:space="preserve"> </w:t>
      </w:r>
    </w:p>
    <w:p w:rsidR="00016F57" w:rsidRPr="003C0052" w:rsidRDefault="00016F57" w:rsidP="00016F57">
      <w:pPr>
        <w:rPr>
          <w:rFonts w:ascii="Times New Roman" w:hAnsi="Times New Roman" w:cs="Times New Roman"/>
          <w:vertAlign w:val="superscript"/>
        </w:rPr>
      </w:pPr>
      <w:r w:rsidRPr="003C0052">
        <w:rPr>
          <w:rFonts w:ascii="Times New Roman" w:hAnsi="Times New Roman" w:cs="Times New Roman"/>
        </w:rPr>
        <w:t>Bernd Werse</w:t>
      </w:r>
      <w:r w:rsidRPr="003C0052">
        <w:rPr>
          <w:rFonts w:ascii="Times New Roman" w:hAnsi="Times New Roman" w:cs="Times New Roman"/>
          <w:vertAlign w:val="superscript"/>
        </w:rPr>
        <w:t>13</w:t>
      </w:r>
    </w:p>
    <w:p w:rsidR="00016F57" w:rsidRPr="003C0052" w:rsidRDefault="00016F57" w:rsidP="00016F57">
      <w:pPr>
        <w:rPr>
          <w:rFonts w:ascii="Times New Roman" w:hAnsi="Times New Roman" w:cs="Times New Roman"/>
        </w:rPr>
      </w:pPr>
    </w:p>
    <w:p w:rsidR="00016F57" w:rsidRPr="003C0052" w:rsidRDefault="00016F57" w:rsidP="00016F57">
      <w:pPr>
        <w:rPr>
          <w:rFonts w:ascii="Times New Roman" w:hAnsi="Times New Roman" w:cs="Times New Roman"/>
        </w:rPr>
      </w:pPr>
      <w:proofErr w:type="gramStart"/>
      <w:r w:rsidRPr="003C0052">
        <w:rPr>
          <w:rFonts w:ascii="Times New Roman" w:hAnsi="Times New Roman" w:cs="Times New Roman"/>
          <w:vertAlign w:val="superscript"/>
        </w:rPr>
        <w:t>1</w:t>
      </w:r>
      <w:r w:rsidRPr="003C0052">
        <w:rPr>
          <w:rFonts w:ascii="Times New Roman" w:hAnsi="Times New Roman" w:cs="Times New Roman"/>
        </w:rPr>
        <w:t>Department of Sociology, Social Policy and Criminology, University of Liverpool, Eleanor Rathbone Building, Bedford Street South, L69 7ZA, United Kingdom.</w:t>
      </w:r>
      <w:proofErr w:type="gramEnd"/>
      <w:r w:rsidRPr="003C0052">
        <w:rPr>
          <w:rFonts w:ascii="Times New Roman" w:hAnsi="Times New Roman" w:cs="Times New Roman"/>
        </w:rPr>
        <w:t xml:space="preserve"> </w:t>
      </w:r>
      <w:hyperlink r:id="rId9" w:history="1">
        <w:r w:rsidRPr="003C0052">
          <w:rPr>
            <w:rStyle w:val="Hyperlink"/>
            <w:rFonts w:ascii="Times New Roman" w:hAnsi="Times New Roman" w:cs="Times New Roman"/>
          </w:rPr>
          <w:t>ross.coomber@liverpool.ac.uk</w:t>
        </w:r>
      </w:hyperlink>
    </w:p>
    <w:p w:rsidR="00016F57" w:rsidRPr="003C0052" w:rsidRDefault="00016F57" w:rsidP="00016F57">
      <w:pPr>
        <w:rPr>
          <w:rFonts w:ascii="Times New Roman" w:hAnsi="Times New Roman" w:cs="Times New Roman"/>
        </w:rPr>
      </w:pPr>
    </w:p>
    <w:p w:rsidR="00016F57" w:rsidRPr="003C0052" w:rsidRDefault="00016F57" w:rsidP="00016F57">
      <w:pPr>
        <w:rPr>
          <w:rFonts w:ascii="Times New Roman" w:hAnsi="Times New Roman" w:cs="Times New Roman"/>
        </w:rPr>
      </w:pPr>
      <w:r w:rsidRPr="003C0052">
        <w:rPr>
          <w:rFonts w:ascii="Times New Roman" w:hAnsi="Times New Roman" w:cs="Times New Roman"/>
          <w:vertAlign w:val="superscript"/>
        </w:rPr>
        <w:t>2</w:t>
      </w:r>
      <w:r w:rsidRPr="003C0052">
        <w:rPr>
          <w:rFonts w:ascii="Times New Roman" w:hAnsi="Times New Roman" w:cs="Times New Roman"/>
        </w:rPr>
        <w:t>Griffith Criminology Institute, Griffith University, Gold Coast campus</w:t>
      </w:r>
    </w:p>
    <w:p w:rsidR="00016F57" w:rsidRPr="003C0052" w:rsidRDefault="00016F57" w:rsidP="00016F57">
      <w:pPr>
        <w:rPr>
          <w:rFonts w:ascii="Times New Roman" w:hAnsi="Times New Roman" w:cs="Times New Roman"/>
        </w:rPr>
      </w:pPr>
      <w:r w:rsidRPr="003C0052">
        <w:rPr>
          <w:rFonts w:ascii="Times New Roman" w:hAnsi="Times New Roman" w:cs="Times New Roman"/>
        </w:rPr>
        <w:t xml:space="preserve">G06_2.08, Queensland 4222, Australia, </w:t>
      </w:r>
      <w:hyperlink r:id="rId10" w:history="1">
        <w:r w:rsidRPr="003C0052">
          <w:rPr>
            <w:rStyle w:val="Hyperlink"/>
            <w:rFonts w:ascii="Times New Roman" w:hAnsi="Times New Roman" w:cs="Times New Roman"/>
          </w:rPr>
          <w:t>l.moyle@griffith.edu.au</w:t>
        </w:r>
      </w:hyperlink>
    </w:p>
    <w:p w:rsidR="00016F57" w:rsidRPr="003C0052" w:rsidRDefault="00016F57" w:rsidP="00016F57">
      <w:pPr>
        <w:rPr>
          <w:rFonts w:ascii="Times New Roman" w:hAnsi="Times New Roman" w:cs="Times New Roman"/>
        </w:rPr>
      </w:pPr>
    </w:p>
    <w:p w:rsidR="00016F57" w:rsidRPr="003C0052" w:rsidRDefault="00E60AF8" w:rsidP="00016F57">
      <w:pPr>
        <w:rPr>
          <w:rFonts w:ascii="Times New Roman" w:hAnsi="Times New Roman" w:cs="Times New Roman"/>
        </w:rPr>
      </w:pPr>
      <w:proofErr w:type="gramStart"/>
      <w:r w:rsidRPr="003C0052">
        <w:rPr>
          <w:rFonts w:ascii="Times New Roman" w:hAnsi="Times New Roman" w:cs="Times New Roman"/>
        </w:rPr>
        <w:t>Department of Institutional Economics, Faculty of Economics and Public Administration, University of Economics, Prague, Czech Republic.</w:t>
      </w:r>
      <w:proofErr w:type="gramEnd"/>
      <w:r w:rsidRPr="003C0052">
        <w:rPr>
          <w:vertAlign w:val="superscript"/>
        </w:rPr>
        <w:t xml:space="preserve"> </w:t>
      </w:r>
      <w:hyperlink r:id="rId11" w:history="1">
        <w:r w:rsidR="00016F57" w:rsidRPr="003C0052">
          <w:rPr>
            <w:rStyle w:val="Hyperlink"/>
            <w:rFonts w:ascii="Times New Roman" w:hAnsi="Times New Roman" w:cs="Times New Roman"/>
          </w:rPr>
          <w:t>vendulabelackova@gmail.com</w:t>
        </w:r>
      </w:hyperlink>
    </w:p>
    <w:p w:rsidR="00016F57" w:rsidRPr="003C0052" w:rsidRDefault="00016F57" w:rsidP="00016F57">
      <w:pPr>
        <w:rPr>
          <w:rFonts w:ascii="Times New Roman" w:hAnsi="Times New Roman" w:cs="Times New Roman"/>
        </w:rPr>
      </w:pPr>
    </w:p>
    <w:p w:rsidR="00016F57" w:rsidRPr="003C0052" w:rsidRDefault="00016F57" w:rsidP="00016F57">
      <w:pPr>
        <w:rPr>
          <w:rFonts w:ascii="Times New Roman" w:hAnsi="Times New Roman" w:cs="Times New Roman"/>
        </w:rPr>
      </w:pPr>
      <w:proofErr w:type="gramStart"/>
      <w:r w:rsidRPr="003C0052">
        <w:rPr>
          <w:rFonts w:ascii="Times New Roman" w:hAnsi="Times New Roman" w:cs="Times New Roman"/>
          <w:vertAlign w:val="superscript"/>
        </w:rPr>
        <w:t>4</w:t>
      </w:r>
      <w:r w:rsidRPr="003C0052">
        <w:rPr>
          <w:rFonts w:ascii="Times New Roman" w:hAnsi="Times New Roman" w:cs="Times New Roman"/>
        </w:rPr>
        <w:t xml:space="preserve">Institute for Social Drug research (ISD), Ghent University, </w:t>
      </w:r>
      <w:proofErr w:type="spellStart"/>
      <w:r w:rsidRPr="003C0052">
        <w:rPr>
          <w:rFonts w:ascii="Times New Roman" w:hAnsi="Times New Roman" w:cs="Times New Roman"/>
        </w:rPr>
        <w:t>Universiteitstraat</w:t>
      </w:r>
      <w:proofErr w:type="spellEnd"/>
      <w:r w:rsidRPr="003C0052">
        <w:rPr>
          <w:rFonts w:ascii="Times New Roman" w:hAnsi="Times New Roman" w:cs="Times New Roman"/>
        </w:rPr>
        <w:t xml:space="preserve"> 4, 9000 Ghent, Belgium.</w:t>
      </w:r>
      <w:proofErr w:type="gramEnd"/>
      <w:r w:rsidRPr="003C0052">
        <w:rPr>
          <w:rFonts w:ascii="Times New Roman" w:hAnsi="Times New Roman" w:cs="Times New Roman"/>
        </w:rPr>
        <w:t xml:space="preserve"> </w:t>
      </w:r>
      <w:hyperlink r:id="rId12" w:history="1">
        <w:r w:rsidRPr="003C0052">
          <w:rPr>
            <w:rStyle w:val="Hyperlink"/>
            <w:rFonts w:ascii="Times New Roman" w:hAnsi="Times New Roman" w:cs="Times New Roman"/>
          </w:rPr>
          <w:t>Tom.Decorte@ugent.be</w:t>
        </w:r>
      </w:hyperlink>
      <w:r w:rsidRPr="003C0052">
        <w:rPr>
          <w:rFonts w:ascii="Times New Roman" w:hAnsi="Times New Roman" w:cs="Times New Roman"/>
        </w:rPr>
        <w:t xml:space="preserve"> and </w:t>
      </w:r>
      <w:hyperlink r:id="rId13" w:history="1">
        <w:r w:rsidRPr="003C0052">
          <w:rPr>
            <w:rStyle w:val="Hyperlink"/>
            <w:rFonts w:ascii="Times New Roman" w:hAnsi="Times New Roman" w:cs="Times New Roman"/>
          </w:rPr>
          <w:t>Marieke.Vlaemynck@ugent.be</w:t>
        </w:r>
      </w:hyperlink>
    </w:p>
    <w:p w:rsidR="00016F57" w:rsidRPr="003C0052" w:rsidRDefault="00016F57" w:rsidP="00016F57">
      <w:pPr>
        <w:rPr>
          <w:rFonts w:ascii="Times New Roman" w:hAnsi="Times New Roman" w:cs="Times New Roman"/>
        </w:rPr>
      </w:pPr>
    </w:p>
    <w:p w:rsidR="00016F57" w:rsidRPr="003C0052" w:rsidRDefault="00016F57" w:rsidP="00016F57">
      <w:pPr>
        <w:rPr>
          <w:rFonts w:ascii="Times New Roman" w:hAnsi="Times New Roman" w:cs="Times New Roman"/>
        </w:rPr>
      </w:pPr>
      <w:r w:rsidRPr="003C0052">
        <w:rPr>
          <w:rFonts w:ascii="Times New Roman" w:hAnsi="Times New Roman" w:cs="Times New Roman"/>
          <w:vertAlign w:val="superscript"/>
        </w:rPr>
        <w:t>5</w:t>
      </w:r>
      <w:r w:rsidRPr="003C0052">
        <w:rPr>
          <w:rFonts w:ascii="Times New Roman" w:hAnsi="Times New Roman" w:cs="Times New Roman"/>
        </w:rPr>
        <w:t xml:space="preserve">Alcohol, Drug and Addictions Unit, National Institute for Health and Welfare, PO Box 30, FI-00271 Helsinki, Finland. </w:t>
      </w:r>
      <w:hyperlink r:id="rId14" w:history="1">
        <w:r w:rsidRPr="003C0052">
          <w:rPr>
            <w:rStyle w:val="Hyperlink"/>
            <w:rFonts w:ascii="Times New Roman" w:hAnsi="Times New Roman" w:cs="Times New Roman"/>
          </w:rPr>
          <w:t>pekka.hakkarainen@thl.fi</w:t>
        </w:r>
      </w:hyperlink>
    </w:p>
    <w:p w:rsidR="00016F57" w:rsidRPr="003C0052" w:rsidRDefault="00016F57" w:rsidP="00016F57">
      <w:pPr>
        <w:rPr>
          <w:rFonts w:ascii="Times New Roman" w:hAnsi="Times New Roman" w:cs="Times New Roman"/>
        </w:rPr>
      </w:pPr>
    </w:p>
    <w:p w:rsidR="00016F57" w:rsidRPr="003C0052" w:rsidRDefault="00016F57" w:rsidP="00016F57">
      <w:pPr>
        <w:rPr>
          <w:rFonts w:ascii="Times New Roman" w:hAnsi="Times New Roman" w:cs="Times New Roman"/>
        </w:rPr>
      </w:pPr>
      <w:proofErr w:type="gramStart"/>
      <w:r w:rsidRPr="003C0052">
        <w:rPr>
          <w:rFonts w:ascii="Times New Roman" w:hAnsi="Times New Roman" w:cs="Times New Roman"/>
          <w:vertAlign w:val="superscript"/>
        </w:rPr>
        <w:t>6</w:t>
      </w:r>
      <w:r w:rsidRPr="003C0052">
        <w:rPr>
          <w:rFonts w:ascii="Times New Roman" w:hAnsi="Times New Roman" w:cs="Times New Roman"/>
        </w:rPr>
        <w:t>Department of Sociology and Anthropology, University of Guelph, Guelph, Ontario, N1G 2W1, Canada.</w:t>
      </w:r>
      <w:proofErr w:type="gramEnd"/>
      <w:r w:rsidRPr="003C0052">
        <w:rPr>
          <w:rFonts w:ascii="Times New Roman" w:hAnsi="Times New Roman" w:cs="Times New Roman"/>
        </w:rPr>
        <w:t xml:space="preserve"> </w:t>
      </w:r>
      <w:hyperlink r:id="rId15" w:history="1">
        <w:r w:rsidRPr="003C0052">
          <w:rPr>
            <w:rStyle w:val="Hyperlink"/>
            <w:rFonts w:ascii="Times New Roman" w:hAnsi="Times New Roman" w:cs="Times New Roman"/>
          </w:rPr>
          <w:t>hathawaa@uoguelph.ca</w:t>
        </w:r>
      </w:hyperlink>
    </w:p>
    <w:p w:rsidR="00016F57" w:rsidRPr="003C0052" w:rsidRDefault="00016F57" w:rsidP="00016F57">
      <w:pPr>
        <w:rPr>
          <w:rFonts w:ascii="Times New Roman" w:hAnsi="Times New Roman" w:cs="Times New Roman"/>
        </w:rPr>
      </w:pPr>
    </w:p>
    <w:p w:rsidR="00016F57" w:rsidRPr="003C0052" w:rsidRDefault="00016F57" w:rsidP="00016F57">
      <w:pPr>
        <w:rPr>
          <w:rFonts w:ascii="Times New Roman" w:hAnsi="Times New Roman" w:cs="Times New Roman"/>
        </w:rPr>
      </w:pPr>
      <w:r w:rsidRPr="003C0052">
        <w:rPr>
          <w:rFonts w:ascii="Times New Roman" w:hAnsi="Times New Roman" w:cs="Times New Roman"/>
          <w:vertAlign w:val="superscript"/>
        </w:rPr>
        <w:lastRenderedPageBreak/>
        <w:t>7</w:t>
      </w:r>
      <w:r w:rsidRPr="003C0052">
        <w:rPr>
          <w:rFonts w:ascii="Times New Roman" w:hAnsi="Times New Roman" w:cs="Times New Roman"/>
        </w:rPr>
        <w:t xml:space="preserve">Department of Sociology, University of Hong Kong, The Jockey Club Tower, Centennial Campus, </w:t>
      </w:r>
      <w:proofErr w:type="spellStart"/>
      <w:r w:rsidRPr="003C0052">
        <w:rPr>
          <w:rFonts w:ascii="Times New Roman" w:hAnsi="Times New Roman" w:cs="Times New Roman"/>
        </w:rPr>
        <w:t>Pokfulam</w:t>
      </w:r>
      <w:proofErr w:type="spellEnd"/>
      <w:r w:rsidRPr="003C0052">
        <w:rPr>
          <w:rFonts w:ascii="Times New Roman" w:hAnsi="Times New Roman" w:cs="Times New Roman"/>
        </w:rPr>
        <w:t xml:space="preserve"> Road, SAR, Hong Kong. </w:t>
      </w:r>
      <w:hyperlink r:id="rId16" w:history="1">
        <w:r w:rsidRPr="003C0052">
          <w:rPr>
            <w:rStyle w:val="Hyperlink"/>
            <w:rFonts w:ascii="Times New Roman" w:hAnsi="Times New Roman" w:cs="Times New Roman"/>
          </w:rPr>
          <w:t>kjoe@hku.hk</w:t>
        </w:r>
      </w:hyperlink>
    </w:p>
    <w:p w:rsidR="00016F57" w:rsidRPr="003C0052" w:rsidRDefault="00016F57" w:rsidP="00016F57">
      <w:pPr>
        <w:rPr>
          <w:rFonts w:ascii="Times New Roman" w:hAnsi="Times New Roman" w:cs="Times New Roman"/>
        </w:rPr>
      </w:pPr>
    </w:p>
    <w:p w:rsidR="00016F57" w:rsidRPr="003C0052" w:rsidRDefault="00016F57" w:rsidP="00016F57">
      <w:pPr>
        <w:rPr>
          <w:rFonts w:ascii="Times New Roman" w:hAnsi="Times New Roman" w:cs="Times New Roman"/>
        </w:rPr>
      </w:pPr>
      <w:proofErr w:type="gramStart"/>
      <w:r w:rsidRPr="003C0052">
        <w:rPr>
          <w:rFonts w:ascii="Times New Roman" w:hAnsi="Times New Roman" w:cs="Times New Roman"/>
          <w:vertAlign w:val="superscript"/>
        </w:rPr>
        <w:t>8</w:t>
      </w:r>
      <w:r w:rsidRPr="003C0052">
        <w:rPr>
          <w:rFonts w:ascii="Times New Roman" w:hAnsi="Times New Roman" w:cs="Times New Roman"/>
        </w:rPr>
        <w:t>National Drug Research Institute, Curtin University, Building 609, Level 2, 7 Parker Place Technology Park, Bentley WA 6102, Australia.</w:t>
      </w:r>
      <w:proofErr w:type="gramEnd"/>
      <w:r w:rsidRPr="003C0052">
        <w:rPr>
          <w:rFonts w:ascii="Times New Roman" w:hAnsi="Times New Roman" w:cs="Times New Roman"/>
        </w:rPr>
        <w:t xml:space="preserve"> </w:t>
      </w:r>
      <w:hyperlink r:id="rId17" w:history="1">
        <w:r w:rsidRPr="003C0052">
          <w:rPr>
            <w:rStyle w:val="Hyperlink"/>
            <w:rFonts w:ascii="Times New Roman" w:hAnsi="Times New Roman" w:cs="Times New Roman"/>
          </w:rPr>
          <w:t>s.lenton@curtin.edu.au</w:t>
        </w:r>
      </w:hyperlink>
    </w:p>
    <w:p w:rsidR="00016F57" w:rsidRPr="003C0052" w:rsidRDefault="00016F57" w:rsidP="00016F57">
      <w:pPr>
        <w:rPr>
          <w:rFonts w:ascii="Times New Roman" w:hAnsi="Times New Roman" w:cs="Times New Roman"/>
        </w:rPr>
      </w:pPr>
    </w:p>
    <w:p w:rsidR="00016F57" w:rsidRPr="003C0052" w:rsidRDefault="00016F57" w:rsidP="00016F57">
      <w:pPr>
        <w:rPr>
          <w:rFonts w:ascii="Times New Roman" w:hAnsi="Times New Roman" w:cs="Times New Roman"/>
        </w:rPr>
      </w:pPr>
      <w:r w:rsidRPr="003C0052">
        <w:rPr>
          <w:rFonts w:ascii="Times New Roman" w:hAnsi="Times New Roman" w:cs="Times New Roman"/>
          <w:vertAlign w:val="superscript"/>
        </w:rPr>
        <w:t>9</w:t>
      </w:r>
      <w:r w:rsidRPr="003C0052">
        <w:rPr>
          <w:rFonts w:ascii="Times New Roman" w:hAnsi="Times New Roman" w:cs="Times New Roman"/>
        </w:rPr>
        <w:t xml:space="preserve">Center for Substance Abuse Studies, Institute for Scientific Analysis, 390 4th Street, Second Floor, San Francisco, California 94107, USA. </w:t>
      </w:r>
      <w:hyperlink r:id="rId18" w:history="1">
        <w:r w:rsidRPr="003C0052">
          <w:rPr>
            <w:rStyle w:val="Hyperlink"/>
            <w:rFonts w:ascii="Times New Roman" w:hAnsi="Times New Roman" w:cs="Times New Roman"/>
          </w:rPr>
          <w:t>sheigla@aol.com</w:t>
        </w:r>
      </w:hyperlink>
    </w:p>
    <w:p w:rsidR="00016F57" w:rsidRPr="003C0052" w:rsidRDefault="00016F57" w:rsidP="00016F57">
      <w:pPr>
        <w:rPr>
          <w:rFonts w:ascii="Times New Roman" w:hAnsi="Times New Roman" w:cs="Times New Roman"/>
        </w:rPr>
      </w:pPr>
    </w:p>
    <w:p w:rsidR="00016F57" w:rsidRPr="003C0052" w:rsidRDefault="00016F57" w:rsidP="00016F57">
      <w:pPr>
        <w:rPr>
          <w:rFonts w:ascii="Times New Roman" w:hAnsi="Times New Roman" w:cs="Times New Roman"/>
        </w:rPr>
      </w:pPr>
      <w:r w:rsidRPr="003C0052">
        <w:rPr>
          <w:rFonts w:ascii="Times New Roman" w:hAnsi="Times New Roman" w:cs="Times New Roman"/>
          <w:vertAlign w:val="superscript"/>
        </w:rPr>
        <w:t>10</w:t>
      </w:r>
      <w:r w:rsidRPr="003C0052">
        <w:rPr>
          <w:rFonts w:ascii="Times New Roman" w:hAnsi="Times New Roman" w:cs="Times New Roman"/>
        </w:rPr>
        <w:t xml:space="preserve">School of Justice, Faculty of Law, Queensland University of Technology, Level 4, C Block, Gardens Point, 2 George St, Brisbane QLD 4000, Australia. </w:t>
      </w:r>
      <w:hyperlink r:id="rId19" w:history="1">
        <w:r w:rsidRPr="003C0052">
          <w:rPr>
            <w:rStyle w:val="Hyperlink"/>
            <w:rFonts w:ascii="Times New Roman" w:hAnsi="Times New Roman" w:cs="Times New Roman"/>
          </w:rPr>
          <w:t>j31.scott@qut.edu.au</w:t>
        </w:r>
      </w:hyperlink>
    </w:p>
    <w:p w:rsidR="00016F57" w:rsidRPr="003C0052" w:rsidRDefault="00016F57" w:rsidP="00016F57">
      <w:pPr>
        <w:rPr>
          <w:rFonts w:ascii="Times New Roman" w:hAnsi="Times New Roman" w:cs="Times New Roman"/>
        </w:rPr>
      </w:pPr>
    </w:p>
    <w:p w:rsidR="00016F57" w:rsidRPr="003C0052" w:rsidRDefault="00AE6627" w:rsidP="00016F57">
      <w:pPr>
        <w:rPr>
          <w:rFonts w:ascii="Times New Roman" w:hAnsi="Times New Roman" w:cs="Times New Roman"/>
        </w:rPr>
      </w:pPr>
      <w:proofErr w:type="gramStart"/>
      <w:r w:rsidRPr="003C0052">
        <w:rPr>
          <w:rFonts w:ascii="Times New Roman" w:hAnsi="Times New Roman" w:cs="Times New Roman"/>
          <w:vertAlign w:val="superscript"/>
        </w:rPr>
        <w:t>11</w:t>
      </w:r>
      <w:r w:rsidR="00016F57" w:rsidRPr="003C0052">
        <w:rPr>
          <w:rFonts w:ascii="Times New Roman" w:hAnsi="Times New Roman" w:cs="Times New Roman"/>
        </w:rPr>
        <w:t xml:space="preserve">Institute of Criminology and Social Prevention, </w:t>
      </w:r>
      <w:proofErr w:type="spellStart"/>
      <w:r w:rsidR="00016F57" w:rsidRPr="003C0052">
        <w:rPr>
          <w:rFonts w:ascii="Times New Roman" w:hAnsi="Times New Roman" w:cs="Times New Roman"/>
        </w:rPr>
        <w:t>Namesti</w:t>
      </w:r>
      <w:proofErr w:type="spellEnd"/>
      <w:r w:rsidR="00016F57" w:rsidRPr="003C0052">
        <w:rPr>
          <w:rFonts w:ascii="Times New Roman" w:hAnsi="Times New Roman" w:cs="Times New Roman"/>
        </w:rPr>
        <w:t xml:space="preserve"> 14.</w:t>
      </w:r>
      <w:proofErr w:type="gramEnd"/>
      <w:r w:rsidR="00016F57" w:rsidRPr="003C0052">
        <w:rPr>
          <w:rFonts w:ascii="Times New Roman" w:hAnsi="Times New Roman" w:cs="Times New Roman"/>
        </w:rPr>
        <w:t xml:space="preserve"> </w:t>
      </w:r>
      <w:proofErr w:type="spellStart"/>
      <w:proofErr w:type="gramStart"/>
      <w:r w:rsidR="00016F57" w:rsidRPr="003C0052">
        <w:rPr>
          <w:rFonts w:ascii="Times New Roman" w:hAnsi="Times New Roman" w:cs="Times New Roman"/>
        </w:rPr>
        <w:t>rijna</w:t>
      </w:r>
      <w:proofErr w:type="spellEnd"/>
      <w:proofErr w:type="gramEnd"/>
      <w:r w:rsidR="00016F57" w:rsidRPr="003C0052">
        <w:rPr>
          <w:rFonts w:ascii="Times New Roman" w:hAnsi="Times New Roman" w:cs="Times New Roman"/>
        </w:rPr>
        <w:t xml:space="preserve"> 12, 150 00 Prague 5, Czech Republic. </w:t>
      </w:r>
      <w:hyperlink r:id="rId20" w:history="1">
        <w:r w:rsidR="00016F57" w:rsidRPr="003C0052">
          <w:rPr>
            <w:rStyle w:val="Hyperlink"/>
            <w:rFonts w:ascii="Times New Roman" w:hAnsi="Times New Roman" w:cs="Times New Roman"/>
          </w:rPr>
          <w:t>m.stefunkova@gmail.com</w:t>
        </w:r>
      </w:hyperlink>
    </w:p>
    <w:p w:rsidR="00016F57" w:rsidRPr="003C0052" w:rsidRDefault="00016F57" w:rsidP="00016F57">
      <w:pPr>
        <w:rPr>
          <w:rFonts w:ascii="Times New Roman" w:hAnsi="Times New Roman" w:cs="Times New Roman"/>
        </w:rPr>
      </w:pPr>
    </w:p>
    <w:p w:rsidR="00016F57" w:rsidRPr="003C0052" w:rsidRDefault="00016F57" w:rsidP="00016F57">
      <w:pPr>
        <w:rPr>
          <w:rFonts w:ascii="Times New Roman" w:hAnsi="Times New Roman" w:cs="Times New Roman"/>
        </w:rPr>
      </w:pPr>
      <w:r w:rsidRPr="003C0052">
        <w:rPr>
          <w:rFonts w:ascii="Times New Roman" w:hAnsi="Times New Roman" w:cs="Times New Roman"/>
          <w:vertAlign w:val="superscript"/>
        </w:rPr>
        <w:t>12</w:t>
      </w:r>
      <w:r w:rsidRPr="003C0052">
        <w:rPr>
          <w:rFonts w:ascii="Times New Roman" w:hAnsi="Times New Roman" w:cs="Times New Roman"/>
        </w:rPr>
        <w:t xml:space="preserve">National Drug and Alcohol Research Centre (NDARC), University of New South Wales, Sydney NSW 2052, Australia </w:t>
      </w:r>
      <w:hyperlink r:id="rId21" w:history="1">
        <w:r w:rsidRPr="003C0052">
          <w:rPr>
            <w:rStyle w:val="Hyperlink"/>
            <w:rFonts w:ascii="Times New Roman" w:hAnsi="Times New Roman" w:cs="Times New Roman"/>
          </w:rPr>
          <w:t>k.vandeven@unsw.edu.au</w:t>
        </w:r>
      </w:hyperlink>
    </w:p>
    <w:p w:rsidR="00016F57" w:rsidRPr="003C0052" w:rsidRDefault="00016F57" w:rsidP="00016F57">
      <w:pPr>
        <w:rPr>
          <w:rFonts w:ascii="Times New Roman" w:hAnsi="Times New Roman" w:cs="Times New Roman"/>
        </w:rPr>
      </w:pPr>
    </w:p>
    <w:p w:rsidR="00016F57" w:rsidRPr="003C0052" w:rsidRDefault="00016F57" w:rsidP="00016F57">
      <w:pPr>
        <w:rPr>
          <w:rFonts w:ascii="Times New Roman" w:hAnsi="Times New Roman" w:cs="Times New Roman"/>
        </w:rPr>
      </w:pPr>
      <w:r w:rsidRPr="003C0052">
        <w:rPr>
          <w:rFonts w:ascii="Times New Roman" w:hAnsi="Times New Roman" w:cs="Times New Roman"/>
          <w:vertAlign w:val="superscript"/>
        </w:rPr>
        <w:t>13</w:t>
      </w:r>
      <w:r w:rsidRPr="003C0052">
        <w:rPr>
          <w:rFonts w:ascii="Times New Roman" w:hAnsi="Times New Roman" w:cs="Times New Roman"/>
        </w:rPr>
        <w:t>Center for Drug Research, Institute of Social Education and Adult Education, Goethe University, Theodor-W.-Adorno-</w:t>
      </w:r>
      <w:proofErr w:type="spellStart"/>
      <w:r w:rsidRPr="003C0052">
        <w:rPr>
          <w:rFonts w:ascii="Times New Roman" w:hAnsi="Times New Roman" w:cs="Times New Roman"/>
        </w:rPr>
        <w:t>Platz</w:t>
      </w:r>
      <w:proofErr w:type="spellEnd"/>
      <w:r w:rsidRPr="003C0052">
        <w:rPr>
          <w:rFonts w:ascii="Times New Roman" w:hAnsi="Times New Roman" w:cs="Times New Roman"/>
        </w:rPr>
        <w:t xml:space="preserve"> 6, D-60323 Frankfurt am Main.   </w:t>
      </w:r>
      <w:hyperlink r:id="rId22" w:history="1">
        <w:r w:rsidRPr="003C0052">
          <w:rPr>
            <w:rStyle w:val="Hyperlink"/>
            <w:rFonts w:ascii="Times New Roman" w:hAnsi="Times New Roman" w:cs="Times New Roman"/>
          </w:rPr>
          <w:t>werse@em.uni-frankfurt.de</w:t>
        </w:r>
      </w:hyperlink>
    </w:p>
    <w:p w:rsidR="00016F57" w:rsidRPr="003C0052" w:rsidRDefault="00016F57" w:rsidP="00016F57">
      <w:pPr>
        <w:rPr>
          <w:rFonts w:ascii="Times New Roman" w:hAnsi="Times New Roman" w:cs="Times New Roman"/>
        </w:rPr>
      </w:pPr>
    </w:p>
    <w:p w:rsidR="00016F57" w:rsidRPr="003C0052" w:rsidRDefault="00016F57" w:rsidP="00016F57">
      <w:pPr>
        <w:rPr>
          <w:rFonts w:ascii="Times New Roman" w:hAnsi="Times New Roman" w:cs="Times New Roman"/>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016F57" w:rsidRPr="003C0052" w:rsidRDefault="00016F57" w:rsidP="00016F57">
      <w:pPr>
        <w:rPr>
          <w:rFonts w:ascii="Times New Roman" w:hAnsi="Times New Roman" w:cs="Times New Roman"/>
        </w:rPr>
      </w:pPr>
      <w:r w:rsidRPr="003C0052">
        <w:rPr>
          <w:rFonts w:ascii="Times New Roman" w:hAnsi="Times New Roman" w:cs="Times New Roman"/>
          <w:b/>
        </w:rPr>
        <w:t>Title</w:t>
      </w:r>
      <w:r w:rsidRPr="003C0052">
        <w:rPr>
          <w:rFonts w:ascii="Times New Roman" w:hAnsi="Times New Roman" w:cs="Times New Roman"/>
        </w:rPr>
        <w:t>: The Burgeoning Recognition and Accommodation of the Social Supply of Drugs in International Criminal Justice Systems: A Ten-Nation Comparative Overview.</w:t>
      </w:r>
    </w:p>
    <w:p w:rsidR="00016F57" w:rsidRPr="003C0052" w:rsidRDefault="00016F57" w:rsidP="00E7752F">
      <w:pPr>
        <w:outlineLvl w:val="0"/>
        <w:rPr>
          <w:rFonts w:ascii="Times New Roman" w:hAnsi="Times New Roman" w:cs="Times New Roman"/>
          <w:b/>
        </w:rPr>
      </w:pPr>
    </w:p>
    <w:p w:rsidR="00016F57" w:rsidRPr="003C0052" w:rsidRDefault="00016F57" w:rsidP="00E7752F">
      <w:pPr>
        <w:outlineLvl w:val="0"/>
        <w:rPr>
          <w:rFonts w:ascii="Times New Roman" w:hAnsi="Times New Roman" w:cs="Times New Roman"/>
          <w:b/>
        </w:rPr>
      </w:pPr>
    </w:p>
    <w:p w:rsidR="00DA25D4" w:rsidRPr="003C0052" w:rsidRDefault="00DD4850" w:rsidP="00E7752F">
      <w:pPr>
        <w:outlineLvl w:val="0"/>
        <w:rPr>
          <w:rFonts w:ascii="Times New Roman" w:hAnsi="Times New Roman" w:cs="Times New Roman"/>
          <w:b/>
        </w:rPr>
      </w:pPr>
      <w:r w:rsidRPr="003C0052">
        <w:rPr>
          <w:rFonts w:ascii="Times New Roman" w:hAnsi="Times New Roman" w:cs="Times New Roman"/>
          <w:b/>
        </w:rPr>
        <w:t>Abstract</w:t>
      </w:r>
    </w:p>
    <w:p w:rsidR="002A0BF2" w:rsidRPr="003C0052" w:rsidRDefault="002A0BF2" w:rsidP="00ED075D">
      <w:pPr>
        <w:jc w:val="both"/>
        <w:rPr>
          <w:rFonts w:ascii="Times New Roman" w:hAnsi="Times New Roman" w:cs="Times New Roman"/>
          <w:b/>
        </w:rPr>
      </w:pPr>
    </w:p>
    <w:p w:rsidR="004A6597" w:rsidRPr="003C0052" w:rsidRDefault="00F661BD" w:rsidP="00ED075D">
      <w:pPr>
        <w:jc w:val="both"/>
        <w:rPr>
          <w:rFonts w:ascii="Times New Roman" w:hAnsi="Times New Roman" w:cs="Times New Roman"/>
        </w:rPr>
      </w:pPr>
      <w:r w:rsidRPr="003C0052">
        <w:rPr>
          <w:rFonts w:ascii="Times New Roman" w:hAnsi="Times New Roman" w:cs="Times New Roman"/>
          <w:b/>
        </w:rPr>
        <w:t>Background:</w:t>
      </w:r>
      <w:r w:rsidRPr="003C0052">
        <w:rPr>
          <w:rFonts w:ascii="Times New Roman" w:hAnsi="Times New Roman" w:cs="Times New Roman"/>
        </w:rPr>
        <w:t xml:space="preserve"> </w:t>
      </w:r>
      <w:r w:rsidR="0056589D" w:rsidRPr="003C0052">
        <w:rPr>
          <w:rFonts w:ascii="Times New Roman" w:hAnsi="Times New Roman" w:cs="Times New Roman"/>
        </w:rPr>
        <w:t xml:space="preserve">It is now commonly accepted that </w:t>
      </w:r>
      <w:r w:rsidR="005E1FEF" w:rsidRPr="003C0052">
        <w:rPr>
          <w:rFonts w:ascii="Times New Roman" w:hAnsi="Times New Roman" w:cs="Times New Roman"/>
        </w:rPr>
        <w:t>there exists a form of drug supply</w:t>
      </w:r>
      <w:r w:rsidR="0059290E" w:rsidRPr="003C0052">
        <w:rPr>
          <w:rFonts w:ascii="Times New Roman" w:hAnsi="Times New Roman" w:cs="Times New Roman"/>
        </w:rPr>
        <w:t>,</w:t>
      </w:r>
      <w:r w:rsidR="005E1FEF" w:rsidRPr="003C0052">
        <w:rPr>
          <w:rFonts w:ascii="Times New Roman" w:hAnsi="Times New Roman" w:cs="Times New Roman"/>
        </w:rPr>
        <w:t xml:space="preserve"> </w:t>
      </w:r>
      <w:r w:rsidR="000D06BB" w:rsidRPr="003C0052">
        <w:rPr>
          <w:rFonts w:ascii="Times New Roman" w:hAnsi="Times New Roman" w:cs="Times New Roman"/>
        </w:rPr>
        <w:t xml:space="preserve">that involves the non-commercial supply of drugs to friends and acquaintances for little or no </w:t>
      </w:r>
      <w:r w:rsidR="006A667B" w:rsidRPr="003C0052">
        <w:rPr>
          <w:rFonts w:ascii="Times New Roman" w:hAnsi="Times New Roman" w:cs="Times New Roman"/>
        </w:rPr>
        <w:t>profit, which</w:t>
      </w:r>
      <w:r w:rsidR="000D06BB" w:rsidRPr="003C0052">
        <w:rPr>
          <w:rFonts w:ascii="Times New Roman" w:hAnsi="Times New Roman" w:cs="Times New Roman"/>
        </w:rPr>
        <w:t xml:space="preserve"> is </w:t>
      </w:r>
      <w:r w:rsidR="00D06A37" w:rsidRPr="003C0052">
        <w:rPr>
          <w:rFonts w:ascii="Times New Roman" w:hAnsi="Times New Roman" w:cs="Times New Roman"/>
        </w:rPr>
        <w:t xml:space="preserve">qualitatively different from profit motivated </w:t>
      </w:r>
      <w:r w:rsidR="0059290E" w:rsidRPr="003C0052">
        <w:rPr>
          <w:rFonts w:ascii="Times New Roman" w:hAnsi="Times New Roman" w:cs="Times New Roman"/>
        </w:rPr>
        <w:t>‘</w:t>
      </w:r>
      <w:r w:rsidR="00D06A37" w:rsidRPr="003C0052">
        <w:rPr>
          <w:rFonts w:ascii="Times New Roman" w:hAnsi="Times New Roman" w:cs="Times New Roman"/>
        </w:rPr>
        <w:t>drug dealing</w:t>
      </w:r>
      <w:r w:rsidR="0059290E" w:rsidRPr="003C0052">
        <w:rPr>
          <w:rFonts w:ascii="Times New Roman" w:hAnsi="Times New Roman" w:cs="Times New Roman"/>
        </w:rPr>
        <w:t xml:space="preserve"> </w:t>
      </w:r>
      <w:r w:rsidR="00990DA1" w:rsidRPr="003C0052">
        <w:rPr>
          <w:rFonts w:ascii="Times New Roman" w:hAnsi="Times New Roman" w:cs="Times New Roman"/>
        </w:rPr>
        <w:t>proper</w:t>
      </w:r>
      <w:r w:rsidR="0059290E" w:rsidRPr="003C0052">
        <w:rPr>
          <w:rFonts w:ascii="Times New Roman" w:hAnsi="Times New Roman" w:cs="Times New Roman"/>
        </w:rPr>
        <w:t>’</w:t>
      </w:r>
      <w:r w:rsidR="00990DA1" w:rsidRPr="003C0052">
        <w:rPr>
          <w:rFonts w:ascii="Times New Roman" w:hAnsi="Times New Roman" w:cs="Times New Roman"/>
        </w:rPr>
        <w:t>. ‘Social supply’</w:t>
      </w:r>
      <w:r w:rsidR="000E6EC0" w:rsidRPr="003C0052">
        <w:rPr>
          <w:rFonts w:ascii="Times New Roman" w:hAnsi="Times New Roman" w:cs="Times New Roman"/>
        </w:rPr>
        <w:t>,</w:t>
      </w:r>
      <w:r w:rsidR="00990DA1" w:rsidRPr="003C0052">
        <w:rPr>
          <w:rFonts w:ascii="Times New Roman" w:hAnsi="Times New Roman" w:cs="Times New Roman"/>
        </w:rPr>
        <w:t xml:space="preserve"> as it has become known, </w:t>
      </w:r>
      <w:r w:rsidR="007B7328" w:rsidRPr="003C0052">
        <w:rPr>
          <w:rFonts w:ascii="Times New Roman" w:hAnsi="Times New Roman" w:cs="Times New Roman"/>
        </w:rPr>
        <w:t xml:space="preserve">has a strong conceptual footprint in </w:t>
      </w:r>
      <w:r w:rsidR="000C256A" w:rsidRPr="003C0052">
        <w:rPr>
          <w:rFonts w:ascii="Times New Roman" w:hAnsi="Times New Roman" w:cs="Times New Roman"/>
        </w:rPr>
        <w:t>the United Kingdom</w:t>
      </w:r>
      <w:r w:rsidR="00501DDE" w:rsidRPr="003C0052">
        <w:rPr>
          <w:rFonts w:ascii="Times New Roman" w:hAnsi="Times New Roman" w:cs="Times New Roman"/>
        </w:rPr>
        <w:t>,</w:t>
      </w:r>
      <w:r w:rsidR="000C256A" w:rsidRPr="003C0052">
        <w:rPr>
          <w:rFonts w:ascii="Times New Roman" w:hAnsi="Times New Roman" w:cs="Times New Roman"/>
        </w:rPr>
        <w:t xml:space="preserve"> </w:t>
      </w:r>
      <w:r w:rsidR="00DF2838" w:rsidRPr="003C0052">
        <w:rPr>
          <w:rFonts w:ascii="Times New Roman" w:hAnsi="Times New Roman" w:cs="Times New Roman"/>
        </w:rPr>
        <w:t xml:space="preserve">shaped by empirical research, policy discussion and </w:t>
      </w:r>
      <w:r w:rsidR="007D4C7C" w:rsidRPr="003C0052">
        <w:rPr>
          <w:rFonts w:ascii="Times New Roman" w:hAnsi="Times New Roman" w:cs="Times New Roman"/>
        </w:rPr>
        <w:t xml:space="preserve">its </w:t>
      </w:r>
      <w:r w:rsidR="00DF2838" w:rsidRPr="003C0052">
        <w:rPr>
          <w:rFonts w:ascii="Times New Roman" w:hAnsi="Times New Roman" w:cs="Times New Roman"/>
        </w:rPr>
        <w:t>accommodation</w:t>
      </w:r>
      <w:r w:rsidR="000C256A" w:rsidRPr="003C0052">
        <w:rPr>
          <w:rFonts w:ascii="Times New Roman" w:hAnsi="Times New Roman" w:cs="Times New Roman"/>
        </w:rPr>
        <w:t xml:space="preserve"> in legal frameworks</w:t>
      </w:r>
      <w:r w:rsidR="00DF2838" w:rsidRPr="003C0052">
        <w:rPr>
          <w:rFonts w:ascii="Times New Roman" w:hAnsi="Times New Roman" w:cs="Times New Roman"/>
        </w:rPr>
        <w:t>. Though scholarship</w:t>
      </w:r>
      <w:r w:rsidR="000C256A" w:rsidRPr="003C0052">
        <w:rPr>
          <w:rFonts w:ascii="Times New Roman" w:hAnsi="Times New Roman" w:cs="Times New Roman"/>
        </w:rPr>
        <w:t xml:space="preserve"> has emerged in a number of contexts outside the UK, the extent to which social supply has developed </w:t>
      </w:r>
      <w:r w:rsidR="00E452AC" w:rsidRPr="003C0052">
        <w:rPr>
          <w:rFonts w:ascii="Times New Roman" w:hAnsi="Times New Roman" w:cs="Times New Roman"/>
        </w:rPr>
        <w:t>as an internationally</w:t>
      </w:r>
      <w:r w:rsidR="00172582" w:rsidRPr="003C0052">
        <w:rPr>
          <w:rFonts w:ascii="Times New Roman" w:hAnsi="Times New Roman" w:cs="Times New Roman"/>
        </w:rPr>
        <w:t xml:space="preserve"> recognised</w:t>
      </w:r>
      <w:r w:rsidR="00E452AC" w:rsidRPr="003C0052">
        <w:rPr>
          <w:rFonts w:ascii="Times New Roman" w:hAnsi="Times New Roman" w:cs="Times New Roman"/>
        </w:rPr>
        <w:t xml:space="preserve"> concept</w:t>
      </w:r>
      <w:r w:rsidR="000C256A" w:rsidRPr="003C0052">
        <w:rPr>
          <w:rFonts w:ascii="Times New Roman" w:hAnsi="Times New Roman" w:cs="Times New Roman"/>
        </w:rPr>
        <w:t xml:space="preserve"> </w:t>
      </w:r>
      <w:r w:rsidR="00F62B2D" w:rsidRPr="003C0052">
        <w:rPr>
          <w:rFonts w:ascii="Times New Roman" w:hAnsi="Times New Roman" w:cs="Times New Roman"/>
        </w:rPr>
        <w:t>in criminal justice contexts</w:t>
      </w:r>
      <w:r w:rsidR="0082401A" w:rsidRPr="003C0052">
        <w:rPr>
          <w:rFonts w:ascii="Times New Roman" w:hAnsi="Times New Roman" w:cs="Times New Roman"/>
        </w:rPr>
        <w:t xml:space="preserve"> </w:t>
      </w:r>
      <w:r w:rsidR="00606411" w:rsidRPr="003C0052">
        <w:rPr>
          <w:rFonts w:ascii="Times New Roman" w:hAnsi="Times New Roman" w:cs="Times New Roman"/>
        </w:rPr>
        <w:t xml:space="preserve">is still unclear. </w:t>
      </w:r>
      <w:r w:rsidR="00ED075D" w:rsidRPr="003C0052">
        <w:rPr>
          <w:rFonts w:ascii="Times New Roman" w:hAnsi="Times New Roman" w:cs="Times New Roman"/>
        </w:rPr>
        <w:t xml:space="preserve"> </w:t>
      </w:r>
    </w:p>
    <w:p w:rsidR="00A20538" w:rsidRPr="003C0052" w:rsidRDefault="00A20538" w:rsidP="000B3426">
      <w:pPr>
        <w:jc w:val="both"/>
        <w:rPr>
          <w:rFonts w:ascii="Times New Roman" w:hAnsi="Times New Roman" w:cs="Times New Roman"/>
          <w:b/>
        </w:rPr>
      </w:pPr>
    </w:p>
    <w:p w:rsidR="004A6597" w:rsidRPr="003C0052" w:rsidRDefault="00F661BD" w:rsidP="000B3426">
      <w:pPr>
        <w:jc w:val="both"/>
        <w:rPr>
          <w:rFonts w:ascii="Times New Roman" w:hAnsi="Times New Roman" w:cs="Times New Roman"/>
        </w:rPr>
      </w:pPr>
      <w:r w:rsidRPr="003C0052">
        <w:rPr>
          <w:rFonts w:ascii="Times New Roman" w:hAnsi="Times New Roman" w:cs="Times New Roman"/>
          <w:b/>
        </w:rPr>
        <w:t>Methods</w:t>
      </w:r>
      <w:r w:rsidRPr="003C0052">
        <w:rPr>
          <w:rFonts w:ascii="Times New Roman" w:hAnsi="Times New Roman" w:cs="Times New Roman"/>
        </w:rPr>
        <w:t xml:space="preserve">: </w:t>
      </w:r>
      <w:r w:rsidR="00606411" w:rsidRPr="003C0052">
        <w:rPr>
          <w:rFonts w:ascii="Times New Roman" w:hAnsi="Times New Roman" w:cs="Times New Roman"/>
        </w:rPr>
        <w:t xml:space="preserve">Drawing on </w:t>
      </w:r>
      <w:r w:rsidR="00607611" w:rsidRPr="003C0052">
        <w:rPr>
          <w:rFonts w:ascii="Times New Roman" w:hAnsi="Times New Roman" w:cs="Times New Roman"/>
        </w:rPr>
        <w:t>an established international social s</w:t>
      </w:r>
      <w:r w:rsidR="001763AE" w:rsidRPr="003C0052">
        <w:rPr>
          <w:rFonts w:ascii="Times New Roman" w:hAnsi="Times New Roman" w:cs="Times New Roman"/>
        </w:rPr>
        <w:t>upply research network across ten nations</w:t>
      </w:r>
      <w:r w:rsidR="001516D6" w:rsidRPr="003C0052">
        <w:rPr>
          <w:rFonts w:ascii="Times New Roman" w:hAnsi="Times New Roman" w:cs="Times New Roman"/>
        </w:rPr>
        <w:t>,</w:t>
      </w:r>
      <w:r w:rsidR="00607611" w:rsidRPr="003C0052">
        <w:rPr>
          <w:rFonts w:ascii="Times New Roman" w:hAnsi="Times New Roman" w:cs="Times New Roman"/>
        </w:rPr>
        <w:t xml:space="preserve"> this paper provides the first</w:t>
      </w:r>
      <w:r w:rsidR="008E1DDD" w:rsidRPr="003C0052">
        <w:rPr>
          <w:rFonts w:ascii="Times New Roman" w:hAnsi="Times New Roman" w:cs="Times New Roman"/>
        </w:rPr>
        <w:t xml:space="preserve"> assessment </w:t>
      </w:r>
      <w:r w:rsidR="00ED075D" w:rsidRPr="003C0052">
        <w:rPr>
          <w:rFonts w:ascii="Times New Roman" w:hAnsi="Times New Roman" w:cs="Times New Roman"/>
        </w:rPr>
        <w:t>of social supply as an internationally relevant concept</w:t>
      </w:r>
      <w:r w:rsidR="00D71303" w:rsidRPr="003C0052">
        <w:rPr>
          <w:rFonts w:ascii="Times New Roman" w:hAnsi="Times New Roman" w:cs="Times New Roman"/>
        </w:rPr>
        <w:t xml:space="preserve">. </w:t>
      </w:r>
      <w:r w:rsidR="00082F64" w:rsidRPr="003C0052">
        <w:rPr>
          <w:rFonts w:ascii="Times New Roman" w:hAnsi="Times New Roman" w:cs="Times New Roman"/>
        </w:rPr>
        <w:t xml:space="preserve">Data derives from individual and team research stemming from </w:t>
      </w:r>
      <w:r w:rsidR="00903D70" w:rsidRPr="003C0052">
        <w:rPr>
          <w:rFonts w:ascii="Times New Roman" w:hAnsi="Times New Roman" w:cs="Times New Roman"/>
        </w:rPr>
        <w:t xml:space="preserve">Australia, Belgium, Canada, Czech Republic, Finland, Germany, Hong Kong, the Netherlands, </w:t>
      </w:r>
      <w:r w:rsidR="00720ECC" w:rsidRPr="003C0052">
        <w:rPr>
          <w:rFonts w:ascii="Times New Roman" w:hAnsi="Times New Roman" w:cs="Times New Roman"/>
        </w:rPr>
        <w:t>England and Wales,</w:t>
      </w:r>
      <w:r w:rsidR="00903D70" w:rsidRPr="003C0052">
        <w:rPr>
          <w:rFonts w:ascii="Times New Roman" w:hAnsi="Times New Roman" w:cs="Times New Roman"/>
        </w:rPr>
        <w:t xml:space="preserve"> and </w:t>
      </w:r>
      <w:r w:rsidR="00720ECC" w:rsidRPr="003C0052">
        <w:rPr>
          <w:rFonts w:ascii="Times New Roman" w:hAnsi="Times New Roman" w:cs="Times New Roman"/>
        </w:rPr>
        <w:t xml:space="preserve">the </w:t>
      </w:r>
      <w:r w:rsidR="00085C5B" w:rsidRPr="003C0052">
        <w:rPr>
          <w:rFonts w:ascii="Times New Roman" w:hAnsi="Times New Roman" w:cs="Times New Roman"/>
        </w:rPr>
        <w:t>U</w:t>
      </w:r>
      <w:r w:rsidR="00720ECC" w:rsidRPr="003C0052">
        <w:rPr>
          <w:rFonts w:ascii="Times New Roman" w:hAnsi="Times New Roman" w:cs="Times New Roman"/>
        </w:rPr>
        <w:t xml:space="preserve">nited </w:t>
      </w:r>
      <w:r w:rsidR="00085C5B" w:rsidRPr="003C0052">
        <w:rPr>
          <w:rFonts w:ascii="Times New Roman" w:hAnsi="Times New Roman" w:cs="Times New Roman"/>
        </w:rPr>
        <w:t>S</w:t>
      </w:r>
      <w:r w:rsidR="00720ECC" w:rsidRPr="003C0052">
        <w:rPr>
          <w:rFonts w:ascii="Times New Roman" w:hAnsi="Times New Roman" w:cs="Times New Roman"/>
        </w:rPr>
        <w:t>tates</w:t>
      </w:r>
      <w:r w:rsidR="00085C5B" w:rsidRPr="003C0052">
        <w:rPr>
          <w:rFonts w:ascii="Times New Roman" w:hAnsi="Times New Roman" w:cs="Times New Roman"/>
        </w:rPr>
        <w:t>,</w:t>
      </w:r>
      <w:r w:rsidR="00082F64" w:rsidRPr="003C0052">
        <w:rPr>
          <w:rFonts w:ascii="Times New Roman" w:hAnsi="Times New Roman" w:cs="Times New Roman"/>
        </w:rPr>
        <w:t xml:space="preserve"> supported by expert reflection on research evidence and analysis of sen</w:t>
      </w:r>
      <w:r w:rsidR="004A6B15" w:rsidRPr="003C0052">
        <w:rPr>
          <w:rFonts w:ascii="Times New Roman" w:hAnsi="Times New Roman" w:cs="Times New Roman"/>
        </w:rPr>
        <w:t>tencing and media reporting in each</w:t>
      </w:r>
      <w:r w:rsidR="00082F64" w:rsidRPr="003C0052">
        <w:rPr>
          <w:rFonts w:ascii="Times New Roman" w:hAnsi="Times New Roman" w:cs="Times New Roman"/>
        </w:rPr>
        <w:t xml:space="preserve"> context.</w:t>
      </w:r>
      <w:r w:rsidR="000B1DA6" w:rsidRPr="003C0052">
        <w:rPr>
          <w:rFonts w:ascii="Times New Roman" w:hAnsi="Times New Roman" w:cs="Times New Roman"/>
        </w:rPr>
        <w:t xml:space="preserve"> </w:t>
      </w:r>
      <w:r w:rsidR="00021E75" w:rsidRPr="003C0052">
        <w:rPr>
          <w:rFonts w:ascii="Times New Roman" w:hAnsi="Times New Roman" w:cs="Times New Roman"/>
        </w:rPr>
        <w:t xml:space="preserve">In situ social supply experts addressed a common set of questions regarding the nature of social supply </w:t>
      </w:r>
      <w:r w:rsidR="004A6B15" w:rsidRPr="003C0052">
        <w:rPr>
          <w:rFonts w:ascii="Times New Roman" w:hAnsi="Times New Roman" w:cs="Times New Roman"/>
        </w:rPr>
        <w:t>for</w:t>
      </w:r>
      <w:r w:rsidR="00021E75" w:rsidRPr="003C0052">
        <w:rPr>
          <w:rFonts w:ascii="Times New Roman" w:hAnsi="Times New Roman" w:cs="Times New Roman"/>
        </w:rPr>
        <w:t xml:space="preserve"> their particular context including</w:t>
      </w:r>
      <w:r w:rsidR="004A6B15" w:rsidRPr="003C0052">
        <w:rPr>
          <w:rFonts w:ascii="Times New Roman" w:hAnsi="Times New Roman" w:cs="Times New Roman"/>
        </w:rPr>
        <w:t>:</w:t>
      </w:r>
      <w:r w:rsidR="00021E75" w:rsidRPr="003C0052">
        <w:rPr>
          <w:rFonts w:ascii="Times New Roman" w:hAnsi="Times New Roman" w:cs="Times New Roman"/>
        </w:rPr>
        <w:t xml:space="preserve"> an overview of social supply research activity, reflection on the extent that differentiation is accommodated in drug supply sentencing frameworks; evaluating the extent to which social supply is recognised in legal discourse and in sentencing practices and more broadly by e.g. criminal justice professionals in the public sphere. A </w:t>
      </w:r>
      <w:r w:rsidR="004A6B15" w:rsidRPr="003C0052">
        <w:rPr>
          <w:rFonts w:ascii="Times New Roman" w:hAnsi="Times New Roman" w:cs="Times New Roman"/>
        </w:rPr>
        <w:t>thematic</w:t>
      </w:r>
      <w:r w:rsidR="00021E75" w:rsidRPr="003C0052">
        <w:rPr>
          <w:rFonts w:ascii="Times New Roman" w:hAnsi="Times New Roman" w:cs="Times New Roman"/>
        </w:rPr>
        <w:t xml:space="preserve"> analysis of these scripts was </w:t>
      </w:r>
      <w:r w:rsidR="004A6B15" w:rsidRPr="003C0052">
        <w:rPr>
          <w:rFonts w:ascii="Times New Roman" w:hAnsi="Times New Roman" w:cs="Times New Roman"/>
        </w:rPr>
        <w:t>undertaken</w:t>
      </w:r>
      <w:r w:rsidR="00021E75" w:rsidRPr="003C0052">
        <w:rPr>
          <w:rFonts w:ascii="Times New Roman" w:hAnsi="Times New Roman" w:cs="Times New Roman"/>
        </w:rPr>
        <w:t xml:space="preserve"> and emergent themes were developed.</w:t>
      </w:r>
    </w:p>
    <w:p w:rsidR="00A20538" w:rsidRPr="003C0052" w:rsidRDefault="00A20538" w:rsidP="000B3426">
      <w:pPr>
        <w:pStyle w:val="CommentText"/>
        <w:rPr>
          <w:rFonts w:ascii="Times New Roman" w:hAnsi="Times New Roman" w:cs="Times New Roman"/>
          <w:b/>
        </w:rPr>
      </w:pPr>
    </w:p>
    <w:p w:rsidR="002A76BB" w:rsidRPr="003C0052" w:rsidRDefault="00F661BD" w:rsidP="000B3426">
      <w:pPr>
        <w:pStyle w:val="CommentText"/>
        <w:rPr>
          <w:rFonts w:ascii="Times New Roman" w:hAnsi="Times New Roman" w:cs="Times New Roman"/>
        </w:rPr>
      </w:pPr>
      <w:r w:rsidRPr="003C0052">
        <w:rPr>
          <w:rFonts w:ascii="Times New Roman" w:hAnsi="Times New Roman" w:cs="Times New Roman"/>
          <w:b/>
        </w:rPr>
        <w:t xml:space="preserve">Results: </w:t>
      </w:r>
      <w:r w:rsidR="00082F64" w:rsidRPr="003C0052">
        <w:rPr>
          <w:rFonts w:ascii="Times New Roman" w:hAnsi="Times New Roman" w:cs="Times New Roman"/>
        </w:rPr>
        <w:t xml:space="preserve">Findings suggest that </w:t>
      </w:r>
      <w:r w:rsidR="007F25CB" w:rsidRPr="003C0052">
        <w:rPr>
          <w:rFonts w:ascii="Times New Roman" w:hAnsi="Times New Roman" w:cs="Times New Roman"/>
        </w:rPr>
        <w:t xml:space="preserve">while social supply </w:t>
      </w:r>
      <w:r w:rsidR="00291147" w:rsidRPr="003C0052">
        <w:rPr>
          <w:rFonts w:ascii="Times New Roman" w:hAnsi="Times New Roman" w:cs="Times New Roman"/>
        </w:rPr>
        <w:t>has</w:t>
      </w:r>
      <w:r w:rsidR="004831D4" w:rsidRPr="003C0052">
        <w:rPr>
          <w:rFonts w:ascii="Times New Roman" w:hAnsi="Times New Roman" w:cs="Times New Roman"/>
        </w:rPr>
        <w:t xml:space="preserve"> been</w:t>
      </w:r>
      <w:r w:rsidR="002F479A" w:rsidRPr="003C0052">
        <w:rPr>
          <w:rFonts w:ascii="Times New Roman" w:hAnsi="Times New Roman" w:cs="Times New Roman"/>
        </w:rPr>
        <w:t xml:space="preserve"> found to exist as </w:t>
      </w:r>
      <w:r w:rsidR="00291147" w:rsidRPr="003C0052">
        <w:rPr>
          <w:rFonts w:ascii="Times New Roman" w:hAnsi="Times New Roman" w:cs="Times New Roman"/>
        </w:rPr>
        <w:t xml:space="preserve">a real and distinct behaviour, its </w:t>
      </w:r>
      <w:r w:rsidR="00791C36" w:rsidRPr="003C0052">
        <w:rPr>
          <w:rFonts w:ascii="Times New Roman" w:hAnsi="Times New Roman" w:cs="Times New Roman"/>
        </w:rPr>
        <w:t>acceptance and application</w:t>
      </w:r>
      <w:r w:rsidR="005841E2" w:rsidRPr="003C0052">
        <w:rPr>
          <w:rFonts w:ascii="Times New Roman" w:hAnsi="Times New Roman" w:cs="Times New Roman"/>
        </w:rPr>
        <w:t xml:space="preserve"> </w:t>
      </w:r>
      <w:r w:rsidR="00610BDC" w:rsidRPr="003C0052">
        <w:rPr>
          <w:rFonts w:ascii="Times New Roman" w:hAnsi="Times New Roman" w:cs="Times New Roman"/>
        </w:rPr>
        <w:t xml:space="preserve">in criminal justice </w:t>
      </w:r>
      <w:r w:rsidR="00F62B2D" w:rsidRPr="003C0052">
        <w:rPr>
          <w:rFonts w:ascii="Times New Roman" w:hAnsi="Times New Roman" w:cs="Times New Roman"/>
        </w:rPr>
        <w:t>systems</w:t>
      </w:r>
      <w:r w:rsidR="008A1AB6" w:rsidRPr="003C0052">
        <w:rPr>
          <w:rFonts w:ascii="Times New Roman" w:hAnsi="Times New Roman" w:cs="Times New Roman"/>
        </w:rPr>
        <w:t xml:space="preserve"> </w:t>
      </w:r>
      <w:r w:rsidR="00291147" w:rsidRPr="003C0052">
        <w:rPr>
          <w:rFonts w:ascii="Times New Roman" w:hAnsi="Times New Roman" w:cs="Times New Roman"/>
        </w:rPr>
        <w:t>ranges fr</w:t>
      </w:r>
      <w:r w:rsidR="00610BDC" w:rsidRPr="003C0052">
        <w:rPr>
          <w:rFonts w:ascii="Times New Roman" w:hAnsi="Times New Roman" w:cs="Times New Roman"/>
        </w:rPr>
        <w:t>om explicit through to implicit</w:t>
      </w:r>
      <w:r w:rsidR="002A0BF2" w:rsidRPr="003C0052">
        <w:rPr>
          <w:rFonts w:ascii="Times New Roman" w:hAnsi="Times New Roman" w:cs="Times New Roman"/>
        </w:rPr>
        <w:t xml:space="preserve">. </w:t>
      </w:r>
      <w:r w:rsidR="00721FF3" w:rsidRPr="003C0052">
        <w:rPr>
          <w:rFonts w:ascii="Times New Roman" w:hAnsi="Times New Roman" w:cs="Times New Roman"/>
        </w:rPr>
        <w:t xml:space="preserve">In the absence of guiding frameworks, </w:t>
      </w:r>
      <w:r w:rsidR="00291147" w:rsidRPr="003C0052">
        <w:rPr>
          <w:rFonts w:ascii="Times New Roman" w:hAnsi="Times New Roman" w:cs="Times New Roman"/>
        </w:rPr>
        <w:t xml:space="preserve">strong use </w:t>
      </w:r>
      <w:r w:rsidR="002A0BF2" w:rsidRPr="003C0052">
        <w:rPr>
          <w:rFonts w:ascii="Times New Roman" w:hAnsi="Times New Roman" w:cs="Times New Roman"/>
        </w:rPr>
        <w:t xml:space="preserve">is </w:t>
      </w:r>
      <w:r w:rsidR="00291147" w:rsidRPr="003C0052">
        <w:rPr>
          <w:rFonts w:ascii="Times New Roman" w:hAnsi="Times New Roman" w:cs="Times New Roman"/>
        </w:rPr>
        <w:t>made of discretion</w:t>
      </w:r>
      <w:r w:rsidR="00721FF3" w:rsidRPr="003C0052">
        <w:rPr>
          <w:rFonts w:ascii="Times New Roman" w:hAnsi="Times New Roman" w:cs="Times New Roman"/>
        </w:rPr>
        <w:t xml:space="preserve"> and </w:t>
      </w:r>
      <w:r w:rsidR="000E6EC0" w:rsidRPr="003C0052">
        <w:rPr>
          <w:rFonts w:ascii="Times New Roman" w:hAnsi="Times New Roman" w:cs="Times New Roman"/>
        </w:rPr>
        <w:t>mitigating circumstances</w:t>
      </w:r>
      <w:r w:rsidR="00721FF3" w:rsidRPr="003C0052">
        <w:rPr>
          <w:rFonts w:ascii="Times New Roman" w:hAnsi="Times New Roman" w:cs="Times New Roman"/>
        </w:rPr>
        <w:t xml:space="preserve"> in attempt</w:t>
      </w:r>
      <w:r w:rsidR="00FA5E89" w:rsidRPr="003C0052">
        <w:rPr>
          <w:rFonts w:ascii="Times New Roman" w:hAnsi="Times New Roman" w:cs="Times New Roman"/>
        </w:rPr>
        <w:t>s</w:t>
      </w:r>
      <w:r w:rsidR="00721FF3" w:rsidRPr="003C0052">
        <w:rPr>
          <w:rFonts w:ascii="Times New Roman" w:hAnsi="Times New Roman" w:cs="Times New Roman"/>
        </w:rPr>
        <w:t xml:space="preserve"> to acknowledge</w:t>
      </w:r>
      <w:r w:rsidR="00F62B2D" w:rsidRPr="003C0052">
        <w:rPr>
          <w:rFonts w:ascii="Times New Roman" w:hAnsi="Times New Roman" w:cs="Times New Roman"/>
        </w:rPr>
        <w:t xml:space="preserve"> supply</w:t>
      </w:r>
      <w:r w:rsidR="00721FF3" w:rsidRPr="003C0052">
        <w:rPr>
          <w:rFonts w:ascii="Times New Roman" w:hAnsi="Times New Roman" w:cs="Times New Roman"/>
        </w:rPr>
        <w:t xml:space="preserve"> </w:t>
      </w:r>
      <w:r w:rsidR="00E67B0E" w:rsidRPr="003C0052">
        <w:rPr>
          <w:rFonts w:ascii="Times New Roman" w:hAnsi="Times New Roman" w:cs="Times New Roman"/>
        </w:rPr>
        <w:t>differentiation</w:t>
      </w:r>
      <w:r w:rsidR="000E6EC0" w:rsidRPr="003C0052">
        <w:rPr>
          <w:rFonts w:ascii="Times New Roman" w:hAnsi="Times New Roman" w:cs="Times New Roman"/>
        </w:rPr>
        <w:t>.</w:t>
      </w:r>
      <w:r w:rsidR="004E7089" w:rsidRPr="003C0052">
        <w:rPr>
          <w:rFonts w:ascii="Times New Roman" w:hAnsi="Times New Roman" w:cs="Times New Roman"/>
        </w:rPr>
        <w:t xml:space="preserve"> In some </w:t>
      </w:r>
      <w:r w:rsidR="004A6597" w:rsidRPr="003C0052">
        <w:rPr>
          <w:rFonts w:ascii="Times New Roman" w:hAnsi="Times New Roman" w:cs="Times New Roman"/>
        </w:rPr>
        <w:t>jurisdictions,</w:t>
      </w:r>
      <w:r w:rsidR="007B5F69" w:rsidRPr="003C0052">
        <w:rPr>
          <w:rFonts w:ascii="Times New Roman" w:hAnsi="Times New Roman" w:cs="Times New Roman"/>
        </w:rPr>
        <w:t xml:space="preserve"> there is no accommodation of social supply</w:t>
      </w:r>
      <w:r w:rsidR="0045531E" w:rsidRPr="003C0052">
        <w:rPr>
          <w:rFonts w:ascii="Times New Roman" w:hAnsi="Times New Roman" w:cs="Times New Roman"/>
        </w:rPr>
        <w:t>,</w:t>
      </w:r>
      <w:r w:rsidR="007B5F69" w:rsidRPr="003C0052">
        <w:rPr>
          <w:rFonts w:ascii="Times New Roman" w:hAnsi="Times New Roman" w:cs="Times New Roman"/>
        </w:rPr>
        <w:t xml:space="preserve"> and while </w:t>
      </w:r>
      <w:r w:rsidR="00794176" w:rsidRPr="003C0052">
        <w:rPr>
          <w:rFonts w:ascii="Times New Roman" w:hAnsi="Times New Roman" w:cs="Times New Roman"/>
        </w:rPr>
        <w:t>aggravating factors can be</w:t>
      </w:r>
      <w:r w:rsidR="004A6597" w:rsidRPr="003C0052">
        <w:rPr>
          <w:rFonts w:ascii="Times New Roman" w:hAnsi="Times New Roman" w:cs="Times New Roman"/>
        </w:rPr>
        <w:t xml:space="preserve"> applied to differentiate more </w:t>
      </w:r>
      <w:r w:rsidR="00A6523D" w:rsidRPr="003C0052">
        <w:rPr>
          <w:rFonts w:ascii="Times New Roman" w:hAnsi="Times New Roman" w:cs="Times New Roman"/>
        </w:rPr>
        <w:t>ser</w:t>
      </w:r>
      <w:r w:rsidR="004A6597" w:rsidRPr="003C0052">
        <w:rPr>
          <w:rFonts w:ascii="Times New Roman" w:hAnsi="Times New Roman" w:cs="Times New Roman"/>
        </w:rPr>
        <w:t>ious offences,</w:t>
      </w:r>
      <w:r w:rsidR="00DF0D58" w:rsidRPr="003C0052">
        <w:rPr>
          <w:rFonts w:ascii="Times New Roman" w:hAnsi="Times New Roman" w:cs="Times New Roman"/>
        </w:rPr>
        <w:t xml:space="preserve"> social suppliers remain subject to arbitrary deterrent sentencing apparatus.</w:t>
      </w:r>
      <w:r w:rsidR="00E67B0E" w:rsidRPr="003C0052">
        <w:rPr>
          <w:rFonts w:ascii="Times New Roman" w:hAnsi="Times New Roman" w:cs="Times New Roman"/>
        </w:rPr>
        <w:t xml:space="preserve"> </w:t>
      </w:r>
      <w:r w:rsidR="000E6EC0" w:rsidRPr="003C0052">
        <w:rPr>
          <w:rFonts w:ascii="Times New Roman" w:hAnsi="Times New Roman" w:cs="Times New Roman"/>
        </w:rPr>
        <w:t xml:space="preserve"> </w:t>
      </w:r>
    </w:p>
    <w:p w:rsidR="00A20538" w:rsidRPr="003C0052" w:rsidRDefault="00981303" w:rsidP="00981303">
      <w:pPr>
        <w:tabs>
          <w:tab w:val="left" w:pos="5067"/>
        </w:tabs>
        <w:jc w:val="both"/>
        <w:rPr>
          <w:rFonts w:ascii="Times New Roman" w:hAnsi="Times New Roman" w:cs="Times New Roman"/>
          <w:b/>
        </w:rPr>
      </w:pPr>
      <w:r w:rsidRPr="003C0052">
        <w:rPr>
          <w:rFonts w:ascii="Times New Roman" w:hAnsi="Times New Roman" w:cs="Times New Roman"/>
          <w:b/>
        </w:rPr>
        <w:tab/>
      </w:r>
    </w:p>
    <w:p w:rsidR="00896131" w:rsidRPr="003C0052" w:rsidRDefault="00F661BD" w:rsidP="00896131">
      <w:pPr>
        <w:jc w:val="both"/>
        <w:rPr>
          <w:rFonts w:ascii="Times New Roman" w:hAnsi="Times New Roman" w:cs="Times New Roman"/>
        </w:rPr>
      </w:pPr>
      <w:r w:rsidRPr="003C0052">
        <w:rPr>
          <w:rFonts w:ascii="Times New Roman" w:hAnsi="Times New Roman" w:cs="Times New Roman"/>
          <w:b/>
        </w:rPr>
        <w:t>Conclusion:</w:t>
      </w:r>
      <w:r w:rsidR="00656D35" w:rsidRPr="003C0052">
        <w:rPr>
          <w:rFonts w:ascii="Times New Roman" w:hAnsi="Times New Roman" w:cs="Times New Roman"/>
        </w:rPr>
        <w:t xml:space="preserve"> </w:t>
      </w:r>
      <w:r w:rsidR="008E43AD" w:rsidRPr="003C0052">
        <w:rPr>
          <w:rFonts w:ascii="Times New Roman" w:hAnsi="Times New Roman" w:cs="Times New Roman"/>
        </w:rPr>
        <w:t>Due to the shifting sands of politics, mood, or geographical disparity, r</w:t>
      </w:r>
      <w:r w:rsidR="00122267" w:rsidRPr="003C0052">
        <w:rPr>
          <w:rFonts w:ascii="Times New Roman" w:hAnsi="Times New Roman" w:cs="Times New Roman"/>
        </w:rPr>
        <w:t>eliance on judicial discretion and the u</w:t>
      </w:r>
      <w:r w:rsidR="008E43AD" w:rsidRPr="003C0052">
        <w:rPr>
          <w:rFonts w:ascii="Times New Roman" w:hAnsi="Times New Roman" w:cs="Times New Roman"/>
        </w:rPr>
        <w:t>se of mitigating</w:t>
      </w:r>
      <w:r w:rsidR="00122267" w:rsidRPr="003C0052">
        <w:rPr>
          <w:rFonts w:ascii="Times New Roman" w:hAnsi="Times New Roman" w:cs="Times New Roman"/>
        </w:rPr>
        <w:t xml:space="preserve"> circumstances </w:t>
      </w:r>
      <w:r w:rsidR="008E43AD" w:rsidRPr="003C0052">
        <w:rPr>
          <w:rFonts w:ascii="Times New Roman" w:hAnsi="Times New Roman" w:cs="Times New Roman"/>
        </w:rPr>
        <w:t xml:space="preserve">to implement </w:t>
      </w:r>
      <w:r w:rsidR="008E43AD" w:rsidRPr="003C0052">
        <w:rPr>
          <w:rFonts w:ascii="Times New Roman" w:hAnsi="Times New Roman" w:cs="Times New Roman"/>
        </w:rPr>
        <w:lastRenderedPageBreak/>
        <w:t>commensurate sentences for social suppliers</w:t>
      </w:r>
      <w:r w:rsidR="00024035" w:rsidRPr="003C0052">
        <w:rPr>
          <w:rFonts w:ascii="Times New Roman" w:hAnsi="Times New Roman" w:cs="Times New Roman"/>
        </w:rPr>
        <w:t xml:space="preserve"> is no longer </w:t>
      </w:r>
      <w:r w:rsidR="008E43AD" w:rsidRPr="003C0052">
        <w:rPr>
          <w:rFonts w:ascii="Times New Roman" w:hAnsi="Times New Roman" w:cs="Times New Roman"/>
        </w:rPr>
        <w:t xml:space="preserve">sufficient. </w:t>
      </w:r>
      <w:r w:rsidR="004A6597" w:rsidRPr="003C0052">
        <w:rPr>
          <w:rFonts w:ascii="Times New Roman" w:hAnsi="Times New Roman" w:cs="Times New Roman"/>
        </w:rPr>
        <w:t xml:space="preserve">Further research is required </w:t>
      </w:r>
      <w:r w:rsidR="003E6C2C" w:rsidRPr="003C0052">
        <w:rPr>
          <w:rFonts w:ascii="Times New Roman" w:hAnsi="Times New Roman" w:cs="Times New Roman"/>
        </w:rPr>
        <w:t>to</w:t>
      </w:r>
      <w:r w:rsidR="004A6597" w:rsidRPr="003C0052">
        <w:rPr>
          <w:rFonts w:ascii="Times New Roman" w:hAnsi="Times New Roman" w:cs="Times New Roman"/>
        </w:rPr>
        <w:t xml:space="preserve"> </w:t>
      </w:r>
      <w:r w:rsidR="003E6C2C" w:rsidRPr="003C0052">
        <w:rPr>
          <w:rFonts w:ascii="Times New Roman" w:hAnsi="Times New Roman" w:cs="Times New Roman"/>
        </w:rPr>
        <w:t>strengthen</w:t>
      </w:r>
      <w:r w:rsidR="004A6597" w:rsidRPr="003C0052">
        <w:rPr>
          <w:rFonts w:ascii="Times New Roman" w:hAnsi="Times New Roman" w:cs="Times New Roman"/>
        </w:rPr>
        <w:t xml:space="preserve"> the conceptual presence of social supply in policy and practice as a behaviour that extends beyond cannabis and is relevant to users of all drugs. </w:t>
      </w:r>
      <w:r w:rsidR="00747F83" w:rsidRPr="003C0052">
        <w:rPr>
          <w:rFonts w:ascii="Times New Roman" w:hAnsi="Times New Roman" w:cs="Times New Roman"/>
        </w:rPr>
        <w:t>Research informed g</w:t>
      </w:r>
      <w:r w:rsidR="00122267" w:rsidRPr="003C0052">
        <w:rPr>
          <w:rFonts w:ascii="Times New Roman" w:hAnsi="Times New Roman" w:cs="Times New Roman"/>
        </w:rPr>
        <w:t>uid</w:t>
      </w:r>
      <w:r w:rsidR="004A6597" w:rsidRPr="003C0052">
        <w:rPr>
          <w:rFonts w:ascii="Times New Roman" w:hAnsi="Times New Roman" w:cs="Times New Roman"/>
        </w:rPr>
        <w:t>elines and/or specific sentencing provisions</w:t>
      </w:r>
      <w:r w:rsidR="003E6C2C" w:rsidRPr="003C0052">
        <w:rPr>
          <w:rFonts w:ascii="Times New Roman" w:hAnsi="Times New Roman" w:cs="Times New Roman"/>
        </w:rPr>
        <w:t xml:space="preserve"> for social suppliers would </w:t>
      </w:r>
      <w:r w:rsidR="000B3426" w:rsidRPr="003C0052">
        <w:rPr>
          <w:rFonts w:ascii="Times New Roman" w:hAnsi="Times New Roman" w:cs="Times New Roman"/>
        </w:rPr>
        <w:t xml:space="preserve">provide </w:t>
      </w:r>
      <w:r w:rsidR="003E6C2C" w:rsidRPr="003C0052">
        <w:rPr>
          <w:rFonts w:ascii="Times New Roman" w:hAnsi="Times New Roman" w:cs="Times New Roman"/>
        </w:rPr>
        <w:t>fewer p</w:t>
      </w:r>
      <w:r w:rsidR="00883F4D" w:rsidRPr="003C0052">
        <w:rPr>
          <w:rFonts w:ascii="Times New Roman" w:hAnsi="Times New Roman" w:cs="Times New Roman"/>
        </w:rPr>
        <w:t xml:space="preserve">ossibilities for inconsistency </w:t>
      </w:r>
      <w:r w:rsidR="00747F83" w:rsidRPr="003C0052">
        <w:rPr>
          <w:rFonts w:ascii="Times New Roman" w:hAnsi="Times New Roman" w:cs="Times New Roman"/>
        </w:rPr>
        <w:t xml:space="preserve">and </w:t>
      </w:r>
      <w:r w:rsidR="000B3426" w:rsidRPr="003C0052">
        <w:rPr>
          <w:rFonts w:ascii="Times New Roman" w:hAnsi="Times New Roman" w:cs="Times New Roman"/>
        </w:rPr>
        <w:t>promote more proportionate</w:t>
      </w:r>
      <w:r w:rsidR="004A6597" w:rsidRPr="003C0052">
        <w:rPr>
          <w:rFonts w:ascii="Times New Roman" w:hAnsi="Times New Roman" w:cs="Times New Roman"/>
        </w:rPr>
        <w:t xml:space="preserve"> outcomes for this</w:t>
      </w:r>
      <w:r w:rsidR="00F6234A" w:rsidRPr="003C0052">
        <w:rPr>
          <w:rFonts w:ascii="Times New Roman" w:hAnsi="Times New Roman" w:cs="Times New Roman"/>
        </w:rPr>
        <w:t xml:space="preserve"> </w:t>
      </w:r>
      <w:r w:rsidR="008A0114" w:rsidRPr="003C0052">
        <w:rPr>
          <w:rFonts w:ascii="Times New Roman" w:hAnsi="Times New Roman" w:cs="Times New Roman"/>
        </w:rPr>
        <w:t>fast-growing</w:t>
      </w:r>
      <w:r w:rsidR="000B3426" w:rsidRPr="003C0052">
        <w:rPr>
          <w:rFonts w:ascii="Times New Roman" w:hAnsi="Times New Roman" w:cs="Times New Roman"/>
        </w:rPr>
        <w:t xml:space="preserve"> group.</w:t>
      </w:r>
      <w:r w:rsidR="004A6597" w:rsidRPr="003C0052">
        <w:rPr>
          <w:rFonts w:ascii="Times New Roman" w:hAnsi="Times New Roman" w:cs="Times New Roman"/>
        </w:rPr>
        <w:t xml:space="preserve">  </w:t>
      </w:r>
      <w:r w:rsidR="00122267" w:rsidRPr="003C0052">
        <w:rPr>
          <w:rFonts w:ascii="Times New Roman" w:hAnsi="Times New Roman" w:cs="Times New Roman"/>
        </w:rPr>
        <w:t xml:space="preserve"> </w:t>
      </w:r>
    </w:p>
    <w:p w:rsidR="001A3BFD" w:rsidRPr="003C0052" w:rsidRDefault="00896131" w:rsidP="003C3479">
      <w:pPr>
        <w:jc w:val="both"/>
        <w:rPr>
          <w:rFonts w:ascii="Times New Roman" w:hAnsi="Times New Roman" w:cs="Times New Roman"/>
        </w:rPr>
      </w:pPr>
      <w:r w:rsidRPr="003C0052">
        <w:rPr>
          <w:rFonts w:ascii="Times New Roman" w:hAnsi="Times New Roman" w:cs="Times New Roman"/>
        </w:rPr>
        <w:t xml:space="preserve">   </w:t>
      </w:r>
    </w:p>
    <w:p w:rsidR="00387006" w:rsidRPr="003C0052" w:rsidRDefault="001A3BFD">
      <w:pPr>
        <w:rPr>
          <w:rFonts w:ascii="Times New Roman" w:hAnsi="Times New Roman" w:cs="Times New Roman"/>
        </w:rPr>
      </w:pPr>
      <w:r w:rsidRPr="003C0052">
        <w:rPr>
          <w:rFonts w:ascii="Times New Roman" w:hAnsi="Times New Roman" w:cs="Times New Roman"/>
          <w:b/>
        </w:rPr>
        <w:t>Keywords</w:t>
      </w:r>
      <w:r w:rsidRPr="003C0052">
        <w:rPr>
          <w:rFonts w:ascii="Times New Roman" w:hAnsi="Times New Roman" w:cs="Times New Roman"/>
        </w:rPr>
        <w:t xml:space="preserve">: social supply; minimally commercial supply; user-dealers; friend supply; </w:t>
      </w:r>
      <w:r w:rsidR="00573F2C" w:rsidRPr="003C0052">
        <w:rPr>
          <w:rFonts w:ascii="Times New Roman" w:hAnsi="Times New Roman" w:cs="Times New Roman"/>
        </w:rPr>
        <w:t>drugs; drug dealing</w:t>
      </w:r>
      <w:r w:rsidR="00E41833" w:rsidRPr="003C0052">
        <w:rPr>
          <w:rFonts w:ascii="Times New Roman" w:hAnsi="Times New Roman" w:cs="Times New Roman"/>
        </w:rPr>
        <w:t xml:space="preserve">; proportionality; </w:t>
      </w:r>
      <w:r w:rsidR="00C75226" w:rsidRPr="003C0052">
        <w:rPr>
          <w:rFonts w:ascii="Times New Roman" w:hAnsi="Times New Roman" w:cs="Times New Roman"/>
        </w:rPr>
        <w:t>sentencing</w:t>
      </w:r>
    </w:p>
    <w:p w:rsidR="00425040" w:rsidRPr="003C0052" w:rsidRDefault="00425040" w:rsidP="00E7752F">
      <w:pPr>
        <w:outlineLvl w:val="0"/>
        <w:rPr>
          <w:rFonts w:ascii="Times New Roman" w:hAnsi="Times New Roman" w:cs="Times New Roman"/>
          <w:b/>
        </w:rPr>
      </w:pPr>
    </w:p>
    <w:p w:rsidR="00DD4850" w:rsidRPr="003C0052" w:rsidRDefault="00F228BB" w:rsidP="00E7752F">
      <w:pPr>
        <w:outlineLvl w:val="0"/>
        <w:rPr>
          <w:rFonts w:ascii="Times New Roman" w:hAnsi="Times New Roman" w:cs="Times New Roman"/>
          <w:b/>
        </w:rPr>
      </w:pPr>
      <w:r w:rsidRPr="003C0052">
        <w:rPr>
          <w:rFonts w:ascii="Times New Roman" w:hAnsi="Times New Roman" w:cs="Times New Roman"/>
          <w:b/>
        </w:rPr>
        <w:t>Background</w:t>
      </w:r>
    </w:p>
    <w:p w:rsidR="00C2052A" w:rsidRPr="003C0052" w:rsidRDefault="00C2052A">
      <w:pPr>
        <w:rPr>
          <w:rFonts w:ascii="Times New Roman" w:hAnsi="Times New Roman" w:cs="Times New Roman"/>
          <w:b/>
        </w:rPr>
      </w:pPr>
    </w:p>
    <w:p w:rsidR="008D25B9" w:rsidRPr="003C0052" w:rsidRDefault="002732AD" w:rsidP="00197B88">
      <w:pPr>
        <w:spacing w:line="360" w:lineRule="auto"/>
        <w:jc w:val="both"/>
        <w:rPr>
          <w:rFonts w:ascii="Times New Roman" w:hAnsi="Times New Roman" w:cs="Times New Roman"/>
        </w:rPr>
      </w:pPr>
      <w:r w:rsidRPr="003C0052">
        <w:rPr>
          <w:rFonts w:ascii="Times New Roman" w:hAnsi="Times New Roman" w:cs="Times New Roman"/>
        </w:rPr>
        <w:t xml:space="preserve">In 2000, the Police Foundation published its </w:t>
      </w:r>
      <w:r w:rsidR="00EF5412" w:rsidRPr="003C0052">
        <w:rPr>
          <w:rFonts w:ascii="Times New Roman" w:hAnsi="Times New Roman" w:cs="Times New Roman"/>
        </w:rPr>
        <w:t>i</w:t>
      </w:r>
      <w:r w:rsidRPr="003C0052">
        <w:rPr>
          <w:rFonts w:ascii="Times New Roman" w:hAnsi="Times New Roman" w:cs="Times New Roman"/>
        </w:rPr>
        <w:t>nquiry into</w:t>
      </w:r>
      <w:r w:rsidR="00A92235" w:rsidRPr="003C0052">
        <w:rPr>
          <w:rFonts w:ascii="Times New Roman" w:hAnsi="Times New Roman" w:cs="Times New Roman"/>
        </w:rPr>
        <w:t xml:space="preserve"> </w:t>
      </w:r>
      <w:r w:rsidRPr="003C0052">
        <w:rPr>
          <w:rFonts w:ascii="Times New Roman" w:hAnsi="Times New Roman" w:cs="Times New Roman"/>
        </w:rPr>
        <w:t>the</w:t>
      </w:r>
      <w:r w:rsidR="00F269BE" w:rsidRPr="003C0052">
        <w:rPr>
          <w:rFonts w:ascii="Times New Roman" w:hAnsi="Times New Roman" w:cs="Times New Roman"/>
        </w:rPr>
        <w:t xml:space="preserve"> United Kingdom’s</w:t>
      </w:r>
      <w:r w:rsidRPr="003C0052">
        <w:rPr>
          <w:rFonts w:ascii="Times New Roman" w:hAnsi="Times New Roman" w:cs="Times New Roman"/>
        </w:rPr>
        <w:t xml:space="preserve"> Misuse of Drugs Act 1971, and in it raised the issue</w:t>
      </w:r>
      <w:r w:rsidR="00EB5660" w:rsidRPr="003C0052">
        <w:rPr>
          <w:rFonts w:ascii="Times New Roman" w:hAnsi="Times New Roman" w:cs="Times New Roman"/>
        </w:rPr>
        <w:t xml:space="preserve"> </w:t>
      </w:r>
      <w:r w:rsidR="00A92235" w:rsidRPr="003C0052">
        <w:rPr>
          <w:rFonts w:ascii="Times New Roman" w:hAnsi="Times New Roman" w:cs="Times New Roman"/>
        </w:rPr>
        <w:t xml:space="preserve">that too </w:t>
      </w:r>
      <w:r w:rsidRPr="003C0052">
        <w:rPr>
          <w:rFonts w:ascii="Times New Roman" w:hAnsi="Times New Roman" w:cs="Times New Roman"/>
        </w:rPr>
        <w:t>many of those prosecuted for supply</w:t>
      </w:r>
      <w:r w:rsidR="00C1287B" w:rsidRPr="003C0052">
        <w:rPr>
          <w:rFonts w:ascii="Times New Roman" w:hAnsi="Times New Roman" w:cs="Times New Roman"/>
        </w:rPr>
        <w:t xml:space="preserve"> offence</w:t>
      </w:r>
      <w:r w:rsidR="009232C6" w:rsidRPr="003C0052">
        <w:rPr>
          <w:rFonts w:ascii="Times New Roman" w:hAnsi="Times New Roman" w:cs="Times New Roman"/>
        </w:rPr>
        <w:t>s</w:t>
      </w:r>
      <w:r w:rsidRPr="003C0052">
        <w:rPr>
          <w:rFonts w:ascii="Times New Roman" w:hAnsi="Times New Roman" w:cs="Times New Roman"/>
        </w:rPr>
        <w:t xml:space="preserve"> </w:t>
      </w:r>
      <w:r w:rsidR="00815AE2" w:rsidRPr="003C0052">
        <w:rPr>
          <w:rFonts w:ascii="Times New Roman" w:hAnsi="Times New Roman" w:cs="Times New Roman"/>
        </w:rPr>
        <w:t xml:space="preserve">did not resemble </w:t>
      </w:r>
      <w:r w:rsidRPr="003C0052">
        <w:rPr>
          <w:rFonts w:ascii="Times New Roman" w:hAnsi="Times New Roman" w:cs="Times New Roman"/>
        </w:rPr>
        <w:t xml:space="preserve">the type of supplier that the Act was </w:t>
      </w:r>
      <w:r w:rsidR="00F03853" w:rsidRPr="003C0052">
        <w:rPr>
          <w:rFonts w:ascii="Times New Roman" w:hAnsi="Times New Roman" w:cs="Times New Roman"/>
        </w:rPr>
        <w:t>initially</w:t>
      </w:r>
      <w:r w:rsidR="009232C6" w:rsidRPr="003C0052">
        <w:rPr>
          <w:rFonts w:ascii="Times New Roman" w:hAnsi="Times New Roman" w:cs="Times New Roman"/>
        </w:rPr>
        <w:t xml:space="preserve"> </w:t>
      </w:r>
      <w:r w:rsidRPr="003C0052">
        <w:rPr>
          <w:rFonts w:ascii="Times New Roman" w:hAnsi="Times New Roman" w:cs="Times New Roman"/>
        </w:rPr>
        <w:t>designed to</w:t>
      </w:r>
      <w:r w:rsidR="00EB5660" w:rsidRPr="003C0052">
        <w:rPr>
          <w:rFonts w:ascii="Times New Roman" w:hAnsi="Times New Roman" w:cs="Times New Roman"/>
        </w:rPr>
        <w:t xml:space="preserve"> </w:t>
      </w:r>
      <w:r w:rsidRPr="003C0052">
        <w:rPr>
          <w:rFonts w:ascii="Times New Roman" w:hAnsi="Times New Roman" w:cs="Times New Roman"/>
        </w:rPr>
        <w:t>capture and prosecute</w:t>
      </w:r>
      <w:r w:rsidR="00052B65" w:rsidRPr="003C0052">
        <w:rPr>
          <w:rFonts w:ascii="Times New Roman" w:hAnsi="Times New Roman" w:cs="Times New Roman"/>
        </w:rPr>
        <w:t xml:space="preserve"> (Coomber &amp; Moyle, 2013)</w:t>
      </w:r>
      <w:r w:rsidR="00FA5E89" w:rsidRPr="003C0052">
        <w:rPr>
          <w:rFonts w:ascii="Times New Roman" w:hAnsi="Times New Roman" w:cs="Times New Roman"/>
        </w:rPr>
        <w:t xml:space="preserve">. </w:t>
      </w:r>
      <w:r w:rsidR="00F81518" w:rsidRPr="003C0052">
        <w:rPr>
          <w:rFonts w:ascii="Times New Roman" w:hAnsi="Times New Roman" w:cs="Times New Roman"/>
        </w:rPr>
        <w:t>Specifically, t</w:t>
      </w:r>
      <w:r w:rsidR="00C1287B" w:rsidRPr="003C0052">
        <w:rPr>
          <w:rFonts w:ascii="Times New Roman" w:hAnsi="Times New Roman" w:cs="Times New Roman"/>
        </w:rPr>
        <w:t>he report</w:t>
      </w:r>
      <w:r w:rsidR="00E265B2" w:rsidRPr="003C0052">
        <w:rPr>
          <w:rFonts w:ascii="Times New Roman" w:hAnsi="Times New Roman" w:cs="Times New Roman"/>
        </w:rPr>
        <w:t xml:space="preserve"> distinguished between</w:t>
      </w:r>
      <w:r w:rsidRPr="003C0052">
        <w:rPr>
          <w:rFonts w:ascii="Times New Roman" w:hAnsi="Times New Roman" w:cs="Times New Roman"/>
        </w:rPr>
        <w:t xml:space="preserve"> ‘dealers proper’, whose</w:t>
      </w:r>
      <w:r w:rsidR="00A92235" w:rsidRPr="003C0052">
        <w:rPr>
          <w:rFonts w:ascii="Times New Roman" w:hAnsi="Times New Roman" w:cs="Times New Roman"/>
        </w:rPr>
        <w:t xml:space="preserve"> </w:t>
      </w:r>
      <w:r w:rsidRPr="003C0052">
        <w:rPr>
          <w:rFonts w:ascii="Times New Roman" w:hAnsi="Times New Roman" w:cs="Times New Roman"/>
        </w:rPr>
        <w:t>supply activity was essentially commercial in nature</w:t>
      </w:r>
      <w:r w:rsidR="00EB5660" w:rsidRPr="003C0052">
        <w:rPr>
          <w:rFonts w:ascii="Times New Roman" w:hAnsi="Times New Roman" w:cs="Times New Roman"/>
        </w:rPr>
        <w:t xml:space="preserve"> </w:t>
      </w:r>
      <w:r w:rsidR="00E265B2" w:rsidRPr="003C0052">
        <w:rPr>
          <w:rFonts w:ascii="Times New Roman" w:hAnsi="Times New Roman" w:cs="Times New Roman"/>
        </w:rPr>
        <w:t>and</w:t>
      </w:r>
      <w:r w:rsidR="00A1581B" w:rsidRPr="003C0052">
        <w:rPr>
          <w:rFonts w:ascii="Times New Roman" w:hAnsi="Times New Roman" w:cs="Times New Roman"/>
        </w:rPr>
        <w:t xml:space="preserve"> characterised by a more seriou</w:t>
      </w:r>
      <w:r w:rsidR="00605FF2" w:rsidRPr="003C0052">
        <w:rPr>
          <w:rFonts w:ascii="Times New Roman" w:hAnsi="Times New Roman" w:cs="Times New Roman"/>
        </w:rPr>
        <w:t>s culpability</w:t>
      </w:r>
      <w:r w:rsidR="001F2845" w:rsidRPr="003C0052">
        <w:rPr>
          <w:rFonts w:ascii="Times New Roman" w:hAnsi="Times New Roman" w:cs="Times New Roman"/>
        </w:rPr>
        <w:t>,</w:t>
      </w:r>
      <w:r w:rsidR="00E265B2" w:rsidRPr="003C0052">
        <w:rPr>
          <w:rFonts w:ascii="Times New Roman" w:hAnsi="Times New Roman" w:cs="Times New Roman"/>
        </w:rPr>
        <w:t xml:space="preserve"> with </w:t>
      </w:r>
      <w:r w:rsidR="009D76F3" w:rsidRPr="003C0052">
        <w:rPr>
          <w:rFonts w:ascii="Times New Roman" w:hAnsi="Times New Roman" w:cs="Times New Roman"/>
        </w:rPr>
        <w:t xml:space="preserve">supply ‘for the purposes of small-scale consumption between friends’ which were considered  </w:t>
      </w:r>
      <w:r w:rsidR="00E265B2" w:rsidRPr="003C0052">
        <w:rPr>
          <w:rFonts w:ascii="Times New Roman" w:hAnsi="Times New Roman" w:cs="Times New Roman"/>
        </w:rPr>
        <w:t>‘acts of a different gravity’</w:t>
      </w:r>
      <w:r w:rsidR="009D76F3" w:rsidRPr="003C0052">
        <w:rPr>
          <w:rFonts w:ascii="Times New Roman" w:hAnsi="Times New Roman" w:cs="Times New Roman"/>
        </w:rPr>
        <w:t xml:space="preserve"> (</w:t>
      </w:r>
      <w:r w:rsidR="004F0955" w:rsidRPr="003C0052">
        <w:rPr>
          <w:rFonts w:ascii="Times New Roman" w:hAnsi="Times New Roman" w:cs="Times New Roman"/>
          <w:i/>
        </w:rPr>
        <w:t xml:space="preserve">Police Foundation </w:t>
      </w:r>
      <w:r w:rsidR="009D76F3" w:rsidRPr="003C0052">
        <w:rPr>
          <w:rFonts w:ascii="Times New Roman" w:hAnsi="Times New Roman" w:cs="Times New Roman"/>
        </w:rPr>
        <w:t>p</w:t>
      </w:r>
      <w:r w:rsidR="00A03EEA" w:rsidRPr="003C0052">
        <w:rPr>
          <w:rFonts w:ascii="Times New Roman" w:hAnsi="Times New Roman" w:cs="Times New Roman"/>
        </w:rPr>
        <w:t>.</w:t>
      </w:r>
      <w:r w:rsidR="009D76F3" w:rsidRPr="003C0052">
        <w:rPr>
          <w:rFonts w:ascii="Times New Roman" w:hAnsi="Times New Roman" w:cs="Times New Roman"/>
        </w:rPr>
        <w:t>63).</w:t>
      </w:r>
      <w:r w:rsidR="00A03EEA" w:rsidRPr="003C0052">
        <w:rPr>
          <w:rFonts w:ascii="Times New Roman" w:hAnsi="Times New Roman" w:cs="Times New Roman"/>
        </w:rPr>
        <w:t xml:space="preserve"> </w:t>
      </w:r>
      <w:r w:rsidR="008A6909" w:rsidRPr="003C0052">
        <w:rPr>
          <w:rFonts w:ascii="Times New Roman" w:hAnsi="Times New Roman" w:cs="Times New Roman"/>
        </w:rPr>
        <w:t>The r</w:t>
      </w:r>
      <w:r w:rsidR="00640A33" w:rsidRPr="003C0052">
        <w:rPr>
          <w:rFonts w:ascii="Times New Roman" w:hAnsi="Times New Roman" w:cs="Times New Roman"/>
        </w:rPr>
        <w:t xml:space="preserve">ecommendations of the </w:t>
      </w:r>
      <w:proofErr w:type="spellStart"/>
      <w:r w:rsidR="00640A33" w:rsidRPr="003C0052">
        <w:rPr>
          <w:rFonts w:ascii="Times New Roman" w:hAnsi="Times New Roman" w:cs="Times New Roman"/>
        </w:rPr>
        <w:t>Runciman</w:t>
      </w:r>
      <w:proofErr w:type="spellEnd"/>
      <w:r w:rsidR="00640A33" w:rsidRPr="003C0052">
        <w:rPr>
          <w:rFonts w:ascii="Times New Roman" w:hAnsi="Times New Roman" w:cs="Times New Roman"/>
        </w:rPr>
        <w:t xml:space="preserve"> R</w:t>
      </w:r>
      <w:r w:rsidR="008A6909" w:rsidRPr="003C0052">
        <w:rPr>
          <w:rFonts w:ascii="Times New Roman" w:hAnsi="Times New Roman" w:cs="Times New Roman"/>
        </w:rPr>
        <w:t xml:space="preserve">eport </w:t>
      </w:r>
      <w:r w:rsidR="009D76F3" w:rsidRPr="003C0052">
        <w:rPr>
          <w:rFonts w:ascii="Times New Roman" w:hAnsi="Times New Roman" w:cs="Times New Roman"/>
        </w:rPr>
        <w:t xml:space="preserve">(as it became known) </w:t>
      </w:r>
      <w:r w:rsidR="00052B65" w:rsidRPr="003C0052">
        <w:rPr>
          <w:rFonts w:ascii="Times New Roman" w:hAnsi="Times New Roman" w:cs="Times New Roman"/>
        </w:rPr>
        <w:t>came at a moment in which many ‘developed’ nations were recognising</w:t>
      </w:r>
      <w:r w:rsidR="006F69A1" w:rsidRPr="003C0052">
        <w:rPr>
          <w:rFonts w:ascii="Times New Roman" w:hAnsi="Times New Roman" w:cs="Times New Roman"/>
        </w:rPr>
        <w:t>,</w:t>
      </w:r>
      <w:r w:rsidR="00052B65" w:rsidRPr="003C0052">
        <w:rPr>
          <w:rFonts w:ascii="Times New Roman" w:hAnsi="Times New Roman" w:cs="Times New Roman"/>
        </w:rPr>
        <w:t xml:space="preserve"> and </w:t>
      </w:r>
      <w:r w:rsidR="00FB524B" w:rsidRPr="003C0052">
        <w:rPr>
          <w:rFonts w:ascii="Times New Roman" w:hAnsi="Times New Roman" w:cs="Times New Roman"/>
        </w:rPr>
        <w:t xml:space="preserve">in some cases </w:t>
      </w:r>
      <w:r w:rsidR="00052B65" w:rsidRPr="003C0052">
        <w:rPr>
          <w:rFonts w:ascii="Times New Roman" w:hAnsi="Times New Roman" w:cs="Times New Roman"/>
        </w:rPr>
        <w:t>accepting</w:t>
      </w:r>
      <w:r w:rsidR="00605FF2" w:rsidRPr="003C0052">
        <w:rPr>
          <w:rFonts w:ascii="Times New Roman" w:hAnsi="Times New Roman" w:cs="Times New Roman"/>
        </w:rPr>
        <w:t xml:space="preserve"> the</w:t>
      </w:r>
      <w:r w:rsidR="00052B65" w:rsidRPr="003C0052">
        <w:rPr>
          <w:rFonts w:ascii="Times New Roman" w:hAnsi="Times New Roman" w:cs="Times New Roman"/>
        </w:rPr>
        <w:t xml:space="preserve"> </w:t>
      </w:r>
      <w:r w:rsidR="000E7522" w:rsidRPr="003C0052">
        <w:rPr>
          <w:rFonts w:ascii="Times New Roman" w:hAnsi="Times New Roman" w:cs="Times New Roman"/>
        </w:rPr>
        <w:t>‘</w:t>
      </w:r>
      <w:r w:rsidR="00FB524B" w:rsidRPr="003C0052">
        <w:rPr>
          <w:rFonts w:ascii="Times New Roman" w:hAnsi="Times New Roman" w:cs="Times New Roman"/>
        </w:rPr>
        <w:t>normalisation</w:t>
      </w:r>
      <w:r w:rsidR="000E7522" w:rsidRPr="003C0052">
        <w:rPr>
          <w:rFonts w:ascii="Times New Roman" w:hAnsi="Times New Roman" w:cs="Times New Roman"/>
        </w:rPr>
        <w:t>’</w:t>
      </w:r>
      <w:r w:rsidR="00BD3A69" w:rsidRPr="003C0052">
        <w:rPr>
          <w:rFonts w:ascii="Times New Roman" w:hAnsi="Times New Roman" w:cs="Times New Roman"/>
        </w:rPr>
        <w:t xml:space="preserve"> (Parker, Aldridge &amp; </w:t>
      </w:r>
      <w:proofErr w:type="spellStart"/>
      <w:r w:rsidR="00BD3A69" w:rsidRPr="003C0052">
        <w:rPr>
          <w:rFonts w:ascii="Times New Roman" w:hAnsi="Times New Roman" w:cs="Times New Roman"/>
        </w:rPr>
        <w:t>Measham</w:t>
      </w:r>
      <w:proofErr w:type="spellEnd"/>
      <w:r w:rsidR="00BD3A69" w:rsidRPr="003C0052">
        <w:rPr>
          <w:rFonts w:ascii="Times New Roman" w:hAnsi="Times New Roman" w:cs="Times New Roman"/>
        </w:rPr>
        <w:t xml:space="preserve">, </w:t>
      </w:r>
      <w:r w:rsidR="00693B38" w:rsidRPr="003C0052">
        <w:rPr>
          <w:rFonts w:ascii="Times New Roman" w:hAnsi="Times New Roman" w:cs="Times New Roman"/>
        </w:rPr>
        <w:t>1998)</w:t>
      </w:r>
      <w:r w:rsidR="00FB524B" w:rsidRPr="003C0052">
        <w:rPr>
          <w:rFonts w:ascii="Times New Roman" w:hAnsi="Times New Roman" w:cs="Times New Roman"/>
        </w:rPr>
        <w:t xml:space="preserve"> of </w:t>
      </w:r>
      <w:r w:rsidR="007844BF" w:rsidRPr="003C0052">
        <w:rPr>
          <w:rFonts w:ascii="Times New Roman" w:hAnsi="Times New Roman" w:cs="Times New Roman"/>
        </w:rPr>
        <w:t xml:space="preserve">recreational </w:t>
      </w:r>
      <w:r w:rsidR="00FB524B" w:rsidRPr="003C0052">
        <w:rPr>
          <w:rFonts w:ascii="Times New Roman" w:hAnsi="Times New Roman" w:cs="Times New Roman"/>
        </w:rPr>
        <w:t>drug use</w:t>
      </w:r>
      <w:r w:rsidR="00FD629B" w:rsidRPr="003C0052">
        <w:rPr>
          <w:rFonts w:ascii="Times New Roman" w:hAnsi="Times New Roman" w:cs="Times New Roman"/>
        </w:rPr>
        <w:t xml:space="preserve">. </w:t>
      </w:r>
      <w:r w:rsidR="00640A33" w:rsidRPr="003C0052">
        <w:rPr>
          <w:rFonts w:ascii="Times New Roman" w:hAnsi="Times New Roman" w:cs="Times New Roman"/>
        </w:rPr>
        <w:t>A context of n</w:t>
      </w:r>
      <w:r w:rsidR="00FD629B" w:rsidRPr="003C0052">
        <w:rPr>
          <w:rFonts w:ascii="Times New Roman" w:hAnsi="Times New Roman" w:cs="Times New Roman"/>
        </w:rPr>
        <w:t xml:space="preserve">ormalisation does not mean </w:t>
      </w:r>
      <w:r w:rsidR="00640A33" w:rsidRPr="003C0052">
        <w:rPr>
          <w:rFonts w:ascii="Times New Roman" w:hAnsi="Times New Roman" w:cs="Times New Roman"/>
        </w:rPr>
        <w:t xml:space="preserve">that </w:t>
      </w:r>
      <w:r w:rsidR="00FD629B" w:rsidRPr="003C0052">
        <w:rPr>
          <w:rFonts w:ascii="Times New Roman" w:hAnsi="Times New Roman" w:cs="Times New Roman"/>
        </w:rPr>
        <w:t>‘everyone’ is now a drug user</w:t>
      </w:r>
      <w:r w:rsidR="0044044F" w:rsidRPr="003C0052">
        <w:rPr>
          <w:rFonts w:ascii="Times New Roman" w:hAnsi="Times New Roman" w:cs="Times New Roman"/>
        </w:rPr>
        <w:t xml:space="preserve">, nor </w:t>
      </w:r>
      <w:r w:rsidR="00640A33" w:rsidRPr="003C0052">
        <w:rPr>
          <w:rFonts w:ascii="Times New Roman" w:hAnsi="Times New Roman" w:cs="Times New Roman"/>
        </w:rPr>
        <w:t xml:space="preserve">that drug use is generally condoned. It does however, </w:t>
      </w:r>
      <w:r w:rsidR="002B3B48" w:rsidRPr="003C0052">
        <w:rPr>
          <w:rFonts w:ascii="Times New Roman" w:hAnsi="Times New Roman" w:cs="Times New Roman"/>
        </w:rPr>
        <w:t xml:space="preserve">suggest that </w:t>
      </w:r>
      <w:r w:rsidR="00640A33" w:rsidRPr="003C0052">
        <w:rPr>
          <w:rFonts w:ascii="Times New Roman" w:hAnsi="Times New Roman" w:cs="Times New Roman"/>
        </w:rPr>
        <w:t xml:space="preserve">recreational </w:t>
      </w:r>
      <w:r w:rsidR="00FD629B" w:rsidRPr="003C0052">
        <w:rPr>
          <w:rFonts w:ascii="Times New Roman" w:hAnsi="Times New Roman" w:cs="Times New Roman"/>
        </w:rPr>
        <w:t>drug use</w:t>
      </w:r>
      <w:r w:rsidR="00640A33" w:rsidRPr="003C0052">
        <w:rPr>
          <w:rFonts w:ascii="Times New Roman" w:hAnsi="Times New Roman" w:cs="Times New Roman"/>
        </w:rPr>
        <w:t xml:space="preserve"> has shifted from a behaviour for those in some way on the margins of society to place whereby most recreational drug use is now comparatively mainstream and where users </w:t>
      </w:r>
      <w:r w:rsidR="00FD629B" w:rsidRPr="003C0052">
        <w:rPr>
          <w:rFonts w:ascii="Times New Roman" w:hAnsi="Times New Roman" w:cs="Times New Roman"/>
        </w:rPr>
        <w:t>are now as likely to come from a range of ‘normal’ backgrounds crossing the social spectrum as be associated with socially excluded populations (South, 1999).</w:t>
      </w:r>
      <w:r w:rsidR="00042529" w:rsidRPr="003C0052">
        <w:rPr>
          <w:rFonts w:ascii="Times New Roman" w:hAnsi="Times New Roman" w:cs="Times New Roman"/>
        </w:rPr>
        <w:t xml:space="preserve"> </w:t>
      </w:r>
      <w:r w:rsidR="004F0955" w:rsidRPr="003C0052">
        <w:rPr>
          <w:rFonts w:ascii="Times New Roman" w:hAnsi="Times New Roman" w:cs="Times New Roman"/>
        </w:rPr>
        <w:t xml:space="preserve">It also suggests that there has been a relative mind-shift in terms of mainstream acceptability of what was termed sensible recreational drug use. In the United States this mind-shift is being accompanied by new regulatory frameworks and in many countries around Europe by a relaxation of the prosecution of such use. </w:t>
      </w:r>
      <w:r w:rsidR="0040186B" w:rsidRPr="003C0052">
        <w:rPr>
          <w:rFonts w:ascii="Times New Roman" w:hAnsi="Times New Roman" w:cs="Times New Roman"/>
        </w:rPr>
        <w:t>With ‘se</w:t>
      </w:r>
      <w:r w:rsidR="00C22704" w:rsidRPr="003C0052">
        <w:rPr>
          <w:rFonts w:ascii="Times New Roman" w:hAnsi="Times New Roman" w:cs="Times New Roman"/>
        </w:rPr>
        <w:t>nsible’ recreational drug use</w:t>
      </w:r>
      <w:r w:rsidR="0040186B" w:rsidRPr="003C0052">
        <w:rPr>
          <w:rFonts w:ascii="Times New Roman" w:hAnsi="Times New Roman" w:cs="Times New Roman"/>
        </w:rPr>
        <w:t xml:space="preserve"> continuing to be gradually further accommodated into the lifestyles of ordinary young Britons</w:t>
      </w:r>
      <w:r w:rsidR="0076306F" w:rsidRPr="003C0052">
        <w:rPr>
          <w:rFonts w:ascii="Times New Roman" w:hAnsi="Times New Roman" w:cs="Times New Roman"/>
        </w:rPr>
        <w:t xml:space="preserve"> (Parker et a</w:t>
      </w:r>
      <w:r w:rsidR="0040186B" w:rsidRPr="003C0052">
        <w:rPr>
          <w:rFonts w:ascii="Times New Roman" w:hAnsi="Times New Roman" w:cs="Times New Roman"/>
        </w:rPr>
        <w:t>l.,</w:t>
      </w:r>
      <w:r w:rsidR="00BD3A69" w:rsidRPr="003C0052">
        <w:rPr>
          <w:rFonts w:ascii="Times New Roman" w:hAnsi="Times New Roman" w:cs="Times New Roman"/>
        </w:rPr>
        <w:t xml:space="preserve"> 1998</w:t>
      </w:r>
      <w:r w:rsidR="0040186B" w:rsidRPr="003C0052">
        <w:rPr>
          <w:rFonts w:ascii="Times New Roman" w:hAnsi="Times New Roman" w:cs="Times New Roman"/>
        </w:rPr>
        <w:t>),</w:t>
      </w:r>
      <w:r w:rsidR="007E0F77" w:rsidRPr="003C0052">
        <w:rPr>
          <w:rFonts w:ascii="Times New Roman" w:hAnsi="Times New Roman" w:cs="Times New Roman"/>
        </w:rPr>
        <w:t xml:space="preserve"> i</w:t>
      </w:r>
      <w:r w:rsidR="006C24E9" w:rsidRPr="003C0052">
        <w:rPr>
          <w:rFonts w:ascii="Times New Roman" w:hAnsi="Times New Roman" w:cs="Times New Roman"/>
        </w:rPr>
        <w:t xml:space="preserve">t </w:t>
      </w:r>
      <w:r w:rsidR="0076306F" w:rsidRPr="003C0052">
        <w:rPr>
          <w:rFonts w:ascii="Times New Roman" w:hAnsi="Times New Roman" w:cs="Times New Roman"/>
        </w:rPr>
        <w:t>has</w:t>
      </w:r>
      <w:r w:rsidR="005A4538" w:rsidRPr="003C0052">
        <w:rPr>
          <w:rFonts w:ascii="Times New Roman" w:hAnsi="Times New Roman" w:cs="Times New Roman"/>
        </w:rPr>
        <w:t xml:space="preserve"> recently</w:t>
      </w:r>
      <w:r w:rsidR="00543C68" w:rsidRPr="003C0052">
        <w:rPr>
          <w:rFonts w:ascii="Times New Roman" w:hAnsi="Times New Roman" w:cs="Times New Roman"/>
        </w:rPr>
        <w:t xml:space="preserve"> </w:t>
      </w:r>
      <w:r w:rsidR="0076306F" w:rsidRPr="003C0052">
        <w:rPr>
          <w:rFonts w:ascii="Times New Roman" w:hAnsi="Times New Roman" w:cs="Times New Roman"/>
        </w:rPr>
        <w:t xml:space="preserve">been </w:t>
      </w:r>
      <w:r w:rsidR="006C24E9" w:rsidRPr="003C0052">
        <w:rPr>
          <w:rFonts w:ascii="Times New Roman" w:hAnsi="Times New Roman" w:cs="Times New Roman"/>
        </w:rPr>
        <w:t xml:space="preserve">suggested that </w:t>
      </w:r>
      <w:r w:rsidR="006C24E9" w:rsidRPr="003C0052">
        <w:rPr>
          <w:rFonts w:ascii="Times New Roman" w:hAnsi="Times New Roman" w:cs="Times New Roman"/>
          <w:color w:val="2F2A2B"/>
          <w:lang w:eastAsia="en-GB"/>
        </w:rPr>
        <w:t xml:space="preserve">this relative normalisation of recreational drug use in the UK </w:t>
      </w:r>
      <w:r w:rsidR="004F0955" w:rsidRPr="003C0052">
        <w:rPr>
          <w:rFonts w:ascii="Times New Roman" w:hAnsi="Times New Roman" w:cs="Times New Roman"/>
          <w:color w:val="2F2A2B"/>
          <w:lang w:eastAsia="en-GB"/>
        </w:rPr>
        <w:t xml:space="preserve"> </w:t>
      </w:r>
      <w:r w:rsidR="006C24E9" w:rsidRPr="003C0052">
        <w:rPr>
          <w:rFonts w:ascii="Times New Roman" w:hAnsi="Times New Roman" w:cs="Times New Roman"/>
          <w:color w:val="2F2A2B"/>
          <w:lang w:eastAsia="en-GB"/>
        </w:rPr>
        <w:t>has been</w:t>
      </w:r>
      <w:r w:rsidR="006C24E9" w:rsidRPr="003C0052">
        <w:rPr>
          <w:rFonts w:ascii="Times New Roman" w:hAnsi="Times New Roman" w:cs="Times New Roman"/>
        </w:rPr>
        <w:t xml:space="preserve"> ‘</w:t>
      </w:r>
      <w:r w:rsidR="006C24E9" w:rsidRPr="003C0052">
        <w:rPr>
          <w:rFonts w:ascii="Times New Roman" w:hAnsi="Times New Roman" w:cs="Times New Roman"/>
          <w:color w:val="2F2A2B"/>
          <w:lang w:eastAsia="en-GB"/>
        </w:rPr>
        <w:t>productive of, and fused with</w:t>
      </w:r>
      <w:r w:rsidR="007E0F77" w:rsidRPr="003C0052">
        <w:rPr>
          <w:rFonts w:ascii="Times New Roman" w:hAnsi="Times New Roman" w:cs="Times New Roman"/>
          <w:color w:val="2F2A2B"/>
          <w:lang w:eastAsia="en-GB"/>
        </w:rPr>
        <w:t>’</w:t>
      </w:r>
      <w:r w:rsidR="006C24E9" w:rsidRPr="003C0052">
        <w:rPr>
          <w:rFonts w:ascii="Times New Roman" w:hAnsi="Times New Roman" w:cs="Times New Roman"/>
          <w:color w:val="2F2A2B"/>
          <w:lang w:eastAsia="en-GB"/>
        </w:rPr>
        <w:t xml:space="preserve"> the relativel</w:t>
      </w:r>
      <w:r w:rsidR="007E0F77" w:rsidRPr="003C0052">
        <w:rPr>
          <w:rFonts w:ascii="Times New Roman" w:hAnsi="Times New Roman" w:cs="Times New Roman"/>
          <w:color w:val="2F2A2B"/>
          <w:lang w:eastAsia="en-GB"/>
        </w:rPr>
        <w:t xml:space="preserve">y normalised, </w:t>
      </w:r>
      <w:r w:rsidR="006C24E9" w:rsidRPr="003C0052">
        <w:rPr>
          <w:rFonts w:ascii="Times New Roman" w:hAnsi="Times New Roman" w:cs="Times New Roman"/>
          <w:color w:val="2F2A2B"/>
          <w:lang w:eastAsia="en-GB"/>
        </w:rPr>
        <w:t xml:space="preserve">non-commercial </w:t>
      </w:r>
      <w:r w:rsidR="006C24E9" w:rsidRPr="003C0052">
        <w:rPr>
          <w:rFonts w:ascii="Times New Roman" w:hAnsi="Times New Roman" w:cs="Times New Roman"/>
          <w:i/>
          <w:color w:val="2F2A2B"/>
          <w:lang w:eastAsia="en-GB"/>
        </w:rPr>
        <w:t xml:space="preserve">supply </w:t>
      </w:r>
      <w:r w:rsidR="00BD3A69" w:rsidRPr="003C0052">
        <w:rPr>
          <w:rFonts w:ascii="Times New Roman" w:hAnsi="Times New Roman" w:cs="Times New Roman"/>
          <w:color w:val="2F2A2B"/>
          <w:lang w:eastAsia="en-GB"/>
        </w:rPr>
        <w:t>of recreational drugs’ (Coomber, Moyle &amp; South</w:t>
      </w:r>
      <w:r w:rsidR="006C24E9" w:rsidRPr="003C0052">
        <w:rPr>
          <w:rFonts w:ascii="Times New Roman" w:hAnsi="Times New Roman" w:cs="Times New Roman"/>
          <w:color w:val="2F2A2B"/>
          <w:lang w:eastAsia="en-GB"/>
        </w:rPr>
        <w:t>, 2015: 1).</w:t>
      </w:r>
      <w:r w:rsidR="006C24E9" w:rsidRPr="003C0052">
        <w:rPr>
          <w:rFonts w:ascii="Times New Roman" w:hAnsi="Times New Roman" w:cs="Times New Roman"/>
        </w:rPr>
        <w:t xml:space="preserve"> </w:t>
      </w:r>
      <w:r w:rsidR="00277C8A" w:rsidRPr="003C0052">
        <w:rPr>
          <w:rFonts w:ascii="Times New Roman" w:hAnsi="Times New Roman" w:cs="Times New Roman"/>
        </w:rPr>
        <w:t>In 2002</w:t>
      </w:r>
      <w:r w:rsidR="00C7345C" w:rsidRPr="003C0052">
        <w:rPr>
          <w:rFonts w:ascii="Times New Roman" w:hAnsi="Times New Roman" w:cs="Times New Roman"/>
        </w:rPr>
        <w:t>,</w:t>
      </w:r>
      <w:r w:rsidR="007A3301" w:rsidRPr="003C0052">
        <w:rPr>
          <w:rFonts w:ascii="Times New Roman" w:hAnsi="Times New Roman" w:cs="Times New Roman"/>
        </w:rPr>
        <w:t xml:space="preserve"> </w:t>
      </w:r>
      <w:r w:rsidR="00C7345C" w:rsidRPr="003C0052">
        <w:rPr>
          <w:rFonts w:ascii="Times New Roman" w:hAnsi="Times New Roman" w:cs="Times New Roman"/>
        </w:rPr>
        <w:t>a</w:t>
      </w:r>
      <w:r w:rsidR="006B4657" w:rsidRPr="003C0052">
        <w:rPr>
          <w:rFonts w:ascii="Times New Roman" w:hAnsi="Times New Roman" w:cs="Times New Roman"/>
        </w:rPr>
        <w:t xml:space="preserve">n </w:t>
      </w:r>
      <w:r w:rsidR="005F240A" w:rsidRPr="003C0052">
        <w:rPr>
          <w:rFonts w:ascii="Times New Roman" w:hAnsi="Times New Roman" w:cs="Times New Roman"/>
        </w:rPr>
        <w:t>‘</w:t>
      </w:r>
      <w:r w:rsidR="00FC3F10" w:rsidRPr="003C0052">
        <w:rPr>
          <w:rFonts w:ascii="Times New Roman" w:hAnsi="Times New Roman" w:cs="Times New Roman"/>
        </w:rPr>
        <w:t>i</w:t>
      </w:r>
      <w:r w:rsidR="005F240A" w:rsidRPr="003C0052">
        <w:rPr>
          <w:rFonts w:ascii="Times New Roman" w:hAnsi="Times New Roman" w:cs="Times New Roman"/>
        </w:rPr>
        <w:t xml:space="preserve">nformal drug </w:t>
      </w:r>
      <w:r w:rsidR="005F240A" w:rsidRPr="003C0052">
        <w:rPr>
          <w:rFonts w:ascii="Times New Roman" w:hAnsi="Times New Roman" w:cs="Times New Roman"/>
        </w:rPr>
        <w:lastRenderedPageBreak/>
        <w:t>distribution system’</w:t>
      </w:r>
      <w:r w:rsidR="006B4657" w:rsidRPr="003C0052">
        <w:rPr>
          <w:rFonts w:ascii="Times New Roman" w:hAnsi="Times New Roman" w:cs="Times New Roman"/>
        </w:rPr>
        <w:t xml:space="preserve"> </w:t>
      </w:r>
      <w:r w:rsidR="00C1587C" w:rsidRPr="003C0052">
        <w:rPr>
          <w:rFonts w:ascii="Times New Roman" w:hAnsi="Times New Roman" w:cs="Times New Roman"/>
        </w:rPr>
        <w:t xml:space="preserve">whereby friends and acquaintances ‘sort’ each other </w:t>
      </w:r>
      <w:r w:rsidR="00345DC4" w:rsidRPr="003C0052">
        <w:rPr>
          <w:rFonts w:ascii="Times New Roman" w:hAnsi="Times New Roman" w:cs="Times New Roman"/>
        </w:rPr>
        <w:t xml:space="preserve">with drugs </w:t>
      </w:r>
      <w:r w:rsidR="006B4657" w:rsidRPr="003C0052">
        <w:rPr>
          <w:rFonts w:ascii="Times New Roman" w:hAnsi="Times New Roman" w:cs="Times New Roman"/>
        </w:rPr>
        <w:t>was</w:t>
      </w:r>
      <w:r w:rsidR="003F0E71" w:rsidRPr="003C0052">
        <w:rPr>
          <w:rFonts w:ascii="Times New Roman" w:hAnsi="Times New Roman" w:cs="Times New Roman"/>
        </w:rPr>
        <w:t xml:space="preserve"> identified</w:t>
      </w:r>
      <w:r w:rsidR="006B4657" w:rsidRPr="003C0052">
        <w:rPr>
          <w:rFonts w:ascii="Times New Roman" w:hAnsi="Times New Roman" w:cs="Times New Roman"/>
        </w:rPr>
        <w:t xml:space="preserve"> </w:t>
      </w:r>
      <w:r w:rsidR="00CD3D4B" w:rsidRPr="003C0052">
        <w:rPr>
          <w:rFonts w:ascii="Times New Roman" w:hAnsi="Times New Roman" w:cs="Times New Roman"/>
        </w:rPr>
        <w:t>by Parker</w:t>
      </w:r>
      <w:r w:rsidR="00277C8A" w:rsidRPr="003C0052">
        <w:rPr>
          <w:rFonts w:ascii="Times New Roman" w:hAnsi="Times New Roman" w:cs="Times New Roman"/>
        </w:rPr>
        <w:t>, Williams and Aldridge</w:t>
      </w:r>
      <w:r w:rsidR="00CD3D4B" w:rsidRPr="003C0052">
        <w:rPr>
          <w:rFonts w:ascii="Times New Roman" w:hAnsi="Times New Roman" w:cs="Times New Roman"/>
        </w:rPr>
        <w:t xml:space="preserve"> </w:t>
      </w:r>
      <w:r w:rsidR="006B4657" w:rsidRPr="003C0052">
        <w:rPr>
          <w:rFonts w:ascii="Times New Roman" w:hAnsi="Times New Roman" w:cs="Times New Roman"/>
        </w:rPr>
        <w:t>as a consequence of the</w:t>
      </w:r>
      <w:r w:rsidR="00C1587C" w:rsidRPr="003C0052">
        <w:rPr>
          <w:rFonts w:ascii="Times New Roman" w:hAnsi="Times New Roman" w:cs="Times New Roman"/>
        </w:rPr>
        <w:t xml:space="preserve"> demand and </w:t>
      </w:r>
      <w:r w:rsidR="007A1777" w:rsidRPr="003C0052">
        <w:rPr>
          <w:rFonts w:ascii="Times New Roman" w:hAnsi="Times New Roman" w:cs="Times New Roman"/>
        </w:rPr>
        <w:t>accessibility</w:t>
      </w:r>
      <w:r w:rsidR="00C1587C" w:rsidRPr="003C0052">
        <w:rPr>
          <w:rFonts w:ascii="Times New Roman" w:hAnsi="Times New Roman" w:cs="Times New Roman"/>
        </w:rPr>
        <w:t xml:space="preserve"> associated with </w:t>
      </w:r>
      <w:r w:rsidR="00A17DD8" w:rsidRPr="003C0052">
        <w:rPr>
          <w:rFonts w:ascii="Times New Roman" w:hAnsi="Times New Roman" w:cs="Times New Roman"/>
        </w:rPr>
        <w:t xml:space="preserve">normalisation. </w:t>
      </w:r>
      <w:r w:rsidR="00532D14" w:rsidRPr="003C0052">
        <w:rPr>
          <w:rFonts w:ascii="Times New Roman" w:hAnsi="Times New Roman" w:cs="Times New Roman"/>
        </w:rPr>
        <w:t xml:space="preserve">Contemporary data </w:t>
      </w:r>
      <w:r w:rsidR="003F0E71" w:rsidRPr="003C0052">
        <w:rPr>
          <w:rFonts w:ascii="Times New Roman" w:hAnsi="Times New Roman" w:cs="Times New Roman"/>
        </w:rPr>
        <w:t xml:space="preserve">continues to </w:t>
      </w:r>
      <w:r w:rsidR="00532D14" w:rsidRPr="003C0052">
        <w:rPr>
          <w:rFonts w:ascii="Times New Roman" w:hAnsi="Times New Roman" w:cs="Times New Roman"/>
        </w:rPr>
        <w:t>support these themes (</w:t>
      </w:r>
      <w:r w:rsidR="00752A08" w:rsidRPr="003C0052">
        <w:rPr>
          <w:rFonts w:ascii="Times New Roman" w:hAnsi="Times New Roman" w:cs="Times New Roman"/>
        </w:rPr>
        <w:t>Coomber, Moyle &amp; South,</w:t>
      </w:r>
      <w:r w:rsidR="00532D14" w:rsidRPr="003C0052">
        <w:rPr>
          <w:rFonts w:ascii="Times New Roman" w:hAnsi="Times New Roman" w:cs="Times New Roman"/>
        </w:rPr>
        <w:t xml:space="preserve"> 2015), suggesting </w:t>
      </w:r>
      <w:r w:rsidR="00994E70" w:rsidRPr="003C0052">
        <w:rPr>
          <w:rFonts w:ascii="Times New Roman" w:hAnsi="Times New Roman" w:cs="Times New Roman"/>
        </w:rPr>
        <w:t xml:space="preserve">that recreational drug users </w:t>
      </w:r>
      <w:r w:rsidR="00BD3A69" w:rsidRPr="003C0052">
        <w:rPr>
          <w:rFonts w:ascii="Times New Roman" w:hAnsi="Times New Roman" w:cs="Times New Roman"/>
        </w:rPr>
        <w:t>engage in a range of distribution behaviours which include gift giving,</w:t>
      </w:r>
      <w:r w:rsidR="00994E70" w:rsidRPr="003C0052">
        <w:rPr>
          <w:rFonts w:ascii="Times New Roman" w:hAnsi="Times New Roman" w:cs="Times New Roman"/>
        </w:rPr>
        <w:t xml:space="preserve"> sharing</w:t>
      </w:r>
      <w:r w:rsidR="00B3234E" w:rsidRPr="003C0052">
        <w:rPr>
          <w:rFonts w:ascii="Times New Roman" w:hAnsi="Times New Roman" w:cs="Times New Roman"/>
        </w:rPr>
        <w:t xml:space="preserve"> </w:t>
      </w:r>
      <w:r w:rsidR="005059F8" w:rsidRPr="003C0052">
        <w:rPr>
          <w:rFonts w:ascii="Times New Roman" w:hAnsi="Times New Roman" w:cs="Times New Roman"/>
        </w:rPr>
        <w:t>(both</w:t>
      </w:r>
      <w:r w:rsidR="0085666E" w:rsidRPr="003C0052">
        <w:rPr>
          <w:rFonts w:ascii="Times New Roman" w:hAnsi="Times New Roman" w:cs="Times New Roman"/>
        </w:rPr>
        <w:t xml:space="preserve"> acts deemed as supply un</w:t>
      </w:r>
      <w:r w:rsidR="00532D14" w:rsidRPr="003C0052">
        <w:rPr>
          <w:rFonts w:ascii="Times New Roman" w:hAnsi="Times New Roman" w:cs="Times New Roman"/>
        </w:rPr>
        <w:t>der the Misuse of Drugs Act 1971</w:t>
      </w:r>
      <w:r w:rsidR="0085666E" w:rsidRPr="003C0052">
        <w:rPr>
          <w:rFonts w:ascii="Times New Roman" w:hAnsi="Times New Roman" w:cs="Times New Roman"/>
        </w:rPr>
        <w:t>)</w:t>
      </w:r>
      <w:r w:rsidR="00B3234E" w:rsidRPr="003C0052">
        <w:rPr>
          <w:rFonts w:ascii="Times New Roman" w:hAnsi="Times New Roman" w:cs="Times New Roman"/>
        </w:rPr>
        <w:t xml:space="preserve"> and act</w:t>
      </w:r>
      <w:r w:rsidR="00BD3A69" w:rsidRPr="003C0052">
        <w:rPr>
          <w:rFonts w:ascii="Times New Roman" w:hAnsi="Times New Roman" w:cs="Times New Roman"/>
        </w:rPr>
        <w:t>ing</w:t>
      </w:r>
      <w:r w:rsidR="00B3234E" w:rsidRPr="003C0052">
        <w:rPr>
          <w:rFonts w:ascii="Times New Roman" w:hAnsi="Times New Roman" w:cs="Times New Roman"/>
        </w:rPr>
        <w:t xml:space="preserve"> as ‘go-betweens’</w:t>
      </w:r>
      <w:r w:rsidR="0030560B" w:rsidRPr="003C0052">
        <w:rPr>
          <w:rFonts w:ascii="Times New Roman" w:hAnsi="Times New Roman" w:cs="Times New Roman"/>
        </w:rPr>
        <w:t xml:space="preserve"> who </w:t>
      </w:r>
      <w:r w:rsidR="00BD3A69" w:rsidRPr="003C0052">
        <w:rPr>
          <w:rFonts w:ascii="Times New Roman" w:hAnsi="Times New Roman" w:cs="Times New Roman"/>
        </w:rPr>
        <w:t xml:space="preserve">purchase </w:t>
      </w:r>
      <w:r w:rsidR="00B3234E" w:rsidRPr="003C0052">
        <w:rPr>
          <w:rFonts w:ascii="Times New Roman" w:hAnsi="Times New Roman" w:cs="Times New Roman"/>
        </w:rPr>
        <w:t>substances on behalf of the group (</w:t>
      </w:r>
      <w:r w:rsidR="00BD3A69" w:rsidRPr="003C0052">
        <w:rPr>
          <w:rFonts w:ascii="Times New Roman" w:hAnsi="Times New Roman" w:cs="Times New Roman"/>
        </w:rPr>
        <w:t xml:space="preserve">Murphy, Waldorf &amp; </w:t>
      </w:r>
      <w:proofErr w:type="spellStart"/>
      <w:r w:rsidR="00BD3A69" w:rsidRPr="003C0052">
        <w:rPr>
          <w:rFonts w:ascii="Times New Roman" w:hAnsi="Times New Roman" w:cs="Times New Roman"/>
        </w:rPr>
        <w:t>Reinarman</w:t>
      </w:r>
      <w:proofErr w:type="spellEnd"/>
      <w:r w:rsidR="0030560B" w:rsidRPr="003C0052">
        <w:rPr>
          <w:rFonts w:ascii="Times New Roman" w:hAnsi="Times New Roman" w:cs="Times New Roman"/>
        </w:rPr>
        <w:t>, 1990</w:t>
      </w:r>
      <w:r w:rsidR="00B3234E" w:rsidRPr="003C0052">
        <w:rPr>
          <w:rFonts w:ascii="Times New Roman" w:hAnsi="Times New Roman" w:cs="Times New Roman"/>
        </w:rPr>
        <w:t xml:space="preserve">; </w:t>
      </w:r>
      <w:proofErr w:type="spellStart"/>
      <w:r w:rsidR="00B3234E" w:rsidRPr="003C0052">
        <w:rPr>
          <w:rFonts w:ascii="Times New Roman" w:hAnsi="Times New Roman" w:cs="Times New Roman"/>
        </w:rPr>
        <w:t>Measham</w:t>
      </w:r>
      <w:proofErr w:type="spellEnd"/>
      <w:r w:rsidR="00CD3D4B" w:rsidRPr="003C0052">
        <w:rPr>
          <w:rFonts w:ascii="Times New Roman" w:hAnsi="Times New Roman" w:cs="Times New Roman"/>
        </w:rPr>
        <w:t xml:space="preserve">, Aldridge &amp; Parker, </w:t>
      </w:r>
      <w:r w:rsidR="00B3234E" w:rsidRPr="003C0052">
        <w:rPr>
          <w:rFonts w:ascii="Times New Roman" w:hAnsi="Times New Roman" w:cs="Times New Roman"/>
        </w:rPr>
        <w:t>2001</w:t>
      </w:r>
      <w:r w:rsidR="00BD3A69" w:rsidRPr="003C0052">
        <w:rPr>
          <w:rFonts w:ascii="Times New Roman" w:hAnsi="Times New Roman" w:cs="Times New Roman"/>
        </w:rPr>
        <w:t xml:space="preserve">; Coomber &amp; </w:t>
      </w:r>
      <w:r w:rsidR="0030560B" w:rsidRPr="003C0052">
        <w:rPr>
          <w:rFonts w:ascii="Times New Roman" w:hAnsi="Times New Roman" w:cs="Times New Roman"/>
        </w:rPr>
        <w:t>Moyle, 2013</w:t>
      </w:r>
      <w:r w:rsidR="00B3234E" w:rsidRPr="003C0052">
        <w:rPr>
          <w:rFonts w:ascii="Times New Roman" w:hAnsi="Times New Roman" w:cs="Times New Roman"/>
        </w:rPr>
        <w:t>)</w:t>
      </w:r>
      <w:r w:rsidR="00F86575" w:rsidRPr="003C0052">
        <w:rPr>
          <w:rFonts w:ascii="Times New Roman" w:hAnsi="Times New Roman" w:cs="Times New Roman"/>
        </w:rPr>
        <w:t xml:space="preserve">. </w:t>
      </w:r>
    </w:p>
    <w:p w:rsidR="008D25B9" w:rsidRPr="003C0052" w:rsidRDefault="008D25B9" w:rsidP="00197B88">
      <w:pPr>
        <w:spacing w:line="360" w:lineRule="auto"/>
        <w:jc w:val="both"/>
        <w:rPr>
          <w:rFonts w:ascii="Times New Roman" w:hAnsi="Times New Roman" w:cs="Times New Roman"/>
        </w:rPr>
      </w:pPr>
    </w:p>
    <w:p w:rsidR="005C0DF1" w:rsidRPr="003C0052" w:rsidRDefault="00012D63" w:rsidP="00197B88">
      <w:pPr>
        <w:spacing w:line="360" w:lineRule="auto"/>
        <w:jc w:val="both"/>
        <w:rPr>
          <w:rFonts w:ascii="Times New Roman" w:hAnsi="Times New Roman" w:cs="Times New Roman"/>
        </w:rPr>
      </w:pPr>
      <w:r w:rsidRPr="003C0052">
        <w:rPr>
          <w:rFonts w:ascii="Times New Roman" w:hAnsi="Times New Roman" w:cs="Times New Roman"/>
        </w:rPr>
        <w:t>It was this</w:t>
      </w:r>
      <w:r w:rsidR="00744CDE" w:rsidRPr="003C0052">
        <w:rPr>
          <w:rFonts w:ascii="Times New Roman" w:hAnsi="Times New Roman" w:cs="Times New Roman"/>
        </w:rPr>
        <w:t xml:space="preserve"> </w:t>
      </w:r>
      <w:r w:rsidR="006C24E9" w:rsidRPr="003C0052">
        <w:rPr>
          <w:rFonts w:ascii="Times New Roman" w:hAnsi="Times New Roman" w:cs="Times New Roman"/>
        </w:rPr>
        <w:t>propensity</w:t>
      </w:r>
      <w:r w:rsidR="0091211F" w:rsidRPr="003C0052">
        <w:rPr>
          <w:rFonts w:ascii="Times New Roman" w:hAnsi="Times New Roman" w:cs="Times New Roman"/>
        </w:rPr>
        <w:t xml:space="preserve"> for drug users </w:t>
      </w:r>
      <w:r w:rsidR="00DE714A" w:rsidRPr="003C0052">
        <w:rPr>
          <w:rFonts w:ascii="Times New Roman" w:hAnsi="Times New Roman" w:cs="Times New Roman"/>
        </w:rPr>
        <w:t xml:space="preserve">to </w:t>
      </w:r>
      <w:r w:rsidR="00524590" w:rsidRPr="003C0052">
        <w:rPr>
          <w:rFonts w:ascii="Times New Roman" w:hAnsi="Times New Roman" w:cs="Times New Roman"/>
        </w:rPr>
        <w:t xml:space="preserve">also </w:t>
      </w:r>
      <w:r w:rsidR="00DE714A" w:rsidRPr="003C0052">
        <w:rPr>
          <w:rFonts w:ascii="Times New Roman" w:hAnsi="Times New Roman" w:cs="Times New Roman"/>
        </w:rPr>
        <w:t xml:space="preserve">become involved in informal low-level </w:t>
      </w:r>
      <w:r w:rsidR="002D59DB" w:rsidRPr="003C0052">
        <w:rPr>
          <w:rFonts w:ascii="Times New Roman" w:hAnsi="Times New Roman" w:cs="Times New Roman"/>
        </w:rPr>
        <w:t>‘</w:t>
      </w:r>
      <w:r w:rsidR="00DE714A" w:rsidRPr="003C0052">
        <w:rPr>
          <w:rFonts w:ascii="Times New Roman" w:hAnsi="Times New Roman" w:cs="Times New Roman"/>
        </w:rPr>
        <w:t>supply</w:t>
      </w:r>
      <w:r w:rsidR="002D59DB" w:rsidRPr="003C0052">
        <w:rPr>
          <w:rFonts w:ascii="Times New Roman" w:hAnsi="Times New Roman" w:cs="Times New Roman"/>
        </w:rPr>
        <w:t>’</w:t>
      </w:r>
      <w:r w:rsidR="003F695C" w:rsidRPr="003C0052">
        <w:rPr>
          <w:rFonts w:ascii="Times New Roman" w:hAnsi="Times New Roman" w:cs="Times New Roman"/>
        </w:rPr>
        <w:t xml:space="preserve"> for little or no profit</w:t>
      </w:r>
      <w:r w:rsidR="0093470C" w:rsidRPr="003C0052">
        <w:rPr>
          <w:rFonts w:ascii="Times New Roman" w:hAnsi="Times New Roman" w:cs="Times New Roman"/>
        </w:rPr>
        <w:t xml:space="preserve"> to</w:t>
      </w:r>
      <w:r w:rsidR="003F695C" w:rsidRPr="003C0052">
        <w:rPr>
          <w:rFonts w:ascii="Times New Roman" w:hAnsi="Times New Roman" w:cs="Times New Roman"/>
        </w:rPr>
        <w:t>/between</w:t>
      </w:r>
      <w:r w:rsidR="0093470C" w:rsidRPr="003C0052">
        <w:rPr>
          <w:rFonts w:ascii="Times New Roman" w:hAnsi="Times New Roman" w:cs="Times New Roman"/>
        </w:rPr>
        <w:t xml:space="preserve"> friends and </w:t>
      </w:r>
      <w:r w:rsidR="0048779B" w:rsidRPr="003C0052">
        <w:rPr>
          <w:rFonts w:ascii="Times New Roman" w:hAnsi="Times New Roman" w:cs="Times New Roman"/>
        </w:rPr>
        <w:t>acquaintances</w:t>
      </w:r>
      <w:r w:rsidR="0093470C" w:rsidRPr="003C0052">
        <w:rPr>
          <w:rFonts w:ascii="Times New Roman" w:hAnsi="Times New Roman" w:cs="Times New Roman"/>
        </w:rPr>
        <w:t xml:space="preserve"> - </w:t>
      </w:r>
      <w:r w:rsidR="00524590" w:rsidRPr="003C0052">
        <w:rPr>
          <w:rFonts w:ascii="Times New Roman" w:hAnsi="Times New Roman" w:cs="Times New Roman"/>
        </w:rPr>
        <w:t>behaviours that we now understand as ‘social supply’</w:t>
      </w:r>
      <w:r w:rsidR="0093470C" w:rsidRPr="003C0052">
        <w:rPr>
          <w:rFonts w:ascii="Times New Roman" w:hAnsi="Times New Roman" w:cs="Times New Roman"/>
        </w:rPr>
        <w:t xml:space="preserve"> -</w:t>
      </w:r>
      <w:r w:rsidRPr="003C0052">
        <w:rPr>
          <w:rFonts w:ascii="Times New Roman" w:hAnsi="Times New Roman" w:cs="Times New Roman"/>
        </w:rPr>
        <w:t xml:space="preserve"> that</w:t>
      </w:r>
      <w:r w:rsidR="00CA103D" w:rsidRPr="003C0052">
        <w:rPr>
          <w:rFonts w:ascii="Times New Roman" w:hAnsi="Times New Roman" w:cs="Times New Roman"/>
        </w:rPr>
        <w:t xml:space="preserve"> </w:t>
      </w:r>
      <w:r w:rsidR="00DE714A" w:rsidRPr="003C0052">
        <w:rPr>
          <w:rFonts w:ascii="Times New Roman" w:hAnsi="Times New Roman" w:cs="Times New Roman"/>
        </w:rPr>
        <w:t xml:space="preserve">stoked much of </w:t>
      </w:r>
      <w:r w:rsidR="00EE4BC6" w:rsidRPr="003C0052">
        <w:rPr>
          <w:rFonts w:ascii="Times New Roman" w:hAnsi="Times New Roman" w:cs="Times New Roman"/>
        </w:rPr>
        <w:t>the</w:t>
      </w:r>
      <w:r w:rsidR="00DB110F" w:rsidRPr="003C0052">
        <w:rPr>
          <w:rFonts w:ascii="Times New Roman" w:hAnsi="Times New Roman" w:cs="Times New Roman"/>
        </w:rPr>
        <w:t xml:space="preserve"> concern</w:t>
      </w:r>
      <w:r w:rsidR="000E7522" w:rsidRPr="003C0052">
        <w:rPr>
          <w:rFonts w:ascii="Times New Roman" w:hAnsi="Times New Roman" w:cs="Times New Roman"/>
        </w:rPr>
        <w:t xml:space="preserve"> of the</w:t>
      </w:r>
      <w:r w:rsidR="00EE4BC6" w:rsidRPr="003C0052">
        <w:rPr>
          <w:rFonts w:ascii="Times New Roman" w:hAnsi="Times New Roman" w:cs="Times New Roman"/>
        </w:rPr>
        <w:t xml:space="preserve"> Police F</w:t>
      </w:r>
      <w:r w:rsidR="00DE714A" w:rsidRPr="003C0052">
        <w:rPr>
          <w:rFonts w:ascii="Times New Roman" w:hAnsi="Times New Roman" w:cs="Times New Roman"/>
        </w:rPr>
        <w:t xml:space="preserve">oundation </w:t>
      </w:r>
      <w:r w:rsidRPr="003C0052">
        <w:rPr>
          <w:rFonts w:ascii="Times New Roman" w:hAnsi="Times New Roman" w:cs="Times New Roman"/>
        </w:rPr>
        <w:t xml:space="preserve">and </w:t>
      </w:r>
      <w:r w:rsidR="00DF546B" w:rsidRPr="003C0052">
        <w:rPr>
          <w:rFonts w:ascii="Times New Roman" w:hAnsi="Times New Roman" w:cs="Times New Roman"/>
        </w:rPr>
        <w:t xml:space="preserve">called attention to the </w:t>
      </w:r>
      <w:r w:rsidR="00726F7E" w:rsidRPr="003C0052">
        <w:rPr>
          <w:rFonts w:ascii="Times New Roman" w:hAnsi="Times New Roman" w:cs="Times New Roman"/>
        </w:rPr>
        <w:t>issue of ‘difference’ in drug supply</w:t>
      </w:r>
      <w:r w:rsidR="00596A87" w:rsidRPr="003C0052">
        <w:rPr>
          <w:rFonts w:ascii="Times New Roman" w:hAnsi="Times New Roman" w:cs="Times New Roman"/>
        </w:rPr>
        <w:t xml:space="preserve"> </w:t>
      </w:r>
      <w:r w:rsidR="00C32EEF" w:rsidRPr="003C0052">
        <w:rPr>
          <w:rFonts w:ascii="Times New Roman" w:hAnsi="Times New Roman" w:cs="Times New Roman"/>
        </w:rPr>
        <w:t>over 15 years ago.</w:t>
      </w:r>
      <w:r w:rsidR="00A22588" w:rsidRPr="003C0052">
        <w:rPr>
          <w:rFonts w:ascii="Times New Roman" w:hAnsi="Times New Roman" w:cs="Times New Roman"/>
        </w:rPr>
        <w:t xml:space="preserve"> </w:t>
      </w:r>
      <w:r w:rsidR="00B34870" w:rsidRPr="003C0052">
        <w:rPr>
          <w:rFonts w:ascii="Times New Roman" w:hAnsi="Times New Roman" w:cs="Times New Roman"/>
        </w:rPr>
        <w:t>As</w:t>
      </w:r>
      <w:r w:rsidR="008D25B9" w:rsidRPr="003C0052">
        <w:rPr>
          <w:rFonts w:ascii="Times New Roman" w:hAnsi="Times New Roman" w:cs="Times New Roman"/>
        </w:rPr>
        <w:t xml:space="preserve"> </w:t>
      </w:r>
      <w:proofErr w:type="spellStart"/>
      <w:r w:rsidR="008D25B9" w:rsidRPr="003C0052">
        <w:rPr>
          <w:rFonts w:ascii="Times New Roman" w:hAnsi="Times New Roman" w:cs="Times New Roman"/>
        </w:rPr>
        <w:t>Runciman</w:t>
      </w:r>
      <w:proofErr w:type="spellEnd"/>
      <w:r w:rsidR="008D25B9" w:rsidRPr="003C0052">
        <w:rPr>
          <w:rFonts w:ascii="Times New Roman" w:hAnsi="Times New Roman" w:cs="Times New Roman"/>
        </w:rPr>
        <w:t xml:space="preserve"> notes, the</w:t>
      </w:r>
      <w:r w:rsidR="005C0DF1" w:rsidRPr="003C0052">
        <w:rPr>
          <w:rFonts w:ascii="Times New Roman" w:hAnsi="Times New Roman" w:cs="Times New Roman"/>
        </w:rPr>
        <w:t xml:space="preserve"> </w:t>
      </w:r>
      <w:r w:rsidR="008D25B9" w:rsidRPr="003C0052">
        <w:rPr>
          <w:rFonts w:ascii="Times New Roman" w:hAnsi="Times New Roman" w:cs="Times New Roman"/>
        </w:rPr>
        <w:t>drug supply sentencing</w:t>
      </w:r>
      <w:r w:rsidR="005C0DF1" w:rsidRPr="003C0052">
        <w:rPr>
          <w:rFonts w:ascii="Times New Roman" w:hAnsi="Times New Roman" w:cs="Times New Roman"/>
        </w:rPr>
        <w:t xml:space="preserve"> apparatus </w:t>
      </w:r>
      <w:r w:rsidR="00532D14" w:rsidRPr="003C0052">
        <w:rPr>
          <w:rFonts w:ascii="Times New Roman" w:hAnsi="Times New Roman" w:cs="Times New Roman"/>
        </w:rPr>
        <w:t>‘catches some activities</w:t>
      </w:r>
      <w:r w:rsidR="005C0DF1" w:rsidRPr="003C0052">
        <w:rPr>
          <w:rFonts w:ascii="Times New Roman" w:hAnsi="Times New Roman" w:cs="Times New Roman"/>
        </w:rPr>
        <w:t xml:space="preserve"> which it is highly misleading to regard as 'trafficking' in any serious sense or at all</w:t>
      </w:r>
      <w:r w:rsidR="00532D14" w:rsidRPr="003C0052">
        <w:rPr>
          <w:rFonts w:ascii="Times New Roman" w:hAnsi="Times New Roman" w:cs="Times New Roman"/>
        </w:rPr>
        <w:t>’</w:t>
      </w:r>
      <w:r w:rsidR="00A20DC4" w:rsidRPr="003C0052">
        <w:rPr>
          <w:rFonts w:ascii="Times New Roman" w:hAnsi="Times New Roman" w:cs="Times New Roman"/>
        </w:rPr>
        <w:t xml:space="preserve"> (</w:t>
      </w:r>
      <w:r w:rsidR="006F0764" w:rsidRPr="003C0052">
        <w:rPr>
          <w:rFonts w:ascii="Times New Roman" w:hAnsi="Times New Roman" w:cs="Times New Roman"/>
        </w:rPr>
        <w:t>p.62</w:t>
      </w:r>
      <w:r w:rsidR="005C0DF1" w:rsidRPr="003C0052">
        <w:rPr>
          <w:rFonts w:ascii="Times New Roman" w:hAnsi="Times New Roman" w:cs="Times New Roman"/>
        </w:rPr>
        <w:t>)</w:t>
      </w:r>
      <w:r w:rsidR="00F86575" w:rsidRPr="003C0052">
        <w:rPr>
          <w:rFonts w:ascii="Times New Roman" w:hAnsi="Times New Roman" w:cs="Times New Roman"/>
        </w:rPr>
        <w:t xml:space="preserve"> and </w:t>
      </w:r>
      <w:r w:rsidR="005C0DF1" w:rsidRPr="003C0052">
        <w:rPr>
          <w:rFonts w:ascii="Times New Roman" w:hAnsi="Times New Roman" w:cs="Times New Roman"/>
        </w:rPr>
        <w:t>many of those inhabiting social supply roles would also not see themselves as ‘‘real dealers’’ (</w:t>
      </w:r>
      <w:r w:rsidR="00A20538" w:rsidRPr="003C0052">
        <w:rPr>
          <w:rFonts w:ascii="Times New Roman" w:hAnsi="Times New Roman" w:cs="Times New Roman"/>
        </w:rPr>
        <w:t xml:space="preserve">Jacinto, </w:t>
      </w:r>
      <w:proofErr w:type="spellStart"/>
      <w:r w:rsidR="00A20538" w:rsidRPr="003C0052">
        <w:rPr>
          <w:rFonts w:ascii="Times New Roman" w:hAnsi="Times New Roman" w:cs="Times New Roman"/>
        </w:rPr>
        <w:t>Duterte</w:t>
      </w:r>
      <w:proofErr w:type="spellEnd"/>
      <w:r w:rsidR="00A20538" w:rsidRPr="003C0052">
        <w:rPr>
          <w:rFonts w:ascii="Times New Roman" w:hAnsi="Times New Roman" w:cs="Times New Roman"/>
        </w:rPr>
        <w:t xml:space="preserve">, Sales &amp; Murphy, </w:t>
      </w:r>
      <w:r w:rsidR="005C0DF1" w:rsidRPr="003C0052">
        <w:rPr>
          <w:rFonts w:ascii="Times New Roman" w:hAnsi="Times New Roman" w:cs="Times New Roman"/>
        </w:rPr>
        <w:t>2008) as commonly and legally understood, nor would many or most of those that they sell drugs to (Coomber</w:t>
      </w:r>
      <w:r w:rsidR="00D16348" w:rsidRPr="003C0052">
        <w:rPr>
          <w:rFonts w:ascii="Times New Roman" w:hAnsi="Times New Roman" w:cs="Times New Roman"/>
        </w:rPr>
        <w:t>,</w:t>
      </w:r>
      <w:r w:rsidR="00425040" w:rsidRPr="003C0052">
        <w:rPr>
          <w:rFonts w:ascii="Times New Roman" w:hAnsi="Times New Roman" w:cs="Times New Roman"/>
        </w:rPr>
        <w:t xml:space="preserve"> 2004</w:t>
      </w:r>
      <w:r w:rsidR="005C0DF1" w:rsidRPr="003C0052">
        <w:rPr>
          <w:rFonts w:ascii="Times New Roman" w:hAnsi="Times New Roman" w:cs="Times New Roman"/>
        </w:rPr>
        <w:t xml:space="preserve">; South, 2004). </w:t>
      </w:r>
      <w:r w:rsidR="002C6244" w:rsidRPr="003C0052">
        <w:rPr>
          <w:rFonts w:ascii="Times New Roman" w:hAnsi="Times New Roman" w:cs="Times New Roman"/>
        </w:rPr>
        <w:t>For drug users, d</w:t>
      </w:r>
      <w:r w:rsidR="002E173F" w:rsidRPr="003C0052">
        <w:rPr>
          <w:rFonts w:ascii="Times New Roman" w:hAnsi="Times New Roman" w:cs="Times New Roman"/>
        </w:rPr>
        <w:t>isproportionate sentences</w:t>
      </w:r>
      <w:r w:rsidR="002C6244" w:rsidRPr="003C0052">
        <w:rPr>
          <w:rFonts w:ascii="Times New Roman" w:hAnsi="Times New Roman" w:cs="Times New Roman"/>
        </w:rPr>
        <w:t xml:space="preserve"> can thus</w:t>
      </w:r>
      <w:r w:rsidR="002E173F" w:rsidRPr="003C0052">
        <w:rPr>
          <w:rFonts w:ascii="Times New Roman" w:hAnsi="Times New Roman" w:cs="Times New Roman"/>
        </w:rPr>
        <w:t xml:space="preserve"> </w:t>
      </w:r>
      <w:r w:rsidR="00F86575" w:rsidRPr="003C0052">
        <w:rPr>
          <w:rFonts w:ascii="Times New Roman" w:hAnsi="Times New Roman" w:cs="Times New Roman"/>
        </w:rPr>
        <w:t>occur because</w:t>
      </w:r>
      <w:r w:rsidR="002E173F" w:rsidRPr="003C0052">
        <w:rPr>
          <w:rFonts w:ascii="Times New Roman" w:hAnsi="Times New Roman" w:cs="Times New Roman"/>
        </w:rPr>
        <w:t xml:space="preserve"> </w:t>
      </w:r>
      <w:r w:rsidR="00F86575" w:rsidRPr="003C0052">
        <w:rPr>
          <w:rFonts w:ascii="Times New Roman" w:hAnsi="Times New Roman" w:cs="Times New Roman"/>
        </w:rPr>
        <w:t xml:space="preserve">the </w:t>
      </w:r>
      <w:r w:rsidR="005C0DF1" w:rsidRPr="003C0052">
        <w:rPr>
          <w:rFonts w:ascii="Times New Roman" w:hAnsi="Times New Roman" w:cs="Times New Roman"/>
        </w:rPr>
        <w:t xml:space="preserve">disjuncture between </w:t>
      </w:r>
      <w:r w:rsidR="00B23E40" w:rsidRPr="003C0052">
        <w:rPr>
          <w:rFonts w:ascii="Times New Roman" w:hAnsi="Times New Roman" w:cs="Times New Roman"/>
        </w:rPr>
        <w:t xml:space="preserve">drug </w:t>
      </w:r>
      <w:r w:rsidR="005C0DF1" w:rsidRPr="003C0052">
        <w:rPr>
          <w:rFonts w:ascii="Times New Roman" w:hAnsi="Times New Roman" w:cs="Times New Roman"/>
        </w:rPr>
        <w:t>use and supply has become less distinct or easily ob</w:t>
      </w:r>
      <w:r w:rsidR="00BD3A69" w:rsidRPr="003C0052">
        <w:rPr>
          <w:rFonts w:ascii="Times New Roman" w:hAnsi="Times New Roman" w:cs="Times New Roman"/>
        </w:rPr>
        <w:t>servable (Coomber et al.,</w:t>
      </w:r>
      <w:r w:rsidR="00B23E40" w:rsidRPr="003C0052">
        <w:rPr>
          <w:rFonts w:ascii="Times New Roman" w:hAnsi="Times New Roman" w:cs="Times New Roman"/>
        </w:rPr>
        <w:t xml:space="preserve"> 2015)</w:t>
      </w:r>
      <w:r w:rsidR="005C0DF1" w:rsidRPr="003C0052">
        <w:rPr>
          <w:rFonts w:ascii="Times New Roman" w:hAnsi="Times New Roman" w:cs="Times New Roman"/>
        </w:rPr>
        <w:t xml:space="preserve"> and the boundary between the two is </w:t>
      </w:r>
      <w:r w:rsidR="00B23E40" w:rsidRPr="003C0052">
        <w:rPr>
          <w:rFonts w:ascii="Times New Roman" w:hAnsi="Times New Roman" w:cs="Times New Roman"/>
        </w:rPr>
        <w:t xml:space="preserve">often </w:t>
      </w:r>
      <w:r w:rsidR="005C0DF1" w:rsidRPr="003C0052">
        <w:rPr>
          <w:rFonts w:ascii="Times New Roman" w:hAnsi="Times New Roman" w:cs="Times New Roman"/>
        </w:rPr>
        <w:t>blurred (</w:t>
      </w:r>
      <w:proofErr w:type="spellStart"/>
      <w:r w:rsidR="0042302F" w:rsidRPr="003C0052">
        <w:rPr>
          <w:rFonts w:ascii="Times New Roman" w:hAnsi="Times New Roman" w:cs="Times New Roman"/>
        </w:rPr>
        <w:t>Chatwin</w:t>
      </w:r>
      <w:proofErr w:type="spellEnd"/>
      <w:r w:rsidR="0042302F" w:rsidRPr="003C0052">
        <w:rPr>
          <w:rFonts w:ascii="Times New Roman" w:hAnsi="Times New Roman" w:cs="Times New Roman"/>
        </w:rPr>
        <w:t xml:space="preserve"> </w:t>
      </w:r>
      <w:r w:rsidR="00A80202" w:rsidRPr="003C0052">
        <w:rPr>
          <w:rFonts w:ascii="Times New Roman" w:hAnsi="Times New Roman" w:cs="Times New Roman"/>
        </w:rPr>
        <w:t xml:space="preserve">&amp; </w:t>
      </w:r>
      <w:r w:rsidR="0042302F" w:rsidRPr="003C0052">
        <w:rPr>
          <w:rFonts w:ascii="Times New Roman" w:hAnsi="Times New Roman" w:cs="Times New Roman"/>
        </w:rPr>
        <w:t>Potter, 2014</w:t>
      </w:r>
      <w:r w:rsidR="005C0DF1" w:rsidRPr="003C0052">
        <w:rPr>
          <w:rFonts w:ascii="Times New Roman" w:hAnsi="Times New Roman" w:cs="Times New Roman"/>
        </w:rPr>
        <w:t>).</w:t>
      </w:r>
      <w:r w:rsidR="005059F8" w:rsidRPr="003C0052">
        <w:rPr>
          <w:rFonts w:ascii="Times New Roman" w:hAnsi="Times New Roman" w:cs="Times New Roman"/>
        </w:rPr>
        <w:t xml:space="preserve"> These issues</w:t>
      </w:r>
      <w:r w:rsidR="00532D14" w:rsidRPr="003C0052">
        <w:rPr>
          <w:rFonts w:ascii="Times New Roman" w:hAnsi="Times New Roman" w:cs="Times New Roman"/>
        </w:rPr>
        <w:t xml:space="preserve"> are</w:t>
      </w:r>
      <w:r w:rsidR="005059F8" w:rsidRPr="003C0052">
        <w:rPr>
          <w:rFonts w:ascii="Times New Roman" w:hAnsi="Times New Roman" w:cs="Times New Roman"/>
        </w:rPr>
        <w:t xml:space="preserve"> not confined to the UK context, and as we shall see, </w:t>
      </w:r>
      <w:r w:rsidR="00532D14" w:rsidRPr="003C0052">
        <w:rPr>
          <w:rFonts w:ascii="Times New Roman" w:hAnsi="Times New Roman" w:cs="Times New Roman"/>
        </w:rPr>
        <w:t xml:space="preserve">many international </w:t>
      </w:r>
      <w:r w:rsidR="005059F8" w:rsidRPr="003C0052">
        <w:rPr>
          <w:rFonts w:ascii="Times New Roman" w:hAnsi="Times New Roman" w:cs="Times New Roman"/>
        </w:rPr>
        <w:t>sentencing frameworks</w:t>
      </w:r>
      <w:r w:rsidR="005C1E89" w:rsidRPr="003C0052">
        <w:rPr>
          <w:rFonts w:ascii="Times New Roman" w:hAnsi="Times New Roman" w:cs="Times New Roman"/>
        </w:rPr>
        <w:t>, in their rigidity</w:t>
      </w:r>
      <w:r w:rsidR="00425040" w:rsidRPr="003C0052">
        <w:rPr>
          <w:rFonts w:ascii="Times New Roman" w:hAnsi="Times New Roman" w:cs="Times New Roman"/>
        </w:rPr>
        <w:t>,</w:t>
      </w:r>
      <w:r w:rsidR="006B5471" w:rsidRPr="003C0052">
        <w:rPr>
          <w:rFonts w:ascii="Times New Roman" w:hAnsi="Times New Roman" w:cs="Times New Roman"/>
        </w:rPr>
        <w:t xml:space="preserve"> often</w:t>
      </w:r>
      <w:r w:rsidR="00532D14" w:rsidRPr="003C0052">
        <w:rPr>
          <w:rFonts w:ascii="Times New Roman" w:hAnsi="Times New Roman" w:cs="Times New Roman"/>
        </w:rPr>
        <w:t xml:space="preserve"> fail to recognise </w:t>
      </w:r>
      <w:r w:rsidR="005C1E89" w:rsidRPr="003C0052">
        <w:rPr>
          <w:rFonts w:ascii="Times New Roman" w:hAnsi="Times New Roman" w:cs="Times New Roman"/>
        </w:rPr>
        <w:t xml:space="preserve">or address </w:t>
      </w:r>
      <w:r w:rsidR="00532D14" w:rsidRPr="003C0052">
        <w:rPr>
          <w:rFonts w:ascii="Times New Roman" w:hAnsi="Times New Roman" w:cs="Times New Roman"/>
        </w:rPr>
        <w:t>the realities</w:t>
      </w:r>
      <w:r w:rsidR="005059F8" w:rsidRPr="003C0052">
        <w:rPr>
          <w:rFonts w:ascii="Times New Roman" w:hAnsi="Times New Roman" w:cs="Times New Roman"/>
        </w:rPr>
        <w:t xml:space="preserve"> of recreational drug use</w:t>
      </w:r>
      <w:r w:rsidR="009E4D71" w:rsidRPr="003C0052">
        <w:rPr>
          <w:rFonts w:ascii="Times New Roman" w:hAnsi="Times New Roman" w:cs="Times New Roman"/>
        </w:rPr>
        <w:t xml:space="preserve"> and access</w:t>
      </w:r>
      <w:r w:rsidR="005059F8" w:rsidRPr="003C0052">
        <w:rPr>
          <w:rFonts w:ascii="Times New Roman" w:hAnsi="Times New Roman" w:cs="Times New Roman"/>
        </w:rPr>
        <w:t xml:space="preserve"> </w:t>
      </w:r>
      <w:r w:rsidR="009E4D71" w:rsidRPr="003C0052">
        <w:rPr>
          <w:rFonts w:ascii="Times New Roman" w:hAnsi="Times New Roman" w:cs="Times New Roman"/>
        </w:rPr>
        <w:t xml:space="preserve">as it occurs in the real world, </w:t>
      </w:r>
      <w:r w:rsidR="00967469" w:rsidRPr="003C0052">
        <w:rPr>
          <w:rFonts w:ascii="Times New Roman" w:hAnsi="Times New Roman" w:cs="Times New Roman"/>
        </w:rPr>
        <w:t>with d</w:t>
      </w:r>
      <w:r w:rsidR="00252629" w:rsidRPr="003C0052">
        <w:rPr>
          <w:rFonts w:ascii="Times New Roman" w:hAnsi="Times New Roman" w:cs="Times New Roman"/>
        </w:rPr>
        <w:t>rug users/</w:t>
      </w:r>
      <w:r w:rsidR="00967469" w:rsidRPr="003C0052">
        <w:rPr>
          <w:rFonts w:ascii="Times New Roman" w:hAnsi="Times New Roman" w:cs="Times New Roman"/>
        </w:rPr>
        <w:t xml:space="preserve">social suppliers </w:t>
      </w:r>
      <w:r w:rsidR="002C6244" w:rsidRPr="003C0052">
        <w:rPr>
          <w:rFonts w:ascii="Times New Roman" w:hAnsi="Times New Roman" w:cs="Times New Roman"/>
        </w:rPr>
        <w:t xml:space="preserve">routinely </w:t>
      </w:r>
      <w:r w:rsidR="00967469" w:rsidRPr="003C0052">
        <w:rPr>
          <w:rFonts w:ascii="Times New Roman" w:hAnsi="Times New Roman" w:cs="Times New Roman"/>
        </w:rPr>
        <w:t>subject to</w:t>
      </w:r>
      <w:r w:rsidR="00A20538" w:rsidRPr="003C0052">
        <w:rPr>
          <w:rFonts w:ascii="Times New Roman" w:hAnsi="Times New Roman" w:cs="Times New Roman"/>
        </w:rPr>
        <w:t xml:space="preserve"> the</w:t>
      </w:r>
      <w:r w:rsidR="007F309F" w:rsidRPr="003C0052">
        <w:rPr>
          <w:rFonts w:ascii="Times New Roman" w:hAnsi="Times New Roman" w:cs="Times New Roman"/>
        </w:rPr>
        <w:t xml:space="preserve"> deterrent sentences (Lai</w:t>
      </w:r>
      <w:r w:rsidR="00D16348" w:rsidRPr="003C0052">
        <w:rPr>
          <w:rFonts w:ascii="Times New Roman" w:hAnsi="Times New Roman" w:cs="Times New Roman"/>
        </w:rPr>
        <w:t>,</w:t>
      </w:r>
      <w:r w:rsidR="007F309F" w:rsidRPr="003C0052">
        <w:rPr>
          <w:rFonts w:ascii="Times New Roman" w:hAnsi="Times New Roman" w:cs="Times New Roman"/>
        </w:rPr>
        <w:t xml:space="preserve"> 2002</w:t>
      </w:r>
      <w:r w:rsidR="00967469" w:rsidRPr="003C0052">
        <w:rPr>
          <w:rFonts w:ascii="Times New Roman" w:hAnsi="Times New Roman" w:cs="Times New Roman"/>
        </w:rPr>
        <w:t xml:space="preserve">) designed to </w:t>
      </w:r>
      <w:r w:rsidR="005E063D" w:rsidRPr="003C0052">
        <w:rPr>
          <w:rFonts w:ascii="Times New Roman" w:hAnsi="Times New Roman" w:cs="Times New Roman"/>
        </w:rPr>
        <w:t xml:space="preserve">discourage and </w:t>
      </w:r>
      <w:r w:rsidR="00967469" w:rsidRPr="003C0052">
        <w:rPr>
          <w:rFonts w:ascii="Times New Roman" w:hAnsi="Times New Roman" w:cs="Times New Roman"/>
        </w:rPr>
        <w:t xml:space="preserve">punish </w:t>
      </w:r>
      <w:r w:rsidR="005E063D" w:rsidRPr="003C0052">
        <w:rPr>
          <w:rFonts w:ascii="Times New Roman" w:hAnsi="Times New Roman" w:cs="Times New Roman"/>
        </w:rPr>
        <w:t xml:space="preserve">committed </w:t>
      </w:r>
      <w:r w:rsidR="00967469" w:rsidRPr="003C0052">
        <w:rPr>
          <w:rFonts w:ascii="Times New Roman" w:hAnsi="Times New Roman" w:cs="Times New Roman"/>
        </w:rPr>
        <w:t>commercial</w:t>
      </w:r>
      <w:r w:rsidR="005E063D" w:rsidRPr="003C0052">
        <w:rPr>
          <w:rFonts w:ascii="Times New Roman" w:hAnsi="Times New Roman" w:cs="Times New Roman"/>
        </w:rPr>
        <w:t xml:space="preserve"> drug dealers. </w:t>
      </w:r>
      <w:r w:rsidR="00967469" w:rsidRPr="003C0052">
        <w:rPr>
          <w:rFonts w:ascii="Times New Roman" w:hAnsi="Times New Roman" w:cs="Times New Roman"/>
        </w:rPr>
        <w:t xml:space="preserve"> </w:t>
      </w:r>
    </w:p>
    <w:p w:rsidR="00B23E40" w:rsidRPr="003C0052" w:rsidRDefault="00B23E40" w:rsidP="00197B88">
      <w:pPr>
        <w:spacing w:line="360" w:lineRule="auto"/>
        <w:jc w:val="both"/>
        <w:rPr>
          <w:rFonts w:ascii="Times New Roman" w:hAnsi="Times New Roman" w:cs="Times New Roman"/>
          <w:i/>
        </w:rPr>
      </w:pPr>
    </w:p>
    <w:p w:rsidR="00C81F6E" w:rsidRPr="003C0052" w:rsidRDefault="00C81F6E" w:rsidP="00197B88">
      <w:pPr>
        <w:spacing w:line="360" w:lineRule="auto"/>
        <w:jc w:val="both"/>
        <w:rPr>
          <w:rFonts w:ascii="Times New Roman" w:hAnsi="Times New Roman" w:cs="Times New Roman"/>
          <w:i/>
        </w:rPr>
      </w:pPr>
      <w:r w:rsidRPr="003C0052">
        <w:rPr>
          <w:rFonts w:ascii="Times New Roman" w:hAnsi="Times New Roman" w:cs="Times New Roman"/>
          <w:i/>
        </w:rPr>
        <w:t>Proportionality</w:t>
      </w:r>
    </w:p>
    <w:p w:rsidR="00F5251A" w:rsidRPr="003C0052" w:rsidRDefault="00F5251A" w:rsidP="00197B88">
      <w:pPr>
        <w:spacing w:line="360" w:lineRule="auto"/>
        <w:jc w:val="both"/>
        <w:rPr>
          <w:rFonts w:ascii="Times New Roman" w:hAnsi="Times New Roman" w:cs="Times New Roman"/>
        </w:rPr>
      </w:pPr>
    </w:p>
    <w:p w:rsidR="006B5471" w:rsidRPr="003C0052" w:rsidRDefault="00B23E40" w:rsidP="005B16C9">
      <w:pPr>
        <w:spacing w:line="360" w:lineRule="auto"/>
        <w:jc w:val="both"/>
        <w:rPr>
          <w:rFonts w:ascii="Times New Roman" w:hAnsi="Times New Roman" w:cs="Times New Roman"/>
        </w:rPr>
      </w:pPr>
      <w:r w:rsidRPr="003C0052">
        <w:rPr>
          <w:rFonts w:ascii="Times New Roman" w:hAnsi="Times New Roman" w:cs="Times New Roman"/>
        </w:rPr>
        <w:t xml:space="preserve">In seeking to ameliorate these problems and make a </w:t>
      </w:r>
      <w:r w:rsidR="00CB617B" w:rsidRPr="003C0052">
        <w:rPr>
          <w:rFonts w:ascii="Times New Roman" w:hAnsi="Times New Roman" w:cs="Times New Roman"/>
        </w:rPr>
        <w:t>case for a</w:t>
      </w:r>
      <w:r w:rsidR="00764056" w:rsidRPr="003C0052">
        <w:rPr>
          <w:rFonts w:ascii="Times New Roman" w:hAnsi="Times New Roman" w:cs="Times New Roman"/>
        </w:rPr>
        <w:t xml:space="preserve"> delineation between ‘trafficking offences’ and </w:t>
      </w:r>
      <w:r w:rsidR="00B33309" w:rsidRPr="003C0052">
        <w:rPr>
          <w:rFonts w:ascii="Times New Roman" w:hAnsi="Times New Roman" w:cs="Times New Roman"/>
        </w:rPr>
        <w:t xml:space="preserve">social supply, the </w:t>
      </w:r>
      <w:r w:rsidR="007969CE" w:rsidRPr="003C0052">
        <w:rPr>
          <w:rFonts w:ascii="Times New Roman" w:hAnsi="Times New Roman" w:cs="Times New Roman"/>
        </w:rPr>
        <w:t xml:space="preserve">Police Foundation </w:t>
      </w:r>
      <w:r w:rsidR="004F3AC8" w:rsidRPr="003C0052">
        <w:rPr>
          <w:rFonts w:ascii="Times New Roman" w:hAnsi="Times New Roman" w:cs="Times New Roman"/>
        </w:rPr>
        <w:t>r</w:t>
      </w:r>
      <w:r w:rsidR="00EE4BC6" w:rsidRPr="003C0052">
        <w:rPr>
          <w:rFonts w:ascii="Times New Roman" w:hAnsi="Times New Roman" w:cs="Times New Roman"/>
        </w:rPr>
        <w:t xml:space="preserve">eport </w:t>
      </w:r>
      <w:r w:rsidR="007969CE" w:rsidRPr="003C0052">
        <w:rPr>
          <w:rFonts w:ascii="Times New Roman" w:hAnsi="Times New Roman" w:cs="Times New Roman"/>
        </w:rPr>
        <w:t xml:space="preserve">(2000) </w:t>
      </w:r>
      <w:r w:rsidR="00EE4BC6" w:rsidRPr="003C0052">
        <w:rPr>
          <w:rFonts w:ascii="Times New Roman" w:hAnsi="Times New Roman" w:cs="Times New Roman"/>
        </w:rPr>
        <w:t>pointed to the ways in which other European countries at that time had</w:t>
      </w:r>
      <w:r w:rsidR="0091211F" w:rsidRPr="003C0052">
        <w:rPr>
          <w:rFonts w:ascii="Times New Roman" w:hAnsi="Times New Roman" w:cs="Times New Roman"/>
        </w:rPr>
        <w:t xml:space="preserve"> started</w:t>
      </w:r>
      <w:r w:rsidR="00EE4BC6" w:rsidRPr="003C0052">
        <w:rPr>
          <w:rFonts w:ascii="Times New Roman" w:hAnsi="Times New Roman" w:cs="Times New Roman"/>
        </w:rPr>
        <w:t xml:space="preserve"> </w:t>
      </w:r>
      <w:r w:rsidR="0091211F" w:rsidRPr="003C0052">
        <w:rPr>
          <w:rFonts w:ascii="Times New Roman" w:hAnsi="Times New Roman" w:cs="Times New Roman"/>
        </w:rPr>
        <w:t>differentiating</w:t>
      </w:r>
      <w:r w:rsidR="00EE4BC6" w:rsidRPr="003C0052">
        <w:rPr>
          <w:rFonts w:ascii="Times New Roman" w:hAnsi="Times New Roman" w:cs="Times New Roman"/>
        </w:rPr>
        <w:t xml:space="preserve"> be</w:t>
      </w:r>
      <w:r w:rsidR="000E7522" w:rsidRPr="003C0052">
        <w:rPr>
          <w:rFonts w:ascii="Times New Roman" w:hAnsi="Times New Roman" w:cs="Times New Roman"/>
        </w:rPr>
        <w:t>tween different kinds of drug dealing</w:t>
      </w:r>
      <w:r w:rsidR="00726F7E" w:rsidRPr="003C0052">
        <w:rPr>
          <w:rFonts w:ascii="Times New Roman" w:hAnsi="Times New Roman" w:cs="Times New Roman"/>
        </w:rPr>
        <w:t xml:space="preserve">. </w:t>
      </w:r>
      <w:r w:rsidR="00085078" w:rsidRPr="003C0052">
        <w:rPr>
          <w:rFonts w:ascii="Times New Roman" w:hAnsi="Times New Roman" w:cs="Times New Roman"/>
        </w:rPr>
        <w:t>In</w:t>
      </w:r>
      <w:r w:rsidR="00425040" w:rsidRPr="003C0052">
        <w:rPr>
          <w:rFonts w:ascii="Times New Roman" w:hAnsi="Times New Roman" w:cs="Times New Roman"/>
        </w:rPr>
        <w:t xml:space="preserve"> 1988, the United Nations Convention </w:t>
      </w:r>
      <w:r w:rsidR="00425040" w:rsidRPr="003C0052">
        <w:rPr>
          <w:rFonts w:ascii="Times New Roman" w:hAnsi="Times New Roman" w:cs="Times New Roman"/>
        </w:rPr>
        <w:lastRenderedPageBreak/>
        <w:t>against Illicit Traffic in Narcotic Drugs and Psychotropic Substances set a mandatory requirement that specific activities that constitute or contribute to trafficking be made ‘criminal offences’</w:t>
      </w:r>
      <w:r w:rsidR="00085078" w:rsidRPr="003C0052">
        <w:rPr>
          <w:rFonts w:ascii="Times New Roman" w:hAnsi="Times New Roman" w:cs="Times New Roman"/>
        </w:rPr>
        <w:t xml:space="preserve">, </w:t>
      </w:r>
      <w:r w:rsidR="00425040" w:rsidRPr="003C0052">
        <w:rPr>
          <w:rFonts w:ascii="Times New Roman" w:hAnsi="Times New Roman" w:cs="Times New Roman"/>
        </w:rPr>
        <w:t>subject to sanctions which take into account the grave nature of the offences, such as ‘imprisonment or other forms of deprivation of liberty, pecuniary sanctions and confiscation’ (p.129).</w:t>
      </w:r>
      <w:r w:rsidR="00085078" w:rsidRPr="003C0052">
        <w:rPr>
          <w:rFonts w:ascii="Times New Roman" w:hAnsi="Times New Roman" w:cs="Times New Roman"/>
        </w:rPr>
        <w:t xml:space="preserve"> There is</w:t>
      </w:r>
      <w:r w:rsidR="00A278AD" w:rsidRPr="003C0052">
        <w:rPr>
          <w:rFonts w:ascii="Times New Roman" w:hAnsi="Times New Roman" w:cs="Times New Roman"/>
        </w:rPr>
        <w:t xml:space="preserve"> however</w:t>
      </w:r>
      <w:r w:rsidR="00873122" w:rsidRPr="003C0052">
        <w:rPr>
          <w:rFonts w:ascii="Times New Roman" w:hAnsi="Times New Roman" w:cs="Times New Roman"/>
        </w:rPr>
        <w:t xml:space="preserve"> an exception for appropriate cases of a ‘minor nature’, and where these are concerned, the Convention states that non-punitive sanctions may be used as alternatives, not in addition, to penal sanctions. A</w:t>
      </w:r>
      <w:r w:rsidR="00085078" w:rsidRPr="003C0052">
        <w:rPr>
          <w:rFonts w:ascii="Times New Roman" w:hAnsi="Times New Roman" w:cs="Times New Roman"/>
        </w:rPr>
        <w:t>s a result, a</w:t>
      </w:r>
      <w:r w:rsidR="00873122" w:rsidRPr="003C0052">
        <w:rPr>
          <w:rFonts w:ascii="Times New Roman" w:hAnsi="Times New Roman" w:cs="Times New Roman"/>
        </w:rPr>
        <w:t xml:space="preserve"> number of Jurisdictions </w:t>
      </w:r>
      <w:r w:rsidR="002B2B88" w:rsidRPr="003C0052">
        <w:rPr>
          <w:rFonts w:ascii="Times New Roman" w:hAnsi="Times New Roman" w:cs="Times New Roman"/>
        </w:rPr>
        <w:t>were</w:t>
      </w:r>
      <w:r w:rsidR="00085078" w:rsidRPr="003C0052">
        <w:rPr>
          <w:rFonts w:ascii="Times New Roman" w:hAnsi="Times New Roman" w:cs="Times New Roman"/>
        </w:rPr>
        <w:t xml:space="preserve"> legally able to attach</w:t>
      </w:r>
      <w:r w:rsidR="002B2B88" w:rsidRPr="003C0052">
        <w:rPr>
          <w:rFonts w:ascii="Times New Roman" w:hAnsi="Times New Roman" w:cs="Times New Roman"/>
        </w:rPr>
        <w:t xml:space="preserve"> ‘aggravating factors’ to the most serio</w:t>
      </w:r>
      <w:r w:rsidR="00085078" w:rsidRPr="003C0052">
        <w:rPr>
          <w:rFonts w:ascii="Times New Roman" w:hAnsi="Times New Roman" w:cs="Times New Roman"/>
        </w:rPr>
        <w:t>us forms of supply and utilise</w:t>
      </w:r>
      <w:r w:rsidR="002B2B88" w:rsidRPr="003C0052">
        <w:rPr>
          <w:rFonts w:ascii="Times New Roman" w:hAnsi="Times New Roman" w:cs="Times New Roman"/>
        </w:rPr>
        <w:t xml:space="preserve"> legal developments to treat social supply type offences as ‘</w:t>
      </w:r>
      <w:r w:rsidR="00FD7421" w:rsidRPr="003C0052">
        <w:rPr>
          <w:rFonts w:ascii="Times New Roman" w:hAnsi="Times New Roman" w:cs="Times New Roman"/>
        </w:rPr>
        <w:t xml:space="preserve">falling outside the range of trafficking’ </w:t>
      </w:r>
      <w:r w:rsidR="002B2B88" w:rsidRPr="003C0052">
        <w:rPr>
          <w:rFonts w:ascii="Times New Roman" w:hAnsi="Times New Roman" w:cs="Times New Roman"/>
        </w:rPr>
        <w:t>(</w:t>
      </w:r>
      <w:r w:rsidR="00A278AD" w:rsidRPr="003C0052">
        <w:rPr>
          <w:rFonts w:ascii="Times New Roman" w:hAnsi="Times New Roman" w:cs="Times New Roman"/>
        </w:rPr>
        <w:t xml:space="preserve">Police Foundation, 2000: </w:t>
      </w:r>
      <w:r w:rsidR="00FD7421" w:rsidRPr="003C0052">
        <w:rPr>
          <w:rFonts w:ascii="Times New Roman" w:hAnsi="Times New Roman" w:cs="Times New Roman"/>
        </w:rPr>
        <w:t>62</w:t>
      </w:r>
      <w:r w:rsidR="002B2B88" w:rsidRPr="003C0052">
        <w:rPr>
          <w:rFonts w:ascii="Times New Roman" w:hAnsi="Times New Roman" w:cs="Times New Roman"/>
        </w:rPr>
        <w:t>). In Italy</w:t>
      </w:r>
      <w:r w:rsidR="0093163D" w:rsidRPr="003C0052">
        <w:rPr>
          <w:rFonts w:ascii="Times New Roman" w:hAnsi="Times New Roman" w:cs="Times New Roman"/>
        </w:rPr>
        <w:t>,</w:t>
      </w:r>
      <w:r w:rsidR="002B2B88" w:rsidRPr="003C0052">
        <w:rPr>
          <w:rFonts w:ascii="Times New Roman" w:hAnsi="Times New Roman" w:cs="Times New Roman"/>
        </w:rPr>
        <w:t xml:space="preserve"> ‘gift giving’, and </w:t>
      </w:r>
      <w:r w:rsidR="0030560B" w:rsidRPr="003C0052">
        <w:rPr>
          <w:rFonts w:ascii="Times New Roman" w:hAnsi="Times New Roman" w:cs="Times New Roman"/>
        </w:rPr>
        <w:t>‘go-between’</w:t>
      </w:r>
      <w:r w:rsidR="002B2B88" w:rsidRPr="003C0052">
        <w:rPr>
          <w:rFonts w:ascii="Times New Roman" w:hAnsi="Times New Roman" w:cs="Times New Roman"/>
        </w:rPr>
        <w:t xml:space="preserve"> behaviours </w:t>
      </w:r>
      <w:r w:rsidR="00D34A81" w:rsidRPr="003C0052">
        <w:rPr>
          <w:rFonts w:ascii="Times New Roman" w:hAnsi="Times New Roman" w:cs="Times New Roman"/>
        </w:rPr>
        <w:t xml:space="preserve">were </w:t>
      </w:r>
      <w:r w:rsidR="002B2B88" w:rsidRPr="003C0052">
        <w:rPr>
          <w:rFonts w:ascii="Times New Roman" w:hAnsi="Times New Roman" w:cs="Times New Roman"/>
        </w:rPr>
        <w:t>dealt with through administrative sanctions</w:t>
      </w:r>
      <w:r w:rsidR="00C32EEF" w:rsidRPr="003C0052">
        <w:rPr>
          <w:rFonts w:ascii="Times New Roman" w:hAnsi="Times New Roman" w:cs="Times New Roman"/>
        </w:rPr>
        <w:t>,</w:t>
      </w:r>
      <w:r w:rsidR="002B2B88" w:rsidRPr="003C0052">
        <w:rPr>
          <w:rFonts w:ascii="Times New Roman" w:hAnsi="Times New Roman" w:cs="Times New Roman"/>
        </w:rPr>
        <w:t xml:space="preserve"> and in Spain, the same practices may not</w:t>
      </w:r>
      <w:r w:rsidR="00D34A81" w:rsidRPr="003C0052">
        <w:rPr>
          <w:rFonts w:ascii="Times New Roman" w:hAnsi="Times New Roman" w:cs="Times New Roman"/>
        </w:rPr>
        <w:t xml:space="preserve"> even</w:t>
      </w:r>
      <w:r w:rsidR="002B2B88" w:rsidRPr="003C0052">
        <w:rPr>
          <w:rFonts w:ascii="Times New Roman" w:hAnsi="Times New Roman" w:cs="Times New Roman"/>
        </w:rPr>
        <w:t xml:space="preserve"> be deemed an offence, de</w:t>
      </w:r>
      <w:r w:rsidR="00A3621E" w:rsidRPr="003C0052">
        <w:rPr>
          <w:rFonts w:ascii="Times New Roman" w:hAnsi="Times New Roman" w:cs="Times New Roman"/>
        </w:rPr>
        <w:t>pending on the circumstances (</w:t>
      </w:r>
      <w:r w:rsidR="00FD7421" w:rsidRPr="003C0052">
        <w:rPr>
          <w:rFonts w:ascii="Times New Roman" w:hAnsi="Times New Roman" w:cs="Times New Roman"/>
        </w:rPr>
        <w:t>p.62</w:t>
      </w:r>
      <w:r w:rsidR="002B2B88" w:rsidRPr="003C0052">
        <w:rPr>
          <w:rFonts w:ascii="Times New Roman" w:hAnsi="Times New Roman" w:cs="Times New Roman"/>
        </w:rPr>
        <w:t>)</w:t>
      </w:r>
      <w:r w:rsidR="00D34A81" w:rsidRPr="003C0052">
        <w:rPr>
          <w:rFonts w:ascii="Times New Roman" w:hAnsi="Times New Roman" w:cs="Times New Roman"/>
        </w:rPr>
        <w:t>.</w:t>
      </w:r>
      <w:r w:rsidR="002B2B88" w:rsidRPr="003C0052">
        <w:rPr>
          <w:rFonts w:ascii="Times New Roman" w:hAnsi="Times New Roman" w:cs="Times New Roman"/>
        </w:rPr>
        <w:t xml:space="preserve"> </w:t>
      </w:r>
      <w:r w:rsidR="00C25590" w:rsidRPr="003C0052">
        <w:rPr>
          <w:rFonts w:ascii="Times New Roman" w:hAnsi="Times New Roman" w:cs="Times New Roman"/>
        </w:rPr>
        <w:t>The need to</w:t>
      </w:r>
      <w:r w:rsidR="00B0574D" w:rsidRPr="003C0052">
        <w:rPr>
          <w:rFonts w:ascii="Times New Roman" w:hAnsi="Times New Roman" w:cs="Times New Roman"/>
        </w:rPr>
        <w:t xml:space="preserve"> </w:t>
      </w:r>
      <w:r w:rsidR="00C25590" w:rsidRPr="003C0052">
        <w:rPr>
          <w:rFonts w:ascii="Times New Roman" w:hAnsi="Times New Roman" w:cs="Times New Roman"/>
        </w:rPr>
        <w:t>accommodate</w:t>
      </w:r>
      <w:r w:rsidR="0048779B" w:rsidRPr="003C0052">
        <w:rPr>
          <w:rFonts w:ascii="Times New Roman" w:hAnsi="Times New Roman" w:cs="Times New Roman"/>
        </w:rPr>
        <w:t xml:space="preserve"> </w:t>
      </w:r>
      <w:r w:rsidR="00DB110F" w:rsidRPr="003C0052">
        <w:rPr>
          <w:rFonts w:ascii="Times New Roman" w:hAnsi="Times New Roman" w:cs="Times New Roman"/>
        </w:rPr>
        <w:t xml:space="preserve">differentiation </w:t>
      </w:r>
      <w:r w:rsidR="00B0574D" w:rsidRPr="003C0052">
        <w:rPr>
          <w:rFonts w:ascii="Times New Roman" w:hAnsi="Times New Roman" w:cs="Times New Roman"/>
        </w:rPr>
        <w:t>in drug supply offences</w:t>
      </w:r>
      <w:r w:rsidR="0048779B" w:rsidRPr="003C0052">
        <w:rPr>
          <w:rFonts w:ascii="Times New Roman" w:hAnsi="Times New Roman" w:cs="Times New Roman"/>
        </w:rPr>
        <w:t xml:space="preserve"> </w:t>
      </w:r>
      <w:r w:rsidR="007E72DA" w:rsidRPr="003C0052">
        <w:rPr>
          <w:rFonts w:ascii="Times New Roman" w:hAnsi="Times New Roman" w:cs="Times New Roman"/>
        </w:rPr>
        <w:t xml:space="preserve">can be linked to </w:t>
      </w:r>
      <w:r w:rsidR="00736A13" w:rsidRPr="003C0052">
        <w:rPr>
          <w:rFonts w:ascii="Times New Roman" w:hAnsi="Times New Roman" w:cs="Times New Roman"/>
        </w:rPr>
        <w:t>a wider drive</w:t>
      </w:r>
      <w:r w:rsidR="00E5148A" w:rsidRPr="003C0052">
        <w:rPr>
          <w:rFonts w:ascii="Times New Roman" w:hAnsi="Times New Roman" w:cs="Times New Roman"/>
        </w:rPr>
        <w:t xml:space="preserve"> </w:t>
      </w:r>
      <w:r w:rsidR="007E72DA" w:rsidRPr="003C0052">
        <w:rPr>
          <w:rFonts w:ascii="Times New Roman" w:hAnsi="Times New Roman" w:cs="Times New Roman"/>
        </w:rPr>
        <w:t xml:space="preserve">in </w:t>
      </w:r>
      <w:r w:rsidR="00DB110F" w:rsidRPr="003C0052">
        <w:rPr>
          <w:rFonts w:ascii="Times New Roman" w:hAnsi="Times New Roman" w:cs="Times New Roman"/>
        </w:rPr>
        <w:t xml:space="preserve">modern legal systems and international law </w:t>
      </w:r>
      <w:r w:rsidR="007E72DA" w:rsidRPr="003C0052">
        <w:rPr>
          <w:rFonts w:ascii="Times New Roman" w:hAnsi="Times New Roman" w:cs="Times New Roman"/>
        </w:rPr>
        <w:t>fo</w:t>
      </w:r>
      <w:r w:rsidR="00DF3B16" w:rsidRPr="003C0052">
        <w:rPr>
          <w:rFonts w:ascii="Times New Roman" w:hAnsi="Times New Roman" w:cs="Times New Roman"/>
        </w:rPr>
        <w:t>r proportionality in sentencing</w:t>
      </w:r>
      <w:r w:rsidR="007E72DA" w:rsidRPr="003C0052">
        <w:rPr>
          <w:rFonts w:ascii="Times New Roman" w:hAnsi="Times New Roman" w:cs="Times New Roman"/>
        </w:rPr>
        <w:t xml:space="preserve"> </w:t>
      </w:r>
      <w:r w:rsidR="00DF3B16" w:rsidRPr="003C0052">
        <w:rPr>
          <w:rFonts w:ascii="Times New Roman" w:hAnsi="Times New Roman" w:cs="Times New Roman"/>
        </w:rPr>
        <w:t>(</w:t>
      </w:r>
      <w:r w:rsidR="00FD6BB1" w:rsidRPr="003C0052">
        <w:rPr>
          <w:rFonts w:ascii="Times New Roman" w:hAnsi="Times New Roman" w:cs="Times New Roman"/>
        </w:rPr>
        <w:t>Lai</w:t>
      </w:r>
      <w:r w:rsidR="00DF3B16" w:rsidRPr="003C0052">
        <w:rPr>
          <w:rFonts w:ascii="Times New Roman" w:hAnsi="Times New Roman" w:cs="Times New Roman"/>
        </w:rPr>
        <w:t xml:space="preserve">, </w:t>
      </w:r>
      <w:r w:rsidR="009C4E76" w:rsidRPr="003C0052">
        <w:rPr>
          <w:rFonts w:ascii="Times New Roman" w:hAnsi="Times New Roman" w:cs="Times New Roman"/>
        </w:rPr>
        <w:t>201</w:t>
      </w:r>
      <w:r w:rsidR="00FD6BB1" w:rsidRPr="003C0052">
        <w:rPr>
          <w:rFonts w:ascii="Times New Roman" w:hAnsi="Times New Roman" w:cs="Times New Roman"/>
        </w:rPr>
        <w:t>2</w:t>
      </w:r>
      <w:r w:rsidR="007E72DA" w:rsidRPr="003C0052">
        <w:rPr>
          <w:rFonts w:ascii="Times New Roman" w:hAnsi="Times New Roman" w:cs="Times New Roman"/>
        </w:rPr>
        <w:t>)</w:t>
      </w:r>
      <w:r w:rsidR="00FD6BB1" w:rsidRPr="003C0052">
        <w:rPr>
          <w:rFonts w:ascii="Times New Roman" w:hAnsi="Times New Roman" w:cs="Times New Roman"/>
        </w:rPr>
        <w:t xml:space="preserve">, </w:t>
      </w:r>
      <w:r w:rsidR="00543D35" w:rsidRPr="003C0052">
        <w:rPr>
          <w:rFonts w:ascii="Times New Roman" w:hAnsi="Times New Roman" w:cs="Times New Roman"/>
        </w:rPr>
        <w:t>represent</w:t>
      </w:r>
      <w:r w:rsidR="00FD6BB1" w:rsidRPr="003C0052">
        <w:rPr>
          <w:rFonts w:ascii="Times New Roman" w:hAnsi="Times New Roman" w:cs="Times New Roman"/>
        </w:rPr>
        <w:t>ing</w:t>
      </w:r>
      <w:r w:rsidR="00DB110F" w:rsidRPr="003C0052">
        <w:rPr>
          <w:rFonts w:ascii="Times New Roman" w:hAnsi="Times New Roman" w:cs="Times New Roman"/>
        </w:rPr>
        <w:t xml:space="preserve"> </w:t>
      </w:r>
      <w:r w:rsidR="007E72DA" w:rsidRPr="003C0052">
        <w:rPr>
          <w:rFonts w:ascii="Times New Roman" w:hAnsi="Times New Roman" w:cs="Times New Roman"/>
        </w:rPr>
        <w:t xml:space="preserve">an </w:t>
      </w:r>
      <w:r w:rsidR="00DB110F" w:rsidRPr="003C0052">
        <w:rPr>
          <w:rFonts w:ascii="Times New Roman" w:hAnsi="Times New Roman" w:cs="Times New Roman"/>
        </w:rPr>
        <w:t>essential means for safeguardi</w:t>
      </w:r>
      <w:r w:rsidR="00FD6BB1" w:rsidRPr="003C0052">
        <w:rPr>
          <w:rFonts w:ascii="Times New Roman" w:hAnsi="Times New Roman" w:cs="Times New Roman"/>
        </w:rPr>
        <w:t>ng fundamental human rights (Engle, 2009</w:t>
      </w:r>
      <w:r w:rsidR="00DB110F" w:rsidRPr="003C0052">
        <w:rPr>
          <w:rFonts w:ascii="Times New Roman" w:hAnsi="Times New Roman" w:cs="Times New Roman"/>
        </w:rPr>
        <w:t xml:space="preserve">). </w:t>
      </w:r>
      <w:r w:rsidR="00543D35" w:rsidRPr="003C0052">
        <w:rPr>
          <w:rFonts w:ascii="Times New Roman" w:hAnsi="Times New Roman" w:cs="Times New Roman"/>
        </w:rPr>
        <w:t xml:space="preserve">At the core </w:t>
      </w:r>
      <w:r w:rsidR="007969CE" w:rsidRPr="003C0052">
        <w:rPr>
          <w:rFonts w:ascii="Times New Roman" w:hAnsi="Times New Roman" w:cs="Times New Roman"/>
        </w:rPr>
        <w:t xml:space="preserve">of </w:t>
      </w:r>
      <w:r w:rsidR="00543D35" w:rsidRPr="003C0052">
        <w:rPr>
          <w:rFonts w:ascii="Times New Roman" w:hAnsi="Times New Roman" w:cs="Times New Roman"/>
        </w:rPr>
        <w:t xml:space="preserve">this </w:t>
      </w:r>
      <w:r w:rsidR="007360B8" w:rsidRPr="003C0052">
        <w:rPr>
          <w:rFonts w:ascii="Times New Roman" w:hAnsi="Times New Roman" w:cs="Times New Roman"/>
        </w:rPr>
        <w:t xml:space="preserve">principle </w:t>
      </w:r>
      <w:r w:rsidR="00F6772C" w:rsidRPr="003C0052">
        <w:rPr>
          <w:rFonts w:ascii="Times New Roman" w:hAnsi="Times New Roman" w:cs="Times New Roman"/>
        </w:rPr>
        <w:t xml:space="preserve">is </w:t>
      </w:r>
      <w:r w:rsidR="00366760" w:rsidRPr="003C0052">
        <w:rPr>
          <w:rFonts w:ascii="Times New Roman" w:hAnsi="Times New Roman" w:cs="Times New Roman"/>
        </w:rPr>
        <w:t>commensurability between</w:t>
      </w:r>
      <w:r w:rsidR="00C25590" w:rsidRPr="003C0052">
        <w:rPr>
          <w:rFonts w:ascii="Times New Roman" w:hAnsi="Times New Roman" w:cs="Times New Roman"/>
        </w:rPr>
        <w:t xml:space="preserve"> offence seriousness and sentence</w:t>
      </w:r>
      <w:r w:rsidR="00366760" w:rsidRPr="003C0052">
        <w:rPr>
          <w:rFonts w:ascii="Times New Roman" w:hAnsi="Times New Roman" w:cs="Times New Roman"/>
        </w:rPr>
        <w:t xml:space="preserve"> se</w:t>
      </w:r>
      <w:r w:rsidR="00006623" w:rsidRPr="003C0052">
        <w:rPr>
          <w:rFonts w:ascii="Times New Roman" w:hAnsi="Times New Roman" w:cs="Times New Roman"/>
        </w:rPr>
        <w:t>verity</w:t>
      </w:r>
      <w:r w:rsidR="00F6772C" w:rsidRPr="003C0052">
        <w:rPr>
          <w:rFonts w:ascii="Times New Roman" w:hAnsi="Times New Roman" w:cs="Times New Roman"/>
        </w:rPr>
        <w:t>,</w:t>
      </w:r>
      <w:r w:rsidR="00006623" w:rsidRPr="003C0052">
        <w:rPr>
          <w:rFonts w:ascii="Times New Roman" w:hAnsi="Times New Roman" w:cs="Times New Roman"/>
        </w:rPr>
        <w:t xml:space="preserve"> meaning</w:t>
      </w:r>
      <w:r w:rsidR="00602D11" w:rsidRPr="003C0052">
        <w:rPr>
          <w:rFonts w:ascii="Times New Roman" w:hAnsi="Times New Roman" w:cs="Times New Roman"/>
        </w:rPr>
        <w:t xml:space="preserve"> </w:t>
      </w:r>
      <w:r w:rsidR="00006623" w:rsidRPr="003C0052">
        <w:rPr>
          <w:rFonts w:ascii="Times New Roman" w:hAnsi="Times New Roman" w:cs="Times New Roman"/>
        </w:rPr>
        <w:t xml:space="preserve">that </w:t>
      </w:r>
      <w:r w:rsidR="00602D11" w:rsidRPr="003C0052">
        <w:rPr>
          <w:rFonts w:ascii="Times New Roman" w:hAnsi="Times New Roman" w:cs="Times New Roman"/>
        </w:rPr>
        <w:t>the more</w:t>
      </w:r>
      <w:r w:rsidR="00006623" w:rsidRPr="003C0052">
        <w:rPr>
          <w:rFonts w:ascii="Times New Roman" w:hAnsi="Times New Roman" w:cs="Times New Roman"/>
        </w:rPr>
        <w:t xml:space="preserve"> serious the crime, the more</w:t>
      </w:r>
      <w:r w:rsidR="00602D11" w:rsidRPr="003C0052">
        <w:rPr>
          <w:rFonts w:ascii="Times New Roman" w:hAnsi="Times New Roman" w:cs="Times New Roman"/>
        </w:rPr>
        <w:t xml:space="preserve"> blameworthy the</w:t>
      </w:r>
      <w:r w:rsidR="00731DE3" w:rsidRPr="003C0052">
        <w:rPr>
          <w:rFonts w:ascii="Times New Roman" w:hAnsi="Times New Roman" w:cs="Times New Roman"/>
        </w:rPr>
        <w:t xml:space="preserve"> offender, and</w:t>
      </w:r>
      <w:r w:rsidR="00842103" w:rsidRPr="003C0052">
        <w:rPr>
          <w:rFonts w:ascii="Times New Roman" w:hAnsi="Times New Roman" w:cs="Times New Roman"/>
        </w:rPr>
        <w:t xml:space="preserve"> </w:t>
      </w:r>
      <w:r w:rsidR="00006623" w:rsidRPr="003C0052">
        <w:rPr>
          <w:rFonts w:ascii="Times New Roman" w:hAnsi="Times New Roman" w:cs="Times New Roman"/>
        </w:rPr>
        <w:t xml:space="preserve">thus the greater </w:t>
      </w:r>
      <w:r w:rsidR="00584EBC" w:rsidRPr="003C0052">
        <w:rPr>
          <w:rFonts w:ascii="Times New Roman" w:hAnsi="Times New Roman" w:cs="Times New Roman"/>
        </w:rPr>
        <w:t xml:space="preserve">the </w:t>
      </w:r>
      <w:r w:rsidR="005D0B64" w:rsidRPr="003C0052">
        <w:rPr>
          <w:rFonts w:ascii="Times New Roman" w:hAnsi="Times New Roman" w:cs="Times New Roman"/>
        </w:rPr>
        <w:t>deserved punishment</w:t>
      </w:r>
      <w:r w:rsidR="00006623" w:rsidRPr="003C0052">
        <w:rPr>
          <w:rFonts w:ascii="Times New Roman" w:hAnsi="Times New Roman" w:cs="Times New Roman"/>
        </w:rPr>
        <w:t xml:space="preserve"> (</w:t>
      </w:r>
      <w:proofErr w:type="spellStart"/>
      <w:r w:rsidR="00006623" w:rsidRPr="003C0052">
        <w:rPr>
          <w:rFonts w:ascii="Times New Roman" w:hAnsi="Times New Roman" w:cs="Times New Roman"/>
        </w:rPr>
        <w:t>Lovegrove</w:t>
      </w:r>
      <w:proofErr w:type="spellEnd"/>
      <w:r w:rsidR="00006623" w:rsidRPr="003C0052">
        <w:rPr>
          <w:rFonts w:ascii="Times New Roman" w:hAnsi="Times New Roman" w:cs="Times New Roman"/>
        </w:rPr>
        <w:t>, 2010)</w:t>
      </w:r>
      <w:r w:rsidR="00361B2A" w:rsidRPr="003C0052">
        <w:rPr>
          <w:rFonts w:ascii="Times New Roman" w:hAnsi="Times New Roman" w:cs="Times New Roman"/>
        </w:rPr>
        <w:t xml:space="preserve">. </w:t>
      </w:r>
      <w:r w:rsidR="007E72DA" w:rsidRPr="003C0052">
        <w:rPr>
          <w:rFonts w:ascii="Times New Roman" w:hAnsi="Times New Roman" w:cs="Times New Roman"/>
        </w:rPr>
        <w:t>Differentiation i</w:t>
      </w:r>
      <w:r w:rsidR="00056D9C" w:rsidRPr="003C0052">
        <w:rPr>
          <w:rFonts w:ascii="Times New Roman" w:hAnsi="Times New Roman" w:cs="Times New Roman"/>
        </w:rPr>
        <w:t>n supply</w:t>
      </w:r>
      <w:r w:rsidR="00A278AD" w:rsidRPr="003C0052">
        <w:rPr>
          <w:rFonts w:ascii="Times New Roman" w:hAnsi="Times New Roman" w:cs="Times New Roman"/>
        </w:rPr>
        <w:t xml:space="preserve"> - </w:t>
      </w:r>
      <w:r w:rsidR="00056D9C" w:rsidRPr="003C0052">
        <w:rPr>
          <w:rFonts w:ascii="Times New Roman" w:hAnsi="Times New Roman" w:cs="Times New Roman"/>
        </w:rPr>
        <w:t>as pointed out by the Police F</w:t>
      </w:r>
      <w:r w:rsidR="007E72DA" w:rsidRPr="003C0052">
        <w:rPr>
          <w:rFonts w:ascii="Times New Roman" w:hAnsi="Times New Roman" w:cs="Times New Roman"/>
        </w:rPr>
        <w:t>oundation report</w:t>
      </w:r>
      <w:r w:rsidR="00A278AD" w:rsidRPr="003C0052">
        <w:rPr>
          <w:rFonts w:ascii="Times New Roman" w:hAnsi="Times New Roman" w:cs="Times New Roman"/>
        </w:rPr>
        <w:t xml:space="preserve"> -</w:t>
      </w:r>
      <w:r w:rsidR="007E72DA" w:rsidRPr="003C0052">
        <w:rPr>
          <w:rFonts w:ascii="Times New Roman" w:hAnsi="Times New Roman" w:cs="Times New Roman"/>
        </w:rPr>
        <w:t xml:space="preserve"> </w:t>
      </w:r>
      <w:r w:rsidR="00A278AD" w:rsidRPr="003C0052">
        <w:rPr>
          <w:rFonts w:ascii="Times New Roman" w:hAnsi="Times New Roman" w:cs="Times New Roman"/>
        </w:rPr>
        <w:t xml:space="preserve">therefore </w:t>
      </w:r>
      <w:r w:rsidR="007E72DA" w:rsidRPr="003C0052">
        <w:rPr>
          <w:rFonts w:ascii="Times New Roman" w:hAnsi="Times New Roman" w:cs="Times New Roman"/>
        </w:rPr>
        <w:t xml:space="preserve">clearly suggests that some suppliers do more harm than others and that those producing less harm should receive proportionately less severe penalties from the criminal justice system. </w:t>
      </w:r>
      <w:r w:rsidR="00A634D8" w:rsidRPr="003C0052">
        <w:rPr>
          <w:rFonts w:ascii="Times New Roman" w:hAnsi="Times New Roman" w:cs="Times New Roman"/>
        </w:rPr>
        <w:t xml:space="preserve"> </w:t>
      </w:r>
    </w:p>
    <w:p w:rsidR="00906F11" w:rsidRPr="003C0052" w:rsidRDefault="00906F11" w:rsidP="005B16C9">
      <w:pPr>
        <w:spacing w:line="360" w:lineRule="auto"/>
        <w:jc w:val="both"/>
        <w:rPr>
          <w:rFonts w:ascii="Times New Roman" w:hAnsi="Times New Roman" w:cs="Times New Roman"/>
        </w:rPr>
      </w:pPr>
    </w:p>
    <w:p w:rsidR="005B16C9" w:rsidRPr="003C0052" w:rsidRDefault="00CB6B29" w:rsidP="005B16C9">
      <w:pPr>
        <w:spacing w:line="360" w:lineRule="auto"/>
        <w:jc w:val="both"/>
        <w:rPr>
          <w:rFonts w:ascii="Times New Roman" w:hAnsi="Times New Roman" w:cs="Times New Roman"/>
        </w:rPr>
      </w:pPr>
      <w:r w:rsidRPr="003C0052">
        <w:rPr>
          <w:rFonts w:ascii="Times New Roman" w:hAnsi="Times New Roman" w:cs="Times New Roman"/>
        </w:rPr>
        <w:t>Although as we shall see, there are some geographies that feature as ‘outliers’, general acknowledgement and reference to proportionality in sentencing law has become increasingly accepted.</w:t>
      </w:r>
      <w:r w:rsidR="00A278AD" w:rsidRPr="003C0052">
        <w:rPr>
          <w:rFonts w:ascii="Times New Roman" w:hAnsi="Times New Roman" w:cs="Times New Roman"/>
        </w:rPr>
        <w:t xml:space="preserve"> </w:t>
      </w:r>
      <w:r w:rsidR="007969CE" w:rsidRPr="003C0052">
        <w:rPr>
          <w:rFonts w:ascii="Times New Roman" w:hAnsi="Times New Roman" w:cs="Times New Roman"/>
        </w:rPr>
        <w:t>While</w:t>
      </w:r>
      <w:r w:rsidR="00D16460" w:rsidRPr="003C0052">
        <w:rPr>
          <w:rFonts w:ascii="Times New Roman" w:hAnsi="Times New Roman" w:cs="Times New Roman"/>
        </w:rPr>
        <w:t xml:space="preserve"> the UNODC has called on count</w:t>
      </w:r>
      <w:r w:rsidR="00252629" w:rsidRPr="003C0052">
        <w:rPr>
          <w:rFonts w:ascii="Times New Roman" w:hAnsi="Times New Roman" w:cs="Times New Roman"/>
        </w:rPr>
        <w:t>r</w:t>
      </w:r>
      <w:r w:rsidR="00D16460" w:rsidRPr="003C0052">
        <w:rPr>
          <w:rFonts w:ascii="Times New Roman" w:hAnsi="Times New Roman" w:cs="Times New Roman"/>
        </w:rPr>
        <w:t>ies to ensure proportionate penalties for drug offences and</w:t>
      </w:r>
      <w:r w:rsidRPr="003C0052">
        <w:rPr>
          <w:rFonts w:ascii="Times New Roman" w:hAnsi="Times New Roman" w:cs="Times New Roman"/>
        </w:rPr>
        <w:t xml:space="preserve"> many jurisdictions now recognise the </w:t>
      </w:r>
      <w:r w:rsidRPr="003C0052">
        <w:rPr>
          <w:rFonts w:ascii="Times New Roman" w:hAnsi="Times New Roman" w:cs="Times New Roman"/>
          <w:i/>
        </w:rPr>
        <w:t>principle</w:t>
      </w:r>
      <w:r w:rsidRPr="003C0052">
        <w:rPr>
          <w:rFonts w:ascii="Times New Roman" w:hAnsi="Times New Roman" w:cs="Times New Roman"/>
        </w:rPr>
        <w:t xml:space="preserve"> of proportionality in their drug sentencing laws and practices, there is variance in regard to the ways in which it is applied in practice (Lai, 2002)</w:t>
      </w:r>
      <w:r w:rsidR="00A634D8" w:rsidRPr="003C0052">
        <w:rPr>
          <w:rFonts w:ascii="Times New Roman" w:hAnsi="Times New Roman" w:cs="Times New Roman"/>
        </w:rPr>
        <w:t>.</w:t>
      </w:r>
      <w:r w:rsidRPr="003C0052">
        <w:rPr>
          <w:rFonts w:ascii="Times New Roman" w:hAnsi="Times New Roman" w:cs="Times New Roman"/>
        </w:rPr>
        <w:t xml:space="preserve"> For example</w:t>
      </w:r>
      <w:r w:rsidR="00AD439B" w:rsidRPr="003C0052">
        <w:rPr>
          <w:rFonts w:ascii="Times New Roman" w:hAnsi="Times New Roman" w:cs="Times New Roman"/>
        </w:rPr>
        <w:t>,</w:t>
      </w:r>
      <w:r w:rsidRPr="003C0052">
        <w:rPr>
          <w:rFonts w:ascii="Times New Roman" w:hAnsi="Times New Roman" w:cs="Times New Roman"/>
        </w:rPr>
        <w:t xml:space="preserve"> </w:t>
      </w:r>
      <w:r w:rsidR="00DA5995" w:rsidRPr="003C0052">
        <w:rPr>
          <w:rFonts w:ascii="Times New Roman" w:hAnsi="Times New Roman" w:cs="Times New Roman"/>
        </w:rPr>
        <w:t xml:space="preserve">in </w:t>
      </w:r>
      <w:r w:rsidRPr="003C0052">
        <w:rPr>
          <w:rFonts w:ascii="Times New Roman" w:hAnsi="Times New Roman" w:cs="Times New Roman"/>
        </w:rPr>
        <w:t>Romania and Luxembourg, there is currently no distinction in penalty according to the quantities of drug supplied or personal circumstances of the offender (EMCDDA 2017</w:t>
      </w:r>
      <w:r w:rsidR="00E70A8E" w:rsidRPr="003C0052">
        <w:rPr>
          <w:rFonts w:ascii="Times New Roman" w:hAnsi="Times New Roman" w:cs="Times New Roman"/>
        </w:rPr>
        <w:t>a</w:t>
      </w:r>
      <w:r w:rsidRPr="003C0052">
        <w:rPr>
          <w:rFonts w:ascii="Times New Roman" w:hAnsi="Times New Roman" w:cs="Times New Roman"/>
        </w:rPr>
        <w:t>)</w:t>
      </w:r>
      <w:r w:rsidR="00CA7F28" w:rsidRPr="003C0052">
        <w:rPr>
          <w:rFonts w:ascii="Times New Roman" w:hAnsi="Times New Roman" w:cs="Times New Roman"/>
        </w:rPr>
        <w:t>,</w:t>
      </w:r>
      <w:r w:rsidRPr="003C0052">
        <w:rPr>
          <w:rFonts w:ascii="Times New Roman" w:hAnsi="Times New Roman" w:cs="Times New Roman"/>
        </w:rPr>
        <w:t xml:space="preserve"> </w:t>
      </w:r>
      <w:r w:rsidR="00DA5995" w:rsidRPr="003C0052">
        <w:rPr>
          <w:rFonts w:ascii="Times New Roman" w:hAnsi="Times New Roman" w:cs="Times New Roman"/>
        </w:rPr>
        <w:t>and</w:t>
      </w:r>
      <w:r w:rsidR="001E6F7D" w:rsidRPr="003C0052">
        <w:rPr>
          <w:rFonts w:ascii="Times New Roman" w:hAnsi="Times New Roman" w:cs="Times New Roman"/>
        </w:rPr>
        <w:t xml:space="preserve"> </w:t>
      </w:r>
      <w:r w:rsidR="00C96C93" w:rsidRPr="003C0052">
        <w:rPr>
          <w:rFonts w:ascii="Times New Roman" w:hAnsi="Times New Roman" w:cs="Times New Roman"/>
        </w:rPr>
        <w:t>it is important to note that a number of</w:t>
      </w:r>
      <w:r w:rsidR="00AD439B" w:rsidRPr="003C0052">
        <w:rPr>
          <w:rFonts w:ascii="Times New Roman" w:hAnsi="Times New Roman" w:cs="Times New Roman"/>
        </w:rPr>
        <w:t xml:space="preserve"> </w:t>
      </w:r>
      <w:r w:rsidR="00FF3D26" w:rsidRPr="003C0052">
        <w:rPr>
          <w:rFonts w:ascii="Times New Roman" w:hAnsi="Times New Roman" w:cs="Times New Roman"/>
        </w:rPr>
        <w:t>nations</w:t>
      </w:r>
      <w:r w:rsidR="00D16460" w:rsidRPr="003C0052">
        <w:rPr>
          <w:rFonts w:ascii="Times New Roman" w:hAnsi="Times New Roman" w:cs="Times New Roman"/>
        </w:rPr>
        <w:t xml:space="preserve"> </w:t>
      </w:r>
      <w:r w:rsidR="00AD439B" w:rsidRPr="003C0052">
        <w:rPr>
          <w:rFonts w:ascii="Times New Roman" w:hAnsi="Times New Roman" w:cs="Times New Roman"/>
        </w:rPr>
        <w:t>still impose disproportionate</w:t>
      </w:r>
      <w:r w:rsidR="001E6F7D" w:rsidRPr="003C0052">
        <w:rPr>
          <w:rFonts w:ascii="Times New Roman" w:hAnsi="Times New Roman" w:cs="Times New Roman"/>
        </w:rPr>
        <w:t xml:space="preserve"> sentencing tariffs that include life imprisonment and the death </w:t>
      </w:r>
      <w:r w:rsidR="001E6F7D" w:rsidRPr="003C0052">
        <w:rPr>
          <w:rFonts w:ascii="Times New Roman" w:hAnsi="Times New Roman" w:cs="Times New Roman"/>
        </w:rPr>
        <w:lastRenderedPageBreak/>
        <w:t>penalty (</w:t>
      </w:r>
      <w:r w:rsidR="00E11442" w:rsidRPr="003C0052">
        <w:rPr>
          <w:rFonts w:ascii="Times New Roman" w:hAnsi="Times New Roman" w:cs="Times New Roman"/>
        </w:rPr>
        <w:t xml:space="preserve">see </w:t>
      </w:r>
      <w:proofErr w:type="spellStart"/>
      <w:r w:rsidR="00654DD0" w:rsidRPr="003C0052">
        <w:rPr>
          <w:rFonts w:ascii="Times New Roman" w:hAnsi="Times New Roman" w:cs="Times New Roman"/>
        </w:rPr>
        <w:t>Gallahue</w:t>
      </w:r>
      <w:proofErr w:type="spellEnd"/>
      <w:r w:rsidR="00654DD0" w:rsidRPr="003C0052">
        <w:rPr>
          <w:rFonts w:ascii="Times New Roman" w:hAnsi="Times New Roman" w:cs="Times New Roman"/>
        </w:rPr>
        <w:t xml:space="preserve"> et al., 2012).</w:t>
      </w:r>
      <w:r w:rsidRPr="003C0052">
        <w:rPr>
          <w:rFonts w:ascii="Times New Roman" w:hAnsi="Times New Roman" w:cs="Times New Roman"/>
        </w:rPr>
        <w:t xml:space="preserve"> </w:t>
      </w:r>
      <w:r w:rsidR="006967DF" w:rsidRPr="003C0052">
        <w:rPr>
          <w:rFonts w:ascii="Times New Roman" w:hAnsi="Times New Roman" w:cs="Times New Roman"/>
        </w:rPr>
        <w:t>But d</w:t>
      </w:r>
      <w:r w:rsidR="00CA7F28" w:rsidRPr="003C0052">
        <w:rPr>
          <w:rFonts w:ascii="Times New Roman" w:hAnsi="Times New Roman" w:cs="Times New Roman"/>
        </w:rPr>
        <w:t>espite e</w:t>
      </w:r>
      <w:r w:rsidR="00DA5995" w:rsidRPr="003C0052">
        <w:rPr>
          <w:rFonts w:ascii="Times New Roman" w:hAnsi="Times New Roman" w:cs="Times New Roman"/>
        </w:rPr>
        <w:t>mergent international standard</w:t>
      </w:r>
      <w:r w:rsidR="00CA7F28" w:rsidRPr="003C0052">
        <w:rPr>
          <w:rFonts w:ascii="Times New Roman" w:hAnsi="Times New Roman" w:cs="Times New Roman"/>
        </w:rPr>
        <w:t>s</w:t>
      </w:r>
      <w:r w:rsidR="00DA5995" w:rsidRPr="003C0052">
        <w:rPr>
          <w:rFonts w:ascii="Times New Roman" w:hAnsi="Times New Roman" w:cs="Times New Roman"/>
        </w:rPr>
        <w:t xml:space="preserve"> around p</w:t>
      </w:r>
      <w:r w:rsidR="00435870" w:rsidRPr="003C0052">
        <w:rPr>
          <w:rFonts w:ascii="Times New Roman" w:hAnsi="Times New Roman" w:cs="Times New Roman"/>
        </w:rPr>
        <w:t>roportionality and drug supply</w:t>
      </w:r>
      <w:r w:rsidR="00F14444" w:rsidRPr="003C0052">
        <w:rPr>
          <w:rFonts w:ascii="Times New Roman" w:hAnsi="Times New Roman" w:cs="Times New Roman"/>
        </w:rPr>
        <w:t>,</w:t>
      </w:r>
      <w:r w:rsidR="00435870" w:rsidRPr="003C0052">
        <w:rPr>
          <w:rFonts w:ascii="Times New Roman" w:hAnsi="Times New Roman" w:cs="Times New Roman"/>
        </w:rPr>
        <w:t xml:space="preserve"> the implementation of proportionate s</w:t>
      </w:r>
      <w:r w:rsidR="00D16348" w:rsidRPr="003C0052">
        <w:rPr>
          <w:rFonts w:ascii="Times New Roman" w:hAnsi="Times New Roman" w:cs="Times New Roman"/>
        </w:rPr>
        <w:t>entencing frameworks is</w:t>
      </w:r>
      <w:r w:rsidR="00CE6950" w:rsidRPr="003C0052">
        <w:rPr>
          <w:rFonts w:ascii="Times New Roman" w:hAnsi="Times New Roman" w:cs="Times New Roman"/>
        </w:rPr>
        <w:t xml:space="preserve"> culturally mediated</w:t>
      </w:r>
      <w:r w:rsidR="00435870" w:rsidRPr="003C0052">
        <w:rPr>
          <w:rFonts w:ascii="Times New Roman" w:hAnsi="Times New Roman" w:cs="Times New Roman"/>
        </w:rPr>
        <w:t xml:space="preserve">, </w:t>
      </w:r>
      <w:r w:rsidR="00B05968" w:rsidRPr="003C0052">
        <w:rPr>
          <w:rFonts w:ascii="Times New Roman" w:hAnsi="Times New Roman" w:cs="Times New Roman"/>
        </w:rPr>
        <w:t>and</w:t>
      </w:r>
      <w:r w:rsidR="00C91CA0" w:rsidRPr="003C0052">
        <w:rPr>
          <w:rFonts w:ascii="Times New Roman" w:hAnsi="Times New Roman" w:cs="Times New Roman"/>
        </w:rPr>
        <w:t xml:space="preserve"> </w:t>
      </w:r>
      <w:r w:rsidR="00F44ACF" w:rsidRPr="003C0052">
        <w:rPr>
          <w:rFonts w:ascii="Times New Roman" w:hAnsi="Times New Roman" w:cs="Times New Roman"/>
        </w:rPr>
        <w:t>at groun</w:t>
      </w:r>
      <w:r w:rsidR="00252393" w:rsidRPr="003C0052">
        <w:rPr>
          <w:rFonts w:ascii="Times New Roman" w:hAnsi="Times New Roman" w:cs="Times New Roman"/>
        </w:rPr>
        <w:t>d level this means that different</w:t>
      </w:r>
      <w:r w:rsidR="00F14444" w:rsidRPr="003C0052">
        <w:rPr>
          <w:rFonts w:ascii="Times New Roman" w:hAnsi="Times New Roman" w:cs="Times New Roman"/>
        </w:rPr>
        <w:t xml:space="preserve"> </w:t>
      </w:r>
      <w:r w:rsidR="00FF3D26" w:rsidRPr="003C0052">
        <w:rPr>
          <w:rFonts w:ascii="Times New Roman" w:hAnsi="Times New Roman" w:cs="Times New Roman"/>
        </w:rPr>
        <w:t>j</w:t>
      </w:r>
      <w:r w:rsidR="00252393" w:rsidRPr="003C0052">
        <w:rPr>
          <w:rFonts w:ascii="Times New Roman" w:hAnsi="Times New Roman" w:cs="Times New Roman"/>
        </w:rPr>
        <w:t>urisdiction</w:t>
      </w:r>
      <w:r w:rsidR="00F44ACF" w:rsidRPr="003C0052">
        <w:rPr>
          <w:rFonts w:ascii="Times New Roman" w:hAnsi="Times New Roman" w:cs="Times New Roman"/>
        </w:rPr>
        <w:t>s</w:t>
      </w:r>
      <w:r w:rsidR="00252393" w:rsidRPr="003C0052">
        <w:rPr>
          <w:rFonts w:ascii="Times New Roman" w:hAnsi="Times New Roman" w:cs="Times New Roman"/>
        </w:rPr>
        <w:t>’</w:t>
      </w:r>
      <w:r w:rsidR="00F14444" w:rsidRPr="003C0052">
        <w:rPr>
          <w:rFonts w:ascii="Times New Roman" w:hAnsi="Times New Roman" w:cs="Times New Roman"/>
        </w:rPr>
        <w:t xml:space="preserve"> conception</w:t>
      </w:r>
      <w:r w:rsidR="00252393" w:rsidRPr="003C0052">
        <w:rPr>
          <w:rFonts w:ascii="Times New Roman" w:hAnsi="Times New Roman" w:cs="Times New Roman"/>
        </w:rPr>
        <w:t>s of proportionate penalties for</w:t>
      </w:r>
      <w:r w:rsidR="00F44ACF" w:rsidRPr="003C0052">
        <w:rPr>
          <w:rFonts w:ascii="Times New Roman" w:hAnsi="Times New Roman" w:cs="Times New Roman"/>
        </w:rPr>
        <w:t xml:space="preserve"> drug </w:t>
      </w:r>
      <w:r w:rsidR="00F14444" w:rsidRPr="003C0052">
        <w:rPr>
          <w:rFonts w:ascii="Times New Roman" w:hAnsi="Times New Roman" w:cs="Times New Roman"/>
        </w:rPr>
        <w:t xml:space="preserve">supply </w:t>
      </w:r>
      <w:r w:rsidR="00F44ACF" w:rsidRPr="003C0052">
        <w:rPr>
          <w:rFonts w:ascii="Times New Roman" w:hAnsi="Times New Roman" w:cs="Times New Roman"/>
        </w:rPr>
        <w:t>offence</w:t>
      </w:r>
      <w:r w:rsidR="00252393" w:rsidRPr="003C0052">
        <w:rPr>
          <w:rFonts w:ascii="Times New Roman" w:hAnsi="Times New Roman" w:cs="Times New Roman"/>
        </w:rPr>
        <w:t>s</w:t>
      </w:r>
      <w:r w:rsidR="00F44ACF" w:rsidRPr="003C0052">
        <w:rPr>
          <w:rFonts w:ascii="Times New Roman" w:hAnsi="Times New Roman" w:cs="Times New Roman"/>
        </w:rPr>
        <w:t xml:space="preserve"> </w:t>
      </w:r>
      <w:r w:rsidR="00252393" w:rsidRPr="003C0052">
        <w:rPr>
          <w:rFonts w:ascii="Times New Roman" w:hAnsi="Times New Roman" w:cs="Times New Roman"/>
        </w:rPr>
        <w:t>are</w:t>
      </w:r>
      <w:r w:rsidR="007860EC" w:rsidRPr="003C0052">
        <w:rPr>
          <w:rFonts w:ascii="Times New Roman" w:hAnsi="Times New Roman" w:cs="Times New Roman"/>
        </w:rPr>
        <w:t xml:space="preserve"> </w:t>
      </w:r>
      <w:r w:rsidR="00543D35" w:rsidRPr="003C0052">
        <w:rPr>
          <w:rFonts w:ascii="Times New Roman" w:hAnsi="Times New Roman" w:cs="Times New Roman"/>
        </w:rPr>
        <w:t xml:space="preserve">invariably </w:t>
      </w:r>
      <w:r w:rsidR="007860EC" w:rsidRPr="003C0052">
        <w:rPr>
          <w:rFonts w:ascii="Times New Roman" w:hAnsi="Times New Roman" w:cs="Times New Roman"/>
        </w:rPr>
        <w:t>shaped</w:t>
      </w:r>
      <w:r w:rsidR="0030560B" w:rsidRPr="003C0052">
        <w:rPr>
          <w:rFonts w:ascii="Times New Roman" w:hAnsi="Times New Roman" w:cs="Times New Roman"/>
        </w:rPr>
        <w:t xml:space="preserve"> both</w:t>
      </w:r>
      <w:r w:rsidR="007860EC" w:rsidRPr="003C0052">
        <w:rPr>
          <w:rFonts w:ascii="Times New Roman" w:hAnsi="Times New Roman" w:cs="Times New Roman"/>
        </w:rPr>
        <w:t xml:space="preserve"> by </w:t>
      </w:r>
      <w:r w:rsidR="0030560B" w:rsidRPr="003C0052">
        <w:rPr>
          <w:rFonts w:ascii="Times New Roman" w:hAnsi="Times New Roman" w:cs="Times New Roman"/>
        </w:rPr>
        <w:t xml:space="preserve">the political climate and </w:t>
      </w:r>
      <w:r w:rsidR="005B16C9" w:rsidRPr="003C0052">
        <w:rPr>
          <w:rFonts w:ascii="Times New Roman" w:hAnsi="Times New Roman" w:cs="Times New Roman"/>
        </w:rPr>
        <w:t>underlying understandings of whom and what the drug dealer is (Coomber, 2006)</w:t>
      </w:r>
      <w:r w:rsidR="0030560B" w:rsidRPr="003C0052">
        <w:rPr>
          <w:rFonts w:ascii="Times New Roman" w:hAnsi="Times New Roman" w:cs="Times New Roman"/>
        </w:rPr>
        <w:t>.</w:t>
      </w:r>
    </w:p>
    <w:p w:rsidR="007B797C" w:rsidRPr="003C0052" w:rsidRDefault="007B797C" w:rsidP="00197B88">
      <w:pPr>
        <w:spacing w:line="360" w:lineRule="auto"/>
        <w:jc w:val="both"/>
        <w:rPr>
          <w:rFonts w:ascii="Times New Roman" w:hAnsi="Times New Roman" w:cs="Times New Roman"/>
        </w:rPr>
      </w:pPr>
    </w:p>
    <w:p w:rsidR="007E72DA" w:rsidRPr="003C0052" w:rsidRDefault="00DE173E" w:rsidP="00197B88">
      <w:pPr>
        <w:spacing w:line="360" w:lineRule="auto"/>
        <w:jc w:val="both"/>
        <w:rPr>
          <w:rFonts w:ascii="Times New Roman" w:hAnsi="Times New Roman" w:cs="Times New Roman"/>
          <w:i/>
        </w:rPr>
      </w:pPr>
      <w:r w:rsidRPr="003C0052">
        <w:rPr>
          <w:rFonts w:ascii="Times New Roman" w:hAnsi="Times New Roman" w:cs="Times New Roman"/>
          <w:i/>
        </w:rPr>
        <w:t>Social Supply</w:t>
      </w:r>
    </w:p>
    <w:p w:rsidR="002D59DB" w:rsidRPr="003C0052" w:rsidRDefault="002D59DB" w:rsidP="00197B88">
      <w:pPr>
        <w:spacing w:line="360" w:lineRule="auto"/>
        <w:jc w:val="both"/>
        <w:rPr>
          <w:rFonts w:ascii="Times New Roman" w:hAnsi="Times New Roman" w:cs="Times New Roman"/>
        </w:rPr>
      </w:pPr>
    </w:p>
    <w:p w:rsidR="0030560B" w:rsidRPr="003C0052" w:rsidRDefault="00E3358B" w:rsidP="00B416A2">
      <w:pPr>
        <w:spacing w:line="360" w:lineRule="auto"/>
        <w:jc w:val="both"/>
        <w:rPr>
          <w:rFonts w:ascii="Times New Roman" w:hAnsi="Times New Roman" w:cs="Times New Roman"/>
          <w:lang w:val="en-US"/>
        </w:rPr>
      </w:pPr>
      <w:r w:rsidRPr="003C0052">
        <w:rPr>
          <w:rFonts w:ascii="Times New Roman" w:hAnsi="Times New Roman" w:cs="Times New Roman"/>
        </w:rPr>
        <w:t>Evidence of d</w:t>
      </w:r>
      <w:r w:rsidR="002B2B88" w:rsidRPr="003C0052">
        <w:rPr>
          <w:rFonts w:ascii="Times New Roman" w:hAnsi="Times New Roman" w:cs="Times New Roman"/>
        </w:rPr>
        <w:t xml:space="preserve">ifferent forms of low-level </w:t>
      </w:r>
      <w:r w:rsidRPr="003C0052">
        <w:rPr>
          <w:rFonts w:ascii="Times New Roman" w:hAnsi="Times New Roman" w:cs="Times New Roman"/>
        </w:rPr>
        <w:t xml:space="preserve">supply practices </w:t>
      </w:r>
      <w:r w:rsidR="002B2B88" w:rsidRPr="003C0052">
        <w:rPr>
          <w:rFonts w:ascii="Times New Roman" w:hAnsi="Times New Roman" w:cs="Times New Roman"/>
        </w:rPr>
        <w:t xml:space="preserve">such as those outlined in the </w:t>
      </w:r>
      <w:r w:rsidR="006112E2" w:rsidRPr="003C0052">
        <w:rPr>
          <w:rFonts w:ascii="Times New Roman" w:hAnsi="Times New Roman" w:cs="Times New Roman"/>
        </w:rPr>
        <w:t>Police Foundation R</w:t>
      </w:r>
      <w:r w:rsidR="002B2B88" w:rsidRPr="003C0052">
        <w:rPr>
          <w:rFonts w:ascii="Times New Roman" w:hAnsi="Times New Roman" w:cs="Times New Roman"/>
        </w:rPr>
        <w:t>eport</w:t>
      </w:r>
      <w:r w:rsidR="006112E2" w:rsidRPr="003C0052">
        <w:rPr>
          <w:rFonts w:ascii="Times New Roman" w:hAnsi="Times New Roman" w:cs="Times New Roman"/>
        </w:rPr>
        <w:t xml:space="preserve"> (2000)</w:t>
      </w:r>
      <w:r w:rsidR="002B2B88" w:rsidRPr="003C0052">
        <w:rPr>
          <w:rFonts w:ascii="Times New Roman" w:hAnsi="Times New Roman" w:cs="Times New Roman"/>
        </w:rPr>
        <w:t xml:space="preserve"> have been observed in a range of empirical research studies</w:t>
      </w:r>
      <w:r w:rsidR="007B5145" w:rsidRPr="003C0052">
        <w:rPr>
          <w:rFonts w:ascii="Times New Roman" w:hAnsi="Times New Roman" w:cs="Times New Roman"/>
        </w:rPr>
        <w:t xml:space="preserve"> </w:t>
      </w:r>
      <w:r w:rsidR="003A59E7" w:rsidRPr="003C0052">
        <w:rPr>
          <w:rFonts w:ascii="Times New Roman" w:hAnsi="Times New Roman" w:cs="Times New Roman"/>
        </w:rPr>
        <w:t>undertaken from</w:t>
      </w:r>
      <w:r w:rsidR="00473513" w:rsidRPr="003C0052">
        <w:rPr>
          <w:rFonts w:ascii="Times New Roman" w:hAnsi="Times New Roman" w:cs="Times New Roman"/>
        </w:rPr>
        <w:t xml:space="preserve"> the </w:t>
      </w:r>
      <w:r w:rsidR="003A59E7" w:rsidRPr="003C0052">
        <w:rPr>
          <w:rFonts w:ascii="Times New Roman" w:hAnsi="Times New Roman" w:cs="Times New Roman"/>
        </w:rPr>
        <w:t>1960’s</w:t>
      </w:r>
      <w:r w:rsidR="00473513" w:rsidRPr="003C0052">
        <w:rPr>
          <w:rFonts w:ascii="Times New Roman" w:hAnsi="Times New Roman" w:cs="Times New Roman"/>
        </w:rPr>
        <w:t xml:space="preserve"> (Goode</w:t>
      </w:r>
      <w:r w:rsidR="003A59E7" w:rsidRPr="003C0052">
        <w:rPr>
          <w:rFonts w:ascii="Times New Roman" w:hAnsi="Times New Roman" w:cs="Times New Roman"/>
        </w:rPr>
        <w:t>, 1969</w:t>
      </w:r>
      <w:r w:rsidR="00473513" w:rsidRPr="003C0052">
        <w:rPr>
          <w:rFonts w:ascii="Times New Roman" w:hAnsi="Times New Roman" w:cs="Times New Roman"/>
        </w:rPr>
        <w:t>; Blum</w:t>
      </w:r>
      <w:r w:rsidR="003A59E7" w:rsidRPr="003C0052">
        <w:rPr>
          <w:rFonts w:ascii="Times New Roman" w:hAnsi="Times New Roman" w:cs="Times New Roman"/>
        </w:rPr>
        <w:t>,</w:t>
      </w:r>
      <w:r w:rsidR="00466A77" w:rsidRPr="003C0052">
        <w:rPr>
          <w:rFonts w:ascii="Times New Roman" w:hAnsi="Times New Roman" w:cs="Times New Roman"/>
        </w:rPr>
        <w:t xml:space="preserve"> 1972</w:t>
      </w:r>
      <w:r w:rsidR="00473513" w:rsidRPr="003C0052">
        <w:rPr>
          <w:rFonts w:ascii="Times New Roman" w:hAnsi="Times New Roman" w:cs="Times New Roman"/>
        </w:rPr>
        <w:t>;</w:t>
      </w:r>
      <w:r w:rsidR="00466A77" w:rsidRPr="003C0052">
        <w:rPr>
          <w:rFonts w:ascii="Times New Roman" w:hAnsi="Times New Roman" w:cs="Times New Roman"/>
        </w:rPr>
        <w:t xml:space="preserve"> </w:t>
      </w:r>
      <w:r w:rsidR="00473513" w:rsidRPr="003C0052">
        <w:rPr>
          <w:rFonts w:ascii="Times New Roman" w:hAnsi="Times New Roman" w:cs="Times New Roman"/>
        </w:rPr>
        <w:t>Dorn</w:t>
      </w:r>
      <w:r w:rsidR="0071737E" w:rsidRPr="003C0052">
        <w:rPr>
          <w:rFonts w:ascii="Times New Roman" w:hAnsi="Times New Roman" w:cs="Times New Roman"/>
        </w:rPr>
        <w:t xml:space="preserve">, </w:t>
      </w:r>
      <w:proofErr w:type="spellStart"/>
      <w:r w:rsidR="0071737E" w:rsidRPr="003C0052">
        <w:rPr>
          <w:rFonts w:ascii="Times New Roman" w:hAnsi="Times New Roman" w:cs="Times New Roman"/>
        </w:rPr>
        <w:t>Murji</w:t>
      </w:r>
      <w:proofErr w:type="spellEnd"/>
      <w:r w:rsidR="0071737E" w:rsidRPr="003C0052">
        <w:rPr>
          <w:rFonts w:ascii="Times New Roman" w:hAnsi="Times New Roman" w:cs="Times New Roman"/>
        </w:rPr>
        <w:t xml:space="preserve"> &amp; South</w:t>
      </w:r>
      <w:r w:rsidR="00473513" w:rsidRPr="003C0052">
        <w:rPr>
          <w:rFonts w:ascii="Times New Roman" w:hAnsi="Times New Roman" w:cs="Times New Roman"/>
        </w:rPr>
        <w:t>, 1990) up to the present day</w:t>
      </w:r>
      <w:r w:rsidR="00850D71" w:rsidRPr="003C0052">
        <w:rPr>
          <w:rFonts w:ascii="Times New Roman" w:hAnsi="Times New Roman" w:cs="Times New Roman"/>
        </w:rPr>
        <w:t xml:space="preserve"> (see </w:t>
      </w:r>
      <w:proofErr w:type="spellStart"/>
      <w:r w:rsidR="00850D71" w:rsidRPr="003C0052">
        <w:rPr>
          <w:rFonts w:ascii="Times New Roman" w:hAnsi="Times New Roman" w:cs="Times New Roman"/>
        </w:rPr>
        <w:t>Werse</w:t>
      </w:r>
      <w:proofErr w:type="spellEnd"/>
      <w:r w:rsidR="00850D71" w:rsidRPr="003C0052">
        <w:rPr>
          <w:rFonts w:ascii="Times New Roman" w:hAnsi="Times New Roman" w:cs="Times New Roman"/>
        </w:rPr>
        <w:t xml:space="preserve"> </w:t>
      </w:r>
      <w:r w:rsidR="0071737E" w:rsidRPr="003C0052">
        <w:rPr>
          <w:rFonts w:ascii="Times New Roman" w:hAnsi="Times New Roman" w:cs="Times New Roman"/>
        </w:rPr>
        <w:t xml:space="preserve">&amp; </w:t>
      </w:r>
      <w:r w:rsidR="000F2264" w:rsidRPr="003C0052">
        <w:rPr>
          <w:rFonts w:ascii="Times New Roman" w:hAnsi="Times New Roman" w:cs="Times New Roman"/>
        </w:rPr>
        <w:t>Bernard (</w:t>
      </w:r>
      <w:proofErr w:type="spellStart"/>
      <w:proofErr w:type="gramStart"/>
      <w:r w:rsidR="000F2264" w:rsidRPr="003C0052">
        <w:rPr>
          <w:rFonts w:ascii="Times New Roman" w:hAnsi="Times New Roman" w:cs="Times New Roman"/>
        </w:rPr>
        <w:t>eds</w:t>
      </w:r>
      <w:proofErr w:type="spellEnd"/>
      <w:proofErr w:type="gramEnd"/>
      <w:r w:rsidR="000F2264" w:rsidRPr="003C0052">
        <w:rPr>
          <w:rFonts w:ascii="Times New Roman" w:hAnsi="Times New Roman" w:cs="Times New Roman"/>
        </w:rPr>
        <w:t>), 2016)</w:t>
      </w:r>
      <w:r w:rsidR="002B2B88" w:rsidRPr="003C0052">
        <w:rPr>
          <w:rFonts w:ascii="Times New Roman" w:hAnsi="Times New Roman" w:cs="Times New Roman"/>
        </w:rPr>
        <w:t>.</w:t>
      </w:r>
      <w:r w:rsidRPr="003C0052">
        <w:rPr>
          <w:rFonts w:ascii="Times New Roman" w:hAnsi="Times New Roman" w:cs="Times New Roman"/>
        </w:rPr>
        <w:t xml:space="preserve"> From the symbolic shari</w:t>
      </w:r>
      <w:r w:rsidR="003734F8" w:rsidRPr="003C0052">
        <w:rPr>
          <w:rFonts w:ascii="Times New Roman" w:hAnsi="Times New Roman" w:cs="Times New Roman"/>
        </w:rPr>
        <w:t xml:space="preserve">ng and gift giving behaviours </w:t>
      </w:r>
      <w:r w:rsidRPr="003C0052">
        <w:rPr>
          <w:rFonts w:ascii="Times New Roman" w:hAnsi="Times New Roman" w:cs="Times New Roman"/>
        </w:rPr>
        <w:t>associated with cannabis users (</w:t>
      </w:r>
      <w:r w:rsidR="002B2B88" w:rsidRPr="003C0052">
        <w:rPr>
          <w:rFonts w:ascii="Times New Roman" w:hAnsi="Times New Roman" w:cs="Times New Roman"/>
        </w:rPr>
        <w:t xml:space="preserve">Coomber </w:t>
      </w:r>
      <w:r w:rsidR="00842421" w:rsidRPr="003C0052">
        <w:rPr>
          <w:rFonts w:ascii="Times New Roman" w:hAnsi="Times New Roman" w:cs="Times New Roman"/>
        </w:rPr>
        <w:t xml:space="preserve">&amp; </w:t>
      </w:r>
      <w:r w:rsidR="002B2B88" w:rsidRPr="003C0052">
        <w:rPr>
          <w:rFonts w:ascii="Times New Roman" w:hAnsi="Times New Roman" w:cs="Times New Roman"/>
        </w:rPr>
        <w:t>Turnbull</w:t>
      </w:r>
      <w:r w:rsidR="00550A2A" w:rsidRPr="003C0052">
        <w:rPr>
          <w:rFonts w:ascii="Times New Roman" w:hAnsi="Times New Roman" w:cs="Times New Roman"/>
        </w:rPr>
        <w:t>, 2007; Duffy, Schafer, Coomber, O’Connell &amp; Turnbull</w:t>
      </w:r>
      <w:r w:rsidR="0071737E" w:rsidRPr="003C0052">
        <w:rPr>
          <w:rFonts w:ascii="Times New Roman" w:hAnsi="Times New Roman" w:cs="Times New Roman"/>
        </w:rPr>
        <w:t>, 2008</w:t>
      </w:r>
      <w:r w:rsidR="00D278A7" w:rsidRPr="003C0052">
        <w:rPr>
          <w:rFonts w:ascii="Times New Roman" w:hAnsi="Times New Roman" w:cs="Times New Roman"/>
        </w:rPr>
        <w:t xml:space="preserve">; </w:t>
      </w:r>
      <w:proofErr w:type="spellStart"/>
      <w:r w:rsidR="00D278A7" w:rsidRPr="003C0052">
        <w:rPr>
          <w:rFonts w:ascii="Times New Roman" w:hAnsi="Times New Roman" w:cs="Times New Roman"/>
        </w:rPr>
        <w:t>Belackova</w:t>
      </w:r>
      <w:proofErr w:type="spellEnd"/>
      <w:r w:rsidR="00D278A7" w:rsidRPr="003C0052">
        <w:rPr>
          <w:rFonts w:ascii="Times New Roman" w:hAnsi="Times New Roman" w:cs="Times New Roman"/>
        </w:rPr>
        <w:t xml:space="preserve"> </w:t>
      </w:r>
      <w:r w:rsidR="00BD3A69" w:rsidRPr="003C0052">
        <w:rPr>
          <w:rFonts w:ascii="Times New Roman" w:hAnsi="Times New Roman" w:cs="Times New Roman"/>
        </w:rPr>
        <w:t>&amp;</w:t>
      </w:r>
      <w:r w:rsidR="00CD3D4B" w:rsidRPr="003C0052">
        <w:rPr>
          <w:rFonts w:ascii="Times New Roman" w:hAnsi="Times New Roman" w:cs="Times New Roman"/>
        </w:rPr>
        <w:t xml:space="preserve"> </w:t>
      </w:r>
      <w:proofErr w:type="spellStart"/>
      <w:r w:rsidR="00D278A7" w:rsidRPr="003C0052">
        <w:rPr>
          <w:rFonts w:ascii="Times New Roman" w:hAnsi="Times New Roman" w:cs="Times New Roman"/>
        </w:rPr>
        <w:t>Zabransky</w:t>
      </w:r>
      <w:proofErr w:type="spellEnd"/>
      <w:r w:rsidR="00D278A7" w:rsidRPr="003C0052">
        <w:rPr>
          <w:rFonts w:ascii="Times New Roman" w:hAnsi="Times New Roman" w:cs="Times New Roman"/>
        </w:rPr>
        <w:t>, 2</w:t>
      </w:r>
      <w:r w:rsidR="00BA79F9" w:rsidRPr="003C0052">
        <w:rPr>
          <w:rFonts w:ascii="Times New Roman" w:hAnsi="Times New Roman" w:cs="Times New Roman"/>
        </w:rPr>
        <w:t xml:space="preserve">016; </w:t>
      </w:r>
      <w:proofErr w:type="spellStart"/>
      <w:r w:rsidR="000B0BFC" w:rsidRPr="003C0052">
        <w:rPr>
          <w:rFonts w:ascii="Times New Roman" w:hAnsi="Times New Roman" w:cs="Times New Roman"/>
          <w:lang w:val="en-US"/>
        </w:rPr>
        <w:t>Lenton</w:t>
      </w:r>
      <w:proofErr w:type="spellEnd"/>
      <w:r w:rsidR="000B0BFC" w:rsidRPr="003C0052">
        <w:rPr>
          <w:rFonts w:ascii="Times New Roman" w:hAnsi="Times New Roman" w:cs="Times New Roman"/>
          <w:lang w:val="en-US"/>
        </w:rPr>
        <w:t xml:space="preserve">, </w:t>
      </w:r>
      <w:proofErr w:type="spellStart"/>
      <w:r w:rsidR="000B0BFC" w:rsidRPr="003C0052">
        <w:rPr>
          <w:rFonts w:ascii="Times New Roman" w:hAnsi="Times New Roman" w:cs="Times New Roman"/>
          <w:lang w:val="en-US"/>
        </w:rPr>
        <w:t>Grigg</w:t>
      </w:r>
      <w:proofErr w:type="spellEnd"/>
      <w:r w:rsidR="000B0BFC" w:rsidRPr="003C0052">
        <w:rPr>
          <w:rFonts w:ascii="Times New Roman" w:hAnsi="Times New Roman" w:cs="Times New Roman"/>
          <w:lang w:val="en-US"/>
        </w:rPr>
        <w:t xml:space="preserve">, Scott, Barratt &amp; </w:t>
      </w:r>
      <w:proofErr w:type="spellStart"/>
      <w:r w:rsidR="000B0BFC" w:rsidRPr="003C0052">
        <w:rPr>
          <w:rFonts w:ascii="Times New Roman" w:hAnsi="Times New Roman" w:cs="Times New Roman"/>
          <w:lang w:val="en-US"/>
        </w:rPr>
        <w:t>Elefttheriadis</w:t>
      </w:r>
      <w:proofErr w:type="spellEnd"/>
      <w:r w:rsidR="000B0BFC" w:rsidRPr="003C0052">
        <w:rPr>
          <w:rFonts w:ascii="Times New Roman" w:hAnsi="Times New Roman" w:cs="Times New Roman"/>
        </w:rPr>
        <w:t xml:space="preserve"> </w:t>
      </w:r>
      <w:r w:rsidR="00BA79F9" w:rsidRPr="003C0052">
        <w:rPr>
          <w:rFonts w:ascii="Times New Roman" w:hAnsi="Times New Roman" w:cs="Times New Roman"/>
        </w:rPr>
        <w:t>2015</w:t>
      </w:r>
      <w:r w:rsidR="00842421" w:rsidRPr="003C0052">
        <w:rPr>
          <w:rFonts w:ascii="Times New Roman" w:hAnsi="Times New Roman" w:cs="Times New Roman"/>
        </w:rPr>
        <w:t>)</w:t>
      </w:r>
      <w:r w:rsidR="00FF3D26" w:rsidRPr="003C0052">
        <w:rPr>
          <w:rFonts w:ascii="Times New Roman" w:hAnsi="Times New Roman" w:cs="Times New Roman"/>
        </w:rPr>
        <w:t>,</w:t>
      </w:r>
      <w:r w:rsidR="00842421" w:rsidRPr="003C0052">
        <w:rPr>
          <w:rFonts w:ascii="Times New Roman" w:hAnsi="Times New Roman" w:cs="Times New Roman"/>
        </w:rPr>
        <w:t xml:space="preserve"> to</w:t>
      </w:r>
      <w:r w:rsidR="00E31D61" w:rsidRPr="003C0052">
        <w:rPr>
          <w:rFonts w:ascii="Times New Roman" w:hAnsi="Times New Roman" w:cs="Times New Roman"/>
        </w:rPr>
        <w:t xml:space="preserve"> the group and ‘party buying’ pr</w:t>
      </w:r>
      <w:r w:rsidR="003D5CFD" w:rsidRPr="003C0052">
        <w:rPr>
          <w:rFonts w:ascii="Times New Roman" w:hAnsi="Times New Roman" w:cs="Times New Roman"/>
        </w:rPr>
        <w:t>actices</w:t>
      </w:r>
      <w:r w:rsidR="00E31D61" w:rsidRPr="003C0052">
        <w:rPr>
          <w:rFonts w:ascii="Times New Roman" w:hAnsi="Times New Roman" w:cs="Times New Roman"/>
        </w:rPr>
        <w:t xml:space="preserve"> undertaken by clubbers</w:t>
      </w:r>
      <w:r w:rsidR="00842421" w:rsidRPr="003C0052">
        <w:rPr>
          <w:rFonts w:ascii="Times New Roman" w:hAnsi="Times New Roman" w:cs="Times New Roman"/>
        </w:rPr>
        <w:t xml:space="preserve"> </w:t>
      </w:r>
      <w:r w:rsidR="002B2B88" w:rsidRPr="003C0052">
        <w:rPr>
          <w:rFonts w:ascii="Times New Roman" w:hAnsi="Times New Roman" w:cs="Times New Roman"/>
        </w:rPr>
        <w:t>(</w:t>
      </w:r>
      <w:r w:rsidR="00E31D61" w:rsidRPr="003C0052">
        <w:rPr>
          <w:rFonts w:ascii="Times New Roman" w:hAnsi="Times New Roman" w:cs="Times New Roman"/>
        </w:rPr>
        <w:t xml:space="preserve">Murphy et al., 2004; </w:t>
      </w:r>
      <w:r w:rsidR="002B2B88" w:rsidRPr="003C0052">
        <w:rPr>
          <w:rFonts w:ascii="Times New Roman" w:hAnsi="Times New Roman" w:cs="Times New Roman"/>
        </w:rPr>
        <w:t>Coomber &amp; Moyle, 2013</w:t>
      </w:r>
      <w:r w:rsidR="00AA59D2" w:rsidRPr="003C0052">
        <w:rPr>
          <w:rFonts w:ascii="Times New Roman" w:hAnsi="Times New Roman" w:cs="Times New Roman"/>
        </w:rPr>
        <w:t xml:space="preserve">; Joe </w:t>
      </w:r>
      <w:proofErr w:type="spellStart"/>
      <w:r w:rsidR="003A59E7" w:rsidRPr="003C0052">
        <w:rPr>
          <w:rFonts w:ascii="Times New Roman" w:hAnsi="Times New Roman" w:cs="Times New Roman"/>
        </w:rPr>
        <w:t>Laidler</w:t>
      </w:r>
      <w:proofErr w:type="spellEnd"/>
      <w:r w:rsidR="003A59E7" w:rsidRPr="003C0052">
        <w:rPr>
          <w:rFonts w:ascii="Times New Roman" w:hAnsi="Times New Roman" w:cs="Times New Roman"/>
        </w:rPr>
        <w:t xml:space="preserve"> </w:t>
      </w:r>
      <w:r w:rsidR="005515FA" w:rsidRPr="003C0052">
        <w:rPr>
          <w:rFonts w:ascii="Times New Roman" w:hAnsi="Times New Roman" w:cs="Times New Roman"/>
        </w:rPr>
        <w:t xml:space="preserve">&amp; </w:t>
      </w:r>
      <w:r w:rsidR="003A59E7" w:rsidRPr="003C0052">
        <w:rPr>
          <w:rFonts w:ascii="Times New Roman" w:hAnsi="Times New Roman" w:cs="Times New Roman"/>
        </w:rPr>
        <w:t>Hunt, 2008</w:t>
      </w:r>
      <w:r w:rsidR="00AA59D2" w:rsidRPr="003C0052">
        <w:rPr>
          <w:rFonts w:ascii="Times New Roman" w:hAnsi="Times New Roman" w:cs="Times New Roman"/>
        </w:rPr>
        <w:t xml:space="preserve">; </w:t>
      </w:r>
      <w:proofErr w:type="spellStart"/>
      <w:r w:rsidR="00AA59D2" w:rsidRPr="003C0052">
        <w:rPr>
          <w:rFonts w:ascii="Times New Roman" w:hAnsi="Times New Roman" w:cs="Times New Roman"/>
        </w:rPr>
        <w:t>Measham</w:t>
      </w:r>
      <w:proofErr w:type="spellEnd"/>
      <w:r w:rsidR="0071737E" w:rsidRPr="003C0052">
        <w:rPr>
          <w:rFonts w:ascii="Times New Roman" w:hAnsi="Times New Roman" w:cs="Times New Roman"/>
        </w:rPr>
        <w:t xml:space="preserve">, Aldridge &amp; Parker, </w:t>
      </w:r>
      <w:r w:rsidR="003A59E7" w:rsidRPr="003C0052">
        <w:rPr>
          <w:rFonts w:ascii="Times New Roman" w:hAnsi="Times New Roman" w:cs="Times New Roman"/>
        </w:rPr>
        <w:t>2001</w:t>
      </w:r>
      <w:r w:rsidR="00AA59D2" w:rsidRPr="003C0052">
        <w:rPr>
          <w:rFonts w:ascii="Times New Roman" w:hAnsi="Times New Roman" w:cs="Times New Roman"/>
        </w:rPr>
        <w:t>)</w:t>
      </w:r>
      <w:r w:rsidR="002B2B88" w:rsidRPr="003C0052">
        <w:rPr>
          <w:rFonts w:ascii="Times New Roman" w:hAnsi="Times New Roman" w:cs="Times New Roman"/>
        </w:rPr>
        <w:t xml:space="preserve"> </w:t>
      </w:r>
      <w:r w:rsidR="003734F8" w:rsidRPr="003C0052">
        <w:rPr>
          <w:rFonts w:ascii="Times New Roman" w:hAnsi="Times New Roman" w:cs="Times New Roman"/>
        </w:rPr>
        <w:t>and</w:t>
      </w:r>
      <w:r w:rsidR="003D5CFD" w:rsidRPr="003C0052">
        <w:rPr>
          <w:rFonts w:ascii="Times New Roman" w:hAnsi="Times New Roman" w:cs="Times New Roman"/>
        </w:rPr>
        <w:t xml:space="preserve"> the</w:t>
      </w:r>
      <w:r w:rsidR="00AA59D2" w:rsidRPr="003C0052">
        <w:rPr>
          <w:rFonts w:ascii="Times New Roman" w:hAnsi="Times New Roman" w:cs="Times New Roman"/>
        </w:rPr>
        <w:t xml:space="preserve"> </w:t>
      </w:r>
      <w:r w:rsidR="005E34E7" w:rsidRPr="003C0052">
        <w:rPr>
          <w:rFonts w:ascii="Times New Roman" w:hAnsi="Times New Roman" w:cs="Times New Roman"/>
        </w:rPr>
        <w:t>social distribution of drugs in g</w:t>
      </w:r>
      <w:r w:rsidR="00AA59D2" w:rsidRPr="003C0052">
        <w:rPr>
          <w:rFonts w:ascii="Times New Roman" w:hAnsi="Times New Roman" w:cs="Times New Roman"/>
        </w:rPr>
        <w:t>yms by users of Performance and Image Enhancing Drugs (PIED)</w:t>
      </w:r>
      <w:r w:rsidR="005E34E7" w:rsidRPr="003C0052">
        <w:rPr>
          <w:rFonts w:ascii="Times New Roman" w:hAnsi="Times New Roman" w:cs="Times New Roman"/>
        </w:rPr>
        <w:t xml:space="preserve"> (Coomber </w:t>
      </w:r>
      <w:r w:rsidR="004846DF" w:rsidRPr="003C0052">
        <w:rPr>
          <w:rFonts w:ascii="Times New Roman" w:hAnsi="Times New Roman" w:cs="Times New Roman"/>
        </w:rPr>
        <w:t>et al., 2014</w:t>
      </w:r>
      <w:r w:rsidR="0071737E" w:rsidRPr="003C0052">
        <w:rPr>
          <w:rFonts w:ascii="Times New Roman" w:hAnsi="Times New Roman" w:cs="Times New Roman"/>
        </w:rPr>
        <w:t xml:space="preserve">; van de </w:t>
      </w:r>
      <w:proofErr w:type="spellStart"/>
      <w:r w:rsidR="0071737E" w:rsidRPr="003C0052">
        <w:rPr>
          <w:rFonts w:ascii="Times New Roman" w:hAnsi="Times New Roman" w:cs="Times New Roman"/>
        </w:rPr>
        <w:t>Ven</w:t>
      </w:r>
      <w:proofErr w:type="spellEnd"/>
      <w:r w:rsidR="0071737E" w:rsidRPr="003C0052">
        <w:rPr>
          <w:rFonts w:ascii="Times New Roman" w:hAnsi="Times New Roman" w:cs="Times New Roman"/>
        </w:rPr>
        <w:t xml:space="preserve"> &amp;</w:t>
      </w:r>
      <w:r w:rsidR="000E137B" w:rsidRPr="003C0052">
        <w:rPr>
          <w:rFonts w:ascii="Times New Roman" w:hAnsi="Times New Roman" w:cs="Times New Roman"/>
        </w:rPr>
        <w:t xml:space="preserve"> </w:t>
      </w:r>
      <w:proofErr w:type="spellStart"/>
      <w:r w:rsidR="000E137B" w:rsidRPr="003C0052">
        <w:rPr>
          <w:rFonts w:ascii="Times New Roman" w:hAnsi="Times New Roman" w:cs="Times New Roman"/>
        </w:rPr>
        <w:t>Mulrooney</w:t>
      </w:r>
      <w:proofErr w:type="spellEnd"/>
      <w:r w:rsidR="000E137B" w:rsidRPr="003C0052">
        <w:rPr>
          <w:rFonts w:ascii="Times New Roman" w:hAnsi="Times New Roman" w:cs="Times New Roman"/>
        </w:rPr>
        <w:t>, 2017</w:t>
      </w:r>
      <w:r w:rsidR="004846DF" w:rsidRPr="003C0052">
        <w:rPr>
          <w:rFonts w:ascii="Times New Roman" w:hAnsi="Times New Roman" w:cs="Times New Roman"/>
        </w:rPr>
        <w:t>)</w:t>
      </w:r>
      <w:r w:rsidR="00AA59D2" w:rsidRPr="003C0052">
        <w:rPr>
          <w:rFonts w:ascii="Times New Roman" w:hAnsi="Times New Roman" w:cs="Times New Roman"/>
        </w:rPr>
        <w:t>,</w:t>
      </w:r>
      <w:r w:rsidR="003D5CFD" w:rsidRPr="003C0052">
        <w:rPr>
          <w:rFonts w:ascii="Times New Roman" w:hAnsi="Times New Roman" w:cs="Times New Roman"/>
        </w:rPr>
        <w:t xml:space="preserve"> social supply is now largely understood </w:t>
      </w:r>
      <w:r w:rsidR="00AA59D2" w:rsidRPr="003C0052">
        <w:rPr>
          <w:rFonts w:ascii="Times New Roman" w:hAnsi="Times New Roman" w:cs="Times New Roman"/>
        </w:rPr>
        <w:t xml:space="preserve">both as an </w:t>
      </w:r>
      <w:r w:rsidR="003D5CFD" w:rsidRPr="003C0052">
        <w:rPr>
          <w:rFonts w:ascii="Times New Roman" w:hAnsi="Times New Roman" w:cs="Times New Roman"/>
        </w:rPr>
        <w:t>observable and qualitatively different form of supply to that of drug dealing</w:t>
      </w:r>
      <w:r w:rsidR="004D3FD8" w:rsidRPr="003C0052">
        <w:rPr>
          <w:rFonts w:ascii="Times New Roman" w:hAnsi="Times New Roman" w:cs="Times New Roman"/>
        </w:rPr>
        <w:t xml:space="preserve"> proper</w:t>
      </w:r>
      <w:r w:rsidR="003D5CFD" w:rsidRPr="003C0052">
        <w:rPr>
          <w:rFonts w:ascii="Times New Roman" w:hAnsi="Times New Roman" w:cs="Times New Roman"/>
        </w:rPr>
        <w:t>.</w:t>
      </w:r>
      <w:r w:rsidR="00AA59D2" w:rsidRPr="003C0052">
        <w:rPr>
          <w:rFonts w:ascii="Times New Roman" w:hAnsi="Times New Roman" w:cs="Times New Roman"/>
        </w:rPr>
        <w:t xml:space="preserve"> </w:t>
      </w:r>
      <w:r w:rsidR="003734F8" w:rsidRPr="003C0052">
        <w:rPr>
          <w:rFonts w:ascii="Times New Roman" w:hAnsi="Times New Roman" w:cs="Times New Roman"/>
        </w:rPr>
        <w:t xml:space="preserve">Despite the wealth of research that has documented social </w:t>
      </w:r>
      <w:r w:rsidR="004D3FD8" w:rsidRPr="003C0052">
        <w:rPr>
          <w:rFonts w:ascii="Times New Roman" w:hAnsi="Times New Roman" w:cs="Times New Roman"/>
        </w:rPr>
        <w:t xml:space="preserve">drug </w:t>
      </w:r>
      <w:r w:rsidR="003734F8" w:rsidRPr="003C0052">
        <w:rPr>
          <w:rFonts w:ascii="Times New Roman" w:hAnsi="Times New Roman" w:cs="Times New Roman"/>
        </w:rPr>
        <w:t xml:space="preserve">distribution across </w:t>
      </w:r>
      <w:r w:rsidR="006112E2" w:rsidRPr="003C0052">
        <w:rPr>
          <w:rFonts w:ascii="Times New Roman" w:hAnsi="Times New Roman" w:cs="Times New Roman"/>
        </w:rPr>
        <w:t xml:space="preserve">many international contexts, </w:t>
      </w:r>
      <w:r w:rsidR="00B416A2" w:rsidRPr="003C0052">
        <w:rPr>
          <w:rFonts w:ascii="Times New Roman" w:hAnsi="Times New Roman" w:cs="Times New Roman"/>
          <w:lang w:val="en-US"/>
        </w:rPr>
        <w:t xml:space="preserve">definition has </w:t>
      </w:r>
      <w:r w:rsidR="00FF3D26" w:rsidRPr="003C0052">
        <w:rPr>
          <w:rFonts w:ascii="Times New Roman" w:hAnsi="Times New Roman" w:cs="Times New Roman"/>
          <w:lang w:val="en-US"/>
        </w:rPr>
        <w:t xml:space="preserve">nonetheless </w:t>
      </w:r>
      <w:r w:rsidR="00B416A2" w:rsidRPr="003C0052">
        <w:rPr>
          <w:rFonts w:ascii="Times New Roman" w:hAnsi="Times New Roman" w:cs="Times New Roman"/>
          <w:lang w:val="en-US"/>
        </w:rPr>
        <w:t>tended to be</w:t>
      </w:r>
      <w:r w:rsidR="003734F8" w:rsidRPr="003C0052">
        <w:rPr>
          <w:rFonts w:ascii="Times New Roman" w:hAnsi="Times New Roman" w:cs="Times New Roman"/>
          <w:lang w:val="en-US"/>
        </w:rPr>
        <w:t xml:space="preserve"> a slippery business </w:t>
      </w:r>
      <w:proofErr w:type="spellStart"/>
      <w:r w:rsidR="003734F8" w:rsidRPr="003C0052">
        <w:rPr>
          <w:rFonts w:ascii="Times New Roman" w:hAnsi="Times New Roman" w:cs="Times New Roman"/>
          <w:lang w:val="en-US"/>
        </w:rPr>
        <w:t>characteris</w:t>
      </w:r>
      <w:r w:rsidR="00D16348" w:rsidRPr="003C0052">
        <w:rPr>
          <w:rFonts w:ascii="Times New Roman" w:hAnsi="Times New Roman" w:cs="Times New Roman"/>
          <w:lang w:val="en-US"/>
        </w:rPr>
        <w:t>ed</w:t>
      </w:r>
      <w:proofErr w:type="spellEnd"/>
      <w:r w:rsidR="00D16348" w:rsidRPr="003C0052">
        <w:rPr>
          <w:rFonts w:ascii="Times New Roman" w:hAnsi="Times New Roman" w:cs="Times New Roman"/>
          <w:lang w:val="en-US"/>
        </w:rPr>
        <w:t xml:space="preserve"> by an absence of</w:t>
      </w:r>
      <w:r w:rsidR="00B416A2" w:rsidRPr="003C0052">
        <w:rPr>
          <w:rFonts w:ascii="Times New Roman" w:hAnsi="Times New Roman" w:cs="Times New Roman"/>
          <w:lang w:val="en-US"/>
        </w:rPr>
        <w:t xml:space="preserve"> accepted definition cri</w:t>
      </w:r>
      <w:r w:rsidR="003734F8" w:rsidRPr="003C0052">
        <w:rPr>
          <w:rFonts w:ascii="Times New Roman" w:hAnsi="Times New Roman" w:cs="Times New Roman"/>
          <w:lang w:val="en-US"/>
        </w:rPr>
        <w:t xml:space="preserve">teria (Taylor </w:t>
      </w:r>
      <w:r w:rsidR="00550A2A" w:rsidRPr="003C0052">
        <w:rPr>
          <w:rFonts w:ascii="Times New Roman" w:hAnsi="Times New Roman" w:cs="Times New Roman"/>
          <w:lang w:val="en-US"/>
        </w:rPr>
        <w:t xml:space="preserve">&amp; </w:t>
      </w:r>
      <w:r w:rsidR="003734F8" w:rsidRPr="003C0052">
        <w:rPr>
          <w:rFonts w:ascii="Times New Roman" w:hAnsi="Times New Roman" w:cs="Times New Roman"/>
          <w:lang w:val="en-US"/>
        </w:rPr>
        <w:t>Potter, 2013).</w:t>
      </w:r>
      <w:r w:rsidR="004846DF" w:rsidRPr="003C0052">
        <w:rPr>
          <w:rFonts w:ascii="Times New Roman" w:hAnsi="Times New Roman" w:cs="Times New Roman"/>
          <w:lang w:val="en-US"/>
        </w:rPr>
        <w:t xml:space="preserve"> </w:t>
      </w:r>
    </w:p>
    <w:p w:rsidR="0030560B" w:rsidRPr="003C0052" w:rsidRDefault="0030560B" w:rsidP="00B416A2">
      <w:pPr>
        <w:spacing w:line="360" w:lineRule="auto"/>
        <w:jc w:val="both"/>
        <w:rPr>
          <w:rFonts w:ascii="Times New Roman" w:hAnsi="Times New Roman" w:cs="Times New Roman"/>
          <w:lang w:val="en-US"/>
        </w:rPr>
      </w:pPr>
    </w:p>
    <w:p w:rsidR="00B416A2" w:rsidRPr="003C0052" w:rsidRDefault="004846DF" w:rsidP="00B416A2">
      <w:pPr>
        <w:spacing w:line="360" w:lineRule="auto"/>
        <w:jc w:val="both"/>
        <w:rPr>
          <w:rFonts w:ascii="Times New Roman" w:hAnsi="Times New Roman" w:cs="Times New Roman"/>
        </w:rPr>
      </w:pPr>
      <w:r w:rsidRPr="003C0052">
        <w:rPr>
          <w:rFonts w:ascii="Times New Roman" w:hAnsi="Times New Roman" w:cs="Times New Roman"/>
          <w:lang w:val="en-US"/>
        </w:rPr>
        <w:t>T</w:t>
      </w:r>
      <w:r w:rsidR="00B416A2" w:rsidRPr="003C0052">
        <w:rPr>
          <w:rFonts w:ascii="Times New Roman" w:hAnsi="Times New Roman" w:cs="Times New Roman"/>
          <w:lang w:val="en-US"/>
        </w:rPr>
        <w:t xml:space="preserve">here are two central elements that are often associated with the term: social supply as ‘non-profit’, and as ‘non-stranger’ supply (Potter, 2009). The idea of social supply as </w:t>
      </w:r>
      <w:r w:rsidR="001D1D18" w:rsidRPr="003C0052">
        <w:rPr>
          <w:rFonts w:ascii="Times New Roman" w:hAnsi="Times New Roman" w:cs="Times New Roman"/>
          <w:lang w:val="en-US"/>
        </w:rPr>
        <w:t xml:space="preserve">characterized by non-commercial distribution </w:t>
      </w:r>
      <w:r w:rsidR="00B416A2" w:rsidRPr="003C0052">
        <w:rPr>
          <w:rFonts w:ascii="Times New Roman" w:hAnsi="Times New Roman" w:cs="Times New Roman"/>
          <w:lang w:val="en-US"/>
        </w:rPr>
        <w:t xml:space="preserve">appears to have been widely supported in the literature base (Hough et al., 2003; Coomber </w:t>
      </w:r>
      <w:r w:rsidRPr="003C0052">
        <w:rPr>
          <w:rFonts w:ascii="Times New Roman" w:hAnsi="Times New Roman" w:cs="Times New Roman"/>
          <w:lang w:val="en-US"/>
        </w:rPr>
        <w:t xml:space="preserve">&amp; </w:t>
      </w:r>
      <w:r w:rsidR="00B416A2" w:rsidRPr="003C0052">
        <w:rPr>
          <w:rFonts w:ascii="Times New Roman" w:hAnsi="Times New Roman" w:cs="Times New Roman"/>
          <w:lang w:val="en-US"/>
        </w:rPr>
        <w:t>Turnbull, 2007)</w:t>
      </w:r>
      <w:r w:rsidR="001D1D18" w:rsidRPr="003C0052">
        <w:rPr>
          <w:rFonts w:ascii="Times New Roman" w:hAnsi="Times New Roman" w:cs="Times New Roman"/>
          <w:lang w:val="en-US"/>
        </w:rPr>
        <w:t>,</w:t>
      </w:r>
      <w:r w:rsidR="00B416A2" w:rsidRPr="003C0052">
        <w:rPr>
          <w:rFonts w:ascii="Times New Roman" w:hAnsi="Times New Roman" w:cs="Times New Roman"/>
          <w:lang w:val="en-US"/>
        </w:rPr>
        <w:t xml:space="preserve"> and empirical studies (see Hough et al., 2003; Duffy et al., 2008;</w:t>
      </w:r>
      <w:r w:rsidR="00CD3ED0" w:rsidRPr="003C0052">
        <w:rPr>
          <w:rFonts w:ascii="Times New Roman" w:hAnsi="Times New Roman" w:cs="Times New Roman"/>
          <w:lang w:val="en-US"/>
        </w:rPr>
        <w:t xml:space="preserve"> Moyle &amp; Coomber, forthcoming</w:t>
      </w:r>
      <w:r w:rsidR="00B416A2" w:rsidRPr="003C0052">
        <w:rPr>
          <w:rFonts w:ascii="Times New Roman" w:hAnsi="Times New Roman" w:cs="Times New Roman"/>
          <w:lang w:val="en-US"/>
        </w:rPr>
        <w:t xml:space="preserve">) have also depicted the regularity and high incidence of drug users sharing, swapping and ‘chipping in’ (combining funds to buy a quantity of drugs as a group). These practices have been identified as an important means of negotiating </w:t>
      </w:r>
      <w:r w:rsidR="00B416A2" w:rsidRPr="003C0052">
        <w:rPr>
          <w:rFonts w:ascii="Times New Roman" w:hAnsi="Times New Roman" w:cs="Times New Roman"/>
          <w:lang w:val="en-US"/>
        </w:rPr>
        <w:lastRenderedPageBreak/>
        <w:t>drug prohibition through providing access to those without contacts to drug supply networks (</w:t>
      </w:r>
      <w:proofErr w:type="spellStart"/>
      <w:r w:rsidR="00B416A2" w:rsidRPr="003C0052">
        <w:rPr>
          <w:rFonts w:ascii="Times New Roman" w:hAnsi="Times New Roman" w:cs="Times New Roman"/>
          <w:lang w:val="en-US"/>
        </w:rPr>
        <w:t>Measham</w:t>
      </w:r>
      <w:proofErr w:type="spellEnd"/>
      <w:r w:rsidR="00B416A2" w:rsidRPr="003C0052">
        <w:rPr>
          <w:rFonts w:ascii="Times New Roman" w:hAnsi="Times New Roman" w:cs="Times New Roman"/>
          <w:lang w:val="en-US"/>
        </w:rPr>
        <w:t xml:space="preserve"> et al., 2001), as well as offering users the prospect to share drug costs</w:t>
      </w:r>
      <w:r w:rsidR="00544161" w:rsidRPr="003C0052">
        <w:rPr>
          <w:rFonts w:ascii="Times New Roman" w:hAnsi="Times New Roman" w:cs="Times New Roman"/>
          <w:lang w:val="en-US"/>
        </w:rPr>
        <w:t xml:space="preserve"> (Moyle &amp; Coomber, forthcoming)</w:t>
      </w:r>
      <w:r w:rsidR="00B416A2" w:rsidRPr="003C0052">
        <w:rPr>
          <w:rFonts w:ascii="Times New Roman" w:hAnsi="Times New Roman" w:cs="Times New Roman"/>
          <w:lang w:val="en-US"/>
        </w:rPr>
        <w:t xml:space="preserve"> and protect themselves from the threat of the police and prosecution (Potter</w:t>
      </w:r>
      <w:r w:rsidR="00544161" w:rsidRPr="003C0052">
        <w:rPr>
          <w:rFonts w:ascii="Times New Roman" w:hAnsi="Times New Roman" w:cs="Times New Roman"/>
          <w:lang w:val="en-US"/>
        </w:rPr>
        <w:t>,</w:t>
      </w:r>
      <w:r w:rsidR="00B416A2" w:rsidRPr="003C0052">
        <w:rPr>
          <w:rFonts w:ascii="Times New Roman" w:hAnsi="Times New Roman" w:cs="Times New Roman"/>
          <w:lang w:val="en-US"/>
        </w:rPr>
        <w:t xml:space="preserve"> 2009; Parker et al., 1998</w:t>
      </w:r>
      <w:r w:rsidR="00F813EB" w:rsidRPr="003C0052">
        <w:rPr>
          <w:rFonts w:ascii="Times New Roman" w:hAnsi="Times New Roman" w:cs="Times New Roman"/>
          <w:lang w:val="en-US"/>
        </w:rPr>
        <w:t xml:space="preserve">; </w:t>
      </w:r>
      <w:proofErr w:type="spellStart"/>
      <w:r w:rsidR="00F813EB" w:rsidRPr="003C0052">
        <w:rPr>
          <w:rFonts w:ascii="Times New Roman" w:hAnsi="Times New Roman" w:cs="Times New Roman"/>
          <w:lang w:val="en-US"/>
        </w:rPr>
        <w:t>Belackova</w:t>
      </w:r>
      <w:proofErr w:type="spellEnd"/>
      <w:r w:rsidR="00F813EB" w:rsidRPr="003C0052">
        <w:rPr>
          <w:rFonts w:ascii="Times New Roman" w:hAnsi="Times New Roman" w:cs="Times New Roman"/>
          <w:lang w:val="en-US"/>
        </w:rPr>
        <w:t xml:space="preserve"> &amp;</w:t>
      </w:r>
      <w:r w:rsidR="00544161" w:rsidRPr="003C0052">
        <w:rPr>
          <w:rFonts w:ascii="Times New Roman" w:hAnsi="Times New Roman" w:cs="Times New Roman"/>
          <w:lang w:val="en-US"/>
        </w:rPr>
        <w:t xml:space="preserve"> Vaccaro, 2013</w:t>
      </w:r>
      <w:r w:rsidR="00B416A2" w:rsidRPr="003C0052">
        <w:rPr>
          <w:rFonts w:ascii="Times New Roman" w:hAnsi="Times New Roman" w:cs="Times New Roman"/>
          <w:lang w:val="en-US"/>
        </w:rPr>
        <w:t xml:space="preserve">). Though motivations for accessing drugs through social suppliers have tended to be </w:t>
      </w:r>
      <w:r w:rsidR="00B416A2" w:rsidRPr="003C0052">
        <w:rPr>
          <w:rFonts w:ascii="Times New Roman" w:hAnsi="Times New Roman" w:cs="Times New Roman"/>
          <w:i/>
          <w:lang w:val="en-US"/>
        </w:rPr>
        <w:t>predominately</w:t>
      </w:r>
      <w:r w:rsidR="00B416A2" w:rsidRPr="003C0052">
        <w:rPr>
          <w:rFonts w:ascii="Times New Roman" w:hAnsi="Times New Roman" w:cs="Times New Roman"/>
          <w:lang w:val="en-US"/>
        </w:rPr>
        <w:t xml:space="preserve"> non-commercial in character, emerging evidence suggests these transactions are more nuanced. Empirical data indicates that social supplie</w:t>
      </w:r>
      <w:r w:rsidR="00544161" w:rsidRPr="003C0052">
        <w:rPr>
          <w:rFonts w:ascii="Times New Roman" w:hAnsi="Times New Roman" w:cs="Times New Roman"/>
          <w:lang w:val="en-US"/>
        </w:rPr>
        <w:t>rs may be</w:t>
      </w:r>
      <w:r w:rsidR="00B416A2" w:rsidRPr="003C0052">
        <w:rPr>
          <w:rFonts w:ascii="Times New Roman" w:hAnsi="Times New Roman" w:cs="Times New Roman"/>
          <w:lang w:val="en-US"/>
        </w:rPr>
        <w:t xml:space="preserve"> routinely given free drugs or a monetary contribution for their troubles </w:t>
      </w:r>
      <w:r w:rsidR="003D2925" w:rsidRPr="003C0052">
        <w:rPr>
          <w:rFonts w:ascii="Times New Roman" w:hAnsi="Times New Roman" w:cs="Times New Roman"/>
          <w:lang w:val="en-US"/>
        </w:rPr>
        <w:t xml:space="preserve">and risk (Parker, 2000; Coomber &amp; </w:t>
      </w:r>
      <w:r w:rsidR="00B416A2" w:rsidRPr="003C0052">
        <w:rPr>
          <w:rFonts w:ascii="Times New Roman" w:hAnsi="Times New Roman" w:cs="Times New Roman"/>
          <w:lang w:val="en-US"/>
        </w:rPr>
        <w:t xml:space="preserve">Turnbull, 2007), or effectively earn their drugs for free through retail ‘markup’ (See Goode, 1969; Dorn et al., 1992; Murphy et al.,1990). The routine inclusion of gain and financial profit through </w:t>
      </w:r>
      <w:r w:rsidR="00C7345C" w:rsidRPr="003C0052">
        <w:rPr>
          <w:rFonts w:ascii="Times New Roman" w:hAnsi="Times New Roman" w:cs="Times New Roman"/>
          <w:lang w:val="en-US"/>
        </w:rPr>
        <w:t>‘</w:t>
      </w:r>
      <w:r w:rsidR="00B416A2" w:rsidRPr="003C0052">
        <w:rPr>
          <w:rFonts w:ascii="Times New Roman" w:hAnsi="Times New Roman" w:cs="Times New Roman"/>
          <w:lang w:val="en-US"/>
        </w:rPr>
        <w:t>taxing</w:t>
      </w:r>
      <w:r w:rsidR="00C7345C" w:rsidRPr="003C0052">
        <w:rPr>
          <w:rFonts w:ascii="Times New Roman" w:hAnsi="Times New Roman" w:cs="Times New Roman"/>
          <w:lang w:val="en-US"/>
        </w:rPr>
        <w:t>’</w:t>
      </w:r>
      <w:r w:rsidR="00544161" w:rsidRPr="003C0052">
        <w:rPr>
          <w:rFonts w:ascii="Times New Roman" w:hAnsi="Times New Roman" w:cs="Times New Roman"/>
          <w:lang w:val="en-US"/>
        </w:rPr>
        <w:t xml:space="preserve"> (Moyle &amp;</w:t>
      </w:r>
      <w:r w:rsidR="004D3FD8" w:rsidRPr="003C0052">
        <w:rPr>
          <w:rFonts w:ascii="Times New Roman" w:hAnsi="Times New Roman" w:cs="Times New Roman"/>
          <w:lang w:val="en-US"/>
        </w:rPr>
        <w:t xml:space="preserve"> Coomber, forthcoming)</w:t>
      </w:r>
      <w:r w:rsidR="00B416A2" w:rsidRPr="003C0052">
        <w:rPr>
          <w:rFonts w:ascii="Times New Roman" w:hAnsi="Times New Roman" w:cs="Times New Roman"/>
          <w:lang w:val="en-US"/>
        </w:rPr>
        <w:t>, bulk purchase and markup</w:t>
      </w:r>
      <w:r w:rsidR="006907B1" w:rsidRPr="003C0052">
        <w:rPr>
          <w:rFonts w:ascii="Times New Roman" w:hAnsi="Times New Roman" w:cs="Times New Roman"/>
          <w:lang w:val="en-US"/>
        </w:rPr>
        <w:t xml:space="preserve"> (</w:t>
      </w:r>
      <w:proofErr w:type="spellStart"/>
      <w:r w:rsidR="006907B1" w:rsidRPr="003C0052">
        <w:rPr>
          <w:rFonts w:ascii="Times New Roman" w:hAnsi="Times New Roman" w:cs="Times New Roman"/>
          <w:lang w:val="en-US"/>
        </w:rPr>
        <w:t>Werse</w:t>
      </w:r>
      <w:proofErr w:type="spellEnd"/>
      <w:r w:rsidR="006907B1" w:rsidRPr="003C0052">
        <w:rPr>
          <w:rFonts w:ascii="Times New Roman" w:hAnsi="Times New Roman" w:cs="Times New Roman"/>
          <w:lang w:val="en-US"/>
        </w:rPr>
        <w:t xml:space="preserve"> and Müller, 2016)</w:t>
      </w:r>
      <w:r w:rsidR="00B416A2" w:rsidRPr="003C0052">
        <w:rPr>
          <w:rFonts w:ascii="Times New Roman" w:hAnsi="Times New Roman" w:cs="Times New Roman"/>
          <w:lang w:val="en-US"/>
        </w:rPr>
        <w:t xml:space="preserve"> has elicited a call for social supply to be understood as part of a broader concept of ‘minimally commercial suppl</w:t>
      </w:r>
      <w:r w:rsidR="004252BE" w:rsidRPr="003C0052">
        <w:rPr>
          <w:rFonts w:ascii="Times New Roman" w:hAnsi="Times New Roman" w:cs="Times New Roman"/>
          <w:lang w:val="en-US"/>
        </w:rPr>
        <w:t>y’ (see Coomber &amp; Moyle, 2014</w:t>
      </w:r>
      <w:r w:rsidR="00B416A2" w:rsidRPr="003C0052">
        <w:rPr>
          <w:rFonts w:ascii="Times New Roman" w:hAnsi="Times New Roman" w:cs="Times New Roman"/>
          <w:lang w:val="en-US"/>
        </w:rPr>
        <w:t>). Here it is argued that extending the parameters of the concept would more accurately describe the nature of low-leve</w:t>
      </w:r>
      <w:r w:rsidR="0044044F" w:rsidRPr="003C0052">
        <w:rPr>
          <w:rFonts w:ascii="Times New Roman" w:hAnsi="Times New Roman" w:cs="Times New Roman"/>
          <w:lang w:val="en-US"/>
        </w:rPr>
        <w:t xml:space="preserve">l drug transactions (including </w:t>
      </w:r>
      <w:r w:rsidR="00FA5E89" w:rsidRPr="003C0052">
        <w:rPr>
          <w:rFonts w:ascii="Times New Roman" w:hAnsi="Times New Roman" w:cs="Times New Roman"/>
          <w:lang w:val="en-US"/>
        </w:rPr>
        <w:t xml:space="preserve">those of </w:t>
      </w:r>
      <w:r w:rsidR="0044044F" w:rsidRPr="003C0052">
        <w:rPr>
          <w:rFonts w:ascii="Times New Roman" w:hAnsi="Times New Roman" w:cs="Times New Roman"/>
          <w:lang w:val="en-US"/>
        </w:rPr>
        <w:t xml:space="preserve">drugs </w:t>
      </w:r>
      <w:r w:rsidR="00B416A2" w:rsidRPr="003C0052">
        <w:rPr>
          <w:rFonts w:ascii="Times New Roman" w:hAnsi="Times New Roman" w:cs="Times New Roman"/>
          <w:lang w:val="en-US"/>
        </w:rPr>
        <w:t>such as heroin and crack cocaine</w:t>
      </w:r>
      <w:r w:rsidR="00FA5E89" w:rsidRPr="003C0052">
        <w:rPr>
          <w:rFonts w:ascii="Times New Roman" w:hAnsi="Times New Roman" w:cs="Times New Roman"/>
          <w:lang w:val="en-US"/>
        </w:rPr>
        <w:t xml:space="preserve"> when sold by ‘user-dealers’</w:t>
      </w:r>
      <w:r w:rsidR="00B416A2" w:rsidRPr="003C0052">
        <w:rPr>
          <w:rFonts w:ascii="Times New Roman" w:hAnsi="Times New Roman" w:cs="Times New Roman"/>
          <w:lang w:val="en-US"/>
        </w:rPr>
        <w:t>)</w:t>
      </w:r>
      <w:r w:rsidR="003E4A48" w:rsidRPr="003C0052">
        <w:rPr>
          <w:rFonts w:ascii="Times New Roman" w:hAnsi="Times New Roman" w:cs="Times New Roman"/>
          <w:lang w:val="en-US"/>
        </w:rPr>
        <w:t xml:space="preserve"> which more often than not </w:t>
      </w:r>
      <w:r w:rsidR="004252BE" w:rsidRPr="003C0052">
        <w:rPr>
          <w:rFonts w:ascii="Times New Roman" w:hAnsi="Times New Roman" w:cs="Times New Roman"/>
          <w:lang w:val="en-US"/>
        </w:rPr>
        <w:t>involve some in-</w:t>
      </w:r>
      <w:r w:rsidR="003E4A48" w:rsidRPr="003C0052">
        <w:rPr>
          <w:rFonts w:ascii="Times New Roman" w:hAnsi="Times New Roman" w:cs="Times New Roman"/>
          <w:lang w:val="en-US"/>
        </w:rPr>
        <w:t>kind benefit or monetary gain (</w:t>
      </w:r>
      <w:r w:rsidR="004252BE" w:rsidRPr="003C0052">
        <w:rPr>
          <w:rFonts w:ascii="Times New Roman" w:hAnsi="Times New Roman" w:cs="Times New Roman"/>
          <w:lang w:val="en-US"/>
        </w:rPr>
        <w:t xml:space="preserve">Coomber &amp; </w:t>
      </w:r>
      <w:r w:rsidR="00FA2D4D" w:rsidRPr="003C0052">
        <w:rPr>
          <w:rFonts w:ascii="Times New Roman" w:hAnsi="Times New Roman" w:cs="Times New Roman"/>
          <w:lang w:val="en-US"/>
        </w:rPr>
        <w:t>Moyle, 20</w:t>
      </w:r>
      <w:r w:rsidR="003D2925" w:rsidRPr="003C0052">
        <w:rPr>
          <w:rFonts w:ascii="Times New Roman" w:hAnsi="Times New Roman" w:cs="Times New Roman"/>
          <w:lang w:val="en-US"/>
        </w:rPr>
        <w:t xml:space="preserve">14; </w:t>
      </w:r>
      <w:proofErr w:type="spellStart"/>
      <w:r w:rsidR="003D2925" w:rsidRPr="003C0052">
        <w:rPr>
          <w:rFonts w:ascii="Times New Roman" w:hAnsi="Times New Roman" w:cs="Times New Roman"/>
          <w:lang w:val="en-US"/>
        </w:rPr>
        <w:t>Lenton</w:t>
      </w:r>
      <w:proofErr w:type="spellEnd"/>
      <w:r w:rsidR="00550A2A" w:rsidRPr="003C0052">
        <w:rPr>
          <w:rFonts w:ascii="Times New Roman" w:hAnsi="Times New Roman" w:cs="Times New Roman"/>
          <w:lang w:val="en-US"/>
        </w:rPr>
        <w:t xml:space="preserve"> et al.,</w:t>
      </w:r>
      <w:r w:rsidR="00FA2D4D" w:rsidRPr="003C0052">
        <w:rPr>
          <w:rFonts w:ascii="Times New Roman" w:hAnsi="Times New Roman" w:cs="Times New Roman"/>
          <w:lang w:val="en-US"/>
        </w:rPr>
        <w:t xml:space="preserve"> 2015</w:t>
      </w:r>
      <w:r w:rsidR="004252BE" w:rsidRPr="003C0052">
        <w:rPr>
          <w:rFonts w:ascii="Times New Roman" w:hAnsi="Times New Roman" w:cs="Times New Roman"/>
          <w:lang w:val="en-US"/>
        </w:rPr>
        <w:t xml:space="preserve">). </w:t>
      </w:r>
    </w:p>
    <w:p w:rsidR="00621BBE" w:rsidRPr="003C0052" w:rsidRDefault="00621BBE" w:rsidP="00197B88">
      <w:pPr>
        <w:spacing w:line="360" w:lineRule="auto"/>
        <w:jc w:val="both"/>
        <w:rPr>
          <w:rFonts w:ascii="Times New Roman" w:hAnsi="Times New Roman" w:cs="Times New Roman"/>
        </w:rPr>
      </w:pPr>
    </w:p>
    <w:p w:rsidR="00415FE7" w:rsidRPr="003C0052" w:rsidRDefault="0087216A" w:rsidP="00E7752F">
      <w:pPr>
        <w:spacing w:line="360" w:lineRule="auto"/>
        <w:jc w:val="both"/>
        <w:outlineLvl w:val="0"/>
        <w:rPr>
          <w:rFonts w:ascii="Times New Roman" w:hAnsi="Times New Roman" w:cs="Times New Roman"/>
          <w:i/>
        </w:rPr>
      </w:pPr>
      <w:r w:rsidRPr="003C0052">
        <w:rPr>
          <w:rFonts w:ascii="Times New Roman" w:hAnsi="Times New Roman" w:cs="Times New Roman"/>
          <w:i/>
        </w:rPr>
        <w:t>The C</w:t>
      </w:r>
      <w:r w:rsidR="00415FE7" w:rsidRPr="003C0052">
        <w:rPr>
          <w:rFonts w:ascii="Times New Roman" w:hAnsi="Times New Roman" w:cs="Times New Roman"/>
          <w:i/>
        </w:rPr>
        <w:t>ur</w:t>
      </w:r>
      <w:r w:rsidRPr="003C0052">
        <w:rPr>
          <w:rFonts w:ascii="Times New Roman" w:hAnsi="Times New Roman" w:cs="Times New Roman"/>
          <w:i/>
        </w:rPr>
        <w:t>rent S</w:t>
      </w:r>
      <w:r w:rsidR="00415FE7" w:rsidRPr="003C0052">
        <w:rPr>
          <w:rFonts w:ascii="Times New Roman" w:hAnsi="Times New Roman" w:cs="Times New Roman"/>
          <w:i/>
        </w:rPr>
        <w:t>tudy</w:t>
      </w:r>
    </w:p>
    <w:p w:rsidR="00F228BB" w:rsidRPr="003C0052" w:rsidRDefault="00F228BB" w:rsidP="00197B88">
      <w:pPr>
        <w:spacing w:line="360" w:lineRule="auto"/>
        <w:jc w:val="both"/>
        <w:rPr>
          <w:rFonts w:ascii="Times New Roman" w:hAnsi="Times New Roman" w:cs="Times New Roman"/>
        </w:rPr>
      </w:pPr>
    </w:p>
    <w:p w:rsidR="00CC1AF8" w:rsidRPr="003C0052" w:rsidRDefault="00E8709F" w:rsidP="008F584B">
      <w:pPr>
        <w:spacing w:line="360" w:lineRule="auto"/>
        <w:jc w:val="both"/>
        <w:rPr>
          <w:rFonts w:ascii="Times New Roman" w:hAnsi="Times New Roman" w:cs="Times New Roman"/>
        </w:rPr>
      </w:pPr>
      <w:r w:rsidRPr="003C0052">
        <w:rPr>
          <w:rFonts w:ascii="Times New Roman" w:hAnsi="Times New Roman" w:cs="Times New Roman"/>
        </w:rPr>
        <w:t>Despite definition remaining elusive, it is now apparent that a discernible</w:t>
      </w:r>
      <w:r w:rsidR="00174B34" w:rsidRPr="003C0052">
        <w:rPr>
          <w:rFonts w:ascii="Times New Roman" w:hAnsi="Times New Roman" w:cs="Times New Roman"/>
        </w:rPr>
        <w:t xml:space="preserve"> set of behaviours</w:t>
      </w:r>
      <w:r w:rsidRPr="003C0052">
        <w:rPr>
          <w:rFonts w:ascii="Times New Roman" w:hAnsi="Times New Roman" w:cs="Times New Roman"/>
        </w:rPr>
        <w:t>, commonly understood as ‘social supply’</w:t>
      </w:r>
      <w:r w:rsidR="00174B34" w:rsidRPr="003C0052">
        <w:rPr>
          <w:rFonts w:ascii="Times New Roman" w:hAnsi="Times New Roman" w:cs="Times New Roman"/>
        </w:rPr>
        <w:t xml:space="preserve"> </w:t>
      </w:r>
      <w:proofErr w:type="gramStart"/>
      <w:r w:rsidR="00174B34" w:rsidRPr="003C0052">
        <w:rPr>
          <w:rFonts w:ascii="Times New Roman" w:hAnsi="Times New Roman" w:cs="Times New Roman"/>
        </w:rPr>
        <w:t>are</w:t>
      </w:r>
      <w:proofErr w:type="gramEnd"/>
      <w:r w:rsidR="00174B34" w:rsidRPr="003C0052">
        <w:rPr>
          <w:rFonts w:ascii="Times New Roman" w:hAnsi="Times New Roman" w:cs="Times New Roman"/>
        </w:rPr>
        <w:t xml:space="preserve"> now observed and in a growing number of international contexts. </w:t>
      </w:r>
      <w:r w:rsidR="00F86C0E" w:rsidRPr="003C0052">
        <w:rPr>
          <w:rFonts w:ascii="Times New Roman" w:hAnsi="Times New Roman" w:cs="Times New Roman"/>
        </w:rPr>
        <w:t>There is evidence to suggest that l</w:t>
      </w:r>
      <w:r w:rsidR="009D0114" w:rsidRPr="003C0052">
        <w:rPr>
          <w:rFonts w:ascii="Times New Roman" w:hAnsi="Times New Roman" w:cs="Times New Roman"/>
        </w:rPr>
        <w:t>egal frameworks i</w:t>
      </w:r>
      <w:r w:rsidR="00F86C0E" w:rsidRPr="003C0052">
        <w:rPr>
          <w:rFonts w:ascii="Times New Roman" w:hAnsi="Times New Roman" w:cs="Times New Roman"/>
        </w:rPr>
        <w:t xml:space="preserve">n </w:t>
      </w:r>
      <w:r w:rsidR="004D3FD8" w:rsidRPr="003C0052">
        <w:rPr>
          <w:rFonts w:ascii="Times New Roman" w:hAnsi="Times New Roman" w:cs="Times New Roman"/>
        </w:rPr>
        <w:t xml:space="preserve">the United Kingdom </w:t>
      </w:r>
      <w:r w:rsidR="00F86C0E" w:rsidRPr="003C0052">
        <w:rPr>
          <w:rFonts w:ascii="Times New Roman" w:hAnsi="Times New Roman" w:cs="Times New Roman"/>
        </w:rPr>
        <w:t xml:space="preserve">have evolved </w:t>
      </w:r>
      <w:r w:rsidR="00FA5E89" w:rsidRPr="003C0052">
        <w:rPr>
          <w:rFonts w:ascii="Times New Roman" w:hAnsi="Times New Roman" w:cs="Times New Roman"/>
        </w:rPr>
        <w:t>to</w:t>
      </w:r>
      <w:r w:rsidR="009D0114" w:rsidRPr="003C0052">
        <w:rPr>
          <w:rFonts w:ascii="Times New Roman" w:hAnsi="Times New Roman" w:cs="Times New Roman"/>
        </w:rPr>
        <w:t xml:space="preserve"> acknowledge and accommodate </w:t>
      </w:r>
      <w:r w:rsidR="00FE0E75" w:rsidRPr="003C0052">
        <w:rPr>
          <w:rFonts w:ascii="Times New Roman" w:hAnsi="Times New Roman" w:cs="Times New Roman"/>
        </w:rPr>
        <w:t xml:space="preserve">this </w:t>
      </w:r>
      <w:r w:rsidR="009D0114" w:rsidRPr="003C0052">
        <w:rPr>
          <w:rFonts w:ascii="Times New Roman" w:hAnsi="Times New Roman" w:cs="Times New Roman"/>
        </w:rPr>
        <w:t xml:space="preserve">differentiation in terms of culpability and proportionality – </w:t>
      </w:r>
      <w:r w:rsidR="00124563" w:rsidRPr="003C0052">
        <w:rPr>
          <w:rFonts w:ascii="Times New Roman" w:hAnsi="Times New Roman" w:cs="Times New Roman"/>
        </w:rPr>
        <w:t xml:space="preserve">however, </w:t>
      </w:r>
      <w:r w:rsidR="009D0114" w:rsidRPr="003C0052">
        <w:rPr>
          <w:rFonts w:ascii="Times New Roman" w:hAnsi="Times New Roman" w:cs="Times New Roman"/>
        </w:rPr>
        <w:t xml:space="preserve">the extent to which this is the case for </w:t>
      </w:r>
      <w:r w:rsidR="00124563" w:rsidRPr="003C0052">
        <w:rPr>
          <w:rFonts w:ascii="Times New Roman" w:hAnsi="Times New Roman" w:cs="Times New Roman"/>
        </w:rPr>
        <w:t xml:space="preserve">social supply </w:t>
      </w:r>
      <w:r w:rsidR="009D0114" w:rsidRPr="003C0052">
        <w:rPr>
          <w:rFonts w:ascii="Times New Roman" w:hAnsi="Times New Roman" w:cs="Times New Roman"/>
        </w:rPr>
        <w:t>type behaviours elsewhere is the purpose of this paper</w:t>
      </w:r>
      <w:r w:rsidR="00124563" w:rsidRPr="003C0052">
        <w:rPr>
          <w:rFonts w:ascii="Times New Roman" w:hAnsi="Times New Roman" w:cs="Times New Roman"/>
        </w:rPr>
        <w:t xml:space="preserve">. </w:t>
      </w:r>
      <w:r w:rsidR="00EF6D03" w:rsidRPr="003C0052">
        <w:rPr>
          <w:rFonts w:ascii="Times New Roman" w:hAnsi="Times New Roman" w:cs="Times New Roman"/>
        </w:rPr>
        <w:t>Up until now, there have been few efforts to consider social supply</w:t>
      </w:r>
      <w:r w:rsidR="00BA7643" w:rsidRPr="003C0052">
        <w:rPr>
          <w:rFonts w:ascii="Times New Roman" w:hAnsi="Times New Roman" w:cs="Times New Roman"/>
        </w:rPr>
        <w:t xml:space="preserve"> and the treatment of social suppliers</w:t>
      </w:r>
      <w:r w:rsidR="00EF6D03" w:rsidRPr="003C0052">
        <w:rPr>
          <w:rFonts w:ascii="Times New Roman" w:hAnsi="Times New Roman" w:cs="Times New Roman"/>
        </w:rPr>
        <w:t xml:space="preserve"> outside </w:t>
      </w:r>
      <w:r w:rsidR="00BA7643" w:rsidRPr="003C0052">
        <w:rPr>
          <w:rFonts w:ascii="Times New Roman" w:hAnsi="Times New Roman" w:cs="Times New Roman"/>
        </w:rPr>
        <w:t>distinctive national contexts and this</w:t>
      </w:r>
      <w:r w:rsidR="00124563" w:rsidRPr="003C0052">
        <w:rPr>
          <w:rFonts w:ascii="Times New Roman" w:hAnsi="Times New Roman" w:cs="Times New Roman"/>
        </w:rPr>
        <w:t xml:space="preserve"> will be the first paper to focus on these issues fro</w:t>
      </w:r>
      <w:r w:rsidR="00BA7643" w:rsidRPr="003C0052">
        <w:rPr>
          <w:rFonts w:ascii="Times New Roman" w:hAnsi="Times New Roman" w:cs="Times New Roman"/>
        </w:rPr>
        <w:t>m an international perspective. The aim of this paper is to explore the extent to whi</w:t>
      </w:r>
      <w:r w:rsidR="0020040B" w:rsidRPr="003C0052">
        <w:rPr>
          <w:rFonts w:ascii="Times New Roman" w:hAnsi="Times New Roman" w:cs="Times New Roman"/>
        </w:rPr>
        <w:t>ch social supply is acknowledged</w:t>
      </w:r>
      <w:r w:rsidR="00FE0E75" w:rsidRPr="003C0052">
        <w:rPr>
          <w:rFonts w:ascii="Times New Roman" w:hAnsi="Times New Roman" w:cs="Times New Roman"/>
        </w:rPr>
        <w:t xml:space="preserve"> and developed in different count</w:t>
      </w:r>
      <w:r w:rsidR="0082401A" w:rsidRPr="003C0052">
        <w:rPr>
          <w:rFonts w:ascii="Times New Roman" w:hAnsi="Times New Roman" w:cs="Times New Roman"/>
        </w:rPr>
        <w:t>r</w:t>
      </w:r>
      <w:r w:rsidR="00FE0E75" w:rsidRPr="003C0052">
        <w:rPr>
          <w:rFonts w:ascii="Times New Roman" w:hAnsi="Times New Roman" w:cs="Times New Roman"/>
        </w:rPr>
        <w:t>ies</w:t>
      </w:r>
      <w:r w:rsidR="00BA7643" w:rsidRPr="003C0052">
        <w:rPr>
          <w:rFonts w:ascii="Times New Roman" w:hAnsi="Times New Roman" w:cs="Times New Roman"/>
        </w:rPr>
        <w:t xml:space="preserve">, and </w:t>
      </w:r>
      <w:r w:rsidR="0074636E" w:rsidRPr="003C0052">
        <w:rPr>
          <w:rFonts w:ascii="Times New Roman" w:hAnsi="Times New Roman" w:cs="Times New Roman"/>
        </w:rPr>
        <w:t xml:space="preserve">to identify </w:t>
      </w:r>
      <w:r w:rsidR="00BA7643" w:rsidRPr="003C0052">
        <w:rPr>
          <w:rFonts w:ascii="Times New Roman" w:hAnsi="Times New Roman" w:cs="Times New Roman"/>
        </w:rPr>
        <w:t xml:space="preserve">which contexts and circumstances make it more likely. </w:t>
      </w:r>
      <w:r w:rsidR="009E32AF" w:rsidRPr="003C0052">
        <w:rPr>
          <w:rFonts w:ascii="Times New Roman" w:hAnsi="Times New Roman" w:cs="Times New Roman"/>
        </w:rPr>
        <w:t>In addition to exploring the discursive milieu</w:t>
      </w:r>
      <w:r w:rsidR="00FE0E75" w:rsidRPr="003C0052">
        <w:rPr>
          <w:rFonts w:ascii="Times New Roman" w:hAnsi="Times New Roman" w:cs="Times New Roman"/>
        </w:rPr>
        <w:t xml:space="preserve"> for social supply</w:t>
      </w:r>
      <w:r w:rsidR="009E32AF" w:rsidRPr="003C0052">
        <w:rPr>
          <w:rFonts w:ascii="Times New Roman" w:hAnsi="Times New Roman" w:cs="Times New Roman"/>
        </w:rPr>
        <w:t xml:space="preserve">, we also explore </w:t>
      </w:r>
      <w:r w:rsidR="009E32AF" w:rsidRPr="003C0052">
        <w:rPr>
          <w:rFonts w:ascii="Times New Roman" w:hAnsi="Times New Roman" w:cs="Times New Roman"/>
        </w:rPr>
        <w:lastRenderedPageBreak/>
        <w:t xml:space="preserve">how </w:t>
      </w:r>
      <w:r w:rsidR="00DF6CB1" w:rsidRPr="003C0052">
        <w:rPr>
          <w:rFonts w:ascii="Times New Roman" w:hAnsi="Times New Roman" w:cs="Times New Roman"/>
        </w:rPr>
        <w:t xml:space="preserve">it </w:t>
      </w:r>
      <w:r w:rsidR="009E32AF" w:rsidRPr="003C0052">
        <w:rPr>
          <w:rFonts w:ascii="Times New Roman" w:hAnsi="Times New Roman" w:cs="Times New Roman"/>
        </w:rPr>
        <w:t xml:space="preserve">is accommodated in international </w:t>
      </w:r>
      <w:r w:rsidR="00F813EB" w:rsidRPr="003C0052">
        <w:rPr>
          <w:rFonts w:ascii="Times New Roman" w:hAnsi="Times New Roman" w:cs="Times New Roman"/>
        </w:rPr>
        <w:t xml:space="preserve">criminal </w:t>
      </w:r>
      <w:r w:rsidR="00CC1AF8" w:rsidRPr="003C0052">
        <w:rPr>
          <w:rFonts w:ascii="Times New Roman" w:hAnsi="Times New Roman" w:cs="Times New Roman"/>
        </w:rPr>
        <w:t>justice systems:</w:t>
      </w:r>
      <w:r w:rsidR="00FE0E75" w:rsidRPr="003C0052">
        <w:rPr>
          <w:rFonts w:ascii="Times New Roman" w:hAnsi="Times New Roman" w:cs="Times New Roman"/>
        </w:rPr>
        <w:t xml:space="preserve"> in statute, sentencing provisions and through mitigation. </w:t>
      </w:r>
    </w:p>
    <w:p w:rsidR="00B576F8" w:rsidRPr="003C0052" w:rsidRDefault="00B576F8">
      <w:pPr>
        <w:rPr>
          <w:rFonts w:ascii="Times New Roman" w:hAnsi="Times New Roman" w:cs="Times New Roman"/>
        </w:rPr>
      </w:pPr>
    </w:p>
    <w:p w:rsidR="00DD4850" w:rsidRPr="003C0052" w:rsidRDefault="00DD4850" w:rsidP="00E7752F">
      <w:pPr>
        <w:outlineLvl w:val="0"/>
        <w:rPr>
          <w:rFonts w:ascii="Times New Roman" w:hAnsi="Times New Roman" w:cs="Times New Roman"/>
          <w:b/>
        </w:rPr>
      </w:pPr>
      <w:r w:rsidRPr="003C0052">
        <w:rPr>
          <w:rFonts w:ascii="Times New Roman" w:hAnsi="Times New Roman" w:cs="Times New Roman"/>
          <w:b/>
        </w:rPr>
        <w:t>Methods</w:t>
      </w:r>
    </w:p>
    <w:p w:rsidR="00415FE7" w:rsidRPr="003C0052" w:rsidRDefault="00415FE7">
      <w:pPr>
        <w:rPr>
          <w:rFonts w:ascii="Times New Roman" w:hAnsi="Times New Roman" w:cs="Times New Roman"/>
          <w:b/>
        </w:rPr>
      </w:pPr>
    </w:p>
    <w:p w:rsidR="008E6499" w:rsidRPr="003C0052" w:rsidRDefault="00473DBF" w:rsidP="00EC1C57">
      <w:pPr>
        <w:spacing w:line="360" w:lineRule="auto"/>
        <w:jc w:val="both"/>
        <w:rPr>
          <w:rFonts w:ascii="Times New Roman" w:hAnsi="Times New Roman" w:cs="Times New Roman"/>
        </w:rPr>
      </w:pPr>
      <w:r w:rsidRPr="003C0052">
        <w:rPr>
          <w:rFonts w:ascii="Times New Roman" w:hAnsi="Times New Roman" w:cs="Times New Roman"/>
        </w:rPr>
        <w:t xml:space="preserve">The absence of research </w:t>
      </w:r>
      <w:r w:rsidR="00E044BB" w:rsidRPr="003C0052">
        <w:rPr>
          <w:rFonts w:ascii="Times New Roman" w:hAnsi="Times New Roman" w:cs="Times New Roman"/>
        </w:rPr>
        <w:t>that</w:t>
      </w:r>
      <w:r w:rsidR="003D3F50" w:rsidRPr="003C0052">
        <w:rPr>
          <w:rFonts w:ascii="Times New Roman" w:hAnsi="Times New Roman" w:cs="Times New Roman"/>
        </w:rPr>
        <w:t xml:space="preserve"> seek</w:t>
      </w:r>
      <w:r w:rsidR="004D3FD8" w:rsidRPr="003C0052">
        <w:rPr>
          <w:rFonts w:ascii="Times New Roman" w:hAnsi="Times New Roman" w:cs="Times New Roman"/>
        </w:rPr>
        <w:t>s</w:t>
      </w:r>
      <w:r w:rsidR="003D3F50" w:rsidRPr="003C0052">
        <w:rPr>
          <w:rFonts w:ascii="Times New Roman" w:hAnsi="Times New Roman" w:cs="Times New Roman"/>
        </w:rPr>
        <w:t xml:space="preserve"> to</w:t>
      </w:r>
      <w:r w:rsidR="00E044BB" w:rsidRPr="003C0052">
        <w:rPr>
          <w:rFonts w:ascii="Times New Roman" w:hAnsi="Times New Roman" w:cs="Times New Roman"/>
        </w:rPr>
        <w:t xml:space="preserve"> provide an </w:t>
      </w:r>
      <w:r w:rsidR="00323DD8" w:rsidRPr="003C0052">
        <w:rPr>
          <w:rFonts w:ascii="Times New Roman" w:hAnsi="Times New Roman" w:cs="Times New Roman"/>
        </w:rPr>
        <w:t xml:space="preserve">analysis </w:t>
      </w:r>
      <w:r w:rsidR="00E044BB" w:rsidRPr="003C0052">
        <w:rPr>
          <w:rFonts w:ascii="Times New Roman" w:hAnsi="Times New Roman" w:cs="Times New Roman"/>
        </w:rPr>
        <w:t xml:space="preserve">of </w:t>
      </w:r>
      <w:r w:rsidR="0074636E" w:rsidRPr="003C0052">
        <w:rPr>
          <w:rFonts w:ascii="Times New Roman" w:hAnsi="Times New Roman" w:cs="Times New Roman"/>
        </w:rPr>
        <w:t>the place of social supply</w:t>
      </w:r>
      <w:r w:rsidR="00EC1C57" w:rsidRPr="003C0052">
        <w:rPr>
          <w:rFonts w:ascii="Times New Roman" w:hAnsi="Times New Roman" w:cs="Times New Roman"/>
        </w:rPr>
        <w:t xml:space="preserve"> in international </w:t>
      </w:r>
      <w:r w:rsidR="00DD7831" w:rsidRPr="003C0052">
        <w:rPr>
          <w:rFonts w:ascii="Times New Roman" w:hAnsi="Times New Roman" w:cs="Times New Roman"/>
        </w:rPr>
        <w:t xml:space="preserve">criminal justice systems </w:t>
      </w:r>
      <w:r w:rsidR="00EC1C57" w:rsidRPr="003C0052">
        <w:rPr>
          <w:rFonts w:ascii="Times New Roman" w:hAnsi="Times New Roman" w:cs="Times New Roman"/>
        </w:rPr>
        <w:t xml:space="preserve">might be in part related to the difficulties in </w:t>
      </w:r>
      <w:r w:rsidR="00DD7831" w:rsidRPr="003C0052">
        <w:rPr>
          <w:rFonts w:ascii="Times New Roman" w:hAnsi="Times New Roman" w:cs="Times New Roman"/>
        </w:rPr>
        <w:t xml:space="preserve">accessing this </w:t>
      </w:r>
      <w:r w:rsidR="004D3FD8" w:rsidRPr="003C0052">
        <w:rPr>
          <w:rFonts w:ascii="Times New Roman" w:hAnsi="Times New Roman" w:cs="Times New Roman"/>
        </w:rPr>
        <w:t xml:space="preserve">data </w:t>
      </w:r>
      <w:r w:rsidR="00DD7831" w:rsidRPr="003C0052">
        <w:rPr>
          <w:rFonts w:ascii="Times New Roman" w:hAnsi="Times New Roman" w:cs="Times New Roman"/>
        </w:rPr>
        <w:t>in</w:t>
      </w:r>
      <w:r w:rsidR="00EC1C57" w:rsidRPr="003C0052">
        <w:rPr>
          <w:rFonts w:ascii="Times New Roman" w:hAnsi="Times New Roman" w:cs="Times New Roman"/>
        </w:rPr>
        <w:t xml:space="preserve"> unfamiliar context</w:t>
      </w:r>
      <w:r w:rsidR="00DD7831" w:rsidRPr="003C0052">
        <w:rPr>
          <w:rFonts w:ascii="Times New Roman" w:hAnsi="Times New Roman" w:cs="Times New Roman"/>
        </w:rPr>
        <w:t>s</w:t>
      </w:r>
      <w:r w:rsidR="00190CF3" w:rsidRPr="003C0052">
        <w:rPr>
          <w:rFonts w:ascii="Times New Roman" w:hAnsi="Times New Roman" w:cs="Times New Roman"/>
        </w:rPr>
        <w:t>. A</w:t>
      </w:r>
      <w:r w:rsidR="008E6499" w:rsidRPr="003C0052">
        <w:rPr>
          <w:rFonts w:ascii="Times New Roman" w:hAnsi="Times New Roman" w:cs="Times New Roman"/>
        </w:rPr>
        <w:t xml:space="preserve">part from obvious language barriers, </w:t>
      </w:r>
      <w:r w:rsidR="00EC1C57" w:rsidRPr="003C0052">
        <w:rPr>
          <w:rFonts w:ascii="Times New Roman" w:hAnsi="Times New Roman" w:cs="Times New Roman"/>
        </w:rPr>
        <w:t>social supply</w:t>
      </w:r>
      <w:r w:rsidR="00DE7364" w:rsidRPr="003C0052">
        <w:rPr>
          <w:rFonts w:ascii="Times New Roman" w:hAnsi="Times New Roman" w:cs="Times New Roman"/>
        </w:rPr>
        <w:t xml:space="preserve"> practices</w:t>
      </w:r>
      <w:r w:rsidR="0082401A" w:rsidRPr="003C0052">
        <w:rPr>
          <w:rFonts w:ascii="Times New Roman" w:hAnsi="Times New Roman" w:cs="Times New Roman"/>
        </w:rPr>
        <w:t xml:space="preserve"> ma</w:t>
      </w:r>
      <w:r w:rsidR="00EC1C57" w:rsidRPr="003C0052">
        <w:rPr>
          <w:rFonts w:ascii="Times New Roman" w:hAnsi="Times New Roman" w:cs="Times New Roman"/>
        </w:rPr>
        <w:t>y not</w:t>
      </w:r>
      <w:r w:rsidR="00236895" w:rsidRPr="003C0052">
        <w:rPr>
          <w:rFonts w:ascii="Times New Roman" w:hAnsi="Times New Roman" w:cs="Times New Roman"/>
        </w:rPr>
        <w:t xml:space="preserve"> always</w:t>
      </w:r>
      <w:r w:rsidR="00EC1C57" w:rsidRPr="003C0052">
        <w:rPr>
          <w:rFonts w:ascii="Times New Roman" w:hAnsi="Times New Roman" w:cs="Times New Roman"/>
        </w:rPr>
        <w:t xml:space="preserve"> be defined as such or may be only recognised informally, with little explicit discussion of its parameters or characteristics</w:t>
      </w:r>
      <w:r w:rsidR="008E6499" w:rsidRPr="003C0052">
        <w:rPr>
          <w:rFonts w:ascii="Times New Roman" w:hAnsi="Times New Roman" w:cs="Times New Roman"/>
        </w:rPr>
        <w:t xml:space="preserve"> in official documents. For these</w:t>
      </w:r>
      <w:r w:rsidR="00EC1C57" w:rsidRPr="003C0052">
        <w:rPr>
          <w:rFonts w:ascii="Times New Roman" w:hAnsi="Times New Roman" w:cs="Times New Roman"/>
        </w:rPr>
        <w:t xml:space="preserve"> reason</w:t>
      </w:r>
      <w:r w:rsidR="008E6499" w:rsidRPr="003C0052">
        <w:rPr>
          <w:rFonts w:ascii="Times New Roman" w:hAnsi="Times New Roman" w:cs="Times New Roman"/>
        </w:rPr>
        <w:t>s</w:t>
      </w:r>
      <w:r w:rsidR="00EC1C57" w:rsidRPr="003C0052">
        <w:rPr>
          <w:rFonts w:ascii="Times New Roman" w:hAnsi="Times New Roman" w:cs="Times New Roman"/>
        </w:rPr>
        <w:t>,</w:t>
      </w:r>
      <w:r w:rsidR="00DD7831" w:rsidRPr="003C0052">
        <w:rPr>
          <w:rFonts w:ascii="Times New Roman" w:hAnsi="Times New Roman" w:cs="Times New Roman"/>
        </w:rPr>
        <w:t xml:space="preserve"> </w:t>
      </w:r>
      <w:r w:rsidR="00A80880" w:rsidRPr="003C0052">
        <w:rPr>
          <w:rFonts w:ascii="Times New Roman" w:hAnsi="Times New Roman" w:cs="Times New Roman"/>
        </w:rPr>
        <w:t xml:space="preserve">data presented in this paper </w:t>
      </w:r>
      <w:r w:rsidR="0082401A" w:rsidRPr="003C0052">
        <w:rPr>
          <w:rFonts w:ascii="Times New Roman" w:hAnsi="Times New Roman" w:cs="Times New Roman"/>
        </w:rPr>
        <w:t>are derived</w:t>
      </w:r>
      <w:r w:rsidR="00F01656" w:rsidRPr="003C0052">
        <w:rPr>
          <w:rFonts w:ascii="Times New Roman" w:hAnsi="Times New Roman" w:cs="Times New Roman"/>
        </w:rPr>
        <w:t xml:space="preserve"> </w:t>
      </w:r>
      <w:r w:rsidR="008706CD" w:rsidRPr="003C0052">
        <w:rPr>
          <w:rFonts w:ascii="Times New Roman" w:hAnsi="Times New Roman" w:cs="Times New Roman"/>
        </w:rPr>
        <w:t>from individual and team research stemming from the country in question</w:t>
      </w:r>
      <w:r w:rsidR="007A7CBB" w:rsidRPr="003C0052">
        <w:rPr>
          <w:rFonts w:ascii="Times New Roman" w:hAnsi="Times New Roman" w:cs="Times New Roman"/>
        </w:rPr>
        <w:t>,</w:t>
      </w:r>
      <w:r w:rsidR="008706CD" w:rsidRPr="003C0052">
        <w:rPr>
          <w:rFonts w:ascii="Times New Roman" w:hAnsi="Times New Roman" w:cs="Times New Roman"/>
        </w:rPr>
        <w:t xml:space="preserve"> supported by expert reflection on research evidence and analysis of sentencing and media reportin</w:t>
      </w:r>
      <w:r w:rsidR="00A52586" w:rsidRPr="003C0052">
        <w:rPr>
          <w:rFonts w:ascii="Times New Roman" w:hAnsi="Times New Roman" w:cs="Times New Roman"/>
        </w:rPr>
        <w:t>g in that context.</w:t>
      </w:r>
      <w:r w:rsidR="00EC1C57" w:rsidRPr="003C0052">
        <w:rPr>
          <w:rFonts w:ascii="Times New Roman" w:hAnsi="Times New Roman" w:cs="Times New Roman"/>
        </w:rPr>
        <w:t xml:space="preserve"> </w:t>
      </w:r>
      <w:r w:rsidR="007A7CBB" w:rsidRPr="003C0052">
        <w:rPr>
          <w:rFonts w:ascii="Times New Roman" w:hAnsi="Times New Roman" w:cs="Times New Roman"/>
        </w:rPr>
        <w:t>Drawing on an established international social supply network, contributions were welcomed from researchers working in the social supply space in the United States (SM), Canada (AH), Australia (</w:t>
      </w:r>
      <w:r w:rsidR="00195414" w:rsidRPr="003C0052">
        <w:rPr>
          <w:rFonts w:ascii="Times New Roman" w:hAnsi="Times New Roman" w:cs="Times New Roman"/>
        </w:rPr>
        <w:t>JS and SL</w:t>
      </w:r>
      <w:r w:rsidR="007A7CBB" w:rsidRPr="003C0052">
        <w:rPr>
          <w:rFonts w:ascii="Times New Roman" w:hAnsi="Times New Roman" w:cs="Times New Roman"/>
        </w:rPr>
        <w:t>), Hong Kong (KJL), the Netherlands (</w:t>
      </w:r>
      <w:proofErr w:type="spellStart"/>
      <w:r w:rsidR="007A7CBB" w:rsidRPr="003C0052">
        <w:rPr>
          <w:rFonts w:ascii="Times New Roman" w:hAnsi="Times New Roman" w:cs="Times New Roman"/>
        </w:rPr>
        <w:t>KvDV</w:t>
      </w:r>
      <w:proofErr w:type="spellEnd"/>
      <w:r w:rsidR="007A7CBB" w:rsidRPr="003C0052">
        <w:rPr>
          <w:rFonts w:ascii="Times New Roman" w:hAnsi="Times New Roman" w:cs="Times New Roman"/>
        </w:rPr>
        <w:t>), Czech Republic (VB</w:t>
      </w:r>
      <w:r w:rsidR="00195414" w:rsidRPr="003C0052">
        <w:rPr>
          <w:rFonts w:ascii="Times New Roman" w:hAnsi="Times New Roman" w:cs="Times New Roman"/>
        </w:rPr>
        <w:t xml:space="preserve"> and MS</w:t>
      </w:r>
      <w:r w:rsidR="007A7CBB" w:rsidRPr="003C0052">
        <w:rPr>
          <w:rFonts w:ascii="Times New Roman" w:hAnsi="Times New Roman" w:cs="Times New Roman"/>
        </w:rPr>
        <w:t>), Belgium (</w:t>
      </w:r>
      <w:r w:rsidR="00136652" w:rsidRPr="003C0052">
        <w:rPr>
          <w:rFonts w:ascii="Times New Roman" w:hAnsi="Times New Roman" w:cs="Times New Roman"/>
        </w:rPr>
        <w:t xml:space="preserve">TD and </w:t>
      </w:r>
      <w:r w:rsidR="00195414" w:rsidRPr="003C0052">
        <w:rPr>
          <w:rFonts w:ascii="Times New Roman" w:hAnsi="Times New Roman" w:cs="Times New Roman"/>
        </w:rPr>
        <w:t>MV</w:t>
      </w:r>
      <w:r w:rsidR="00F67104" w:rsidRPr="003C0052">
        <w:rPr>
          <w:rFonts w:ascii="Times New Roman" w:hAnsi="Times New Roman" w:cs="Times New Roman"/>
        </w:rPr>
        <w:t xml:space="preserve">), Germany (BW) and </w:t>
      </w:r>
      <w:r w:rsidR="00195414" w:rsidRPr="003C0052">
        <w:rPr>
          <w:rFonts w:ascii="Times New Roman" w:hAnsi="Times New Roman" w:cs="Times New Roman"/>
        </w:rPr>
        <w:t xml:space="preserve">Finland (PH) – these were combined with evidence from </w:t>
      </w:r>
      <w:r w:rsidR="004362C1" w:rsidRPr="003C0052">
        <w:rPr>
          <w:rFonts w:ascii="Times New Roman" w:hAnsi="Times New Roman" w:cs="Times New Roman"/>
        </w:rPr>
        <w:t>England and Wales</w:t>
      </w:r>
      <w:r w:rsidR="00195414" w:rsidRPr="003C0052">
        <w:rPr>
          <w:rFonts w:ascii="Times New Roman" w:hAnsi="Times New Roman" w:cs="Times New Roman"/>
        </w:rPr>
        <w:t xml:space="preserve"> (RC and LM)</w:t>
      </w:r>
      <w:r w:rsidR="008E6499" w:rsidRPr="003C0052">
        <w:rPr>
          <w:rFonts w:ascii="Times New Roman" w:hAnsi="Times New Roman" w:cs="Times New Roman"/>
        </w:rPr>
        <w:t>,</w:t>
      </w:r>
      <w:r w:rsidR="00195414" w:rsidRPr="003C0052">
        <w:rPr>
          <w:rFonts w:ascii="Times New Roman" w:hAnsi="Times New Roman" w:cs="Times New Roman"/>
        </w:rPr>
        <w:t xml:space="preserve"> where the research network originated. In each context researchers were</w:t>
      </w:r>
      <w:r w:rsidR="00EE0F69" w:rsidRPr="003C0052">
        <w:rPr>
          <w:rFonts w:ascii="Times New Roman" w:hAnsi="Times New Roman" w:cs="Times New Roman"/>
        </w:rPr>
        <w:t xml:space="preserve"> required to respond to a set of questions regarding the nature of social supply in their particular context. This included providing </w:t>
      </w:r>
      <w:r w:rsidR="00195414" w:rsidRPr="003C0052">
        <w:rPr>
          <w:rFonts w:ascii="Times New Roman" w:hAnsi="Times New Roman" w:cs="Times New Roman"/>
        </w:rPr>
        <w:t xml:space="preserve">an overview of </w:t>
      </w:r>
      <w:r w:rsidR="00F04FE9" w:rsidRPr="003C0052">
        <w:rPr>
          <w:rFonts w:ascii="Times New Roman" w:hAnsi="Times New Roman" w:cs="Times New Roman"/>
        </w:rPr>
        <w:t>social supply research activity</w:t>
      </w:r>
      <w:r w:rsidR="00F67104" w:rsidRPr="003C0052">
        <w:rPr>
          <w:rFonts w:ascii="Times New Roman" w:hAnsi="Times New Roman" w:cs="Times New Roman"/>
        </w:rPr>
        <w:t>,</w:t>
      </w:r>
      <w:r w:rsidR="00DE7364" w:rsidRPr="003C0052">
        <w:rPr>
          <w:rFonts w:ascii="Times New Roman" w:hAnsi="Times New Roman" w:cs="Times New Roman"/>
        </w:rPr>
        <w:t xml:space="preserve"> comment</w:t>
      </w:r>
      <w:r w:rsidR="00EE0F69" w:rsidRPr="003C0052">
        <w:rPr>
          <w:rFonts w:ascii="Times New Roman" w:hAnsi="Times New Roman" w:cs="Times New Roman"/>
        </w:rPr>
        <w:t>ing</w:t>
      </w:r>
      <w:r w:rsidR="00DE7364" w:rsidRPr="003C0052">
        <w:rPr>
          <w:rFonts w:ascii="Times New Roman" w:hAnsi="Times New Roman" w:cs="Times New Roman"/>
        </w:rPr>
        <w:t xml:space="preserve"> on the extent to which </w:t>
      </w:r>
      <w:r w:rsidR="000401FF" w:rsidRPr="003C0052">
        <w:rPr>
          <w:rFonts w:ascii="Times New Roman" w:hAnsi="Times New Roman" w:cs="Times New Roman"/>
        </w:rPr>
        <w:t xml:space="preserve">differentiation is accommodated in drug supply </w:t>
      </w:r>
      <w:r w:rsidR="00DE7364" w:rsidRPr="003C0052">
        <w:rPr>
          <w:rFonts w:ascii="Times New Roman" w:hAnsi="Times New Roman" w:cs="Times New Roman"/>
        </w:rPr>
        <w:t>sentencing</w:t>
      </w:r>
      <w:r w:rsidR="004D3FD8" w:rsidRPr="003C0052">
        <w:rPr>
          <w:rFonts w:ascii="Times New Roman" w:hAnsi="Times New Roman" w:cs="Times New Roman"/>
        </w:rPr>
        <w:t xml:space="preserve"> frameworks</w:t>
      </w:r>
      <w:r w:rsidR="00EE0F69" w:rsidRPr="003C0052">
        <w:rPr>
          <w:rFonts w:ascii="Times New Roman" w:hAnsi="Times New Roman" w:cs="Times New Roman"/>
        </w:rPr>
        <w:t>, and evaluating</w:t>
      </w:r>
      <w:r w:rsidR="00DE7364" w:rsidRPr="003C0052">
        <w:rPr>
          <w:rFonts w:ascii="Times New Roman" w:hAnsi="Times New Roman" w:cs="Times New Roman"/>
        </w:rPr>
        <w:t xml:space="preserve"> how far </w:t>
      </w:r>
      <w:r w:rsidR="000401FF" w:rsidRPr="003C0052">
        <w:rPr>
          <w:rFonts w:ascii="Times New Roman" w:hAnsi="Times New Roman" w:cs="Times New Roman"/>
        </w:rPr>
        <w:t>social supply is recognised</w:t>
      </w:r>
      <w:r w:rsidR="00EE0F69" w:rsidRPr="003C0052">
        <w:rPr>
          <w:rFonts w:ascii="Times New Roman" w:hAnsi="Times New Roman" w:cs="Times New Roman"/>
        </w:rPr>
        <w:t xml:space="preserve"> both</w:t>
      </w:r>
      <w:r w:rsidR="000401FF" w:rsidRPr="003C0052">
        <w:rPr>
          <w:rFonts w:ascii="Times New Roman" w:hAnsi="Times New Roman" w:cs="Times New Roman"/>
        </w:rPr>
        <w:t xml:space="preserve"> as a concept in legal discourse and in sentencing practices. Finally, contributors were also </w:t>
      </w:r>
      <w:r w:rsidR="00A52586" w:rsidRPr="003C0052">
        <w:rPr>
          <w:rFonts w:ascii="Times New Roman" w:hAnsi="Times New Roman" w:cs="Times New Roman"/>
        </w:rPr>
        <w:t>requested</w:t>
      </w:r>
      <w:r w:rsidR="000401FF" w:rsidRPr="003C0052">
        <w:rPr>
          <w:rFonts w:ascii="Times New Roman" w:hAnsi="Times New Roman" w:cs="Times New Roman"/>
        </w:rPr>
        <w:t xml:space="preserve"> to comment on how far social supply</w:t>
      </w:r>
      <w:r w:rsidR="00CD3D4B" w:rsidRPr="003C0052">
        <w:rPr>
          <w:rFonts w:ascii="Times New Roman" w:hAnsi="Times New Roman" w:cs="Times New Roman"/>
        </w:rPr>
        <w:t xml:space="preserve"> - </w:t>
      </w:r>
      <w:r w:rsidR="00E7752F" w:rsidRPr="003C0052">
        <w:rPr>
          <w:rFonts w:ascii="Times New Roman" w:hAnsi="Times New Roman" w:cs="Times New Roman"/>
        </w:rPr>
        <w:t>or what might be considered an equivalent conceptual phrase or practice</w:t>
      </w:r>
      <w:r w:rsidR="00CD3D4B" w:rsidRPr="003C0052">
        <w:rPr>
          <w:rFonts w:ascii="Times New Roman" w:hAnsi="Times New Roman" w:cs="Times New Roman"/>
        </w:rPr>
        <w:t xml:space="preserve"> -</w:t>
      </w:r>
      <w:r w:rsidR="000401FF" w:rsidRPr="003C0052">
        <w:rPr>
          <w:rFonts w:ascii="Times New Roman" w:hAnsi="Times New Roman" w:cs="Times New Roman"/>
        </w:rPr>
        <w:t xml:space="preserve"> is accepted at a broader discursive level in </w:t>
      </w:r>
      <w:r w:rsidR="00441AF4" w:rsidRPr="003C0052">
        <w:rPr>
          <w:rFonts w:ascii="Times New Roman" w:hAnsi="Times New Roman" w:cs="Times New Roman"/>
        </w:rPr>
        <w:t>their particular society;</w:t>
      </w:r>
      <w:r w:rsidR="00DE7364" w:rsidRPr="003C0052">
        <w:rPr>
          <w:rFonts w:ascii="Times New Roman" w:hAnsi="Times New Roman" w:cs="Times New Roman"/>
        </w:rPr>
        <w:t xml:space="preserve"> in short, how </w:t>
      </w:r>
      <w:r w:rsidR="00B61029" w:rsidRPr="003C0052">
        <w:rPr>
          <w:rFonts w:ascii="Times New Roman" w:hAnsi="Times New Roman" w:cs="Times New Roman"/>
        </w:rPr>
        <w:t>far</w:t>
      </w:r>
      <w:r w:rsidR="00DE7364" w:rsidRPr="003C0052">
        <w:rPr>
          <w:rFonts w:ascii="Times New Roman" w:hAnsi="Times New Roman" w:cs="Times New Roman"/>
        </w:rPr>
        <w:t xml:space="preserve"> social supply</w:t>
      </w:r>
      <w:r w:rsidR="004D3FD8" w:rsidRPr="003C0052">
        <w:rPr>
          <w:rFonts w:ascii="Times New Roman" w:hAnsi="Times New Roman" w:cs="Times New Roman"/>
        </w:rPr>
        <w:t xml:space="preserve"> was</w:t>
      </w:r>
      <w:r w:rsidR="00DE7364" w:rsidRPr="003C0052">
        <w:rPr>
          <w:rFonts w:ascii="Times New Roman" w:hAnsi="Times New Roman" w:cs="Times New Roman"/>
        </w:rPr>
        <w:t xml:space="preserve"> used as a descriptor by criminal justice professionals and </w:t>
      </w:r>
      <w:r w:rsidR="00B61029" w:rsidRPr="003C0052">
        <w:rPr>
          <w:rFonts w:ascii="Times New Roman" w:hAnsi="Times New Roman" w:cs="Times New Roman"/>
        </w:rPr>
        <w:t>with</w:t>
      </w:r>
      <w:r w:rsidR="00DE7364" w:rsidRPr="003C0052">
        <w:rPr>
          <w:rFonts w:ascii="Times New Roman" w:hAnsi="Times New Roman" w:cs="Times New Roman"/>
        </w:rPr>
        <w:t>in the public sphere.</w:t>
      </w:r>
      <w:r w:rsidR="00EE0F69" w:rsidRPr="003C0052">
        <w:rPr>
          <w:rFonts w:ascii="Times New Roman" w:hAnsi="Times New Roman" w:cs="Times New Roman"/>
        </w:rPr>
        <w:t xml:space="preserve"> A content analysis</w:t>
      </w:r>
      <w:r w:rsidR="00C9126B" w:rsidRPr="003C0052">
        <w:rPr>
          <w:rFonts w:ascii="Times New Roman" w:hAnsi="Times New Roman" w:cs="Times New Roman"/>
        </w:rPr>
        <w:t xml:space="preserve"> of these scripts</w:t>
      </w:r>
      <w:r w:rsidR="00EE0F69" w:rsidRPr="003C0052">
        <w:rPr>
          <w:rFonts w:ascii="Times New Roman" w:hAnsi="Times New Roman" w:cs="Times New Roman"/>
        </w:rPr>
        <w:t xml:space="preserve"> was then </w:t>
      </w:r>
      <w:r w:rsidR="00C9126B" w:rsidRPr="003C0052">
        <w:rPr>
          <w:rFonts w:ascii="Times New Roman" w:hAnsi="Times New Roman" w:cs="Times New Roman"/>
        </w:rPr>
        <w:t xml:space="preserve">undertaken </w:t>
      </w:r>
      <w:r w:rsidR="00EE0F69" w:rsidRPr="003C0052">
        <w:rPr>
          <w:rFonts w:ascii="Times New Roman" w:hAnsi="Times New Roman" w:cs="Times New Roman"/>
        </w:rPr>
        <w:t xml:space="preserve">(LM and RC) and </w:t>
      </w:r>
      <w:r w:rsidR="00C9126B" w:rsidRPr="003C0052">
        <w:rPr>
          <w:rFonts w:ascii="Times New Roman" w:hAnsi="Times New Roman" w:cs="Times New Roman"/>
        </w:rPr>
        <w:t xml:space="preserve">emergent themes were developed. </w:t>
      </w:r>
    </w:p>
    <w:p w:rsidR="00683E58" w:rsidRPr="003C0052" w:rsidRDefault="00683E58" w:rsidP="00EC1C57">
      <w:pPr>
        <w:spacing w:line="360" w:lineRule="auto"/>
        <w:jc w:val="both"/>
        <w:rPr>
          <w:rFonts w:ascii="Times New Roman" w:hAnsi="Times New Roman" w:cs="Times New Roman"/>
        </w:rPr>
      </w:pPr>
    </w:p>
    <w:p w:rsidR="00221F28" w:rsidRPr="003C0052" w:rsidRDefault="00DE7364" w:rsidP="00EC1C57">
      <w:pPr>
        <w:spacing w:line="360" w:lineRule="auto"/>
        <w:jc w:val="both"/>
        <w:rPr>
          <w:rFonts w:ascii="Times New Roman" w:hAnsi="Times New Roman" w:cs="Times New Roman"/>
        </w:rPr>
      </w:pPr>
      <w:r w:rsidRPr="003C0052">
        <w:rPr>
          <w:rFonts w:ascii="Times New Roman" w:hAnsi="Times New Roman" w:cs="Times New Roman"/>
        </w:rPr>
        <w:t>The findings section presents this data</w:t>
      </w:r>
      <w:r w:rsidR="008E6499" w:rsidRPr="003C0052">
        <w:rPr>
          <w:rFonts w:ascii="Times New Roman" w:hAnsi="Times New Roman" w:cs="Times New Roman"/>
        </w:rPr>
        <w:t>,</w:t>
      </w:r>
      <w:r w:rsidRPr="003C0052">
        <w:rPr>
          <w:rFonts w:ascii="Times New Roman" w:hAnsi="Times New Roman" w:cs="Times New Roman"/>
        </w:rPr>
        <w:t xml:space="preserve"> organised according to theme as oppose</w:t>
      </w:r>
      <w:r w:rsidR="00B91E20" w:rsidRPr="003C0052">
        <w:rPr>
          <w:rFonts w:ascii="Times New Roman" w:hAnsi="Times New Roman" w:cs="Times New Roman"/>
        </w:rPr>
        <w:t>d to providing country profiles. O</w:t>
      </w:r>
      <w:r w:rsidRPr="003C0052">
        <w:rPr>
          <w:rFonts w:ascii="Times New Roman" w:hAnsi="Times New Roman" w:cs="Times New Roman"/>
        </w:rPr>
        <w:t xml:space="preserve">rganising </w:t>
      </w:r>
      <w:r w:rsidR="00B91E20" w:rsidRPr="003C0052">
        <w:rPr>
          <w:rFonts w:ascii="Times New Roman" w:hAnsi="Times New Roman" w:cs="Times New Roman"/>
        </w:rPr>
        <w:t>it in this way offers a more effective</w:t>
      </w:r>
      <w:r w:rsidRPr="003C0052">
        <w:rPr>
          <w:rFonts w:ascii="Times New Roman" w:hAnsi="Times New Roman" w:cs="Times New Roman"/>
        </w:rPr>
        <w:t xml:space="preserve"> </w:t>
      </w:r>
      <w:r w:rsidR="008E6499" w:rsidRPr="003C0052">
        <w:rPr>
          <w:rFonts w:ascii="Times New Roman" w:hAnsi="Times New Roman" w:cs="Times New Roman"/>
        </w:rPr>
        <w:t>means</w:t>
      </w:r>
      <w:r w:rsidR="00B91E20" w:rsidRPr="003C0052">
        <w:rPr>
          <w:rFonts w:ascii="Times New Roman" w:hAnsi="Times New Roman" w:cs="Times New Roman"/>
        </w:rPr>
        <w:t xml:space="preserve"> of presenting</w:t>
      </w:r>
      <w:r w:rsidR="00CD3D4B" w:rsidRPr="003C0052">
        <w:rPr>
          <w:rFonts w:ascii="Times New Roman" w:hAnsi="Times New Roman" w:cs="Times New Roman"/>
        </w:rPr>
        <w:t xml:space="preserve"> broad</w:t>
      </w:r>
      <w:r w:rsidR="00B91E20" w:rsidRPr="003C0052">
        <w:rPr>
          <w:rFonts w:ascii="Times New Roman" w:hAnsi="Times New Roman" w:cs="Times New Roman"/>
        </w:rPr>
        <w:t xml:space="preserve"> international trends and </w:t>
      </w:r>
      <w:r w:rsidR="00B61029" w:rsidRPr="003C0052">
        <w:rPr>
          <w:rFonts w:ascii="Times New Roman" w:hAnsi="Times New Roman" w:cs="Times New Roman"/>
        </w:rPr>
        <w:t>tracking how evident and developed different countries’ accommodation of social supply is</w:t>
      </w:r>
      <w:r w:rsidR="00FF3D26" w:rsidRPr="003C0052">
        <w:rPr>
          <w:rFonts w:ascii="Times New Roman" w:hAnsi="Times New Roman" w:cs="Times New Roman"/>
        </w:rPr>
        <w:t xml:space="preserve"> - </w:t>
      </w:r>
      <w:r w:rsidR="00E72C85" w:rsidRPr="003C0052">
        <w:rPr>
          <w:rFonts w:ascii="Times New Roman" w:hAnsi="Times New Roman" w:cs="Times New Roman"/>
        </w:rPr>
        <w:t xml:space="preserve">ultimately enabling a </w:t>
      </w:r>
      <w:r w:rsidR="00E72C85" w:rsidRPr="003C0052">
        <w:rPr>
          <w:rFonts w:ascii="Times New Roman" w:hAnsi="Times New Roman" w:cs="Times New Roman"/>
        </w:rPr>
        <w:lastRenderedPageBreak/>
        <w:t xml:space="preserve">discussion </w:t>
      </w:r>
      <w:r w:rsidR="008E6499" w:rsidRPr="003C0052">
        <w:rPr>
          <w:rFonts w:ascii="Times New Roman" w:hAnsi="Times New Roman" w:cs="Times New Roman"/>
        </w:rPr>
        <w:t>appraising</w:t>
      </w:r>
      <w:r w:rsidR="00E72C85" w:rsidRPr="003C0052">
        <w:rPr>
          <w:rFonts w:ascii="Times New Roman" w:hAnsi="Times New Roman" w:cs="Times New Roman"/>
        </w:rPr>
        <w:t xml:space="preserve"> the transferability of social supply as an international concept</w:t>
      </w:r>
      <w:r w:rsidR="006C49B8" w:rsidRPr="003C0052">
        <w:rPr>
          <w:rFonts w:ascii="Times New Roman" w:hAnsi="Times New Roman" w:cs="Times New Roman"/>
        </w:rPr>
        <w:t xml:space="preserve">. </w:t>
      </w:r>
      <w:r w:rsidR="00B61029" w:rsidRPr="003C0052">
        <w:rPr>
          <w:rFonts w:ascii="Times New Roman" w:hAnsi="Times New Roman" w:cs="Times New Roman"/>
        </w:rPr>
        <w:t xml:space="preserve">Collecting data in this way </w:t>
      </w:r>
      <w:r w:rsidR="005F1DF8" w:rsidRPr="003C0052">
        <w:rPr>
          <w:rFonts w:ascii="Times New Roman" w:hAnsi="Times New Roman" w:cs="Times New Roman"/>
        </w:rPr>
        <w:t>is not without its</w:t>
      </w:r>
      <w:r w:rsidR="00A52586" w:rsidRPr="003C0052">
        <w:rPr>
          <w:rFonts w:ascii="Times New Roman" w:hAnsi="Times New Roman" w:cs="Times New Roman"/>
        </w:rPr>
        <w:t xml:space="preserve"> challenges and in this respect</w:t>
      </w:r>
      <w:r w:rsidR="00BA0228" w:rsidRPr="003C0052">
        <w:rPr>
          <w:rFonts w:ascii="Times New Roman" w:hAnsi="Times New Roman" w:cs="Times New Roman"/>
        </w:rPr>
        <w:t>,</w:t>
      </w:r>
      <w:r w:rsidR="005F1DF8" w:rsidRPr="003C0052">
        <w:rPr>
          <w:rFonts w:ascii="Times New Roman" w:hAnsi="Times New Roman" w:cs="Times New Roman"/>
        </w:rPr>
        <w:t xml:space="preserve"> we would highlight that this </w:t>
      </w:r>
      <w:r w:rsidR="00136652" w:rsidRPr="003C0052">
        <w:rPr>
          <w:rFonts w:ascii="Times New Roman" w:hAnsi="Times New Roman" w:cs="Times New Roman"/>
        </w:rPr>
        <w:t xml:space="preserve">is </w:t>
      </w:r>
      <w:r w:rsidR="005F1DF8" w:rsidRPr="003C0052">
        <w:rPr>
          <w:rFonts w:ascii="Times New Roman" w:hAnsi="Times New Roman" w:cs="Times New Roman"/>
        </w:rPr>
        <w:t xml:space="preserve">an </w:t>
      </w:r>
      <w:r w:rsidR="005F1DF8" w:rsidRPr="003C0052">
        <w:rPr>
          <w:rFonts w:ascii="Times New Roman" w:hAnsi="Times New Roman" w:cs="Times New Roman"/>
          <w:i/>
        </w:rPr>
        <w:t>indicative</w:t>
      </w:r>
      <w:r w:rsidR="005F1DF8" w:rsidRPr="003C0052">
        <w:rPr>
          <w:rFonts w:ascii="Times New Roman" w:hAnsi="Times New Roman" w:cs="Times New Roman"/>
        </w:rPr>
        <w:t xml:space="preserve"> rather than an exhaustive exercise. In some </w:t>
      </w:r>
      <w:r w:rsidR="0023211E" w:rsidRPr="003C0052">
        <w:rPr>
          <w:rFonts w:ascii="Times New Roman" w:hAnsi="Times New Roman" w:cs="Times New Roman"/>
        </w:rPr>
        <w:t>contexts, it is still unclear</w:t>
      </w:r>
      <w:r w:rsidR="005F1DF8" w:rsidRPr="003C0052">
        <w:rPr>
          <w:rFonts w:ascii="Times New Roman" w:hAnsi="Times New Roman" w:cs="Times New Roman"/>
        </w:rPr>
        <w:t xml:space="preserve"> even to schol</w:t>
      </w:r>
      <w:r w:rsidR="00082F64" w:rsidRPr="003C0052">
        <w:rPr>
          <w:rFonts w:ascii="Times New Roman" w:hAnsi="Times New Roman" w:cs="Times New Roman"/>
        </w:rPr>
        <w:t>a</w:t>
      </w:r>
      <w:r w:rsidR="00CC6777" w:rsidRPr="003C0052">
        <w:rPr>
          <w:rFonts w:ascii="Times New Roman" w:hAnsi="Times New Roman" w:cs="Times New Roman"/>
        </w:rPr>
        <w:t>rs interested in social supply,</w:t>
      </w:r>
      <w:r w:rsidR="005F1DF8" w:rsidRPr="003C0052">
        <w:rPr>
          <w:rFonts w:ascii="Times New Roman" w:hAnsi="Times New Roman" w:cs="Times New Roman"/>
        </w:rPr>
        <w:t xml:space="preserve"> how far policy and sentencing gui</w:t>
      </w:r>
      <w:r w:rsidR="0023211E" w:rsidRPr="003C0052">
        <w:rPr>
          <w:rFonts w:ascii="Times New Roman" w:hAnsi="Times New Roman" w:cs="Times New Roman"/>
        </w:rPr>
        <w:t xml:space="preserve">delines are adopted in practice. </w:t>
      </w:r>
      <w:r w:rsidR="00661575" w:rsidRPr="003C0052">
        <w:rPr>
          <w:rFonts w:ascii="Times New Roman" w:hAnsi="Times New Roman" w:cs="Times New Roman"/>
        </w:rPr>
        <w:t>Further,</w:t>
      </w:r>
      <w:r w:rsidR="005F1DF8" w:rsidRPr="003C0052">
        <w:rPr>
          <w:rFonts w:ascii="Times New Roman" w:hAnsi="Times New Roman" w:cs="Times New Roman"/>
        </w:rPr>
        <w:t xml:space="preserve"> it b</w:t>
      </w:r>
      <w:r w:rsidR="005B4332" w:rsidRPr="003C0052">
        <w:rPr>
          <w:rFonts w:ascii="Times New Roman" w:hAnsi="Times New Roman" w:cs="Times New Roman"/>
        </w:rPr>
        <w:t xml:space="preserve">ecame evident in many contexts </w:t>
      </w:r>
      <w:r w:rsidR="005F1DF8" w:rsidRPr="003C0052">
        <w:rPr>
          <w:rFonts w:ascii="Times New Roman" w:hAnsi="Times New Roman" w:cs="Times New Roman"/>
        </w:rPr>
        <w:t>that while there is some discussion of social supply in relation to cannabis, there is</w:t>
      </w:r>
      <w:r w:rsidR="0076386E" w:rsidRPr="003C0052">
        <w:rPr>
          <w:rFonts w:ascii="Times New Roman" w:hAnsi="Times New Roman" w:cs="Times New Roman"/>
        </w:rPr>
        <w:t xml:space="preserve"> much</w:t>
      </w:r>
      <w:r w:rsidR="005F1DF8" w:rsidRPr="003C0052">
        <w:rPr>
          <w:rFonts w:ascii="Times New Roman" w:hAnsi="Times New Roman" w:cs="Times New Roman"/>
        </w:rPr>
        <w:t xml:space="preserve"> less </w:t>
      </w:r>
      <w:r w:rsidR="00E72C85" w:rsidRPr="003C0052">
        <w:rPr>
          <w:rFonts w:ascii="Times New Roman" w:hAnsi="Times New Roman" w:cs="Times New Roman"/>
        </w:rPr>
        <w:t xml:space="preserve">research and </w:t>
      </w:r>
      <w:r w:rsidR="00136652" w:rsidRPr="003C0052">
        <w:rPr>
          <w:rFonts w:ascii="Times New Roman" w:hAnsi="Times New Roman" w:cs="Times New Roman"/>
        </w:rPr>
        <w:t>public</w:t>
      </w:r>
      <w:r w:rsidR="005F1DF8" w:rsidRPr="003C0052">
        <w:rPr>
          <w:rFonts w:ascii="Times New Roman" w:hAnsi="Times New Roman" w:cs="Times New Roman"/>
        </w:rPr>
        <w:t xml:space="preserve">ly accessible information in regard to the treatment of social suppliers of </w:t>
      </w:r>
      <w:r w:rsidR="005F1DF8" w:rsidRPr="003C0052">
        <w:rPr>
          <w:rFonts w:ascii="Times New Roman" w:hAnsi="Times New Roman" w:cs="Times New Roman"/>
          <w:i/>
        </w:rPr>
        <w:t>other</w:t>
      </w:r>
      <w:r w:rsidR="005F1DF8" w:rsidRPr="003C0052">
        <w:rPr>
          <w:rFonts w:ascii="Times New Roman" w:hAnsi="Times New Roman" w:cs="Times New Roman"/>
        </w:rPr>
        <w:t xml:space="preserve"> recreational substances. Though findings are based principally on data from the aforementioned countries,</w:t>
      </w:r>
      <w:r w:rsidR="005B4332" w:rsidRPr="003C0052">
        <w:rPr>
          <w:rFonts w:ascii="Times New Roman" w:hAnsi="Times New Roman" w:cs="Times New Roman"/>
        </w:rPr>
        <w:t xml:space="preserve"> in places we have </w:t>
      </w:r>
      <w:r w:rsidR="00A52586" w:rsidRPr="003C0052">
        <w:rPr>
          <w:rFonts w:ascii="Times New Roman" w:hAnsi="Times New Roman" w:cs="Times New Roman"/>
        </w:rPr>
        <w:t xml:space="preserve">alluded </w:t>
      </w:r>
      <w:r w:rsidR="005B4332" w:rsidRPr="003C0052">
        <w:rPr>
          <w:rFonts w:ascii="Times New Roman" w:hAnsi="Times New Roman" w:cs="Times New Roman"/>
        </w:rPr>
        <w:t xml:space="preserve">to important practices or developments in contexts outside the international research network. </w:t>
      </w:r>
    </w:p>
    <w:p w:rsidR="000F2333" w:rsidRPr="003C0052" w:rsidRDefault="000F2333">
      <w:pPr>
        <w:rPr>
          <w:rFonts w:ascii="Times New Roman" w:hAnsi="Times New Roman" w:cs="Times New Roman"/>
        </w:rPr>
      </w:pPr>
    </w:p>
    <w:p w:rsidR="00DD4850" w:rsidRPr="003C0052" w:rsidRDefault="00DD4850" w:rsidP="00E7752F">
      <w:pPr>
        <w:outlineLvl w:val="0"/>
        <w:rPr>
          <w:rFonts w:ascii="Times New Roman" w:hAnsi="Times New Roman" w:cs="Times New Roman"/>
          <w:b/>
        </w:rPr>
      </w:pPr>
      <w:r w:rsidRPr="003C0052">
        <w:rPr>
          <w:rFonts w:ascii="Times New Roman" w:hAnsi="Times New Roman" w:cs="Times New Roman"/>
          <w:b/>
        </w:rPr>
        <w:t>Findings</w:t>
      </w:r>
    </w:p>
    <w:p w:rsidR="0036458D" w:rsidRPr="003C0052" w:rsidRDefault="0036458D" w:rsidP="0036458D">
      <w:pPr>
        <w:rPr>
          <w:rFonts w:ascii="Times New Roman" w:hAnsi="Times New Roman" w:cs="Times New Roman"/>
        </w:rPr>
      </w:pPr>
    </w:p>
    <w:p w:rsidR="000B0EEB" w:rsidRPr="003C0052" w:rsidRDefault="000B0EEB" w:rsidP="000B0EEB">
      <w:pPr>
        <w:spacing w:line="360" w:lineRule="auto"/>
        <w:rPr>
          <w:rFonts w:ascii="Times New Roman" w:hAnsi="Times New Roman" w:cs="Times New Roman"/>
        </w:rPr>
      </w:pPr>
      <w:r w:rsidRPr="003C0052">
        <w:rPr>
          <w:rFonts w:ascii="Times New Roman" w:hAnsi="Times New Roman" w:cs="Times New Roman"/>
        </w:rPr>
        <w:t xml:space="preserve">The presentation of findings from more than 10 countries presents not insubstantial challenges for readability and style. In addition to the basic country findings there are the broader relevant findings from countries beyond the 10 countries focussed on and the emergent issues that resulted from the </w:t>
      </w:r>
      <w:r w:rsidR="00090947" w:rsidRPr="003C0052">
        <w:rPr>
          <w:rFonts w:ascii="Times New Roman" w:hAnsi="Times New Roman" w:cs="Times New Roman"/>
        </w:rPr>
        <w:t xml:space="preserve">comparative </w:t>
      </w:r>
      <w:r w:rsidRPr="003C0052">
        <w:rPr>
          <w:rFonts w:ascii="Times New Roman" w:hAnsi="Times New Roman" w:cs="Times New Roman"/>
        </w:rPr>
        <w:t>thematic analysis</w:t>
      </w:r>
      <w:r w:rsidR="00090947" w:rsidRPr="003C0052">
        <w:rPr>
          <w:rFonts w:ascii="Times New Roman" w:hAnsi="Times New Roman" w:cs="Times New Roman"/>
        </w:rPr>
        <w:t xml:space="preserve"> of the expert reflections</w:t>
      </w:r>
      <w:r w:rsidRPr="003C0052">
        <w:rPr>
          <w:rFonts w:ascii="Times New Roman" w:hAnsi="Times New Roman" w:cs="Times New Roman"/>
        </w:rPr>
        <w:t>. Preferring not to undertake what might have been a prosaic tour through each country</w:t>
      </w:r>
      <w:r w:rsidR="00BB6284" w:rsidRPr="003C0052">
        <w:rPr>
          <w:rFonts w:ascii="Times New Roman" w:hAnsi="Times New Roman" w:cs="Times New Roman"/>
        </w:rPr>
        <w:t>,</w:t>
      </w:r>
      <w:r w:rsidRPr="003C0052">
        <w:rPr>
          <w:rFonts w:ascii="Times New Roman" w:hAnsi="Times New Roman" w:cs="Times New Roman"/>
        </w:rPr>
        <w:t xml:space="preserve"> one by one</w:t>
      </w:r>
      <w:r w:rsidR="00BB6284" w:rsidRPr="003C0052">
        <w:rPr>
          <w:rFonts w:ascii="Times New Roman" w:hAnsi="Times New Roman" w:cs="Times New Roman"/>
        </w:rPr>
        <w:t>,</w:t>
      </w:r>
      <w:r w:rsidRPr="003C0052">
        <w:rPr>
          <w:rFonts w:ascii="Times New Roman" w:hAnsi="Times New Roman" w:cs="Times New Roman"/>
        </w:rPr>
        <w:t xml:space="preserve"> and then presenting themes and context separately (we suggest the word length would also be prohibitive) </w:t>
      </w:r>
      <w:r w:rsidR="00BB6284" w:rsidRPr="003C0052">
        <w:rPr>
          <w:rFonts w:ascii="Times New Roman" w:hAnsi="Times New Roman" w:cs="Times New Roman"/>
        </w:rPr>
        <w:t>we have chosen to</w:t>
      </w:r>
      <w:r w:rsidR="00507C6E" w:rsidRPr="003C0052">
        <w:rPr>
          <w:rFonts w:ascii="Times New Roman" w:hAnsi="Times New Roman" w:cs="Times New Roman"/>
        </w:rPr>
        <w:t xml:space="preserve"> provide a fusion of the data to produce a broad thematic understanding of social supply internationally. In particular, and in the following order, we focus on</w:t>
      </w:r>
      <w:r w:rsidR="00090947" w:rsidRPr="003C0052">
        <w:rPr>
          <w:rFonts w:ascii="Times New Roman" w:hAnsi="Times New Roman" w:cs="Times New Roman"/>
        </w:rPr>
        <w:t xml:space="preserve">: </w:t>
      </w:r>
      <w:proofErr w:type="spellStart"/>
      <w:r w:rsidR="00090947" w:rsidRPr="003C0052">
        <w:rPr>
          <w:rFonts w:ascii="Times New Roman" w:hAnsi="Times New Roman" w:cs="Times New Roman"/>
        </w:rPr>
        <w:t>i</w:t>
      </w:r>
      <w:proofErr w:type="spellEnd"/>
      <w:r w:rsidR="00090947" w:rsidRPr="003C0052">
        <w:rPr>
          <w:rFonts w:ascii="Times New Roman" w:hAnsi="Times New Roman" w:cs="Times New Roman"/>
        </w:rPr>
        <w:t xml:space="preserve">) insight into the extent that social supply </w:t>
      </w:r>
      <w:r w:rsidR="00507C6E" w:rsidRPr="003C0052">
        <w:rPr>
          <w:rFonts w:ascii="Times New Roman" w:hAnsi="Times New Roman" w:cs="Times New Roman"/>
        </w:rPr>
        <w:t xml:space="preserve">has been </w:t>
      </w:r>
      <w:r w:rsidR="00090947" w:rsidRPr="003C0052">
        <w:rPr>
          <w:rFonts w:ascii="Times New Roman" w:hAnsi="Times New Roman" w:cs="Times New Roman"/>
        </w:rPr>
        <w:t xml:space="preserve">recognised in international research and in what key ways; ii) </w:t>
      </w:r>
      <w:r w:rsidR="00507C6E" w:rsidRPr="003C0052">
        <w:rPr>
          <w:rFonts w:ascii="Times New Roman" w:hAnsi="Times New Roman" w:cs="Times New Roman"/>
        </w:rPr>
        <w:t xml:space="preserve">to what extent, and in what ways international jurisdictions </w:t>
      </w:r>
      <w:r w:rsidR="00C420C7" w:rsidRPr="003C0052">
        <w:rPr>
          <w:rFonts w:ascii="Times New Roman" w:hAnsi="Times New Roman" w:cs="Times New Roman"/>
        </w:rPr>
        <w:t xml:space="preserve">are able to </w:t>
      </w:r>
      <w:r w:rsidR="00507C6E" w:rsidRPr="003C0052">
        <w:rPr>
          <w:rFonts w:ascii="Times New Roman" w:hAnsi="Times New Roman" w:cs="Times New Roman"/>
        </w:rPr>
        <w:t xml:space="preserve">accommodate differentiation (e.g. legislative frameworks able to consider drug supply as being variegated between minor or major offences) </w:t>
      </w:r>
      <w:r w:rsidR="00C420C7" w:rsidRPr="003C0052">
        <w:rPr>
          <w:rFonts w:ascii="Times New Roman" w:hAnsi="Times New Roman" w:cs="Times New Roman"/>
        </w:rPr>
        <w:t xml:space="preserve">rather than have blanket responses to supply, </w:t>
      </w:r>
      <w:r w:rsidR="00507C6E" w:rsidRPr="003C0052">
        <w:rPr>
          <w:rFonts w:ascii="Times New Roman" w:hAnsi="Times New Roman" w:cs="Times New Roman"/>
        </w:rPr>
        <w:t xml:space="preserve">and apply proportionate enforcement/sentencing; iii) </w:t>
      </w:r>
      <w:r w:rsidR="00C420C7" w:rsidRPr="003C0052">
        <w:rPr>
          <w:rFonts w:ascii="Times New Roman" w:hAnsi="Times New Roman" w:cs="Times New Roman"/>
        </w:rPr>
        <w:t xml:space="preserve">a discussion of </w:t>
      </w:r>
      <w:r w:rsidR="007241B9" w:rsidRPr="003C0052">
        <w:rPr>
          <w:rFonts w:ascii="Times New Roman" w:hAnsi="Times New Roman" w:cs="Times New Roman"/>
        </w:rPr>
        <w:t>what the overall picture looks like in relation to social supply, consideration of its complexity and how it is developing beyond the narrow confines of cannabis cultures and supply to recreational drugs more generally and minimally commercial supply</w:t>
      </w:r>
      <w:r w:rsidR="00C35292" w:rsidRPr="003C0052">
        <w:rPr>
          <w:rFonts w:ascii="Times New Roman" w:hAnsi="Times New Roman" w:cs="Times New Roman"/>
        </w:rPr>
        <w:t xml:space="preserve"> rather than just social supply</w:t>
      </w:r>
      <w:r w:rsidR="007241B9" w:rsidRPr="003C0052">
        <w:rPr>
          <w:rFonts w:ascii="Times New Roman" w:hAnsi="Times New Roman" w:cs="Times New Roman"/>
        </w:rPr>
        <w:t>.</w:t>
      </w:r>
    </w:p>
    <w:p w:rsidR="000B0EEB" w:rsidRPr="003C0052" w:rsidRDefault="000B0EEB" w:rsidP="0036458D">
      <w:pPr>
        <w:rPr>
          <w:rFonts w:ascii="Times New Roman" w:hAnsi="Times New Roman" w:cs="Times New Roman"/>
        </w:rPr>
      </w:pPr>
    </w:p>
    <w:p w:rsidR="00E72C85" w:rsidRPr="003C0052" w:rsidRDefault="001816FF" w:rsidP="0036458D">
      <w:pPr>
        <w:rPr>
          <w:rFonts w:ascii="Times New Roman" w:hAnsi="Times New Roman" w:cs="Times New Roman"/>
          <w:b/>
        </w:rPr>
      </w:pPr>
      <w:r w:rsidRPr="003C0052">
        <w:rPr>
          <w:rFonts w:ascii="Times New Roman" w:hAnsi="Times New Roman" w:cs="Times New Roman"/>
          <w:b/>
        </w:rPr>
        <w:t>How far is social supply recognised in international research?</w:t>
      </w:r>
    </w:p>
    <w:p w:rsidR="001816FF" w:rsidRPr="003C0052" w:rsidRDefault="001816FF" w:rsidP="0036458D">
      <w:pPr>
        <w:rPr>
          <w:rFonts w:ascii="Times New Roman" w:hAnsi="Times New Roman" w:cs="Times New Roman"/>
          <w:b/>
        </w:rPr>
      </w:pPr>
    </w:p>
    <w:p w:rsidR="00E72C85" w:rsidRPr="003C0052" w:rsidRDefault="00E72C85" w:rsidP="00E7752F">
      <w:pPr>
        <w:outlineLvl w:val="0"/>
        <w:rPr>
          <w:rFonts w:ascii="Times New Roman" w:hAnsi="Times New Roman" w:cs="Times New Roman"/>
          <w:i/>
        </w:rPr>
      </w:pPr>
      <w:r w:rsidRPr="003C0052">
        <w:rPr>
          <w:rFonts w:ascii="Times New Roman" w:hAnsi="Times New Roman" w:cs="Times New Roman"/>
          <w:i/>
        </w:rPr>
        <w:t>Active social supply research contexts</w:t>
      </w:r>
    </w:p>
    <w:p w:rsidR="00716FE2" w:rsidRPr="003C0052" w:rsidRDefault="00716FE2">
      <w:pPr>
        <w:rPr>
          <w:rFonts w:ascii="Times New Roman" w:hAnsi="Times New Roman" w:cs="Times New Roman"/>
        </w:rPr>
      </w:pPr>
    </w:p>
    <w:p w:rsidR="00276239" w:rsidRPr="003C0052" w:rsidRDefault="00276239" w:rsidP="00221F9E">
      <w:pPr>
        <w:spacing w:line="360" w:lineRule="auto"/>
        <w:jc w:val="both"/>
        <w:rPr>
          <w:rFonts w:ascii="Times New Roman" w:hAnsi="Times New Roman" w:cs="Times New Roman"/>
        </w:rPr>
      </w:pPr>
      <w:r w:rsidRPr="003C0052">
        <w:rPr>
          <w:rFonts w:ascii="Times New Roman" w:hAnsi="Times New Roman" w:cs="Times New Roman"/>
        </w:rPr>
        <w:t>As we might expect for an emergent concept research spherically into social supply and minimally commercial supply varies greatly. Some countries have research that has tangentially identified social supply type supply for many years and a significant amount of research that has developed this conceptually whilst others have focussed more narrowly and have less research to call on. Table 1 provide</w:t>
      </w:r>
      <w:r w:rsidR="006A5521" w:rsidRPr="003C0052">
        <w:rPr>
          <w:rFonts w:ascii="Times New Roman" w:hAnsi="Times New Roman" w:cs="Times New Roman"/>
        </w:rPr>
        <w:t>s</w:t>
      </w:r>
      <w:r w:rsidRPr="003C0052">
        <w:rPr>
          <w:rFonts w:ascii="Times New Roman" w:hAnsi="Times New Roman" w:cs="Times New Roman"/>
        </w:rPr>
        <w:t xml:space="preserve"> a summary overview of this situation for the countries reported on here.</w:t>
      </w:r>
    </w:p>
    <w:p w:rsidR="00276239" w:rsidRPr="003C0052" w:rsidRDefault="00276239" w:rsidP="00221F9E">
      <w:pPr>
        <w:spacing w:line="360" w:lineRule="auto"/>
        <w:jc w:val="both"/>
        <w:rPr>
          <w:rFonts w:ascii="Times New Roman" w:hAnsi="Times New Roman" w:cs="Times New Roman"/>
        </w:rPr>
      </w:pPr>
      <w:r w:rsidRPr="003C0052">
        <w:rPr>
          <w:rFonts w:ascii="Times New Roman" w:hAnsi="Times New Roman" w:cs="Times New Roman"/>
        </w:rPr>
        <w:t>[</w:t>
      </w:r>
      <w:proofErr w:type="gramStart"/>
      <w:r w:rsidRPr="003C0052">
        <w:rPr>
          <w:rFonts w:ascii="Times New Roman" w:hAnsi="Times New Roman" w:cs="Times New Roman"/>
        </w:rPr>
        <w:t>put</w:t>
      </w:r>
      <w:proofErr w:type="gramEnd"/>
      <w:r w:rsidRPr="003C0052">
        <w:rPr>
          <w:rFonts w:ascii="Times New Roman" w:hAnsi="Times New Roman" w:cs="Times New Roman"/>
        </w:rPr>
        <w:t xml:space="preserve"> Table 1 here]</w:t>
      </w:r>
    </w:p>
    <w:p w:rsidR="00276239" w:rsidRPr="003C0052" w:rsidRDefault="00276239" w:rsidP="00221F9E">
      <w:pPr>
        <w:spacing w:line="360" w:lineRule="auto"/>
        <w:jc w:val="both"/>
        <w:rPr>
          <w:rFonts w:ascii="Times New Roman" w:hAnsi="Times New Roman" w:cs="Times New Roman"/>
        </w:rPr>
      </w:pPr>
    </w:p>
    <w:p w:rsidR="00221F9E" w:rsidRPr="003C0052" w:rsidRDefault="00E34796" w:rsidP="00221F9E">
      <w:pPr>
        <w:spacing w:line="360" w:lineRule="auto"/>
        <w:jc w:val="both"/>
        <w:rPr>
          <w:rFonts w:ascii="Times New Roman" w:hAnsi="Times New Roman" w:cs="Times New Roman"/>
          <w:lang w:val="en-US"/>
        </w:rPr>
      </w:pPr>
      <w:r w:rsidRPr="003C0052">
        <w:rPr>
          <w:rFonts w:ascii="Times New Roman" w:hAnsi="Times New Roman" w:cs="Times New Roman"/>
        </w:rPr>
        <w:t>T</w:t>
      </w:r>
      <w:r w:rsidR="002F356B" w:rsidRPr="003C0052">
        <w:rPr>
          <w:rFonts w:ascii="Times New Roman" w:hAnsi="Times New Roman" w:cs="Times New Roman"/>
        </w:rPr>
        <w:t xml:space="preserve">he UK </w:t>
      </w:r>
      <w:r w:rsidR="00276239" w:rsidRPr="003C0052">
        <w:rPr>
          <w:rFonts w:ascii="Times New Roman" w:hAnsi="Times New Roman" w:cs="Times New Roman"/>
        </w:rPr>
        <w:t xml:space="preserve">is one country that </w:t>
      </w:r>
      <w:r w:rsidR="002F356B" w:rsidRPr="003C0052">
        <w:rPr>
          <w:rFonts w:ascii="Times New Roman" w:hAnsi="Times New Roman" w:cs="Times New Roman"/>
        </w:rPr>
        <w:t xml:space="preserve">has </w:t>
      </w:r>
      <w:r w:rsidR="0036458D" w:rsidRPr="003C0052">
        <w:rPr>
          <w:rFonts w:ascii="Times New Roman" w:hAnsi="Times New Roman" w:cs="Times New Roman"/>
        </w:rPr>
        <w:t xml:space="preserve">produced a variety of different </w:t>
      </w:r>
      <w:r w:rsidR="00A52586" w:rsidRPr="003C0052">
        <w:rPr>
          <w:rFonts w:ascii="Times New Roman" w:hAnsi="Times New Roman" w:cs="Times New Roman"/>
        </w:rPr>
        <w:t>empirical research studies that</w:t>
      </w:r>
      <w:r w:rsidR="0036458D" w:rsidRPr="003C0052">
        <w:rPr>
          <w:rFonts w:ascii="Times New Roman" w:hAnsi="Times New Roman" w:cs="Times New Roman"/>
        </w:rPr>
        <w:t xml:space="preserve"> focus directly</w:t>
      </w:r>
      <w:r w:rsidRPr="003C0052">
        <w:rPr>
          <w:rFonts w:ascii="Times New Roman" w:hAnsi="Times New Roman" w:cs="Times New Roman"/>
        </w:rPr>
        <w:t xml:space="preserve"> (see Coomber </w:t>
      </w:r>
      <w:r w:rsidR="00A52586" w:rsidRPr="003C0052">
        <w:rPr>
          <w:rFonts w:ascii="Times New Roman" w:hAnsi="Times New Roman" w:cs="Times New Roman"/>
        </w:rPr>
        <w:t xml:space="preserve">&amp; </w:t>
      </w:r>
      <w:r w:rsidRPr="003C0052">
        <w:rPr>
          <w:rFonts w:ascii="Times New Roman" w:hAnsi="Times New Roman" w:cs="Times New Roman"/>
        </w:rPr>
        <w:t>Turnbull, 2007; Potter</w:t>
      </w:r>
      <w:r w:rsidR="00A52586" w:rsidRPr="003C0052">
        <w:rPr>
          <w:rFonts w:ascii="Times New Roman" w:hAnsi="Times New Roman" w:cs="Times New Roman"/>
        </w:rPr>
        <w:t>,</w:t>
      </w:r>
      <w:r w:rsidRPr="003C0052">
        <w:rPr>
          <w:rFonts w:ascii="Times New Roman" w:hAnsi="Times New Roman" w:cs="Times New Roman"/>
        </w:rPr>
        <w:t xml:space="preserve"> 2009; Taylor </w:t>
      </w:r>
      <w:r w:rsidR="00A52586" w:rsidRPr="003C0052">
        <w:rPr>
          <w:rFonts w:ascii="Times New Roman" w:hAnsi="Times New Roman" w:cs="Times New Roman"/>
        </w:rPr>
        <w:t xml:space="preserve">&amp; </w:t>
      </w:r>
      <w:r w:rsidR="005049FC" w:rsidRPr="003C0052">
        <w:rPr>
          <w:rFonts w:ascii="Times New Roman" w:hAnsi="Times New Roman" w:cs="Times New Roman"/>
        </w:rPr>
        <w:t>Potter, 2013),</w:t>
      </w:r>
      <w:r w:rsidR="0036458D" w:rsidRPr="003C0052">
        <w:rPr>
          <w:rFonts w:ascii="Times New Roman" w:hAnsi="Times New Roman" w:cs="Times New Roman"/>
        </w:rPr>
        <w:t xml:space="preserve"> or provide peripheral analys</w:t>
      </w:r>
      <w:r w:rsidR="0030433D" w:rsidRPr="003C0052">
        <w:rPr>
          <w:rFonts w:ascii="Times New Roman" w:hAnsi="Times New Roman" w:cs="Times New Roman"/>
        </w:rPr>
        <w:t>is</w:t>
      </w:r>
      <w:r w:rsidRPr="003C0052">
        <w:rPr>
          <w:rFonts w:ascii="Times New Roman" w:hAnsi="Times New Roman" w:cs="Times New Roman"/>
        </w:rPr>
        <w:t xml:space="preserve"> (Parker</w:t>
      </w:r>
      <w:r w:rsidR="00FA2D4D" w:rsidRPr="003C0052">
        <w:rPr>
          <w:rFonts w:ascii="Times New Roman" w:hAnsi="Times New Roman" w:cs="Times New Roman"/>
        </w:rPr>
        <w:t>,</w:t>
      </w:r>
      <w:r w:rsidRPr="003C0052">
        <w:rPr>
          <w:rFonts w:ascii="Times New Roman" w:hAnsi="Times New Roman" w:cs="Times New Roman"/>
        </w:rPr>
        <w:t xml:space="preserve"> 2000; Hough et al</w:t>
      </w:r>
      <w:r w:rsidR="00A52586" w:rsidRPr="003C0052">
        <w:rPr>
          <w:rFonts w:ascii="Times New Roman" w:hAnsi="Times New Roman" w:cs="Times New Roman"/>
        </w:rPr>
        <w:t>.,</w:t>
      </w:r>
      <w:r w:rsidRPr="003C0052">
        <w:rPr>
          <w:rFonts w:ascii="Times New Roman" w:hAnsi="Times New Roman" w:cs="Times New Roman"/>
        </w:rPr>
        <w:t xml:space="preserve"> 2003) </w:t>
      </w:r>
      <w:r w:rsidR="0030433D" w:rsidRPr="003C0052">
        <w:rPr>
          <w:rFonts w:ascii="Times New Roman" w:hAnsi="Times New Roman" w:cs="Times New Roman"/>
        </w:rPr>
        <w:t xml:space="preserve">of social supply behaviours. </w:t>
      </w:r>
      <w:r w:rsidR="005049FC" w:rsidRPr="003C0052">
        <w:rPr>
          <w:rFonts w:ascii="Times New Roman" w:hAnsi="Times New Roman" w:cs="Times New Roman"/>
        </w:rPr>
        <w:t xml:space="preserve">From </w:t>
      </w:r>
      <w:r w:rsidR="00B963E9" w:rsidRPr="003C0052">
        <w:rPr>
          <w:rFonts w:ascii="Times New Roman" w:hAnsi="Times New Roman" w:cs="Times New Roman"/>
        </w:rPr>
        <w:t xml:space="preserve">early identifications of </w:t>
      </w:r>
      <w:r w:rsidR="00345115" w:rsidRPr="003C0052">
        <w:rPr>
          <w:rFonts w:ascii="Times New Roman" w:hAnsi="Times New Roman" w:cs="Times New Roman"/>
        </w:rPr>
        <w:t>‘</w:t>
      </w:r>
      <w:r w:rsidR="0036458D" w:rsidRPr="003C0052">
        <w:rPr>
          <w:rFonts w:ascii="Times New Roman" w:hAnsi="Times New Roman" w:cs="Times New Roman"/>
        </w:rPr>
        <w:t>mutual societies</w:t>
      </w:r>
      <w:r w:rsidR="00345115" w:rsidRPr="003C0052">
        <w:rPr>
          <w:rFonts w:ascii="Times New Roman" w:hAnsi="Times New Roman" w:cs="Times New Roman"/>
        </w:rPr>
        <w:t>’</w:t>
      </w:r>
      <w:r w:rsidR="0036458D" w:rsidRPr="003C0052">
        <w:rPr>
          <w:rFonts w:ascii="Times New Roman" w:hAnsi="Times New Roman" w:cs="Times New Roman"/>
        </w:rPr>
        <w:t xml:space="preserve"> and </w:t>
      </w:r>
      <w:r w:rsidR="00345115" w:rsidRPr="003C0052">
        <w:rPr>
          <w:rFonts w:ascii="Times New Roman" w:hAnsi="Times New Roman" w:cs="Times New Roman"/>
        </w:rPr>
        <w:t>‘</w:t>
      </w:r>
      <w:r w:rsidR="0036458D" w:rsidRPr="003C0052">
        <w:rPr>
          <w:rFonts w:ascii="Times New Roman" w:hAnsi="Times New Roman" w:cs="Times New Roman"/>
        </w:rPr>
        <w:t>trading charities</w:t>
      </w:r>
      <w:r w:rsidR="00F05413" w:rsidRPr="003C0052">
        <w:rPr>
          <w:rFonts w:ascii="Times New Roman" w:hAnsi="Times New Roman" w:cs="Times New Roman"/>
        </w:rPr>
        <w:t>’</w:t>
      </w:r>
      <w:r w:rsidR="0036458D" w:rsidRPr="003C0052">
        <w:rPr>
          <w:rFonts w:ascii="Times New Roman" w:hAnsi="Times New Roman" w:cs="Times New Roman"/>
        </w:rPr>
        <w:t xml:space="preserve"> described in Dorn et al</w:t>
      </w:r>
      <w:r w:rsidR="00A52586" w:rsidRPr="003C0052">
        <w:rPr>
          <w:rFonts w:ascii="Times New Roman" w:hAnsi="Times New Roman" w:cs="Times New Roman"/>
        </w:rPr>
        <w:t>.</w:t>
      </w:r>
      <w:r w:rsidR="0036458D" w:rsidRPr="003C0052">
        <w:rPr>
          <w:rFonts w:ascii="Times New Roman" w:hAnsi="Times New Roman" w:cs="Times New Roman"/>
        </w:rPr>
        <w:t xml:space="preserve"> (1990) who engaged in reciprocal or ideologically motivated supply practices, to the young cannabis suppliers in</w:t>
      </w:r>
      <w:r w:rsidR="009C062D" w:rsidRPr="003C0052">
        <w:rPr>
          <w:rFonts w:ascii="Times New Roman" w:hAnsi="Times New Roman" w:cs="Times New Roman"/>
        </w:rPr>
        <w:t xml:space="preserve"> Coomber and Turnbull (2007),</w:t>
      </w:r>
      <w:r w:rsidR="0036458D" w:rsidRPr="003C0052">
        <w:rPr>
          <w:rFonts w:ascii="Times New Roman" w:hAnsi="Times New Roman" w:cs="Times New Roman"/>
        </w:rPr>
        <w:t xml:space="preserve"> </w:t>
      </w:r>
      <w:r w:rsidR="0082401A" w:rsidRPr="003C0052">
        <w:rPr>
          <w:rFonts w:ascii="Times New Roman" w:hAnsi="Times New Roman" w:cs="Times New Roman"/>
        </w:rPr>
        <w:t xml:space="preserve">and </w:t>
      </w:r>
      <w:r w:rsidR="0036458D" w:rsidRPr="003C0052">
        <w:rPr>
          <w:rFonts w:ascii="Times New Roman" w:hAnsi="Times New Roman" w:cs="Times New Roman"/>
        </w:rPr>
        <w:t xml:space="preserve">the involved recreational </w:t>
      </w:r>
      <w:r w:rsidR="00ED6A2C" w:rsidRPr="003C0052">
        <w:rPr>
          <w:rFonts w:ascii="Times New Roman" w:hAnsi="Times New Roman" w:cs="Times New Roman"/>
        </w:rPr>
        <w:t xml:space="preserve">ketamine, cocaine and ecstasy </w:t>
      </w:r>
      <w:r w:rsidR="0036458D" w:rsidRPr="003C0052">
        <w:rPr>
          <w:rFonts w:ascii="Times New Roman" w:hAnsi="Times New Roman" w:cs="Times New Roman"/>
        </w:rPr>
        <w:t xml:space="preserve">users who drifted from social supply to </w:t>
      </w:r>
      <w:r w:rsidR="00ED6A2C" w:rsidRPr="003C0052">
        <w:rPr>
          <w:rFonts w:ascii="Times New Roman" w:hAnsi="Times New Roman" w:cs="Times New Roman"/>
        </w:rPr>
        <w:t>‘</w:t>
      </w:r>
      <w:r w:rsidR="0036458D" w:rsidRPr="003C0052">
        <w:rPr>
          <w:rFonts w:ascii="Times New Roman" w:hAnsi="Times New Roman" w:cs="Times New Roman"/>
        </w:rPr>
        <w:t>real dealing</w:t>
      </w:r>
      <w:r w:rsidR="00ED6A2C" w:rsidRPr="003C0052">
        <w:rPr>
          <w:rFonts w:ascii="Times New Roman" w:hAnsi="Times New Roman" w:cs="Times New Roman"/>
        </w:rPr>
        <w:t xml:space="preserve">’ (see Taylor </w:t>
      </w:r>
      <w:r w:rsidR="00A52586" w:rsidRPr="003C0052">
        <w:rPr>
          <w:rFonts w:ascii="Times New Roman" w:hAnsi="Times New Roman" w:cs="Times New Roman"/>
        </w:rPr>
        <w:t xml:space="preserve">&amp; </w:t>
      </w:r>
      <w:r w:rsidR="00ED6A2C" w:rsidRPr="003C0052">
        <w:rPr>
          <w:rFonts w:ascii="Times New Roman" w:hAnsi="Times New Roman" w:cs="Times New Roman"/>
        </w:rPr>
        <w:t>Potter</w:t>
      </w:r>
      <w:r w:rsidR="00A52586" w:rsidRPr="003C0052">
        <w:rPr>
          <w:rFonts w:ascii="Times New Roman" w:hAnsi="Times New Roman" w:cs="Times New Roman"/>
        </w:rPr>
        <w:t>,</w:t>
      </w:r>
      <w:r w:rsidR="00ED6A2C" w:rsidRPr="003C0052">
        <w:rPr>
          <w:rFonts w:ascii="Times New Roman" w:hAnsi="Times New Roman" w:cs="Times New Roman"/>
        </w:rPr>
        <w:t xml:space="preserve"> </w:t>
      </w:r>
      <w:r w:rsidR="0036458D" w:rsidRPr="003C0052">
        <w:rPr>
          <w:rFonts w:ascii="Times New Roman" w:hAnsi="Times New Roman" w:cs="Times New Roman"/>
        </w:rPr>
        <w:t>2013)</w:t>
      </w:r>
      <w:r w:rsidR="00ED6A2C" w:rsidRPr="003C0052">
        <w:rPr>
          <w:rFonts w:ascii="Times New Roman" w:hAnsi="Times New Roman" w:cs="Times New Roman"/>
        </w:rPr>
        <w:t>,</w:t>
      </w:r>
      <w:r w:rsidR="0036458D" w:rsidRPr="003C0052">
        <w:rPr>
          <w:rFonts w:ascii="Times New Roman" w:hAnsi="Times New Roman" w:cs="Times New Roman"/>
        </w:rPr>
        <w:t xml:space="preserve"> </w:t>
      </w:r>
      <w:r w:rsidR="00ED6A2C" w:rsidRPr="003C0052">
        <w:rPr>
          <w:rFonts w:ascii="Times New Roman" w:hAnsi="Times New Roman" w:cs="Times New Roman"/>
        </w:rPr>
        <w:t>t</w:t>
      </w:r>
      <w:r w:rsidR="0036458D" w:rsidRPr="003C0052">
        <w:rPr>
          <w:rFonts w:ascii="Times New Roman" w:hAnsi="Times New Roman" w:cs="Times New Roman"/>
        </w:rPr>
        <w:t>his literature base has tended to be united by its focus on</w:t>
      </w:r>
      <w:r w:rsidR="00F05413" w:rsidRPr="003C0052">
        <w:rPr>
          <w:rFonts w:ascii="Times New Roman" w:hAnsi="Times New Roman" w:cs="Times New Roman"/>
        </w:rPr>
        <w:t xml:space="preserve"> supply</w:t>
      </w:r>
      <w:r w:rsidR="00A52586" w:rsidRPr="003C0052">
        <w:rPr>
          <w:rFonts w:ascii="Times New Roman" w:hAnsi="Times New Roman" w:cs="Times New Roman"/>
        </w:rPr>
        <w:t xml:space="preserve"> as </w:t>
      </w:r>
      <w:r w:rsidR="00EF6D03" w:rsidRPr="003C0052">
        <w:rPr>
          <w:rFonts w:ascii="Times New Roman" w:hAnsi="Times New Roman" w:cs="Times New Roman"/>
        </w:rPr>
        <w:t>‘</w:t>
      </w:r>
      <w:r w:rsidR="00A52586" w:rsidRPr="003C0052">
        <w:rPr>
          <w:rFonts w:ascii="Times New Roman" w:hAnsi="Times New Roman" w:cs="Times New Roman"/>
        </w:rPr>
        <w:t>embedded practice</w:t>
      </w:r>
      <w:r w:rsidR="00EF6D03" w:rsidRPr="003C0052">
        <w:rPr>
          <w:rFonts w:ascii="Times New Roman" w:hAnsi="Times New Roman" w:cs="Times New Roman"/>
        </w:rPr>
        <w:t>’</w:t>
      </w:r>
      <w:r w:rsidR="00A52586" w:rsidRPr="003C0052">
        <w:rPr>
          <w:rFonts w:ascii="Times New Roman" w:hAnsi="Times New Roman" w:cs="Times New Roman"/>
        </w:rPr>
        <w:t xml:space="preserve"> (Coomber e</w:t>
      </w:r>
      <w:r w:rsidR="00F05413" w:rsidRPr="003C0052">
        <w:rPr>
          <w:rFonts w:ascii="Times New Roman" w:hAnsi="Times New Roman" w:cs="Times New Roman"/>
        </w:rPr>
        <w:t>t al., 2015),</w:t>
      </w:r>
      <w:r w:rsidR="0036458D" w:rsidRPr="003C0052">
        <w:rPr>
          <w:rFonts w:ascii="Times New Roman" w:hAnsi="Times New Roman" w:cs="Times New Roman"/>
        </w:rPr>
        <w:t xml:space="preserve"> supply to non-strangers (Potter, 2009) and </w:t>
      </w:r>
      <w:r w:rsidR="00ED6A2C" w:rsidRPr="003C0052">
        <w:rPr>
          <w:rFonts w:ascii="Times New Roman" w:hAnsi="Times New Roman" w:cs="Times New Roman"/>
        </w:rPr>
        <w:t xml:space="preserve">transactions characterised by </w:t>
      </w:r>
      <w:r w:rsidRPr="003C0052">
        <w:rPr>
          <w:rFonts w:ascii="Times New Roman" w:hAnsi="Times New Roman" w:cs="Times New Roman"/>
        </w:rPr>
        <w:t>‘</w:t>
      </w:r>
      <w:r w:rsidR="00ED6A2C" w:rsidRPr="003C0052">
        <w:rPr>
          <w:rFonts w:ascii="Times New Roman" w:hAnsi="Times New Roman" w:cs="Times New Roman"/>
        </w:rPr>
        <w:t>minimal profit</w:t>
      </w:r>
      <w:r w:rsidRPr="003C0052">
        <w:rPr>
          <w:rFonts w:ascii="Times New Roman" w:hAnsi="Times New Roman" w:cs="Times New Roman"/>
        </w:rPr>
        <w:t xml:space="preserve">’ (Coomber </w:t>
      </w:r>
      <w:r w:rsidR="00A52586" w:rsidRPr="003C0052">
        <w:rPr>
          <w:rFonts w:ascii="Times New Roman" w:hAnsi="Times New Roman" w:cs="Times New Roman"/>
        </w:rPr>
        <w:t xml:space="preserve">&amp; </w:t>
      </w:r>
      <w:r w:rsidRPr="003C0052">
        <w:rPr>
          <w:rFonts w:ascii="Times New Roman" w:hAnsi="Times New Roman" w:cs="Times New Roman"/>
        </w:rPr>
        <w:t>Moyle, 2014)</w:t>
      </w:r>
      <w:r w:rsidR="00ED6A2C" w:rsidRPr="003C0052">
        <w:rPr>
          <w:rFonts w:ascii="Times New Roman" w:hAnsi="Times New Roman" w:cs="Times New Roman"/>
        </w:rPr>
        <w:t>.</w:t>
      </w:r>
      <w:r w:rsidR="00613349" w:rsidRPr="003C0052">
        <w:rPr>
          <w:rFonts w:ascii="Times New Roman" w:hAnsi="Times New Roman" w:cs="Times New Roman"/>
        </w:rPr>
        <w:t xml:space="preserve"> In </w:t>
      </w:r>
      <w:r w:rsidR="00023982" w:rsidRPr="003C0052">
        <w:rPr>
          <w:rFonts w:ascii="Times New Roman" w:hAnsi="Times New Roman" w:cs="Times New Roman"/>
        </w:rPr>
        <w:t xml:space="preserve">wider </w:t>
      </w:r>
      <w:r w:rsidR="00613349" w:rsidRPr="003C0052">
        <w:rPr>
          <w:rFonts w:ascii="Times New Roman" w:hAnsi="Times New Roman" w:cs="Times New Roman"/>
        </w:rPr>
        <w:t xml:space="preserve">Europe, social supply is often </w:t>
      </w:r>
      <w:r w:rsidR="00DA560D" w:rsidRPr="003C0052">
        <w:rPr>
          <w:rFonts w:ascii="Times New Roman" w:hAnsi="Times New Roman" w:cs="Times New Roman"/>
        </w:rPr>
        <w:t>researched with focus on cann</w:t>
      </w:r>
      <w:r w:rsidR="0015213F" w:rsidRPr="003C0052">
        <w:rPr>
          <w:rFonts w:ascii="Times New Roman" w:hAnsi="Times New Roman" w:cs="Times New Roman"/>
        </w:rPr>
        <w:t>abis distribution</w:t>
      </w:r>
      <w:r w:rsidR="00ED4445" w:rsidRPr="003C0052">
        <w:rPr>
          <w:rFonts w:ascii="Times New Roman" w:hAnsi="Times New Roman" w:cs="Times New Roman"/>
        </w:rPr>
        <w:t>,</w:t>
      </w:r>
      <w:r w:rsidR="0015213F" w:rsidRPr="003C0052">
        <w:rPr>
          <w:rFonts w:ascii="Times New Roman" w:hAnsi="Times New Roman" w:cs="Times New Roman"/>
        </w:rPr>
        <w:t xml:space="preserve"> </w:t>
      </w:r>
      <w:r w:rsidR="00613349" w:rsidRPr="003C0052">
        <w:rPr>
          <w:rFonts w:ascii="Times New Roman" w:hAnsi="Times New Roman" w:cs="Times New Roman"/>
          <w:lang w:val="en-US"/>
        </w:rPr>
        <w:t>especially small-scale cannabis cultivation, which</w:t>
      </w:r>
      <w:r w:rsidR="00A4536D" w:rsidRPr="003C0052">
        <w:rPr>
          <w:rFonts w:ascii="Times New Roman" w:hAnsi="Times New Roman" w:cs="Times New Roman"/>
          <w:lang w:val="en-US"/>
        </w:rPr>
        <w:t xml:space="preserve"> can</w:t>
      </w:r>
      <w:r w:rsidR="00613349" w:rsidRPr="003C0052">
        <w:rPr>
          <w:rFonts w:ascii="Times New Roman" w:hAnsi="Times New Roman" w:cs="Times New Roman"/>
          <w:lang w:val="en-US"/>
        </w:rPr>
        <w:t xml:space="preserve"> </w:t>
      </w:r>
      <w:r w:rsidR="007B3AC0" w:rsidRPr="003C0052">
        <w:rPr>
          <w:rFonts w:ascii="Times New Roman" w:hAnsi="Times New Roman" w:cs="Times New Roman"/>
          <w:lang w:val="en-US"/>
        </w:rPr>
        <w:t>create</w:t>
      </w:r>
      <w:r w:rsidR="00613349" w:rsidRPr="003C0052">
        <w:rPr>
          <w:rFonts w:ascii="Times New Roman" w:hAnsi="Times New Roman" w:cs="Times New Roman"/>
          <w:lang w:val="en-US"/>
        </w:rPr>
        <w:t xml:space="preserve"> an influential context for social supply. </w:t>
      </w:r>
      <w:r w:rsidR="006C49B8" w:rsidRPr="003C0052">
        <w:rPr>
          <w:rFonts w:ascii="Times New Roman" w:hAnsi="Times New Roman" w:cs="Times New Roman"/>
          <w:lang w:val="en-US"/>
        </w:rPr>
        <w:t xml:space="preserve">According to a web survey conducted among Finnish cannabis growers, many said they often gave or </w:t>
      </w:r>
      <w:r w:rsidR="00FA5E89" w:rsidRPr="003C0052">
        <w:rPr>
          <w:rFonts w:ascii="Times New Roman" w:hAnsi="Times New Roman" w:cs="Times New Roman"/>
          <w:lang w:val="en-US"/>
        </w:rPr>
        <w:t>‘</w:t>
      </w:r>
      <w:r w:rsidR="006C49B8" w:rsidRPr="003C0052">
        <w:rPr>
          <w:rFonts w:ascii="Times New Roman" w:hAnsi="Times New Roman" w:cs="Times New Roman"/>
          <w:lang w:val="en-US"/>
        </w:rPr>
        <w:t>served</w:t>
      </w:r>
      <w:r w:rsidR="00FA5E89" w:rsidRPr="003C0052">
        <w:rPr>
          <w:rFonts w:ascii="Times New Roman" w:hAnsi="Times New Roman" w:cs="Times New Roman"/>
          <w:lang w:val="en-US"/>
        </w:rPr>
        <w:t>’</w:t>
      </w:r>
      <w:r w:rsidR="006C49B8" w:rsidRPr="003C0052">
        <w:rPr>
          <w:rFonts w:ascii="Times New Roman" w:hAnsi="Times New Roman" w:cs="Times New Roman"/>
          <w:lang w:val="en-US"/>
        </w:rPr>
        <w:t xml:space="preserve"> part of t</w:t>
      </w:r>
      <w:r w:rsidR="00A4536D" w:rsidRPr="003C0052">
        <w:rPr>
          <w:rFonts w:ascii="Times New Roman" w:hAnsi="Times New Roman" w:cs="Times New Roman"/>
          <w:lang w:val="en-US"/>
        </w:rPr>
        <w:t>heir crops to friends for free, and in this respect</w:t>
      </w:r>
      <w:r w:rsidR="006C49B8" w:rsidRPr="003C0052">
        <w:rPr>
          <w:rFonts w:ascii="Times New Roman" w:hAnsi="Times New Roman" w:cs="Times New Roman"/>
          <w:lang w:val="en-US"/>
        </w:rPr>
        <w:t xml:space="preserve">, they did not grow cannabis for the money, or to make a profit, but for the pleasure of growing, enjoying and sharing it with friends </w:t>
      </w:r>
      <w:r w:rsidR="00613349" w:rsidRPr="003C0052">
        <w:rPr>
          <w:rFonts w:ascii="Times New Roman" w:hAnsi="Times New Roman" w:cs="Times New Roman"/>
          <w:lang w:val="en-US"/>
        </w:rPr>
        <w:t>(</w:t>
      </w:r>
      <w:proofErr w:type="spellStart"/>
      <w:r w:rsidR="00613349" w:rsidRPr="003C0052">
        <w:rPr>
          <w:rFonts w:ascii="Times New Roman" w:hAnsi="Times New Roman" w:cs="Times New Roman"/>
          <w:lang w:val="en-US"/>
        </w:rPr>
        <w:t>Hakkarainen</w:t>
      </w:r>
      <w:proofErr w:type="spellEnd"/>
      <w:r w:rsidR="00613349" w:rsidRPr="003C0052">
        <w:rPr>
          <w:rFonts w:ascii="Times New Roman" w:hAnsi="Times New Roman" w:cs="Times New Roman"/>
          <w:lang w:val="en-US"/>
        </w:rPr>
        <w:t xml:space="preserve"> &amp; </w:t>
      </w:r>
      <w:proofErr w:type="spellStart"/>
      <w:r w:rsidR="00613349" w:rsidRPr="003C0052">
        <w:rPr>
          <w:rFonts w:ascii="Times New Roman" w:hAnsi="Times New Roman" w:cs="Times New Roman"/>
          <w:lang w:val="en-US"/>
        </w:rPr>
        <w:t>Perälä</w:t>
      </w:r>
      <w:proofErr w:type="spellEnd"/>
      <w:r w:rsidR="00613349" w:rsidRPr="003C0052">
        <w:rPr>
          <w:rFonts w:ascii="Times New Roman" w:hAnsi="Times New Roman" w:cs="Times New Roman"/>
          <w:lang w:val="en-US"/>
        </w:rPr>
        <w:t>, 2016).</w:t>
      </w:r>
      <w:r w:rsidR="00613349" w:rsidRPr="003C0052">
        <w:rPr>
          <w:rFonts w:ascii="Times New Roman" w:hAnsi="Times New Roman" w:cs="Times New Roman"/>
        </w:rPr>
        <w:t xml:space="preserve"> </w:t>
      </w:r>
      <w:r w:rsidR="00925A33" w:rsidRPr="003C0052">
        <w:rPr>
          <w:rFonts w:ascii="Times New Roman" w:hAnsi="Times New Roman" w:cs="Times New Roman"/>
        </w:rPr>
        <w:t>In Belgium</w:t>
      </w:r>
      <w:r w:rsidR="00B963E9" w:rsidRPr="003C0052">
        <w:rPr>
          <w:rFonts w:ascii="Times New Roman" w:hAnsi="Times New Roman" w:cs="Times New Roman"/>
        </w:rPr>
        <w:t>,</w:t>
      </w:r>
      <w:r w:rsidR="00925A33" w:rsidRPr="003C0052">
        <w:rPr>
          <w:rFonts w:ascii="Times New Roman" w:hAnsi="Times New Roman" w:cs="Times New Roman"/>
        </w:rPr>
        <w:t xml:space="preserve"> one </w:t>
      </w:r>
      <w:r w:rsidR="00613349" w:rsidRPr="003C0052">
        <w:rPr>
          <w:rFonts w:ascii="Times New Roman" w:hAnsi="Times New Roman" w:cs="Times New Roman"/>
        </w:rPr>
        <w:t xml:space="preserve">study </w:t>
      </w:r>
      <w:r w:rsidR="00ED4445" w:rsidRPr="003C0052">
        <w:rPr>
          <w:rFonts w:ascii="Times New Roman" w:hAnsi="Times New Roman" w:cs="Times New Roman"/>
        </w:rPr>
        <w:t xml:space="preserve">identified </w:t>
      </w:r>
      <w:r w:rsidR="00613349" w:rsidRPr="003C0052">
        <w:rPr>
          <w:rFonts w:ascii="Times New Roman" w:hAnsi="Times New Roman" w:cs="Times New Roman"/>
        </w:rPr>
        <w:t>different forms of</w:t>
      </w:r>
      <w:r w:rsidR="00ED4445" w:rsidRPr="003C0052">
        <w:rPr>
          <w:rFonts w:ascii="Times New Roman" w:hAnsi="Times New Roman" w:cs="Times New Roman"/>
        </w:rPr>
        <w:t xml:space="preserve"> cannabis networks</w:t>
      </w:r>
      <w:r w:rsidR="00613349" w:rsidRPr="003C0052">
        <w:rPr>
          <w:rFonts w:ascii="Times New Roman" w:hAnsi="Times New Roman" w:cs="Times New Roman"/>
        </w:rPr>
        <w:t xml:space="preserve">, </w:t>
      </w:r>
      <w:r w:rsidR="00FB76DE" w:rsidRPr="003C0052">
        <w:rPr>
          <w:rFonts w:ascii="Times New Roman" w:hAnsi="Times New Roman" w:cs="Times New Roman"/>
        </w:rPr>
        <w:t xml:space="preserve">which were more likely </w:t>
      </w:r>
      <w:r w:rsidR="00613349" w:rsidRPr="003C0052">
        <w:rPr>
          <w:rFonts w:ascii="Times New Roman" w:hAnsi="Times New Roman" w:cs="Times New Roman"/>
        </w:rPr>
        <w:t xml:space="preserve">described as an </w:t>
      </w:r>
      <w:r w:rsidR="005049FC" w:rsidRPr="003C0052">
        <w:rPr>
          <w:rFonts w:ascii="Times New Roman" w:hAnsi="Times New Roman" w:cs="Times New Roman"/>
        </w:rPr>
        <w:t>‘</w:t>
      </w:r>
      <w:r w:rsidR="00613349" w:rsidRPr="003C0052">
        <w:rPr>
          <w:rFonts w:ascii="Times New Roman" w:hAnsi="Times New Roman" w:cs="Times New Roman"/>
        </w:rPr>
        <w:t>informal business network amongst ‘friends’, family and acquaintances</w:t>
      </w:r>
      <w:r w:rsidR="005049FC" w:rsidRPr="003C0052">
        <w:rPr>
          <w:rFonts w:ascii="Times New Roman" w:hAnsi="Times New Roman" w:cs="Times New Roman"/>
        </w:rPr>
        <w:t>’</w:t>
      </w:r>
      <w:r w:rsidR="00B963E9" w:rsidRPr="003C0052">
        <w:rPr>
          <w:rFonts w:ascii="Times New Roman" w:hAnsi="Times New Roman" w:cs="Times New Roman"/>
        </w:rPr>
        <w:t xml:space="preserve"> (</w:t>
      </w:r>
      <w:proofErr w:type="spellStart"/>
      <w:r w:rsidR="00B963E9" w:rsidRPr="003C0052">
        <w:rPr>
          <w:rFonts w:ascii="Times New Roman" w:hAnsi="Times New Roman" w:cs="Times New Roman"/>
        </w:rPr>
        <w:t>Decorte</w:t>
      </w:r>
      <w:proofErr w:type="spellEnd"/>
      <w:r w:rsidR="00B963E9" w:rsidRPr="003C0052">
        <w:rPr>
          <w:rFonts w:ascii="Times New Roman" w:hAnsi="Times New Roman" w:cs="Times New Roman"/>
        </w:rPr>
        <w:t xml:space="preserve"> et al., 2014: </w:t>
      </w:r>
      <w:r w:rsidR="00613349" w:rsidRPr="003C0052">
        <w:rPr>
          <w:rFonts w:ascii="Times New Roman" w:hAnsi="Times New Roman" w:cs="Times New Roman"/>
        </w:rPr>
        <w:t>101)</w:t>
      </w:r>
      <w:r w:rsidR="00FB76DE" w:rsidRPr="003C0052">
        <w:rPr>
          <w:rFonts w:ascii="Times New Roman" w:hAnsi="Times New Roman" w:cs="Times New Roman"/>
        </w:rPr>
        <w:t xml:space="preserve"> than criminal collaborations.</w:t>
      </w:r>
      <w:r w:rsidR="00DD7A22" w:rsidRPr="003C0052">
        <w:rPr>
          <w:rFonts w:ascii="Times New Roman" w:hAnsi="Times New Roman" w:cs="Times New Roman"/>
        </w:rPr>
        <w:t xml:space="preserve"> Social supply research exploring cannabis cultivation in the Czech Republic unveils similar </w:t>
      </w:r>
      <w:r w:rsidR="00B963E9" w:rsidRPr="003C0052">
        <w:rPr>
          <w:rFonts w:ascii="Times New Roman" w:hAnsi="Times New Roman" w:cs="Times New Roman"/>
        </w:rPr>
        <w:t>supply systems</w:t>
      </w:r>
      <w:r w:rsidR="00DD7A22" w:rsidRPr="003C0052">
        <w:rPr>
          <w:rFonts w:ascii="Times New Roman" w:hAnsi="Times New Roman" w:cs="Times New Roman"/>
        </w:rPr>
        <w:t xml:space="preserve"> but </w:t>
      </w:r>
      <w:r w:rsidR="006F1253" w:rsidRPr="003C0052">
        <w:rPr>
          <w:rFonts w:ascii="Times New Roman" w:hAnsi="Times New Roman" w:cs="Times New Roman"/>
        </w:rPr>
        <w:t xml:space="preserve">attributes their dominance to </w:t>
      </w:r>
      <w:r w:rsidR="00136652" w:rsidRPr="003C0052">
        <w:rPr>
          <w:rFonts w:ascii="Times New Roman" w:hAnsi="Times New Roman" w:cs="Times New Roman"/>
        </w:rPr>
        <w:t xml:space="preserve">the </w:t>
      </w:r>
      <w:r w:rsidR="006F1253" w:rsidRPr="003C0052">
        <w:rPr>
          <w:rFonts w:ascii="Times New Roman" w:hAnsi="Times New Roman" w:cs="Times New Roman"/>
        </w:rPr>
        <w:t xml:space="preserve">spread of outdoor cultivation that comes at a low (or no) cost  and a </w:t>
      </w:r>
      <w:r w:rsidR="00DD7A22" w:rsidRPr="003C0052">
        <w:rPr>
          <w:rFonts w:ascii="Times New Roman" w:hAnsi="Times New Roman" w:cs="Times New Roman"/>
        </w:rPr>
        <w:t>specific culture in which</w:t>
      </w:r>
      <w:r w:rsidR="0076685C" w:rsidRPr="003C0052">
        <w:rPr>
          <w:rFonts w:ascii="Times New Roman" w:hAnsi="Times New Roman" w:cs="Times New Roman"/>
        </w:rPr>
        <w:t xml:space="preserve"> it remains imperative that cannabis should not be </w:t>
      </w:r>
      <w:r w:rsidR="00B963E9" w:rsidRPr="003C0052">
        <w:rPr>
          <w:rFonts w:ascii="Times New Roman" w:hAnsi="Times New Roman" w:cs="Times New Roman"/>
        </w:rPr>
        <w:t>‘</w:t>
      </w:r>
      <w:r w:rsidR="0076685C" w:rsidRPr="003C0052">
        <w:rPr>
          <w:rFonts w:ascii="Times New Roman" w:hAnsi="Times New Roman" w:cs="Times New Roman"/>
        </w:rPr>
        <w:t>sold</w:t>
      </w:r>
      <w:r w:rsidR="00B963E9" w:rsidRPr="003C0052">
        <w:rPr>
          <w:rFonts w:ascii="Times New Roman" w:hAnsi="Times New Roman" w:cs="Times New Roman"/>
        </w:rPr>
        <w:t>’</w:t>
      </w:r>
      <w:r w:rsidR="00ED6A19" w:rsidRPr="003C0052">
        <w:rPr>
          <w:rFonts w:ascii="Times New Roman" w:hAnsi="Times New Roman" w:cs="Times New Roman"/>
        </w:rPr>
        <w:t xml:space="preserve"> at all</w:t>
      </w:r>
      <w:r w:rsidR="0076685C" w:rsidRPr="003C0052">
        <w:rPr>
          <w:rFonts w:ascii="Times New Roman" w:hAnsi="Times New Roman" w:cs="Times New Roman"/>
        </w:rPr>
        <w:t xml:space="preserve"> </w:t>
      </w:r>
      <w:r w:rsidR="0076685C" w:rsidRPr="003C0052">
        <w:rPr>
          <w:rFonts w:ascii="Times New Roman" w:hAnsi="Times New Roman" w:cs="Times New Roman"/>
        </w:rPr>
        <w:fldChar w:fldCharType="begin"/>
      </w:r>
      <w:r w:rsidR="0076685C" w:rsidRPr="003C0052">
        <w:rPr>
          <w:rFonts w:ascii="Times New Roman" w:hAnsi="Times New Roman" w:cs="Times New Roman"/>
        </w:rPr>
        <w:instrText xml:space="preserve"> ADDIN EN.CITE &lt;EndNote&gt;&lt;Cite&gt;&lt;Author&gt;Belackova&lt;/Author&gt;&lt;Year&gt;2014&lt;/Year&gt;&lt;RecNum&gt;1003&lt;/RecNum&gt;&lt;DisplayText&gt;(Belackova &amp;amp; Zabransky, 2014a)&lt;/DisplayText&gt;&lt;record&gt;&lt;rec-number&gt;1003&lt;/rec-number&gt;&lt;foreign-keys&gt;&lt;key app="EN" db-id="05st225pxarstqevtvexxfvuef9s0wrdxwer" timestamp="1469408218"&gt;1003&lt;/key&gt;&lt;/foreign-keys&gt;&lt;ref-type name="Journal Article"&gt;17&lt;/ref-type&gt;&lt;contributors&gt;&lt;authors&gt;&lt;author&gt;Belackova, V.&lt;/author&gt;&lt;author&gt;Zabransky, T&lt;/author&gt;&lt;/authors&gt;&lt;/contributors&gt;&lt;titles&gt;&lt;title&gt;Assessing the Users` Risks in the Shift towards Indoor Cannabis Cultivaiton - the Case of the Czech Republic&lt;/title&gt;&lt;secondary-title&gt;Adiktologie&lt;/secondary-title&gt;&lt;/titles&gt;&lt;periodical&gt;&lt;full-title&gt;Adiktologie&lt;/full-title&gt;&lt;/periodical&gt;&lt;pages&gt;410-418&lt;/pages&gt;&lt;volume&gt;14&lt;/volume&gt;&lt;number&gt;4&lt;/number&gt;&lt;dates&gt;&lt;year&gt;2014&lt;/year&gt;&lt;/dates&gt;&lt;urls&gt;&lt;/urls&gt;&lt;/record&gt;&lt;/Cite&gt;&lt;/EndNote&gt;</w:instrText>
      </w:r>
      <w:r w:rsidR="0076685C" w:rsidRPr="003C0052">
        <w:rPr>
          <w:rFonts w:ascii="Times New Roman" w:hAnsi="Times New Roman" w:cs="Times New Roman"/>
        </w:rPr>
        <w:fldChar w:fldCharType="separate"/>
      </w:r>
      <w:r w:rsidR="00695E31" w:rsidRPr="003C0052">
        <w:rPr>
          <w:rFonts w:ascii="Times New Roman" w:hAnsi="Times New Roman" w:cs="Times New Roman"/>
          <w:noProof/>
        </w:rPr>
        <w:t>(Belackova &amp; Zabransky, 2014</w:t>
      </w:r>
      <w:r w:rsidR="0076685C" w:rsidRPr="003C0052">
        <w:rPr>
          <w:rFonts w:ascii="Times New Roman" w:hAnsi="Times New Roman" w:cs="Times New Roman"/>
          <w:noProof/>
        </w:rPr>
        <w:t>)</w:t>
      </w:r>
      <w:r w:rsidR="0076685C" w:rsidRPr="003C0052">
        <w:rPr>
          <w:rFonts w:ascii="Times New Roman" w:hAnsi="Times New Roman" w:cs="Times New Roman"/>
        </w:rPr>
        <w:fldChar w:fldCharType="end"/>
      </w:r>
      <w:r w:rsidR="00DD7A22" w:rsidRPr="003C0052">
        <w:rPr>
          <w:rFonts w:ascii="Times New Roman" w:hAnsi="Times New Roman" w:cs="Times New Roman"/>
        </w:rPr>
        <w:t xml:space="preserve">. </w:t>
      </w:r>
      <w:r w:rsidR="00661575" w:rsidRPr="003C0052">
        <w:rPr>
          <w:rFonts w:ascii="Times New Roman" w:hAnsi="Times New Roman" w:cs="Times New Roman"/>
        </w:rPr>
        <w:t>In the</w:t>
      </w:r>
      <w:r w:rsidR="00E3304E" w:rsidRPr="003C0052">
        <w:rPr>
          <w:rFonts w:ascii="Times New Roman" w:hAnsi="Times New Roman" w:cs="Times New Roman"/>
        </w:rPr>
        <w:t xml:space="preserve"> N</w:t>
      </w:r>
      <w:r w:rsidR="001E1BEB" w:rsidRPr="003C0052">
        <w:rPr>
          <w:rFonts w:ascii="Times New Roman" w:hAnsi="Times New Roman" w:cs="Times New Roman"/>
        </w:rPr>
        <w:t>orth American context, Canadian social supply research has also tended to focus on</w:t>
      </w:r>
      <w:r w:rsidR="005A163F" w:rsidRPr="003C0052">
        <w:rPr>
          <w:rFonts w:ascii="Times New Roman" w:hAnsi="Times New Roman" w:cs="Times New Roman"/>
        </w:rPr>
        <w:t xml:space="preserve"> cannabis transactions and</w:t>
      </w:r>
      <w:r w:rsidR="001E1BEB" w:rsidRPr="003C0052">
        <w:rPr>
          <w:rFonts w:ascii="Times New Roman" w:hAnsi="Times New Roman" w:cs="Times New Roman"/>
        </w:rPr>
        <w:t xml:space="preserve"> </w:t>
      </w:r>
      <w:r w:rsidR="005A163F" w:rsidRPr="003C0052">
        <w:rPr>
          <w:rFonts w:ascii="Times New Roman" w:hAnsi="Times New Roman" w:cs="Times New Roman"/>
        </w:rPr>
        <w:lastRenderedPageBreak/>
        <w:t>the nature of relationships between dist</w:t>
      </w:r>
      <w:r w:rsidR="00B15E36" w:rsidRPr="003C0052">
        <w:rPr>
          <w:rFonts w:ascii="Times New Roman" w:hAnsi="Times New Roman" w:cs="Times New Roman"/>
        </w:rPr>
        <w:t>ributor and user. In line with</w:t>
      </w:r>
      <w:r w:rsidR="005A163F" w:rsidRPr="003C0052">
        <w:rPr>
          <w:rFonts w:ascii="Times New Roman" w:hAnsi="Times New Roman" w:cs="Times New Roman"/>
        </w:rPr>
        <w:t xml:space="preserve"> </w:t>
      </w:r>
      <w:r w:rsidR="00086135" w:rsidRPr="003C0052">
        <w:rPr>
          <w:rFonts w:ascii="Times New Roman" w:hAnsi="Times New Roman" w:cs="Times New Roman"/>
        </w:rPr>
        <w:t xml:space="preserve">many of the </w:t>
      </w:r>
      <w:r w:rsidR="005A163F" w:rsidRPr="003C0052">
        <w:rPr>
          <w:rFonts w:ascii="Times New Roman" w:hAnsi="Times New Roman" w:cs="Times New Roman"/>
        </w:rPr>
        <w:t>European</w:t>
      </w:r>
      <w:r w:rsidR="00086135" w:rsidRPr="003C0052">
        <w:rPr>
          <w:rFonts w:ascii="Times New Roman" w:hAnsi="Times New Roman" w:cs="Times New Roman"/>
        </w:rPr>
        <w:t xml:space="preserve"> studies</w:t>
      </w:r>
      <w:r w:rsidR="00AB274B" w:rsidRPr="003C0052">
        <w:rPr>
          <w:rFonts w:ascii="Times New Roman" w:hAnsi="Times New Roman" w:cs="Times New Roman"/>
        </w:rPr>
        <w:t>,</w:t>
      </w:r>
      <w:r w:rsidR="005A163F" w:rsidRPr="003C0052">
        <w:rPr>
          <w:rFonts w:ascii="Times New Roman" w:hAnsi="Times New Roman" w:cs="Times New Roman"/>
        </w:rPr>
        <w:t xml:space="preserve"> </w:t>
      </w:r>
      <w:r w:rsidR="00086135" w:rsidRPr="003C0052">
        <w:rPr>
          <w:rFonts w:ascii="Times New Roman" w:hAnsi="Times New Roman" w:cs="Times New Roman"/>
        </w:rPr>
        <w:t xml:space="preserve">Canadian data </w:t>
      </w:r>
      <w:r w:rsidR="005A163F" w:rsidRPr="003C0052">
        <w:rPr>
          <w:rFonts w:ascii="Times New Roman" w:hAnsi="Times New Roman" w:cs="Times New Roman"/>
        </w:rPr>
        <w:t>suggest</w:t>
      </w:r>
      <w:r w:rsidR="00086135" w:rsidRPr="003C0052">
        <w:rPr>
          <w:rFonts w:ascii="Times New Roman" w:hAnsi="Times New Roman" w:cs="Times New Roman"/>
        </w:rPr>
        <w:t>s</w:t>
      </w:r>
      <w:r w:rsidR="005A163F" w:rsidRPr="003C0052">
        <w:rPr>
          <w:rFonts w:ascii="Times New Roman" w:hAnsi="Times New Roman" w:cs="Times New Roman"/>
        </w:rPr>
        <w:t xml:space="preserve"> </w:t>
      </w:r>
      <w:r w:rsidR="0043052E" w:rsidRPr="003C0052">
        <w:rPr>
          <w:rFonts w:ascii="Times New Roman" w:hAnsi="Times New Roman" w:cs="Times New Roman"/>
        </w:rPr>
        <w:t>i</w:t>
      </w:r>
      <w:r w:rsidR="00925A33" w:rsidRPr="003C0052">
        <w:rPr>
          <w:rFonts w:ascii="Times New Roman" w:hAnsi="Times New Roman" w:cs="Times New Roman"/>
        </w:rPr>
        <w:t>mpersonal transactions with drug dealers are avoided in favour of loose networks of fellow users with whom they feel comfortable buying and using</w:t>
      </w:r>
      <w:r w:rsidR="008E3EA2" w:rsidRPr="003C0052">
        <w:rPr>
          <w:rFonts w:ascii="Times New Roman" w:hAnsi="Times New Roman" w:cs="Times New Roman"/>
        </w:rPr>
        <w:t xml:space="preserve">. </w:t>
      </w:r>
      <w:r w:rsidR="0076386E" w:rsidRPr="003C0052">
        <w:rPr>
          <w:rFonts w:ascii="Times New Roman" w:hAnsi="Times New Roman" w:cs="Times New Roman"/>
        </w:rPr>
        <w:t xml:space="preserve">Consistent </w:t>
      </w:r>
      <w:r w:rsidR="005A163F" w:rsidRPr="003C0052">
        <w:rPr>
          <w:rFonts w:ascii="Times New Roman" w:hAnsi="Times New Roman" w:cs="Times New Roman"/>
        </w:rPr>
        <w:t xml:space="preserve">with </w:t>
      </w:r>
      <w:r w:rsidR="0076386E" w:rsidRPr="003C0052">
        <w:rPr>
          <w:rFonts w:ascii="Times New Roman" w:hAnsi="Times New Roman" w:cs="Times New Roman"/>
        </w:rPr>
        <w:t xml:space="preserve">some of the </w:t>
      </w:r>
      <w:r w:rsidR="005A163F" w:rsidRPr="003C0052">
        <w:rPr>
          <w:rFonts w:ascii="Times New Roman" w:hAnsi="Times New Roman" w:cs="Times New Roman"/>
        </w:rPr>
        <w:t xml:space="preserve">early UK </w:t>
      </w:r>
      <w:r w:rsidR="00AB274B" w:rsidRPr="003C0052">
        <w:rPr>
          <w:rFonts w:ascii="Times New Roman" w:hAnsi="Times New Roman" w:cs="Times New Roman"/>
        </w:rPr>
        <w:t xml:space="preserve">studies on social forms of supply </w:t>
      </w:r>
      <w:r w:rsidR="005A163F" w:rsidRPr="003C0052">
        <w:rPr>
          <w:rFonts w:ascii="Times New Roman" w:hAnsi="Times New Roman" w:cs="Times New Roman"/>
        </w:rPr>
        <w:t>(see Dorn et al., 1990</w:t>
      </w:r>
      <w:r w:rsidR="00AB274B" w:rsidRPr="003C0052">
        <w:rPr>
          <w:rFonts w:ascii="Times New Roman" w:hAnsi="Times New Roman" w:cs="Times New Roman"/>
        </w:rPr>
        <w:t>, 1992</w:t>
      </w:r>
      <w:r w:rsidR="005A163F" w:rsidRPr="003C0052">
        <w:rPr>
          <w:rFonts w:ascii="Times New Roman" w:hAnsi="Times New Roman" w:cs="Times New Roman"/>
        </w:rPr>
        <w:t>)</w:t>
      </w:r>
      <w:r w:rsidR="008E3EA2" w:rsidRPr="003C0052">
        <w:rPr>
          <w:rFonts w:ascii="Times New Roman" w:hAnsi="Times New Roman" w:cs="Times New Roman"/>
        </w:rPr>
        <w:t>, studies in this region emphasise reciprocity</w:t>
      </w:r>
      <w:r w:rsidR="00AB274B" w:rsidRPr="003C0052">
        <w:rPr>
          <w:rFonts w:ascii="Times New Roman" w:hAnsi="Times New Roman" w:cs="Times New Roman"/>
        </w:rPr>
        <w:t>,</w:t>
      </w:r>
      <w:r w:rsidR="005A163F" w:rsidRPr="003C0052">
        <w:rPr>
          <w:rFonts w:ascii="Times New Roman" w:hAnsi="Times New Roman" w:cs="Times New Roman"/>
        </w:rPr>
        <w:t xml:space="preserve"> maintaining</w:t>
      </w:r>
      <w:r w:rsidR="008E3EA2" w:rsidRPr="003C0052">
        <w:rPr>
          <w:rFonts w:ascii="Times New Roman" w:hAnsi="Times New Roman" w:cs="Times New Roman"/>
        </w:rPr>
        <w:t xml:space="preserve"> that</w:t>
      </w:r>
      <w:r w:rsidR="005A163F" w:rsidRPr="003C0052">
        <w:rPr>
          <w:rFonts w:ascii="Times New Roman" w:hAnsi="Times New Roman" w:cs="Times New Roman"/>
        </w:rPr>
        <w:t xml:space="preserve"> access through a social network of supply offers mutual assurance that, from one source or another, a small quantity</w:t>
      </w:r>
      <w:r w:rsidR="009A0537" w:rsidRPr="003C0052">
        <w:rPr>
          <w:rFonts w:ascii="Times New Roman" w:hAnsi="Times New Roman" w:cs="Times New Roman"/>
        </w:rPr>
        <w:t xml:space="preserve"> of cannabis</w:t>
      </w:r>
      <w:r w:rsidR="005A163F" w:rsidRPr="003C0052">
        <w:rPr>
          <w:rFonts w:ascii="Times New Roman" w:hAnsi="Times New Roman" w:cs="Times New Roman"/>
        </w:rPr>
        <w:t xml:space="preserve"> will always be available to users (</w:t>
      </w:r>
      <w:r w:rsidR="00180935" w:rsidRPr="003C0052">
        <w:rPr>
          <w:rFonts w:ascii="Times New Roman" w:hAnsi="Times New Roman" w:cs="Times New Roman"/>
        </w:rPr>
        <w:t xml:space="preserve">Hathaway et al (2015, 2018); </w:t>
      </w:r>
      <w:r w:rsidR="005A163F" w:rsidRPr="003C0052">
        <w:rPr>
          <w:rFonts w:ascii="Times New Roman" w:hAnsi="Times New Roman" w:cs="Times New Roman"/>
        </w:rPr>
        <w:t xml:space="preserve">Hathaway, 2004; </w:t>
      </w:r>
      <w:r w:rsidR="003D2925" w:rsidRPr="003C0052">
        <w:rPr>
          <w:rFonts w:ascii="Times New Roman" w:hAnsi="Times New Roman" w:cs="Times New Roman"/>
        </w:rPr>
        <w:t>Hathaway, Erickson &amp; Lucas</w:t>
      </w:r>
      <w:r w:rsidR="0025281B" w:rsidRPr="003C0052">
        <w:rPr>
          <w:rFonts w:ascii="Times New Roman" w:hAnsi="Times New Roman" w:cs="Times New Roman"/>
        </w:rPr>
        <w:t>,</w:t>
      </w:r>
      <w:r w:rsidR="00C9126B" w:rsidRPr="003C0052">
        <w:rPr>
          <w:rFonts w:ascii="Times New Roman" w:hAnsi="Times New Roman" w:cs="Times New Roman"/>
        </w:rPr>
        <w:t xml:space="preserve"> </w:t>
      </w:r>
      <w:r w:rsidR="005A163F" w:rsidRPr="003C0052">
        <w:rPr>
          <w:rFonts w:ascii="Times New Roman" w:hAnsi="Times New Roman" w:cs="Times New Roman"/>
        </w:rPr>
        <w:t>2007).</w:t>
      </w:r>
      <w:r w:rsidR="00154E41" w:rsidRPr="003C0052">
        <w:rPr>
          <w:rFonts w:ascii="Times New Roman" w:hAnsi="Times New Roman" w:cs="Times New Roman"/>
        </w:rPr>
        <w:t xml:space="preserve"> Research undertaken in Germany</w:t>
      </w:r>
      <w:r w:rsidR="00CD3D4B" w:rsidRPr="003C0052">
        <w:rPr>
          <w:rFonts w:ascii="Times New Roman" w:hAnsi="Times New Roman" w:cs="Times New Roman"/>
        </w:rPr>
        <w:t xml:space="preserve"> by </w:t>
      </w:r>
      <w:proofErr w:type="spellStart"/>
      <w:r w:rsidR="00CD3D4B" w:rsidRPr="003C0052">
        <w:rPr>
          <w:rFonts w:ascii="Times New Roman" w:hAnsi="Times New Roman" w:cs="Times New Roman"/>
        </w:rPr>
        <w:t>Werse</w:t>
      </w:r>
      <w:proofErr w:type="spellEnd"/>
      <w:r w:rsidR="00CD3D4B" w:rsidRPr="003C0052">
        <w:rPr>
          <w:rFonts w:ascii="Times New Roman" w:hAnsi="Times New Roman" w:cs="Times New Roman"/>
        </w:rPr>
        <w:t xml:space="preserve"> and Mü</w:t>
      </w:r>
      <w:r w:rsidR="00A0180D" w:rsidRPr="003C0052">
        <w:rPr>
          <w:rFonts w:ascii="Times New Roman" w:hAnsi="Times New Roman" w:cs="Times New Roman"/>
        </w:rPr>
        <w:t>ller (</w:t>
      </w:r>
      <w:r w:rsidR="00CB088C" w:rsidRPr="003C0052">
        <w:rPr>
          <w:rFonts w:ascii="Times New Roman" w:hAnsi="Times New Roman" w:cs="Times New Roman"/>
        </w:rPr>
        <w:t>2016</w:t>
      </w:r>
      <w:r w:rsidR="00E549CF" w:rsidRPr="003C0052">
        <w:rPr>
          <w:rFonts w:ascii="Times New Roman" w:hAnsi="Times New Roman" w:cs="Times New Roman"/>
        </w:rPr>
        <w:t>: 117</w:t>
      </w:r>
      <w:r w:rsidR="00CB088C" w:rsidRPr="003C0052">
        <w:rPr>
          <w:rFonts w:ascii="Times New Roman" w:hAnsi="Times New Roman" w:cs="Times New Roman"/>
        </w:rPr>
        <w:t>)</w:t>
      </w:r>
      <w:r w:rsidR="00154E41" w:rsidRPr="003C0052">
        <w:rPr>
          <w:rFonts w:ascii="Times New Roman" w:hAnsi="Times New Roman" w:cs="Times New Roman"/>
        </w:rPr>
        <w:t xml:space="preserve"> confirms many of the themes</w:t>
      </w:r>
      <w:r w:rsidR="00FA5E89" w:rsidRPr="003C0052">
        <w:rPr>
          <w:rFonts w:ascii="Times New Roman" w:hAnsi="Times New Roman" w:cs="Times New Roman"/>
        </w:rPr>
        <w:t xml:space="preserve"> outlined above whilst </w:t>
      </w:r>
      <w:r w:rsidR="00706F7F" w:rsidRPr="003C0052">
        <w:rPr>
          <w:rFonts w:ascii="Times New Roman" w:hAnsi="Times New Roman" w:cs="Times New Roman"/>
        </w:rPr>
        <w:t xml:space="preserve">also </w:t>
      </w:r>
      <w:r w:rsidR="00FA5E89" w:rsidRPr="003C0052">
        <w:rPr>
          <w:rFonts w:ascii="Times New Roman" w:hAnsi="Times New Roman" w:cs="Times New Roman"/>
        </w:rPr>
        <w:t xml:space="preserve">usefully </w:t>
      </w:r>
      <w:r w:rsidR="00706F7F" w:rsidRPr="003C0052">
        <w:rPr>
          <w:rFonts w:ascii="Times New Roman" w:hAnsi="Times New Roman" w:cs="Times New Roman"/>
        </w:rPr>
        <w:t>explor</w:t>
      </w:r>
      <w:r w:rsidR="00FA5E89" w:rsidRPr="003C0052">
        <w:rPr>
          <w:rFonts w:ascii="Times New Roman" w:hAnsi="Times New Roman" w:cs="Times New Roman"/>
        </w:rPr>
        <w:t>ing</w:t>
      </w:r>
      <w:r w:rsidR="004946A7" w:rsidRPr="003C0052">
        <w:rPr>
          <w:rFonts w:ascii="Times New Roman" w:hAnsi="Times New Roman" w:cs="Times New Roman"/>
        </w:rPr>
        <w:t xml:space="preserve"> </w:t>
      </w:r>
      <w:r w:rsidR="00FA5E89" w:rsidRPr="003C0052">
        <w:rPr>
          <w:rFonts w:ascii="Times New Roman" w:hAnsi="Times New Roman" w:cs="Times New Roman"/>
        </w:rPr>
        <w:t>the factors that influence transitions, firstly</w:t>
      </w:r>
      <w:r w:rsidR="00A0180D" w:rsidRPr="003C0052">
        <w:rPr>
          <w:rFonts w:ascii="Times New Roman" w:hAnsi="Times New Roman" w:cs="Times New Roman"/>
        </w:rPr>
        <w:t xml:space="preserve"> from drug </w:t>
      </w:r>
      <w:r w:rsidR="00A0180D" w:rsidRPr="003C0052">
        <w:rPr>
          <w:rFonts w:ascii="Times New Roman" w:hAnsi="Times New Roman" w:cs="Times New Roman"/>
          <w:i/>
        </w:rPr>
        <w:t>use</w:t>
      </w:r>
      <w:r w:rsidR="00A0180D" w:rsidRPr="003C0052">
        <w:rPr>
          <w:rFonts w:ascii="Times New Roman" w:hAnsi="Times New Roman" w:cs="Times New Roman"/>
        </w:rPr>
        <w:t xml:space="preserve"> to </w:t>
      </w:r>
      <w:r w:rsidR="00D86B77" w:rsidRPr="003C0052">
        <w:rPr>
          <w:rFonts w:ascii="Times New Roman" w:hAnsi="Times New Roman" w:cs="Times New Roman"/>
        </w:rPr>
        <w:t xml:space="preserve">social and </w:t>
      </w:r>
      <w:r w:rsidR="00A0180D" w:rsidRPr="003C0052">
        <w:rPr>
          <w:rFonts w:ascii="Times New Roman" w:hAnsi="Times New Roman" w:cs="Times New Roman"/>
        </w:rPr>
        <w:t xml:space="preserve">minimally commercial </w:t>
      </w:r>
      <w:r w:rsidR="00A0180D" w:rsidRPr="003C0052">
        <w:rPr>
          <w:rFonts w:ascii="Times New Roman" w:hAnsi="Times New Roman" w:cs="Times New Roman"/>
          <w:i/>
        </w:rPr>
        <w:t>supply</w:t>
      </w:r>
      <w:r w:rsidR="00036B6A" w:rsidRPr="003C0052">
        <w:rPr>
          <w:rFonts w:ascii="Times New Roman" w:hAnsi="Times New Roman" w:cs="Times New Roman"/>
        </w:rPr>
        <w:t xml:space="preserve">, </w:t>
      </w:r>
      <w:r w:rsidR="00FA5E89" w:rsidRPr="003C0052">
        <w:rPr>
          <w:rFonts w:ascii="Times New Roman" w:hAnsi="Times New Roman" w:cs="Times New Roman"/>
        </w:rPr>
        <w:t xml:space="preserve">but secondly and importantly, also </w:t>
      </w:r>
      <w:r w:rsidR="00706F7F" w:rsidRPr="003C0052">
        <w:rPr>
          <w:rFonts w:ascii="Times New Roman" w:hAnsi="Times New Roman" w:cs="Times New Roman"/>
        </w:rPr>
        <w:t xml:space="preserve">providing </w:t>
      </w:r>
      <w:r w:rsidR="00255912" w:rsidRPr="003C0052">
        <w:rPr>
          <w:rFonts w:ascii="Times New Roman" w:hAnsi="Times New Roman" w:cs="Times New Roman"/>
        </w:rPr>
        <w:t>analysis</w:t>
      </w:r>
      <w:r w:rsidR="00D86B77" w:rsidRPr="003C0052">
        <w:rPr>
          <w:rFonts w:ascii="Times New Roman" w:hAnsi="Times New Roman" w:cs="Times New Roman"/>
        </w:rPr>
        <w:t xml:space="preserve"> </w:t>
      </w:r>
      <w:r w:rsidR="00AE6C28" w:rsidRPr="003C0052">
        <w:rPr>
          <w:rFonts w:ascii="Times New Roman" w:hAnsi="Times New Roman" w:cs="Times New Roman"/>
        </w:rPr>
        <w:t>of</w:t>
      </w:r>
      <w:r w:rsidR="00706F7F" w:rsidRPr="003C0052">
        <w:rPr>
          <w:rFonts w:ascii="Times New Roman" w:hAnsi="Times New Roman" w:cs="Times New Roman"/>
        </w:rPr>
        <w:t xml:space="preserve"> motivations</w:t>
      </w:r>
      <w:r w:rsidR="00E549CF" w:rsidRPr="003C0052">
        <w:rPr>
          <w:rFonts w:ascii="Times New Roman" w:hAnsi="Times New Roman" w:cs="Times New Roman"/>
        </w:rPr>
        <w:t xml:space="preserve"> </w:t>
      </w:r>
      <w:r w:rsidR="00AE6C28" w:rsidRPr="003C0052">
        <w:rPr>
          <w:rFonts w:ascii="Times New Roman" w:hAnsi="Times New Roman" w:cs="Times New Roman"/>
        </w:rPr>
        <w:t xml:space="preserve">reported </w:t>
      </w:r>
      <w:r w:rsidR="00E549CF" w:rsidRPr="003C0052">
        <w:rPr>
          <w:rFonts w:ascii="Times New Roman" w:hAnsi="Times New Roman" w:cs="Times New Roman"/>
        </w:rPr>
        <w:t xml:space="preserve">for </w:t>
      </w:r>
      <w:r w:rsidR="00E549CF" w:rsidRPr="003C0052">
        <w:rPr>
          <w:rFonts w:ascii="Times New Roman" w:hAnsi="Times New Roman" w:cs="Times New Roman"/>
          <w:i/>
        </w:rPr>
        <w:t>exiting</w:t>
      </w:r>
      <w:r w:rsidR="00E549CF" w:rsidRPr="003C0052">
        <w:rPr>
          <w:rFonts w:ascii="Times New Roman" w:hAnsi="Times New Roman" w:cs="Times New Roman"/>
        </w:rPr>
        <w:t xml:space="preserve"> social supply, such as ‘social stress’, ‘change of life course’ and ‘risk of discovery’.</w:t>
      </w:r>
    </w:p>
    <w:p w:rsidR="00221F9E" w:rsidRPr="003C0052" w:rsidRDefault="00221F9E" w:rsidP="00221F9E">
      <w:pPr>
        <w:spacing w:line="360" w:lineRule="auto"/>
        <w:jc w:val="both"/>
        <w:rPr>
          <w:rFonts w:ascii="Times New Roman" w:hAnsi="Times New Roman" w:cs="Times New Roman"/>
        </w:rPr>
      </w:pPr>
    </w:p>
    <w:p w:rsidR="00415FE7" w:rsidRPr="003C0052" w:rsidRDefault="00ED6A2C" w:rsidP="009873A0">
      <w:pPr>
        <w:spacing w:line="360" w:lineRule="auto"/>
        <w:jc w:val="both"/>
        <w:rPr>
          <w:rFonts w:ascii="Times New Roman" w:hAnsi="Times New Roman" w:cs="Times New Roman"/>
        </w:rPr>
      </w:pPr>
      <w:r w:rsidRPr="003C0052">
        <w:rPr>
          <w:rFonts w:ascii="Times New Roman" w:hAnsi="Times New Roman" w:cs="Times New Roman"/>
        </w:rPr>
        <w:t>On the other side of the globe</w:t>
      </w:r>
      <w:r w:rsidR="00D97E74" w:rsidRPr="003C0052">
        <w:rPr>
          <w:rFonts w:ascii="Times New Roman" w:hAnsi="Times New Roman" w:cs="Times New Roman"/>
        </w:rPr>
        <w:t>,</w:t>
      </w:r>
      <w:r w:rsidRPr="003C0052">
        <w:rPr>
          <w:rFonts w:ascii="Times New Roman" w:hAnsi="Times New Roman" w:cs="Times New Roman"/>
        </w:rPr>
        <w:t xml:space="preserve"> </w:t>
      </w:r>
      <w:r w:rsidR="00803D8F" w:rsidRPr="003C0052">
        <w:rPr>
          <w:rFonts w:ascii="Times New Roman" w:hAnsi="Times New Roman" w:cs="Times New Roman"/>
        </w:rPr>
        <w:t>Australian researchers have</w:t>
      </w:r>
      <w:r w:rsidR="00B5260B" w:rsidRPr="003C0052">
        <w:rPr>
          <w:rFonts w:ascii="Times New Roman" w:hAnsi="Times New Roman" w:cs="Times New Roman"/>
        </w:rPr>
        <w:t xml:space="preserve"> </w:t>
      </w:r>
      <w:r w:rsidR="003A3DAC" w:rsidRPr="003C0052">
        <w:rPr>
          <w:rFonts w:ascii="Times New Roman" w:hAnsi="Times New Roman" w:cs="Times New Roman"/>
        </w:rPr>
        <w:t xml:space="preserve">highlighted the similarities between </w:t>
      </w:r>
      <w:r w:rsidR="00136652" w:rsidRPr="003C0052">
        <w:rPr>
          <w:rFonts w:ascii="Times New Roman" w:hAnsi="Times New Roman" w:cs="Times New Roman"/>
        </w:rPr>
        <w:t xml:space="preserve">socially based </w:t>
      </w:r>
      <w:r w:rsidR="003A3DAC" w:rsidRPr="003C0052">
        <w:rPr>
          <w:rFonts w:ascii="Times New Roman" w:hAnsi="Times New Roman" w:cs="Times New Roman"/>
        </w:rPr>
        <w:t>cannabis distr</w:t>
      </w:r>
      <w:r w:rsidR="00F813EB" w:rsidRPr="003C0052">
        <w:rPr>
          <w:rFonts w:ascii="Times New Roman" w:hAnsi="Times New Roman" w:cs="Times New Roman"/>
        </w:rPr>
        <w:t>ibution patterns (</w:t>
      </w:r>
      <w:proofErr w:type="spellStart"/>
      <w:r w:rsidR="00F813EB" w:rsidRPr="003C0052">
        <w:rPr>
          <w:rFonts w:ascii="Times New Roman" w:hAnsi="Times New Roman" w:cs="Times New Roman"/>
        </w:rPr>
        <w:t>Grigg</w:t>
      </w:r>
      <w:proofErr w:type="spellEnd"/>
      <w:r w:rsidR="00F813EB" w:rsidRPr="003C0052">
        <w:rPr>
          <w:rFonts w:ascii="Times New Roman" w:hAnsi="Times New Roman" w:cs="Times New Roman"/>
        </w:rPr>
        <w:t xml:space="preserve">, </w:t>
      </w:r>
      <w:proofErr w:type="spellStart"/>
      <w:r w:rsidR="00F813EB" w:rsidRPr="003C0052">
        <w:rPr>
          <w:rFonts w:ascii="Times New Roman" w:hAnsi="Times New Roman" w:cs="Times New Roman"/>
        </w:rPr>
        <w:t>Lenton</w:t>
      </w:r>
      <w:proofErr w:type="spellEnd"/>
      <w:r w:rsidR="00F813EB" w:rsidRPr="003C0052">
        <w:rPr>
          <w:rFonts w:ascii="Times New Roman" w:hAnsi="Times New Roman" w:cs="Times New Roman"/>
        </w:rPr>
        <w:t xml:space="preserve">, Scott &amp; Barratt, </w:t>
      </w:r>
      <w:r w:rsidR="003A3DAC" w:rsidRPr="003C0052">
        <w:rPr>
          <w:rFonts w:ascii="Times New Roman" w:hAnsi="Times New Roman" w:cs="Times New Roman"/>
        </w:rPr>
        <w:t xml:space="preserve">2015) and </w:t>
      </w:r>
      <w:r w:rsidR="008308AC" w:rsidRPr="003C0052">
        <w:rPr>
          <w:rFonts w:ascii="Times New Roman" w:hAnsi="Times New Roman" w:cs="Times New Roman"/>
        </w:rPr>
        <w:t xml:space="preserve">supply practices in ecstasy markets </w:t>
      </w:r>
      <w:r w:rsidR="00354FF1" w:rsidRPr="003C0052">
        <w:rPr>
          <w:rFonts w:ascii="Times New Roman" w:hAnsi="Times New Roman" w:cs="Times New Roman"/>
        </w:rPr>
        <w:t>(</w:t>
      </w:r>
      <w:r w:rsidR="008308AC" w:rsidRPr="003C0052">
        <w:rPr>
          <w:rFonts w:ascii="Times New Roman" w:hAnsi="Times New Roman" w:cs="Times New Roman"/>
        </w:rPr>
        <w:t xml:space="preserve">see </w:t>
      </w:r>
      <w:r w:rsidR="003A3DAC" w:rsidRPr="003C0052">
        <w:rPr>
          <w:rFonts w:ascii="Times New Roman" w:hAnsi="Times New Roman" w:cs="Times New Roman"/>
        </w:rPr>
        <w:t xml:space="preserve">Fowler, </w:t>
      </w:r>
      <w:proofErr w:type="spellStart"/>
      <w:r w:rsidR="003A3DAC" w:rsidRPr="003C0052">
        <w:rPr>
          <w:rFonts w:ascii="Times New Roman" w:hAnsi="Times New Roman" w:cs="Times New Roman"/>
        </w:rPr>
        <w:t>Kinner</w:t>
      </w:r>
      <w:proofErr w:type="spellEnd"/>
      <w:r w:rsidR="003A3DAC" w:rsidRPr="003C0052">
        <w:rPr>
          <w:rFonts w:ascii="Times New Roman" w:hAnsi="Times New Roman" w:cs="Times New Roman"/>
        </w:rPr>
        <w:t xml:space="preserve"> &amp; </w:t>
      </w:r>
      <w:proofErr w:type="spellStart"/>
      <w:r w:rsidR="003A3DAC" w:rsidRPr="003C0052">
        <w:rPr>
          <w:rFonts w:ascii="Times New Roman" w:hAnsi="Times New Roman" w:cs="Times New Roman"/>
        </w:rPr>
        <w:t>Krenske</w:t>
      </w:r>
      <w:proofErr w:type="spellEnd"/>
      <w:r w:rsidR="003A3DAC" w:rsidRPr="003C0052">
        <w:rPr>
          <w:rFonts w:ascii="Times New Roman" w:hAnsi="Times New Roman" w:cs="Times New Roman"/>
        </w:rPr>
        <w:t xml:space="preserve">, 2007). </w:t>
      </w:r>
      <w:r w:rsidR="00AA4143" w:rsidRPr="003C0052">
        <w:rPr>
          <w:rFonts w:ascii="Times New Roman" w:hAnsi="Times New Roman" w:cs="Times New Roman"/>
        </w:rPr>
        <w:t>Though empirical focus is based primarily on cannabis markets</w:t>
      </w:r>
      <w:r w:rsidR="00AB274B" w:rsidRPr="003C0052">
        <w:rPr>
          <w:rFonts w:ascii="Times New Roman" w:hAnsi="Times New Roman" w:cs="Times New Roman"/>
        </w:rPr>
        <w:t xml:space="preserve"> in Australia</w:t>
      </w:r>
      <w:r w:rsidR="00FC29FE" w:rsidRPr="003C0052">
        <w:rPr>
          <w:rFonts w:ascii="Times New Roman" w:hAnsi="Times New Roman" w:cs="Times New Roman"/>
        </w:rPr>
        <w:t xml:space="preserve"> (see </w:t>
      </w:r>
      <w:proofErr w:type="spellStart"/>
      <w:r w:rsidR="00FC29FE" w:rsidRPr="003C0052">
        <w:rPr>
          <w:rFonts w:ascii="Times New Roman" w:hAnsi="Times New Roman" w:cs="Times New Roman"/>
        </w:rPr>
        <w:t>Lenton</w:t>
      </w:r>
      <w:proofErr w:type="spellEnd"/>
      <w:r w:rsidR="00FC29FE" w:rsidRPr="003C0052">
        <w:rPr>
          <w:rFonts w:ascii="Times New Roman" w:hAnsi="Times New Roman" w:cs="Times New Roman"/>
        </w:rPr>
        <w:t xml:space="preserve"> et al., 2015; </w:t>
      </w:r>
      <w:proofErr w:type="spellStart"/>
      <w:r w:rsidR="00FC29FE" w:rsidRPr="003C0052">
        <w:rPr>
          <w:rFonts w:ascii="Times New Roman" w:hAnsi="Times New Roman" w:cs="Times New Roman"/>
        </w:rPr>
        <w:t>Grigg</w:t>
      </w:r>
      <w:proofErr w:type="spellEnd"/>
      <w:r w:rsidR="00B24E6D" w:rsidRPr="003C0052">
        <w:rPr>
          <w:rFonts w:ascii="Times New Roman" w:hAnsi="Times New Roman" w:cs="Times New Roman"/>
        </w:rPr>
        <w:t xml:space="preserve"> et al., 2015</w:t>
      </w:r>
      <w:r w:rsidR="00FC29FE" w:rsidRPr="003C0052">
        <w:rPr>
          <w:rFonts w:ascii="Times New Roman" w:hAnsi="Times New Roman" w:cs="Times New Roman"/>
        </w:rPr>
        <w:t>)</w:t>
      </w:r>
      <w:r w:rsidR="00AA4143" w:rsidRPr="003C0052">
        <w:rPr>
          <w:rFonts w:ascii="Times New Roman" w:hAnsi="Times New Roman" w:cs="Times New Roman"/>
        </w:rPr>
        <w:t>, peripheral studies in this space have</w:t>
      </w:r>
      <w:r w:rsidR="008308AC" w:rsidRPr="003C0052">
        <w:rPr>
          <w:rFonts w:ascii="Times New Roman" w:hAnsi="Times New Roman" w:cs="Times New Roman"/>
        </w:rPr>
        <w:t xml:space="preserve"> also </w:t>
      </w:r>
      <w:r w:rsidR="00AA4143" w:rsidRPr="003C0052">
        <w:rPr>
          <w:rFonts w:ascii="Times New Roman" w:hAnsi="Times New Roman" w:cs="Times New Roman"/>
        </w:rPr>
        <w:t xml:space="preserve"> identified social supply </w:t>
      </w:r>
      <w:r w:rsidR="00415FE7" w:rsidRPr="003C0052">
        <w:rPr>
          <w:rFonts w:ascii="Times New Roman" w:hAnsi="Times New Roman" w:cs="Times New Roman"/>
          <w:color w:val="000000"/>
        </w:rPr>
        <w:t>as predominant in</w:t>
      </w:r>
      <w:r w:rsidR="00981F00" w:rsidRPr="003C0052">
        <w:rPr>
          <w:rFonts w:ascii="Times New Roman" w:hAnsi="Times New Roman" w:cs="Times New Roman"/>
          <w:color w:val="000000"/>
        </w:rPr>
        <w:t xml:space="preserve"> </w:t>
      </w:r>
      <w:r w:rsidR="006E6080" w:rsidRPr="003C0052">
        <w:rPr>
          <w:rFonts w:ascii="Times New Roman" w:hAnsi="Times New Roman" w:cs="Times New Roman"/>
          <w:color w:val="000000"/>
        </w:rPr>
        <w:t xml:space="preserve">the majority of </w:t>
      </w:r>
      <w:r w:rsidR="00F242BC" w:rsidRPr="003C0052">
        <w:rPr>
          <w:rFonts w:ascii="Times New Roman" w:hAnsi="Times New Roman" w:cs="Times New Roman"/>
          <w:color w:val="000000"/>
        </w:rPr>
        <w:t xml:space="preserve">cocaine, methamphetamine  as well as ecstasy-related </w:t>
      </w:r>
      <w:r w:rsidR="006E6080" w:rsidRPr="003C0052">
        <w:rPr>
          <w:rFonts w:ascii="Times New Roman" w:hAnsi="Times New Roman" w:cs="Times New Roman"/>
          <w:color w:val="000000"/>
        </w:rPr>
        <w:t>transactions</w:t>
      </w:r>
      <w:r w:rsidR="00AB274B" w:rsidRPr="003C0052">
        <w:rPr>
          <w:rFonts w:ascii="Times New Roman" w:hAnsi="Times New Roman" w:cs="Times New Roman"/>
          <w:color w:val="000000"/>
        </w:rPr>
        <w:t xml:space="preserve"> -</w:t>
      </w:r>
      <w:r w:rsidR="00981F00" w:rsidRPr="003C0052">
        <w:rPr>
          <w:rFonts w:ascii="Times New Roman" w:hAnsi="Times New Roman" w:cs="Times New Roman"/>
          <w:color w:val="000000"/>
        </w:rPr>
        <w:t xml:space="preserve"> a large proportion of which are carried out on a not-for-profit basis (</w:t>
      </w:r>
      <w:r w:rsidR="00FC29FE" w:rsidRPr="003C0052">
        <w:rPr>
          <w:rFonts w:ascii="Times New Roman" w:hAnsi="Times New Roman" w:cs="Times New Roman"/>
          <w:color w:val="000000"/>
        </w:rPr>
        <w:t xml:space="preserve">see </w:t>
      </w:r>
      <w:r w:rsidR="00981F00" w:rsidRPr="003C0052">
        <w:rPr>
          <w:rFonts w:ascii="Times New Roman" w:hAnsi="Times New Roman" w:cs="Times New Roman"/>
          <w:color w:val="000000"/>
        </w:rPr>
        <w:t>Nicholas, 2008).</w:t>
      </w:r>
      <w:r w:rsidR="003421B7" w:rsidRPr="003C0052">
        <w:rPr>
          <w:rFonts w:ascii="Times New Roman" w:hAnsi="Times New Roman" w:cs="Times New Roman"/>
          <w:color w:val="000000"/>
        </w:rPr>
        <w:t xml:space="preserve"> </w:t>
      </w:r>
      <w:r w:rsidR="008242CC" w:rsidRPr="003C0052">
        <w:rPr>
          <w:rFonts w:ascii="Times New Roman" w:hAnsi="Times New Roman" w:cs="Times New Roman"/>
          <w:color w:val="000000"/>
        </w:rPr>
        <w:t>Much like Australia, i</w:t>
      </w:r>
      <w:r w:rsidR="003421B7" w:rsidRPr="003C0052">
        <w:rPr>
          <w:rFonts w:ascii="Times New Roman" w:hAnsi="Times New Roman" w:cs="Times New Roman"/>
          <w:color w:val="000000"/>
        </w:rPr>
        <w:t>n</w:t>
      </w:r>
      <w:r w:rsidR="006E6080" w:rsidRPr="003C0052">
        <w:rPr>
          <w:rFonts w:ascii="Times New Roman" w:hAnsi="Times New Roman" w:cs="Times New Roman"/>
          <w:color w:val="000000"/>
        </w:rPr>
        <w:t xml:space="preserve"> Hong Kong</w:t>
      </w:r>
      <w:r w:rsidR="00695E31" w:rsidRPr="003C0052">
        <w:rPr>
          <w:rFonts w:ascii="Times New Roman" w:hAnsi="Times New Roman" w:cs="Times New Roman"/>
          <w:color w:val="000000"/>
        </w:rPr>
        <w:t xml:space="preserve"> -</w:t>
      </w:r>
      <w:r w:rsidR="003421B7" w:rsidRPr="003C0052">
        <w:rPr>
          <w:rFonts w:ascii="Times New Roman" w:hAnsi="Times New Roman" w:cs="Times New Roman"/>
          <w:color w:val="000000"/>
        </w:rPr>
        <w:t xml:space="preserve"> a context in which cannabis use is comparatively low</w:t>
      </w:r>
      <w:r w:rsidR="009A0537" w:rsidRPr="003C0052">
        <w:rPr>
          <w:rFonts w:ascii="Times New Roman" w:hAnsi="Times New Roman" w:cs="Times New Roman"/>
          <w:color w:val="000000"/>
        </w:rPr>
        <w:t xml:space="preserve"> but use of amphetamine type substances (ATS) </w:t>
      </w:r>
      <w:r w:rsidR="00AE6C28" w:rsidRPr="003C0052">
        <w:rPr>
          <w:rFonts w:ascii="Times New Roman" w:hAnsi="Times New Roman" w:cs="Times New Roman"/>
          <w:color w:val="000000"/>
        </w:rPr>
        <w:t xml:space="preserve">is </w:t>
      </w:r>
      <w:r w:rsidR="009A0537" w:rsidRPr="003C0052">
        <w:rPr>
          <w:rFonts w:ascii="Times New Roman" w:hAnsi="Times New Roman" w:cs="Times New Roman"/>
          <w:color w:val="000000"/>
        </w:rPr>
        <w:t>relatively high</w:t>
      </w:r>
      <w:r w:rsidR="00695E31" w:rsidRPr="003C0052">
        <w:rPr>
          <w:rFonts w:ascii="Times New Roman" w:hAnsi="Times New Roman" w:cs="Times New Roman"/>
          <w:color w:val="000000"/>
        </w:rPr>
        <w:t xml:space="preserve"> -</w:t>
      </w:r>
      <w:r w:rsidR="00F84E70" w:rsidRPr="003C0052">
        <w:rPr>
          <w:rFonts w:ascii="Times New Roman" w:hAnsi="Times New Roman" w:cs="Times New Roman"/>
          <w:color w:val="000000"/>
        </w:rPr>
        <w:t xml:space="preserve"> social supply behaviours have</w:t>
      </w:r>
      <w:r w:rsidR="00BD1472" w:rsidRPr="003C0052">
        <w:rPr>
          <w:rFonts w:ascii="Times New Roman" w:hAnsi="Times New Roman" w:cs="Times New Roman"/>
          <w:color w:val="000000"/>
        </w:rPr>
        <w:t xml:space="preserve"> also</w:t>
      </w:r>
      <w:r w:rsidR="00F84E70" w:rsidRPr="003C0052">
        <w:rPr>
          <w:rFonts w:ascii="Times New Roman" w:hAnsi="Times New Roman" w:cs="Times New Roman"/>
          <w:color w:val="000000"/>
        </w:rPr>
        <w:t xml:space="preserve"> been identified in ecstasy</w:t>
      </w:r>
      <w:r w:rsidR="00221F9E" w:rsidRPr="003C0052">
        <w:rPr>
          <w:rFonts w:ascii="Times New Roman" w:hAnsi="Times New Roman" w:cs="Times New Roman"/>
          <w:color w:val="000000"/>
        </w:rPr>
        <w:t xml:space="preserve"> and methamphetamine</w:t>
      </w:r>
      <w:r w:rsidR="00F84E70" w:rsidRPr="003C0052">
        <w:rPr>
          <w:rFonts w:ascii="Times New Roman" w:hAnsi="Times New Roman" w:cs="Times New Roman"/>
          <w:color w:val="000000"/>
        </w:rPr>
        <w:t xml:space="preserve"> markets. </w:t>
      </w:r>
      <w:r w:rsidR="009A0537" w:rsidRPr="003C0052">
        <w:rPr>
          <w:rFonts w:ascii="Times New Roman" w:hAnsi="Times New Roman" w:cs="Times New Roman"/>
          <w:color w:val="000000"/>
        </w:rPr>
        <w:t xml:space="preserve">In contrast to </w:t>
      </w:r>
      <w:r w:rsidR="00F84E70" w:rsidRPr="003C0052">
        <w:rPr>
          <w:rFonts w:ascii="Times New Roman" w:hAnsi="Times New Roman" w:cs="Times New Roman"/>
          <w:color w:val="000000"/>
        </w:rPr>
        <w:t xml:space="preserve">the Australian context however, Hong Kong </w:t>
      </w:r>
      <w:r w:rsidR="009C062D" w:rsidRPr="003C0052">
        <w:rPr>
          <w:rFonts w:ascii="Times New Roman" w:hAnsi="Times New Roman" w:cs="Times New Roman"/>
          <w:color w:val="000000"/>
        </w:rPr>
        <w:t>exhibits high levels of k</w:t>
      </w:r>
      <w:r w:rsidR="00221F9E" w:rsidRPr="003C0052">
        <w:rPr>
          <w:rFonts w:ascii="Times New Roman" w:hAnsi="Times New Roman" w:cs="Times New Roman"/>
          <w:color w:val="000000"/>
        </w:rPr>
        <w:t>etamine use, particularly among young people</w:t>
      </w:r>
      <w:r w:rsidR="00695E31" w:rsidRPr="003C0052">
        <w:rPr>
          <w:rFonts w:ascii="Times New Roman" w:hAnsi="Times New Roman" w:cs="Times New Roman"/>
          <w:color w:val="000000"/>
        </w:rPr>
        <w:t>,</w:t>
      </w:r>
      <w:r w:rsidR="00221F9E" w:rsidRPr="003C0052">
        <w:rPr>
          <w:rFonts w:ascii="Times New Roman" w:hAnsi="Times New Roman" w:cs="Times New Roman"/>
          <w:color w:val="000000"/>
        </w:rPr>
        <w:t xml:space="preserve"> and </w:t>
      </w:r>
      <w:r w:rsidR="00221F9E" w:rsidRPr="003C0052">
        <w:rPr>
          <w:rFonts w:ascii="Times New Roman" w:hAnsi="Times New Roman" w:cs="Times New Roman"/>
        </w:rPr>
        <w:t>So (2009) o</w:t>
      </w:r>
      <w:r w:rsidR="009A0537" w:rsidRPr="003C0052">
        <w:rPr>
          <w:rFonts w:ascii="Times New Roman" w:hAnsi="Times New Roman" w:cs="Times New Roman"/>
        </w:rPr>
        <w:t>bserves that the number of young people involved in drug supply</w:t>
      </w:r>
      <w:r w:rsidR="00221F9E" w:rsidRPr="003C0052">
        <w:rPr>
          <w:rFonts w:ascii="Times New Roman" w:hAnsi="Times New Roman" w:cs="Times New Roman"/>
        </w:rPr>
        <w:t xml:space="preserve"> has increased, the age at which they commence </w:t>
      </w:r>
      <w:r w:rsidR="009A0537" w:rsidRPr="003C0052">
        <w:rPr>
          <w:rFonts w:ascii="Times New Roman" w:hAnsi="Times New Roman" w:cs="Times New Roman"/>
        </w:rPr>
        <w:t>‘</w:t>
      </w:r>
      <w:r w:rsidR="00221F9E" w:rsidRPr="003C0052">
        <w:rPr>
          <w:rFonts w:ascii="Times New Roman" w:hAnsi="Times New Roman" w:cs="Times New Roman"/>
        </w:rPr>
        <w:t>dealing</w:t>
      </w:r>
      <w:r w:rsidR="009A0537" w:rsidRPr="003C0052">
        <w:rPr>
          <w:rFonts w:ascii="Times New Roman" w:hAnsi="Times New Roman" w:cs="Times New Roman"/>
        </w:rPr>
        <w:t>’</w:t>
      </w:r>
      <w:r w:rsidR="00221F9E" w:rsidRPr="003C0052">
        <w:rPr>
          <w:rFonts w:ascii="Times New Roman" w:hAnsi="Times New Roman" w:cs="Times New Roman"/>
        </w:rPr>
        <w:t xml:space="preserve"> is younger, and </w:t>
      </w:r>
      <w:r w:rsidR="00981C13" w:rsidRPr="003C0052">
        <w:rPr>
          <w:rFonts w:ascii="Times New Roman" w:hAnsi="Times New Roman" w:cs="Times New Roman"/>
        </w:rPr>
        <w:t xml:space="preserve">that </w:t>
      </w:r>
      <w:r w:rsidR="00221F9E" w:rsidRPr="003C0052">
        <w:rPr>
          <w:rFonts w:ascii="Times New Roman" w:hAnsi="Times New Roman" w:cs="Times New Roman"/>
        </w:rPr>
        <w:t xml:space="preserve">many are </w:t>
      </w:r>
      <w:r w:rsidR="009C062D" w:rsidRPr="003C0052">
        <w:rPr>
          <w:rFonts w:ascii="Times New Roman" w:hAnsi="Times New Roman" w:cs="Times New Roman"/>
        </w:rPr>
        <w:t xml:space="preserve">now </w:t>
      </w:r>
      <w:r w:rsidR="00221F9E" w:rsidRPr="003C0052">
        <w:rPr>
          <w:rFonts w:ascii="Times New Roman" w:hAnsi="Times New Roman" w:cs="Times New Roman"/>
        </w:rPr>
        <w:t>selling to friends as a way to cover the costs of their own supply.</w:t>
      </w:r>
      <w:r w:rsidR="00415FE7" w:rsidRPr="003C0052">
        <w:rPr>
          <w:rFonts w:ascii="Times New Roman" w:hAnsi="Times New Roman" w:cs="Times New Roman"/>
        </w:rPr>
        <w:t xml:space="preserve"> Studies undertaken by Joe </w:t>
      </w:r>
      <w:proofErr w:type="spellStart"/>
      <w:r w:rsidR="00415FE7" w:rsidRPr="003C0052">
        <w:rPr>
          <w:rFonts w:ascii="Times New Roman" w:hAnsi="Times New Roman" w:cs="Times New Roman"/>
        </w:rPr>
        <w:t>Laidler</w:t>
      </w:r>
      <w:proofErr w:type="spellEnd"/>
      <w:r w:rsidR="00415FE7" w:rsidRPr="003C0052">
        <w:rPr>
          <w:rFonts w:ascii="Times New Roman" w:hAnsi="Times New Roman" w:cs="Times New Roman"/>
        </w:rPr>
        <w:t xml:space="preserve"> (2014; </w:t>
      </w:r>
      <w:r w:rsidR="0087216A" w:rsidRPr="003C0052">
        <w:rPr>
          <w:rFonts w:ascii="Times New Roman" w:hAnsi="Times New Roman" w:cs="Times New Roman"/>
        </w:rPr>
        <w:t xml:space="preserve">Joe </w:t>
      </w:r>
      <w:proofErr w:type="spellStart"/>
      <w:r w:rsidR="0087216A" w:rsidRPr="003C0052">
        <w:rPr>
          <w:rFonts w:ascii="Times New Roman" w:hAnsi="Times New Roman" w:cs="Times New Roman"/>
        </w:rPr>
        <w:t>Laidler</w:t>
      </w:r>
      <w:proofErr w:type="spellEnd"/>
      <w:r w:rsidR="0087216A" w:rsidRPr="003C0052">
        <w:rPr>
          <w:rFonts w:ascii="Times New Roman" w:hAnsi="Times New Roman" w:cs="Times New Roman"/>
        </w:rPr>
        <w:t xml:space="preserve"> and Hunt, 2008</w:t>
      </w:r>
      <w:r w:rsidR="00415FE7" w:rsidRPr="003C0052">
        <w:rPr>
          <w:rFonts w:ascii="Times New Roman" w:hAnsi="Times New Roman" w:cs="Times New Roman"/>
        </w:rPr>
        <w:t>) also suggest</w:t>
      </w:r>
      <w:r w:rsidR="00221F9E" w:rsidRPr="003C0052">
        <w:rPr>
          <w:rFonts w:ascii="Times New Roman" w:hAnsi="Times New Roman" w:cs="Times New Roman"/>
        </w:rPr>
        <w:t xml:space="preserve"> that although ecstasy has been typically assoc</w:t>
      </w:r>
      <w:r w:rsidR="008E3EA2" w:rsidRPr="003C0052">
        <w:rPr>
          <w:rFonts w:ascii="Times New Roman" w:hAnsi="Times New Roman" w:cs="Times New Roman"/>
        </w:rPr>
        <w:t xml:space="preserve">iated with dance party settings, </w:t>
      </w:r>
      <w:r w:rsidR="00221F9E" w:rsidRPr="003C0052">
        <w:rPr>
          <w:rFonts w:ascii="Times New Roman" w:hAnsi="Times New Roman" w:cs="Times New Roman"/>
        </w:rPr>
        <w:t xml:space="preserve">ketamine and other psychoactive drugs are used in a range of public and private settings. Given this diversification in </w:t>
      </w:r>
      <w:r w:rsidR="009A0537" w:rsidRPr="003C0052">
        <w:rPr>
          <w:rFonts w:ascii="Times New Roman" w:hAnsi="Times New Roman" w:cs="Times New Roman"/>
        </w:rPr>
        <w:t>backdrops</w:t>
      </w:r>
      <w:r w:rsidR="00221F9E" w:rsidRPr="003C0052">
        <w:rPr>
          <w:rFonts w:ascii="Times New Roman" w:hAnsi="Times New Roman" w:cs="Times New Roman"/>
        </w:rPr>
        <w:t xml:space="preserve"> for consumption, the range of </w:t>
      </w:r>
      <w:r w:rsidR="00221F9E" w:rsidRPr="003C0052">
        <w:rPr>
          <w:rFonts w:ascii="Times New Roman" w:hAnsi="Times New Roman" w:cs="Times New Roman"/>
        </w:rPr>
        <w:lastRenderedPageBreak/>
        <w:t>methods of obtaining</w:t>
      </w:r>
      <w:r w:rsidR="009A0537" w:rsidRPr="003C0052">
        <w:rPr>
          <w:rFonts w:ascii="Times New Roman" w:hAnsi="Times New Roman" w:cs="Times New Roman"/>
        </w:rPr>
        <w:t xml:space="preserve"> drugs</w:t>
      </w:r>
      <w:r w:rsidR="00221F9E" w:rsidRPr="003C0052">
        <w:rPr>
          <w:rFonts w:ascii="Times New Roman" w:hAnsi="Times New Roman" w:cs="Times New Roman"/>
        </w:rPr>
        <w:t xml:space="preserve"> have also changed, but friendship networks and relati</w:t>
      </w:r>
      <w:r w:rsidR="002F5E1F" w:rsidRPr="003C0052">
        <w:rPr>
          <w:rFonts w:ascii="Times New Roman" w:hAnsi="Times New Roman" w:cs="Times New Roman"/>
        </w:rPr>
        <w:t>ons in consuming and obtaining</w:t>
      </w:r>
      <w:r w:rsidR="008E3EA2" w:rsidRPr="003C0052">
        <w:rPr>
          <w:rFonts w:ascii="Times New Roman" w:hAnsi="Times New Roman" w:cs="Times New Roman"/>
        </w:rPr>
        <w:t xml:space="preserve"> these substances remain s</w:t>
      </w:r>
      <w:r w:rsidR="00221F9E" w:rsidRPr="003C0052">
        <w:rPr>
          <w:rFonts w:ascii="Times New Roman" w:hAnsi="Times New Roman" w:cs="Times New Roman"/>
        </w:rPr>
        <w:t>alient for recreational users.</w:t>
      </w:r>
      <w:r w:rsidR="00E34796" w:rsidRPr="003C0052">
        <w:rPr>
          <w:rFonts w:ascii="Times New Roman" w:hAnsi="Times New Roman" w:cs="Times New Roman"/>
        </w:rPr>
        <w:t xml:space="preserve"> </w:t>
      </w:r>
      <w:r w:rsidR="00221F9E" w:rsidRPr="003C0052">
        <w:rPr>
          <w:rFonts w:ascii="Times New Roman" w:hAnsi="Times New Roman" w:cs="Times New Roman"/>
        </w:rPr>
        <w:t xml:space="preserve"> </w:t>
      </w:r>
    </w:p>
    <w:p w:rsidR="009139BA" w:rsidRPr="003C0052" w:rsidRDefault="009139BA" w:rsidP="00E7752F">
      <w:pPr>
        <w:spacing w:line="360" w:lineRule="auto"/>
        <w:jc w:val="both"/>
        <w:outlineLvl w:val="0"/>
        <w:rPr>
          <w:rFonts w:ascii="Times New Roman" w:hAnsi="Times New Roman" w:cs="Times New Roman"/>
          <w:i/>
        </w:rPr>
      </w:pPr>
    </w:p>
    <w:p w:rsidR="00E72C85" w:rsidRPr="003C0052" w:rsidRDefault="001816FF" w:rsidP="00E7752F">
      <w:pPr>
        <w:spacing w:line="360" w:lineRule="auto"/>
        <w:jc w:val="both"/>
        <w:outlineLvl w:val="0"/>
        <w:rPr>
          <w:rFonts w:ascii="Times New Roman" w:hAnsi="Times New Roman" w:cs="Times New Roman"/>
          <w:i/>
        </w:rPr>
      </w:pPr>
      <w:r w:rsidRPr="003C0052">
        <w:rPr>
          <w:rFonts w:ascii="Times New Roman" w:hAnsi="Times New Roman" w:cs="Times New Roman"/>
          <w:i/>
        </w:rPr>
        <w:t>Emergent</w:t>
      </w:r>
      <w:r w:rsidR="00E72C85" w:rsidRPr="003C0052">
        <w:rPr>
          <w:rFonts w:ascii="Times New Roman" w:hAnsi="Times New Roman" w:cs="Times New Roman"/>
          <w:i/>
        </w:rPr>
        <w:t xml:space="preserve"> social supply </w:t>
      </w:r>
      <w:r w:rsidR="006E21BB" w:rsidRPr="003C0052">
        <w:rPr>
          <w:rFonts w:ascii="Times New Roman" w:hAnsi="Times New Roman" w:cs="Times New Roman"/>
          <w:i/>
        </w:rPr>
        <w:t xml:space="preserve">themes and </w:t>
      </w:r>
      <w:r w:rsidR="00E72C85" w:rsidRPr="003C0052">
        <w:rPr>
          <w:rFonts w:ascii="Times New Roman" w:hAnsi="Times New Roman" w:cs="Times New Roman"/>
          <w:i/>
        </w:rPr>
        <w:t xml:space="preserve">research contexts </w:t>
      </w:r>
    </w:p>
    <w:p w:rsidR="00E72C85" w:rsidRPr="003C0052" w:rsidRDefault="00E72C85" w:rsidP="009873A0">
      <w:pPr>
        <w:spacing w:line="360" w:lineRule="auto"/>
        <w:jc w:val="both"/>
        <w:rPr>
          <w:rFonts w:ascii="Times New Roman" w:hAnsi="Times New Roman" w:cs="Times New Roman"/>
        </w:rPr>
      </w:pPr>
    </w:p>
    <w:p w:rsidR="00354FF1" w:rsidRPr="003C0052" w:rsidRDefault="002F5E1F" w:rsidP="009436F6">
      <w:pPr>
        <w:spacing w:line="360" w:lineRule="auto"/>
        <w:jc w:val="both"/>
        <w:rPr>
          <w:rFonts w:ascii="Times New Roman" w:hAnsi="Times New Roman" w:cs="Times New Roman"/>
        </w:rPr>
      </w:pPr>
      <w:r w:rsidRPr="003C0052">
        <w:rPr>
          <w:rFonts w:ascii="Times New Roman" w:hAnsi="Times New Roman" w:cs="Times New Roman"/>
        </w:rPr>
        <w:t xml:space="preserve">In the US, research focussed on social supply is comparatively less developed than in Europe. </w:t>
      </w:r>
      <w:r w:rsidR="00F05413" w:rsidRPr="003C0052">
        <w:rPr>
          <w:rFonts w:ascii="Times New Roman" w:hAnsi="Times New Roman" w:cs="Times New Roman"/>
        </w:rPr>
        <w:t xml:space="preserve">A number of in-depth ethnographic studies have offered rich insight into the lives of ‘dorm room dealers’ or college students that </w:t>
      </w:r>
      <w:r w:rsidR="00E175FF" w:rsidRPr="003C0052">
        <w:rPr>
          <w:rFonts w:ascii="Times New Roman" w:hAnsi="Times New Roman" w:cs="Times New Roman"/>
        </w:rPr>
        <w:t>engage in ‘social dealing’</w:t>
      </w:r>
      <w:r w:rsidR="00F05413" w:rsidRPr="003C0052">
        <w:rPr>
          <w:rFonts w:ascii="Times New Roman" w:hAnsi="Times New Roman" w:cs="Times New Roman"/>
        </w:rPr>
        <w:t xml:space="preserve"> to friends or acquaintances</w:t>
      </w:r>
      <w:r w:rsidR="00E175FF" w:rsidRPr="003C0052">
        <w:rPr>
          <w:rFonts w:ascii="Times New Roman" w:hAnsi="Times New Roman" w:cs="Times New Roman"/>
        </w:rPr>
        <w:t xml:space="preserve"> in the aim of funding their own drug use or as an act of sociability (see Blum, 1972; Mohamed </w:t>
      </w:r>
      <w:r w:rsidR="00637249" w:rsidRPr="003C0052">
        <w:rPr>
          <w:rFonts w:ascii="Times New Roman" w:hAnsi="Times New Roman" w:cs="Times New Roman"/>
        </w:rPr>
        <w:t xml:space="preserve">&amp; </w:t>
      </w:r>
      <w:proofErr w:type="spellStart"/>
      <w:r w:rsidR="00E175FF" w:rsidRPr="003C0052">
        <w:rPr>
          <w:rFonts w:ascii="Times New Roman" w:hAnsi="Times New Roman" w:cs="Times New Roman"/>
        </w:rPr>
        <w:t>Fritzvold</w:t>
      </w:r>
      <w:proofErr w:type="spellEnd"/>
      <w:r w:rsidR="00E175FF" w:rsidRPr="003C0052">
        <w:rPr>
          <w:rFonts w:ascii="Times New Roman" w:hAnsi="Times New Roman" w:cs="Times New Roman"/>
        </w:rPr>
        <w:t>, 2010; Jacques</w:t>
      </w:r>
      <w:r w:rsidR="00637249" w:rsidRPr="003C0052">
        <w:rPr>
          <w:rFonts w:ascii="Times New Roman" w:hAnsi="Times New Roman" w:cs="Times New Roman"/>
        </w:rPr>
        <w:t xml:space="preserve"> &amp;</w:t>
      </w:r>
      <w:r w:rsidR="00E175FF" w:rsidRPr="003C0052">
        <w:rPr>
          <w:rFonts w:ascii="Times New Roman" w:hAnsi="Times New Roman" w:cs="Times New Roman"/>
        </w:rPr>
        <w:t xml:space="preserve"> Wright, 2015)</w:t>
      </w:r>
      <w:r w:rsidR="005049FC" w:rsidRPr="003C0052">
        <w:rPr>
          <w:rFonts w:ascii="Times New Roman" w:hAnsi="Times New Roman" w:cs="Times New Roman"/>
        </w:rPr>
        <w:t>,</w:t>
      </w:r>
      <w:r w:rsidR="006E21BB" w:rsidRPr="003C0052">
        <w:rPr>
          <w:rFonts w:ascii="Times New Roman" w:hAnsi="Times New Roman" w:cs="Times New Roman"/>
        </w:rPr>
        <w:t xml:space="preserve"> but these studies have tended to avoid conceptual discussion</w:t>
      </w:r>
      <w:r w:rsidR="00E175FF" w:rsidRPr="003C0052">
        <w:rPr>
          <w:rFonts w:ascii="Times New Roman" w:hAnsi="Times New Roman" w:cs="Times New Roman"/>
        </w:rPr>
        <w:t>.</w:t>
      </w:r>
      <w:r w:rsidR="009139BA" w:rsidRPr="003C0052">
        <w:rPr>
          <w:rFonts w:ascii="Times New Roman" w:hAnsi="Times New Roman" w:cs="Times New Roman"/>
        </w:rPr>
        <w:t xml:space="preserve"> </w:t>
      </w:r>
      <w:r w:rsidR="006E21BB" w:rsidRPr="003C0052">
        <w:rPr>
          <w:rFonts w:ascii="Times New Roman" w:hAnsi="Times New Roman" w:cs="Times New Roman"/>
        </w:rPr>
        <w:t xml:space="preserve">Elsewhere in the US, </w:t>
      </w:r>
      <w:r w:rsidR="009A0537" w:rsidRPr="003C0052">
        <w:rPr>
          <w:rFonts w:ascii="Times New Roman" w:hAnsi="Times New Roman" w:cs="Times New Roman"/>
        </w:rPr>
        <w:t>a</w:t>
      </w:r>
      <w:r w:rsidR="005B3F24" w:rsidRPr="003C0052">
        <w:rPr>
          <w:rFonts w:ascii="Times New Roman" w:hAnsi="Times New Roman" w:cs="Times New Roman"/>
        </w:rPr>
        <w:t xml:space="preserve"> trail of publications from Murphy and colleagues </w:t>
      </w:r>
      <w:r w:rsidR="009A0537" w:rsidRPr="003C0052">
        <w:rPr>
          <w:rFonts w:ascii="Times New Roman" w:hAnsi="Times New Roman" w:cs="Times New Roman"/>
        </w:rPr>
        <w:t>which</w:t>
      </w:r>
      <w:r w:rsidR="00842714" w:rsidRPr="003C0052">
        <w:rPr>
          <w:rFonts w:ascii="Times New Roman" w:hAnsi="Times New Roman" w:cs="Times New Roman"/>
        </w:rPr>
        <w:t xml:space="preserve"> investigate drug supply in the San Francisco Bay area (see Murphy et al</w:t>
      </w:r>
      <w:r w:rsidR="009139BA" w:rsidRPr="003C0052">
        <w:rPr>
          <w:rFonts w:ascii="Times New Roman" w:hAnsi="Times New Roman" w:cs="Times New Roman"/>
        </w:rPr>
        <w:t>.,</w:t>
      </w:r>
      <w:r w:rsidR="00842714" w:rsidRPr="003C0052">
        <w:rPr>
          <w:rFonts w:ascii="Times New Roman" w:hAnsi="Times New Roman" w:cs="Times New Roman"/>
        </w:rPr>
        <w:t xml:space="preserve"> 1990</w:t>
      </w:r>
      <w:r w:rsidR="005B3F24" w:rsidRPr="003C0052">
        <w:rPr>
          <w:rFonts w:ascii="Times New Roman" w:hAnsi="Times New Roman" w:cs="Times New Roman"/>
        </w:rPr>
        <w:t xml:space="preserve">; </w:t>
      </w:r>
      <w:r w:rsidR="00BD1472" w:rsidRPr="003C0052">
        <w:rPr>
          <w:rFonts w:ascii="Times New Roman" w:hAnsi="Times New Roman" w:cs="Times New Roman"/>
        </w:rPr>
        <w:t>2004</w:t>
      </w:r>
      <w:r w:rsidR="00842714" w:rsidRPr="003C0052">
        <w:rPr>
          <w:rFonts w:ascii="Times New Roman" w:hAnsi="Times New Roman" w:cs="Times New Roman"/>
        </w:rPr>
        <w:t xml:space="preserve">; </w:t>
      </w:r>
      <w:r w:rsidR="00C22442" w:rsidRPr="003C0052">
        <w:rPr>
          <w:rFonts w:ascii="Times New Roman" w:hAnsi="Times New Roman" w:cs="Times New Roman"/>
        </w:rPr>
        <w:t>Jacinto et al., 2008</w:t>
      </w:r>
      <w:r w:rsidR="005B3F24" w:rsidRPr="003C0052">
        <w:rPr>
          <w:rFonts w:ascii="Times New Roman" w:hAnsi="Times New Roman" w:cs="Times New Roman"/>
        </w:rPr>
        <w:t xml:space="preserve">) have </w:t>
      </w:r>
      <w:r w:rsidR="006E21BB" w:rsidRPr="003C0052">
        <w:rPr>
          <w:rFonts w:ascii="Times New Roman" w:hAnsi="Times New Roman" w:cs="Times New Roman"/>
        </w:rPr>
        <w:t xml:space="preserve">also </w:t>
      </w:r>
      <w:r w:rsidR="005B3F24" w:rsidRPr="003C0052">
        <w:rPr>
          <w:rFonts w:ascii="Times New Roman" w:hAnsi="Times New Roman" w:cs="Times New Roman"/>
        </w:rPr>
        <w:t xml:space="preserve">shed light on social supply practices, </w:t>
      </w:r>
      <w:r w:rsidR="006E21BB" w:rsidRPr="003C0052">
        <w:rPr>
          <w:rFonts w:ascii="Times New Roman" w:hAnsi="Times New Roman" w:cs="Times New Roman"/>
        </w:rPr>
        <w:t xml:space="preserve">but </w:t>
      </w:r>
      <w:r w:rsidR="009A0537" w:rsidRPr="003C0052">
        <w:rPr>
          <w:rFonts w:ascii="Times New Roman" w:hAnsi="Times New Roman" w:cs="Times New Roman"/>
        </w:rPr>
        <w:t xml:space="preserve">until very recently, </w:t>
      </w:r>
      <w:r w:rsidR="005B3F24" w:rsidRPr="003C0052">
        <w:rPr>
          <w:rFonts w:ascii="Times New Roman" w:hAnsi="Times New Roman" w:cs="Times New Roman"/>
        </w:rPr>
        <w:t xml:space="preserve">without labelling them as such. </w:t>
      </w:r>
      <w:r w:rsidR="00842714" w:rsidRPr="003C0052">
        <w:rPr>
          <w:rFonts w:ascii="Times New Roman" w:hAnsi="Times New Roman" w:cs="Times New Roman"/>
        </w:rPr>
        <w:t>In ‘</w:t>
      </w:r>
      <w:r w:rsidR="001C35BC" w:rsidRPr="003C0052">
        <w:rPr>
          <w:rFonts w:ascii="Times New Roman" w:hAnsi="Times New Roman" w:cs="Times New Roman"/>
          <w:i/>
        </w:rPr>
        <w:t>drifting into dealing: b</w:t>
      </w:r>
      <w:r w:rsidR="00842714" w:rsidRPr="003C0052">
        <w:rPr>
          <w:rFonts w:ascii="Times New Roman" w:hAnsi="Times New Roman" w:cs="Times New Roman"/>
          <w:i/>
        </w:rPr>
        <w:t>ecoming a cocaine dealer’</w:t>
      </w:r>
      <w:r w:rsidR="00842714" w:rsidRPr="003C0052">
        <w:rPr>
          <w:rFonts w:ascii="Times New Roman" w:hAnsi="Times New Roman" w:cs="Times New Roman"/>
        </w:rPr>
        <w:t xml:space="preserve"> the authors explored the ways in which a cocaine user could drift from drug use to being known as a source of supply, and almost 13 years later similar narratives emerged in understanding </w:t>
      </w:r>
      <w:r w:rsidR="00DD6A13" w:rsidRPr="003C0052">
        <w:rPr>
          <w:rFonts w:ascii="Times New Roman" w:hAnsi="Times New Roman" w:cs="Times New Roman"/>
        </w:rPr>
        <w:t>initiation into ecstasy sales</w:t>
      </w:r>
      <w:r w:rsidR="00B673C5" w:rsidRPr="003C0052">
        <w:rPr>
          <w:rFonts w:ascii="Times New Roman" w:hAnsi="Times New Roman" w:cs="Times New Roman"/>
        </w:rPr>
        <w:t xml:space="preserve"> (see Murphy et al., 2004</w:t>
      </w:r>
      <w:r w:rsidR="008242CC" w:rsidRPr="003C0052">
        <w:rPr>
          <w:rFonts w:ascii="Times New Roman" w:hAnsi="Times New Roman" w:cs="Times New Roman"/>
        </w:rPr>
        <w:t>)</w:t>
      </w:r>
      <w:r w:rsidR="00DD6A13" w:rsidRPr="003C0052">
        <w:rPr>
          <w:rFonts w:ascii="Times New Roman" w:hAnsi="Times New Roman" w:cs="Times New Roman"/>
        </w:rPr>
        <w:t xml:space="preserve">. </w:t>
      </w:r>
      <w:r w:rsidR="00B673C5" w:rsidRPr="003C0052">
        <w:rPr>
          <w:rFonts w:ascii="Times New Roman" w:hAnsi="Times New Roman" w:cs="Times New Roman"/>
        </w:rPr>
        <w:t>In a</w:t>
      </w:r>
      <w:r w:rsidR="003C49B3" w:rsidRPr="003C0052">
        <w:rPr>
          <w:rFonts w:ascii="Times New Roman" w:hAnsi="Times New Roman" w:cs="Times New Roman"/>
        </w:rPr>
        <w:t xml:space="preserve"> </w:t>
      </w:r>
      <w:r w:rsidR="00BF5E23" w:rsidRPr="003C0052">
        <w:rPr>
          <w:rFonts w:ascii="Times New Roman" w:hAnsi="Times New Roman" w:cs="Times New Roman"/>
        </w:rPr>
        <w:t>recent study</w:t>
      </w:r>
      <w:r w:rsidR="003C49B3" w:rsidRPr="003C0052">
        <w:rPr>
          <w:rFonts w:ascii="Times New Roman" w:hAnsi="Times New Roman" w:cs="Times New Roman"/>
        </w:rPr>
        <w:t xml:space="preserve"> </w:t>
      </w:r>
      <w:r w:rsidR="008242CC" w:rsidRPr="003C0052">
        <w:rPr>
          <w:rFonts w:ascii="Times New Roman" w:hAnsi="Times New Roman" w:cs="Times New Roman"/>
        </w:rPr>
        <w:t>exploring</w:t>
      </w:r>
      <w:r w:rsidRPr="003C0052">
        <w:rPr>
          <w:rFonts w:ascii="Times New Roman" w:hAnsi="Times New Roman" w:cs="Times New Roman"/>
        </w:rPr>
        <w:t xml:space="preserve"> nonmedical prescription s</w:t>
      </w:r>
      <w:r w:rsidR="00B673C5" w:rsidRPr="003C0052">
        <w:rPr>
          <w:rFonts w:ascii="Times New Roman" w:hAnsi="Times New Roman" w:cs="Times New Roman"/>
        </w:rPr>
        <w:t xml:space="preserve">timulant use </w:t>
      </w:r>
      <w:r w:rsidRPr="003C0052">
        <w:rPr>
          <w:rFonts w:ascii="Times New Roman" w:hAnsi="Times New Roman" w:cs="Times New Roman"/>
        </w:rPr>
        <w:t>in the San Francisco Bay Area</w:t>
      </w:r>
      <w:r w:rsidR="00BF5E23" w:rsidRPr="003C0052">
        <w:rPr>
          <w:rFonts w:ascii="Times New Roman" w:hAnsi="Times New Roman" w:cs="Times New Roman"/>
        </w:rPr>
        <w:t xml:space="preserve"> (2017)</w:t>
      </w:r>
      <w:r w:rsidRPr="003C0052">
        <w:rPr>
          <w:rFonts w:ascii="Times New Roman" w:hAnsi="Times New Roman" w:cs="Times New Roman"/>
        </w:rPr>
        <w:t xml:space="preserve">, participants discussed the risks of diverting legitimately prescribed stimulants or obtaining others’ prescription stimulants within social supply networks. </w:t>
      </w:r>
      <w:r w:rsidR="003C49B3" w:rsidRPr="003C0052">
        <w:rPr>
          <w:rFonts w:ascii="Times New Roman" w:hAnsi="Times New Roman" w:cs="Times New Roman"/>
        </w:rPr>
        <w:t>This piece of research</w:t>
      </w:r>
      <w:r w:rsidR="006E21BB" w:rsidRPr="003C0052">
        <w:rPr>
          <w:rFonts w:ascii="Times New Roman" w:hAnsi="Times New Roman" w:cs="Times New Roman"/>
        </w:rPr>
        <w:t xml:space="preserve"> explicitly refers to distribution practices as </w:t>
      </w:r>
      <w:r w:rsidR="003B1D10" w:rsidRPr="003C0052">
        <w:rPr>
          <w:rFonts w:ascii="Times New Roman" w:hAnsi="Times New Roman" w:cs="Times New Roman"/>
        </w:rPr>
        <w:t>‘</w:t>
      </w:r>
      <w:r w:rsidR="006E21BB" w:rsidRPr="003C0052">
        <w:rPr>
          <w:rFonts w:ascii="Times New Roman" w:hAnsi="Times New Roman" w:cs="Times New Roman"/>
        </w:rPr>
        <w:t>social supply</w:t>
      </w:r>
      <w:r w:rsidR="003B1D10" w:rsidRPr="003C0052">
        <w:rPr>
          <w:rFonts w:ascii="Times New Roman" w:hAnsi="Times New Roman" w:cs="Times New Roman"/>
        </w:rPr>
        <w:t>’</w:t>
      </w:r>
      <w:r w:rsidR="006E21BB" w:rsidRPr="003C0052">
        <w:rPr>
          <w:rFonts w:ascii="Times New Roman" w:hAnsi="Times New Roman" w:cs="Times New Roman"/>
        </w:rPr>
        <w:t xml:space="preserve"> and</w:t>
      </w:r>
      <w:r w:rsidR="003C49B3" w:rsidRPr="003C0052">
        <w:rPr>
          <w:rFonts w:ascii="Times New Roman" w:hAnsi="Times New Roman" w:cs="Times New Roman"/>
        </w:rPr>
        <w:t xml:space="preserve"> is </w:t>
      </w:r>
      <w:r w:rsidR="006E21BB" w:rsidRPr="003C0052">
        <w:rPr>
          <w:rFonts w:ascii="Times New Roman" w:hAnsi="Times New Roman" w:cs="Times New Roman"/>
        </w:rPr>
        <w:t xml:space="preserve">also </w:t>
      </w:r>
      <w:r w:rsidR="003C49B3" w:rsidRPr="003C0052">
        <w:rPr>
          <w:rFonts w:ascii="Times New Roman" w:hAnsi="Times New Roman" w:cs="Times New Roman"/>
        </w:rPr>
        <w:t>representative of an emerging research base which has moved beyond</w:t>
      </w:r>
      <w:r w:rsidR="0083641F" w:rsidRPr="003C0052">
        <w:rPr>
          <w:rFonts w:ascii="Times New Roman" w:hAnsi="Times New Roman" w:cs="Times New Roman"/>
        </w:rPr>
        <w:t xml:space="preserve"> analysing the social</w:t>
      </w:r>
      <w:r w:rsidR="003C49B3" w:rsidRPr="003C0052">
        <w:rPr>
          <w:rFonts w:ascii="Times New Roman" w:hAnsi="Times New Roman" w:cs="Times New Roman"/>
        </w:rPr>
        <w:t xml:space="preserve"> supply of </w:t>
      </w:r>
      <w:r w:rsidR="003C49B3" w:rsidRPr="003C0052">
        <w:rPr>
          <w:rFonts w:ascii="Times New Roman" w:hAnsi="Times New Roman" w:cs="Times New Roman"/>
          <w:i/>
        </w:rPr>
        <w:t>recreational drugs</w:t>
      </w:r>
      <w:r w:rsidR="003C49B3" w:rsidRPr="003C0052">
        <w:rPr>
          <w:rFonts w:ascii="Times New Roman" w:hAnsi="Times New Roman" w:cs="Times New Roman"/>
        </w:rPr>
        <w:t xml:space="preserve">. In the </w:t>
      </w:r>
      <w:r w:rsidR="00747524" w:rsidRPr="003C0052">
        <w:rPr>
          <w:rFonts w:ascii="Times New Roman" w:hAnsi="Times New Roman" w:cs="Times New Roman"/>
        </w:rPr>
        <w:t>UK</w:t>
      </w:r>
      <w:r w:rsidR="00BC2AFA" w:rsidRPr="003C0052">
        <w:rPr>
          <w:rFonts w:ascii="Times New Roman" w:hAnsi="Times New Roman" w:cs="Times New Roman"/>
        </w:rPr>
        <w:t xml:space="preserve"> for example</w:t>
      </w:r>
      <w:r w:rsidR="00747524" w:rsidRPr="003C0052">
        <w:rPr>
          <w:rFonts w:ascii="Times New Roman" w:hAnsi="Times New Roman" w:cs="Times New Roman"/>
        </w:rPr>
        <w:t xml:space="preserve">, Coomber </w:t>
      </w:r>
      <w:r w:rsidR="009139BA" w:rsidRPr="003C0052">
        <w:rPr>
          <w:rFonts w:ascii="Times New Roman" w:hAnsi="Times New Roman" w:cs="Times New Roman"/>
        </w:rPr>
        <w:t>et al.</w:t>
      </w:r>
      <w:r w:rsidR="00146CCF" w:rsidRPr="003C0052">
        <w:rPr>
          <w:rFonts w:ascii="Times New Roman" w:hAnsi="Times New Roman" w:cs="Times New Roman"/>
        </w:rPr>
        <w:t xml:space="preserve"> (</w:t>
      </w:r>
      <w:r w:rsidR="009436F6" w:rsidRPr="003C0052">
        <w:rPr>
          <w:rFonts w:ascii="Times New Roman" w:hAnsi="Times New Roman" w:cs="Times New Roman"/>
        </w:rPr>
        <w:t xml:space="preserve">2015) identified the importance of social supply networks in accessing </w:t>
      </w:r>
      <w:r w:rsidR="0083641F" w:rsidRPr="003C0052">
        <w:rPr>
          <w:rFonts w:ascii="Times New Roman" w:hAnsi="Times New Roman" w:cs="Times New Roman"/>
        </w:rPr>
        <w:t xml:space="preserve">steroids and other </w:t>
      </w:r>
      <w:r w:rsidR="009436F6" w:rsidRPr="003C0052">
        <w:rPr>
          <w:rFonts w:ascii="Times New Roman" w:hAnsi="Times New Roman" w:cs="Times New Roman"/>
        </w:rPr>
        <w:t>performance and image enhancing drugs</w:t>
      </w:r>
      <w:r w:rsidR="00170AB2" w:rsidRPr="003C0052">
        <w:rPr>
          <w:rFonts w:ascii="Times New Roman" w:hAnsi="Times New Roman" w:cs="Times New Roman"/>
        </w:rPr>
        <w:t xml:space="preserve"> (PIEDS)</w:t>
      </w:r>
      <w:r w:rsidR="00BC2AFA" w:rsidRPr="003C0052">
        <w:rPr>
          <w:rFonts w:ascii="Times New Roman" w:hAnsi="Times New Roman" w:cs="Times New Roman"/>
        </w:rPr>
        <w:t xml:space="preserve"> in an English city</w:t>
      </w:r>
      <w:r w:rsidR="009436F6" w:rsidRPr="003C0052">
        <w:rPr>
          <w:rFonts w:ascii="Times New Roman" w:hAnsi="Times New Roman" w:cs="Times New Roman"/>
        </w:rPr>
        <w:t xml:space="preserve">. </w:t>
      </w:r>
      <w:r w:rsidR="00BC2AFA" w:rsidRPr="003C0052">
        <w:rPr>
          <w:rFonts w:ascii="Times New Roman" w:hAnsi="Times New Roman" w:cs="Times New Roman"/>
        </w:rPr>
        <w:t xml:space="preserve">These findings have been supported by scholars in the Netherlands </w:t>
      </w:r>
      <w:r w:rsidR="00170AB2" w:rsidRPr="003C0052">
        <w:rPr>
          <w:rFonts w:ascii="Times New Roman" w:hAnsi="Times New Roman" w:cs="Times New Roman"/>
        </w:rPr>
        <w:t xml:space="preserve">who observe </w:t>
      </w:r>
      <w:r w:rsidR="00170AB2" w:rsidRPr="003C0052">
        <w:rPr>
          <w:rFonts w:ascii="Times New Roman" w:eastAsia="Cambria" w:hAnsi="Times New Roman" w:cs="Times New Roman"/>
        </w:rPr>
        <w:t xml:space="preserve">the prevalence of social supply networks </w:t>
      </w:r>
      <w:r w:rsidR="00354FF1" w:rsidRPr="003C0052">
        <w:rPr>
          <w:rFonts w:ascii="Times New Roman" w:eastAsia="Cambria" w:hAnsi="Times New Roman" w:cs="Times New Roman"/>
        </w:rPr>
        <w:t>within bodybuilding subcultures</w:t>
      </w:r>
      <w:r w:rsidR="00170AB2" w:rsidRPr="003C0052">
        <w:rPr>
          <w:rFonts w:ascii="Times New Roman" w:eastAsia="Cambria" w:hAnsi="Times New Roman" w:cs="Times New Roman"/>
        </w:rPr>
        <w:t xml:space="preserve">, illustrating </w:t>
      </w:r>
      <w:r w:rsidR="00354FF1" w:rsidRPr="003C0052">
        <w:rPr>
          <w:rFonts w:ascii="Times New Roman" w:eastAsia="Cambria" w:hAnsi="Times New Roman" w:cs="Times New Roman"/>
        </w:rPr>
        <w:t xml:space="preserve">that for many PIED </w:t>
      </w:r>
      <w:r w:rsidR="00721763" w:rsidRPr="003C0052">
        <w:rPr>
          <w:rFonts w:ascii="Times New Roman" w:eastAsia="Cambria" w:hAnsi="Times New Roman" w:cs="Times New Roman"/>
        </w:rPr>
        <w:t xml:space="preserve">suppliers, </w:t>
      </w:r>
      <w:r w:rsidR="005049FC" w:rsidRPr="003C0052">
        <w:rPr>
          <w:rFonts w:ascii="Times New Roman" w:hAnsi="Times New Roman" w:cs="Times New Roman"/>
        </w:rPr>
        <w:t>profit is not the primary motivation for involvement</w:t>
      </w:r>
      <w:r w:rsidR="00354FF1" w:rsidRPr="003C0052">
        <w:rPr>
          <w:rFonts w:ascii="Times New Roman" w:hAnsi="Times New Roman" w:cs="Times New Roman"/>
        </w:rPr>
        <w:t xml:space="preserve"> in </w:t>
      </w:r>
      <w:r w:rsidR="009139BA" w:rsidRPr="003C0052">
        <w:rPr>
          <w:rFonts w:ascii="Times New Roman" w:hAnsi="Times New Roman" w:cs="Times New Roman"/>
        </w:rPr>
        <w:t>this trade</w:t>
      </w:r>
      <w:r w:rsidR="00637249" w:rsidRPr="003C0052">
        <w:rPr>
          <w:rFonts w:ascii="Times New Roman" w:hAnsi="Times New Roman" w:cs="Times New Roman"/>
        </w:rPr>
        <w:t xml:space="preserve"> (van de </w:t>
      </w:r>
      <w:proofErr w:type="spellStart"/>
      <w:r w:rsidR="00637249" w:rsidRPr="003C0052">
        <w:rPr>
          <w:rFonts w:ascii="Times New Roman" w:hAnsi="Times New Roman" w:cs="Times New Roman"/>
        </w:rPr>
        <w:t>Ven</w:t>
      </w:r>
      <w:proofErr w:type="spellEnd"/>
      <w:r w:rsidR="00637249" w:rsidRPr="003C0052">
        <w:rPr>
          <w:rFonts w:ascii="Times New Roman" w:hAnsi="Times New Roman" w:cs="Times New Roman"/>
        </w:rPr>
        <w:t xml:space="preserve"> &amp;</w:t>
      </w:r>
      <w:r w:rsidR="00D84151" w:rsidRPr="003C0052">
        <w:rPr>
          <w:rFonts w:ascii="Times New Roman" w:hAnsi="Times New Roman" w:cs="Times New Roman"/>
        </w:rPr>
        <w:t xml:space="preserve"> </w:t>
      </w:r>
      <w:proofErr w:type="spellStart"/>
      <w:r w:rsidR="00D84151" w:rsidRPr="003C0052">
        <w:rPr>
          <w:rFonts w:ascii="Times New Roman" w:hAnsi="Times New Roman" w:cs="Times New Roman"/>
        </w:rPr>
        <w:t>Mulrooney</w:t>
      </w:r>
      <w:proofErr w:type="spellEnd"/>
      <w:r w:rsidR="00D84151" w:rsidRPr="003C0052">
        <w:rPr>
          <w:rFonts w:ascii="Times New Roman" w:hAnsi="Times New Roman" w:cs="Times New Roman"/>
        </w:rPr>
        <w:t>, 2017</w:t>
      </w:r>
      <w:r w:rsidR="00C22442" w:rsidRPr="003C0052">
        <w:rPr>
          <w:rFonts w:ascii="Times New Roman" w:hAnsi="Times New Roman" w:cs="Times New Roman"/>
        </w:rPr>
        <w:t>).</w:t>
      </w:r>
      <w:r w:rsidR="00170AB2" w:rsidRPr="003C0052">
        <w:rPr>
          <w:rFonts w:ascii="Times New Roman" w:hAnsi="Times New Roman" w:cs="Times New Roman"/>
        </w:rPr>
        <w:t xml:space="preserve"> </w:t>
      </w:r>
    </w:p>
    <w:p w:rsidR="00755DB4" w:rsidRPr="003C0052" w:rsidRDefault="00755DB4">
      <w:pPr>
        <w:rPr>
          <w:rFonts w:ascii="Times New Roman" w:hAnsi="Times New Roman" w:cs="Times New Roman"/>
          <w:b/>
        </w:rPr>
      </w:pPr>
    </w:p>
    <w:p w:rsidR="006D3414" w:rsidRPr="003C0052" w:rsidRDefault="006D3414">
      <w:pPr>
        <w:rPr>
          <w:rFonts w:ascii="Times New Roman" w:hAnsi="Times New Roman" w:cs="Times New Roman"/>
          <w:b/>
        </w:rPr>
      </w:pPr>
    </w:p>
    <w:p w:rsidR="00755DB4" w:rsidRPr="003C0052" w:rsidRDefault="00755DB4" w:rsidP="00E7752F">
      <w:pPr>
        <w:outlineLvl w:val="0"/>
        <w:rPr>
          <w:rFonts w:ascii="Times New Roman" w:hAnsi="Times New Roman" w:cs="Times New Roman"/>
          <w:b/>
        </w:rPr>
      </w:pPr>
      <w:r w:rsidRPr="003C0052">
        <w:rPr>
          <w:rFonts w:ascii="Times New Roman" w:hAnsi="Times New Roman" w:cs="Times New Roman"/>
          <w:b/>
        </w:rPr>
        <w:t xml:space="preserve">Differentiation and proportionality in </w:t>
      </w:r>
      <w:r w:rsidR="009139BA" w:rsidRPr="003C0052">
        <w:rPr>
          <w:rFonts w:ascii="Times New Roman" w:hAnsi="Times New Roman" w:cs="Times New Roman"/>
          <w:b/>
        </w:rPr>
        <w:t>s</w:t>
      </w:r>
      <w:r w:rsidR="004F5419" w:rsidRPr="003C0052">
        <w:rPr>
          <w:rFonts w:ascii="Times New Roman" w:hAnsi="Times New Roman" w:cs="Times New Roman"/>
          <w:b/>
        </w:rPr>
        <w:t>upply</w:t>
      </w:r>
      <w:r w:rsidRPr="003C0052">
        <w:rPr>
          <w:rFonts w:ascii="Times New Roman" w:hAnsi="Times New Roman" w:cs="Times New Roman"/>
          <w:b/>
        </w:rPr>
        <w:t xml:space="preserve"> </w:t>
      </w:r>
    </w:p>
    <w:p w:rsidR="003E36CC" w:rsidRPr="003C0052" w:rsidRDefault="003E36CC">
      <w:pPr>
        <w:rPr>
          <w:rFonts w:ascii="Times New Roman" w:hAnsi="Times New Roman" w:cs="Times New Roman"/>
          <w:b/>
        </w:rPr>
      </w:pPr>
    </w:p>
    <w:p w:rsidR="003E36CC" w:rsidRPr="003C0052" w:rsidRDefault="003E36CC" w:rsidP="00E7752F">
      <w:pPr>
        <w:outlineLvl w:val="0"/>
        <w:rPr>
          <w:rFonts w:ascii="Times New Roman" w:hAnsi="Times New Roman" w:cs="Times New Roman"/>
          <w:i/>
        </w:rPr>
      </w:pPr>
      <w:r w:rsidRPr="003C0052">
        <w:rPr>
          <w:rFonts w:ascii="Times New Roman" w:hAnsi="Times New Roman" w:cs="Times New Roman"/>
          <w:i/>
        </w:rPr>
        <w:t xml:space="preserve">Systems that acknowledge </w:t>
      </w:r>
      <w:r w:rsidR="00AE6C28" w:rsidRPr="003C0052">
        <w:rPr>
          <w:rFonts w:ascii="Times New Roman" w:hAnsi="Times New Roman" w:cs="Times New Roman"/>
          <w:i/>
        </w:rPr>
        <w:t xml:space="preserve">and take some steps to accommodate </w:t>
      </w:r>
      <w:r w:rsidR="007C14EE" w:rsidRPr="003C0052">
        <w:rPr>
          <w:rFonts w:ascii="Times New Roman" w:hAnsi="Times New Roman" w:cs="Times New Roman"/>
          <w:i/>
        </w:rPr>
        <w:t xml:space="preserve">supply </w:t>
      </w:r>
      <w:r w:rsidRPr="003C0052">
        <w:rPr>
          <w:rFonts w:ascii="Times New Roman" w:hAnsi="Times New Roman" w:cs="Times New Roman"/>
          <w:i/>
        </w:rPr>
        <w:t xml:space="preserve">differentiation </w:t>
      </w:r>
    </w:p>
    <w:p w:rsidR="00845EC3" w:rsidRPr="003C0052" w:rsidRDefault="00845EC3">
      <w:pPr>
        <w:rPr>
          <w:rFonts w:ascii="Times New Roman" w:hAnsi="Times New Roman" w:cs="Times New Roman"/>
          <w:i/>
        </w:rPr>
      </w:pPr>
    </w:p>
    <w:p w:rsidR="0024759D" w:rsidRPr="003C0052" w:rsidRDefault="006C5C73" w:rsidP="00144A42">
      <w:pPr>
        <w:spacing w:line="360" w:lineRule="auto"/>
        <w:jc w:val="both"/>
        <w:rPr>
          <w:rFonts w:ascii="Times New Roman" w:hAnsi="Times New Roman" w:cs="Times New Roman"/>
        </w:rPr>
      </w:pPr>
      <w:r w:rsidRPr="003C0052">
        <w:rPr>
          <w:rFonts w:ascii="Times New Roman" w:hAnsi="Times New Roman" w:cs="Times New Roman"/>
        </w:rPr>
        <w:t xml:space="preserve">The </w:t>
      </w:r>
      <w:r w:rsidR="00A94008" w:rsidRPr="003C0052">
        <w:rPr>
          <w:rFonts w:ascii="Times New Roman" w:hAnsi="Times New Roman" w:cs="Times New Roman"/>
        </w:rPr>
        <w:t xml:space="preserve">developing international research base presents a </w:t>
      </w:r>
      <w:r w:rsidR="00D128E2" w:rsidRPr="003C0052">
        <w:rPr>
          <w:rFonts w:ascii="Times New Roman" w:hAnsi="Times New Roman" w:cs="Times New Roman"/>
        </w:rPr>
        <w:t>diverse</w:t>
      </w:r>
      <w:r w:rsidR="00A94008" w:rsidRPr="003C0052">
        <w:rPr>
          <w:rFonts w:ascii="Times New Roman" w:hAnsi="Times New Roman" w:cs="Times New Roman"/>
        </w:rPr>
        <w:t xml:space="preserve"> </w:t>
      </w:r>
      <w:r w:rsidR="00DE0591" w:rsidRPr="003C0052">
        <w:rPr>
          <w:rFonts w:ascii="Times New Roman" w:hAnsi="Times New Roman" w:cs="Times New Roman"/>
        </w:rPr>
        <w:t>picture of social supply, oscillating from one that is</w:t>
      </w:r>
      <w:r w:rsidR="009C513C" w:rsidRPr="003C0052">
        <w:rPr>
          <w:rFonts w:ascii="Times New Roman" w:hAnsi="Times New Roman" w:cs="Times New Roman"/>
        </w:rPr>
        <w:t xml:space="preserve"> strongly focussed on cannabis</w:t>
      </w:r>
      <w:r w:rsidR="00307908" w:rsidRPr="003C0052">
        <w:rPr>
          <w:rFonts w:ascii="Times New Roman" w:hAnsi="Times New Roman" w:cs="Times New Roman"/>
        </w:rPr>
        <w:t xml:space="preserve"> cultivation,</w:t>
      </w:r>
      <w:r w:rsidR="009C513C" w:rsidRPr="003C0052">
        <w:rPr>
          <w:rFonts w:ascii="Times New Roman" w:hAnsi="Times New Roman" w:cs="Times New Roman"/>
        </w:rPr>
        <w:t xml:space="preserve"> </w:t>
      </w:r>
      <w:r w:rsidR="008D26D1" w:rsidRPr="003C0052">
        <w:rPr>
          <w:rFonts w:ascii="Times New Roman" w:hAnsi="Times New Roman" w:cs="Times New Roman"/>
        </w:rPr>
        <w:t xml:space="preserve">and </w:t>
      </w:r>
      <w:r w:rsidR="00C429E4" w:rsidRPr="003C0052">
        <w:rPr>
          <w:rFonts w:ascii="Times New Roman" w:hAnsi="Times New Roman" w:cs="Times New Roman"/>
        </w:rPr>
        <w:t xml:space="preserve">the </w:t>
      </w:r>
      <w:r w:rsidR="008D26D1" w:rsidRPr="003C0052">
        <w:rPr>
          <w:rFonts w:ascii="Times New Roman" w:hAnsi="Times New Roman" w:cs="Times New Roman"/>
        </w:rPr>
        <w:t>cultural values that shape</w:t>
      </w:r>
      <w:r w:rsidR="00D46E0C" w:rsidRPr="003C0052">
        <w:rPr>
          <w:rFonts w:ascii="Times New Roman" w:hAnsi="Times New Roman" w:cs="Times New Roman"/>
        </w:rPr>
        <w:t xml:space="preserve"> transactional practices, to one that </w:t>
      </w:r>
      <w:r w:rsidR="009B3306" w:rsidRPr="003C0052">
        <w:rPr>
          <w:rFonts w:ascii="Times New Roman" w:hAnsi="Times New Roman" w:cs="Times New Roman"/>
        </w:rPr>
        <w:t xml:space="preserve">has become dominant in understanding the ways in which </w:t>
      </w:r>
      <w:r w:rsidR="00661F14" w:rsidRPr="003C0052">
        <w:rPr>
          <w:rFonts w:ascii="Times New Roman" w:hAnsi="Times New Roman" w:cs="Times New Roman"/>
        </w:rPr>
        <w:t>recreational substances like ecstasy and ketamine</w:t>
      </w:r>
      <w:r w:rsidR="009B3306" w:rsidRPr="003C0052">
        <w:rPr>
          <w:rFonts w:ascii="Times New Roman" w:hAnsi="Times New Roman" w:cs="Times New Roman"/>
        </w:rPr>
        <w:t xml:space="preserve"> are accessed</w:t>
      </w:r>
      <w:r w:rsidR="00661F14" w:rsidRPr="003C0052">
        <w:rPr>
          <w:rFonts w:ascii="Times New Roman" w:hAnsi="Times New Roman" w:cs="Times New Roman"/>
        </w:rPr>
        <w:t xml:space="preserve">, and increasingly, </w:t>
      </w:r>
      <w:r w:rsidR="00B015F0" w:rsidRPr="003C0052">
        <w:rPr>
          <w:rFonts w:ascii="Times New Roman" w:hAnsi="Times New Roman" w:cs="Times New Roman"/>
        </w:rPr>
        <w:t xml:space="preserve">as central to drug supply networks in </w:t>
      </w:r>
      <w:r w:rsidR="00661F14" w:rsidRPr="003C0052">
        <w:rPr>
          <w:rFonts w:ascii="Times New Roman" w:hAnsi="Times New Roman" w:cs="Times New Roman"/>
        </w:rPr>
        <w:t xml:space="preserve">non-traditional settings such as gyms. </w:t>
      </w:r>
      <w:r w:rsidR="00966A34" w:rsidRPr="003C0052">
        <w:rPr>
          <w:rFonts w:ascii="Times New Roman" w:hAnsi="Times New Roman" w:cs="Times New Roman"/>
        </w:rPr>
        <w:t>The extent to which</w:t>
      </w:r>
      <w:r w:rsidR="00415FE7" w:rsidRPr="003C0052">
        <w:rPr>
          <w:rFonts w:ascii="Times New Roman" w:hAnsi="Times New Roman" w:cs="Times New Roman"/>
        </w:rPr>
        <w:t xml:space="preserve"> </w:t>
      </w:r>
      <w:r w:rsidR="00FE1F04" w:rsidRPr="003C0052">
        <w:rPr>
          <w:rFonts w:ascii="Times New Roman" w:hAnsi="Times New Roman" w:cs="Times New Roman"/>
        </w:rPr>
        <w:t xml:space="preserve">supply </w:t>
      </w:r>
      <w:r w:rsidR="009B0829" w:rsidRPr="003C0052">
        <w:rPr>
          <w:rFonts w:ascii="Times New Roman" w:hAnsi="Times New Roman" w:cs="Times New Roman"/>
        </w:rPr>
        <w:t xml:space="preserve">differentiation </w:t>
      </w:r>
      <w:r w:rsidR="000F4B69" w:rsidRPr="003C0052">
        <w:rPr>
          <w:rFonts w:ascii="Times New Roman" w:hAnsi="Times New Roman" w:cs="Times New Roman"/>
        </w:rPr>
        <w:t xml:space="preserve">and </w:t>
      </w:r>
      <w:r w:rsidR="00483D1E" w:rsidRPr="003C0052">
        <w:rPr>
          <w:rFonts w:ascii="Times New Roman" w:hAnsi="Times New Roman" w:cs="Times New Roman"/>
        </w:rPr>
        <w:t xml:space="preserve">low-level distribution activity such as social supply </w:t>
      </w:r>
      <w:r w:rsidR="009B0829" w:rsidRPr="003C0052">
        <w:rPr>
          <w:rFonts w:ascii="Times New Roman" w:hAnsi="Times New Roman" w:cs="Times New Roman"/>
        </w:rPr>
        <w:t xml:space="preserve">is </w:t>
      </w:r>
      <w:r w:rsidR="00415FE7" w:rsidRPr="003C0052">
        <w:rPr>
          <w:rFonts w:ascii="Times New Roman" w:hAnsi="Times New Roman" w:cs="Times New Roman"/>
        </w:rPr>
        <w:t xml:space="preserve">recognised </w:t>
      </w:r>
      <w:r w:rsidR="00272D08" w:rsidRPr="003C0052">
        <w:rPr>
          <w:rFonts w:ascii="Times New Roman" w:hAnsi="Times New Roman" w:cs="Times New Roman"/>
        </w:rPr>
        <w:t xml:space="preserve">at an international level </w:t>
      </w:r>
      <w:r w:rsidR="009B0829" w:rsidRPr="003C0052">
        <w:rPr>
          <w:rFonts w:ascii="Times New Roman" w:hAnsi="Times New Roman" w:cs="Times New Roman"/>
        </w:rPr>
        <w:t>may be in part related to the degree o</w:t>
      </w:r>
      <w:r w:rsidR="007C14EE" w:rsidRPr="003C0052">
        <w:rPr>
          <w:rFonts w:ascii="Times New Roman" w:hAnsi="Times New Roman" w:cs="Times New Roman"/>
        </w:rPr>
        <w:t>f proportionality exercised at s</w:t>
      </w:r>
      <w:r w:rsidR="009B0829" w:rsidRPr="003C0052">
        <w:rPr>
          <w:rFonts w:ascii="Times New Roman" w:hAnsi="Times New Roman" w:cs="Times New Roman"/>
        </w:rPr>
        <w:t>tate level and how far varying levels of harm and culpability are accepted by</w:t>
      </w:r>
      <w:r w:rsidR="009139BA" w:rsidRPr="003C0052">
        <w:rPr>
          <w:rFonts w:ascii="Times New Roman" w:hAnsi="Times New Roman" w:cs="Times New Roman"/>
        </w:rPr>
        <w:t xml:space="preserve"> the legal system in question. </w:t>
      </w:r>
      <w:r w:rsidR="0059333C" w:rsidRPr="003C0052">
        <w:rPr>
          <w:rFonts w:ascii="Times New Roman" w:hAnsi="Times New Roman" w:cs="Times New Roman"/>
        </w:rPr>
        <w:t>In</w:t>
      </w:r>
      <w:r w:rsidR="001A6484" w:rsidRPr="003C0052">
        <w:rPr>
          <w:rFonts w:ascii="Times New Roman" w:hAnsi="Times New Roman" w:cs="Times New Roman"/>
        </w:rPr>
        <w:t xml:space="preserve"> </w:t>
      </w:r>
      <w:r w:rsidR="004362C1" w:rsidRPr="003C0052">
        <w:rPr>
          <w:rFonts w:ascii="Times New Roman" w:hAnsi="Times New Roman" w:cs="Times New Roman"/>
        </w:rPr>
        <w:t>England and Wales</w:t>
      </w:r>
      <w:r w:rsidR="00BF100F" w:rsidRPr="003C0052">
        <w:rPr>
          <w:rFonts w:ascii="Times New Roman" w:hAnsi="Times New Roman" w:cs="Times New Roman"/>
        </w:rPr>
        <w:t xml:space="preserve">, </w:t>
      </w:r>
      <w:r w:rsidR="001A6484" w:rsidRPr="003C0052">
        <w:rPr>
          <w:rFonts w:ascii="Times New Roman" w:hAnsi="Times New Roman" w:cs="Times New Roman"/>
        </w:rPr>
        <w:t xml:space="preserve">a </w:t>
      </w:r>
      <w:r w:rsidR="0059333C" w:rsidRPr="003C0052">
        <w:rPr>
          <w:rFonts w:ascii="Times New Roman" w:hAnsi="Times New Roman" w:cs="Times New Roman"/>
        </w:rPr>
        <w:t>context which</w:t>
      </w:r>
      <w:r w:rsidR="00BF100F" w:rsidRPr="003C0052">
        <w:rPr>
          <w:rFonts w:ascii="Times New Roman" w:hAnsi="Times New Roman" w:cs="Times New Roman"/>
        </w:rPr>
        <w:t xml:space="preserve"> purport</w:t>
      </w:r>
      <w:r w:rsidR="001A6484" w:rsidRPr="003C0052">
        <w:rPr>
          <w:rFonts w:ascii="Times New Roman" w:hAnsi="Times New Roman" w:cs="Times New Roman"/>
        </w:rPr>
        <w:t>s</w:t>
      </w:r>
      <w:r w:rsidR="00BF100F" w:rsidRPr="003C0052">
        <w:rPr>
          <w:rFonts w:ascii="Times New Roman" w:hAnsi="Times New Roman" w:cs="Times New Roman"/>
        </w:rPr>
        <w:t xml:space="preserve"> to put</w:t>
      </w:r>
      <w:r w:rsidR="0059333C" w:rsidRPr="003C0052">
        <w:rPr>
          <w:rFonts w:ascii="Times New Roman" w:hAnsi="Times New Roman" w:cs="Times New Roman"/>
        </w:rPr>
        <w:t xml:space="preserve"> pro</w:t>
      </w:r>
      <w:r w:rsidR="00BF100F" w:rsidRPr="003C0052">
        <w:rPr>
          <w:rFonts w:ascii="Times New Roman" w:hAnsi="Times New Roman" w:cs="Times New Roman"/>
        </w:rPr>
        <w:t>portionality at the heart of their</w:t>
      </w:r>
      <w:r w:rsidR="0059333C" w:rsidRPr="003C0052">
        <w:rPr>
          <w:rFonts w:ascii="Times New Roman" w:hAnsi="Times New Roman" w:cs="Times New Roman"/>
        </w:rPr>
        <w:t xml:space="preserve"> justice system (</w:t>
      </w:r>
      <w:r w:rsidR="001816FF" w:rsidRPr="003C0052">
        <w:rPr>
          <w:rFonts w:ascii="Times New Roman" w:hAnsi="Times New Roman" w:cs="Times New Roman"/>
        </w:rPr>
        <w:t>Moyle</w:t>
      </w:r>
      <w:r w:rsidR="00FE1F04" w:rsidRPr="003C0052">
        <w:rPr>
          <w:rFonts w:ascii="Times New Roman" w:hAnsi="Times New Roman" w:cs="Times New Roman"/>
        </w:rPr>
        <w:t>, Coomber &amp; Lowther</w:t>
      </w:r>
      <w:r w:rsidR="001816FF" w:rsidRPr="003C0052">
        <w:rPr>
          <w:rFonts w:ascii="Times New Roman" w:hAnsi="Times New Roman" w:cs="Times New Roman"/>
        </w:rPr>
        <w:t>, 2013</w:t>
      </w:r>
      <w:r w:rsidR="00FF7ABB" w:rsidRPr="003C0052">
        <w:rPr>
          <w:rFonts w:ascii="Times New Roman" w:hAnsi="Times New Roman" w:cs="Times New Roman"/>
        </w:rPr>
        <w:t>), the implementation of sentencing guidelines for drug offe</w:t>
      </w:r>
      <w:r w:rsidR="007B09C3" w:rsidRPr="003C0052">
        <w:rPr>
          <w:rFonts w:ascii="Times New Roman" w:hAnsi="Times New Roman" w:cs="Times New Roman"/>
        </w:rPr>
        <w:t>nces (Sente</w:t>
      </w:r>
      <w:r w:rsidR="00E05AD9" w:rsidRPr="003C0052">
        <w:rPr>
          <w:rFonts w:ascii="Times New Roman" w:hAnsi="Times New Roman" w:cs="Times New Roman"/>
        </w:rPr>
        <w:t>ncing Council, 2012) allow</w:t>
      </w:r>
      <w:r w:rsidR="00BF100F" w:rsidRPr="003C0052">
        <w:rPr>
          <w:rFonts w:ascii="Times New Roman" w:hAnsi="Times New Roman" w:cs="Times New Roman"/>
        </w:rPr>
        <w:t>s</w:t>
      </w:r>
      <w:r w:rsidR="00E05AD9" w:rsidRPr="003C0052">
        <w:rPr>
          <w:rFonts w:ascii="Times New Roman" w:hAnsi="Times New Roman" w:cs="Times New Roman"/>
        </w:rPr>
        <w:t xml:space="preserve"> the court to determine the </w:t>
      </w:r>
      <w:r w:rsidR="00A77519" w:rsidRPr="003C0052">
        <w:rPr>
          <w:rFonts w:ascii="Times New Roman" w:hAnsi="Times New Roman" w:cs="Times New Roman"/>
        </w:rPr>
        <w:t>drug supplier’s</w:t>
      </w:r>
      <w:r w:rsidR="00E05AD9" w:rsidRPr="003C0052">
        <w:rPr>
          <w:rFonts w:ascii="Times New Roman" w:hAnsi="Times New Roman" w:cs="Times New Roman"/>
        </w:rPr>
        <w:t xml:space="preserve"> culpability and harm caused through reference to their </w:t>
      </w:r>
      <w:r w:rsidR="008A5347" w:rsidRPr="003C0052">
        <w:rPr>
          <w:rFonts w:ascii="Times New Roman" w:hAnsi="Times New Roman" w:cs="Times New Roman"/>
        </w:rPr>
        <w:t>‘</w:t>
      </w:r>
      <w:r w:rsidR="00E05AD9" w:rsidRPr="003C0052">
        <w:rPr>
          <w:rFonts w:ascii="Times New Roman" w:hAnsi="Times New Roman" w:cs="Times New Roman"/>
        </w:rPr>
        <w:t>role</w:t>
      </w:r>
      <w:r w:rsidR="008A5347" w:rsidRPr="003C0052">
        <w:rPr>
          <w:rFonts w:ascii="Times New Roman" w:hAnsi="Times New Roman" w:cs="Times New Roman"/>
        </w:rPr>
        <w:t>’</w:t>
      </w:r>
      <w:r w:rsidR="00E05AD9" w:rsidRPr="003C0052">
        <w:rPr>
          <w:rFonts w:ascii="Times New Roman" w:hAnsi="Times New Roman" w:cs="Times New Roman"/>
        </w:rPr>
        <w:t xml:space="preserve"> and quantity of substance</w:t>
      </w:r>
      <w:r w:rsidR="00C15167" w:rsidRPr="003C0052">
        <w:rPr>
          <w:rFonts w:ascii="Times New Roman" w:hAnsi="Times New Roman" w:cs="Times New Roman"/>
        </w:rPr>
        <w:t xml:space="preserve"> supplied. In practice</w:t>
      </w:r>
      <w:r w:rsidR="00BF100F" w:rsidRPr="003C0052">
        <w:rPr>
          <w:rFonts w:ascii="Times New Roman" w:hAnsi="Times New Roman" w:cs="Times New Roman"/>
        </w:rPr>
        <w:t>,</w:t>
      </w:r>
      <w:r w:rsidR="00C15167" w:rsidRPr="003C0052">
        <w:rPr>
          <w:rFonts w:ascii="Times New Roman" w:hAnsi="Times New Roman" w:cs="Times New Roman"/>
        </w:rPr>
        <w:t xml:space="preserve"> an offender could be classified as taking on a ‘lesser’ (e.g. </w:t>
      </w:r>
      <w:r w:rsidR="00C15167" w:rsidRPr="003C0052">
        <w:rPr>
          <w:rFonts w:ascii="Times New Roman" w:eastAsia="Times New Roman" w:hAnsi="Times New Roman" w:cs="Times New Roman"/>
          <w:lang w:eastAsia="en-GB"/>
        </w:rPr>
        <w:t>performs a limited function under direction)</w:t>
      </w:r>
      <w:r w:rsidR="00C15167" w:rsidRPr="003C0052">
        <w:rPr>
          <w:rFonts w:ascii="Times New Roman" w:hAnsi="Times New Roman" w:cs="Times New Roman"/>
        </w:rPr>
        <w:t xml:space="preserve">, ‘significant’ </w:t>
      </w:r>
      <w:r w:rsidR="00BF100F" w:rsidRPr="003C0052">
        <w:rPr>
          <w:rFonts w:ascii="Times New Roman" w:hAnsi="Times New Roman" w:cs="Times New Roman"/>
        </w:rPr>
        <w:t xml:space="preserve">(e.g. operational or management function within a chain) </w:t>
      </w:r>
      <w:r w:rsidR="00C15167" w:rsidRPr="003C0052">
        <w:rPr>
          <w:rFonts w:ascii="Times New Roman" w:hAnsi="Times New Roman" w:cs="Times New Roman"/>
        </w:rPr>
        <w:t xml:space="preserve">or ‘leading’ </w:t>
      </w:r>
      <w:r w:rsidR="00803118" w:rsidRPr="003C0052">
        <w:rPr>
          <w:rFonts w:ascii="Times New Roman" w:hAnsi="Times New Roman" w:cs="Times New Roman"/>
        </w:rPr>
        <w:t xml:space="preserve">supply </w:t>
      </w:r>
      <w:r w:rsidR="00C15167" w:rsidRPr="003C0052">
        <w:rPr>
          <w:rFonts w:ascii="Times New Roman" w:hAnsi="Times New Roman" w:cs="Times New Roman"/>
        </w:rPr>
        <w:t>role</w:t>
      </w:r>
      <w:r w:rsidR="00BF100F" w:rsidRPr="003C0052">
        <w:rPr>
          <w:rFonts w:ascii="Times New Roman" w:hAnsi="Times New Roman" w:cs="Times New Roman"/>
        </w:rPr>
        <w:t xml:space="preserve"> (e.g. directing and organising buying and selling on a commercial scale’)</w:t>
      </w:r>
      <w:r w:rsidR="00C15167" w:rsidRPr="003C0052">
        <w:rPr>
          <w:rFonts w:ascii="Times New Roman" w:hAnsi="Times New Roman" w:cs="Times New Roman"/>
        </w:rPr>
        <w:t>,</w:t>
      </w:r>
      <w:r w:rsidR="00BF100F" w:rsidRPr="003C0052">
        <w:rPr>
          <w:rFonts w:ascii="Times New Roman" w:hAnsi="Times New Roman" w:cs="Times New Roman"/>
        </w:rPr>
        <w:t xml:space="preserve"> and this ‘role’ is then matched</w:t>
      </w:r>
      <w:r w:rsidR="00C15167" w:rsidRPr="003C0052">
        <w:rPr>
          <w:rFonts w:ascii="Times New Roman" w:hAnsi="Times New Roman" w:cs="Times New Roman"/>
        </w:rPr>
        <w:t xml:space="preserve"> with </w:t>
      </w:r>
      <w:r w:rsidR="00BF100F" w:rsidRPr="003C0052">
        <w:rPr>
          <w:rFonts w:ascii="Times New Roman" w:hAnsi="Times New Roman" w:cs="Times New Roman"/>
        </w:rPr>
        <w:t>the appropriate quantity based category</w:t>
      </w:r>
      <w:r w:rsidR="00377402" w:rsidRPr="003C0052">
        <w:rPr>
          <w:rFonts w:ascii="Times New Roman" w:hAnsi="Times New Roman" w:cs="Times New Roman"/>
        </w:rPr>
        <w:t xml:space="preserve"> and a sentence is determined with reference </w:t>
      </w:r>
      <w:r w:rsidR="001A6484" w:rsidRPr="003C0052">
        <w:rPr>
          <w:rFonts w:ascii="Times New Roman" w:hAnsi="Times New Roman" w:cs="Times New Roman"/>
        </w:rPr>
        <w:t xml:space="preserve">to </w:t>
      </w:r>
      <w:r w:rsidR="00BF100F" w:rsidRPr="003C0052">
        <w:rPr>
          <w:rFonts w:ascii="Times New Roman" w:hAnsi="Times New Roman" w:cs="Times New Roman"/>
        </w:rPr>
        <w:t xml:space="preserve">relevant starting points and category ranges. </w:t>
      </w:r>
      <w:r w:rsidR="008A5347" w:rsidRPr="003C0052">
        <w:rPr>
          <w:rFonts w:ascii="Times New Roman" w:hAnsi="Times New Roman" w:cs="Times New Roman"/>
        </w:rPr>
        <w:t>Australia</w:t>
      </w:r>
      <w:r w:rsidR="00622F7D" w:rsidRPr="003C0052">
        <w:rPr>
          <w:rFonts w:ascii="Times New Roman" w:hAnsi="Times New Roman" w:cs="Times New Roman"/>
        </w:rPr>
        <w:t>, like</w:t>
      </w:r>
      <w:r w:rsidR="007F2D52" w:rsidRPr="003C0052">
        <w:rPr>
          <w:rFonts w:ascii="Times New Roman" w:hAnsi="Times New Roman" w:cs="Times New Roman"/>
        </w:rPr>
        <w:t xml:space="preserve"> </w:t>
      </w:r>
      <w:r w:rsidR="004362C1" w:rsidRPr="003C0052">
        <w:rPr>
          <w:rFonts w:ascii="Times New Roman" w:hAnsi="Times New Roman" w:cs="Times New Roman"/>
        </w:rPr>
        <w:t>England and Wales</w:t>
      </w:r>
      <w:r w:rsidR="00622F7D" w:rsidRPr="003C0052">
        <w:rPr>
          <w:rFonts w:ascii="Times New Roman" w:hAnsi="Times New Roman" w:cs="Times New Roman"/>
        </w:rPr>
        <w:t>,</w:t>
      </w:r>
      <w:r w:rsidR="00966A34" w:rsidRPr="003C0052">
        <w:rPr>
          <w:rFonts w:ascii="Times New Roman" w:hAnsi="Times New Roman" w:cs="Times New Roman"/>
        </w:rPr>
        <w:t xml:space="preserve"> </w:t>
      </w:r>
      <w:r w:rsidR="007320A1" w:rsidRPr="003C0052">
        <w:rPr>
          <w:rFonts w:ascii="Times New Roman" w:eastAsia="Times New Roman" w:hAnsi="Times New Roman" w:cs="Times New Roman"/>
          <w:lang w:eastAsia="en-GB"/>
        </w:rPr>
        <w:t xml:space="preserve">is among a number of </w:t>
      </w:r>
      <w:r w:rsidR="00CF2906" w:rsidRPr="003C0052">
        <w:rPr>
          <w:rFonts w:ascii="Times New Roman" w:hAnsi="Times New Roman" w:cs="Times New Roman"/>
        </w:rPr>
        <w:t xml:space="preserve">countries throughout the world that relies on the identification of </w:t>
      </w:r>
      <w:r w:rsidR="007320A1" w:rsidRPr="003C0052">
        <w:rPr>
          <w:rFonts w:ascii="Times New Roman" w:hAnsi="Times New Roman" w:cs="Times New Roman"/>
        </w:rPr>
        <w:t>‘</w:t>
      </w:r>
      <w:r w:rsidR="00CF2906" w:rsidRPr="003C0052">
        <w:rPr>
          <w:rFonts w:ascii="Times New Roman" w:hAnsi="Times New Roman" w:cs="Times New Roman"/>
        </w:rPr>
        <w:t>threshold quantities</w:t>
      </w:r>
      <w:r w:rsidR="007320A1" w:rsidRPr="003C0052">
        <w:rPr>
          <w:rFonts w:ascii="Times New Roman" w:hAnsi="Times New Roman" w:cs="Times New Roman"/>
        </w:rPr>
        <w:t>’</w:t>
      </w:r>
      <w:r w:rsidR="00CF2906" w:rsidRPr="003C0052">
        <w:rPr>
          <w:rFonts w:ascii="Times New Roman" w:hAnsi="Times New Roman" w:cs="Times New Roman"/>
        </w:rPr>
        <w:t xml:space="preserve"> of </w:t>
      </w:r>
      <w:r w:rsidR="007320A1" w:rsidRPr="003C0052">
        <w:rPr>
          <w:rFonts w:ascii="Times New Roman" w:hAnsi="Times New Roman" w:cs="Times New Roman"/>
        </w:rPr>
        <w:t xml:space="preserve">prospective </w:t>
      </w:r>
      <w:r w:rsidR="00CF2906" w:rsidRPr="003C0052">
        <w:rPr>
          <w:rFonts w:ascii="Times New Roman" w:hAnsi="Times New Roman" w:cs="Times New Roman"/>
        </w:rPr>
        <w:t xml:space="preserve">illicit substances as an indicator of supply offences when </w:t>
      </w:r>
      <w:r w:rsidR="007320A1" w:rsidRPr="003C0052">
        <w:rPr>
          <w:rFonts w:ascii="Times New Roman" w:hAnsi="Times New Roman" w:cs="Times New Roman"/>
        </w:rPr>
        <w:t xml:space="preserve">distinguishing suppliers </w:t>
      </w:r>
      <w:r w:rsidR="00CF2906" w:rsidRPr="003C0052">
        <w:rPr>
          <w:rFonts w:ascii="Times New Roman" w:hAnsi="Times New Roman" w:cs="Times New Roman"/>
        </w:rPr>
        <w:t>from users. State and territory, as well as Commonwealth drug legislation specifies threshold amounts of drug over which offenders are either presumed to possess a drug ‘for the purposes of supply and are liable to sanction as ‘drug traffickers’ (</w:t>
      </w:r>
      <w:r w:rsidR="008A5347" w:rsidRPr="003C0052">
        <w:rPr>
          <w:rFonts w:ascii="Times New Roman" w:hAnsi="Times New Roman" w:cs="Times New Roman"/>
        </w:rPr>
        <w:t xml:space="preserve">of </w:t>
      </w:r>
      <w:r w:rsidR="007320A1" w:rsidRPr="003C0052">
        <w:rPr>
          <w:rFonts w:ascii="Times New Roman" w:hAnsi="Times New Roman" w:cs="Times New Roman"/>
        </w:rPr>
        <w:t>up to 15 years in most states) (Hughes et al</w:t>
      </w:r>
      <w:r w:rsidR="00D76627" w:rsidRPr="003C0052">
        <w:rPr>
          <w:rFonts w:ascii="Times New Roman" w:hAnsi="Times New Roman" w:cs="Times New Roman"/>
        </w:rPr>
        <w:t>.</w:t>
      </w:r>
      <w:r w:rsidR="009139BA" w:rsidRPr="003C0052">
        <w:rPr>
          <w:rFonts w:ascii="Times New Roman" w:hAnsi="Times New Roman" w:cs="Times New Roman"/>
        </w:rPr>
        <w:t>,</w:t>
      </w:r>
      <w:r w:rsidR="007320A1" w:rsidRPr="003C0052">
        <w:rPr>
          <w:rFonts w:ascii="Times New Roman" w:hAnsi="Times New Roman" w:cs="Times New Roman"/>
        </w:rPr>
        <w:t xml:space="preserve"> 2014). </w:t>
      </w:r>
      <w:r w:rsidR="00CF2906" w:rsidRPr="003C0052">
        <w:rPr>
          <w:rFonts w:ascii="Times New Roman" w:hAnsi="Times New Roman" w:cs="Times New Roman"/>
        </w:rPr>
        <w:t xml:space="preserve">The threshold system generally differentiates between a trafficable threshold (to distinguish low level trafficking from possession or personal use), a </w:t>
      </w:r>
      <w:r w:rsidR="00622F7D" w:rsidRPr="003C0052">
        <w:rPr>
          <w:rFonts w:ascii="Times New Roman" w:hAnsi="Times New Roman" w:cs="Times New Roman"/>
        </w:rPr>
        <w:t>‘</w:t>
      </w:r>
      <w:r w:rsidR="00CF2906" w:rsidRPr="003C0052">
        <w:rPr>
          <w:rFonts w:ascii="Times New Roman" w:hAnsi="Times New Roman" w:cs="Times New Roman"/>
        </w:rPr>
        <w:t>commercial</w:t>
      </w:r>
      <w:r w:rsidR="00622F7D" w:rsidRPr="003C0052">
        <w:rPr>
          <w:rFonts w:ascii="Times New Roman" w:hAnsi="Times New Roman" w:cs="Times New Roman"/>
        </w:rPr>
        <w:t>’</w:t>
      </w:r>
      <w:r w:rsidR="00CF2906" w:rsidRPr="003C0052">
        <w:rPr>
          <w:rFonts w:ascii="Times New Roman" w:hAnsi="Times New Roman" w:cs="Times New Roman"/>
        </w:rPr>
        <w:t xml:space="preserve"> threshold and a </w:t>
      </w:r>
      <w:r w:rsidR="00622F7D" w:rsidRPr="003C0052">
        <w:rPr>
          <w:rFonts w:ascii="Times New Roman" w:hAnsi="Times New Roman" w:cs="Times New Roman"/>
        </w:rPr>
        <w:t>‘</w:t>
      </w:r>
      <w:r w:rsidR="00CF2906" w:rsidRPr="003C0052">
        <w:rPr>
          <w:rFonts w:ascii="Times New Roman" w:hAnsi="Times New Roman" w:cs="Times New Roman"/>
        </w:rPr>
        <w:t>large commercial</w:t>
      </w:r>
      <w:r w:rsidR="00622F7D" w:rsidRPr="003C0052">
        <w:rPr>
          <w:rFonts w:ascii="Times New Roman" w:hAnsi="Times New Roman" w:cs="Times New Roman"/>
        </w:rPr>
        <w:t>’</w:t>
      </w:r>
      <w:r w:rsidR="00CF2906" w:rsidRPr="003C0052">
        <w:rPr>
          <w:rFonts w:ascii="Times New Roman" w:hAnsi="Times New Roman" w:cs="Times New Roman"/>
        </w:rPr>
        <w:t xml:space="preserve"> threshold, each imposin</w:t>
      </w:r>
      <w:r w:rsidR="008A5055" w:rsidRPr="003C0052">
        <w:rPr>
          <w:rFonts w:ascii="Times New Roman" w:hAnsi="Times New Roman" w:cs="Times New Roman"/>
        </w:rPr>
        <w:t xml:space="preserve">g increasingly severe penalties. </w:t>
      </w:r>
      <w:r w:rsidR="007C705D" w:rsidRPr="003C0052">
        <w:rPr>
          <w:rFonts w:ascii="Times New Roman" w:hAnsi="Times New Roman" w:cs="Times New Roman"/>
        </w:rPr>
        <w:t>Though</w:t>
      </w:r>
      <w:r w:rsidR="00622F7D" w:rsidRPr="003C0052">
        <w:rPr>
          <w:rFonts w:ascii="Times New Roman" w:hAnsi="Times New Roman" w:cs="Times New Roman"/>
        </w:rPr>
        <w:t xml:space="preserve"> </w:t>
      </w:r>
      <w:r w:rsidR="001F0893" w:rsidRPr="003C0052">
        <w:rPr>
          <w:rFonts w:ascii="Times New Roman" w:hAnsi="Times New Roman" w:cs="Times New Roman"/>
        </w:rPr>
        <w:t>this gradated system is designed to successfully filter out drug users from drug traffickers and impose harsher penalties for more serious offences</w:t>
      </w:r>
      <w:r w:rsidR="00376A14" w:rsidRPr="003C0052">
        <w:rPr>
          <w:rFonts w:ascii="Times New Roman" w:hAnsi="Times New Roman" w:cs="Times New Roman"/>
        </w:rPr>
        <w:t>, thresholds have</w:t>
      </w:r>
      <w:r w:rsidR="0013047B" w:rsidRPr="003C0052">
        <w:rPr>
          <w:rFonts w:ascii="Times New Roman" w:hAnsi="Times New Roman" w:cs="Times New Roman"/>
        </w:rPr>
        <w:t xml:space="preserve"> been criticised for </w:t>
      </w:r>
      <w:r w:rsidR="00E3304E" w:rsidRPr="003C0052">
        <w:rPr>
          <w:rFonts w:ascii="Times New Roman" w:hAnsi="Times New Roman" w:cs="Times New Roman"/>
        </w:rPr>
        <w:t xml:space="preserve">placing </w:t>
      </w:r>
      <w:r w:rsidR="0013047B" w:rsidRPr="003C0052">
        <w:rPr>
          <w:rFonts w:ascii="Times New Roman" w:hAnsi="Times New Roman" w:cs="Times New Roman"/>
        </w:rPr>
        <w:t xml:space="preserve">Australian drug users at risk of unjustified </w:t>
      </w:r>
      <w:r w:rsidR="00E3304E" w:rsidRPr="003C0052">
        <w:rPr>
          <w:rFonts w:ascii="Times New Roman" w:hAnsi="Times New Roman" w:cs="Times New Roman"/>
        </w:rPr>
        <w:t xml:space="preserve">supply </w:t>
      </w:r>
      <w:r w:rsidR="0013047B" w:rsidRPr="003C0052">
        <w:rPr>
          <w:rFonts w:ascii="Times New Roman" w:hAnsi="Times New Roman" w:cs="Times New Roman"/>
        </w:rPr>
        <w:t xml:space="preserve">charge or sanction </w:t>
      </w:r>
      <w:r w:rsidR="00E81FF8" w:rsidRPr="003C0052">
        <w:rPr>
          <w:rFonts w:ascii="Times New Roman" w:hAnsi="Times New Roman" w:cs="Times New Roman"/>
        </w:rPr>
        <w:t>(Hughes et al., 2014)</w:t>
      </w:r>
      <w:r w:rsidR="00E3304E" w:rsidRPr="003C0052">
        <w:rPr>
          <w:rFonts w:ascii="Times New Roman" w:hAnsi="Times New Roman" w:cs="Times New Roman"/>
        </w:rPr>
        <w:t xml:space="preserve"> and of course the nuances of the concept of ‘social supply’, as </w:t>
      </w:r>
      <w:r w:rsidR="007B3AC0" w:rsidRPr="003C0052">
        <w:rPr>
          <w:rFonts w:ascii="Times New Roman" w:hAnsi="Times New Roman" w:cs="Times New Roman"/>
        </w:rPr>
        <w:t>articulated</w:t>
      </w:r>
      <w:r w:rsidR="00E3304E" w:rsidRPr="003C0052">
        <w:rPr>
          <w:rFonts w:ascii="Times New Roman" w:hAnsi="Times New Roman" w:cs="Times New Roman"/>
        </w:rPr>
        <w:t xml:space="preserve"> </w:t>
      </w:r>
      <w:r w:rsidR="00E3304E" w:rsidRPr="003C0052">
        <w:rPr>
          <w:rFonts w:ascii="Times New Roman" w:hAnsi="Times New Roman" w:cs="Times New Roman"/>
        </w:rPr>
        <w:lastRenderedPageBreak/>
        <w:t>in this paper and elsewhere, are ignored in such an amount-based classification system.</w:t>
      </w:r>
    </w:p>
    <w:p w:rsidR="001A6484" w:rsidRPr="003C0052" w:rsidRDefault="001A6484" w:rsidP="00144A42">
      <w:pPr>
        <w:spacing w:line="360" w:lineRule="auto"/>
        <w:jc w:val="both"/>
        <w:rPr>
          <w:rFonts w:ascii="Times New Roman" w:hAnsi="Times New Roman" w:cs="Times New Roman"/>
        </w:rPr>
      </w:pPr>
    </w:p>
    <w:p w:rsidR="00C74CD1" w:rsidRPr="003C0052" w:rsidRDefault="00805653" w:rsidP="00144A42">
      <w:pPr>
        <w:spacing w:line="360" w:lineRule="auto"/>
        <w:jc w:val="both"/>
        <w:rPr>
          <w:rFonts w:ascii="Times New Roman" w:hAnsi="Times New Roman" w:cs="Times New Roman"/>
          <w:lang w:val="en-US"/>
        </w:rPr>
      </w:pPr>
      <w:r w:rsidRPr="003C0052">
        <w:rPr>
          <w:rFonts w:ascii="Times New Roman" w:hAnsi="Times New Roman" w:cs="Times New Roman"/>
        </w:rPr>
        <w:t>In Canada,</w:t>
      </w:r>
      <w:r w:rsidRPr="003C0052">
        <w:rPr>
          <w:rFonts w:ascii="Times New Roman" w:eastAsia="Times New Roman" w:hAnsi="Times New Roman" w:cs="Times New Roman"/>
          <w:lang w:eastAsia="en-GB"/>
        </w:rPr>
        <w:t xml:space="preserve"> </w:t>
      </w:r>
      <w:r w:rsidRPr="003C0052">
        <w:rPr>
          <w:rFonts w:ascii="Times New Roman" w:hAnsi="Times New Roman" w:cs="Times New Roman"/>
        </w:rPr>
        <w:t>i</w:t>
      </w:r>
      <w:r w:rsidR="003613DF" w:rsidRPr="003C0052">
        <w:rPr>
          <w:rFonts w:ascii="Times New Roman" w:hAnsi="Times New Roman" w:cs="Times New Roman"/>
        </w:rPr>
        <w:t>n addition to distinguishing between</w:t>
      </w:r>
      <w:r w:rsidR="00305B0B" w:rsidRPr="003C0052">
        <w:rPr>
          <w:rFonts w:ascii="Times New Roman" w:hAnsi="Times New Roman" w:cs="Times New Roman"/>
        </w:rPr>
        <w:t xml:space="preserve"> “hard drugs” and “soft drugs”</w:t>
      </w:r>
      <w:r w:rsidRPr="003C0052">
        <w:rPr>
          <w:rFonts w:ascii="Times New Roman" w:hAnsi="Times New Roman" w:cs="Times New Roman"/>
        </w:rPr>
        <w:t xml:space="preserve">, </w:t>
      </w:r>
      <w:r w:rsidR="003613DF" w:rsidRPr="003C0052">
        <w:rPr>
          <w:rFonts w:ascii="Times New Roman" w:hAnsi="Times New Roman" w:cs="Times New Roman"/>
        </w:rPr>
        <w:t>some Canadian courts distinguish between different levels of gravity for trafficking offences.</w:t>
      </w:r>
      <w:r w:rsidR="00371671" w:rsidRPr="003C0052">
        <w:rPr>
          <w:rFonts w:ascii="Times New Roman" w:hAnsi="Times New Roman" w:cs="Times New Roman"/>
        </w:rPr>
        <w:t xml:space="preserve"> </w:t>
      </w:r>
      <w:r w:rsidR="003613DF" w:rsidRPr="003C0052">
        <w:rPr>
          <w:rFonts w:ascii="Times New Roman" w:hAnsi="Times New Roman" w:cs="Times New Roman"/>
        </w:rPr>
        <w:t>In increasing order of severity or seriousness for trafficking offences are</w:t>
      </w:r>
      <w:r w:rsidRPr="003C0052">
        <w:rPr>
          <w:rFonts w:ascii="Times New Roman" w:hAnsi="Times New Roman" w:cs="Times New Roman"/>
        </w:rPr>
        <w:t>:</w:t>
      </w:r>
      <w:r w:rsidR="003613DF" w:rsidRPr="003C0052">
        <w:rPr>
          <w:rFonts w:ascii="Times New Roman" w:hAnsi="Times New Roman" w:cs="Times New Roman"/>
        </w:rPr>
        <w:t xml:space="preserve"> social sharing, petty retail operations, and </w:t>
      </w:r>
      <w:r w:rsidRPr="003C0052">
        <w:rPr>
          <w:rFonts w:ascii="Times New Roman" w:hAnsi="Times New Roman" w:cs="Times New Roman"/>
        </w:rPr>
        <w:t xml:space="preserve">full-time commercial operations. Factors taken into consideration include the offender’s level of involvement in the drug trade, amount and value of the drug, number of transactions, prior related record, the degree of planning, trafficking in other types of drugs, and commercial versus social trafficking. </w:t>
      </w:r>
      <w:r w:rsidR="00C74CD1" w:rsidRPr="003C0052">
        <w:rPr>
          <w:rFonts w:ascii="Times New Roman" w:hAnsi="Times New Roman" w:cs="Times New Roman"/>
        </w:rPr>
        <w:t xml:space="preserve">Moving to Asia, in Hong Kong, </w:t>
      </w:r>
      <w:r w:rsidR="00C74CD1" w:rsidRPr="003C0052">
        <w:rPr>
          <w:rFonts w:ascii="Times New Roman" w:hAnsi="Times New Roman" w:cs="Times New Roman"/>
          <w:lang w:val="en-US"/>
        </w:rPr>
        <w:t>although drug patterns have taken a dramatic t</w:t>
      </w:r>
      <w:r w:rsidR="008A5347" w:rsidRPr="003C0052">
        <w:rPr>
          <w:rFonts w:ascii="Times New Roman" w:hAnsi="Times New Roman" w:cs="Times New Roman"/>
          <w:lang w:val="en-US"/>
        </w:rPr>
        <w:t>ransformation</w:t>
      </w:r>
      <w:r w:rsidR="00C74CD1" w:rsidRPr="003C0052">
        <w:rPr>
          <w:rFonts w:ascii="Times New Roman" w:hAnsi="Times New Roman" w:cs="Times New Roman"/>
          <w:lang w:val="en-US"/>
        </w:rPr>
        <w:t>, drug policy remains firmly embedded in a prohibitionis</w:t>
      </w:r>
      <w:r w:rsidR="008E0A1E" w:rsidRPr="003C0052">
        <w:rPr>
          <w:rFonts w:ascii="Times New Roman" w:hAnsi="Times New Roman" w:cs="Times New Roman"/>
          <w:lang w:val="en-US"/>
        </w:rPr>
        <w:t xml:space="preserve">t model, with the government’s </w:t>
      </w:r>
      <w:r w:rsidR="00C74CD1" w:rsidRPr="003C0052">
        <w:rPr>
          <w:rFonts w:ascii="Times New Roman" w:hAnsi="Times New Roman" w:cs="Times New Roman"/>
          <w:lang w:val="en-US"/>
        </w:rPr>
        <w:t>first</w:t>
      </w:r>
      <w:r w:rsidR="003F356D" w:rsidRPr="003C0052">
        <w:rPr>
          <w:rFonts w:ascii="Times New Roman" w:hAnsi="Times New Roman" w:cs="Times New Roman"/>
          <w:lang w:val="en-US"/>
        </w:rPr>
        <w:t xml:space="preserve"> public campaign slogan (</w:t>
      </w:r>
      <w:r w:rsidR="006E3455" w:rsidRPr="003C0052">
        <w:rPr>
          <w:rFonts w:ascii="Times New Roman" w:hAnsi="Times New Roman" w:cs="Times New Roman"/>
          <w:lang w:val="en-US"/>
        </w:rPr>
        <w:t>Hong Kong Public Records Office, 1960</w:t>
      </w:r>
      <w:r w:rsidR="003F356D" w:rsidRPr="003C0052">
        <w:rPr>
          <w:rFonts w:ascii="Times New Roman" w:hAnsi="Times New Roman" w:cs="Times New Roman"/>
          <w:lang w:val="en-US"/>
        </w:rPr>
        <w:t>):</w:t>
      </w:r>
      <w:r w:rsidR="00C74CD1" w:rsidRPr="003C0052">
        <w:rPr>
          <w:rFonts w:ascii="Times New Roman" w:hAnsi="Times New Roman" w:cs="Times New Roman"/>
          <w:lang w:val="en-US"/>
        </w:rPr>
        <w:t xml:space="preserve"> “drug addiction means death” echoed in its current stance: “stand firm,</w:t>
      </w:r>
      <w:r w:rsidR="009D0837" w:rsidRPr="003C0052">
        <w:rPr>
          <w:rFonts w:ascii="Times New Roman" w:hAnsi="Times New Roman" w:cs="Times New Roman"/>
          <w:lang w:val="en-US"/>
        </w:rPr>
        <w:t xml:space="preserve"> knock drugs out</w:t>
      </w:r>
      <w:r w:rsidR="00C74CD1" w:rsidRPr="003C0052">
        <w:rPr>
          <w:rFonts w:ascii="Times New Roman" w:hAnsi="Times New Roman" w:cs="Times New Roman"/>
          <w:lang w:val="en-US"/>
        </w:rPr>
        <w:t>”</w:t>
      </w:r>
      <w:r w:rsidR="009D0837" w:rsidRPr="003C0052">
        <w:rPr>
          <w:rFonts w:ascii="Times New Roman" w:hAnsi="Times New Roman" w:cs="Times New Roman"/>
          <w:lang w:val="en-US"/>
        </w:rPr>
        <w:t xml:space="preserve"> (see Leung, 2010).</w:t>
      </w:r>
      <w:r w:rsidR="00C74CD1" w:rsidRPr="003C0052">
        <w:rPr>
          <w:rFonts w:ascii="Times New Roman" w:hAnsi="Times New Roman" w:cs="Times New Roman"/>
          <w:lang w:val="en-US"/>
        </w:rPr>
        <w:t xml:space="preserve"> Despite the government’s overall policy, there is</w:t>
      </w:r>
      <w:r w:rsidR="008A5055" w:rsidRPr="003C0052">
        <w:rPr>
          <w:rFonts w:ascii="Times New Roman" w:hAnsi="Times New Roman" w:cs="Times New Roman"/>
          <w:lang w:val="en-US"/>
        </w:rPr>
        <w:t xml:space="preserve"> however</w:t>
      </w:r>
      <w:r w:rsidR="00C74CD1" w:rsidRPr="003C0052">
        <w:rPr>
          <w:rFonts w:ascii="Times New Roman" w:hAnsi="Times New Roman" w:cs="Times New Roman"/>
          <w:lang w:val="en-US"/>
        </w:rPr>
        <w:t xml:space="preserve"> evidence </w:t>
      </w:r>
      <w:r w:rsidR="002A23C2" w:rsidRPr="003C0052">
        <w:rPr>
          <w:rFonts w:ascii="Times New Roman" w:hAnsi="Times New Roman" w:cs="Times New Roman"/>
          <w:lang w:val="en-US"/>
        </w:rPr>
        <w:t>(Jo-</w:t>
      </w:r>
      <w:proofErr w:type="spellStart"/>
      <w:r w:rsidR="002A23C2" w:rsidRPr="003C0052">
        <w:rPr>
          <w:rFonts w:ascii="Times New Roman" w:hAnsi="Times New Roman" w:cs="Times New Roman"/>
          <w:lang w:val="en-US"/>
        </w:rPr>
        <w:t>Laidler</w:t>
      </w:r>
      <w:proofErr w:type="spellEnd"/>
      <w:r w:rsidR="002A23C2" w:rsidRPr="003C0052">
        <w:rPr>
          <w:rFonts w:ascii="Times New Roman" w:hAnsi="Times New Roman" w:cs="Times New Roman"/>
          <w:lang w:val="en-US"/>
        </w:rPr>
        <w:t xml:space="preserve">, 2014) </w:t>
      </w:r>
      <w:r w:rsidR="00C74CD1" w:rsidRPr="003C0052">
        <w:rPr>
          <w:rFonts w:ascii="Times New Roman" w:hAnsi="Times New Roman" w:cs="Times New Roman"/>
          <w:lang w:val="en-US"/>
        </w:rPr>
        <w:t xml:space="preserve">to suggest that the </w:t>
      </w:r>
      <w:r w:rsidR="00D5244E" w:rsidRPr="003C0052">
        <w:rPr>
          <w:rFonts w:ascii="Times New Roman" w:hAnsi="Times New Roman" w:cs="Times New Roman"/>
          <w:lang w:val="en-US"/>
        </w:rPr>
        <w:t xml:space="preserve">courts have taken into account </w:t>
      </w:r>
      <w:r w:rsidR="00C74CD1" w:rsidRPr="003C0052">
        <w:rPr>
          <w:rFonts w:ascii="Times New Roman" w:hAnsi="Times New Roman" w:cs="Times New Roman"/>
          <w:lang w:val="en-US"/>
        </w:rPr>
        <w:t>the changing nature of the drug market, its consumers, and the ways in which young people obtain their drugs</w:t>
      </w:r>
      <w:r w:rsidR="00D5244E" w:rsidRPr="003C0052">
        <w:rPr>
          <w:rFonts w:ascii="Times New Roman" w:hAnsi="Times New Roman" w:cs="Times New Roman"/>
          <w:lang w:val="en-US"/>
        </w:rPr>
        <w:t xml:space="preserve"> through establishing separate </w:t>
      </w:r>
      <w:r w:rsidR="00AE6C28" w:rsidRPr="003C0052">
        <w:rPr>
          <w:rFonts w:ascii="Times New Roman" w:hAnsi="Times New Roman" w:cs="Times New Roman"/>
          <w:lang w:val="en-US"/>
        </w:rPr>
        <w:t xml:space="preserve">sentencing </w:t>
      </w:r>
      <w:r w:rsidR="00D5244E" w:rsidRPr="003C0052">
        <w:rPr>
          <w:rFonts w:ascii="Times New Roman" w:hAnsi="Times New Roman" w:cs="Times New Roman"/>
          <w:lang w:val="en-US"/>
        </w:rPr>
        <w:t>tariff bands for supply of different substances</w:t>
      </w:r>
      <w:r w:rsidR="00C74CD1" w:rsidRPr="003C0052">
        <w:rPr>
          <w:rFonts w:ascii="Times New Roman" w:hAnsi="Times New Roman" w:cs="Times New Roman"/>
          <w:lang w:val="en-US"/>
        </w:rPr>
        <w:t>.</w:t>
      </w:r>
      <w:r w:rsidR="00692A89" w:rsidRPr="003C0052">
        <w:rPr>
          <w:rFonts w:ascii="Times New Roman" w:hAnsi="Times New Roman" w:cs="Times New Roman"/>
          <w:lang w:val="en-US"/>
        </w:rPr>
        <w:t xml:space="preserve"> </w:t>
      </w:r>
    </w:p>
    <w:p w:rsidR="003613DF" w:rsidRPr="003C0052" w:rsidRDefault="003613DF" w:rsidP="00805653">
      <w:pPr>
        <w:spacing w:line="360" w:lineRule="auto"/>
        <w:jc w:val="both"/>
        <w:rPr>
          <w:rFonts w:ascii="Times New Roman" w:hAnsi="Times New Roman" w:cs="Times New Roman"/>
        </w:rPr>
      </w:pPr>
    </w:p>
    <w:p w:rsidR="00BC717C" w:rsidRPr="003C0052" w:rsidRDefault="0063201D" w:rsidP="00E7752F">
      <w:pPr>
        <w:jc w:val="both"/>
        <w:outlineLvl w:val="0"/>
        <w:rPr>
          <w:rFonts w:ascii="Times New Roman" w:hAnsi="Times New Roman" w:cs="Times New Roman"/>
          <w:i/>
        </w:rPr>
      </w:pPr>
      <w:r w:rsidRPr="003C0052">
        <w:rPr>
          <w:rFonts w:ascii="Times New Roman" w:hAnsi="Times New Roman" w:cs="Times New Roman"/>
          <w:i/>
        </w:rPr>
        <w:t>Less Differentiated S</w:t>
      </w:r>
      <w:r w:rsidR="008E0A1E" w:rsidRPr="003C0052">
        <w:rPr>
          <w:rFonts w:ascii="Times New Roman" w:hAnsi="Times New Roman" w:cs="Times New Roman"/>
          <w:i/>
        </w:rPr>
        <w:t>ystems</w:t>
      </w:r>
      <w:r w:rsidR="00CD3D4B" w:rsidRPr="003C0052">
        <w:rPr>
          <w:rFonts w:ascii="Times New Roman" w:hAnsi="Times New Roman" w:cs="Times New Roman"/>
          <w:i/>
        </w:rPr>
        <w:t xml:space="preserve">: </w:t>
      </w:r>
      <w:r w:rsidR="00CD3D4B" w:rsidRPr="003C0052">
        <w:rPr>
          <w:rFonts w:ascii="Times New Roman" w:hAnsi="Times New Roman" w:cs="Times New Roman"/>
          <w:i/>
          <w:lang w:val="en-US"/>
        </w:rPr>
        <w:t>Discretion and Disparity.</w:t>
      </w:r>
    </w:p>
    <w:p w:rsidR="008E0A1E" w:rsidRPr="003C0052" w:rsidRDefault="008E0A1E" w:rsidP="003613DF">
      <w:pPr>
        <w:jc w:val="both"/>
        <w:rPr>
          <w:rFonts w:ascii="Times New Roman" w:hAnsi="Times New Roman" w:cs="Times New Roman"/>
        </w:rPr>
      </w:pPr>
    </w:p>
    <w:p w:rsidR="0024759D" w:rsidRPr="003C0052" w:rsidRDefault="003C7F55" w:rsidP="00CD3D4B">
      <w:pPr>
        <w:spacing w:line="360" w:lineRule="auto"/>
        <w:jc w:val="both"/>
        <w:rPr>
          <w:rFonts w:ascii="Times New Roman" w:hAnsi="Times New Roman" w:cs="Times New Roman"/>
          <w:lang w:val="en-US"/>
        </w:rPr>
      </w:pPr>
      <w:r w:rsidRPr="003C0052">
        <w:rPr>
          <w:rFonts w:ascii="Times New Roman" w:hAnsi="Times New Roman" w:cs="Times New Roman"/>
        </w:rPr>
        <w:t xml:space="preserve">Across Europe there is evidence of wide spectrum of </w:t>
      </w:r>
      <w:r w:rsidR="00FC252F" w:rsidRPr="003C0052">
        <w:rPr>
          <w:rFonts w:ascii="Times New Roman" w:hAnsi="Times New Roman" w:cs="Times New Roman"/>
        </w:rPr>
        <w:t xml:space="preserve">drug laws that deal with drug offences such as possession, supply and transportation in a range of ways. </w:t>
      </w:r>
      <w:r w:rsidR="00F82BCF" w:rsidRPr="003C0052">
        <w:rPr>
          <w:rFonts w:ascii="Times New Roman" w:hAnsi="Times New Roman" w:cs="Times New Roman"/>
          <w:color w:val="000000"/>
        </w:rPr>
        <w:t>Drug use</w:t>
      </w:r>
      <w:r w:rsidR="00B37EDB" w:rsidRPr="003C0052">
        <w:rPr>
          <w:rFonts w:ascii="Times New Roman" w:hAnsi="Times New Roman" w:cs="Times New Roman"/>
          <w:color w:val="000000"/>
        </w:rPr>
        <w:t>,</w:t>
      </w:r>
      <w:r w:rsidR="00F82BCF" w:rsidRPr="003C0052">
        <w:rPr>
          <w:rFonts w:ascii="Times New Roman" w:hAnsi="Times New Roman" w:cs="Times New Roman"/>
          <w:color w:val="000000"/>
        </w:rPr>
        <w:t xml:space="preserve"> </w:t>
      </w:r>
      <w:r w:rsidR="00FC252F" w:rsidRPr="003C0052">
        <w:rPr>
          <w:rFonts w:ascii="Times New Roman" w:hAnsi="Times New Roman" w:cs="Times New Roman"/>
          <w:color w:val="000000"/>
        </w:rPr>
        <w:t>for example</w:t>
      </w:r>
      <w:r w:rsidR="00B37EDB" w:rsidRPr="003C0052">
        <w:rPr>
          <w:rFonts w:ascii="Times New Roman" w:hAnsi="Times New Roman" w:cs="Times New Roman"/>
          <w:color w:val="000000"/>
        </w:rPr>
        <w:t>,</w:t>
      </w:r>
      <w:r w:rsidR="00FC252F" w:rsidRPr="003C0052">
        <w:rPr>
          <w:rFonts w:ascii="Times New Roman" w:hAnsi="Times New Roman" w:cs="Times New Roman"/>
          <w:color w:val="000000"/>
        </w:rPr>
        <w:t xml:space="preserve"> </w:t>
      </w:r>
      <w:r w:rsidR="00F82BCF" w:rsidRPr="003C0052">
        <w:rPr>
          <w:rFonts w:ascii="Times New Roman" w:hAnsi="Times New Roman" w:cs="Times New Roman"/>
          <w:color w:val="000000"/>
        </w:rPr>
        <w:t>is not an off</w:t>
      </w:r>
      <w:r w:rsidR="00496133" w:rsidRPr="003C0052">
        <w:rPr>
          <w:rFonts w:ascii="Times New Roman" w:hAnsi="Times New Roman" w:cs="Times New Roman"/>
          <w:color w:val="000000"/>
        </w:rPr>
        <w:t xml:space="preserve">ence in the Czech Republic, and possession of small quantities </w:t>
      </w:r>
      <w:r w:rsidR="00D10820" w:rsidRPr="003C0052">
        <w:rPr>
          <w:rFonts w:ascii="Times New Roman" w:hAnsi="Times New Roman" w:cs="Times New Roman"/>
          <w:color w:val="000000"/>
        </w:rPr>
        <w:t xml:space="preserve">of any drug </w:t>
      </w:r>
      <w:r w:rsidR="00496133" w:rsidRPr="003C0052">
        <w:rPr>
          <w:rFonts w:ascii="Times New Roman" w:hAnsi="Times New Roman" w:cs="Times New Roman"/>
          <w:color w:val="000000"/>
        </w:rPr>
        <w:t xml:space="preserve">for personal use is a non-criminal </w:t>
      </w:r>
      <w:r w:rsidR="00710BFD" w:rsidRPr="003C0052">
        <w:rPr>
          <w:rFonts w:ascii="Times New Roman" w:hAnsi="Times New Roman" w:cs="Times New Roman"/>
          <w:color w:val="000000"/>
        </w:rPr>
        <w:t xml:space="preserve">(administrative) </w:t>
      </w:r>
      <w:r w:rsidR="00496133" w:rsidRPr="003C0052">
        <w:rPr>
          <w:rFonts w:ascii="Times New Roman" w:hAnsi="Times New Roman" w:cs="Times New Roman"/>
          <w:color w:val="000000"/>
        </w:rPr>
        <w:t xml:space="preserve">offence under the Act of Violations, punishable by a </w:t>
      </w:r>
      <w:r w:rsidR="008A5347" w:rsidRPr="003C0052">
        <w:rPr>
          <w:rFonts w:ascii="Times New Roman" w:hAnsi="Times New Roman" w:cs="Times New Roman"/>
          <w:color w:val="000000"/>
        </w:rPr>
        <w:t>fi</w:t>
      </w:r>
      <w:r w:rsidR="00496133" w:rsidRPr="003C0052">
        <w:rPr>
          <w:rFonts w:ascii="Times New Roman" w:hAnsi="Times New Roman" w:cs="Times New Roman"/>
          <w:color w:val="000000"/>
        </w:rPr>
        <w:t>ne of up to CZK 15 000 (EUR 550)</w:t>
      </w:r>
      <w:r w:rsidR="008A5347" w:rsidRPr="003C0052">
        <w:rPr>
          <w:rFonts w:ascii="Times New Roman" w:hAnsi="Times New Roman" w:cs="Times New Roman"/>
          <w:color w:val="000000"/>
        </w:rPr>
        <w:t xml:space="preserve"> (EMCDDA, 2017</w:t>
      </w:r>
      <w:r w:rsidR="00B61E87" w:rsidRPr="003C0052">
        <w:rPr>
          <w:rFonts w:ascii="Times New Roman" w:hAnsi="Times New Roman" w:cs="Times New Roman"/>
          <w:color w:val="000000"/>
        </w:rPr>
        <w:t>c</w:t>
      </w:r>
      <w:r w:rsidR="008A5347" w:rsidRPr="003C0052">
        <w:rPr>
          <w:rFonts w:ascii="Times New Roman" w:hAnsi="Times New Roman" w:cs="Times New Roman"/>
          <w:color w:val="000000"/>
        </w:rPr>
        <w:t>)</w:t>
      </w:r>
      <w:r w:rsidR="00710BFD" w:rsidRPr="003C0052">
        <w:rPr>
          <w:rFonts w:ascii="Times New Roman" w:hAnsi="Times New Roman" w:cs="Times New Roman"/>
          <w:color w:val="000000"/>
        </w:rPr>
        <w:t>; this applies equally to cultivating cannabis for personal use in small amounts (</w:t>
      </w:r>
      <w:proofErr w:type="spellStart"/>
      <w:r w:rsidR="00710BFD" w:rsidRPr="003C0052">
        <w:rPr>
          <w:rFonts w:ascii="Times New Roman" w:hAnsi="Times New Roman" w:cs="Times New Roman"/>
          <w:color w:val="000000"/>
        </w:rPr>
        <w:t>Belackova</w:t>
      </w:r>
      <w:proofErr w:type="spellEnd"/>
      <w:r w:rsidR="00710BFD" w:rsidRPr="003C0052">
        <w:rPr>
          <w:rFonts w:ascii="Times New Roman" w:hAnsi="Times New Roman" w:cs="Times New Roman"/>
          <w:color w:val="000000"/>
        </w:rPr>
        <w:t xml:space="preserve"> &amp; </w:t>
      </w:r>
      <w:proofErr w:type="spellStart"/>
      <w:r w:rsidR="00710BFD" w:rsidRPr="003C0052">
        <w:rPr>
          <w:rFonts w:ascii="Times New Roman" w:hAnsi="Times New Roman" w:cs="Times New Roman"/>
          <w:color w:val="000000"/>
        </w:rPr>
        <w:t>Stefunkova</w:t>
      </w:r>
      <w:proofErr w:type="spellEnd"/>
      <w:r w:rsidR="00710BFD" w:rsidRPr="003C0052">
        <w:rPr>
          <w:rFonts w:ascii="Times New Roman" w:hAnsi="Times New Roman" w:cs="Times New Roman"/>
          <w:color w:val="000000"/>
        </w:rPr>
        <w:t>, 2017). Still,</w:t>
      </w:r>
      <w:r w:rsidR="00496133" w:rsidRPr="003C0052">
        <w:rPr>
          <w:rFonts w:ascii="Times New Roman" w:hAnsi="Times New Roman" w:cs="Times New Roman"/>
          <w:color w:val="000000"/>
        </w:rPr>
        <w:t xml:space="preserve"> </w:t>
      </w:r>
      <w:r w:rsidR="00710BFD" w:rsidRPr="003C0052">
        <w:rPr>
          <w:rFonts w:ascii="Times New Roman" w:hAnsi="Times New Roman" w:cs="Times New Roman"/>
          <w:color w:val="000000"/>
        </w:rPr>
        <w:t>t</w:t>
      </w:r>
      <w:r w:rsidR="009F0B85" w:rsidRPr="003C0052">
        <w:rPr>
          <w:rFonts w:ascii="Times New Roman" w:hAnsi="Times New Roman" w:cs="Times New Roman"/>
          <w:color w:val="000000"/>
        </w:rPr>
        <w:t>he penalties for d</w:t>
      </w:r>
      <w:r w:rsidR="001151E5" w:rsidRPr="003C0052">
        <w:rPr>
          <w:rFonts w:ascii="Times New Roman" w:hAnsi="Times New Roman" w:cs="Times New Roman"/>
          <w:color w:val="000000"/>
        </w:rPr>
        <w:t>rug supply</w:t>
      </w:r>
      <w:r w:rsidR="009F0B85" w:rsidRPr="003C0052">
        <w:rPr>
          <w:rFonts w:ascii="Times New Roman" w:hAnsi="Times New Roman" w:cs="Times New Roman"/>
          <w:color w:val="000000"/>
        </w:rPr>
        <w:t xml:space="preserve"> </w:t>
      </w:r>
      <w:r w:rsidR="00B37EDB" w:rsidRPr="003C0052">
        <w:rPr>
          <w:rFonts w:ascii="Times New Roman" w:hAnsi="Times New Roman" w:cs="Times New Roman"/>
          <w:color w:val="000000"/>
        </w:rPr>
        <w:t>range</w:t>
      </w:r>
      <w:r w:rsidR="000537C4" w:rsidRPr="003C0052">
        <w:rPr>
          <w:rFonts w:ascii="Times New Roman" w:hAnsi="Times New Roman" w:cs="Times New Roman"/>
          <w:color w:val="000000"/>
        </w:rPr>
        <w:t xml:space="preserve"> </w:t>
      </w:r>
      <w:r w:rsidR="00496133" w:rsidRPr="003C0052">
        <w:rPr>
          <w:rFonts w:ascii="Times New Roman" w:hAnsi="Times New Roman" w:cs="Times New Roman"/>
          <w:color w:val="000000"/>
        </w:rPr>
        <w:t>from 1-5 to years to 10-</w:t>
      </w:r>
      <w:r w:rsidR="00C239DD" w:rsidRPr="003C0052">
        <w:rPr>
          <w:rFonts w:ascii="Times New Roman" w:hAnsi="Times New Roman" w:cs="Times New Roman"/>
          <w:color w:val="000000"/>
        </w:rPr>
        <w:t>18 years of imprisonment, depending on various specified aggravating circumstances</w:t>
      </w:r>
      <w:r w:rsidR="000537C4" w:rsidRPr="003C0052">
        <w:rPr>
          <w:rFonts w:ascii="Times New Roman" w:hAnsi="Times New Roman" w:cs="Times New Roman"/>
          <w:color w:val="000000"/>
        </w:rPr>
        <w:t xml:space="preserve"> including</w:t>
      </w:r>
      <w:r w:rsidR="00BC717C" w:rsidRPr="003C0052">
        <w:rPr>
          <w:rFonts w:ascii="Times New Roman" w:hAnsi="Times New Roman" w:cs="Times New Roman"/>
        </w:rPr>
        <w:t xml:space="preserve">, frequency of offending, duration of offending and the way the substance had been handled. </w:t>
      </w:r>
      <w:r w:rsidR="000537C4" w:rsidRPr="003C0052">
        <w:rPr>
          <w:rFonts w:ascii="Times New Roman" w:hAnsi="Times New Roman" w:cs="Times New Roman"/>
        </w:rPr>
        <w:t>T</w:t>
      </w:r>
      <w:r w:rsidR="00BC717C" w:rsidRPr="003C0052">
        <w:rPr>
          <w:rFonts w:ascii="Times New Roman" w:hAnsi="Times New Roman" w:cs="Times New Roman"/>
        </w:rPr>
        <w:t>he financial value</w:t>
      </w:r>
      <w:r w:rsidR="000537C4" w:rsidRPr="003C0052">
        <w:rPr>
          <w:rFonts w:ascii="Times New Roman" w:hAnsi="Times New Roman" w:cs="Times New Roman"/>
        </w:rPr>
        <w:t xml:space="preserve"> of the transaction</w:t>
      </w:r>
      <w:r w:rsidR="00BC717C" w:rsidRPr="003C0052">
        <w:rPr>
          <w:rFonts w:ascii="Times New Roman" w:hAnsi="Times New Roman" w:cs="Times New Roman"/>
        </w:rPr>
        <w:t>, and notab</w:t>
      </w:r>
      <w:r w:rsidR="000537C4" w:rsidRPr="003C0052">
        <w:rPr>
          <w:rFonts w:ascii="Times New Roman" w:hAnsi="Times New Roman" w:cs="Times New Roman"/>
        </w:rPr>
        <w:t>ly the financial gain or profit</w:t>
      </w:r>
      <w:r w:rsidR="00BC717C" w:rsidRPr="003C0052">
        <w:rPr>
          <w:rFonts w:ascii="Times New Roman" w:hAnsi="Times New Roman" w:cs="Times New Roman"/>
        </w:rPr>
        <w:t xml:space="preserve"> are </w:t>
      </w:r>
      <w:r w:rsidR="000537C4" w:rsidRPr="003C0052">
        <w:rPr>
          <w:rFonts w:ascii="Times New Roman" w:hAnsi="Times New Roman" w:cs="Times New Roman"/>
        </w:rPr>
        <w:t xml:space="preserve">also </w:t>
      </w:r>
      <w:r w:rsidR="00BC717C" w:rsidRPr="003C0052">
        <w:rPr>
          <w:rFonts w:ascii="Times New Roman" w:hAnsi="Times New Roman" w:cs="Times New Roman"/>
        </w:rPr>
        <w:t xml:space="preserve">taken into account as well as the number of individuals who had been affected by offending (e.g. the number of </w:t>
      </w:r>
      <w:r w:rsidR="00BC717C" w:rsidRPr="003C0052">
        <w:rPr>
          <w:rFonts w:ascii="Times New Roman" w:hAnsi="Times New Roman" w:cs="Times New Roman"/>
        </w:rPr>
        <w:lastRenderedPageBreak/>
        <w:t>individuals the person sold the drug to)</w:t>
      </w:r>
      <w:r w:rsidR="00B7599F" w:rsidRPr="003C0052">
        <w:rPr>
          <w:rFonts w:ascii="Times New Roman" w:hAnsi="Times New Roman" w:cs="Times New Roman"/>
        </w:rPr>
        <w:t xml:space="preserve"> </w:t>
      </w:r>
      <w:r w:rsidR="00BC717C" w:rsidRPr="003C0052">
        <w:rPr>
          <w:rFonts w:ascii="Times New Roman" w:hAnsi="Times New Roman" w:cs="Times New Roman"/>
        </w:rPr>
        <w:fldChar w:fldCharType="begin"/>
      </w:r>
      <w:r w:rsidR="00BC717C" w:rsidRPr="003C0052">
        <w:rPr>
          <w:rFonts w:ascii="Times New Roman" w:hAnsi="Times New Roman" w:cs="Times New Roman"/>
        </w:rPr>
        <w:instrText xml:space="preserve"> ADDIN EN.CITE &lt;EndNote&gt;&lt;Cite&gt;&lt;Author&gt;Zeman&lt;/Author&gt;&lt;Year&gt;2015&lt;/Year&gt;&lt;RecNum&gt;1114&lt;/RecNum&gt;&lt;DisplayText&gt;(Zeman, Stefunkova, &amp;amp; Travnickova, 2015)&lt;/DisplayText&gt;&lt;record&gt;&lt;rec-number&gt;1114&lt;/rec-number&gt;&lt;foreign-keys&gt;&lt;key app="EN" db-id="05st225pxarstqevtvexxfvuef9s0wrdxwer" timestamp="1480046173"&gt;1114&lt;/key&gt;&lt;/foreign-keys&gt;&lt;ref-type name="Report"&gt;27&lt;/ref-type&gt;&lt;contributors&gt;&lt;authors&gt;&lt;author&gt;Zeman, P.&lt;/author&gt;&lt;author&gt;Stefunkova, M.&lt;/author&gt;&lt;author&gt;Travnickova, I.&lt;/author&gt;&lt;/authors&gt;&lt;/contributors&gt;&lt;titles&gt;&lt;title&gt;Drogova kriminalita [Illicit Drug Criminality]&lt;/title&gt;&lt;/titles&gt;&lt;keywords&gt;&lt;keyword&gt;užívání drog, prevalence, postoje, názory, výzkum, průzkum, studie, factum invenio, iksp, legislativa&lt;/keyword&gt;&lt;/keywords&gt;&lt;dates&gt;&lt;year&gt;2015&lt;/year&gt;&lt;pub-dates&gt;&lt;date&gt;2015&lt;/date&gt;&lt;/pub-dates&gt;&lt;/dates&gt;&lt;pub-location&gt;Praha&lt;/pub-location&gt;&lt;publisher&gt;Institute for Criminology and Social Prevention&lt;/publisher&gt;&lt;urls&gt;&lt;related-urls&gt;&lt;url&gt;http://www.ok.cz/iksp/docs/387.pdf&lt;/url&gt;&lt;/related-urls&gt;&lt;/urls&gt;&lt;/record&gt;&lt;/Cite&gt;&lt;/EndNote&gt;</w:instrText>
      </w:r>
      <w:r w:rsidR="00BC717C" w:rsidRPr="003C0052">
        <w:rPr>
          <w:rFonts w:ascii="Times New Roman" w:hAnsi="Times New Roman" w:cs="Times New Roman"/>
        </w:rPr>
        <w:fldChar w:fldCharType="separate"/>
      </w:r>
      <w:r w:rsidR="00BC717C" w:rsidRPr="003C0052">
        <w:rPr>
          <w:rFonts w:ascii="Times New Roman" w:hAnsi="Times New Roman" w:cs="Times New Roman"/>
          <w:noProof/>
        </w:rPr>
        <w:t>(Zeman, Stefunkova, &amp; Travnickova, 2015)</w:t>
      </w:r>
      <w:r w:rsidR="00BC717C" w:rsidRPr="003C0052">
        <w:rPr>
          <w:rFonts w:ascii="Times New Roman" w:hAnsi="Times New Roman" w:cs="Times New Roman"/>
        </w:rPr>
        <w:fldChar w:fldCharType="end"/>
      </w:r>
      <w:r w:rsidR="00BC717C" w:rsidRPr="003C0052">
        <w:rPr>
          <w:rFonts w:ascii="Times New Roman" w:hAnsi="Times New Roman" w:cs="Times New Roman"/>
        </w:rPr>
        <w:t>.</w:t>
      </w:r>
      <w:r w:rsidR="000011C7" w:rsidRPr="003C0052">
        <w:rPr>
          <w:rFonts w:ascii="Times New Roman" w:hAnsi="Times New Roman" w:cs="Times New Roman"/>
        </w:rPr>
        <w:t xml:space="preserve"> Finland provides an example of a context in which supply differentiation is absent due </w:t>
      </w:r>
      <w:r w:rsidR="00252629" w:rsidRPr="003C0052">
        <w:rPr>
          <w:rFonts w:ascii="Times New Roman" w:hAnsi="Times New Roman" w:cs="Times New Roman"/>
        </w:rPr>
        <w:t xml:space="preserve">to </w:t>
      </w:r>
      <w:r w:rsidR="000011C7" w:rsidRPr="003C0052">
        <w:rPr>
          <w:rFonts w:ascii="Times New Roman" w:hAnsi="Times New Roman" w:cs="Times New Roman"/>
        </w:rPr>
        <w:t xml:space="preserve">there being </w:t>
      </w:r>
      <w:r w:rsidR="000537C4" w:rsidRPr="003C0052">
        <w:rPr>
          <w:rFonts w:ascii="Times New Roman" w:hAnsi="Times New Roman" w:cs="Times New Roman"/>
        </w:rPr>
        <w:t>‘</w:t>
      </w:r>
      <w:r w:rsidR="00FC252F" w:rsidRPr="003C0052">
        <w:rPr>
          <w:rFonts w:ascii="Times New Roman" w:eastAsia="Times New Roman" w:hAnsi="Times New Roman" w:cs="Times New Roman"/>
          <w:i/>
          <w:lang w:eastAsia="en-GB"/>
        </w:rPr>
        <w:t>no specific offence of dealing or trafficking</w:t>
      </w:r>
      <w:r w:rsidR="000537C4" w:rsidRPr="003C0052">
        <w:rPr>
          <w:rFonts w:ascii="Times New Roman" w:eastAsia="Times New Roman" w:hAnsi="Times New Roman" w:cs="Times New Roman"/>
          <w:i/>
          <w:lang w:eastAsia="en-GB"/>
        </w:rPr>
        <w:t>’</w:t>
      </w:r>
      <w:r w:rsidR="005F1C4D" w:rsidRPr="003C0052">
        <w:rPr>
          <w:rFonts w:ascii="Times New Roman" w:eastAsia="Times New Roman" w:hAnsi="Times New Roman" w:cs="Times New Roman"/>
          <w:i/>
          <w:lang w:eastAsia="en-GB"/>
        </w:rPr>
        <w:t xml:space="preserve"> </w:t>
      </w:r>
      <w:r w:rsidR="005F1C4D" w:rsidRPr="003C0052">
        <w:rPr>
          <w:rFonts w:ascii="Times New Roman" w:eastAsia="Times New Roman" w:hAnsi="Times New Roman" w:cs="Times New Roman"/>
          <w:lang w:eastAsia="en-GB"/>
        </w:rPr>
        <w:t>(EMCDDA</w:t>
      </w:r>
      <w:r w:rsidR="009139BA" w:rsidRPr="003C0052">
        <w:rPr>
          <w:rFonts w:ascii="Times New Roman" w:eastAsia="Times New Roman" w:hAnsi="Times New Roman" w:cs="Times New Roman"/>
          <w:lang w:eastAsia="en-GB"/>
        </w:rPr>
        <w:t>,</w:t>
      </w:r>
      <w:r w:rsidR="005F1C4D" w:rsidRPr="003C0052">
        <w:rPr>
          <w:rFonts w:ascii="Times New Roman" w:eastAsia="Times New Roman" w:hAnsi="Times New Roman" w:cs="Times New Roman"/>
          <w:lang w:eastAsia="en-GB"/>
        </w:rPr>
        <w:t xml:space="preserve"> 2017</w:t>
      </w:r>
      <w:r w:rsidR="00B61E87" w:rsidRPr="003C0052">
        <w:rPr>
          <w:rFonts w:ascii="Times New Roman" w:eastAsia="Times New Roman" w:hAnsi="Times New Roman" w:cs="Times New Roman"/>
          <w:lang w:eastAsia="en-GB"/>
        </w:rPr>
        <w:t>d</w:t>
      </w:r>
      <w:r w:rsidR="005F1C4D" w:rsidRPr="003C0052">
        <w:rPr>
          <w:rFonts w:ascii="Times New Roman" w:eastAsia="Times New Roman" w:hAnsi="Times New Roman" w:cs="Times New Roman"/>
          <w:lang w:eastAsia="en-GB"/>
        </w:rPr>
        <w:t>)</w:t>
      </w:r>
      <w:r w:rsidR="003C759B" w:rsidRPr="003C0052">
        <w:rPr>
          <w:rFonts w:ascii="Times New Roman" w:eastAsia="Times New Roman" w:hAnsi="Times New Roman" w:cs="Times New Roman"/>
          <w:lang w:eastAsia="en-GB"/>
        </w:rPr>
        <w:t xml:space="preserve"> -</w:t>
      </w:r>
      <w:r w:rsidR="005F1C4D" w:rsidRPr="003C0052">
        <w:rPr>
          <w:rFonts w:ascii="Times New Roman" w:eastAsia="Times New Roman" w:hAnsi="Times New Roman" w:cs="Times New Roman"/>
          <w:lang w:eastAsia="en-GB"/>
        </w:rPr>
        <w:t xml:space="preserve"> with drug offences being split within the categories of ‘drug user offence’, ‘drug offence’ and ‘aggravated drug offence’.</w:t>
      </w:r>
      <w:r w:rsidR="00FC252F" w:rsidRPr="003C0052">
        <w:rPr>
          <w:rFonts w:ascii="Times New Roman" w:eastAsia="Times New Roman" w:hAnsi="Times New Roman" w:cs="Times New Roman"/>
          <w:lang w:eastAsia="en-GB"/>
        </w:rPr>
        <w:t xml:space="preserve"> The penalties for a </w:t>
      </w:r>
      <w:r w:rsidR="000011C7" w:rsidRPr="003C0052">
        <w:rPr>
          <w:rFonts w:ascii="Times New Roman" w:eastAsia="Times New Roman" w:hAnsi="Times New Roman" w:cs="Times New Roman"/>
          <w:lang w:eastAsia="en-GB"/>
        </w:rPr>
        <w:t>‘drug user offence’ begin from a fine to six month</w:t>
      </w:r>
      <w:r w:rsidR="00AE45DD" w:rsidRPr="003C0052">
        <w:rPr>
          <w:rFonts w:ascii="Times New Roman" w:eastAsia="Times New Roman" w:hAnsi="Times New Roman" w:cs="Times New Roman"/>
          <w:lang w:eastAsia="en-GB"/>
        </w:rPr>
        <w:t>’</w:t>
      </w:r>
      <w:r w:rsidR="000011C7" w:rsidRPr="003C0052">
        <w:rPr>
          <w:rFonts w:ascii="Times New Roman" w:eastAsia="Times New Roman" w:hAnsi="Times New Roman" w:cs="Times New Roman"/>
          <w:lang w:eastAsia="en-GB"/>
        </w:rPr>
        <w:t>s imprisonment, while a ‘</w:t>
      </w:r>
      <w:r w:rsidR="00FC252F" w:rsidRPr="003C0052">
        <w:rPr>
          <w:rFonts w:ascii="Times New Roman" w:eastAsia="Times New Roman" w:hAnsi="Times New Roman" w:cs="Times New Roman"/>
          <w:lang w:eastAsia="en-GB"/>
        </w:rPr>
        <w:t>drug offence range</w:t>
      </w:r>
      <w:r w:rsidR="000011C7" w:rsidRPr="003C0052">
        <w:rPr>
          <w:rFonts w:ascii="Times New Roman" w:eastAsia="Times New Roman" w:hAnsi="Times New Roman" w:cs="Times New Roman"/>
          <w:lang w:eastAsia="en-GB"/>
        </w:rPr>
        <w:t>s</w:t>
      </w:r>
      <w:r w:rsidR="00FC252F" w:rsidRPr="003C0052">
        <w:rPr>
          <w:rFonts w:ascii="Times New Roman" w:eastAsia="Times New Roman" w:hAnsi="Times New Roman" w:cs="Times New Roman"/>
          <w:lang w:eastAsia="en-GB"/>
        </w:rPr>
        <w:t xml:space="preserve"> from a fine to a maxi</w:t>
      </w:r>
      <w:r w:rsidR="000011C7" w:rsidRPr="003C0052">
        <w:rPr>
          <w:rFonts w:ascii="Times New Roman" w:eastAsia="Times New Roman" w:hAnsi="Times New Roman" w:cs="Times New Roman"/>
          <w:lang w:eastAsia="en-GB"/>
        </w:rPr>
        <w:t>mum of two years’ imprisonment, and an ‘</w:t>
      </w:r>
      <w:r w:rsidR="00FC252F" w:rsidRPr="003C0052">
        <w:rPr>
          <w:rFonts w:ascii="Times New Roman" w:eastAsia="Times New Roman" w:hAnsi="Times New Roman" w:cs="Times New Roman"/>
          <w:lang w:eastAsia="en-GB"/>
        </w:rPr>
        <w:t>aggravated drug offence</w:t>
      </w:r>
      <w:r w:rsidR="000011C7" w:rsidRPr="003C0052">
        <w:rPr>
          <w:rFonts w:ascii="Times New Roman" w:eastAsia="Times New Roman" w:hAnsi="Times New Roman" w:cs="Times New Roman"/>
          <w:lang w:eastAsia="en-GB"/>
        </w:rPr>
        <w:t>’</w:t>
      </w:r>
      <w:r w:rsidR="00FC252F" w:rsidRPr="003C0052">
        <w:rPr>
          <w:rFonts w:ascii="Times New Roman" w:eastAsia="Times New Roman" w:hAnsi="Times New Roman" w:cs="Times New Roman"/>
          <w:lang w:eastAsia="en-GB"/>
        </w:rPr>
        <w:t xml:space="preserve"> </w:t>
      </w:r>
      <w:r w:rsidR="00252629" w:rsidRPr="003C0052">
        <w:rPr>
          <w:rFonts w:ascii="Times New Roman" w:eastAsia="Times New Roman" w:hAnsi="Times New Roman" w:cs="Times New Roman"/>
          <w:lang w:eastAsia="en-GB"/>
        </w:rPr>
        <w:t xml:space="preserve">to be </w:t>
      </w:r>
      <w:r w:rsidR="00FC252F" w:rsidRPr="003C0052">
        <w:rPr>
          <w:rFonts w:ascii="Times New Roman" w:eastAsia="Times New Roman" w:hAnsi="Times New Roman" w:cs="Times New Roman"/>
          <w:lang w:eastAsia="en-GB"/>
        </w:rPr>
        <w:t xml:space="preserve">punishable by 1-10 years’ imprisonment. Aggravating circumstances for a drug offence include the involvement of substances considered as ‘very dangerous’; </w:t>
      </w:r>
      <w:r w:rsidR="00FA5E75" w:rsidRPr="003C0052">
        <w:rPr>
          <w:rFonts w:ascii="Times New Roman" w:hAnsi="Times New Roman" w:cs="Times New Roman"/>
          <w:lang w:val="en-US"/>
        </w:rPr>
        <w:t>if substan</w:t>
      </w:r>
      <w:r w:rsidR="005F1C4D" w:rsidRPr="003C0052">
        <w:rPr>
          <w:rFonts w:ascii="Times New Roman" w:hAnsi="Times New Roman" w:cs="Times New Roman"/>
          <w:lang w:val="en-US"/>
        </w:rPr>
        <w:t>tial financial profit is sought;</w:t>
      </w:r>
      <w:r w:rsidR="00FA5E75" w:rsidRPr="003C0052">
        <w:rPr>
          <w:rFonts w:ascii="Times New Roman" w:hAnsi="Times New Roman" w:cs="Times New Roman"/>
          <w:lang w:val="en-US"/>
        </w:rPr>
        <w:t xml:space="preserve"> </w:t>
      </w:r>
      <w:r w:rsidR="003C759B" w:rsidRPr="003C0052">
        <w:rPr>
          <w:rFonts w:ascii="Times New Roman" w:hAnsi="Times New Roman" w:cs="Times New Roman"/>
          <w:lang w:val="en-US"/>
        </w:rPr>
        <w:t xml:space="preserve">if </w:t>
      </w:r>
      <w:r w:rsidR="00FA5E75" w:rsidRPr="003C0052">
        <w:rPr>
          <w:rFonts w:ascii="Times New Roman" w:hAnsi="Times New Roman" w:cs="Times New Roman"/>
          <w:lang w:val="en-US"/>
        </w:rPr>
        <w:t>the offender act</w:t>
      </w:r>
      <w:r w:rsidR="005F1C4D" w:rsidRPr="003C0052">
        <w:rPr>
          <w:rFonts w:ascii="Times New Roman" w:hAnsi="Times New Roman" w:cs="Times New Roman"/>
          <w:lang w:val="en-US"/>
        </w:rPr>
        <w:t>s as part of an organized group;</w:t>
      </w:r>
      <w:r w:rsidR="00FA5E75" w:rsidRPr="003C0052">
        <w:rPr>
          <w:rFonts w:ascii="Times New Roman" w:hAnsi="Times New Roman" w:cs="Times New Roman"/>
          <w:lang w:val="en-US"/>
        </w:rPr>
        <w:t xml:space="preserve"> </w:t>
      </w:r>
      <w:r w:rsidR="003C759B" w:rsidRPr="003C0052">
        <w:rPr>
          <w:rFonts w:ascii="Times New Roman" w:hAnsi="Times New Roman" w:cs="Times New Roman"/>
          <w:lang w:val="en-US"/>
        </w:rPr>
        <w:t xml:space="preserve">if </w:t>
      </w:r>
      <w:r w:rsidR="00FA5E75" w:rsidRPr="003C0052">
        <w:rPr>
          <w:rFonts w:ascii="Times New Roman" w:hAnsi="Times New Roman" w:cs="Times New Roman"/>
          <w:lang w:val="en-US"/>
        </w:rPr>
        <w:t>the offence causes severe danger for the health or life of several people, or the drugs are distributed to minors or otherwise in an unscrupu</w:t>
      </w:r>
      <w:r w:rsidR="003C759B" w:rsidRPr="003C0052">
        <w:rPr>
          <w:rFonts w:ascii="Times New Roman" w:hAnsi="Times New Roman" w:cs="Times New Roman"/>
          <w:lang w:val="en-US"/>
        </w:rPr>
        <w:t xml:space="preserve">lous manner </w:t>
      </w:r>
      <w:r w:rsidR="005F1C4D" w:rsidRPr="003C0052">
        <w:rPr>
          <w:rFonts w:ascii="Times New Roman" w:hAnsi="Times New Roman" w:cs="Times New Roman"/>
          <w:lang w:val="en-US"/>
        </w:rPr>
        <w:t>(</w:t>
      </w:r>
      <w:proofErr w:type="spellStart"/>
      <w:r w:rsidR="005F1C4D" w:rsidRPr="003C0052">
        <w:rPr>
          <w:rFonts w:ascii="Times New Roman" w:hAnsi="Times New Roman" w:cs="Times New Roman"/>
          <w:lang w:val="en-US"/>
        </w:rPr>
        <w:t>Kainulainen</w:t>
      </w:r>
      <w:proofErr w:type="spellEnd"/>
      <w:r w:rsidR="005F1C4D" w:rsidRPr="003C0052">
        <w:rPr>
          <w:rFonts w:ascii="Times New Roman" w:hAnsi="Times New Roman" w:cs="Times New Roman"/>
          <w:lang w:val="en-US"/>
        </w:rPr>
        <w:t>, 2006</w:t>
      </w:r>
      <w:r w:rsidR="00FA5E75" w:rsidRPr="003C0052">
        <w:rPr>
          <w:rFonts w:ascii="Times New Roman" w:hAnsi="Times New Roman" w:cs="Times New Roman"/>
          <w:lang w:val="en-US"/>
        </w:rPr>
        <w:t>)</w:t>
      </w:r>
      <w:r w:rsidR="005F1C4D" w:rsidRPr="003C0052">
        <w:rPr>
          <w:rFonts w:ascii="Times New Roman" w:hAnsi="Times New Roman" w:cs="Times New Roman"/>
          <w:lang w:val="en-US"/>
        </w:rPr>
        <w:t>.</w:t>
      </w:r>
      <w:r w:rsidR="00A04D5D" w:rsidRPr="003C0052">
        <w:rPr>
          <w:rFonts w:ascii="Times New Roman" w:hAnsi="Times New Roman" w:cs="Times New Roman"/>
          <w:lang w:val="en-US"/>
        </w:rPr>
        <w:t xml:space="preserve"> Like Finland, Belgium also </w:t>
      </w:r>
      <w:r w:rsidR="00626DD3" w:rsidRPr="003C0052">
        <w:rPr>
          <w:rFonts w:ascii="Times New Roman" w:hAnsi="Times New Roman" w:cs="Times New Roman"/>
          <w:lang w:val="en-US"/>
        </w:rPr>
        <w:t xml:space="preserve">harnesses ‘aggravating circumstances’ as a means of </w:t>
      </w:r>
      <w:r w:rsidR="00192898" w:rsidRPr="003C0052">
        <w:rPr>
          <w:rFonts w:ascii="Times New Roman" w:hAnsi="Times New Roman" w:cs="Times New Roman"/>
          <w:lang w:val="en-US"/>
        </w:rPr>
        <w:t>distinguishing between supply sentences of more and lesser seriousness.</w:t>
      </w:r>
      <w:r w:rsidR="001271CC" w:rsidRPr="003C0052">
        <w:rPr>
          <w:rFonts w:ascii="Times New Roman" w:hAnsi="Times New Roman" w:cs="Times New Roman"/>
          <w:lang w:val="en-US"/>
        </w:rPr>
        <w:t xml:space="preserve"> F</w:t>
      </w:r>
      <w:r w:rsidR="00A04D5D" w:rsidRPr="003C0052">
        <w:rPr>
          <w:rFonts w:ascii="Times New Roman" w:eastAsia="Times New Roman" w:hAnsi="Times New Roman" w:cs="Times New Roman"/>
          <w:lang w:eastAsia="en-GB"/>
        </w:rPr>
        <w:t xml:space="preserve">or drugs other than cannabis, Belgian law punishes possession, production, import, export or sale without aggravating circumstances with three months’ to five years’ imprisonment </w:t>
      </w:r>
      <w:r w:rsidR="0031562D" w:rsidRPr="003C0052">
        <w:rPr>
          <w:rFonts w:ascii="Times New Roman" w:eastAsia="Times New Roman" w:hAnsi="Times New Roman" w:cs="Times New Roman"/>
          <w:lang w:eastAsia="en-GB"/>
        </w:rPr>
        <w:t xml:space="preserve">with the potential for the term to be </w:t>
      </w:r>
      <w:r w:rsidR="00A04D5D" w:rsidRPr="003C0052">
        <w:rPr>
          <w:rFonts w:ascii="Times New Roman" w:eastAsia="Times New Roman" w:hAnsi="Times New Roman" w:cs="Times New Roman"/>
          <w:lang w:eastAsia="en-GB"/>
        </w:rPr>
        <w:t>in</w:t>
      </w:r>
      <w:r w:rsidR="0031562D" w:rsidRPr="003C0052">
        <w:rPr>
          <w:rFonts w:ascii="Times New Roman" w:eastAsia="Times New Roman" w:hAnsi="Times New Roman" w:cs="Times New Roman"/>
          <w:lang w:eastAsia="en-GB"/>
        </w:rPr>
        <w:t xml:space="preserve">creased to 15 or even 20 years </w:t>
      </w:r>
      <w:r w:rsidR="00A04D5D" w:rsidRPr="003C0052">
        <w:rPr>
          <w:rFonts w:ascii="Times New Roman" w:eastAsia="Times New Roman" w:hAnsi="Times New Roman" w:cs="Times New Roman"/>
          <w:lang w:eastAsia="en-GB"/>
        </w:rPr>
        <w:t>in various specified aggravating circumstances</w:t>
      </w:r>
      <w:r w:rsidR="00B851ED" w:rsidRPr="003C0052">
        <w:rPr>
          <w:rFonts w:ascii="Times New Roman" w:eastAsia="Times New Roman" w:hAnsi="Times New Roman" w:cs="Times New Roman"/>
          <w:lang w:eastAsia="en-GB"/>
        </w:rPr>
        <w:t xml:space="preserve"> (EMCDDA, 2017</w:t>
      </w:r>
      <w:r w:rsidR="00B61E87" w:rsidRPr="003C0052">
        <w:rPr>
          <w:rFonts w:ascii="Times New Roman" w:eastAsia="Times New Roman" w:hAnsi="Times New Roman" w:cs="Times New Roman"/>
          <w:lang w:eastAsia="en-GB"/>
        </w:rPr>
        <w:t>b</w:t>
      </w:r>
      <w:r w:rsidR="00B851ED" w:rsidRPr="003C0052">
        <w:rPr>
          <w:rFonts w:ascii="Times New Roman" w:eastAsia="Times New Roman" w:hAnsi="Times New Roman" w:cs="Times New Roman"/>
          <w:lang w:eastAsia="en-GB"/>
        </w:rPr>
        <w:t>).</w:t>
      </w:r>
    </w:p>
    <w:p w:rsidR="000718A7" w:rsidRPr="003C0052" w:rsidRDefault="000718A7" w:rsidP="000718A7">
      <w:pPr>
        <w:spacing w:line="360" w:lineRule="auto"/>
        <w:jc w:val="both"/>
        <w:rPr>
          <w:rFonts w:ascii="Times New Roman" w:hAnsi="Times New Roman" w:cs="Times New Roman"/>
          <w:lang w:val="en-US"/>
        </w:rPr>
      </w:pPr>
    </w:p>
    <w:p w:rsidR="001271CC" w:rsidRPr="003C0052" w:rsidRDefault="005F1C4D" w:rsidP="00132DA0">
      <w:pPr>
        <w:spacing w:line="360" w:lineRule="auto"/>
        <w:jc w:val="both"/>
        <w:rPr>
          <w:rFonts w:ascii="Times New Roman" w:hAnsi="Times New Roman" w:cs="Times New Roman"/>
          <w:lang w:val="en-US"/>
        </w:rPr>
      </w:pPr>
      <w:r w:rsidRPr="003C0052">
        <w:rPr>
          <w:rFonts w:ascii="Times New Roman" w:hAnsi="Times New Roman" w:cs="Times New Roman"/>
          <w:lang w:val="en-US"/>
        </w:rPr>
        <w:t xml:space="preserve">In the Netherlands, there is no legislative framework for formally differentiating between different gravities of supply offences and </w:t>
      </w:r>
      <w:r w:rsidRPr="003C0052">
        <w:rPr>
          <w:rFonts w:ascii="Times New Roman" w:eastAsia="Times New Roman" w:hAnsi="Times New Roman" w:cs="Times New Roman"/>
        </w:rPr>
        <w:t>T</w:t>
      </w:r>
      <w:r w:rsidR="00E47912" w:rsidRPr="003C0052">
        <w:rPr>
          <w:rFonts w:ascii="Times New Roman" w:eastAsia="Times New Roman" w:hAnsi="Times New Roman" w:cs="Times New Roman"/>
        </w:rPr>
        <w:t>h</w:t>
      </w:r>
      <w:r w:rsidR="00E47912" w:rsidRPr="003C0052">
        <w:rPr>
          <w:rFonts w:ascii="Times New Roman" w:hAnsi="Times New Roman" w:cs="Times New Roman"/>
          <w:color w:val="000000"/>
        </w:rPr>
        <w:t>e Opium Act</w:t>
      </w:r>
      <w:r w:rsidR="00353EA1" w:rsidRPr="003C0052">
        <w:rPr>
          <w:rFonts w:ascii="Times New Roman" w:hAnsi="Times New Roman" w:cs="Times New Roman"/>
          <w:color w:val="000000"/>
        </w:rPr>
        <w:t xml:space="preserve"> (1976)</w:t>
      </w:r>
      <w:r w:rsidR="00E47912" w:rsidRPr="003C0052">
        <w:rPr>
          <w:rFonts w:ascii="Times New Roman" w:hAnsi="Times New Roman" w:cs="Times New Roman"/>
          <w:color w:val="000000"/>
        </w:rPr>
        <w:t xml:space="preserve"> sets out that supplying drugs (possession, cultivation or manufacture, import or export) is punishable, depending on the quantity and type of drug involved, by up to 12 y</w:t>
      </w:r>
      <w:r w:rsidR="00B61E87" w:rsidRPr="003C0052">
        <w:rPr>
          <w:rFonts w:ascii="Times New Roman" w:hAnsi="Times New Roman" w:cs="Times New Roman"/>
          <w:color w:val="000000"/>
        </w:rPr>
        <w:t>ears’ imprisonment (EMCDDA, 2017f</w:t>
      </w:r>
      <w:r w:rsidR="00E47912" w:rsidRPr="003C0052">
        <w:rPr>
          <w:rFonts w:ascii="Times New Roman" w:hAnsi="Times New Roman" w:cs="Times New Roman"/>
          <w:color w:val="000000"/>
        </w:rPr>
        <w:t xml:space="preserve">). </w:t>
      </w:r>
      <w:r w:rsidR="00353EA1" w:rsidRPr="003C0052">
        <w:rPr>
          <w:rFonts w:ascii="Times New Roman" w:hAnsi="Times New Roman" w:cs="Times New Roman"/>
          <w:color w:val="000000"/>
        </w:rPr>
        <w:t xml:space="preserve">Much like the system used prior to the implementation of sentencing guidelines in </w:t>
      </w:r>
      <w:r w:rsidR="007F2D52" w:rsidRPr="003C0052">
        <w:rPr>
          <w:rFonts w:ascii="Times New Roman" w:hAnsi="Times New Roman" w:cs="Times New Roman"/>
          <w:color w:val="000000"/>
        </w:rPr>
        <w:t xml:space="preserve">the </w:t>
      </w:r>
      <w:r w:rsidR="00255F49" w:rsidRPr="003C0052">
        <w:rPr>
          <w:rFonts w:ascii="Times New Roman" w:hAnsi="Times New Roman" w:cs="Times New Roman"/>
          <w:color w:val="000000"/>
        </w:rPr>
        <w:t>England and Wales</w:t>
      </w:r>
      <w:r w:rsidR="007F2D52" w:rsidRPr="003C0052">
        <w:rPr>
          <w:rFonts w:ascii="Times New Roman" w:hAnsi="Times New Roman" w:cs="Times New Roman"/>
          <w:color w:val="000000"/>
        </w:rPr>
        <w:t xml:space="preserve"> </w:t>
      </w:r>
      <w:r w:rsidR="00776AB9" w:rsidRPr="003C0052">
        <w:rPr>
          <w:rFonts w:ascii="Times New Roman" w:hAnsi="Times New Roman" w:cs="Times New Roman"/>
          <w:color w:val="000000"/>
        </w:rPr>
        <w:t>(2012)</w:t>
      </w:r>
      <w:r w:rsidR="00353EA1" w:rsidRPr="003C0052">
        <w:rPr>
          <w:rFonts w:ascii="Times New Roman" w:hAnsi="Times New Roman" w:cs="Times New Roman"/>
          <w:color w:val="000000"/>
        </w:rPr>
        <w:t xml:space="preserve">, </w:t>
      </w:r>
      <w:r w:rsidR="00582D52" w:rsidRPr="003C0052">
        <w:rPr>
          <w:rFonts w:ascii="Times New Roman" w:eastAsia="Times New Roman" w:hAnsi="Times New Roman" w:cs="Times New Roman"/>
        </w:rPr>
        <w:t xml:space="preserve">the </w:t>
      </w:r>
      <w:r w:rsidR="00582D52" w:rsidRPr="003C0052">
        <w:rPr>
          <w:rFonts w:ascii="Times New Roman" w:hAnsi="Times New Roman" w:cs="Times New Roman"/>
        </w:rPr>
        <w:t xml:space="preserve">wide </w:t>
      </w:r>
      <w:r w:rsidR="00582D52" w:rsidRPr="003C0052">
        <w:rPr>
          <w:rFonts w:ascii="Times New Roman" w:hAnsi="Times New Roman" w:cs="Times New Roman"/>
          <w:i/>
        </w:rPr>
        <w:t>discretionary</w:t>
      </w:r>
      <w:r w:rsidR="00582D52" w:rsidRPr="003C0052">
        <w:rPr>
          <w:rFonts w:ascii="Times New Roman" w:hAnsi="Times New Roman" w:cs="Times New Roman"/>
        </w:rPr>
        <w:t xml:space="preserve"> power of the police, prosecutors, and judges </w:t>
      </w:r>
      <w:r w:rsidR="000010B2" w:rsidRPr="003C0052">
        <w:rPr>
          <w:rFonts w:ascii="Times New Roman" w:hAnsi="Times New Roman" w:cs="Times New Roman"/>
        </w:rPr>
        <w:t xml:space="preserve">thus </w:t>
      </w:r>
      <w:r w:rsidR="00582D52" w:rsidRPr="003C0052">
        <w:rPr>
          <w:rFonts w:ascii="Times New Roman" w:hAnsi="Times New Roman" w:cs="Times New Roman"/>
        </w:rPr>
        <w:t>plays an important role in the prosecution and sentencing of drug production and trafficking offences in the Netherlands.</w:t>
      </w:r>
      <w:r w:rsidR="00A04D5D" w:rsidRPr="003C0052">
        <w:rPr>
          <w:rFonts w:ascii="Times New Roman" w:hAnsi="Times New Roman" w:cs="Times New Roman"/>
        </w:rPr>
        <w:t xml:space="preserve"> </w:t>
      </w:r>
      <w:r w:rsidR="00E34796" w:rsidRPr="003C0052">
        <w:rPr>
          <w:rFonts w:ascii="Times New Roman" w:hAnsi="Times New Roman" w:cs="Times New Roman"/>
        </w:rPr>
        <w:t>In neighbouring Germany</w:t>
      </w:r>
      <w:r w:rsidR="007D6FEF" w:rsidRPr="003C0052">
        <w:rPr>
          <w:rFonts w:ascii="Times New Roman" w:hAnsi="Times New Roman" w:cs="Times New Roman"/>
        </w:rPr>
        <w:t>,</w:t>
      </w:r>
      <w:r w:rsidR="000718A7" w:rsidRPr="003C0052">
        <w:rPr>
          <w:rFonts w:ascii="Times New Roman" w:hAnsi="Times New Roman" w:cs="Times New Roman"/>
        </w:rPr>
        <w:t xml:space="preserve"> </w:t>
      </w:r>
      <w:r w:rsidR="003E36CC" w:rsidRPr="003C0052">
        <w:rPr>
          <w:rFonts w:ascii="Times New Roman" w:hAnsi="Times New Roman" w:cs="Times New Roman"/>
        </w:rPr>
        <w:t>u</w:t>
      </w:r>
      <w:r w:rsidR="000718A7" w:rsidRPr="003C0052">
        <w:rPr>
          <w:rFonts w:ascii="Times New Roman" w:hAnsi="Times New Roman" w:cs="Times New Roman"/>
        </w:rPr>
        <w:t>nauthorised possession of drugs is a criminal offence punishable by up to five years in prison</w:t>
      </w:r>
      <w:r w:rsidR="001326F6" w:rsidRPr="003C0052">
        <w:rPr>
          <w:rFonts w:ascii="Times New Roman" w:hAnsi="Times New Roman" w:cs="Times New Roman"/>
        </w:rPr>
        <w:t>. Likewise,</w:t>
      </w:r>
      <w:r w:rsidR="000718A7" w:rsidRPr="003C0052">
        <w:rPr>
          <w:rFonts w:ascii="Times New Roman" w:hAnsi="Times New Roman" w:cs="Times New Roman"/>
        </w:rPr>
        <w:t xml:space="preserve"> the illicit supply, cultivation and manufacture of narcotic drugs carry penalties of up to five years’ imprisonment</w:t>
      </w:r>
      <w:r w:rsidR="001326F6" w:rsidRPr="003C0052">
        <w:rPr>
          <w:rFonts w:ascii="Times New Roman" w:hAnsi="Times New Roman" w:cs="Times New Roman"/>
        </w:rPr>
        <w:t xml:space="preserve"> (EMCDDA, 2017</w:t>
      </w:r>
      <w:r w:rsidR="00B61E87" w:rsidRPr="003C0052">
        <w:rPr>
          <w:rFonts w:ascii="Times New Roman" w:hAnsi="Times New Roman" w:cs="Times New Roman"/>
        </w:rPr>
        <w:t>e</w:t>
      </w:r>
      <w:r w:rsidR="001326F6" w:rsidRPr="003C0052">
        <w:rPr>
          <w:rFonts w:ascii="Times New Roman" w:hAnsi="Times New Roman" w:cs="Times New Roman"/>
        </w:rPr>
        <w:t>)</w:t>
      </w:r>
      <w:proofErr w:type="gramStart"/>
      <w:r w:rsidR="00A04D5D" w:rsidRPr="003C0052">
        <w:rPr>
          <w:rFonts w:ascii="Times New Roman" w:hAnsi="Times New Roman" w:cs="Times New Roman"/>
        </w:rPr>
        <w:t>,</w:t>
      </w:r>
      <w:proofErr w:type="gramEnd"/>
      <w:r w:rsidR="00A04D5D" w:rsidRPr="003C0052">
        <w:rPr>
          <w:rFonts w:ascii="Times New Roman" w:hAnsi="Times New Roman" w:cs="Times New Roman"/>
        </w:rPr>
        <w:t xml:space="preserve"> however, t</w:t>
      </w:r>
      <w:r w:rsidR="000718A7" w:rsidRPr="003C0052">
        <w:rPr>
          <w:rFonts w:ascii="Times New Roman" w:hAnsi="Times New Roman" w:cs="Times New Roman"/>
        </w:rPr>
        <w:t>his increases to 15 years if ther</w:t>
      </w:r>
      <w:r w:rsidR="00A04D5D" w:rsidRPr="003C0052">
        <w:rPr>
          <w:rFonts w:ascii="Times New Roman" w:hAnsi="Times New Roman" w:cs="Times New Roman"/>
        </w:rPr>
        <w:t>e are aggravating circumstances. Examples of these aggravating circumstances</w:t>
      </w:r>
      <w:r w:rsidR="000718A7" w:rsidRPr="003C0052">
        <w:rPr>
          <w:rFonts w:ascii="Times New Roman" w:hAnsi="Times New Roman" w:cs="Times New Roman"/>
        </w:rPr>
        <w:t xml:space="preserve"> include ‘not insignificant’ quantities of narcotic drugs; an adult supplying narcotics </w:t>
      </w:r>
      <w:r w:rsidR="00710BFD" w:rsidRPr="003C0052">
        <w:rPr>
          <w:rFonts w:ascii="Times New Roman" w:hAnsi="Times New Roman" w:cs="Times New Roman"/>
        </w:rPr>
        <w:t xml:space="preserve">to a person </w:t>
      </w:r>
      <w:r w:rsidR="00710BFD" w:rsidRPr="003C0052">
        <w:rPr>
          <w:rFonts w:ascii="Times New Roman" w:hAnsi="Times New Roman" w:cs="Times New Roman"/>
        </w:rPr>
        <w:lastRenderedPageBreak/>
        <w:t>under the age of 18 (both setting the minimum sentence at one year of imprisonment)</w:t>
      </w:r>
      <w:r w:rsidR="000718A7" w:rsidRPr="003C0052">
        <w:rPr>
          <w:rFonts w:ascii="Times New Roman" w:hAnsi="Times New Roman" w:cs="Times New Roman"/>
        </w:rPr>
        <w:t xml:space="preserve"> a person trafficking narcotics ‘professionally’ or as a member of a gang</w:t>
      </w:r>
      <w:r w:rsidR="006C49B8" w:rsidRPr="003C0052">
        <w:rPr>
          <w:rFonts w:ascii="Times New Roman" w:hAnsi="Times New Roman" w:cs="Times New Roman"/>
        </w:rPr>
        <w:t xml:space="preserve"> (minimum sentence two years)</w:t>
      </w:r>
      <w:r w:rsidR="000718A7" w:rsidRPr="003C0052">
        <w:rPr>
          <w:rFonts w:ascii="Times New Roman" w:hAnsi="Times New Roman" w:cs="Times New Roman"/>
        </w:rPr>
        <w:t>; or carrying a weapon when committing a serious drug-related offence</w:t>
      </w:r>
      <w:r w:rsidR="006C49B8" w:rsidRPr="003C0052">
        <w:rPr>
          <w:rFonts w:ascii="Times New Roman" w:hAnsi="Times New Roman" w:cs="Times New Roman"/>
        </w:rPr>
        <w:t xml:space="preserve"> (minimum sentence five years)</w:t>
      </w:r>
      <w:r w:rsidR="000718A7" w:rsidRPr="003C0052">
        <w:rPr>
          <w:rFonts w:ascii="Times New Roman" w:hAnsi="Times New Roman" w:cs="Times New Roman"/>
        </w:rPr>
        <w:t xml:space="preserve"> (EMCDDA, 2017</w:t>
      </w:r>
      <w:r w:rsidR="00B61E87" w:rsidRPr="003C0052">
        <w:rPr>
          <w:rFonts w:ascii="Times New Roman" w:hAnsi="Times New Roman" w:cs="Times New Roman"/>
        </w:rPr>
        <w:t>e</w:t>
      </w:r>
      <w:r w:rsidR="000718A7" w:rsidRPr="003C0052">
        <w:rPr>
          <w:rFonts w:ascii="Times New Roman" w:hAnsi="Times New Roman" w:cs="Times New Roman"/>
        </w:rPr>
        <w:t>).</w:t>
      </w:r>
      <w:r w:rsidR="007E04D9" w:rsidRPr="003C0052">
        <w:rPr>
          <w:rFonts w:ascii="Times New Roman" w:hAnsi="Times New Roman" w:cs="Times New Roman"/>
        </w:rPr>
        <w:t xml:space="preserve"> Nonetheless, there are</w:t>
      </w:r>
      <w:r w:rsidR="000718A7" w:rsidRPr="003C0052">
        <w:rPr>
          <w:rFonts w:ascii="Times New Roman" w:hAnsi="Times New Roman" w:cs="Times New Roman"/>
        </w:rPr>
        <w:t xml:space="preserve"> remarkable regional diffe</w:t>
      </w:r>
      <w:r w:rsidR="00B7599F" w:rsidRPr="003C0052">
        <w:rPr>
          <w:rFonts w:ascii="Times New Roman" w:hAnsi="Times New Roman" w:cs="Times New Roman"/>
        </w:rPr>
        <w:t xml:space="preserve">rences in these official rules </w:t>
      </w:r>
      <w:r w:rsidR="000718A7" w:rsidRPr="003C0052">
        <w:rPr>
          <w:rFonts w:ascii="Times New Roman" w:hAnsi="Times New Roman" w:cs="Times New Roman"/>
        </w:rPr>
        <w:t xml:space="preserve">and </w:t>
      </w:r>
      <w:r w:rsidR="00E34796" w:rsidRPr="003C0052">
        <w:rPr>
          <w:rFonts w:ascii="Times New Roman" w:hAnsi="Times New Roman" w:cs="Times New Roman"/>
          <w:lang w:val="en-US"/>
        </w:rPr>
        <w:t xml:space="preserve">the differences are even </w:t>
      </w:r>
      <w:r w:rsidR="00A04D5D" w:rsidRPr="003C0052">
        <w:rPr>
          <w:rFonts w:ascii="Times New Roman" w:hAnsi="Times New Roman" w:cs="Times New Roman"/>
          <w:lang w:val="en-US"/>
        </w:rPr>
        <w:t xml:space="preserve">greater </w:t>
      </w:r>
      <w:r w:rsidR="00E34796" w:rsidRPr="003C0052">
        <w:rPr>
          <w:rFonts w:ascii="Times New Roman" w:hAnsi="Times New Roman" w:cs="Times New Roman"/>
          <w:lang w:val="en-US"/>
        </w:rPr>
        <w:t>when looking at law enforcement practice (which is facilitated by the aforementioned larg</w:t>
      </w:r>
      <w:r w:rsidR="004663F9" w:rsidRPr="003C0052">
        <w:rPr>
          <w:rFonts w:ascii="Times New Roman" w:hAnsi="Times New Roman" w:cs="Times New Roman"/>
          <w:lang w:val="en-US"/>
        </w:rPr>
        <w:t>e ranges of possible sentences).</w:t>
      </w:r>
      <w:r w:rsidR="00E34796" w:rsidRPr="003C0052">
        <w:rPr>
          <w:rFonts w:ascii="Times New Roman" w:hAnsi="Times New Roman" w:cs="Times New Roman"/>
          <w:lang w:val="en-US"/>
        </w:rPr>
        <w:t xml:space="preserve"> Bavaria</w:t>
      </w:r>
      <w:r w:rsidR="004663F9" w:rsidRPr="003C0052">
        <w:rPr>
          <w:rFonts w:ascii="Times New Roman" w:hAnsi="Times New Roman" w:cs="Times New Roman"/>
          <w:lang w:val="en-US"/>
        </w:rPr>
        <w:t xml:space="preserve"> for example</w:t>
      </w:r>
      <w:r w:rsidR="00E34796" w:rsidRPr="003C0052">
        <w:rPr>
          <w:rFonts w:ascii="Times New Roman" w:hAnsi="Times New Roman" w:cs="Times New Roman"/>
          <w:lang w:val="en-US"/>
        </w:rPr>
        <w:t xml:space="preserve"> is known as the </w:t>
      </w:r>
      <w:proofErr w:type="spellStart"/>
      <w:r w:rsidR="00E34796" w:rsidRPr="003C0052">
        <w:rPr>
          <w:rFonts w:ascii="Times New Roman" w:hAnsi="Times New Roman" w:cs="Times New Roman"/>
          <w:i/>
          <w:lang w:val="en-US"/>
        </w:rPr>
        <w:t>Bundesland</w:t>
      </w:r>
      <w:proofErr w:type="spellEnd"/>
      <w:r w:rsidR="00E34796" w:rsidRPr="003C0052">
        <w:rPr>
          <w:rFonts w:ascii="Times New Roman" w:hAnsi="Times New Roman" w:cs="Times New Roman"/>
          <w:lang w:val="en-US"/>
        </w:rPr>
        <w:t xml:space="preserve"> with the tou</w:t>
      </w:r>
      <w:r w:rsidR="00AE6C28" w:rsidRPr="003C0052">
        <w:rPr>
          <w:rFonts w:ascii="Times New Roman" w:hAnsi="Times New Roman" w:cs="Times New Roman"/>
          <w:lang w:val="en-US"/>
        </w:rPr>
        <w:t>ghest enforcement of drug offenc</w:t>
      </w:r>
      <w:r w:rsidR="00E34796" w:rsidRPr="003C0052">
        <w:rPr>
          <w:rFonts w:ascii="Times New Roman" w:hAnsi="Times New Roman" w:cs="Times New Roman"/>
          <w:lang w:val="en-US"/>
        </w:rPr>
        <w:t>es, regarding both police search practices and levels of punishment (</w:t>
      </w:r>
      <w:proofErr w:type="spellStart"/>
      <w:r w:rsidR="00E34796" w:rsidRPr="003C0052">
        <w:rPr>
          <w:rFonts w:ascii="Times New Roman" w:hAnsi="Times New Roman" w:cs="Times New Roman"/>
          <w:lang w:val="en-US"/>
        </w:rPr>
        <w:t>Reuband</w:t>
      </w:r>
      <w:proofErr w:type="spellEnd"/>
      <w:r w:rsidR="000D780D" w:rsidRPr="003C0052">
        <w:rPr>
          <w:rFonts w:ascii="Times New Roman" w:hAnsi="Times New Roman" w:cs="Times New Roman"/>
          <w:lang w:val="en-US"/>
        </w:rPr>
        <w:t>,</w:t>
      </w:r>
      <w:r w:rsidR="00E34796" w:rsidRPr="003C0052">
        <w:rPr>
          <w:rFonts w:ascii="Times New Roman" w:hAnsi="Times New Roman" w:cs="Times New Roman"/>
          <w:lang w:val="en-US"/>
        </w:rPr>
        <w:t xml:space="preserve"> 2007). Here, as well as in some other mainly rural regions, even the possession of small amounts might lead to a sentence, e.g., if the court presumes that there is an intention to distribute the drug, or if minors are involved. On the other hand, in some big cities, </w:t>
      </w:r>
      <w:r w:rsidR="002D78F8" w:rsidRPr="003C0052">
        <w:rPr>
          <w:rFonts w:ascii="Times New Roman" w:hAnsi="Times New Roman" w:cs="Times New Roman"/>
          <w:lang w:val="en-US"/>
        </w:rPr>
        <w:t xml:space="preserve">such as </w:t>
      </w:r>
      <w:r w:rsidR="00E34796" w:rsidRPr="003C0052">
        <w:rPr>
          <w:rFonts w:ascii="Times New Roman" w:hAnsi="Times New Roman" w:cs="Times New Roman"/>
          <w:lang w:val="en-US"/>
        </w:rPr>
        <w:t>Berlin, cannabis use can nearly be regarded</w:t>
      </w:r>
      <w:r w:rsidR="006A54BD" w:rsidRPr="003C0052">
        <w:rPr>
          <w:rFonts w:ascii="Times New Roman" w:hAnsi="Times New Roman" w:cs="Times New Roman"/>
          <w:lang w:val="en-US"/>
        </w:rPr>
        <w:t xml:space="preserve"> as decriminalized in practice and a</w:t>
      </w:r>
      <w:r w:rsidR="00E34796" w:rsidRPr="003C0052">
        <w:rPr>
          <w:rFonts w:ascii="Times New Roman" w:hAnsi="Times New Roman" w:cs="Times New Roman"/>
          <w:lang w:val="en-US"/>
        </w:rPr>
        <w:t xml:space="preserve">s a consequence, differences in the prosecution and sentencing of supply offenses </w:t>
      </w:r>
      <w:r w:rsidR="000718A7" w:rsidRPr="003C0052">
        <w:rPr>
          <w:rFonts w:ascii="Times New Roman" w:hAnsi="Times New Roman" w:cs="Times New Roman"/>
          <w:lang w:val="en-US"/>
        </w:rPr>
        <w:t>can be attributed to</w:t>
      </w:r>
      <w:r w:rsidR="00E34796" w:rsidRPr="003C0052">
        <w:rPr>
          <w:rFonts w:ascii="Times New Roman" w:hAnsi="Times New Roman" w:cs="Times New Roman"/>
          <w:lang w:val="en-US"/>
        </w:rPr>
        <w:t xml:space="preserve"> </w:t>
      </w:r>
      <w:r w:rsidR="00E34796" w:rsidRPr="003C0052">
        <w:rPr>
          <w:rFonts w:ascii="Times New Roman" w:hAnsi="Times New Roman" w:cs="Times New Roman"/>
          <w:i/>
          <w:lang w:val="en-US"/>
        </w:rPr>
        <w:t>regional</w:t>
      </w:r>
      <w:r w:rsidR="00E34796" w:rsidRPr="003C0052">
        <w:rPr>
          <w:rFonts w:ascii="Times New Roman" w:hAnsi="Times New Roman" w:cs="Times New Roman"/>
          <w:lang w:val="en-US"/>
        </w:rPr>
        <w:t xml:space="preserve"> </w:t>
      </w:r>
      <w:r w:rsidR="001326F6" w:rsidRPr="003C0052">
        <w:rPr>
          <w:rFonts w:ascii="Times New Roman" w:hAnsi="Times New Roman" w:cs="Times New Roman"/>
          <w:lang w:val="en-US"/>
        </w:rPr>
        <w:t>variances</w:t>
      </w:r>
      <w:r w:rsidR="00E34796" w:rsidRPr="003C0052">
        <w:rPr>
          <w:rFonts w:ascii="Times New Roman" w:hAnsi="Times New Roman" w:cs="Times New Roman"/>
          <w:lang w:val="en-US"/>
        </w:rPr>
        <w:t>.</w:t>
      </w:r>
    </w:p>
    <w:p w:rsidR="00CD3D4B" w:rsidRPr="003C0052" w:rsidRDefault="00CD3D4B" w:rsidP="00132DA0">
      <w:pPr>
        <w:spacing w:line="360" w:lineRule="auto"/>
        <w:jc w:val="both"/>
        <w:rPr>
          <w:rFonts w:ascii="Times New Roman" w:hAnsi="Times New Roman" w:cs="Times New Roman"/>
          <w:lang w:val="en-US"/>
        </w:rPr>
      </w:pPr>
    </w:p>
    <w:p w:rsidR="00CD3D4B" w:rsidRPr="003C0052" w:rsidRDefault="00CD3D4B" w:rsidP="00132DA0">
      <w:pPr>
        <w:spacing w:line="360" w:lineRule="auto"/>
        <w:jc w:val="both"/>
        <w:rPr>
          <w:rFonts w:ascii="Times New Roman" w:hAnsi="Times New Roman" w:cs="Times New Roman"/>
          <w:lang w:val="en-US"/>
        </w:rPr>
      </w:pPr>
      <w:r w:rsidRPr="003C0052">
        <w:rPr>
          <w:rFonts w:ascii="Times New Roman" w:hAnsi="Times New Roman" w:cs="Times New Roman"/>
          <w:i/>
          <w:lang w:val="en-US"/>
        </w:rPr>
        <w:t>Blanket policies and Disproportionality</w:t>
      </w:r>
    </w:p>
    <w:p w:rsidR="001271CC" w:rsidRPr="003C0052" w:rsidRDefault="001271CC" w:rsidP="00132DA0">
      <w:pPr>
        <w:spacing w:line="360" w:lineRule="auto"/>
        <w:jc w:val="both"/>
        <w:rPr>
          <w:rFonts w:ascii="Times New Roman" w:hAnsi="Times New Roman" w:cs="Times New Roman"/>
          <w:lang w:val="en-US"/>
        </w:rPr>
      </w:pPr>
    </w:p>
    <w:p w:rsidR="00132DA0" w:rsidRPr="003C0052" w:rsidRDefault="003E2347" w:rsidP="00132DA0">
      <w:pPr>
        <w:spacing w:line="360" w:lineRule="auto"/>
        <w:jc w:val="both"/>
        <w:rPr>
          <w:rFonts w:ascii="Times New Roman" w:hAnsi="Times New Roman" w:cs="Times New Roman"/>
          <w:lang w:val="en-US"/>
        </w:rPr>
      </w:pPr>
      <w:r w:rsidRPr="003C0052">
        <w:rPr>
          <w:rFonts w:ascii="Times New Roman" w:hAnsi="Times New Roman" w:cs="Times New Roman"/>
          <w:lang w:val="en-US"/>
        </w:rPr>
        <w:t xml:space="preserve">Despite </w:t>
      </w:r>
      <w:r w:rsidR="00A3068E" w:rsidRPr="003C0052">
        <w:rPr>
          <w:rFonts w:ascii="Times New Roman" w:hAnsi="Times New Roman" w:cs="Times New Roman"/>
          <w:lang w:val="en-US"/>
        </w:rPr>
        <w:t>the emergence of</w:t>
      </w:r>
      <w:r w:rsidRPr="003C0052">
        <w:rPr>
          <w:rFonts w:ascii="Times New Roman" w:hAnsi="Times New Roman" w:cs="Times New Roman"/>
          <w:lang w:val="en-US"/>
        </w:rPr>
        <w:t xml:space="preserve"> liberal </w:t>
      </w:r>
      <w:r w:rsidR="008E0FFD" w:rsidRPr="003C0052">
        <w:rPr>
          <w:rFonts w:ascii="Times New Roman" w:hAnsi="Times New Roman" w:cs="Times New Roman"/>
          <w:lang w:val="en-US"/>
        </w:rPr>
        <w:t xml:space="preserve">state </w:t>
      </w:r>
      <w:r w:rsidRPr="003C0052">
        <w:rPr>
          <w:rFonts w:ascii="Times New Roman" w:hAnsi="Times New Roman" w:cs="Times New Roman"/>
          <w:lang w:val="en-US"/>
        </w:rPr>
        <w:t>policies</w:t>
      </w:r>
      <w:r w:rsidR="008E0FFD" w:rsidRPr="003C0052">
        <w:rPr>
          <w:rFonts w:ascii="Times New Roman" w:hAnsi="Times New Roman" w:cs="Times New Roman"/>
          <w:lang w:val="en-US"/>
        </w:rPr>
        <w:t xml:space="preserve"> relating to the legalization of medicinal or recreational use of cannabis i</w:t>
      </w:r>
      <w:r w:rsidR="0099295A" w:rsidRPr="003C0052">
        <w:rPr>
          <w:rFonts w:ascii="Times New Roman" w:hAnsi="Times New Roman" w:cs="Times New Roman"/>
          <w:lang w:val="en-US"/>
        </w:rPr>
        <w:t>n the United States</w:t>
      </w:r>
      <w:r w:rsidR="00F13EB1" w:rsidRPr="003C0052">
        <w:rPr>
          <w:rFonts w:ascii="Times New Roman" w:hAnsi="Times New Roman" w:cs="Times New Roman"/>
          <w:lang w:val="en-US"/>
        </w:rPr>
        <w:t xml:space="preserve"> (see</w:t>
      </w:r>
      <w:r w:rsidR="00637249" w:rsidRPr="003C0052">
        <w:rPr>
          <w:rFonts w:ascii="Times New Roman" w:hAnsi="Times New Roman" w:cs="Times New Roman"/>
          <w:lang w:val="en-US"/>
        </w:rPr>
        <w:t xml:space="preserve"> Eastwood, Fox, &amp; </w:t>
      </w:r>
      <w:proofErr w:type="spellStart"/>
      <w:r w:rsidR="00637249" w:rsidRPr="003C0052">
        <w:rPr>
          <w:rFonts w:ascii="Times New Roman" w:hAnsi="Times New Roman" w:cs="Times New Roman"/>
          <w:lang w:val="en-US"/>
        </w:rPr>
        <w:t>Rosmarin</w:t>
      </w:r>
      <w:proofErr w:type="spellEnd"/>
      <w:r w:rsidR="00345131" w:rsidRPr="003C0052">
        <w:rPr>
          <w:rFonts w:ascii="Times New Roman" w:hAnsi="Times New Roman" w:cs="Times New Roman"/>
          <w:lang w:val="en-US"/>
        </w:rPr>
        <w:t xml:space="preserve"> al., 2016)</w:t>
      </w:r>
      <w:r w:rsidR="008E0FFD" w:rsidRPr="003C0052">
        <w:rPr>
          <w:rFonts w:ascii="Times New Roman" w:hAnsi="Times New Roman" w:cs="Times New Roman"/>
          <w:lang w:val="en-US"/>
        </w:rPr>
        <w:t xml:space="preserve"> </w:t>
      </w:r>
      <w:r w:rsidR="00AC47D6" w:rsidRPr="003C0052">
        <w:rPr>
          <w:rFonts w:ascii="Times New Roman" w:hAnsi="Times New Roman" w:cs="Times New Roman"/>
          <w:i/>
          <w:lang w:val="en-US"/>
        </w:rPr>
        <w:t>federal</w:t>
      </w:r>
      <w:r w:rsidR="00AC47D6" w:rsidRPr="003C0052">
        <w:rPr>
          <w:rFonts w:ascii="Times New Roman" w:hAnsi="Times New Roman" w:cs="Times New Roman"/>
          <w:lang w:val="en-US"/>
        </w:rPr>
        <w:t xml:space="preserve"> sentencing regimes</w:t>
      </w:r>
      <w:r w:rsidR="008E0FFD" w:rsidRPr="003C0052">
        <w:rPr>
          <w:rFonts w:ascii="Times New Roman" w:hAnsi="Times New Roman" w:cs="Times New Roman"/>
          <w:lang w:val="en-US"/>
        </w:rPr>
        <w:t xml:space="preserve">, shaped by a history of </w:t>
      </w:r>
      <w:r w:rsidR="00D3005E" w:rsidRPr="003C0052">
        <w:rPr>
          <w:rFonts w:ascii="Times New Roman" w:hAnsi="Times New Roman" w:cs="Times New Roman"/>
          <w:lang w:val="en-US"/>
        </w:rPr>
        <w:t>deterrent sentencing policy</w:t>
      </w:r>
      <w:r w:rsidR="002916A7" w:rsidRPr="003C0052">
        <w:rPr>
          <w:rFonts w:ascii="Times New Roman" w:hAnsi="Times New Roman" w:cs="Times New Roman"/>
          <w:lang w:val="en-US"/>
        </w:rPr>
        <w:t xml:space="preserve"> -</w:t>
      </w:r>
      <w:r w:rsidR="00D3005E" w:rsidRPr="003C0052">
        <w:rPr>
          <w:rFonts w:ascii="Times New Roman" w:hAnsi="Times New Roman" w:cs="Times New Roman"/>
          <w:lang w:val="en-US"/>
        </w:rPr>
        <w:t xml:space="preserve"> including the implementation of mandatory minimum </w:t>
      </w:r>
      <w:r w:rsidR="00744850" w:rsidRPr="003C0052">
        <w:rPr>
          <w:rFonts w:ascii="Times New Roman" w:hAnsi="Times New Roman" w:cs="Times New Roman"/>
          <w:lang w:val="en-US"/>
        </w:rPr>
        <w:t>sentence</w:t>
      </w:r>
      <w:r w:rsidR="002916A7" w:rsidRPr="003C0052">
        <w:rPr>
          <w:rFonts w:ascii="Times New Roman" w:hAnsi="Times New Roman" w:cs="Times New Roman"/>
          <w:lang w:val="en-US"/>
        </w:rPr>
        <w:t>s -</w:t>
      </w:r>
      <w:r w:rsidR="00744850" w:rsidRPr="003C0052">
        <w:rPr>
          <w:rFonts w:ascii="Times New Roman" w:hAnsi="Times New Roman" w:cs="Times New Roman"/>
          <w:lang w:val="en-US"/>
        </w:rPr>
        <w:t xml:space="preserve"> have resulted in</w:t>
      </w:r>
      <w:r w:rsidR="00AC47D6" w:rsidRPr="003C0052">
        <w:rPr>
          <w:rFonts w:ascii="Times New Roman" w:hAnsi="Times New Roman" w:cs="Times New Roman"/>
          <w:lang w:val="en-US"/>
        </w:rPr>
        <w:t xml:space="preserve"> deeply disproportionate</w:t>
      </w:r>
      <w:r w:rsidR="00744850" w:rsidRPr="003C0052">
        <w:rPr>
          <w:rFonts w:ascii="Times New Roman" w:hAnsi="Times New Roman" w:cs="Times New Roman"/>
          <w:lang w:val="en-US"/>
        </w:rPr>
        <w:t xml:space="preserve"> sentences</w:t>
      </w:r>
      <w:r w:rsidR="00AC47D6" w:rsidRPr="003C0052">
        <w:rPr>
          <w:rFonts w:ascii="Times New Roman" w:hAnsi="Times New Roman" w:cs="Times New Roman"/>
          <w:lang w:val="en-US"/>
        </w:rPr>
        <w:t>, encouraging</w:t>
      </w:r>
      <w:r w:rsidR="00292498" w:rsidRPr="003C0052">
        <w:rPr>
          <w:rFonts w:ascii="Times New Roman" w:hAnsi="Times New Roman" w:cs="Times New Roman"/>
          <w:lang w:val="en-US"/>
        </w:rPr>
        <w:t xml:space="preserve"> </w:t>
      </w:r>
      <w:r w:rsidR="00595418" w:rsidRPr="003C0052">
        <w:rPr>
          <w:rFonts w:ascii="Times New Roman" w:hAnsi="Times New Roman" w:cs="Times New Roman"/>
          <w:lang w:val="en-US"/>
        </w:rPr>
        <w:t>racial disparity</w:t>
      </w:r>
      <w:r w:rsidR="00AC47D6" w:rsidRPr="003C0052">
        <w:rPr>
          <w:rFonts w:ascii="Times New Roman" w:hAnsi="Times New Roman" w:cs="Times New Roman"/>
          <w:lang w:val="en-US"/>
        </w:rPr>
        <w:t xml:space="preserve"> in sentencing and feeding</w:t>
      </w:r>
      <w:r w:rsidR="00595418" w:rsidRPr="003C0052">
        <w:rPr>
          <w:rFonts w:ascii="Times New Roman" w:hAnsi="Times New Roman" w:cs="Times New Roman"/>
          <w:lang w:val="en-US"/>
        </w:rPr>
        <w:t xml:space="preserve"> </w:t>
      </w:r>
      <w:r w:rsidR="00217CF9" w:rsidRPr="003C0052">
        <w:rPr>
          <w:rFonts w:ascii="Times New Roman" w:hAnsi="Times New Roman" w:cs="Times New Roman"/>
          <w:lang w:val="en-US"/>
        </w:rPr>
        <w:t>mass incarceration (</w:t>
      </w:r>
      <w:r w:rsidR="000E690D" w:rsidRPr="003C0052">
        <w:rPr>
          <w:rFonts w:ascii="Times New Roman" w:hAnsi="Times New Roman" w:cs="Times New Roman"/>
          <w:lang w:val="en-US"/>
        </w:rPr>
        <w:t xml:space="preserve">Porter </w:t>
      </w:r>
      <w:r w:rsidR="0024204B" w:rsidRPr="003C0052">
        <w:rPr>
          <w:rFonts w:ascii="Times New Roman" w:hAnsi="Times New Roman" w:cs="Times New Roman"/>
          <w:lang w:val="en-US"/>
        </w:rPr>
        <w:t xml:space="preserve">&amp; </w:t>
      </w:r>
      <w:r w:rsidR="000E690D" w:rsidRPr="003C0052">
        <w:rPr>
          <w:rFonts w:ascii="Times New Roman" w:hAnsi="Times New Roman" w:cs="Times New Roman"/>
          <w:lang w:val="en-US"/>
        </w:rPr>
        <w:t>Wright, 2011</w:t>
      </w:r>
      <w:r w:rsidR="00217CF9" w:rsidRPr="003C0052">
        <w:rPr>
          <w:rFonts w:ascii="Times New Roman" w:hAnsi="Times New Roman" w:cs="Times New Roman"/>
          <w:lang w:val="en-US"/>
        </w:rPr>
        <w:t>).</w:t>
      </w:r>
      <w:r w:rsidR="00AC47D6" w:rsidRPr="003C0052">
        <w:rPr>
          <w:rFonts w:ascii="Times New Roman" w:hAnsi="Times New Roman" w:cs="Times New Roman"/>
          <w:lang w:val="en-US"/>
        </w:rPr>
        <w:t xml:space="preserve"> </w:t>
      </w:r>
      <w:r w:rsidR="007E04D9" w:rsidRPr="003C0052">
        <w:rPr>
          <w:rFonts w:ascii="Times New Roman" w:hAnsi="Times New Roman" w:cs="Times New Roman"/>
          <w:lang w:val="en-US"/>
        </w:rPr>
        <w:t>Th</w:t>
      </w:r>
      <w:r w:rsidR="00AC47D6" w:rsidRPr="003C0052">
        <w:rPr>
          <w:rFonts w:ascii="Times New Roman" w:hAnsi="Times New Roman" w:cs="Times New Roman"/>
          <w:lang w:val="en-US"/>
        </w:rPr>
        <w:t>reshold sentencing</w:t>
      </w:r>
      <w:r w:rsidR="007F306F" w:rsidRPr="003C0052">
        <w:rPr>
          <w:rFonts w:ascii="Times New Roman" w:hAnsi="Times New Roman" w:cs="Times New Roman"/>
          <w:lang w:val="en-US"/>
        </w:rPr>
        <w:t xml:space="preserve"> exists for ‘trafficking offences’ and </w:t>
      </w:r>
      <w:proofErr w:type="spellStart"/>
      <w:r w:rsidR="007F306F" w:rsidRPr="003C0052">
        <w:rPr>
          <w:rFonts w:ascii="Times New Roman" w:hAnsi="Times New Roman" w:cs="Times New Roman"/>
          <w:lang w:val="en-US"/>
        </w:rPr>
        <w:t>sentencers</w:t>
      </w:r>
      <w:proofErr w:type="spellEnd"/>
      <w:r w:rsidR="007F306F" w:rsidRPr="003C0052">
        <w:rPr>
          <w:rFonts w:ascii="Times New Roman" w:hAnsi="Times New Roman" w:cs="Times New Roman"/>
          <w:lang w:val="en-US"/>
        </w:rPr>
        <w:t xml:space="preserve"> are led by tariffs that prescribe the maximum fine and prison sentence for a particu</w:t>
      </w:r>
      <w:r w:rsidR="00693A77" w:rsidRPr="003C0052">
        <w:rPr>
          <w:rFonts w:ascii="Times New Roman" w:hAnsi="Times New Roman" w:cs="Times New Roman"/>
          <w:lang w:val="en-US"/>
        </w:rPr>
        <w:t xml:space="preserve">lar schedule of substance. In practice, they read in the following way: for a first offence </w:t>
      </w:r>
      <w:r w:rsidR="00F748AD" w:rsidRPr="003C0052">
        <w:rPr>
          <w:rFonts w:ascii="Times New Roman" w:hAnsi="Times New Roman" w:cs="Times New Roman"/>
          <w:lang w:val="en-US"/>
        </w:rPr>
        <w:t xml:space="preserve">of trafficking </w:t>
      </w:r>
      <w:r w:rsidR="00FC653F" w:rsidRPr="003C0052">
        <w:rPr>
          <w:rFonts w:ascii="Times New Roman" w:hAnsi="Times New Roman" w:cs="Times New Roman"/>
          <w:lang w:val="en-US"/>
        </w:rPr>
        <w:t>LSD</w:t>
      </w:r>
      <w:r w:rsidR="00C709BC" w:rsidRPr="003C0052">
        <w:rPr>
          <w:rFonts w:ascii="Times New Roman" w:hAnsi="Times New Roman" w:cs="Times New Roman"/>
          <w:lang w:val="en-US"/>
        </w:rPr>
        <w:t xml:space="preserve"> (Schedule I)</w:t>
      </w:r>
      <w:r w:rsidR="005A00DF" w:rsidRPr="003C0052">
        <w:rPr>
          <w:rFonts w:ascii="Times New Roman" w:hAnsi="Times New Roman" w:cs="Times New Roman"/>
          <w:lang w:val="en-US"/>
        </w:rPr>
        <w:t>,</w:t>
      </w:r>
      <w:r w:rsidR="00FC653F" w:rsidRPr="003C0052">
        <w:rPr>
          <w:rFonts w:ascii="Times New Roman" w:hAnsi="Times New Roman" w:cs="Times New Roman"/>
          <w:lang w:val="en-US"/>
        </w:rPr>
        <w:t xml:space="preserve"> </w:t>
      </w:r>
      <w:r w:rsidR="00F748AD" w:rsidRPr="003C0052">
        <w:rPr>
          <w:rFonts w:ascii="Times New Roman" w:hAnsi="Times New Roman" w:cs="Times New Roman"/>
          <w:lang w:val="en-US"/>
        </w:rPr>
        <w:t xml:space="preserve">the supplier would be </w:t>
      </w:r>
      <w:r w:rsidR="00C709BC" w:rsidRPr="003C0052">
        <w:rPr>
          <w:rFonts w:ascii="Times New Roman" w:hAnsi="Times New Roman" w:cs="Times New Roman"/>
          <w:lang w:val="en-US"/>
        </w:rPr>
        <w:t>sentenced according to quantity c</w:t>
      </w:r>
      <w:r w:rsidR="00F748AD" w:rsidRPr="003C0052">
        <w:rPr>
          <w:rFonts w:ascii="Times New Roman" w:hAnsi="Times New Roman" w:cs="Times New Roman"/>
          <w:lang w:val="en-US"/>
        </w:rPr>
        <w:t>ategories of ‘</w:t>
      </w:r>
      <w:r w:rsidR="000D2155" w:rsidRPr="003C0052">
        <w:rPr>
          <w:rFonts w:ascii="Times New Roman" w:hAnsi="Times New Roman" w:cs="Times New Roman"/>
          <w:lang w:val="en-US"/>
        </w:rPr>
        <w:t xml:space="preserve">1-9 grams </w:t>
      </w:r>
      <w:r w:rsidR="00F748AD" w:rsidRPr="003C0052">
        <w:rPr>
          <w:rFonts w:ascii="Times New Roman" w:hAnsi="Times New Roman" w:cs="Times New Roman"/>
          <w:lang w:val="en-US"/>
        </w:rPr>
        <w:t>mixture’</w:t>
      </w:r>
      <w:r w:rsidR="00C709BC" w:rsidRPr="003C0052">
        <w:rPr>
          <w:rFonts w:ascii="Times New Roman" w:hAnsi="Times New Roman" w:cs="Times New Roman"/>
          <w:lang w:val="en-US"/>
        </w:rPr>
        <w:t xml:space="preserve">, receiving a </w:t>
      </w:r>
      <w:r w:rsidR="00F748AD" w:rsidRPr="003C0052">
        <w:rPr>
          <w:rFonts w:ascii="Times New Roman" w:hAnsi="Times New Roman" w:cs="Times New Roman"/>
          <w:lang w:val="en-US"/>
        </w:rPr>
        <w:t>maximum penalty of ‘</w:t>
      </w:r>
      <w:r w:rsidR="000D2155" w:rsidRPr="003C0052">
        <w:rPr>
          <w:rFonts w:ascii="Times New Roman" w:hAnsi="Times New Roman" w:cs="Times New Roman"/>
          <w:lang w:val="en-US"/>
        </w:rPr>
        <w:t>not less than 5 years and not more than 40</w:t>
      </w:r>
      <w:r w:rsidR="00F748AD" w:rsidRPr="003C0052">
        <w:rPr>
          <w:rFonts w:ascii="Times New Roman" w:hAnsi="Times New Roman" w:cs="Times New Roman"/>
          <w:lang w:val="en-US"/>
        </w:rPr>
        <w:t xml:space="preserve"> years’ imprisonment</w:t>
      </w:r>
      <w:r w:rsidR="001326F6" w:rsidRPr="003C0052">
        <w:rPr>
          <w:rFonts w:ascii="Times New Roman" w:hAnsi="Times New Roman" w:cs="Times New Roman"/>
          <w:lang w:val="en-US"/>
        </w:rPr>
        <w:t>,</w:t>
      </w:r>
      <w:r w:rsidR="00F748AD" w:rsidRPr="003C0052">
        <w:rPr>
          <w:rFonts w:ascii="Times New Roman" w:hAnsi="Times New Roman" w:cs="Times New Roman"/>
          <w:lang w:val="en-US"/>
        </w:rPr>
        <w:t xml:space="preserve"> or</w:t>
      </w:r>
      <w:r w:rsidR="00977079" w:rsidRPr="003C0052">
        <w:rPr>
          <w:rFonts w:ascii="Times New Roman" w:hAnsi="Times New Roman" w:cs="Times New Roman"/>
          <w:lang w:val="en-US"/>
        </w:rPr>
        <w:t xml:space="preserve"> for ‘</w:t>
      </w:r>
      <w:r w:rsidR="00E41C4B" w:rsidRPr="003C0052">
        <w:rPr>
          <w:rFonts w:ascii="Times New Roman" w:hAnsi="Times New Roman" w:cs="Times New Roman"/>
          <w:lang w:val="en-US"/>
        </w:rPr>
        <w:t>10 grams or more’</w:t>
      </w:r>
      <w:r w:rsidR="00C709BC" w:rsidRPr="003C0052">
        <w:rPr>
          <w:rFonts w:ascii="Times New Roman" w:hAnsi="Times New Roman" w:cs="Times New Roman"/>
          <w:lang w:val="en-US"/>
        </w:rPr>
        <w:t>, punishable by ‘not less than 10 years and not more than life’</w:t>
      </w:r>
      <w:r w:rsidR="00977079" w:rsidRPr="003C0052">
        <w:rPr>
          <w:rFonts w:ascii="Times New Roman" w:hAnsi="Times New Roman" w:cs="Times New Roman"/>
          <w:lang w:val="en-US"/>
        </w:rPr>
        <w:t xml:space="preserve"> imprisonment</w:t>
      </w:r>
      <w:r w:rsidR="00C709BC" w:rsidRPr="003C0052">
        <w:rPr>
          <w:rFonts w:ascii="Times New Roman" w:hAnsi="Times New Roman" w:cs="Times New Roman"/>
          <w:lang w:val="en-US"/>
        </w:rPr>
        <w:t xml:space="preserve"> (DEA, 2017). </w:t>
      </w:r>
      <w:r w:rsidR="00132DA0" w:rsidRPr="003C0052">
        <w:rPr>
          <w:rFonts w:ascii="Times New Roman" w:hAnsi="Times New Roman" w:cs="Times New Roman"/>
        </w:rPr>
        <w:t>This system allows for prosecutors to make highly discretionary and consequential decisions which clearly affect sen</w:t>
      </w:r>
      <w:r w:rsidR="00FD59B6" w:rsidRPr="003C0052">
        <w:rPr>
          <w:rFonts w:ascii="Times New Roman" w:hAnsi="Times New Roman" w:cs="Times New Roman"/>
        </w:rPr>
        <w:t xml:space="preserve">tence severity (Kim, </w:t>
      </w:r>
      <w:proofErr w:type="spellStart"/>
      <w:r w:rsidR="00FD59B6" w:rsidRPr="003C0052">
        <w:rPr>
          <w:rFonts w:ascii="Times New Roman" w:hAnsi="Times New Roman" w:cs="Times New Roman"/>
        </w:rPr>
        <w:t>Spohn</w:t>
      </w:r>
      <w:proofErr w:type="spellEnd"/>
      <w:r w:rsidR="00FD59B6" w:rsidRPr="003C0052">
        <w:rPr>
          <w:rFonts w:ascii="Times New Roman" w:hAnsi="Times New Roman" w:cs="Times New Roman"/>
        </w:rPr>
        <w:t xml:space="preserve"> &amp; </w:t>
      </w:r>
      <w:proofErr w:type="spellStart"/>
      <w:r w:rsidR="00FD59B6" w:rsidRPr="003C0052">
        <w:rPr>
          <w:rFonts w:ascii="Times New Roman" w:hAnsi="Times New Roman" w:cs="Times New Roman"/>
        </w:rPr>
        <w:t>Hedberg</w:t>
      </w:r>
      <w:proofErr w:type="spellEnd"/>
      <w:r w:rsidR="00FD59B6" w:rsidRPr="003C0052">
        <w:rPr>
          <w:rFonts w:ascii="Times New Roman" w:hAnsi="Times New Roman" w:cs="Times New Roman"/>
        </w:rPr>
        <w:t xml:space="preserve">, </w:t>
      </w:r>
      <w:r w:rsidR="00132DA0" w:rsidRPr="003C0052">
        <w:rPr>
          <w:rFonts w:ascii="Times New Roman" w:hAnsi="Times New Roman" w:cs="Times New Roman"/>
        </w:rPr>
        <w:t>2015)</w:t>
      </w:r>
      <w:r w:rsidR="001271CC" w:rsidRPr="003C0052">
        <w:rPr>
          <w:rFonts w:ascii="Times New Roman" w:hAnsi="Times New Roman" w:cs="Times New Roman"/>
        </w:rPr>
        <w:t xml:space="preserve"> </w:t>
      </w:r>
      <w:r w:rsidR="007E04D9" w:rsidRPr="003C0052">
        <w:rPr>
          <w:rFonts w:ascii="Times New Roman" w:hAnsi="Times New Roman" w:cs="Times New Roman"/>
        </w:rPr>
        <w:t xml:space="preserve">whilst also </w:t>
      </w:r>
      <w:r w:rsidR="007E04D9" w:rsidRPr="003C0052">
        <w:rPr>
          <w:rFonts w:ascii="Times New Roman" w:hAnsi="Times New Roman" w:cs="Times New Roman"/>
        </w:rPr>
        <w:lastRenderedPageBreak/>
        <w:t xml:space="preserve">encouraging </w:t>
      </w:r>
      <w:r w:rsidR="00132DA0" w:rsidRPr="003C0052">
        <w:rPr>
          <w:rFonts w:ascii="Times New Roman" w:hAnsi="Times New Roman" w:cs="Times New Roman"/>
        </w:rPr>
        <w:t>disparity</w:t>
      </w:r>
      <w:r w:rsidR="007E04D9" w:rsidRPr="003C0052">
        <w:rPr>
          <w:rFonts w:ascii="Times New Roman" w:hAnsi="Times New Roman" w:cs="Times New Roman"/>
        </w:rPr>
        <w:t xml:space="preserve"> and disproportionality</w:t>
      </w:r>
      <w:r w:rsidR="00132DA0" w:rsidRPr="003C0052">
        <w:rPr>
          <w:rFonts w:ascii="Times New Roman" w:hAnsi="Times New Roman" w:cs="Times New Roman"/>
        </w:rPr>
        <w:t xml:space="preserve"> in</w:t>
      </w:r>
      <w:r w:rsidR="0086689E" w:rsidRPr="003C0052">
        <w:rPr>
          <w:rFonts w:ascii="Times New Roman" w:hAnsi="Times New Roman" w:cs="Times New Roman"/>
        </w:rPr>
        <w:t xml:space="preserve"> the sentencing process (see</w:t>
      </w:r>
      <w:r w:rsidR="00132DA0" w:rsidRPr="003C0052">
        <w:rPr>
          <w:rFonts w:ascii="Times New Roman" w:hAnsi="Times New Roman" w:cs="Times New Roman"/>
        </w:rPr>
        <w:t xml:space="preserve"> </w:t>
      </w:r>
      <w:proofErr w:type="spellStart"/>
      <w:r w:rsidR="00132DA0" w:rsidRPr="003C0052">
        <w:rPr>
          <w:rFonts w:ascii="Times New Roman" w:hAnsi="Times New Roman" w:cs="Times New Roman"/>
        </w:rPr>
        <w:t>Spohn</w:t>
      </w:r>
      <w:proofErr w:type="spellEnd"/>
      <w:r w:rsidR="00132DA0" w:rsidRPr="003C0052">
        <w:rPr>
          <w:rFonts w:ascii="Times New Roman" w:hAnsi="Times New Roman" w:cs="Times New Roman"/>
        </w:rPr>
        <w:t xml:space="preserve"> </w:t>
      </w:r>
      <w:r w:rsidR="0024204B" w:rsidRPr="003C0052">
        <w:rPr>
          <w:rFonts w:ascii="Times New Roman" w:hAnsi="Times New Roman" w:cs="Times New Roman"/>
        </w:rPr>
        <w:t>&amp;</w:t>
      </w:r>
      <w:r w:rsidR="007875B4" w:rsidRPr="003C0052">
        <w:rPr>
          <w:rFonts w:ascii="Times New Roman" w:hAnsi="Times New Roman" w:cs="Times New Roman"/>
        </w:rPr>
        <w:t xml:space="preserve"> </w:t>
      </w:r>
      <w:proofErr w:type="spellStart"/>
      <w:r w:rsidR="00132DA0" w:rsidRPr="003C0052">
        <w:rPr>
          <w:rFonts w:ascii="Times New Roman" w:hAnsi="Times New Roman" w:cs="Times New Roman"/>
        </w:rPr>
        <w:t>Fornango</w:t>
      </w:r>
      <w:proofErr w:type="spellEnd"/>
      <w:r w:rsidR="00132DA0" w:rsidRPr="003C0052">
        <w:rPr>
          <w:rFonts w:ascii="Times New Roman" w:hAnsi="Times New Roman" w:cs="Times New Roman"/>
        </w:rPr>
        <w:t>, 2009).</w:t>
      </w:r>
    </w:p>
    <w:p w:rsidR="00755DB4" w:rsidRPr="003C0052" w:rsidRDefault="00755DB4">
      <w:pPr>
        <w:rPr>
          <w:rFonts w:ascii="Times New Roman" w:hAnsi="Times New Roman" w:cs="Times New Roman"/>
          <w:b/>
        </w:rPr>
      </w:pPr>
    </w:p>
    <w:p w:rsidR="00755DB4" w:rsidRPr="003C0052" w:rsidRDefault="00A26550" w:rsidP="00E7752F">
      <w:pPr>
        <w:outlineLvl w:val="0"/>
        <w:rPr>
          <w:rFonts w:ascii="Times New Roman" w:hAnsi="Times New Roman" w:cs="Times New Roman"/>
          <w:b/>
        </w:rPr>
      </w:pPr>
      <w:r w:rsidRPr="003C0052">
        <w:rPr>
          <w:rFonts w:ascii="Times New Roman" w:hAnsi="Times New Roman" w:cs="Times New Roman"/>
          <w:b/>
        </w:rPr>
        <w:t>Social Supply in sentencing and legal practice</w:t>
      </w:r>
    </w:p>
    <w:p w:rsidR="0015632F" w:rsidRPr="003C0052" w:rsidRDefault="0015632F">
      <w:pPr>
        <w:rPr>
          <w:rFonts w:ascii="Times New Roman" w:hAnsi="Times New Roman" w:cs="Times New Roman"/>
          <w:b/>
        </w:rPr>
      </w:pPr>
    </w:p>
    <w:p w:rsidR="00D6274F" w:rsidRPr="003C0052" w:rsidRDefault="00D6274F">
      <w:pPr>
        <w:rPr>
          <w:rFonts w:ascii="Times New Roman" w:hAnsi="Times New Roman" w:cs="Times New Roman"/>
          <w:b/>
        </w:rPr>
      </w:pPr>
    </w:p>
    <w:p w:rsidR="006A5521" w:rsidRPr="003C0052" w:rsidRDefault="003C759B" w:rsidP="007C4C36">
      <w:pPr>
        <w:spacing w:line="360" w:lineRule="auto"/>
        <w:jc w:val="both"/>
        <w:rPr>
          <w:rFonts w:ascii="Times New Roman" w:hAnsi="Times New Roman" w:cs="Times New Roman"/>
        </w:rPr>
      </w:pPr>
      <w:r w:rsidRPr="003C0052">
        <w:rPr>
          <w:rFonts w:ascii="Times New Roman" w:hAnsi="Times New Roman" w:cs="Times New Roman"/>
        </w:rPr>
        <w:t>As we have seen, d</w:t>
      </w:r>
      <w:r w:rsidR="000537C4" w:rsidRPr="003C0052">
        <w:rPr>
          <w:rFonts w:ascii="Times New Roman" w:hAnsi="Times New Roman" w:cs="Times New Roman"/>
        </w:rPr>
        <w:t>ifferent international contexts accommodate differentiation in sentencing for drug supply at varying levels</w:t>
      </w:r>
      <w:r w:rsidR="00DC17AE" w:rsidRPr="003C0052">
        <w:rPr>
          <w:rFonts w:ascii="Times New Roman" w:hAnsi="Times New Roman" w:cs="Times New Roman"/>
        </w:rPr>
        <w:t>,</w:t>
      </w:r>
      <w:r w:rsidR="000537C4" w:rsidRPr="003C0052">
        <w:rPr>
          <w:rFonts w:ascii="Times New Roman" w:hAnsi="Times New Roman" w:cs="Times New Roman"/>
        </w:rPr>
        <w:t xml:space="preserve"> ranging from systems in which culpability is assessed through regard to an offender</w:t>
      </w:r>
      <w:r w:rsidR="00F82E0A" w:rsidRPr="003C0052">
        <w:rPr>
          <w:rFonts w:ascii="Times New Roman" w:hAnsi="Times New Roman" w:cs="Times New Roman"/>
        </w:rPr>
        <w:t>’</w:t>
      </w:r>
      <w:r w:rsidR="000537C4" w:rsidRPr="003C0052">
        <w:rPr>
          <w:rFonts w:ascii="Times New Roman" w:hAnsi="Times New Roman" w:cs="Times New Roman"/>
        </w:rPr>
        <w:t xml:space="preserve">s </w:t>
      </w:r>
      <w:r w:rsidR="00BF35D3" w:rsidRPr="003C0052">
        <w:rPr>
          <w:rFonts w:ascii="Times New Roman" w:hAnsi="Times New Roman" w:cs="Times New Roman"/>
        </w:rPr>
        <w:t xml:space="preserve">‘role’ </w:t>
      </w:r>
      <w:r w:rsidR="000537C4" w:rsidRPr="003C0052">
        <w:rPr>
          <w:rFonts w:ascii="Times New Roman" w:hAnsi="Times New Roman" w:cs="Times New Roman"/>
        </w:rPr>
        <w:t>(</w:t>
      </w:r>
      <w:r w:rsidR="00255F49" w:rsidRPr="003C0052">
        <w:rPr>
          <w:rFonts w:ascii="Times New Roman" w:hAnsi="Times New Roman" w:cs="Times New Roman"/>
        </w:rPr>
        <w:t>England and Wales</w:t>
      </w:r>
      <w:r w:rsidR="000537C4" w:rsidRPr="003C0052">
        <w:rPr>
          <w:rFonts w:ascii="Times New Roman" w:hAnsi="Times New Roman" w:cs="Times New Roman"/>
        </w:rPr>
        <w:t>)</w:t>
      </w:r>
      <w:r w:rsidR="00BF35D3" w:rsidRPr="003C0052">
        <w:rPr>
          <w:rFonts w:ascii="Times New Roman" w:hAnsi="Times New Roman" w:cs="Times New Roman"/>
        </w:rPr>
        <w:t>,</w:t>
      </w:r>
      <w:r w:rsidR="000537C4" w:rsidRPr="003C0052">
        <w:rPr>
          <w:rFonts w:ascii="Times New Roman" w:hAnsi="Times New Roman" w:cs="Times New Roman"/>
        </w:rPr>
        <w:t xml:space="preserve"> to contexts in which supply </w:t>
      </w:r>
      <w:r w:rsidR="007E04D9" w:rsidRPr="003C0052">
        <w:rPr>
          <w:rFonts w:ascii="Times New Roman" w:hAnsi="Times New Roman" w:cs="Times New Roman"/>
        </w:rPr>
        <w:t xml:space="preserve">offences do not exist </w:t>
      </w:r>
      <w:r w:rsidR="000537C4" w:rsidRPr="003C0052">
        <w:rPr>
          <w:rFonts w:ascii="Times New Roman" w:hAnsi="Times New Roman" w:cs="Times New Roman"/>
        </w:rPr>
        <w:t>(Finland)</w:t>
      </w:r>
      <w:r w:rsidR="00DC17AE" w:rsidRPr="003C0052">
        <w:rPr>
          <w:rFonts w:ascii="Times New Roman" w:hAnsi="Times New Roman" w:cs="Times New Roman"/>
        </w:rPr>
        <w:t>,</w:t>
      </w:r>
      <w:r w:rsidR="000537C4" w:rsidRPr="003C0052">
        <w:rPr>
          <w:rFonts w:ascii="Times New Roman" w:hAnsi="Times New Roman" w:cs="Times New Roman"/>
        </w:rPr>
        <w:t xml:space="preserve"> or the courts hold wide discretionary power (Netherlands</w:t>
      </w:r>
      <w:r w:rsidR="00DC17AE" w:rsidRPr="003C0052">
        <w:rPr>
          <w:rFonts w:ascii="Times New Roman" w:hAnsi="Times New Roman" w:cs="Times New Roman"/>
        </w:rPr>
        <w:t>/US</w:t>
      </w:r>
      <w:r w:rsidR="000537C4" w:rsidRPr="003C0052">
        <w:rPr>
          <w:rFonts w:ascii="Times New Roman" w:hAnsi="Times New Roman" w:cs="Times New Roman"/>
        </w:rPr>
        <w:t xml:space="preserve">). </w:t>
      </w:r>
      <w:r w:rsidR="00BF35D3" w:rsidRPr="003C0052">
        <w:rPr>
          <w:rFonts w:ascii="Times New Roman" w:hAnsi="Times New Roman" w:cs="Times New Roman"/>
        </w:rPr>
        <w:t xml:space="preserve">Perhaps unsurprisingly, the degree to which proportionality and </w:t>
      </w:r>
      <w:r w:rsidR="007E04D9" w:rsidRPr="003C0052">
        <w:rPr>
          <w:rFonts w:ascii="Times New Roman" w:hAnsi="Times New Roman" w:cs="Times New Roman"/>
        </w:rPr>
        <w:t xml:space="preserve">supply </w:t>
      </w:r>
      <w:r w:rsidR="00BF35D3" w:rsidRPr="003C0052">
        <w:rPr>
          <w:rFonts w:ascii="Times New Roman" w:hAnsi="Times New Roman" w:cs="Times New Roman"/>
        </w:rPr>
        <w:t xml:space="preserve">differentiation is </w:t>
      </w:r>
      <w:r w:rsidR="007E04D9" w:rsidRPr="003C0052">
        <w:rPr>
          <w:rFonts w:ascii="Times New Roman" w:hAnsi="Times New Roman" w:cs="Times New Roman"/>
        </w:rPr>
        <w:t>acknowledged</w:t>
      </w:r>
      <w:r w:rsidR="00BF35D3" w:rsidRPr="003C0052">
        <w:rPr>
          <w:rFonts w:ascii="Times New Roman" w:hAnsi="Times New Roman" w:cs="Times New Roman"/>
        </w:rPr>
        <w:t xml:space="preserve"> </w:t>
      </w:r>
      <w:r w:rsidR="00DC2411" w:rsidRPr="003C0052">
        <w:rPr>
          <w:rFonts w:ascii="Times New Roman" w:hAnsi="Times New Roman" w:cs="Times New Roman"/>
        </w:rPr>
        <w:t xml:space="preserve">shapes the extent to which </w:t>
      </w:r>
      <w:r w:rsidR="00FB03B4" w:rsidRPr="003C0052">
        <w:rPr>
          <w:rFonts w:ascii="Times New Roman" w:hAnsi="Times New Roman" w:cs="Times New Roman"/>
        </w:rPr>
        <w:t>‘soc</w:t>
      </w:r>
      <w:r w:rsidR="00450AD6" w:rsidRPr="003C0052">
        <w:rPr>
          <w:rFonts w:ascii="Times New Roman" w:hAnsi="Times New Roman" w:cs="Times New Roman"/>
        </w:rPr>
        <w:t>ial supply’ (or activities that</w:t>
      </w:r>
      <w:r w:rsidR="00FB03B4" w:rsidRPr="003C0052">
        <w:rPr>
          <w:rFonts w:ascii="Times New Roman" w:hAnsi="Times New Roman" w:cs="Times New Roman"/>
        </w:rPr>
        <w:t xml:space="preserve"> could be described as such) </w:t>
      </w:r>
      <w:proofErr w:type="gramStart"/>
      <w:r w:rsidR="00FB03B4" w:rsidRPr="003C0052">
        <w:rPr>
          <w:rFonts w:ascii="Times New Roman" w:hAnsi="Times New Roman" w:cs="Times New Roman"/>
        </w:rPr>
        <w:t>are</w:t>
      </w:r>
      <w:proofErr w:type="gramEnd"/>
      <w:r w:rsidR="00FB03B4" w:rsidRPr="003C0052">
        <w:rPr>
          <w:rFonts w:ascii="Times New Roman" w:hAnsi="Times New Roman" w:cs="Times New Roman"/>
        </w:rPr>
        <w:t xml:space="preserve"> recognised within sentencing practices.</w:t>
      </w:r>
      <w:r w:rsidR="006A5521" w:rsidRPr="003C0052">
        <w:rPr>
          <w:rFonts w:ascii="Times New Roman" w:hAnsi="Times New Roman" w:cs="Times New Roman"/>
        </w:rPr>
        <w:t xml:space="preserve"> Table 2 below, provides a summary of the differences in terms of how social supply is understood, acknowledged and/or accommodated in each country.</w:t>
      </w:r>
    </w:p>
    <w:p w:rsidR="006A5521" w:rsidRPr="003C0052" w:rsidRDefault="006A5521" w:rsidP="007C4C36">
      <w:pPr>
        <w:spacing w:line="360" w:lineRule="auto"/>
        <w:jc w:val="both"/>
        <w:rPr>
          <w:rFonts w:ascii="Times New Roman" w:hAnsi="Times New Roman" w:cs="Times New Roman"/>
        </w:rPr>
      </w:pPr>
    </w:p>
    <w:p w:rsidR="006A5521" w:rsidRPr="003C0052" w:rsidRDefault="006A5521" w:rsidP="007C4C36">
      <w:pPr>
        <w:spacing w:line="360" w:lineRule="auto"/>
        <w:jc w:val="both"/>
        <w:rPr>
          <w:rFonts w:ascii="Times New Roman" w:hAnsi="Times New Roman" w:cs="Times New Roman"/>
        </w:rPr>
      </w:pPr>
      <w:r w:rsidRPr="003C0052">
        <w:rPr>
          <w:rFonts w:ascii="Times New Roman" w:hAnsi="Times New Roman" w:cs="Times New Roman"/>
        </w:rPr>
        <w:t>[Table 2 here]</w:t>
      </w:r>
    </w:p>
    <w:p w:rsidR="006A5521" w:rsidRPr="003C0052" w:rsidRDefault="006A5521" w:rsidP="007C4C36">
      <w:pPr>
        <w:spacing w:line="360" w:lineRule="auto"/>
        <w:jc w:val="both"/>
        <w:rPr>
          <w:rFonts w:ascii="Times New Roman" w:hAnsi="Times New Roman" w:cs="Times New Roman"/>
        </w:rPr>
      </w:pPr>
    </w:p>
    <w:p w:rsidR="007C4C36" w:rsidRPr="003C0052" w:rsidRDefault="00394142" w:rsidP="007C4C36">
      <w:pPr>
        <w:spacing w:line="360" w:lineRule="auto"/>
        <w:jc w:val="both"/>
        <w:rPr>
          <w:rFonts w:ascii="Times New Roman" w:hAnsi="Times New Roman" w:cs="Times New Roman"/>
        </w:rPr>
      </w:pPr>
      <w:r w:rsidRPr="003C0052">
        <w:rPr>
          <w:rFonts w:ascii="Times New Roman" w:hAnsi="Times New Roman" w:cs="Times New Roman"/>
        </w:rPr>
        <w:t>In England and Wales, the Sentencing Council currently does not explicitly include ‘social supply’ within the ambit of their role categories. However, during a consultation preceding the implementation of the new sentencing guidelines, they note the ‘frequency in which the term is used to ‘discuss’ the role of an offender in a supply offence’ and instead include ‘</w:t>
      </w:r>
      <w:r w:rsidRPr="003C0052">
        <w:rPr>
          <w:rFonts w:ascii="Times New Roman" w:hAnsi="Times New Roman" w:cs="Times New Roman"/>
          <w:i/>
        </w:rPr>
        <w:t>absence of any financial gain, for example joint purchase for no profit, or sharing minimal quantity between peers on non-commercial basis</w:t>
      </w:r>
      <w:r w:rsidRPr="003C0052">
        <w:rPr>
          <w:rFonts w:ascii="Times New Roman" w:hAnsi="Times New Roman" w:cs="Times New Roman"/>
        </w:rPr>
        <w:t>’ in their matrices’ lesser role category (Sentencing Council, 2012: 11).</w:t>
      </w:r>
      <w:r w:rsidR="007C4C36" w:rsidRPr="003C0052">
        <w:rPr>
          <w:rFonts w:ascii="Times New Roman" w:hAnsi="Times New Roman" w:cs="Times New Roman"/>
        </w:rPr>
        <w:t xml:space="preserve"> Detailing their </w:t>
      </w:r>
      <w:r w:rsidR="00F01A69" w:rsidRPr="003C0052">
        <w:rPr>
          <w:rFonts w:ascii="Times New Roman" w:hAnsi="Times New Roman" w:cs="Times New Roman"/>
        </w:rPr>
        <w:t>decision not to include</w:t>
      </w:r>
      <w:r w:rsidR="007C4C36" w:rsidRPr="003C0052">
        <w:rPr>
          <w:rFonts w:ascii="Times New Roman" w:hAnsi="Times New Roman" w:cs="Times New Roman"/>
        </w:rPr>
        <w:t xml:space="preserve"> ‘social supplier</w:t>
      </w:r>
      <w:r w:rsidR="00F01A69" w:rsidRPr="003C0052">
        <w:rPr>
          <w:rFonts w:ascii="Times New Roman" w:hAnsi="Times New Roman" w:cs="Times New Roman"/>
        </w:rPr>
        <w:t>s</w:t>
      </w:r>
      <w:r w:rsidR="007C4C36" w:rsidRPr="003C0052">
        <w:rPr>
          <w:rFonts w:ascii="Times New Roman" w:hAnsi="Times New Roman" w:cs="Times New Roman"/>
        </w:rPr>
        <w:t>’</w:t>
      </w:r>
      <w:r w:rsidR="0086689E" w:rsidRPr="003C0052">
        <w:rPr>
          <w:rFonts w:ascii="Times New Roman" w:hAnsi="Times New Roman" w:cs="Times New Roman"/>
        </w:rPr>
        <w:t xml:space="preserve"> as a role</w:t>
      </w:r>
      <w:r w:rsidR="007C4C36" w:rsidRPr="003C0052">
        <w:rPr>
          <w:rFonts w:ascii="Times New Roman" w:hAnsi="Times New Roman" w:cs="Times New Roman"/>
        </w:rPr>
        <w:t xml:space="preserve"> within the definitive sentencing guidelines</w:t>
      </w:r>
      <w:r w:rsidR="00212315" w:rsidRPr="003C0052">
        <w:rPr>
          <w:rFonts w:ascii="Times New Roman" w:hAnsi="Times New Roman" w:cs="Times New Roman"/>
        </w:rPr>
        <w:t>,</w:t>
      </w:r>
      <w:r w:rsidR="007C4C36" w:rsidRPr="003C0052">
        <w:rPr>
          <w:rFonts w:ascii="Times New Roman" w:hAnsi="Times New Roman" w:cs="Times New Roman"/>
        </w:rPr>
        <w:t xml:space="preserve"> the Sentencing Council (2011)</w:t>
      </w:r>
      <w:r w:rsidR="00F01A69" w:rsidRPr="003C0052">
        <w:rPr>
          <w:rFonts w:ascii="Times New Roman" w:hAnsi="Times New Roman" w:cs="Times New Roman"/>
        </w:rPr>
        <w:t xml:space="preserve"> label</w:t>
      </w:r>
      <w:r w:rsidR="00884450" w:rsidRPr="003C0052">
        <w:rPr>
          <w:rFonts w:ascii="Times New Roman" w:hAnsi="Times New Roman" w:cs="Times New Roman"/>
        </w:rPr>
        <w:t xml:space="preserve"> the</w:t>
      </w:r>
      <w:r w:rsidR="00F01A69" w:rsidRPr="003C0052">
        <w:rPr>
          <w:rFonts w:ascii="Times New Roman" w:hAnsi="Times New Roman" w:cs="Times New Roman"/>
        </w:rPr>
        <w:t xml:space="preserve"> term</w:t>
      </w:r>
      <w:r w:rsidR="007C4C36" w:rsidRPr="003C0052">
        <w:rPr>
          <w:rFonts w:ascii="Times New Roman" w:hAnsi="Times New Roman" w:cs="Times New Roman"/>
        </w:rPr>
        <w:t xml:space="preserve"> </w:t>
      </w:r>
      <w:r w:rsidR="0074636E" w:rsidRPr="003C0052">
        <w:rPr>
          <w:rFonts w:ascii="Times New Roman" w:hAnsi="Times New Roman" w:cs="Times New Roman"/>
        </w:rPr>
        <w:t>‘highly problematic’ and</w:t>
      </w:r>
      <w:r w:rsidR="00F01A69" w:rsidRPr="003C0052">
        <w:rPr>
          <w:rFonts w:ascii="Times New Roman" w:hAnsi="Times New Roman" w:cs="Times New Roman"/>
        </w:rPr>
        <w:t xml:space="preserve"> provide the following </w:t>
      </w:r>
      <w:r w:rsidR="007C4C36" w:rsidRPr="003C0052">
        <w:rPr>
          <w:rFonts w:ascii="Times New Roman" w:hAnsi="Times New Roman" w:cs="Times New Roman"/>
        </w:rPr>
        <w:t>state</w:t>
      </w:r>
      <w:r w:rsidR="00F01A69" w:rsidRPr="003C0052">
        <w:rPr>
          <w:rFonts w:ascii="Times New Roman" w:hAnsi="Times New Roman" w:cs="Times New Roman"/>
        </w:rPr>
        <w:t>ment</w:t>
      </w:r>
      <w:r w:rsidR="007C4C36" w:rsidRPr="003C0052">
        <w:rPr>
          <w:rFonts w:ascii="Times New Roman" w:hAnsi="Times New Roman" w:cs="Times New Roman"/>
        </w:rPr>
        <w:t xml:space="preserve"> </w:t>
      </w:r>
      <w:r w:rsidR="00F01A69" w:rsidRPr="003C0052">
        <w:rPr>
          <w:rFonts w:ascii="Times New Roman" w:hAnsi="Times New Roman" w:cs="Times New Roman"/>
        </w:rPr>
        <w:t xml:space="preserve">explaining its exclusion </w:t>
      </w:r>
      <w:r w:rsidR="00A46363" w:rsidRPr="003C0052">
        <w:rPr>
          <w:rFonts w:ascii="Times New Roman" w:hAnsi="Times New Roman" w:cs="Times New Roman"/>
        </w:rPr>
        <w:t>(p.</w:t>
      </w:r>
      <w:r w:rsidR="009139BA" w:rsidRPr="003C0052">
        <w:rPr>
          <w:rFonts w:ascii="Times New Roman" w:hAnsi="Times New Roman" w:cs="Times New Roman"/>
        </w:rPr>
        <w:t xml:space="preserve"> </w:t>
      </w:r>
      <w:r w:rsidR="00A46363" w:rsidRPr="003C0052">
        <w:rPr>
          <w:rFonts w:ascii="Times New Roman" w:hAnsi="Times New Roman" w:cs="Times New Roman"/>
        </w:rPr>
        <w:t>35)</w:t>
      </w:r>
      <w:r w:rsidR="00F01A69" w:rsidRPr="003C0052">
        <w:rPr>
          <w:rFonts w:ascii="Times New Roman" w:hAnsi="Times New Roman" w:cs="Times New Roman"/>
        </w:rPr>
        <w:t>:</w:t>
      </w:r>
      <w:r w:rsidR="00587E09" w:rsidRPr="003C0052">
        <w:rPr>
          <w:rFonts w:ascii="Times New Roman" w:hAnsi="Times New Roman" w:cs="Times New Roman"/>
        </w:rPr>
        <w:t xml:space="preserve"> </w:t>
      </w:r>
    </w:p>
    <w:p w:rsidR="0015632F" w:rsidRPr="003C0052" w:rsidRDefault="00FB03B4" w:rsidP="000537C4">
      <w:pPr>
        <w:spacing w:line="360" w:lineRule="auto"/>
        <w:jc w:val="both"/>
        <w:rPr>
          <w:rFonts w:ascii="Times New Roman" w:hAnsi="Times New Roman" w:cs="Times New Roman"/>
        </w:rPr>
      </w:pPr>
      <w:r w:rsidRPr="003C0052">
        <w:rPr>
          <w:rFonts w:ascii="Times New Roman" w:hAnsi="Times New Roman" w:cs="Times New Roman"/>
        </w:rPr>
        <w:t xml:space="preserve"> </w:t>
      </w:r>
    </w:p>
    <w:p w:rsidR="007C4C36" w:rsidRPr="003C0052" w:rsidRDefault="007C4C36" w:rsidP="009C7E87">
      <w:pPr>
        <w:ind w:left="567" w:right="567"/>
        <w:jc w:val="both"/>
        <w:rPr>
          <w:rFonts w:ascii="Times New Roman" w:hAnsi="Times New Roman" w:cs="Times New Roman"/>
        </w:rPr>
      </w:pPr>
      <w:r w:rsidRPr="003C0052">
        <w:rPr>
          <w:rFonts w:ascii="Times New Roman" w:hAnsi="Times New Roman" w:cs="Times New Roman"/>
        </w:rPr>
        <w:t>The term can be applied to those selling drugs to friends, where the supply is commercial but the recipients are known. It is also sometimes applied to those o</w:t>
      </w:r>
      <w:r w:rsidR="00212315" w:rsidRPr="003C0052">
        <w:rPr>
          <w:rFonts w:ascii="Times New Roman" w:hAnsi="Times New Roman" w:cs="Times New Roman"/>
        </w:rPr>
        <w:t>ff</w:t>
      </w:r>
      <w:r w:rsidRPr="003C0052">
        <w:rPr>
          <w:rFonts w:ascii="Times New Roman" w:hAnsi="Times New Roman" w:cs="Times New Roman"/>
        </w:rPr>
        <w:t xml:space="preserve">enders who supply for no gain, for example by conducting a joint purchase with friends. The Council’s aim is to draw a distinction in role, and therefore in culpability, between the commercial supplier providing a regular supply for not insignificant financial gain, and the person who provides small amounts of the drug to friends for no financial gain </w:t>
      </w:r>
      <w:r w:rsidRPr="003C0052">
        <w:rPr>
          <w:rFonts w:ascii="Times New Roman" w:hAnsi="Times New Roman" w:cs="Times New Roman"/>
        </w:rPr>
        <w:lastRenderedPageBreak/>
        <w:t xml:space="preserve">whatsoever, for example by conducting a shared purchase. In order to maintain this distinction throughout, the terms “social supply” and “social supplier” have been avoided so that it </w:t>
      </w:r>
      <w:r w:rsidR="00212315" w:rsidRPr="003C0052">
        <w:rPr>
          <w:rFonts w:ascii="Times New Roman" w:hAnsi="Times New Roman" w:cs="Times New Roman"/>
        </w:rPr>
        <w:t>is always clear which type of off</w:t>
      </w:r>
      <w:r w:rsidRPr="003C0052">
        <w:rPr>
          <w:rFonts w:ascii="Times New Roman" w:hAnsi="Times New Roman" w:cs="Times New Roman"/>
        </w:rPr>
        <w:t xml:space="preserve">ender is being referred to. </w:t>
      </w:r>
    </w:p>
    <w:p w:rsidR="009139BA" w:rsidRPr="003C0052" w:rsidRDefault="009139BA" w:rsidP="0019522B">
      <w:pPr>
        <w:spacing w:line="360" w:lineRule="auto"/>
        <w:jc w:val="both"/>
        <w:rPr>
          <w:rFonts w:ascii="Times New Roman" w:hAnsi="Times New Roman" w:cs="Times New Roman"/>
        </w:rPr>
      </w:pPr>
    </w:p>
    <w:p w:rsidR="00A46363" w:rsidRPr="003C0052" w:rsidRDefault="0019522B" w:rsidP="0019522B">
      <w:pPr>
        <w:spacing w:line="360" w:lineRule="auto"/>
        <w:jc w:val="both"/>
        <w:rPr>
          <w:rFonts w:ascii="Times New Roman" w:hAnsi="Times New Roman" w:cs="Times New Roman"/>
          <w:lang w:val="en-US"/>
        </w:rPr>
      </w:pPr>
      <w:r w:rsidRPr="003C0052">
        <w:rPr>
          <w:rFonts w:ascii="Times New Roman" w:hAnsi="Times New Roman" w:cs="Times New Roman"/>
        </w:rPr>
        <w:t>Much like the picture emanating from</w:t>
      </w:r>
      <w:r w:rsidR="007F2D52" w:rsidRPr="003C0052">
        <w:rPr>
          <w:rFonts w:ascii="Times New Roman" w:hAnsi="Times New Roman" w:cs="Times New Roman"/>
        </w:rPr>
        <w:t xml:space="preserve"> </w:t>
      </w:r>
      <w:r w:rsidR="00255F49" w:rsidRPr="003C0052">
        <w:rPr>
          <w:rFonts w:ascii="Times New Roman" w:hAnsi="Times New Roman" w:cs="Times New Roman"/>
        </w:rPr>
        <w:t>England and Wales</w:t>
      </w:r>
      <w:r w:rsidRPr="003C0052">
        <w:rPr>
          <w:rFonts w:ascii="Times New Roman" w:hAnsi="Times New Roman" w:cs="Times New Roman"/>
        </w:rPr>
        <w:t>,</w:t>
      </w:r>
      <w:r w:rsidRPr="003C0052">
        <w:rPr>
          <w:rFonts w:ascii="Times New Roman" w:hAnsi="Times New Roman" w:cs="Times New Roman"/>
          <w:b/>
        </w:rPr>
        <w:t xml:space="preserve"> </w:t>
      </w:r>
      <w:r w:rsidRPr="003C0052">
        <w:rPr>
          <w:rFonts w:ascii="Times New Roman" w:hAnsi="Times New Roman" w:cs="Times New Roman"/>
        </w:rPr>
        <w:t xml:space="preserve">there has been </w:t>
      </w:r>
      <w:r w:rsidR="006A5521" w:rsidRPr="003C0052">
        <w:rPr>
          <w:rFonts w:ascii="Times New Roman" w:hAnsi="Times New Roman" w:cs="Times New Roman"/>
        </w:rPr>
        <w:t>willingness</w:t>
      </w:r>
      <w:r w:rsidRPr="003C0052">
        <w:rPr>
          <w:rFonts w:ascii="Times New Roman" w:hAnsi="Times New Roman" w:cs="Times New Roman"/>
        </w:rPr>
        <w:t xml:space="preserve"> to</w:t>
      </w:r>
      <w:r w:rsidR="00E02B6D" w:rsidRPr="003C0052">
        <w:rPr>
          <w:rFonts w:ascii="Times New Roman" w:hAnsi="Times New Roman" w:cs="Times New Roman"/>
        </w:rPr>
        <w:t>, effectively,</w:t>
      </w:r>
      <w:r w:rsidRPr="003C0052">
        <w:rPr>
          <w:rFonts w:ascii="Times New Roman" w:hAnsi="Times New Roman" w:cs="Times New Roman"/>
        </w:rPr>
        <w:t xml:space="preserve"> acknowledge and/or incorporate social supply within sentencing practices in Hong Kong. </w:t>
      </w:r>
      <w:r w:rsidRPr="003C0052">
        <w:rPr>
          <w:rFonts w:ascii="Times New Roman" w:hAnsi="Times New Roman" w:cs="Times New Roman"/>
          <w:lang w:val="en-US"/>
        </w:rPr>
        <w:t xml:space="preserve">In HKSAR vs </w:t>
      </w:r>
      <w:proofErr w:type="spellStart"/>
      <w:r w:rsidRPr="003C0052">
        <w:rPr>
          <w:rFonts w:ascii="Times New Roman" w:hAnsi="Times New Roman" w:cs="Times New Roman"/>
          <w:lang w:val="en-US"/>
        </w:rPr>
        <w:t>Hii</w:t>
      </w:r>
      <w:proofErr w:type="spellEnd"/>
      <w:r w:rsidRPr="003C0052">
        <w:rPr>
          <w:rFonts w:ascii="Times New Roman" w:hAnsi="Times New Roman" w:cs="Times New Roman"/>
          <w:lang w:val="en-US"/>
        </w:rPr>
        <w:t xml:space="preserve"> Siew Cheng (2007), the court’s new sentencing guidelines (with</w:t>
      </w:r>
      <w:r w:rsidR="00884450" w:rsidRPr="003C0052">
        <w:rPr>
          <w:rFonts w:ascii="Times New Roman" w:hAnsi="Times New Roman" w:cs="Times New Roman"/>
          <w:lang w:val="en-US"/>
        </w:rPr>
        <w:t xml:space="preserve"> bands based on weight) </w:t>
      </w:r>
      <w:proofErr w:type="spellStart"/>
      <w:r w:rsidR="00884450" w:rsidRPr="003C0052">
        <w:rPr>
          <w:rFonts w:ascii="Times New Roman" w:hAnsi="Times New Roman" w:cs="Times New Roman"/>
          <w:lang w:val="en-US"/>
        </w:rPr>
        <w:t>recognis</w:t>
      </w:r>
      <w:r w:rsidRPr="003C0052">
        <w:rPr>
          <w:rFonts w:ascii="Times New Roman" w:hAnsi="Times New Roman" w:cs="Times New Roman"/>
          <w:lang w:val="en-US"/>
        </w:rPr>
        <w:t>ed</w:t>
      </w:r>
      <w:proofErr w:type="spellEnd"/>
      <w:r w:rsidRPr="003C0052">
        <w:rPr>
          <w:rFonts w:ascii="Times New Roman" w:hAnsi="Times New Roman" w:cs="Times New Roman"/>
          <w:lang w:val="en-US"/>
        </w:rPr>
        <w:t xml:space="preserve"> the difference between traff</w:t>
      </w:r>
      <w:r w:rsidR="00450AD6" w:rsidRPr="003C0052">
        <w:rPr>
          <w:rFonts w:ascii="Times New Roman" w:hAnsi="Times New Roman" w:cs="Times New Roman"/>
          <w:lang w:val="en-US"/>
        </w:rPr>
        <w:t xml:space="preserve">ickers of ecstasy and ketamine </w:t>
      </w:r>
      <w:r w:rsidRPr="003C0052">
        <w:rPr>
          <w:rFonts w:ascii="Times New Roman" w:hAnsi="Times New Roman" w:cs="Times New Roman"/>
          <w:lang w:val="en-US"/>
        </w:rPr>
        <w:t>who visit entertainment sites</w:t>
      </w:r>
      <w:r w:rsidR="00450AD6" w:rsidRPr="003C0052">
        <w:rPr>
          <w:rFonts w:ascii="Times New Roman" w:hAnsi="Times New Roman" w:cs="Times New Roman"/>
          <w:lang w:val="en-US"/>
        </w:rPr>
        <w:t>,</w:t>
      </w:r>
      <w:r w:rsidRPr="003C0052">
        <w:rPr>
          <w:rFonts w:ascii="Times New Roman" w:hAnsi="Times New Roman" w:cs="Times New Roman"/>
          <w:lang w:val="en-US"/>
        </w:rPr>
        <w:t xml:space="preserve"> and </w:t>
      </w:r>
      <w:r w:rsidRPr="003C0052">
        <w:rPr>
          <w:rFonts w:ascii="Times New Roman" w:hAnsi="Times New Roman" w:cs="Times New Roman"/>
          <w:i/>
          <w:lang w:val="en-US"/>
        </w:rPr>
        <w:t>“small time pushers of drugs, often with a mere handful of table</w:t>
      </w:r>
      <w:r w:rsidR="00450AD6" w:rsidRPr="003C0052">
        <w:rPr>
          <w:rFonts w:ascii="Times New Roman" w:hAnsi="Times New Roman" w:cs="Times New Roman"/>
          <w:i/>
          <w:lang w:val="en-US"/>
        </w:rPr>
        <w:t>t</w:t>
      </w:r>
      <w:r w:rsidRPr="003C0052">
        <w:rPr>
          <w:rFonts w:ascii="Times New Roman" w:hAnsi="Times New Roman" w:cs="Times New Roman"/>
          <w:i/>
          <w:lang w:val="en-US"/>
        </w:rPr>
        <w:t>s to supply to others, who shouldered the responsibility for taking young people off the rails</w:t>
      </w:r>
      <w:r w:rsidRPr="003C0052">
        <w:rPr>
          <w:rFonts w:ascii="Times New Roman" w:hAnsi="Times New Roman" w:cs="Times New Roman"/>
          <w:lang w:val="en-US"/>
        </w:rPr>
        <w:t>.” In clarifying its position on “social trafficking,” the court mad</w:t>
      </w:r>
      <w:r w:rsidR="00587E09" w:rsidRPr="003C0052">
        <w:rPr>
          <w:rFonts w:ascii="Times New Roman" w:hAnsi="Times New Roman" w:cs="Times New Roman"/>
          <w:lang w:val="en-US"/>
        </w:rPr>
        <w:t>e reference to instances where</w:t>
      </w:r>
      <w:r w:rsidR="007E04D9" w:rsidRPr="003C0052">
        <w:rPr>
          <w:rFonts w:ascii="Times New Roman" w:hAnsi="Times New Roman" w:cs="Times New Roman"/>
          <w:lang w:val="en-US"/>
        </w:rPr>
        <w:t xml:space="preserve"> a ketamine or ecstasy user </w:t>
      </w:r>
      <w:r w:rsidRPr="003C0052">
        <w:rPr>
          <w:rFonts w:ascii="Times New Roman" w:hAnsi="Times New Roman" w:cs="Times New Roman"/>
          <w:lang w:val="en-US"/>
        </w:rPr>
        <w:t>with no</w:t>
      </w:r>
      <w:r w:rsidR="00450AD6" w:rsidRPr="003C0052">
        <w:rPr>
          <w:rFonts w:ascii="Times New Roman" w:hAnsi="Times New Roman" w:cs="Times New Roman"/>
          <w:lang w:val="en-US"/>
        </w:rPr>
        <w:t xml:space="preserve"> prior trafficking convictions caught </w:t>
      </w:r>
      <w:r w:rsidRPr="003C0052">
        <w:rPr>
          <w:rFonts w:ascii="Times New Roman" w:hAnsi="Times New Roman" w:cs="Times New Roman"/>
          <w:lang w:val="en-US"/>
        </w:rPr>
        <w:t>supplying a cl</w:t>
      </w:r>
      <w:r w:rsidR="00F01A69" w:rsidRPr="003C0052">
        <w:rPr>
          <w:rFonts w:ascii="Times New Roman" w:hAnsi="Times New Roman" w:cs="Times New Roman"/>
          <w:lang w:val="en-US"/>
        </w:rPr>
        <w:t xml:space="preserve">ose friend (who was a drug user) </w:t>
      </w:r>
      <w:r w:rsidRPr="003C0052">
        <w:rPr>
          <w:rFonts w:ascii="Times New Roman" w:hAnsi="Times New Roman" w:cs="Times New Roman"/>
          <w:lang w:val="en-US"/>
        </w:rPr>
        <w:t>might</w:t>
      </w:r>
      <w:r w:rsidR="00AD5604" w:rsidRPr="003C0052">
        <w:rPr>
          <w:rFonts w:ascii="Times New Roman" w:hAnsi="Times New Roman" w:cs="Times New Roman"/>
          <w:lang w:val="en-US"/>
        </w:rPr>
        <w:t xml:space="preserve"> instead </w:t>
      </w:r>
      <w:r w:rsidRPr="003C0052">
        <w:rPr>
          <w:rFonts w:ascii="Times New Roman" w:hAnsi="Times New Roman" w:cs="Times New Roman"/>
          <w:lang w:val="en-US"/>
        </w:rPr>
        <w:t xml:space="preserve">be considered for a non-custodial sentence. </w:t>
      </w:r>
      <w:r w:rsidR="007D70CD" w:rsidRPr="003C0052">
        <w:rPr>
          <w:rFonts w:ascii="Times New Roman" w:hAnsi="Times New Roman" w:cs="Times New Roman"/>
        </w:rPr>
        <w:t>In New Z</w:t>
      </w:r>
      <w:r w:rsidR="00DC17AE" w:rsidRPr="003C0052">
        <w:rPr>
          <w:rFonts w:ascii="Times New Roman" w:hAnsi="Times New Roman" w:cs="Times New Roman"/>
        </w:rPr>
        <w:t xml:space="preserve">ealand, </w:t>
      </w:r>
      <w:r w:rsidR="00587E09" w:rsidRPr="003C0052">
        <w:rPr>
          <w:rFonts w:ascii="Times New Roman" w:hAnsi="Times New Roman" w:cs="Times New Roman"/>
        </w:rPr>
        <w:t xml:space="preserve">despite </w:t>
      </w:r>
      <w:r w:rsidR="00DC17AE" w:rsidRPr="003C0052">
        <w:rPr>
          <w:rFonts w:ascii="Times New Roman" w:hAnsi="Times New Roman" w:cs="Times New Roman"/>
        </w:rPr>
        <w:t>a notable</w:t>
      </w:r>
      <w:r w:rsidR="007D70CD" w:rsidRPr="003C0052">
        <w:rPr>
          <w:rFonts w:ascii="Times New Roman" w:hAnsi="Times New Roman" w:cs="Times New Roman"/>
        </w:rPr>
        <w:t xml:space="preserve"> a</w:t>
      </w:r>
      <w:r w:rsidR="00587E09" w:rsidRPr="003C0052">
        <w:rPr>
          <w:rFonts w:ascii="Times New Roman" w:hAnsi="Times New Roman" w:cs="Times New Roman"/>
        </w:rPr>
        <w:t>bsence of research on social supply</w:t>
      </w:r>
      <w:r w:rsidR="007D70CD" w:rsidRPr="003C0052">
        <w:rPr>
          <w:rFonts w:ascii="Times New Roman" w:hAnsi="Times New Roman" w:cs="Times New Roman"/>
        </w:rPr>
        <w:t>,</w:t>
      </w:r>
      <w:r w:rsidR="004E7567" w:rsidRPr="003C0052">
        <w:rPr>
          <w:rFonts w:ascii="Times New Roman" w:hAnsi="Times New Roman" w:cs="Times New Roman"/>
        </w:rPr>
        <w:t xml:space="preserve"> </w:t>
      </w:r>
      <w:r w:rsidR="0026125D" w:rsidRPr="003C0052">
        <w:rPr>
          <w:rFonts w:ascii="Times New Roman" w:hAnsi="Times New Roman" w:cs="Times New Roman"/>
        </w:rPr>
        <w:t xml:space="preserve">there have been repeated calls for </w:t>
      </w:r>
      <w:r w:rsidR="00587E09" w:rsidRPr="003C0052">
        <w:rPr>
          <w:rFonts w:ascii="Times New Roman" w:hAnsi="Times New Roman" w:cs="Times New Roman"/>
        </w:rPr>
        <w:t xml:space="preserve">it </w:t>
      </w:r>
      <w:r w:rsidR="0026125D" w:rsidRPr="003C0052">
        <w:rPr>
          <w:rFonts w:ascii="Times New Roman" w:hAnsi="Times New Roman" w:cs="Times New Roman"/>
        </w:rPr>
        <w:t xml:space="preserve">to be recognised as a </w:t>
      </w:r>
      <w:r w:rsidR="00633C04" w:rsidRPr="003C0052">
        <w:rPr>
          <w:rFonts w:ascii="Times New Roman" w:hAnsi="Times New Roman" w:cs="Times New Roman"/>
        </w:rPr>
        <w:t>distinct type of offending</w:t>
      </w:r>
      <w:r w:rsidR="00587E09" w:rsidRPr="003C0052">
        <w:rPr>
          <w:rFonts w:ascii="Times New Roman" w:hAnsi="Times New Roman" w:cs="Times New Roman"/>
        </w:rPr>
        <w:t xml:space="preserve"> in the criminal courts</w:t>
      </w:r>
      <w:r w:rsidR="00C90860" w:rsidRPr="003C0052">
        <w:rPr>
          <w:rFonts w:ascii="Times New Roman" w:hAnsi="Times New Roman" w:cs="Times New Roman"/>
        </w:rPr>
        <w:t>.</w:t>
      </w:r>
      <w:r w:rsidR="00D71BED" w:rsidRPr="003C0052">
        <w:rPr>
          <w:rFonts w:ascii="Times New Roman" w:hAnsi="Times New Roman" w:cs="Times New Roman"/>
        </w:rPr>
        <w:t xml:space="preserve"> </w:t>
      </w:r>
      <w:r w:rsidR="00DB0BF0" w:rsidRPr="003C0052">
        <w:rPr>
          <w:rFonts w:ascii="Times New Roman" w:hAnsi="Times New Roman" w:cs="Times New Roman"/>
        </w:rPr>
        <w:t xml:space="preserve">In 2010, as part of their review of the Misuse of Drugs Act (1975) </w:t>
      </w:r>
      <w:r w:rsidR="00F01A69" w:rsidRPr="003C0052">
        <w:rPr>
          <w:rFonts w:ascii="Times New Roman" w:hAnsi="Times New Roman" w:cs="Times New Roman"/>
        </w:rPr>
        <w:t>The New Zealand L</w:t>
      </w:r>
      <w:r w:rsidR="00C33E38" w:rsidRPr="003C0052">
        <w:rPr>
          <w:rFonts w:ascii="Times New Roman" w:hAnsi="Times New Roman" w:cs="Times New Roman"/>
        </w:rPr>
        <w:t>aw Commission</w:t>
      </w:r>
      <w:r w:rsidR="00DB0BF0" w:rsidRPr="003C0052">
        <w:rPr>
          <w:rFonts w:ascii="Times New Roman" w:hAnsi="Times New Roman" w:cs="Times New Roman"/>
        </w:rPr>
        <w:t xml:space="preserve"> (2010) </w:t>
      </w:r>
      <w:r w:rsidR="00F01A69" w:rsidRPr="003C0052">
        <w:rPr>
          <w:rFonts w:ascii="Times New Roman" w:hAnsi="Times New Roman" w:cs="Times New Roman"/>
        </w:rPr>
        <w:t>call</w:t>
      </w:r>
      <w:r w:rsidR="00B60851" w:rsidRPr="003C0052">
        <w:rPr>
          <w:rFonts w:ascii="Times New Roman" w:hAnsi="Times New Roman" w:cs="Times New Roman"/>
        </w:rPr>
        <w:t>ed</w:t>
      </w:r>
      <w:r w:rsidR="00F01A69" w:rsidRPr="003C0052">
        <w:rPr>
          <w:rFonts w:ascii="Times New Roman" w:hAnsi="Times New Roman" w:cs="Times New Roman"/>
        </w:rPr>
        <w:t xml:space="preserve"> for a delineation in penalties for certain supply offences, </w:t>
      </w:r>
      <w:r w:rsidR="00A46363" w:rsidRPr="003C0052">
        <w:rPr>
          <w:rFonts w:ascii="Times New Roman" w:hAnsi="Times New Roman" w:cs="Times New Roman"/>
        </w:rPr>
        <w:t>suggest</w:t>
      </w:r>
      <w:r w:rsidR="00F01A69" w:rsidRPr="003C0052">
        <w:rPr>
          <w:rFonts w:ascii="Times New Roman" w:hAnsi="Times New Roman" w:cs="Times New Roman"/>
        </w:rPr>
        <w:t>ing</w:t>
      </w:r>
      <w:r w:rsidR="00A46363" w:rsidRPr="003C0052">
        <w:rPr>
          <w:rFonts w:ascii="Times New Roman" w:hAnsi="Times New Roman" w:cs="Times New Roman"/>
        </w:rPr>
        <w:t xml:space="preserve"> there is ‘a class of supply that should be carved out for separate treatment’. They go on:</w:t>
      </w:r>
    </w:p>
    <w:p w:rsidR="00A46363" w:rsidRPr="003C0052" w:rsidRDefault="00A46363" w:rsidP="00A46363">
      <w:pPr>
        <w:widowControl w:val="0"/>
        <w:tabs>
          <w:tab w:val="left" w:pos="220"/>
          <w:tab w:val="left" w:pos="720"/>
        </w:tabs>
        <w:autoSpaceDE w:val="0"/>
        <w:autoSpaceDN w:val="0"/>
        <w:adjustRightInd w:val="0"/>
        <w:spacing w:after="240" w:line="340" w:lineRule="atLeast"/>
        <w:ind w:left="720"/>
        <w:rPr>
          <w:rFonts w:ascii="Times New Roman" w:hAnsi="Times New Roman" w:cs="Times New Roman"/>
          <w:color w:val="000000"/>
        </w:rPr>
      </w:pPr>
      <w:r w:rsidRPr="003C0052">
        <w:rPr>
          <w:rFonts w:ascii="Times New Roman" w:hAnsi="Times New Roman" w:cs="Times New Roman"/>
          <w:color w:val="000000"/>
          <w:szCs w:val="29"/>
        </w:rPr>
        <w:t xml:space="preserve">This class of supply is “social supply”, where supply is of a very low level, among friends or acquaintances, without profit or with a very small profit, and with no significant element of commerciality. </w:t>
      </w:r>
      <w:r w:rsidRPr="003C0052">
        <w:rPr>
          <w:rFonts w:ascii="MS Mincho" w:eastAsia="MS Mincho" w:hAnsi="MS Mincho" w:cs="MS Mincho"/>
          <w:color w:val="000000"/>
        </w:rPr>
        <w:t> </w:t>
      </w:r>
    </w:p>
    <w:p w:rsidR="00A46363" w:rsidRPr="003C0052" w:rsidRDefault="00A46363" w:rsidP="00C33E38">
      <w:pPr>
        <w:widowControl w:val="0"/>
        <w:tabs>
          <w:tab w:val="left" w:pos="220"/>
          <w:tab w:val="left" w:pos="720"/>
        </w:tabs>
        <w:autoSpaceDE w:val="0"/>
        <w:autoSpaceDN w:val="0"/>
        <w:adjustRightInd w:val="0"/>
        <w:spacing w:after="240" w:line="340" w:lineRule="atLeast"/>
        <w:rPr>
          <w:rFonts w:ascii="Times New Roman" w:hAnsi="Times New Roman" w:cs="Times New Roman"/>
        </w:rPr>
      </w:pPr>
      <w:r w:rsidRPr="003C0052">
        <w:rPr>
          <w:rFonts w:ascii="Times New Roman" w:hAnsi="Times New Roman" w:cs="Times New Roman"/>
        </w:rPr>
        <w:tab/>
      </w:r>
      <w:r w:rsidRPr="003C0052">
        <w:rPr>
          <w:rFonts w:ascii="Times New Roman" w:hAnsi="Times New Roman" w:cs="Times New Roman"/>
        </w:rPr>
        <w:tab/>
        <w:t>(N</w:t>
      </w:r>
      <w:r w:rsidR="00C9126B" w:rsidRPr="003C0052">
        <w:rPr>
          <w:rFonts w:ascii="Times New Roman" w:hAnsi="Times New Roman" w:cs="Times New Roman"/>
        </w:rPr>
        <w:t xml:space="preserve">ew </w:t>
      </w:r>
      <w:r w:rsidRPr="003C0052">
        <w:rPr>
          <w:rFonts w:ascii="Times New Roman" w:hAnsi="Times New Roman" w:cs="Times New Roman"/>
        </w:rPr>
        <w:t>Z</w:t>
      </w:r>
      <w:r w:rsidR="00C9126B" w:rsidRPr="003C0052">
        <w:rPr>
          <w:rFonts w:ascii="Times New Roman" w:hAnsi="Times New Roman" w:cs="Times New Roman"/>
        </w:rPr>
        <w:t xml:space="preserve">ealand Law Commission, 2010: </w:t>
      </w:r>
      <w:r w:rsidRPr="003C0052">
        <w:rPr>
          <w:rFonts w:ascii="Times New Roman" w:hAnsi="Times New Roman" w:cs="Times New Roman"/>
        </w:rPr>
        <w:t xml:space="preserve">195) </w:t>
      </w:r>
    </w:p>
    <w:p w:rsidR="0051266E" w:rsidRPr="003C0052" w:rsidRDefault="00C6032F" w:rsidP="007E0F26">
      <w:pPr>
        <w:widowControl w:val="0"/>
        <w:tabs>
          <w:tab w:val="left" w:pos="220"/>
          <w:tab w:val="left" w:pos="720"/>
        </w:tabs>
        <w:autoSpaceDE w:val="0"/>
        <w:autoSpaceDN w:val="0"/>
        <w:adjustRightInd w:val="0"/>
        <w:spacing w:after="240" w:line="360" w:lineRule="auto"/>
        <w:jc w:val="both"/>
        <w:rPr>
          <w:rFonts w:ascii="Times New Roman" w:hAnsi="Times New Roman" w:cs="Times New Roman"/>
          <w:color w:val="000000"/>
        </w:rPr>
      </w:pPr>
      <w:proofErr w:type="gramStart"/>
      <w:r w:rsidRPr="003C0052">
        <w:rPr>
          <w:rFonts w:ascii="Times New Roman" w:hAnsi="Times New Roman" w:cs="Times New Roman"/>
        </w:rPr>
        <w:t>Joined more recently by the New Zealand Drug Foundation (2017)</w:t>
      </w:r>
      <w:r w:rsidR="00A51F52" w:rsidRPr="003C0052">
        <w:rPr>
          <w:rFonts w:ascii="Times New Roman" w:hAnsi="Times New Roman" w:cs="Times New Roman"/>
        </w:rPr>
        <w:t>, the New Zealand Law Commission</w:t>
      </w:r>
      <w:r w:rsidRPr="003C0052">
        <w:rPr>
          <w:rFonts w:ascii="Times New Roman" w:hAnsi="Times New Roman" w:cs="Times New Roman"/>
        </w:rPr>
        <w:t xml:space="preserve"> </w:t>
      </w:r>
      <w:r w:rsidR="00A46363" w:rsidRPr="003C0052">
        <w:rPr>
          <w:rFonts w:ascii="Times New Roman" w:hAnsi="Times New Roman" w:cs="Times New Roman"/>
        </w:rPr>
        <w:t xml:space="preserve">call for a presumption against custody and removal of </w:t>
      </w:r>
      <w:r w:rsidR="00A51F52" w:rsidRPr="003C0052">
        <w:rPr>
          <w:rFonts w:ascii="Times New Roman" w:hAnsi="Times New Roman" w:cs="Times New Roman"/>
        </w:rPr>
        <w:t>penalties for this offence</w:t>
      </w:r>
      <w:r w:rsidR="00DC17AE" w:rsidRPr="003C0052">
        <w:rPr>
          <w:rFonts w:ascii="Times New Roman" w:hAnsi="Times New Roman" w:cs="Times New Roman"/>
        </w:rPr>
        <w:t>,</w:t>
      </w:r>
      <w:r w:rsidR="00A51F52" w:rsidRPr="003C0052">
        <w:rPr>
          <w:rFonts w:ascii="Times New Roman" w:hAnsi="Times New Roman" w:cs="Times New Roman"/>
        </w:rPr>
        <w:t xml:space="preserve"> stressing that the absence of any significant commerciality makes its criminality more analogous to possession (N</w:t>
      </w:r>
      <w:r w:rsidR="00C9126B" w:rsidRPr="003C0052">
        <w:rPr>
          <w:rFonts w:ascii="Times New Roman" w:hAnsi="Times New Roman" w:cs="Times New Roman"/>
        </w:rPr>
        <w:t xml:space="preserve">ew </w:t>
      </w:r>
      <w:r w:rsidR="00A51F52" w:rsidRPr="003C0052">
        <w:rPr>
          <w:rFonts w:ascii="Times New Roman" w:hAnsi="Times New Roman" w:cs="Times New Roman"/>
        </w:rPr>
        <w:t>Z</w:t>
      </w:r>
      <w:r w:rsidR="00C9126B" w:rsidRPr="003C0052">
        <w:rPr>
          <w:rFonts w:ascii="Times New Roman" w:hAnsi="Times New Roman" w:cs="Times New Roman"/>
        </w:rPr>
        <w:t>ealand</w:t>
      </w:r>
      <w:r w:rsidR="00A51F52" w:rsidRPr="003C0052">
        <w:rPr>
          <w:rFonts w:ascii="Times New Roman" w:hAnsi="Times New Roman" w:cs="Times New Roman"/>
        </w:rPr>
        <w:t xml:space="preserve"> Law Commission, 2010:</w:t>
      </w:r>
      <w:r w:rsidR="00686D43" w:rsidRPr="003C0052">
        <w:rPr>
          <w:rFonts w:ascii="Times New Roman" w:hAnsi="Times New Roman" w:cs="Times New Roman"/>
        </w:rPr>
        <w:t xml:space="preserve"> </w:t>
      </w:r>
      <w:r w:rsidR="00A51F52" w:rsidRPr="003C0052">
        <w:rPr>
          <w:rFonts w:ascii="Times New Roman" w:hAnsi="Times New Roman" w:cs="Times New Roman"/>
        </w:rPr>
        <w:t>194)</w:t>
      </w:r>
      <w:r w:rsidRPr="003C0052">
        <w:rPr>
          <w:rFonts w:ascii="Times New Roman" w:hAnsi="Times New Roman" w:cs="Times New Roman"/>
        </w:rPr>
        <w:t>.</w:t>
      </w:r>
      <w:proofErr w:type="gramEnd"/>
      <w:r w:rsidRPr="003C0052">
        <w:rPr>
          <w:rFonts w:ascii="Times New Roman" w:hAnsi="Times New Roman" w:cs="Times New Roman"/>
        </w:rPr>
        <w:t xml:space="preserve"> Going beyond a critique of the current </w:t>
      </w:r>
      <w:r w:rsidR="002527FF" w:rsidRPr="003C0052">
        <w:rPr>
          <w:rFonts w:ascii="Times New Roman" w:hAnsi="Times New Roman" w:cs="Times New Roman"/>
        </w:rPr>
        <w:t xml:space="preserve">sentencing </w:t>
      </w:r>
      <w:r w:rsidR="00DC17AE" w:rsidRPr="003C0052">
        <w:rPr>
          <w:rFonts w:ascii="Times New Roman" w:hAnsi="Times New Roman" w:cs="Times New Roman"/>
        </w:rPr>
        <w:t>apparatus</w:t>
      </w:r>
      <w:r w:rsidRPr="003C0052">
        <w:rPr>
          <w:rFonts w:ascii="Times New Roman" w:hAnsi="Times New Roman" w:cs="Times New Roman"/>
        </w:rPr>
        <w:t xml:space="preserve">, suggestions are presented for a separate offence in which a </w:t>
      </w:r>
      <w:r w:rsidR="00C33E38" w:rsidRPr="003C0052">
        <w:rPr>
          <w:rFonts w:ascii="Times New Roman" w:hAnsi="Times New Roman" w:cs="Times New Roman"/>
          <w:color w:val="000000"/>
        </w:rPr>
        <w:t>presumption</w:t>
      </w:r>
      <w:r w:rsidRPr="003C0052">
        <w:rPr>
          <w:rFonts w:ascii="Times New Roman" w:hAnsi="Times New Roman" w:cs="Times New Roman"/>
          <w:color w:val="000000"/>
        </w:rPr>
        <w:t xml:space="preserve"> against custody</w:t>
      </w:r>
      <w:r w:rsidR="00587E09" w:rsidRPr="003C0052">
        <w:rPr>
          <w:rFonts w:ascii="Times New Roman" w:hAnsi="Times New Roman" w:cs="Times New Roman"/>
          <w:color w:val="000000"/>
        </w:rPr>
        <w:t xml:space="preserve"> could apply when</w:t>
      </w:r>
      <w:r w:rsidR="00C33E38" w:rsidRPr="003C0052">
        <w:rPr>
          <w:rFonts w:ascii="Times New Roman" w:hAnsi="Times New Roman" w:cs="Times New Roman"/>
          <w:color w:val="000000"/>
        </w:rPr>
        <w:t xml:space="preserve"> the judge was satisfied that the following circumstances existed: </w:t>
      </w:r>
      <w:r w:rsidRPr="003C0052">
        <w:rPr>
          <w:rFonts w:ascii="Times New Roman" w:hAnsi="Times New Roman" w:cs="Times New Roman"/>
          <w:color w:val="000000"/>
        </w:rPr>
        <w:t>‘</w:t>
      </w:r>
      <w:r w:rsidR="00C33E38" w:rsidRPr="003C0052">
        <w:rPr>
          <w:rFonts w:ascii="Times New Roman" w:hAnsi="Times New Roman" w:cs="Times New Roman"/>
          <w:color w:val="000000"/>
        </w:rPr>
        <w:t>1)</w:t>
      </w:r>
      <w:r w:rsidRPr="003C0052">
        <w:rPr>
          <w:rFonts w:ascii="Times New Roman" w:hAnsi="Times New Roman" w:cs="Times New Roman"/>
          <w:color w:val="000000"/>
        </w:rPr>
        <w:t xml:space="preserve"> </w:t>
      </w:r>
      <w:r w:rsidR="00C33E38" w:rsidRPr="003C0052">
        <w:rPr>
          <w:rFonts w:ascii="Times New Roman" w:hAnsi="Times New Roman" w:cs="Times New Roman"/>
          <w:color w:val="000000"/>
        </w:rPr>
        <w:t xml:space="preserve">the supply was in small quantities; 2) the offender was also using the drugs; </w:t>
      </w:r>
      <w:r w:rsidR="00C33E38" w:rsidRPr="003C0052">
        <w:rPr>
          <w:rFonts w:ascii="Times New Roman" w:eastAsia="MS Mincho" w:hAnsi="Times New Roman" w:cs="Times New Roman"/>
          <w:color w:val="000000"/>
        </w:rPr>
        <w:t xml:space="preserve">3) </w:t>
      </w:r>
      <w:r w:rsidR="00C33E38" w:rsidRPr="003C0052">
        <w:rPr>
          <w:rFonts w:ascii="Times New Roman" w:hAnsi="Times New Roman" w:cs="Times New Roman"/>
          <w:color w:val="000000"/>
        </w:rPr>
        <w:t xml:space="preserve">the supply was to friends or acquaintances; </w:t>
      </w:r>
      <w:r w:rsidR="00C33E38" w:rsidRPr="003C0052">
        <w:rPr>
          <w:rFonts w:ascii="Times New Roman" w:eastAsia="MS Mincho" w:hAnsi="Times New Roman" w:cs="Times New Roman"/>
          <w:color w:val="000000"/>
        </w:rPr>
        <w:t>4)</w:t>
      </w:r>
      <w:r w:rsidRPr="003C0052">
        <w:rPr>
          <w:rFonts w:ascii="Times New Roman" w:eastAsia="MS Mincho" w:hAnsi="Times New Roman" w:cs="Times New Roman"/>
          <w:color w:val="000000"/>
        </w:rPr>
        <w:t xml:space="preserve"> </w:t>
      </w:r>
      <w:r w:rsidR="00C33E38" w:rsidRPr="003C0052">
        <w:rPr>
          <w:rFonts w:ascii="Times New Roman" w:hAnsi="Times New Roman" w:cs="Times New Roman"/>
          <w:color w:val="000000"/>
        </w:rPr>
        <w:t>the offending was not motivated by profit</w:t>
      </w:r>
      <w:r w:rsidRPr="003C0052">
        <w:rPr>
          <w:rFonts w:ascii="Times New Roman" w:hAnsi="Times New Roman" w:cs="Times New Roman"/>
          <w:color w:val="000000"/>
        </w:rPr>
        <w:t>’ (</w:t>
      </w:r>
      <w:r w:rsidR="0019522B" w:rsidRPr="003C0052">
        <w:rPr>
          <w:rFonts w:ascii="Times New Roman" w:hAnsi="Times New Roman" w:cs="Times New Roman"/>
          <w:color w:val="000000"/>
        </w:rPr>
        <w:t xml:space="preserve">New </w:t>
      </w:r>
      <w:r w:rsidR="00686D43" w:rsidRPr="003C0052">
        <w:rPr>
          <w:rFonts w:ascii="Times New Roman" w:hAnsi="Times New Roman" w:cs="Times New Roman"/>
          <w:color w:val="000000"/>
        </w:rPr>
        <w:t xml:space="preserve">Zealand </w:t>
      </w:r>
      <w:r w:rsidR="00686D43" w:rsidRPr="003C0052">
        <w:rPr>
          <w:rFonts w:ascii="Times New Roman" w:hAnsi="Times New Roman" w:cs="Times New Roman"/>
          <w:color w:val="000000"/>
        </w:rPr>
        <w:lastRenderedPageBreak/>
        <w:t>L</w:t>
      </w:r>
      <w:r w:rsidR="00EE3AD8" w:rsidRPr="003C0052">
        <w:rPr>
          <w:rFonts w:ascii="Times New Roman" w:hAnsi="Times New Roman" w:cs="Times New Roman"/>
          <w:color w:val="000000"/>
        </w:rPr>
        <w:t xml:space="preserve">aw Commission, 2010: </w:t>
      </w:r>
      <w:r w:rsidR="0019522B" w:rsidRPr="003C0052">
        <w:rPr>
          <w:rFonts w:ascii="Times New Roman" w:hAnsi="Times New Roman" w:cs="Times New Roman"/>
          <w:color w:val="000000"/>
        </w:rPr>
        <w:t>195</w:t>
      </w:r>
      <w:r w:rsidRPr="003C0052">
        <w:rPr>
          <w:rFonts w:ascii="Times New Roman" w:hAnsi="Times New Roman" w:cs="Times New Roman"/>
          <w:color w:val="000000"/>
        </w:rPr>
        <w:t>)</w:t>
      </w:r>
      <w:r w:rsidR="00C33E38" w:rsidRPr="003C0052">
        <w:rPr>
          <w:rFonts w:ascii="Times New Roman" w:hAnsi="Times New Roman" w:cs="Times New Roman"/>
          <w:color w:val="000000"/>
        </w:rPr>
        <w:t>.</w:t>
      </w:r>
      <w:r w:rsidR="0019522B" w:rsidRPr="003C0052">
        <w:rPr>
          <w:rFonts w:ascii="Times New Roman" w:hAnsi="Times New Roman" w:cs="Times New Roman"/>
          <w:color w:val="000000"/>
        </w:rPr>
        <w:t xml:space="preserve"> </w:t>
      </w:r>
      <w:r w:rsidR="007E0F26" w:rsidRPr="003C0052">
        <w:rPr>
          <w:rFonts w:ascii="Times New Roman" w:hAnsi="Times New Roman" w:cs="Times New Roman"/>
          <w:color w:val="000000"/>
        </w:rPr>
        <w:t>Notwithstanding these progressive (in terms of proportionality) recommendations, it is suggested that the concept is yet to have penetrated legal practice in New Zealand (Personal communication, New Zealand Drug Foundation, 2017). More research is therefore required in order to gain an understanding of how social supply offences are dealt with in criminal justice settings in this country</w:t>
      </w:r>
      <w:r w:rsidR="001854E0" w:rsidRPr="003C0052">
        <w:rPr>
          <w:rFonts w:ascii="Times New Roman" w:hAnsi="Times New Roman" w:cs="Times New Roman"/>
          <w:color w:val="000000"/>
        </w:rPr>
        <w:t>.</w:t>
      </w:r>
      <w:r w:rsidR="0051266E" w:rsidRPr="003C0052">
        <w:rPr>
          <w:rFonts w:ascii="Times New Roman" w:hAnsi="Times New Roman" w:cs="Times New Roman"/>
          <w:color w:val="000000"/>
        </w:rPr>
        <w:t xml:space="preserve"> </w:t>
      </w:r>
    </w:p>
    <w:p w:rsidR="00A26550" w:rsidRPr="003C0052" w:rsidRDefault="00A26550" w:rsidP="007E0F26">
      <w:pPr>
        <w:widowControl w:val="0"/>
        <w:tabs>
          <w:tab w:val="left" w:pos="220"/>
          <w:tab w:val="left" w:pos="720"/>
        </w:tabs>
        <w:autoSpaceDE w:val="0"/>
        <w:autoSpaceDN w:val="0"/>
        <w:adjustRightInd w:val="0"/>
        <w:spacing w:after="240" w:line="360" w:lineRule="auto"/>
        <w:jc w:val="both"/>
        <w:rPr>
          <w:rFonts w:ascii="Times New Roman" w:hAnsi="Times New Roman" w:cs="Times New Roman"/>
          <w:i/>
          <w:lang w:val="en-US"/>
        </w:rPr>
      </w:pPr>
      <w:proofErr w:type="gramStart"/>
      <w:r w:rsidRPr="003C0052">
        <w:rPr>
          <w:rFonts w:ascii="Times New Roman" w:hAnsi="Times New Roman" w:cs="Times New Roman"/>
          <w:i/>
          <w:lang w:val="en-US"/>
        </w:rPr>
        <w:t>Informal, ‘ad hoc’</w:t>
      </w:r>
      <w:r w:rsidR="00F3406A" w:rsidRPr="003C0052">
        <w:rPr>
          <w:rFonts w:ascii="Times New Roman" w:hAnsi="Times New Roman" w:cs="Times New Roman"/>
          <w:i/>
          <w:lang w:val="en-US"/>
        </w:rPr>
        <w:t xml:space="preserve"> identifications</w:t>
      </w:r>
      <w:r w:rsidRPr="003C0052">
        <w:rPr>
          <w:rFonts w:ascii="Times New Roman" w:hAnsi="Times New Roman" w:cs="Times New Roman"/>
          <w:i/>
          <w:lang w:val="en-US"/>
        </w:rPr>
        <w:t xml:space="preserve"> of social supply</w:t>
      </w:r>
      <w:r w:rsidR="007E0F26" w:rsidRPr="003C0052">
        <w:rPr>
          <w:rFonts w:ascii="Times New Roman" w:hAnsi="Times New Roman" w:cs="Times New Roman"/>
          <w:i/>
          <w:lang w:val="en-US"/>
        </w:rPr>
        <w:t>.</w:t>
      </w:r>
      <w:proofErr w:type="gramEnd"/>
    </w:p>
    <w:p w:rsidR="0001359D" w:rsidRPr="003C0052" w:rsidRDefault="0051266E" w:rsidP="00C1797A">
      <w:pPr>
        <w:spacing w:line="360" w:lineRule="auto"/>
        <w:jc w:val="both"/>
        <w:rPr>
          <w:rFonts w:ascii="Times New Roman" w:hAnsi="Times New Roman" w:cs="Times New Roman"/>
        </w:rPr>
      </w:pPr>
      <w:r w:rsidRPr="003C0052">
        <w:rPr>
          <w:rFonts w:ascii="Times New Roman" w:hAnsi="Times New Roman" w:cs="Times New Roman"/>
          <w:lang w:val="en-US"/>
        </w:rPr>
        <w:t xml:space="preserve">Alongside countries that actively attempt to incorporate social supply into sentencing frameworks, or in which there are arguments for social supply to constitute a new offence, there is also evidence of contexts where social supply is </w:t>
      </w:r>
      <w:proofErr w:type="spellStart"/>
      <w:r w:rsidRPr="003C0052">
        <w:rPr>
          <w:rFonts w:ascii="Times New Roman" w:hAnsi="Times New Roman" w:cs="Times New Roman"/>
          <w:lang w:val="en-US"/>
        </w:rPr>
        <w:t>recognised</w:t>
      </w:r>
      <w:proofErr w:type="spellEnd"/>
      <w:r w:rsidRPr="003C0052">
        <w:rPr>
          <w:rFonts w:ascii="Times New Roman" w:hAnsi="Times New Roman" w:cs="Times New Roman"/>
          <w:lang w:val="en-US"/>
        </w:rPr>
        <w:t xml:space="preserve"> and dealt with informally by </w:t>
      </w:r>
      <w:proofErr w:type="spellStart"/>
      <w:r w:rsidRPr="003C0052">
        <w:rPr>
          <w:rFonts w:ascii="Times New Roman" w:hAnsi="Times New Roman" w:cs="Times New Roman"/>
          <w:lang w:val="en-US"/>
        </w:rPr>
        <w:t>sentencers</w:t>
      </w:r>
      <w:proofErr w:type="spellEnd"/>
      <w:r w:rsidRPr="003C0052">
        <w:rPr>
          <w:rFonts w:ascii="Times New Roman" w:hAnsi="Times New Roman" w:cs="Times New Roman"/>
          <w:lang w:val="en-US"/>
        </w:rPr>
        <w:t xml:space="preserve"> who, in many cases, </w:t>
      </w:r>
      <w:r w:rsidRPr="003C0052">
        <w:rPr>
          <w:rFonts w:ascii="Times New Roman" w:hAnsi="Times New Roman" w:cs="Times New Roman"/>
        </w:rPr>
        <w:t xml:space="preserve">are well acquainted with working with these types of offenders. In </w:t>
      </w:r>
      <w:r w:rsidRPr="003C0052">
        <w:rPr>
          <w:rFonts w:ascii="Times New Roman" w:hAnsi="Times New Roman" w:cs="Times New Roman"/>
          <w:i/>
        </w:rPr>
        <w:t>R v Angus Edward Lloyd-Smith</w:t>
      </w:r>
      <w:r w:rsidRPr="003C0052">
        <w:rPr>
          <w:rFonts w:ascii="Times New Roman" w:hAnsi="Times New Roman" w:cs="Times New Roman"/>
        </w:rPr>
        <w:t xml:space="preserve"> [2015]</w:t>
      </w:r>
      <w:r w:rsidR="00EC6596" w:rsidRPr="003C0052">
        <w:rPr>
          <w:rFonts w:ascii="Times New Roman" w:hAnsi="Times New Roman" w:cs="Times New Roman"/>
        </w:rPr>
        <w:t xml:space="preserve"> </w:t>
      </w:r>
      <w:r w:rsidR="00F01A69" w:rsidRPr="003C0052">
        <w:rPr>
          <w:rFonts w:ascii="Times New Roman" w:hAnsi="Times New Roman" w:cs="Times New Roman"/>
        </w:rPr>
        <w:t>(</w:t>
      </w:r>
      <w:r w:rsidR="00EE3AD8" w:rsidRPr="003C0052">
        <w:rPr>
          <w:rFonts w:ascii="Times New Roman" w:hAnsi="Times New Roman" w:cs="Times New Roman"/>
        </w:rPr>
        <w:t>Adelaide District Court</w:t>
      </w:r>
      <w:r w:rsidR="005C79FB" w:rsidRPr="003C0052">
        <w:rPr>
          <w:rFonts w:ascii="Times New Roman" w:hAnsi="Times New Roman" w:cs="Times New Roman"/>
        </w:rPr>
        <w:t>, Australia</w:t>
      </w:r>
      <w:r w:rsidR="00F01A69" w:rsidRPr="003C0052">
        <w:rPr>
          <w:rFonts w:ascii="Times New Roman" w:hAnsi="Times New Roman" w:cs="Times New Roman"/>
        </w:rPr>
        <w:t>)</w:t>
      </w:r>
      <w:r w:rsidR="00EE3AD8" w:rsidRPr="003C0052">
        <w:rPr>
          <w:rFonts w:ascii="Times New Roman" w:hAnsi="Times New Roman" w:cs="Times New Roman"/>
        </w:rPr>
        <w:t>, the</w:t>
      </w:r>
      <w:r w:rsidR="00692A89" w:rsidRPr="003C0052">
        <w:rPr>
          <w:rFonts w:ascii="Times New Roman" w:hAnsi="Times New Roman" w:cs="Times New Roman"/>
        </w:rPr>
        <w:t xml:space="preserve"> defendant plead</w:t>
      </w:r>
      <w:r w:rsidR="00252629" w:rsidRPr="003C0052">
        <w:rPr>
          <w:rFonts w:ascii="Times New Roman" w:hAnsi="Times New Roman" w:cs="Times New Roman"/>
        </w:rPr>
        <w:t>ed</w:t>
      </w:r>
      <w:r w:rsidR="00692A89" w:rsidRPr="003C0052">
        <w:rPr>
          <w:rFonts w:ascii="Times New Roman" w:hAnsi="Times New Roman" w:cs="Times New Roman"/>
        </w:rPr>
        <w:t xml:space="preserve"> guilty to the offence of trafficking in a controlled drug, with maximum penalty of imprisonment for 10 years or a fine of $55,000 or both. The Judge suspended the sentence, and contextualised this outcome explaining that while it was a very serious matter, and that though the defendant was guilty of importing 500g of </w:t>
      </w:r>
      <w:proofErr w:type="spellStart"/>
      <w:r w:rsidR="00692A89" w:rsidRPr="003C0052">
        <w:rPr>
          <w:rFonts w:ascii="Times New Roman" w:hAnsi="Times New Roman" w:cs="Times New Roman"/>
        </w:rPr>
        <w:t>Methylone</w:t>
      </w:r>
      <w:proofErr w:type="spellEnd"/>
      <w:r w:rsidR="00692A89" w:rsidRPr="003C0052">
        <w:rPr>
          <w:rFonts w:ascii="Times New Roman" w:hAnsi="Times New Roman" w:cs="Times New Roman"/>
        </w:rPr>
        <w:t xml:space="preserve"> (often sold as MDMA), he ‘</w:t>
      </w:r>
      <w:r w:rsidR="00692A89" w:rsidRPr="003C0052">
        <w:rPr>
          <w:rFonts w:ascii="Times New Roman" w:hAnsi="Times New Roman" w:cs="Times New Roman"/>
          <w:i/>
        </w:rPr>
        <w:t>was not seeking to profit financially by doing this, but rather there was a small group of people’ [friends] to whom the drug would be distributed ‘at cost or in exchange for drinks and a meal’</w:t>
      </w:r>
      <w:r w:rsidR="00692A89" w:rsidRPr="003C0052">
        <w:rPr>
          <w:rFonts w:ascii="Times New Roman" w:hAnsi="Times New Roman" w:cs="Times New Roman"/>
        </w:rPr>
        <w:t>.</w:t>
      </w:r>
      <w:r w:rsidR="003E36CC" w:rsidRPr="003C0052">
        <w:rPr>
          <w:rFonts w:ascii="Times New Roman" w:hAnsi="Times New Roman" w:cs="Times New Roman"/>
        </w:rPr>
        <w:t xml:space="preserve"> </w:t>
      </w:r>
      <w:r w:rsidR="00AE01EB" w:rsidRPr="003C0052">
        <w:rPr>
          <w:rFonts w:ascii="Times New Roman" w:hAnsi="Times New Roman" w:cs="Times New Roman"/>
        </w:rPr>
        <w:t>In New South Wales</w:t>
      </w:r>
      <w:r w:rsidR="00252629" w:rsidRPr="003C0052">
        <w:rPr>
          <w:rFonts w:ascii="Times New Roman" w:hAnsi="Times New Roman" w:cs="Times New Roman"/>
        </w:rPr>
        <w:t xml:space="preserve"> (Australia)</w:t>
      </w:r>
      <w:r w:rsidR="00AE01EB" w:rsidRPr="003C0052">
        <w:rPr>
          <w:rFonts w:ascii="Times New Roman" w:hAnsi="Times New Roman" w:cs="Times New Roman"/>
        </w:rPr>
        <w:t xml:space="preserve">, in another case concerning a social supplier </w:t>
      </w:r>
      <w:r w:rsidR="007C25D9" w:rsidRPr="003C0052">
        <w:rPr>
          <w:rFonts w:ascii="Times New Roman" w:hAnsi="Times New Roman" w:cs="Times New Roman"/>
        </w:rPr>
        <w:t xml:space="preserve">- </w:t>
      </w:r>
      <w:r w:rsidR="00AE01EB" w:rsidRPr="003C0052">
        <w:rPr>
          <w:rFonts w:ascii="Times New Roman" w:hAnsi="Times New Roman" w:cs="Times New Roman"/>
        </w:rPr>
        <w:t>who on this occasion had been caught in possession of 20 ecstasy tablets and a small amount of cannabis that he intended to use himself and supply to friends</w:t>
      </w:r>
      <w:r w:rsidR="007C25D9" w:rsidRPr="003C0052">
        <w:rPr>
          <w:rFonts w:ascii="Times New Roman" w:hAnsi="Times New Roman" w:cs="Times New Roman"/>
        </w:rPr>
        <w:t xml:space="preserve"> -</w:t>
      </w:r>
      <w:r w:rsidR="00AE01EB" w:rsidRPr="003C0052">
        <w:rPr>
          <w:rFonts w:ascii="Times New Roman" w:hAnsi="Times New Roman" w:cs="Times New Roman"/>
        </w:rPr>
        <w:t xml:space="preserve"> the </w:t>
      </w:r>
      <w:r w:rsidR="00AE01EB" w:rsidRPr="003C0052">
        <w:rPr>
          <w:rFonts w:ascii="Times New Roman" w:eastAsia="Times New Roman" w:hAnsi="Times New Roman" w:cs="Times New Roman"/>
        </w:rPr>
        <w:t xml:space="preserve">Judge afforded the respondent a 25% discount for his early guilty plea and noted that the objective seriousness of the offence was at the ‘very lowest end of the scale’, and that he ‘had not intended to profit from what he did’ (R V Oliver James Tama </w:t>
      </w:r>
      <w:proofErr w:type="spellStart"/>
      <w:r w:rsidR="00AE01EB" w:rsidRPr="003C0052">
        <w:rPr>
          <w:rFonts w:ascii="Times New Roman" w:eastAsia="Times New Roman" w:hAnsi="Times New Roman" w:cs="Times New Roman"/>
        </w:rPr>
        <w:t>Mauger</w:t>
      </w:r>
      <w:proofErr w:type="spellEnd"/>
      <w:r w:rsidR="00AE01EB" w:rsidRPr="003C0052">
        <w:rPr>
          <w:rFonts w:ascii="Times New Roman" w:eastAsia="Times New Roman" w:hAnsi="Times New Roman" w:cs="Times New Roman"/>
        </w:rPr>
        <w:t xml:space="preserve"> [2012] NSWCCA).</w:t>
      </w:r>
      <w:r w:rsidR="00AE01EB" w:rsidRPr="003C0052">
        <w:rPr>
          <w:rFonts w:ascii="Times New Roman" w:hAnsi="Times New Roman" w:cs="Times New Roman"/>
        </w:rPr>
        <w:t xml:space="preserve"> </w:t>
      </w:r>
      <w:r w:rsidR="00EE3AD8" w:rsidRPr="003C0052">
        <w:rPr>
          <w:rFonts w:ascii="Times New Roman" w:hAnsi="Times New Roman" w:cs="Times New Roman"/>
        </w:rPr>
        <w:t xml:space="preserve">Cases like these </w:t>
      </w:r>
      <w:r w:rsidR="007D70CD" w:rsidRPr="003C0052">
        <w:rPr>
          <w:rFonts w:ascii="Times New Roman" w:hAnsi="Times New Roman" w:cs="Times New Roman"/>
        </w:rPr>
        <w:t xml:space="preserve">show </w:t>
      </w:r>
      <w:r w:rsidR="00377402" w:rsidRPr="003C0052">
        <w:rPr>
          <w:rFonts w:ascii="Times New Roman" w:hAnsi="Times New Roman" w:cs="Times New Roman"/>
        </w:rPr>
        <w:t xml:space="preserve">that there is currently </w:t>
      </w:r>
      <w:r w:rsidR="00596745" w:rsidRPr="003C0052">
        <w:rPr>
          <w:rFonts w:ascii="Times New Roman" w:hAnsi="Times New Roman" w:cs="Times New Roman"/>
        </w:rPr>
        <w:t>no formal framework for working with social supply offences across jurisdictions in Australia</w:t>
      </w:r>
      <w:r w:rsidR="000C4BAD" w:rsidRPr="003C0052">
        <w:rPr>
          <w:rFonts w:ascii="Times New Roman" w:hAnsi="Times New Roman" w:cs="Times New Roman"/>
        </w:rPr>
        <w:t>,</w:t>
      </w:r>
      <w:r w:rsidR="00596745" w:rsidRPr="003C0052">
        <w:rPr>
          <w:rFonts w:ascii="Times New Roman" w:hAnsi="Times New Roman" w:cs="Times New Roman"/>
        </w:rPr>
        <w:t xml:space="preserve"> and in this respect, sentencing outcomes for social supply offences are dependent on the </w:t>
      </w:r>
      <w:r w:rsidR="00596745" w:rsidRPr="003C0052">
        <w:rPr>
          <w:rFonts w:ascii="Times New Roman" w:hAnsi="Times New Roman" w:cs="Times New Roman"/>
          <w:i/>
        </w:rPr>
        <w:t>discretion</w:t>
      </w:r>
      <w:r w:rsidR="00596745" w:rsidRPr="003C0052">
        <w:rPr>
          <w:rFonts w:ascii="Times New Roman" w:hAnsi="Times New Roman" w:cs="Times New Roman"/>
        </w:rPr>
        <w:t xml:space="preserve"> of the </w:t>
      </w:r>
      <w:proofErr w:type="spellStart"/>
      <w:r w:rsidR="007D70CD" w:rsidRPr="003C0052">
        <w:rPr>
          <w:rFonts w:ascii="Times New Roman" w:hAnsi="Times New Roman" w:cs="Times New Roman"/>
        </w:rPr>
        <w:t>sentencers</w:t>
      </w:r>
      <w:proofErr w:type="spellEnd"/>
      <w:r w:rsidR="00596745" w:rsidRPr="003C0052">
        <w:rPr>
          <w:rFonts w:ascii="Times New Roman" w:hAnsi="Times New Roman" w:cs="Times New Roman"/>
        </w:rPr>
        <w:t xml:space="preserve">. </w:t>
      </w:r>
      <w:r w:rsidR="003B5905" w:rsidRPr="003C0052">
        <w:rPr>
          <w:rFonts w:ascii="Times New Roman" w:hAnsi="Times New Roman" w:cs="Times New Roman"/>
        </w:rPr>
        <w:t xml:space="preserve">‘Informal’ acknowledgement of social supply </w:t>
      </w:r>
      <w:r w:rsidR="00BD0444" w:rsidRPr="003C0052">
        <w:rPr>
          <w:rFonts w:ascii="Times New Roman" w:hAnsi="Times New Roman" w:cs="Times New Roman"/>
        </w:rPr>
        <w:t xml:space="preserve">as witnessed in the Australian context </w:t>
      </w:r>
      <w:r w:rsidR="003B5905" w:rsidRPr="003C0052">
        <w:rPr>
          <w:rFonts w:ascii="Times New Roman" w:hAnsi="Times New Roman" w:cs="Times New Roman"/>
        </w:rPr>
        <w:t>can als</w:t>
      </w:r>
      <w:r w:rsidR="00A44A8A" w:rsidRPr="003C0052">
        <w:rPr>
          <w:rFonts w:ascii="Times New Roman" w:hAnsi="Times New Roman" w:cs="Times New Roman"/>
        </w:rPr>
        <w:t>o be found in the Netherlands</w:t>
      </w:r>
      <w:r w:rsidRPr="003C0052">
        <w:rPr>
          <w:rFonts w:ascii="Times New Roman" w:hAnsi="Times New Roman" w:cs="Times New Roman"/>
        </w:rPr>
        <w:t xml:space="preserve"> and Canada</w:t>
      </w:r>
      <w:r w:rsidR="00A44A8A" w:rsidRPr="003C0052">
        <w:rPr>
          <w:rFonts w:ascii="Times New Roman" w:hAnsi="Times New Roman" w:cs="Times New Roman"/>
        </w:rPr>
        <w:t xml:space="preserve">. </w:t>
      </w:r>
      <w:r w:rsidR="00DD35FC" w:rsidRPr="003C0052">
        <w:rPr>
          <w:rFonts w:ascii="Times New Roman" w:hAnsi="Times New Roman" w:cs="Times New Roman"/>
        </w:rPr>
        <w:t>Though</w:t>
      </w:r>
      <w:r w:rsidR="00891EE2" w:rsidRPr="003C0052">
        <w:rPr>
          <w:rFonts w:ascii="Times New Roman" w:hAnsi="Times New Roman" w:cs="Times New Roman"/>
        </w:rPr>
        <w:t xml:space="preserve"> social supply</w:t>
      </w:r>
      <w:r w:rsidR="005B35A2" w:rsidRPr="003C0052">
        <w:rPr>
          <w:rFonts w:ascii="Times New Roman" w:hAnsi="Times New Roman" w:cs="Times New Roman"/>
        </w:rPr>
        <w:t xml:space="preserve"> is not formally recognised within Dutch sentencing guideline</w:t>
      </w:r>
      <w:r w:rsidR="00891EE2" w:rsidRPr="003C0052">
        <w:rPr>
          <w:rFonts w:ascii="Times New Roman" w:hAnsi="Times New Roman" w:cs="Times New Roman"/>
        </w:rPr>
        <w:t>s</w:t>
      </w:r>
      <w:r w:rsidR="000C4BAD" w:rsidRPr="003C0052">
        <w:rPr>
          <w:rFonts w:ascii="Times New Roman" w:hAnsi="Times New Roman" w:cs="Times New Roman"/>
        </w:rPr>
        <w:t>,</w:t>
      </w:r>
      <w:r w:rsidR="005B35A2" w:rsidRPr="003C0052">
        <w:rPr>
          <w:rFonts w:ascii="Times New Roman" w:hAnsi="Times New Roman" w:cs="Times New Roman"/>
        </w:rPr>
        <w:t xml:space="preserve"> </w:t>
      </w:r>
      <w:r w:rsidR="003B5905" w:rsidRPr="003C0052">
        <w:rPr>
          <w:rFonts w:ascii="Times New Roman" w:eastAsia="Times New Roman" w:hAnsi="Times New Roman" w:cs="Times New Roman"/>
        </w:rPr>
        <w:t>exceptions can be found in which social supply</w:t>
      </w:r>
      <w:r w:rsidR="00F232DA" w:rsidRPr="003C0052">
        <w:rPr>
          <w:rFonts w:ascii="Times New Roman" w:eastAsia="Times New Roman" w:hAnsi="Times New Roman" w:cs="Times New Roman"/>
        </w:rPr>
        <w:t xml:space="preserve"> characteristics</w:t>
      </w:r>
      <w:r w:rsidR="003B5905" w:rsidRPr="003C0052">
        <w:rPr>
          <w:rFonts w:ascii="Times New Roman" w:eastAsia="Times New Roman" w:hAnsi="Times New Roman" w:cs="Times New Roman"/>
        </w:rPr>
        <w:t xml:space="preserve"> seem to be considered.</w:t>
      </w:r>
      <w:r w:rsidR="000C4BAD" w:rsidRPr="003C0052">
        <w:rPr>
          <w:rFonts w:ascii="Times New Roman" w:eastAsia="Times New Roman" w:hAnsi="Times New Roman" w:cs="Times New Roman"/>
        </w:rPr>
        <w:t xml:space="preserve"> </w:t>
      </w:r>
      <w:r w:rsidR="000C4BAD" w:rsidRPr="003C0052">
        <w:rPr>
          <w:rFonts w:ascii="Times New Roman" w:eastAsia="Times New Roman" w:hAnsi="Times New Roman" w:cs="Times New Roman"/>
        </w:rPr>
        <w:lastRenderedPageBreak/>
        <w:t xml:space="preserve">For example, </w:t>
      </w:r>
      <w:r w:rsidR="00EE3AD8" w:rsidRPr="003C0052">
        <w:rPr>
          <w:rFonts w:ascii="Times New Roman" w:eastAsia="Times New Roman" w:hAnsi="Times New Roman" w:cs="Times New Roman"/>
        </w:rPr>
        <w:t>in determining the</w:t>
      </w:r>
      <w:r w:rsidR="003B5905" w:rsidRPr="003C0052">
        <w:rPr>
          <w:rFonts w:ascii="Times New Roman" w:eastAsia="Times New Roman" w:hAnsi="Times New Roman" w:cs="Times New Roman"/>
        </w:rPr>
        <w:t xml:space="preserve"> sentence</w:t>
      </w:r>
      <w:r w:rsidR="000C4BAD" w:rsidRPr="003C0052">
        <w:rPr>
          <w:rFonts w:ascii="Times New Roman" w:eastAsia="Times New Roman" w:hAnsi="Times New Roman" w:cs="Times New Roman"/>
        </w:rPr>
        <w:t xml:space="preserve"> for a male sentenced to eight months of imprisonment (of which six were conditional) for the supply of ‘hard drugs’ (cocaine, ecstasy and hemp),</w:t>
      </w:r>
      <w:r w:rsidR="003B5905" w:rsidRPr="003C0052">
        <w:rPr>
          <w:rFonts w:ascii="Times New Roman" w:eastAsia="Times New Roman" w:hAnsi="Times New Roman" w:cs="Times New Roman"/>
        </w:rPr>
        <w:t xml:space="preserve"> the cour</w:t>
      </w:r>
      <w:r w:rsidR="00EE3AD8" w:rsidRPr="003C0052">
        <w:rPr>
          <w:rFonts w:ascii="Times New Roman" w:eastAsia="Times New Roman" w:hAnsi="Times New Roman" w:cs="Times New Roman"/>
        </w:rPr>
        <w:t>t took into consideration that the defendant</w:t>
      </w:r>
      <w:r w:rsidR="000C4BAD" w:rsidRPr="003C0052">
        <w:rPr>
          <w:rFonts w:ascii="Times New Roman" w:eastAsia="Times New Roman" w:hAnsi="Times New Roman" w:cs="Times New Roman"/>
        </w:rPr>
        <w:t xml:space="preserve"> was not a professional dealer as</w:t>
      </w:r>
      <w:r w:rsidR="003B5905" w:rsidRPr="003C0052">
        <w:rPr>
          <w:rFonts w:ascii="Times New Roman" w:eastAsia="Times New Roman" w:hAnsi="Times New Roman" w:cs="Times New Roman"/>
        </w:rPr>
        <w:t xml:space="preserve"> </w:t>
      </w:r>
      <w:r w:rsidR="000C4BAD" w:rsidRPr="003C0052">
        <w:rPr>
          <w:rFonts w:ascii="Times New Roman" w:eastAsia="Times New Roman" w:hAnsi="Times New Roman" w:cs="Times New Roman"/>
        </w:rPr>
        <w:t>t</w:t>
      </w:r>
      <w:r w:rsidR="003B5905" w:rsidRPr="003C0052">
        <w:rPr>
          <w:rFonts w:ascii="Times New Roman" w:eastAsia="Times New Roman" w:hAnsi="Times New Roman" w:cs="Times New Roman"/>
        </w:rPr>
        <w:t xml:space="preserve">he drug transactions were described as “a service to friends” of which the dealer only made </w:t>
      </w:r>
      <w:r w:rsidR="003B5905" w:rsidRPr="003C0052">
        <w:rPr>
          <w:rFonts w:ascii="Times New Roman" w:eastAsia="Times New Roman" w:hAnsi="Times New Roman" w:cs="Times New Roman"/>
          <w:i/>
        </w:rPr>
        <w:t>minimal profits</w:t>
      </w:r>
      <w:r w:rsidR="003B5905" w:rsidRPr="003C0052">
        <w:rPr>
          <w:rFonts w:ascii="Times New Roman" w:eastAsia="Times New Roman" w:hAnsi="Times New Roman" w:cs="Times New Roman"/>
        </w:rPr>
        <w:t xml:space="preserve"> (“low profit margins”) (PZC, 2016). </w:t>
      </w:r>
      <w:r w:rsidR="00A65725" w:rsidRPr="003C0052">
        <w:rPr>
          <w:rFonts w:ascii="Times New Roman" w:eastAsia="Times New Roman" w:hAnsi="Times New Roman" w:cs="Times New Roman"/>
          <w:color w:val="000000"/>
          <w:shd w:val="clear" w:color="auto" w:fill="FFFFFF"/>
          <w:lang w:eastAsia="en-GB"/>
        </w:rPr>
        <w:t xml:space="preserve">In Canada, where there is </w:t>
      </w:r>
      <w:r w:rsidR="00A65725" w:rsidRPr="003C0052">
        <w:rPr>
          <w:rFonts w:ascii="Times New Roman" w:hAnsi="Times New Roman" w:cs="Times New Roman"/>
          <w:lang w:val="en-US"/>
        </w:rPr>
        <w:t>not a clear conception of social supply in drug legislation</w:t>
      </w:r>
      <w:proofErr w:type="gramStart"/>
      <w:r w:rsidR="00A65725" w:rsidRPr="003C0052">
        <w:rPr>
          <w:rFonts w:ascii="Times New Roman" w:hAnsi="Times New Roman" w:cs="Times New Roman"/>
          <w:lang w:val="en-US"/>
        </w:rPr>
        <w:t>,  some</w:t>
      </w:r>
      <w:proofErr w:type="gramEnd"/>
      <w:r w:rsidR="00A65725" w:rsidRPr="003C0052">
        <w:rPr>
          <w:rFonts w:ascii="Times New Roman" w:hAnsi="Times New Roman" w:cs="Times New Roman"/>
          <w:lang w:val="en-US"/>
        </w:rPr>
        <w:t xml:space="preserve"> of the features that we might consider as characteristic of social supply can be used in mitigation. For Canadian drug users, </w:t>
      </w:r>
      <w:r w:rsidR="00A65725" w:rsidRPr="003C0052">
        <w:rPr>
          <w:rFonts w:ascii="Times New Roman" w:hAnsi="Times New Roman" w:cs="Times New Roman"/>
        </w:rPr>
        <w:t>the predominance of non-commercial, small-scale, social sharing and supply of cannabis is accommodated by discretionary measures that reduce the burden on the courts in relation to this particular drug, however, mirroring the picture outlined in Belgium (see below)</w:t>
      </w:r>
      <w:proofErr w:type="gramStart"/>
      <w:r w:rsidR="00A65725" w:rsidRPr="003C0052">
        <w:rPr>
          <w:rFonts w:ascii="Times New Roman" w:hAnsi="Times New Roman" w:cs="Times New Roman"/>
        </w:rPr>
        <w:t>,</w:t>
      </w:r>
      <w:proofErr w:type="gramEnd"/>
      <w:r w:rsidR="00A65725" w:rsidRPr="003C0052">
        <w:rPr>
          <w:rFonts w:ascii="Times New Roman" w:hAnsi="Times New Roman" w:cs="Times New Roman"/>
        </w:rPr>
        <w:t xml:space="preserve"> there are no provisions for other recreational drug users.</w:t>
      </w:r>
    </w:p>
    <w:p w:rsidR="007E04D9" w:rsidRPr="003C0052" w:rsidRDefault="007E04D9" w:rsidP="00E7752F">
      <w:pPr>
        <w:spacing w:line="360" w:lineRule="auto"/>
        <w:jc w:val="both"/>
        <w:outlineLvl w:val="0"/>
        <w:rPr>
          <w:rFonts w:ascii="Times New Roman" w:hAnsi="Times New Roman" w:cs="Times New Roman"/>
          <w:i/>
        </w:rPr>
      </w:pPr>
    </w:p>
    <w:p w:rsidR="00AE0E01" w:rsidRPr="003C0052" w:rsidRDefault="007F4BA2" w:rsidP="00E7752F">
      <w:pPr>
        <w:spacing w:line="360" w:lineRule="auto"/>
        <w:jc w:val="both"/>
        <w:outlineLvl w:val="0"/>
        <w:rPr>
          <w:rFonts w:ascii="Times New Roman" w:hAnsi="Times New Roman" w:cs="Times New Roman"/>
          <w:i/>
        </w:rPr>
      </w:pPr>
      <w:r w:rsidRPr="003C0052">
        <w:rPr>
          <w:rFonts w:ascii="Times New Roman" w:hAnsi="Times New Roman" w:cs="Times New Roman"/>
          <w:i/>
        </w:rPr>
        <w:t xml:space="preserve">Less developed </w:t>
      </w:r>
      <w:r w:rsidR="004B02BC" w:rsidRPr="003C0052">
        <w:rPr>
          <w:rFonts w:ascii="Times New Roman" w:hAnsi="Times New Roman" w:cs="Times New Roman"/>
          <w:i/>
        </w:rPr>
        <w:t>accommodation of social supply characteristics</w:t>
      </w:r>
    </w:p>
    <w:p w:rsidR="00AE0E01" w:rsidRPr="003C0052" w:rsidRDefault="00AE0E01" w:rsidP="00AE0E01">
      <w:pPr>
        <w:rPr>
          <w:rFonts w:ascii="Times New Roman" w:hAnsi="Times New Roman" w:cs="Times New Roman"/>
        </w:rPr>
      </w:pPr>
    </w:p>
    <w:p w:rsidR="0040425F" w:rsidRPr="003C0052" w:rsidRDefault="00DD35FC" w:rsidP="00554604">
      <w:pPr>
        <w:spacing w:line="360" w:lineRule="auto"/>
        <w:jc w:val="both"/>
        <w:rPr>
          <w:rFonts w:ascii="Times New Roman" w:hAnsi="Times New Roman" w:cs="Times New Roman"/>
          <w:lang w:val="en-US"/>
        </w:rPr>
      </w:pPr>
      <w:r w:rsidRPr="003C0052">
        <w:rPr>
          <w:rFonts w:ascii="Times New Roman" w:eastAsia="Times New Roman" w:hAnsi="Times New Roman" w:cs="Times New Roman"/>
          <w:color w:val="000000"/>
          <w:shd w:val="clear" w:color="auto" w:fill="FFFFFF"/>
          <w:lang w:eastAsia="en-GB"/>
        </w:rPr>
        <w:t>While</w:t>
      </w:r>
      <w:r w:rsidR="005B35A2" w:rsidRPr="003C0052">
        <w:rPr>
          <w:rFonts w:ascii="Times New Roman" w:eastAsia="Times New Roman" w:hAnsi="Times New Roman" w:cs="Times New Roman"/>
          <w:color w:val="000000"/>
          <w:shd w:val="clear" w:color="auto" w:fill="FFFFFF"/>
          <w:lang w:eastAsia="en-GB"/>
        </w:rPr>
        <w:t xml:space="preserve"> there is evidence of </w:t>
      </w:r>
      <w:r w:rsidR="00A32B95" w:rsidRPr="003C0052">
        <w:rPr>
          <w:rFonts w:ascii="Times New Roman" w:eastAsia="Times New Roman" w:hAnsi="Times New Roman" w:cs="Times New Roman"/>
          <w:color w:val="000000"/>
          <w:shd w:val="clear" w:color="auto" w:fill="FFFFFF"/>
          <w:lang w:eastAsia="en-GB"/>
        </w:rPr>
        <w:t xml:space="preserve">an </w:t>
      </w:r>
      <w:r w:rsidR="005B35A2" w:rsidRPr="003C0052">
        <w:rPr>
          <w:rFonts w:ascii="Times New Roman" w:eastAsia="Times New Roman" w:hAnsi="Times New Roman" w:cs="Times New Roman"/>
          <w:color w:val="000000"/>
          <w:shd w:val="clear" w:color="auto" w:fill="FFFFFF"/>
          <w:lang w:eastAsia="en-GB"/>
        </w:rPr>
        <w:t xml:space="preserve">acceptance of social supply, or at least </w:t>
      </w:r>
      <w:r w:rsidR="00A32B95" w:rsidRPr="003C0052">
        <w:rPr>
          <w:rFonts w:ascii="Times New Roman" w:eastAsia="Times New Roman" w:hAnsi="Times New Roman" w:cs="Times New Roman"/>
          <w:color w:val="000000"/>
          <w:shd w:val="clear" w:color="auto" w:fill="FFFFFF"/>
          <w:lang w:eastAsia="en-GB"/>
        </w:rPr>
        <w:t>discretionary actions that attempt to</w:t>
      </w:r>
      <w:r w:rsidR="00714085" w:rsidRPr="003C0052">
        <w:rPr>
          <w:rFonts w:ascii="Times New Roman" w:eastAsia="Times New Roman" w:hAnsi="Times New Roman" w:cs="Times New Roman"/>
          <w:color w:val="000000"/>
          <w:shd w:val="clear" w:color="auto" w:fill="FFFFFF"/>
          <w:lang w:eastAsia="en-GB"/>
        </w:rPr>
        <w:t xml:space="preserve"> a</w:t>
      </w:r>
      <w:r w:rsidR="0095351B" w:rsidRPr="003C0052">
        <w:rPr>
          <w:rFonts w:ascii="Times New Roman" w:eastAsia="Times New Roman" w:hAnsi="Times New Roman" w:cs="Times New Roman"/>
          <w:color w:val="000000"/>
          <w:shd w:val="clear" w:color="auto" w:fill="FFFFFF"/>
          <w:lang w:eastAsia="en-GB"/>
        </w:rPr>
        <w:t xml:space="preserve">ccommodate its characteristics </w:t>
      </w:r>
      <w:r w:rsidR="00714085" w:rsidRPr="003C0052">
        <w:rPr>
          <w:rFonts w:ascii="Times New Roman" w:eastAsia="Times New Roman" w:hAnsi="Times New Roman" w:cs="Times New Roman"/>
          <w:color w:val="000000"/>
          <w:shd w:val="clear" w:color="auto" w:fill="FFFFFF"/>
          <w:lang w:eastAsia="en-GB"/>
        </w:rPr>
        <w:t>i</w:t>
      </w:r>
      <w:r w:rsidR="00FB65D0" w:rsidRPr="003C0052">
        <w:rPr>
          <w:rFonts w:ascii="Times New Roman" w:eastAsia="Times New Roman" w:hAnsi="Times New Roman" w:cs="Times New Roman"/>
          <w:color w:val="000000"/>
          <w:shd w:val="clear" w:color="auto" w:fill="FFFFFF"/>
          <w:lang w:eastAsia="en-GB"/>
        </w:rPr>
        <w:t>n many international contexts, the term social supply</w:t>
      </w:r>
      <w:r w:rsidR="009A4C2F" w:rsidRPr="003C0052">
        <w:rPr>
          <w:rFonts w:ascii="Times New Roman" w:eastAsia="Times New Roman" w:hAnsi="Times New Roman" w:cs="Times New Roman"/>
          <w:color w:val="000000"/>
          <w:shd w:val="clear" w:color="auto" w:fill="FFFFFF"/>
          <w:lang w:eastAsia="en-GB"/>
        </w:rPr>
        <w:t xml:space="preserve"> is </w:t>
      </w:r>
      <w:r w:rsidR="00252629" w:rsidRPr="003C0052">
        <w:rPr>
          <w:rFonts w:ascii="Times New Roman" w:eastAsia="Times New Roman" w:hAnsi="Times New Roman" w:cs="Times New Roman"/>
          <w:color w:val="000000"/>
          <w:shd w:val="clear" w:color="auto" w:fill="FFFFFF"/>
          <w:lang w:eastAsia="en-GB"/>
        </w:rPr>
        <w:t xml:space="preserve">largely </w:t>
      </w:r>
      <w:r w:rsidR="009A4C2F" w:rsidRPr="003C0052">
        <w:rPr>
          <w:rFonts w:ascii="Times New Roman" w:eastAsia="Times New Roman" w:hAnsi="Times New Roman" w:cs="Times New Roman"/>
          <w:color w:val="000000"/>
          <w:shd w:val="clear" w:color="auto" w:fill="FFFFFF"/>
          <w:lang w:eastAsia="en-GB"/>
        </w:rPr>
        <w:t>unrecognised in legal practice</w:t>
      </w:r>
      <w:r w:rsidR="000821FF" w:rsidRPr="003C0052">
        <w:rPr>
          <w:rFonts w:ascii="Times New Roman" w:eastAsia="Times New Roman" w:hAnsi="Times New Roman" w:cs="Times New Roman"/>
          <w:color w:val="000000"/>
          <w:shd w:val="clear" w:color="auto" w:fill="FFFFFF"/>
          <w:lang w:eastAsia="en-GB"/>
        </w:rPr>
        <w:t xml:space="preserve"> </w:t>
      </w:r>
      <w:r w:rsidR="00DB7496" w:rsidRPr="003C0052">
        <w:rPr>
          <w:rFonts w:ascii="Times New Roman" w:eastAsia="Times New Roman" w:hAnsi="Times New Roman" w:cs="Times New Roman"/>
          <w:color w:val="000000"/>
          <w:shd w:val="clear" w:color="auto" w:fill="FFFFFF"/>
          <w:lang w:eastAsia="en-GB"/>
        </w:rPr>
        <w:t>as well as</w:t>
      </w:r>
      <w:r w:rsidR="009A4C2F" w:rsidRPr="003C0052">
        <w:rPr>
          <w:rFonts w:ascii="Times New Roman" w:eastAsia="Times New Roman" w:hAnsi="Times New Roman" w:cs="Times New Roman"/>
          <w:color w:val="000000"/>
          <w:shd w:val="clear" w:color="auto" w:fill="FFFFFF"/>
          <w:lang w:eastAsia="en-GB"/>
        </w:rPr>
        <w:t xml:space="preserve"> at a broader discursive level.</w:t>
      </w:r>
      <w:r w:rsidR="00A731B4" w:rsidRPr="003C0052">
        <w:rPr>
          <w:rFonts w:ascii="Times New Roman" w:eastAsia="Times New Roman" w:hAnsi="Times New Roman" w:cs="Times New Roman"/>
          <w:color w:val="000000"/>
          <w:shd w:val="clear" w:color="auto" w:fill="FFFFFF"/>
          <w:lang w:eastAsia="en-GB"/>
        </w:rPr>
        <w:t xml:space="preserve"> </w:t>
      </w:r>
      <w:r w:rsidRPr="003C0052">
        <w:rPr>
          <w:rFonts w:ascii="Times New Roman" w:eastAsia="Times New Roman" w:hAnsi="Times New Roman" w:cs="Times New Roman"/>
          <w:color w:val="000000"/>
          <w:shd w:val="clear" w:color="auto" w:fill="FFFFFF"/>
          <w:lang w:eastAsia="en-GB"/>
        </w:rPr>
        <w:t>In Belgium for example, t</w:t>
      </w:r>
      <w:r w:rsidR="007F4BA2" w:rsidRPr="003C0052">
        <w:rPr>
          <w:rFonts w:ascii="Times New Roman" w:eastAsia="Times New Roman" w:hAnsi="Times New Roman" w:cs="Times New Roman"/>
          <w:color w:val="000000"/>
          <w:shd w:val="clear" w:color="auto" w:fill="FFFFFF"/>
          <w:lang w:eastAsia="en-GB"/>
        </w:rPr>
        <w:t>he term 'social supply' is generally not used</w:t>
      </w:r>
      <w:r w:rsidRPr="003C0052">
        <w:rPr>
          <w:rFonts w:ascii="Times New Roman" w:eastAsia="Times New Roman" w:hAnsi="Times New Roman" w:cs="Times New Roman"/>
          <w:color w:val="000000"/>
          <w:shd w:val="clear" w:color="auto" w:fill="FFFFFF"/>
          <w:lang w:eastAsia="en-GB"/>
        </w:rPr>
        <w:t xml:space="preserve"> and although</w:t>
      </w:r>
      <w:r w:rsidR="007F4BA2" w:rsidRPr="003C0052">
        <w:rPr>
          <w:rFonts w:ascii="Times New Roman" w:eastAsia="Times New Roman" w:hAnsi="Times New Roman" w:cs="Times New Roman"/>
          <w:color w:val="000000"/>
          <w:shd w:val="clear" w:color="auto" w:fill="FFFFFF"/>
          <w:lang w:eastAsia="en-GB"/>
        </w:rPr>
        <w:t> </w:t>
      </w:r>
      <w:r w:rsidRPr="003C0052">
        <w:rPr>
          <w:rFonts w:ascii="Times New Roman" w:eastAsia="Times New Roman" w:hAnsi="Times New Roman" w:cs="Times New Roman"/>
          <w:lang w:eastAsia="en-GB"/>
        </w:rPr>
        <w:t>t</w:t>
      </w:r>
      <w:r w:rsidR="007F4BA2" w:rsidRPr="003C0052">
        <w:rPr>
          <w:rFonts w:ascii="Times New Roman" w:eastAsia="Times New Roman" w:hAnsi="Times New Roman" w:cs="Times New Roman"/>
          <w:lang w:eastAsia="en-GB"/>
        </w:rPr>
        <w:t xml:space="preserve">here is some provision for Belgian cannabis suppliers to be </w:t>
      </w:r>
      <w:r w:rsidR="007F4BA2" w:rsidRPr="003C0052">
        <w:rPr>
          <w:rFonts w:ascii="Times New Roman" w:eastAsia="Times New Roman" w:hAnsi="Times New Roman" w:cs="Times New Roman"/>
          <w:color w:val="000000"/>
          <w:shd w:val="clear" w:color="auto" w:fill="FFFFFF"/>
          <w:lang w:eastAsia="en-GB"/>
        </w:rPr>
        <w:t>distinguished as selling cannabis 'to c</w:t>
      </w:r>
      <w:r w:rsidRPr="003C0052">
        <w:rPr>
          <w:rFonts w:ascii="Times New Roman" w:eastAsia="Times New Roman" w:hAnsi="Times New Roman" w:cs="Times New Roman"/>
          <w:color w:val="000000"/>
          <w:shd w:val="clear" w:color="auto" w:fill="FFFFFF"/>
          <w:lang w:eastAsia="en-GB"/>
        </w:rPr>
        <w:t>over the costs of the own use'</w:t>
      </w:r>
      <w:r w:rsidR="007F4BA2" w:rsidRPr="003C0052">
        <w:rPr>
          <w:rFonts w:ascii="Times New Roman" w:eastAsia="Times New Roman" w:hAnsi="Times New Roman" w:cs="Times New Roman"/>
          <w:color w:val="000000"/>
          <w:shd w:val="clear" w:color="auto" w:fill="FFFFFF"/>
          <w:lang w:eastAsia="en-GB"/>
        </w:rPr>
        <w:t xml:space="preserve">, this ‘tolerance model’ only applies to </w:t>
      </w:r>
      <w:r w:rsidR="007F4BA2" w:rsidRPr="003C0052">
        <w:rPr>
          <w:rFonts w:ascii="Times New Roman" w:eastAsia="Times New Roman" w:hAnsi="Times New Roman" w:cs="Times New Roman"/>
          <w:i/>
          <w:color w:val="000000"/>
          <w:shd w:val="clear" w:color="auto" w:fill="FFFFFF"/>
          <w:lang w:eastAsia="en-GB"/>
        </w:rPr>
        <w:t>cannabis,</w:t>
      </w:r>
      <w:r w:rsidR="00BA3AD2" w:rsidRPr="003C0052">
        <w:rPr>
          <w:rFonts w:ascii="Times New Roman" w:eastAsia="Times New Roman" w:hAnsi="Times New Roman" w:cs="Times New Roman"/>
          <w:color w:val="000000"/>
          <w:shd w:val="clear" w:color="auto" w:fill="FFFFFF"/>
          <w:lang w:eastAsia="en-GB"/>
        </w:rPr>
        <w:t xml:space="preserve"> and does not extend to any other illegal drugs</w:t>
      </w:r>
      <w:r w:rsidR="00743062" w:rsidRPr="003C0052">
        <w:rPr>
          <w:rFonts w:ascii="Times New Roman" w:eastAsia="Times New Roman" w:hAnsi="Times New Roman" w:cs="Times New Roman"/>
          <w:color w:val="000000"/>
          <w:shd w:val="clear" w:color="auto" w:fill="FFFFFF"/>
          <w:lang w:eastAsia="en-GB"/>
        </w:rPr>
        <w:t>. In practice</w:t>
      </w:r>
      <w:r w:rsidR="00884450" w:rsidRPr="003C0052">
        <w:rPr>
          <w:rFonts w:ascii="Times New Roman" w:eastAsia="Times New Roman" w:hAnsi="Times New Roman" w:cs="Times New Roman"/>
          <w:color w:val="000000"/>
          <w:shd w:val="clear" w:color="auto" w:fill="FFFFFF"/>
          <w:lang w:eastAsia="en-GB"/>
        </w:rPr>
        <w:t>,</w:t>
      </w:r>
      <w:r w:rsidR="00743062" w:rsidRPr="003C0052">
        <w:rPr>
          <w:rFonts w:ascii="Times New Roman" w:eastAsia="Times New Roman" w:hAnsi="Times New Roman" w:cs="Times New Roman"/>
          <w:color w:val="000000"/>
          <w:shd w:val="clear" w:color="auto" w:fill="FFFFFF"/>
          <w:lang w:eastAsia="en-GB"/>
        </w:rPr>
        <w:t xml:space="preserve"> this means that </w:t>
      </w:r>
      <w:r w:rsidR="007F4BA2" w:rsidRPr="003C0052">
        <w:rPr>
          <w:rFonts w:ascii="Times New Roman" w:eastAsia="Times New Roman" w:hAnsi="Times New Roman" w:cs="Times New Roman"/>
          <w:color w:val="000000"/>
          <w:shd w:val="clear" w:color="auto" w:fill="FFFFFF"/>
          <w:lang w:eastAsia="en-GB"/>
        </w:rPr>
        <w:t xml:space="preserve">no distinction is made between 'minor' and 'major' sales of MDMA or other </w:t>
      </w:r>
      <w:r w:rsidR="00743062" w:rsidRPr="003C0052">
        <w:rPr>
          <w:rFonts w:ascii="Times New Roman" w:eastAsia="Times New Roman" w:hAnsi="Times New Roman" w:cs="Times New Roman"/>
          <w:color w:val="000000"/>
          <w:shd w:val="clear" w:color="auto" w:fill="FFFFFF"/>
          <w:lang w:eastAsia="en-GB"/>
        </w:rPr>
        <w:t xml:space="preserve">recreational </w:t>
      </w:r>
      <w:r w:rsidR="007F4BA2" w:rsidRPr="003C0052">
        <w:rPr>
          <w:rFonts w:ascii="Times New Roman" w:eastAsia="Times New Roman" w:hAnsi="Times New Roman" w:cs="Times New Roman"/>
          <w:color w:val="000000"/>
          <w:shd w:val="clear" w:color="auto" w:fill="FFFFFF"/>
          <w:lang w:eastAsia="en-GB"/>
        </w:rPr>
        <w:t>drugs</w:t>
      </w:r>
      <w:r w:rsidR="00BA3AD2" w:rsidRPr="003C0052">
        <w:rPr>
          <w:rFonts w:ascii="Times New Roman" w:eastAsia="Times New Roman" w:hAnsi="Times New Roman" w:cs="Times New Roman"/>
          <w:color w:val="000000"/>
          <w:shd w:val="clear" w:color="auto" w:fill="FFFFFF"/>
          <w:lang w:eastAsia="en-GB"/>
        </w:rPr>
        <w:t xml:space="preserve">. </w:t>
      </w:r>
      <w:r w:rsidR="007D678A" w:rsidRPr="003C0052">
        <w:rPr>
          <w:rFonts w:ascii="Times New Roman" w:eastAsia="Times New Roman" w:hAnsi="Times New Roman" w:cs="Times New Roman"/>
          <w:color w:val="000000"/>
          <w:shd w:val="clear" w:color="auto" w:fill="FFFFFF"/>
          <w:lang w:eastAsia="en-GB"/>
        </w:rPr>
        <w:t xml:space="preserve">A similar picture is reported in Finland </w:t>
      </w:r>
      <w:r w:rsidR="00A65725" w:rsidRPr="003C0052">
        <w:rPr>
          <w:rFonts w:ascii="Times New Roman" w:hAnsi="Times New Roman" w:cs="Times New Roman"/>
        </w:rPr>
        <w:t>where</w:t>
      </w:r>
      <w:r w:rsidR="002C4DC1" w:rsidRPr="003C0052">
        <w:rPr>
          <w:rFonts w:ascii="Times New Roman" w:hAnsi="Times New Roman" w:cs="Times New Roman"/>
        </w:rPr>
        <w:t xml:space="preserve"> </w:t>
      </w:r>
      <w:r w:rsidR="007D678A" w:rsidRPr="003C0052">
        <w:rPr>
          <w:rFonts w:ascii="Times New Roman" w:hAnsi="Times New Roman" w:cs="Times New Roman"/>
          <w:lang w:val="en-US"/>
        </w:rPr>
        <w:t xml:space="preserve">it is stated in the Criminal Law that motives of an offender (as well as malignancy and dangerousness of an offence) should be taken </w:t>
      </w:r>
      <w:r w:rsidR="00E02B6D" w:rsidRPr="003C0052">
        <w:rPr>
          <w:rFonts w:ascii="Times New Roman" w:hAnsi="Times New Roman" w:cs="Times New Roman"/>
          <w:lang w:val="en-US"/>
        </w:rPr>
        <w:t xml:space="preserve">into </w:t>
      </w:r>
      <w:r w:rsidR="007D678A" w:rsidRPr="003C0052">
        <w:rPr>
          <w:rFonts w:ascii="Times New Roman" w:hAnsi="Times New Roman" w:cs="Times New Roman"/>
          <w:lang w:val="en-US"/>
        </w:rPr>
        <w:t xml:space="preserve">account when imposing a sentence. So, in practice, a person sharing or giving away a small amount of cannabis would most likely receive somewhat milder sanctions than in </w:t>
      </w:r>
      <w:r w:rsidR="00743062" w:rsidRPr="003C0052">
        <w:rPr>
          <w:rFonts w:ascii="Times New Roman" w:hAnsi="Times New Roman" w:cs="Times New Roman"/>
          <w:lang w:val="en-US"/>
        </w:rPr>
        <w:t xml:space="preserve">a </w:t>
      </w:r>
      <w:r w:rsidR="007D678A" w:rsidRPr="003C0052">
        <w:rPr>
          <w:rFonts w:ascii="Times New Roman" w:hAnsi="Times New Roman" w:cs="Times New Roman"/>
          <w:lang w:val="en-US"/>
        </w:rPr>
        <w:t xml:space="preserve">case when a person is </w:t>
      </w:r>
      <w:r w:rsidR="007D678A" w:rsidRPr="003C0052">
        <w:rPr>
          <w:rFonts w:ascii="Times New Roman" w:hAnsi="Times New Roman" w:cs="Times New Roman"/>
          <w:i/>
          <w:lang w:val="en-US"/>
        </w:rPr>
        <w:t>selling</w:t>
      </w:r>
      <w:r w:rsidR="007D678A" w:rsidRPr="003C0052">
        <w:rPr>
          <w:rFonts w:ascii="Times New Roman" w:hAnsi="Times New Roman" w:cs="Times New Roman"/>
          <w:lang w:val="en-US"/>
        </w:rPr>
        <w:t xml:space="preserve"> the same amount of cannabis</w:t>
      </w:r>
      <w:r w:rsidR="00174229" w:rsidRPr="003C0052">
        <w:rPr>
          <w:rFonts w:ascii="Times New Roman" w:hAnsi="Times New Roman" w:cs="Times New Roman"/>
          <w:lang w:val="en-US"/>
        </w:rPr>
        <w:t xml:space="preserve"> (</w:t>
      </w:r>
      <w:proofErr w:type="spellStart"/>
      <w:r w:rsidR="00174229" w:rsidRPr="003C0052">
        <w:rPr>
          <w:rFonts w:ascii="Times New Roman" w:hAnsi="Times New Roman" w:cs="Times New Roman"/>
          <w:lang w:val="en-US"/>
        </w:rPr>
        <w:t>Kainulainen</w:t>
      </w:r>
      <w:proofErr w:type="spellEnd"/>
      <w:r w:rsidR="00174229" w:rsidRPr="003C0052">
        <w:rPr>
          <w:rFonts w:ascii="Times New Roman" w:hAnsi="Times New Roman" w:cs="Times New Roman"/>
          <w:lang w:val="en-US"/>
        </w:rPr>
        <w:t xml:space="preserve">, 2006). </w:t>
      </w:r>
      <w:r w:rsidR="00554604" w:rsidRPr="003C0052">
        <w:rPr>
          <w:rFonts w:ascii="Times New Roman" w:hAnsi="Times New Roman" w:cs="Times New Roman"/>
          <w:lang w:val="en-US"/>
        </w:rPr>
        <w:t>In Germany</w:t>
      </w:r>
      <w:r w:rsidR="00D660BC" w:rsidRPr="003C0052">
        <w:rPr>
          <w:rFonts w:ascii="Times New Roman" w:hAnsi="Times New Roman" w:cs="Times New Roman"/>
          <w:lang w:val="en-US"/>
        </w:rPr>
        <w:t xml:space="preserve"> and the Czech Republic</w:t>
      </w:r>
      <w:r w:rsidR="00554604" w:rsidRPr="003C0052">
        <w:rPr>
          <w:rFonts w:ascii="Times New Roman" w:hAnsi="Times New Roman" w:cs="Times New Roman"/>
          <w:lang w:val="en-US"/>
        </w:rPr>
        <w:t xml:space="preserve">, similar themes are observed in that there are no special regulations for social supply offenses vs. profit-oriented sale (except for the vague term of “commercial” dealing mentioned above). However, courts would usually impose sanctions in relation to the severity of the case (regarding profits, regularity etc.) </w:t>
      </w:r>
      <w:r w:rsidR="00D660BC" w:rsidRPr="003C0052">
        <w:rPr>
          <w:rFonts w:ascii="Times New Roman" w:hAnsi="Times New Roman" w:cs="Times New Roman"/>
          <w:lang w:val="en-US"/>
        </w:rPr>
        <w:t xml:space="preserve">and in </w:t>
      </w:r>
      <w:r w:rsidR="00D660BC" w:rsidRPr="003C0052">
        <w:rPr>
          <w:rFonts w:ascii="Times New Roman" w:hAnsi="Times New Roman" w:cs="Times New Roman"/>
          <w:color w:val="222222"/>
          <w:lang w:eastAsia="en-GB"/>
        </w:rPr>
        <w:t xml:space="preserve">sentencing can take into consideration lower severity and social harmfulness of </w:t>
      </w:r>
      <w:r w:rsidR="00D660BC" w:rsidRPr="003C0052">
        <w:rPr>
          <w:rFonts w:ascii="Times New Roman" w:hAnsi="Times New Roman" w:cs="Times New Roman"/>
          <w:color w:val="222222"/>
          <w:lang w:eastAsia="en-GB"/>
        </w:rPr>
        <w:lastRenderedPageBreak/>
        <w:t xml:space="preserve">such acts. </w:t>
      </w:r>
      <w:r w:rsidR="00D660BC" w:rsidRPr="003C0052">
        <w:rPr>
          <w:rFonts w:ascii="Times New Roman" w:hAnsi="Times New Roman" w:cs="Times New Roman"/>
          <w:lang w:val="en-US"/>
        </w:rPr>
        <w:t>In this respect</w:t>
      </w:r>
      <w:r w:rsidR="00554604" w:rsidRPr="003C0052">
        <w:rPr>
          <w:rFonts w:ascii="Times New Roman" w:hAnsi="Times New Roman" w:cs="Times New Roman"/>
          <w:lang w:val="en-US"/>
        </w:rPr>
        <w:t>,</w:t>
      </w:r>
      <w:r w:rsidR="00D660BC" w:rsidRPr="003C0052">
        <w:rPr>
          <w:rFonts w:ascii="Times New Roman" w:hAnsi="Times New Roman" w:cs="Times New Roman"/>
          <w:lang w:val="en-US"/>
        </w:rPr>
        <w:t xml:space="preserve"> in these </w:t>
      </w:r>
      <w:proofErr w:type="spellStart"/>
      <w:r w:rsidR="00D660BC" w:rsidRPr="003C0052">
        <w:rPr>
          <w:rFonts w:ascii="Times New Roman" w:hAnsi="Times New Roman" w:cs="Times New Roman"/>
          <w:lang w:val="en-US"/>
        </w:rPr>
        <w:t>neighbouring</w:t>
      </w:r>
      <w:proofErr w:type="spellEnd"/>
      <w:r w:rsidR="00D660BC" w:rsidRPr="003C0052">
        <w:rPr>
          <w:rFonts w:ascii="Times New Roman" w:hAnsi="Times New Roman" w:cs="Times New Roman"/>
          <w:lang w:val="en-US"/>
        </w:rPr>
        <w:t xml:space="preserve"> countries, German and Czech citizens cannot expect any</w:t>
      </w:r>
      <w:r w:rsidR="00CE6B94" w:rsidRPr="003C0052">
        <w:rPr>
          <w:rFonts w:ascii="Times New Roman" w:hAnsi="Times New Roman" w:cs="Times New Roman"/>
          <w:lang w:val="en-US"/>
        </w:rPr>
        <w:t xml:space="preserve"> explicit</w:t>
      </w:r>
      <w:r w:rsidR="00D660BC" w:rsidRPr="003C0052">
        <w:rPr>
          <w:rFonts w:ascii="Times New Roman" w:hAnsi="Times New Roman" w:cs="Times New Roman"/>
          <w:lang w:val="en-US"/>
        </w:rPr>
        <w:t xml:space="preserve"> </w:t>
      </w:r>
      <w:r w:rsidR="00CE6B94" w:rsidRPr="003C0052">
        <w:rPr>
          <w:rFonts w:ascii="Times New Roman" w:hAnsi="Times New Roman" w:cs="Times New Roman"/>
          <w:lang w:val="en-US"/>
        </w:rPr>
        <w:t xml:space="preserve">legal </w:t>
      </w:r>
      <w:r w:rsidR="000B00E4" w:rsidRPr="003C0052">
        <w:rPr>
          <w:rFonts w:ascii="Times New Roman" w:hAnsi="Times New Roman" w:cs="Times New Roman"/>
          <w:lang w:val="en-US"/>
        </w:rPr>
        <w:t>provisions for social supply,</w:t>
      </w:r>
      <w:r w:rsidR="00D6274F" w:rsidRPr="003C0052">
        <w:rPr>
          <w:rFonts w:ascii="Times New Roman" w:hAnsi="Times New Roman" w:cs="Times New Roman"/>
          <w:lang w:val="en-US"/>
        </w:rPr>
        <w:t xml:space="preserve"> </w:t>
      </w:r>
      <w:r w:rsidR="00D6274F" w:rsidRPr="003C0052">
        <w:rPr>
          <w:rFonts w:ascii="Times New Roman" w:hAnsi="Times New Roman" w:cs="Times New Roman"/>
          <w:i/>
          <w:lang w:val="en-US"/>
        </w:rPr>
        <w:t>but</w:t>
      </w:r>
      <w:r w:rsidR="00D6274F" w:rsidRPr="003C0052">
        <w:rPr>
          <w:rFonts w:ascii="Times New Roman" w:hAnsi="Times New Roman" w:cs="Times New Roman"/>
          <w:lang w:val="en-US"/>
        </w:rPr>
        <w:t xml:space="preserve"> if their offending circumstances are judged as less severe, harmful and their responsibility less, this should be </w:t>
      </w:r>
      <w:proofErr w:type="spellStart"/>
      <w:r w:rsidR="00D6274F" w:rsidRPr="003C0052">
        <w:rPr>
          <w:rFonts w:ascii="Times New Roman" w:hAnsi="Times New Roman" w:cs="Times New Roman"/>
          <w:lang w:val="en-US"/>
        </w:rPr>
        <w:t>recognised</w:t>
      </w:r>
      <w:proofErr w:type="spellEnd"/>
      <w:r w:rsidR="00D6274F" w:rsidRPr="003C0052">
        <w:rPr>
          <w:rFonts w:ascii="Times New Roman" w:hAnsi="Times New Roman" w:cs="Times New Roman"/>
          <w:lang w:val="en-US"/>
        </w:rPr>
        <w:t xml:space="preserve"> in determining their punishment.</w:t>
      </w:r>
    </w:p>
    <w:p w:rsidR="007E04D9" w:rsidRPr="003C0052" w:rsidRDefault="007E04D9" w:rsidP="0040425F">
      <w:pPr>
        <w:spacing w:line="360" w:lineRule="auto"/>
        <w:jc w:val="both"/>
        <w:rPr>
          <w:rFonts w:ascii="Times New Roman" w:eastAsia="Times New Roman" w:hAnsi="Times New Roman" w:cs="Times New Roman"/>
          <w:color w:val="000000"/>
          <w:shd w:val="clear" w:color="auto" w:fill="FFFFFF"/>
          <w:lang w:eastAsia="en-GB"/>
        </w:rPr>
      </w:pPr>
    </w:p>
    <w:p w:rsidR="0040425F" w:rsidRPr="003C0052" w:rsidRDefault="007A3108" w:rsidP="0040425F">
      <w:pPr>
        <w:spacing w:line="360" w:lineRule="auto"/>
        <w:jc w:val="both"/>
        <w:rPr>
          <w:rFonts w:ascii="Times New Roman" w:hAnsi="Times New Roman" w:cs="Times New Roman"/>
          <w:lang w:val="en-US"/>
        </w:rPr>
      </w:pPr>
      <w:r w:rsidRPr="003C0052">
        <w:rPr>
          <w:rFonts w:ascii="Times New Roman" w:eastAsia="Times New Roman" w:hAnsi="Times New Roman" w:cs="Times New Roman"/>
          <w:color w:val="000000"/>
          <w:shd w:val="clear" w:color="auto" w:fill="FFFFFF"/>
          <w:lang w:eastAsia="en-GB"/>
        </w:rPr>
        <w:t>P</w:t>
      </w:r>
      <w:r w:rsidR="0040425F" w:rsidRPr="003C0052">
        <w:rPr>
          <w:rFonts w:ascii="Times New Roman" w:eastAsia="Times New Roman" w:hAnsi="Times New Roman" w:cs="Times New Roman"/>
          <w:color w:val="000000"/>
          <w:shd w:val="clear" w:color="auto" w:fill="FFFFFF"/>
          <w:lang w:eastAsia="en-GB"/>
        </w:rPr>
        <w:t>erhaps the best example of conceptual absence and its consequences comes from the United States, where despite observations of ‘friend dealing’ and socially situated distribution behaviours (Jacques and Wright, 2014; Blum, 1972), the term ‘social supply’ has not taken hold as a descriptor for social,</w:t>
      </w:r>
      <w:r w:rsidR="00686D43" w:rsidRPr="003C0052">
        <w:rPr>
          <w:rFonts w:ascii="Times New Roman" w:eastAsia="Times New Roman" w:hAnsi="Times New Roman" w:cs="Times New Roman"/>
          <w:color w:val="000000"/>
          <w:shd w:val="clear" w:color="auto" w:fill="FFFFFF"/>
          <w:lang w:eastAsia="en-GB"/>
        </w:rPr>
        <w:t xml:space="preserve"> non-profit motivated dealing. </w:t>
      </w:r>
      <w:r w:rsidR="0040425F" w:rsidRPr="003C0052">
        <w:rPr>
          <w:rFonts w:ascii="Times New Roman" w:eastAsia="Times New Roman" w:hAnsi="Times New Roman" w:cs="Times New Roman"/>
          <w:color w:val="000000"/>
          <w:shd w:val="clear" w:color="auto" w:fill="FFFFFF"/>
          <w:lang w:eastAsia="en-GB"/>
        </w:rPr>
        <w:t>Discursive familiarity with the social supply concept is highly underdeveloped</w:t>
      </w:r>
      <w:r w:rsidR="00EB26FD" w:rsidRPr="003C0052">
        <w:rPr>
          <w:rFonts w:ascii="Times New Roman" w:eastAsia="Times New Roman" w:hAnsi="Times New Roman" w:cs="Times New Roman"/>
          <w:color w:val="000000"/>
          <w:shd w:val="clear" w:color="auto" w:fill="FFFFFF"/>
          <w:lang w:eastAsia="en-GB"/>
        </w:rPr>
        <w:t xml:space="preserve"> in this context</w:t>
      </w:r>
      <w:r w:rsidR="0040425F" w:rsidRPr="003C0052">
        <w:rPr>
          <w:rFonts w:ascii="Times New Roman" w:eastAsia="Times New Roman" w:hAnsi="Times New Roman" w:cs="Times New Roman"/>
          <w:color w:val="000000"/>
          <w:shd w:val="clear" w:color="auto" w:fill="FFFFFF"/>
          <w:lang w:eastAsia="en-GB"/>
        </w:rPr>
        <w:t xml:space="preserve"> to the extent that, when questioned about the utility of the concept, those working in </w:t>
      </w:r>
      <w:r w:rsidR="0040425F" w:rsidRPr="003C0052">
        <w:rPr>
          <w:rFonts w:ascii="Times New Roman" w:hAnsi="Times New Roman" w:cs="Times New Roman"/>
        </w:rPr>
        <w:t>public defender offices at county and federal levels admitted that they ‘</w:t>
      </w:r>
      <w:r w:rsidR="0040425F" w:rsidRPr="003C0052">
        <w:rPr>
          <w:rFonts w:ascii="Times New Roman" w:hAnsi="Times New Roman" w:cs="Times New Roman"/>
          <w:i/>
        </w:rPr>
        <w:t>had never heard of it’ (</w:t>
      </w:r>
      <w:r w:rsidR="0040425F" w:rsidRPr="003C0052">
        <w:rPr>
          <w:rFonts w:ascii="Times New Roman" w:hAnsi="Times New Roman" w:cs="Times New Roman"/>
        </w:rPr>
        <w:t>Personal Communication, 2017</w:t>
      </w:r>
      <w:r w:rsidR="0040425F" w:rsidRPr="003C0052">
        <w:rPr>
          <w:rFonts w:ascii="Times New Roman" w:hAnsi="Times New Roman" w:cs="Times New Roman"/>
          <w:i/>
        </w:rPr>
        <w:t>)</w:t>
      </w:r>
      <w:r w:rsidR="0040425F" w:rsidRPr="003C0052">
        <w:rPr>
          <w:rFonts w:ascii="Times New Roman" w:hAnsi="Times New Roman" w:cs="Times New Roman"/>
        </w:rPr>
        <w:t xml:space="preserve">. In practice, as previously discussed, Federal drug law prescribes different sentencing tariffs and </w:t>
      </w:r>
      <w:r w:rsidR="0040425F" w:rsidRPr="003C0052">
        <w:rPr>
          <w:rFonts w:ascii="Times New Roman" w:hAnsi="Times New Roman" w:cs="Times New Roman"/>
          <w:lang w:val="en-US"/>
        </w:rPr>
        <w:t xml:space="preserve">penalties for distinct types of drugs and specific quantities, but they do not differentiate types of </w:t>
      </w:r>
      <w:r w:rsidR="0040425F" w:rsidRPr="003C0052">
        <w:rPr>
          <w:rFonts w:ascii="Times New Roman" w:hAnsi="Times New Roman" w:cs="Times New Roman"/>
          <w:i/>
          <w:lang w:val="en-US"/>
        </w:rPr>
        <w:t>supply</w:t>
      </w:r>
      <w:r w:rsidR="0040425F" w:rsidRPr="003C0052">
        <w:rPr>
          <w:rFonts w:ascii="Times New Roman" w:hAnsi="Times New Roman" w:cs="Times New Roman"/>
          <w:lang w:val="en-US"/>
        </w:rPr>
        <w:t xml:space="preserve">. In this respect, there is </w:t>
      </w:r>
      <w:r w:rsidR="00884450" w:rsidRPr="003C0052">
        <w:rPr>
          <w:rFonts w:ascii="Times New Roman" w:hAnsi="Times New Roman" w:cs="Times New Roman"/>
          <w:lang w:val="en-US"/>
        </w:rPr>
        <w:t>‘</w:t>
      </w:r>
      <w:r w:rsidR="0040425F" w:rsidRPr="003C0052">
        <w:rPr>
          <w:rFonts w:ascii="Times New Roman" w:hAnsi="Times New Roman" w:cs="Times New Roman"/>
          <w:lang w:val="en-US"/>
        </w:rPr>
        <w:t>inordinate ambiguity</w:t>
      </w:r>
      <w:r w:rsidR="00884450" w:rsidRPr="003C0052">
        <w:rPr>
          <w:rFonts w:ascii="Times New Roman" w:hAnsi="Times New Roman" w:cs="Times New Roman"/>
          <w:lang w:val="en-US"/>
        </w:rPr>
        <w:t>’</w:t>
      </w:r>
      <w:r w:rsidR="0040425F" w:rsidRPr="003C0052">
        <w:rPr>
          <w:rFonts w:ascii="Times New Roman" w:hAnsi="Times New Roman" w:cs="Times New Roman"/>
          <w:lang w:val="en-US"/>
        </w:rPr>
        <w:t xml:space="preserve"> in defining “trafficking” regarding Schedule I and II drugs for which no quantity-based parameters exist, including prescription stimulants, and legislation does not specifically distinguish betwe</w:t>
      </w:r>
      <w:r w:rsidR="00884450" w:rsidRPr="003C0052">
        <w:rPr>
          <w:rFonts w:ascii="Times New Roman" w:hAnsi="Times New Roman" w:cs="Times New Roman"/>
          <w:lang w:val="en-US"/>
        </w:rPr>
        <w:t>en “dealing” and “social supply</w:t>
      </w:r>
      <w:r w:rsidR="0040425F" w:rsidRPr="003C0052">
        <w:rPr>
          <w:rFonts w:ascii="Times New Roman" w:hAnsi="Times New Roman" w:cs="Times New Roman"/>
          <w:lang w:val="en-US"/>
        </w:rPr>
        <w:t>”</w:t>
      </w:r>
      <w:r w:rsidR="00884450" w:rsidRPr="003C0052">
        <w:rPr>
          <w:rFonts w:ascii="Times New Roman" w:hAnsi="Times New Roman" w:cs="Times New Roman"/>
          <w:lang w:val="en-US"/>
        </w:rPr>
        <w:t xml:space="preserve"> (Murphy et al., </w:t>
      </w:r>
      <w:r w:rsidR="00165AA3" w:rsidRPr="003C0052">
        <w:rPr>
          <w:rFonts w:ascii="Times New Roman" w:hAnsi="Times New Roman" w:cs="Times New Roman"/>
          <w:lang w:val="en-US"/>
        </w:rPr>
        <w:t>2018</w:t>
      </w:r>
      <w:r w:rsidR="00884450" w:rsidRPr="003C0052">
        <w:rPr>
          <w:rFonts w:ascii="Times New Roman" w:hAnsi="Times New Roman" w:cs="Times New Roman"/>
          <w:lang w:val="en-US"/>
        </w:rPr>
        <w:t>)</w:t>
      </w:r>
      <w:r w:rsidR="0040425F" w:rsidRPr="003C0052">
        <w:rPr>
          <w:rFonts w:ascii="Times New Roman" w:hAnsi="Times New Roman" w:cs="Times New Roman"/>
          <w:lang w:val="en-US"/>
        </w:rPr>
        <w:t xml:space="preserve"> Taking the example of a college student who gives a friend a few free Adderall (a </w:t>
      </w:r>
      <w:r w:rsidR="00E02B6D" w:rsidRPr="003C0052">
        <w:rPr>
          <w:rFonts w:ascii="Times New Roman" w:hAnsi="Times New Roman" w:cs="Times New Roman"/>
          <w:lang w:val="en-US"/>
        </w:rPr>
        <w:t xml:space="preserve">prescription </w:t>
      </w:r>
      <w:r w:rsidR="0040425F" w:rsidRPr="003C0052">
        <w:rPr>
          <w:rFonts w:ascii="Times New Roman" w:hAnsi="Times New Roman" w:cs="Times New Roman"/>
          <w:lang w:val="en-US"/>
        </w:rPr>
        <w:t xml:space="preserve">stimulant </w:t>
      </w:r>
      <w:r w:rsidR="00E02B6D" w:rsidRPr="003C0052">
        <w:rPr>
          <w:rFonts w:ascii="Times New Roman" w:hAnsi="Times New Roman" w:cs="Times New Roman"/>
          <w:lang w:val="en-US"/>
        </w:rPr>
        <w:t xml:space="preserve">diverted for, and </w:t>
      </w:r>
      <w:r w:rsidR="0040425F" w:rsidRPr="003C0052">
        <w:rPr>
          <w:rFonts w:ascii="Times New Roman" w:hAnsi="Times New Roman" w:cs="Times New Roman"/>
          <w:lang w:val="en-US"/>
        </w:rPr>
        <w:t>used as</w:t>
      </w:r>
      <w:r w:rsidR="00E02B6D" w:rsidRPr="003C0052">
        <w:rPr>
          <w:rFonts w:ascii="Times New Roman" w:hAnsi="Times New Roman" w:cs="Times New Roman"/>
          <w:lang w:val="en-US"/>
        </w:rPr>
        <w:t>,</w:t>
      </w:r>
      <w:r w:rsidR="0040425F" w:rsidRPr="003C0052">
        <w:rPr>
          <w:rFonts w:ascii="Times New Roman" w:hAnsi="Times New Roman" w:cs="Times New Roman"/>
          <w:lang w:val="en-US"/>
        </w:rPr>
        <w:t xml:space="preserve"> a ‘study drug’), </w:t>
      </w:r>
      <w:r w:rsidR="007E04D9" w:rsidRPr="003C0052">
        <w:rPr>
          <w:rFonts w:ascii="Times New Roman" w:hAnsi="Times New Roman" w:cs="Times New Roman"/>
          <w:lang w:val="en-US"/>
        </w:rPr>
        <w:t>it is suggested that federal</w:t>
      </w:r>
      <w:r w:rsidR="0040425F" w:rsidRPr="003C0052">
        <w:rPr>
          <w:rFonts w:ascii="Times New Roman" w:hAnsi="Times New Roman" w:cs="Times New Roman"/>
          <w:lang w:val="en-US"/>
        </w:rPr>
        <w:t xml:space="preserve"> law</w:t>
      </w:r>
      <w:r w:rsidR="0064141D" w:rsidRPr="003C0052">
        <w:rPr>
          <w:rFonts w:ascii="Times New Roman" w:hAnsi="Times New Roman" w:cs="Times New Roman"/>
          <w:lang w:val="en-US"/>
        </w:rPr>
        <w:t>s work in such a way that this social supplier</w:t>
      </w:r>
      <w:r w:rsidR="0040425F" w:rsidRPr="003C0052">
        <w:rPr>
          <w:rFonts w:ascii="Times New Roman" w:hAnsi="Times New Roman" w:cs="Times New Roman"/>
          <w:lang w:val="en-US"/>
        </w:rPr>
        <w:t xml:space="preserve"> could conceivably receive the same penalty as a first-time offender who sold four hundred grams of cocaine (</w:t>
      </w:r>
      <w:r w:rsidR="00F13EB1" w:rsidRPr="003C0052">
        <w:rPr>
          <w:rFonts w:ascii="Times New Roman" w:hAnsi="Times New Roman" w:cs="Times New Roman"/>
          <w:lang w:val="en-US"/>
        </w:rPr>
        <w:t xml:space="preserve">see </w:t>
      </w:r>
      <w:r w:rsidR="0040425F" w:rsidRPr="003C0052">
        <w:rPr>
          <w:rFonts w:ascii="Times New Roman" w:hAnsi="Times New Roman" w:cs="Times New Roman"/>
          <w:lang w:val="en-US"/>
        </w:rPr>
        <w:t>Murphy et al.</w:t>
      </w:r>
      <w:r w:rsidR="00686D43" w:rsidRPr="003C0052">
        <w:rPr>
          <w:rFonts w:ascii="Times New Roman" w:hAnsi="Times New Roman" w:cs="Times New Roman"/>
          <w:lang w:val="en-US"/>
        </w:rPr>
        <w:t>,</w:t>
      </w:r>
      <w:r w:rsidR="00884450" w:rsidRPr="003C0052">
        <w:rPr>
          <w:rFonts w:ascii="Times New Roman" w:hAnsi="Times New Roman" w:cs="Times New Roman"/>
          <w:lang w:val="en-US"/>
        </w:rPr>
        <w:t xml:space="preserve"> </w:t>
      </w:r>
      <w:r w:rsidR="00165AA3" w:rsidRPr="003C0052">
        <w:rPr>
          <w:rFonts w:ascii="Times New Roman" w:hAnsi="Times New Roman" w:cs="Times New Roman"/>
          <w:lang w:val="en-US"/>
        </w:rPr>
        <w:t>2018</w:t>
      </w:r>
      <w:r w:rsidR="0040425F" w:rsidRPr="003C0052">
        <w:rPr>
          <w:rFonts w:ascii="Times New Roman" w:hAnsi="Times New Roman" w:cs="Times New Roman"/>
          <w:lang w:val="en-US"/>
        </w:rPr>
        <w:t xml:space="preserve">). </w:t>
      </w:r>
    </w:p>
    <w:p w:rsidR="007F4BA2" w:rsidRPr="003C0052" w:rsidRDefault="007F4BA2" w:rsidP="007D678A">
      <w:pPr>
        <w:spacing w:line="360" w:lineRule="auto"/>
        <w:jc w:val="both"/>
        <w:rPr>
          <w:rFonts w:ascii="Times New Roman" w:hAnsi="Times New Roman" w:cs="Times New Roman"/>
          <w:lang w:val="en-US"/>
        </w:rPr>
      </w:pPr>
    </w:p>
    <w:p w:rsidR="00DD4850" w:rsidRPr="003C0052" w:rsidRDefault="00DD4850" w:rsidP="00E7752F">
      <w:pPr>
        <w:outlineLvl w:val="0"/>
        <w:rPr>
          <w:rFonts w:ascii="Times New Roman" w:hAnsi="Times New Roman" w:cs="Times New Roman"/>
          <w:b/>
        </w:rPr>
      </w:pPr>
      <w:r w:rsidRPr="003C0052">
        <w:rPr>
          <w:rFonts w:ascii="Times New Roman" w:hAnsi="Times New Roman" w:cs="Times New Roman"/>
          <w:b/>
        </w:rPr>
        <w:t>Discussion</w:t>
      </w:r>
    </w:p>
    <w:p w:rsidR="00B60DB6" w:rsidRPr="003C0052" w:rsidRDefault="00B60DB6" w:rsidP="00B60DB6">
      <w:pPr>
        <w:spacing w:line="360" w:lineRule="auto"/>
        <w:jc w:val="both"/>
        <w:rPr>
          <w:rFonts w:ascii="Times New Roman" w:hAnsi="Times New Roman" w:cs="Times New Roman"/>
        </w:rPr>
      </w:pPr>
    </w:p>
    <w:p w:rsidR="002618B9" w:rsidRPr="003C0052" w:rsidRDefault="005E07B5" w:rsidP="00B60DB6">
      <w:pPr>
        <w:spacing w:line="360" w:lineRule="auto"/>
        <w:jc w:val="both"/>
        <w:rPr>
          <w:rFonts w:ascii="Times New Roman" w:hAnsi="Times New Roman" w:cs="Times New Roman"/>
        </w:rPr>
      </w:pPr>
      <w:r w:rsidRPr="003C0052">
        <w:rPr>
          <w:rFonts w:ascii="Times New Roman" w:hAnsi="Times New Roman" w:cs="Times New Roman"/>
        </w:rPr>
        <w:t xml:space="preserve">From </w:t>
      </w:r>
      <w:r w:rsidR="007458C3" w:rsidRPr="003C0052">
        <w:rPr>
          <w:rFonts w:ascii="Times New Roman" w:hAnsi="Times New Roman" w:cs="Times New Roman"/>
        </w:rPr>
        <w:t xml:space="preserve">Europe, to North America, </w:t>
      </w:r>
      <w:r w:rsidR="00B60DB6" w:rsidRPr="003C0052">
        <w:rPr>
          <w:rFonts w:ascii="Times New Roman" w:hAnsi="Times New Roman" w:cs="Times New Roman"/>
        </w:rPr>
        <w:t>Hong Kong</w:t>
      </w:r>
      <w:r w:rsidR="007458C3" w:rsidRPr="003C0052">
        <w:rPr>
          <w:rFonts w:ascii="Times New Roman" w:hAnsi="Times New Roman" w:cs="Times New Roman"/>
        </w:rPr>
        <w:t xml:space="preserve"> and Australia</w:t>
      </w:r>
      <w:r w:rsidR="00B60DB6" w:rsidRPr="003C0052">
        <w:rPr>
          <w:rFonts w:ascii="Times New Roman" w:hAnsi="Times New Roman" w:cs="Times New Roman"/>
        </w:rPr>
        <w:t>, empirical research suggests that there is a distinctive socially situated supply practice, separate from commercially motivated dealing that is commonly observed in drug using populations. While researchers have agreed on some of the ke</w:t>
      </w:r>
      <w:r w:rsidR="007A2658" w:rsidRPr="003C0052">
        <w:rPr>
          <w:rFonts w:ascii="Times New Roman" w:hAnsi="Times New Roman" w:cs="Times New Roman"/>
        </w:rPr>
        <w:t>y features of social supply (i.e</w:t>
      </w:r>
      <w:r w:rsidR="00B60DB6" w:rsidRPr="003C0052">
        <w:rPr>
          <w:rFonts w:ascii="Times New Roman" w:hAnsi="Times New Roman" w:cs="Times New Roman"/>
        </w:rPr>
        <w:t>. largely as not-for-profit distribution to non-strangers), in many ways, the parameters or scope of social supply in particular countries are shaped by the</w:t>
      </w:r>
      <w:r w:rsidR="009E3657" w:rsidRPr="003C0052">
        <w:rPr>
          <w:rFonts w:ascii="Times New Roman" w:hAnsi="Times New Roman" w:cs="Times New Roman"/>
        </w:rPr>
        <w:t xml:space="preserve"> nature of the</w:t>
      </w:r>
      <w:r w:rsidR="00B60DB6" w:rsidRPr="003C0052">
        <w:rPr>
          <w:rFonts w:ascii="Times New Roman" w:hAnsi="Times New Roman" w:cs="Times New Roman"/>
        </w:rPr>
        <w:t xml:space="preserve"> research conducted in such areas. Across Europe and in Canada for example, social supply is synonymous with the cultural values of cannabis subculture, and this </w:t>
      </w:r>
      <w:r w:rsidR="00B60DB6" w:rsidRPr="003C0052">
        <w:rPr>
          <w:rFonts w:ascii="Times New Roman" w:hAnsi="Times New Roman" w:cs="Times New Roman"/>
        </w:rPr>
        <w:lastRenderedPageBreak/>
        <w:t xml:space="preserve">is reflected in formal sentencing systems (see Belgium and Canada) </w:t>
      </w:r>
      <w:r w:rsidR="0057575E" w:rsidRPr="003C0052">
        <w:rPr>
          <w:rFonts w:ascii="Times New Roman" w:hAnsi="Times New Roman" w:cs="Times New Roman"/>
        </w:rPr>
        <w:t xml:space="preserve">where there is the possibility of dispensation for low-level social supply </w:t>
      </w:r>
      <w:r w:rsidR="0057575E" w:rsidRPr="003C0052">
        <w:rPr>
          <w:rFonts w:ascii="Times New Roman" w:hAnsi="Times New Roman" w:cs="Times New Roman"/>
          <w:i/>
        </w:rPr>
        <w:t>characteristics</w:t>
      </w:r>
      <w:r w:rsidR="0057575E" w:rsidRPr="003C0052">
        <w:rPr>
          <w:rFonts w:ascii="Times New Roman" w:hAnsi="Times New Roman" w:cs="Times New Roman"/>
        </w:rPr>
        <w:t xml:space="preserve"> (although we note that the social supply term is not used)</w:t>
      </w:r>
      <w:r w:rsidR="00B159EA" w:rsidRPr="003C0052">
        <w:rPr>
          <w:rFonts w:ascii="Times New Roman" w:hAnsi="Times New Roman" w:cs="Times New Roman"/>
        </w:rPr>
        <w:t xml:space="preserve"> </w:t>
      </w:r>
      <w:r w:rsidR="00B60DB6" w:rsidRPr="003C0052">
        <w:rPr>
          <w:rFonts w:ascii="Times New Roman" w:hAnsi="Times New Roman" w:cs="Times New Roman"/>
        </w:rPr>
        <w:t xml:space="preserve">but only for those who use cannabis. Providing </w:t>
      </w:r>
      <w:proofErr w:type="spellStart"/>
      <w:r w:rsidR="00B60DB6" w:rsidRPr="003C0052">
        <w:rPr>
          <w:rFonts w:ascii="Times New Roman" w:hAnsi="Times New Roman" w:cs="Times New Roman"/>
        </w:rPr>
        <w:t>sentencers</w:t>
      </w:r>
      <w:proofErr w:type="spellEnd"/>
      <w:r w:rsidR="00B60DB6" w:rsidRPr="003C0052">
        <w:rPr>
          <w:rFonts w:ascii="Times New Roman" w:hAnsi="Times New Roman" w:cs="Times New Roman"/>
        </w:rPr>
        <w:t xml:space="preserve"> wi</w:t>
      </w:r>
      <w:r w:rsidR="0010287B" w:rsidRPr="003C0052">
        <w:rPr>
          <w:rFonts w:ascii="Times New Roman" w:hAnsi="Times New Roman" w:cs="Times New Roman"/>
        </w:rPr>
        <w:t>th mitigation tools that reduce</w:t>
      </w:r>
      <w:r w:rsidR="00B60DB6" w:rsidRPr="003C0052">
        <w:rPr>
          <w:rFonts w:ascii="Times New Roman" w:hAnsi="Times New Roman" w:cs="Times New Roman"/>
        </w:rPr>
        <w:t xml:space="preserve"> the severity of sentences for the inevitably high volume of cannabis offences is progressive</w:t>
      </w:r>
      <w:r w:rsidR="00E02B6D" w:rsidRPr="003C0052">
        <w:rPr>
          <w:rFonts w:ascii="Times New Roman" w:hAnsi="Times New Roman" w:cs="Times New Roman"/>
        </w:rPr>
        <w:t xml:space="preserve"> from the standard perspective of proportional sentencing</w:t>
      </w:r>
      <w:r w:rsidR="00B60DB6" w:rsidRPr="003C0052">
        <w:rPr>
          <w:rFonts w:ascii="Times New Roman" w:hAnsi="Times New Roman" w:cs="Times New Roman"/>
        </w:rPr>
        <w:t xml:space="preserve">. However, it is now argued that the contemporary recreational drug landscape goes </w:t>
      </w:r>
      <w:r w:rsidR="00B60DB6" w:rsidRPr="003C0052">
        <w:rPr>
          <w:rFonts w:ascii="Times New Roman" w:hAnsi="Times New Roman" w:cs="Times New Roman"/>
          <w:i/>
        </w:rPr>
        <w:t>beyond</w:t>
      </w:r>
      <w:r w:rsidR="00B60DB6" w:rsidRPr="003C0052">
        <w:rPr>
          <w:rFonts w:ascii="Times New Roman" w:hAnsi="Times New Roman" w:cs="Times New Roman"/>
        </w:rPr>
        <w:t xml:space="preserve"> the normalisation of cannabis use and supply (Coomber et al., 2015), and data here suggests </w:t>
      </w:r>
      <w:r w:rsidR="0082401A" w:rsidRPr="003C0052">
        <w:rPr>
          <w:rFonts w:ascii="Times New Roman" w:hAnsi="Times New Roman" w:cs="Times New Roman"/>
        </w:rPr>
        <w:t xml:space="preserve">that </w:t>
      </w:r>
      <w:r w:rsidR="00B60DB6" w:rsidRPr="003C0052">
        <w:rPr>
          <w:rFonts w:ascii="Times New Roman" w:hAnsi="Times New Roman" w:cs="Times New Roman"/>
        </w:rPr>
        <w:t xml:space="preserve">social supply extends to small scale social distribution of other recreational substances such </w:t>
      </w:r>
      <w:r w:rsidR="0082401A" w:rsidRPr="003C0052">
        <w:rPr>
          <w:rFonts w:ascii="Times New Roman" w:hAnsi="Times New Roman" w:cs="Times New Roman"/>
        </w:rPr>
        <w:t xml:space="preserve">as </w:t>
      </w:r>
      <w:r w:rsidR="00B60DB6" w:rsidRPr="003C0052">
        <w:rPr>
          <w:rFonts w:ascii="Times New Roman" w:hAnsi="Times New Roman" w:cs="Times New Roman"/>
        </w:rPr>
        <w:t xml:space="preserve">ecstasy, cocaine, methamphetamine, and </w:t>
      </w:r>
      <w:r w:rsidR="00DA1CF1" w:rsidRPr="003C0052">
        <w:rPr>
          <w:rFonts w:ascii="Times New Roman" w:hAnsi="Times New Roman" w:cs="Times New Roman"/>
        </w:rPr>
        <w:t>k</w:t>
      </w:r>
      <w:r w:rsidR="00DE27E1" w:rsidRPr="003C0052">
        <w:rPr>
          <w:rFonts w:ascii="Times New Roman" w:hAnsi="Times New Roman" w:cs="Times New Roman"/>
        </w:rPr>
        <w:t>etamine (for example). With the</w:t>
      </w:r>
      <w:r w:rsidR="002618B9" w:rsidRPr="003C0052">
        <w:rPr>
          <w:rFonts w:ascii="Times New Roman" w:hAnsi="Times New Roman" w:cs="Times New Roman"/>
        </w:rPr>
        <w:t xml:space="preserve"> East, South East Asia and Oceania containing the largest amount of </w:t>
      </w:r>
      <w:r w:rsidR="00DE27E1" w:rsidRPr="003C0052">
        <w:rPr>
          <w:rFonts w:ascii="Times New Roman" w:hAnsi="Times New Roman" w:cs="Times New Roman"/>
        </w:rPr>
        <w:t xml:space="preserve">ATS </w:t>
      </w:r>
      <w:r w:rsidR="002618B9" w:rsidRPr="003C0052">
        <w:rPr>
          <w:rFonts w:ascii="Times New Roman" w:hAnsi="Times New Roman" w:cs="Times New Roman"/>
        </w:rPr>
        <w:t>users worldwide</w:t>
      </w:r>
      <w:r w:rsidR="005F019C" w:rsidRPr="003C0052">
        <w:rPr>
          <w:rFonts w:ascii="Times New Roman" w:hAnsi="Times New Roman" w:cs="Times New Roman"/>
        </w:rPr>
        <w:t xml:space="preserve"> (UNODC, 2015)</w:t>
      </w:r>
      <w:r w:rsidR="00DE27E1" w:rsidRPr="003C0052">
        <w:rPr>
          <w:rFonts w:ascii="Times New Roman" w:hAnsi="Times New Roman" w:cs="Times New Roman"/>
        </w:rPr>
        <w:t>,</w:t>
      </w:r>
      <w:r w:rsidR="002618B9" w:rsidRPr="003C0052">
        <w:rPr>
          <w:rFonts w:ascii="Times New Roman" w:hAnsi="Times New Roman" w:cs="Times New Roman"/>
        </w:rPr>
        <w:t xml:space="preserve"> </w:t>
      </w:r>
      <w:r w:rsidR="00311AD8" w:rsidRPr="003C0052">
        <w:rPr>
          <w:rFonts w:ascii="Times New Roman" w:hAnsi="Times New Roman" w:cs="Times New Roman"/>
        </w:rPr>
        <w:t xml:space="preserve">bolstered by continuing increases in recorded use </w:t>
      </w:r>
      <w:r w:rsidR="00B331E1" w:rsidRPr="003C0052">
        <w:rPr>
          <w:rFonts w:ascii="Times New Roman" w:hAnsi="Times New Roman" w:cs="Times New Roman"/>
        </w:rPr>
        <w:t xml:space="preserve">of stimulants </w:t>
      </w:r>
      <w:r w:rsidR="00311AD8" w:rsidRPr="003C0052">
        <w:rPr>
          <w:rFonts w:ascii="Times New Roman" w:hAnsi="Times New Roman" w:cs="Times New Roman"/>
        </w:rPr>
        <w:t>in Europe and beyond (EMCDDA, 2017</w:t>
      </w:r>
      <w:r w:rsidR="00E70A8E" w:rsidRPr="003C0052">
        <w:rPr>
          <w:rFonts w:ascii="Times New Roman" w:hAnsi="Times New Roman" w:cs="Times New Roman"/>
        </w:rPr>
        <w:t>a</w:t>
      </w:r>
      <w:r w:rsidR="00311AD8" w:rsidRPr="003C0052">
        <w:rPr>
          <w:rFonts w:ascii="Times New Roman" w:hAnsi="Times New Roman" w:cs="Times New Roman"/>
        </w:rPr>
        <w:t>)</w:t>
      </w:r>
      <w:r w:rsidR="00F12DFA" w:rsidRPr="003C0052">
        <w:rPr>
          <w:rFonts w:ascii="Times New Roman" w:hAnsi="Times New Roman" w:cs="Times New Roman"/>
        </w:rPr>
        <w:t xml:space="preserve">, </w:t>
      </w:r>
      <w:r w:rsidR="002618B9" w:rsidRPr="003C0052">
        <w:rPr>
          <w:rFonts w:ascii="Times New Roman" w:hAnsi="Times New Roman" w:cs="Times New Roman"/>
        </w:rPr>
        <w:t>it is</w:t>
      </w:r>
      <w:r w:rsidR="005F019C" w:rsidRPr="003C0052">
        <w:rPr>
          <w:rFonts w:ascii="Times New Roman" w:hAnsi="Times New Roman" w:cs="Times New Roman"/>
        </w:rPr>
        <w:t xml:space="preserve"> all the more</w:t>
      </w:r>
      <w:r w:rsidR="002618B9" w:rsidRPr="003C0052">
        <w:rPr>
          <w:rFonts w:ascii="Times New Roman" w:hAnsi="Times New Roman" w:cs="Times New Roman"/>
        </w:rPr>
        <w:t xml:space="preserve"> pertinent that the development of the social supply concept is not limited to its traditional association with cannabis subculture</w:t>
      </w:r>
      <w:r w:rsidR="00F12DFA" w:rsidRPr="003C0052">
        <w:rPr>
          <w:rFonts w:ascii="Times New Roman" w:hAnsi="Times New Roman" w:cs="Times New Roman"/>
        </w:rPr>
        <w:t xml:space="preserve"> and </w:t>
      </w:r>
      <w:r w:rsidR="002618B9" w:rsidRPr="003C0052">
        <w:rPr>
          <w:rFonts w:ascii="Times New Roman" w:hAnsi="Times New Roman" w:cs="Times New Roman"/>
        </w:rPr>
        <w:t xml:space="preserve">is instead understood as embedded in </w:t>
      </w:r>
      <w:r w:rsidR="002618B9" w:rsidRPr="003C0052">
        <w:rPr>
          <w:rFonts w:ascii="Times New Roman" w:hAnsi="Times New Roman" w:cs="Times New Roman"/>
          <w:i/>
        </w:rPr>
        <w:t>wider</w:t>
      </w:r>
      <w:r w:rsidR="002618B9" w:rsidRPr="003C0052">
        <w:rPr>
          <w:rFonts w:ascii="Times New Roman" w:hAnsi="Times New Roman" w:cs="Times New Roman"/>
        </w:rPr>
        <w:t xml:space="preserve"> recreational drug using practices (Coomber et al., 2015</w:t>
      </w:r>
      <w:r w:rsidR="00884450" w:rsidRPr="003C0052">
        <w:rPr>
          <w:rFonts w:ascii="Times New Roman" w:hAnsi="Times New Roman" w:cs="Times New Roman"/>
        </w:rPr>
        <w:t>; Moyle et al., 2013</w:t>
      </w:r>
      <w:r w:rsidR="002618B9" w:rsidRPr="003C0052">
        <w:rPr>
          <w:rFonts w:ascii="Times New Roman" w:hAnsi="Times New Roman" w:cs="Times New Roman"/>
        </w:rPr>
        <w:t>).</w:t>
      </w:r>
      <w:r w:rsidR="00B60DB6" w:rsidRPr="003C0052">
        <w:rPr>
          <w:rFonts w:ascii="Times New Roman" w:hAnsi="Times New Roman" w:cs="Times New Roman"/>
        </w:rPr>
        <w:t xml:space="preserve"> </w:t>
      </w:r>
    </w:p>
    <w:p w:rsidR="00F45ED1" w:rsidRPr="003C0052" w:rsidRDefault="00F45ED1" w:rsidP="006F4CD8">
      <w:pPr>
        <w:spacing w:line="360" w:lineRule="auto"/>
        <w:jc w:val="both"/>
        <w:rPr>
          <w:rFonts w:ascii="Times New Roman" w:hAnsi="Times New Roman" w:cs="Times New Roman"/>
        </w:rPr>
      </w:pPr>
    </w:p>
    <w:p w:rsidR="00336E7E" w:rsidRPr="003C0052" w:rsidRDefault="00B60DB6" w:rsidP="00336E7E">
      <w:pPr>
        <w:spacing w:line="360" w:lineRule="auto"/>
        <w:jc w:val="both"/>
        <w:rPr>
          <w:rFonts w:ascii="Times New Roman" w:hAnsi="Times New Roman" w:cs="Times New Roman"/>
        </w:rPr>
      </w:pPr>
      <w:r w:rsidRPr="003C0052">
        <w:rPr>
          <w:rFonts w:ascii="Times New Roman" w:hAnsi="Times New Roman" w:cs="Times New Roman"/>
        </w:rPr>
        <w:t xml:space="preserve">The </w:t>
      </w:r>
      <w:r w:rsidR="002F144C" w:rsidRPr="003C0052">
        <w:rPr>
          <w:rFonts w:ascii="Times New Roman" w:hAnsi="Times New Roman" w:cs="Times New Roman"/>
        </w:rPr>
        <w:t>extent to which</w:t>
      </w:r>
      <w:r w:rsidR="00166D3B" w:rsidRPr="003C0052">
        <w:rPr>
          <w:rFonts w:ascii="Times New Roman" w:hAnsi="Times New Roman" w:cs="Times New Roman"/>
        </w:rPr>
        <w:t xml:space="preserve"> social supply is accommodated within sentencing guidelines is </w:t>
      </w:r>
      <w:r w:rsidR="00360F34" w:rsidRPr="003C0052">
        <w:rPr>
          <w:rFonts w:ascii="Times New Roman" w:hAnsi="Times New Roman" w:cs="Times New Roman"/>
        </w:rPr>
        <w:t xml:space="preserve">tied up with </w:t>
      </w:r>
      <w:r w:rsidR="00271A28" w:rsidRPr="003C0052">
        <w:rPr>
          <w:rFonts w:ascii="Times New Roman" w:hAnsi="Times New Roman" w:cs="Times New Roman"/>
        </w:rPr>
        <w:t xml:space="preserve">the wider drug supply sentencing </w:t>
      </w:r>
      <w:r w:rsidR="008A53B2" w:rsidRPr="003C0052">
        <w:rPr>
          <w:rFonts w:ascii="Times New Roman" w:hAnsi="Times New Roman" w:cs="Times New Roman"/>
        </w:rPr>
        <w:t>apparatus and how far that recognises difference or opera</w:t>
      </w:r>
      <w:r w:rsidR="00453C77" w:rsidRPr="003C0052">
        <w:rPr>
          <w:rFonts w:ascii="Times New Roman" w:hAnsi="Times New Roman" w:cs="Times New Roman"/>
        </w:rPr>
        <w:t>tionalises proportionality.</w:t>
      </w:r>
      <w:r w:rsidR="00563D4A" w:rsidRPr="003C0052">
        <w:rPr>
          <w:rFonts w:ascii="Times New Roman" w:hAnsi="Times New Roman" w:cs="Times New Roman"/>
        </w:rPr>
        <w:t xml:space="preserve"> Proportionate sentencing frameworks for drug offences are characterised by distinguishing between the type of drugs and the scale of the illicit activity, as well as the role and moti</w:t>
      </w:r>
      <w:r w:rsidR="00AD7B8C" w:rsidRPr="003C0052">
        <w:rPr>
          <w:rFonts w:ascii="Times New Roman" w:hAnsi="Times New Roman" w:cs="Times New Roman"/>
        </w:rPr>
        <w:t>vation of the offender (Lai, 201</w:t>
      </w:r>
      <w:r w:rsidR="00563D4A" w:rsidRPr="003C0052">
        <w:rPr>
          <w:rFonts w:ascii="Times New Roman" w:hAnsi="Times New Roman" w:cs="Times New Roman"/>
        </w:rPr>
        <w:t>2).</w:t>
      </w:r>
      <w:r w:rsidR="00346728" w:rsidRPr="003C0052">
        <w:rPr>
          <w:rFonts w:ascii="Times New Roman" w:hAnsi="Times New Roman" w:cs="Times New Roman"/>
        </w:rPr>
        <w:t xml:space="preserve"> </w:t>
      </w:r>
      <w:r w:rsidR="008E7300" w:rsidRPr="003C0052">
        <w:rPr>
          <w:rFonts w:ascii="Times New Roman" w:hAnsi="Times New Roman" w:cs="Times New Roman"/>
        </w:rPr>
        <w:t xml:space="preserve">Though support has been growing for </w:t>
      </w:r>
      <w:r w:rsidR="00902F61" w:rsidRPr="003C0052">
        <w:rPr>
          <w:rFonts w:ascii="Times New Roman" w:hAnsi="Times New Roman" w:cs="Times New Roman"/>
        </w:rPr>
        <w:t>a new approach to decriminalisation</w:t>
      </w:r>
      <w:r w:rsidR="008E7300" w:rsidRPr="003C0052">
        <w:rPr>
          <w:rFonts w:ascii="Times New Roman" w:hAnsi="Times New Roman" w:cs="Times New Roman"/>
        </w:rPr>
        <w:t xml:space="preserve"> </w:t>
      </w:r>
      <w:r w:rsidR="00936DC3" w:rsidRPr="003C0052">
        <w:rPr>
          <w:rFonts w:ascii="Times New Roman" w:hAnsi="Times New Roman" w:cs="Times New Roman"/>
        </w:rPr>
        <w:t xml:space="preserve">which </w:t>
      </w:r>
      <w:r w:rsidR="00453C77" w:rsidRPr="003C0052">
        <w:rPr>
          <w:rFonts w:ascii="Times New Roman" w:hAnsi="Times New Roman" w:cs="Times New Roman"/>
        </w:rPr>
        <w:t>demonstrates</w:t>
      </w:r>
      <w:r w:rsidR="006F588C" w:rsidRPr="003C0052">
        <w:rPr>
          <w:rFonts w:ascii="Times New Roman" w:hAnsi="Times New Roman" w:cs="Times New Roman"/>
        </w:rPr>
        <w:t xml:space="preserve"> some of this</w:t>
      </w:r>
      <w:r w:rsidR="00936DC3" w:rsidRPr="003C0052">
        <w:rPr>
          <w:rFonts w:ascii="Times New Roman" w:hAnsi="Times New Roman" w:cs="Times New Roman"/>
        </w:rPr>
        <w:t xml:space="preserve"> ‘</w:t>
      </w:r>
      <w:r w:rsidR="00453C77" w:rsidRPr="003C0052">
        <w:rPr>
          <w:rFonts w:ascii="Times New Roman" w:hAnsi="Times New Roman" w:cs="Times New Roman"/>
        </w:rPr>
        <w:t>nuance</w:t>
      </w:r>
      <w:r w:rsidR="00936DC3" w:rsidRPr="003C0052">
        <w:rPr>
          <w:rFonts w:ascii="Times New Roman" w:hAnsi="Times New Roman" w:cs="Times New Roman"/>
        </w:rPr>
        <w:t>’</w:t>
      </w:r>
      <w:r w:rsidR="00453C77" w:rsidRPr="003C0052">
        <w:rPr>
          <w:rFonts w:ascii="Times New Roman" w:hAnsi="Times New Roman" w:cs="Times New Roman"/>
        </w:rPr>
        <w:t xml:space="preserve"> wh</w:t>
      </w:r>
      <w:r w:rsidR="00936DC3" w:rsidRPr="003C0052">
        <w:rPr>
          <w:rFonts w:ascii="Times New Roman" w:hAnsi="Times New Roman" w:cs="Times New Roman"/>
        </w:rPr>
        <w:t>en i</w:t>
      </w:r>
      <w:r w:rsidR="00453C77" w:rsidRPr="003C0052">
        <w:rPr>
          <w:rFonts w:ascii="Times New Roman" w:hAnsi="Times New Roman" w:cs="Times New Roman"/>
        </w:rPr>
        <w:t>t comes to punishing those involved in supplying d</w:t>
      </w:r>
      <w:r w:rsidR="007F2D52" w:rsidRPr="003C0052">
        <w:rPr>
          <w:rFonts w:ascii="Times New Roman" w:hAnsi="Times New Roman" w:cs="Times New Roman"/>
        </w:rPr>
        <w:t xml:space="preserve">rugs </w:t>
      </w:r>
      <w:r w:rsidR="00336E7E" w:rsidRPr="003C0052">
        <w:rPr>
          <w:rFonts w:ascii="Times New Roman" w:hAnsi="Times New Roman" w:cs="Times New Roman"/>
        </w:rPr>
        <w:t>(Global Commission on Drug Policy, 2016: 24), data here shows a disparate picture in terms of how courts deal with supply offences at an international level. In England and Wales, New Zealand and Hong Kong, social supply is an established discursive concept, recognised at policy level. While the concept itself is not yet explicitly embedded in sentencing frameworks or established as a separate offence, the narrative is nonetheless developed enough that it is visible in public consultation documents (England and Wales, New Zealand), court cases (England and Wales/Australia) (see Moyle et al., 2013), and su</w:t>
      </w:r>
      <w:r w:rsidR="0010287B" w:rsidRPr="003C0052">
        <w:rPr>
          <w:rFonts w:ascii="Times New Roman" w:hAnsi="Times New Roman" w:cs="Times New Roman"/>
        </w:rPr>
        <w:t>pported at a wider level by NGO</w:t>
      </w:r>
      <w:r w:rsidR="00336E7E" w:rsidRPr="003C0052">
        <w:rPr>
          <w:rFonts w:ascii="Times New Roman" w:hAnsi="Times New Roman" w:cs="Times New Roman"/>
        </w:rPr>
        <w:t xml:space="preserve">s and charities (e.g. Global Policy Commission on Drug Policy; Release, 2009; New Zealand Drug Foundation, 2017). In England and Wales, sentencing guidelines </w:t>
      </w:r>
      <w:r w:rsidR="00336E7E" w:rsidRPr="003C0052">
        <w:rPr>
          <w:rFonts w:ascii="Times New Roman" w:hAnsi="Times New Roman" w:cs="Times New Roman"/>
        </w:rPr>
        <w:lastRenderedPageBreak/>
        <w:t>clearly distinguish between different gravities of supply offences and well-known social supply characteristics, established through a public consultation document that directly engaged with examples of social supply behaviours and labelled them as such. Some of these behaviours are now embedded in the ‘lesser role’ category of the drug supply sentencing guidelines in England and Wales and have the potential to deliver more proportionate outcomes for less nuanced or clear cut social supply cases. Elsewhere in Hong Kong and Canada, courts now recognise ‘social trafficking’ as a potentially mitigating offence when calculating sentences but there is no formal framework to ensure these characteristics are acknowledged. There are issues with these approaches, not least in regard to consistency and the use of threshold quantities to establish ‘harm’ (see Sentencing guidelines Council, 2012; Harris, 2011), but regardless, they remain comparatively forward-looking when set against the remainder of the country profiles.</w:t>
      </w:r>
    </w:p>
    <w:p w:rsidR="00563D4A" w:rsidRPr="003C0052" w:rsidRDefault="00563D4A" w:rsidP="001D33C7">
      <w:pPr>
        <w:spacing w:line="360" w:lineRule="auto"/>
        <w:jc w:val="both"/>
        <w:rPr>
          <w:rFonts w:ascii="Times New Roman" w:hAnsi="Times New Roman" w:cs="Times New Roman"/>
        </w:rPr>
      </w:pPr>
    </w:p>
    <w:p w:rsidR="00CE4052" w:rsidRPr="003C0052" w:rsidRDefault="00DF28C6" w:rsidP="001D33C7">
      <w:pPr>
        <w:spacing w:line="360" w:lineRule="auto"/>
        <w:jc w:val="both"/>
        <w:rPr>
          <w:rFonts w:ascii="Times New Roman" w:hAnsi="Times New Roman" w:cs="Times New Roman"/>
        </w:rPr>
      </w:pPr>
      <w:r w:rsidRPr="003C0052">
        <w:rPr>
          <w:rFonts w:ascii="Times New Roman" w:hAnsi="Times New Roman" w:cs="Times New Roman"/>
        </w:rPr>
        <w:t xml:space="preserve">In countries where social supply is less conceptually developed </w:t>
      </w:r>
      <w:proofErr w:type="spellStart"/>
      <w:r w:rsidRPr="003C0052">
        <w:rPr>
          <w:rFonts w:ascii="Times New Roman" w:hAnsi="Times New Roman" w:cs="Times New Roman"/>
        </w:rPr>
        <w:t>sentencers</w:t>
      </w:r>
      <w:proofErr w:type="spellEnd"/>
      <w:r w:rsidRPr="003C0052">
        <w:rPr>
          <w:rFonts w:ascii="Times New Roman" w:hAnsi="Times New Roman" w:cs="Times New Roman"/>
        </w:rPr>
        <w:t xml:space="preserve"> negotiate supply </w:t>
      </w:r>
      <w:r w:rsidR="00B331E1" w:rsidRPr="003C0052">
        <w:rPr>
          <w:rFonts w:ascii="Times New Roman" w:hAnsi="Times New Roman" w:cs="Times New Roman"/>
        </w:rPr>
        <w:t>differentiation through</w:t>
      </w:r>
      <w:r w:rsidR="00347CB2" w:rsidRPr="003C0052">
        <w:rPr>
          <w:rFonts w:ascii="Times New Roman" w:hAnsi="Times New Roman" w:cs="Times New Roman"/>
        </w:rPr>
        <w:t xml:space="preserve"> </w:t>
      </w:r>
      <w:r w:rsidRPr="003C0052">
        <w:rPr>
          <w:rFonts w:ascii="Times New Roman" w:hAnsi="Times New Roman" w:cs="Times New Roman"/>
        </w:rPr>
        <w:t>a range of different strategies</w:t>
      </w:r>
      <w:r w:rsidR="004A4747" w:rsidRPr="003C0052">
        <w:rPr>
          <w:rFonts w:ascii="Times New Roman" w:hAnsi="Times New Roman" w:cs="Times New Roman"/>
        </w:rPr>
        <w:t>.</w:t>
      </w:r>
      <w:r w:rsidRPr="003C0052">
        <w:rPr>
          <w:rFonts w:ascii="Times New Roman" w:hAnsi="Times New Roman" w:cs="Times New Roman"/>
        </w:rPr>
        <w:t xml:space="preserve"> </w:t>
      </w:r>
      <w:r w:rsidR="00D35E6C" w:rsidRPr="003C0052">
        <w:rPr>
          <w:rFonts w:ascii="Times New Roman" w:hAnsi="Times New Roman" w:cs="Times New Roman"/>
        </w:rPr>
        <w:t>In Finland,</w:t>
      </w:r>
      <w:r w:rsidR="00CC775F" w:rsidRPr="003C0052">
        <w:rPr>
          <w:rFonts w:ascii="Times New Roman" w:hAnsi="Times New Roman" w:cs="Times New Roman"/>
        </w:rPr>
        <w:t xml:space="preserve"> Belgium</w:t>
      </w:r>
      <w:r w:rsidR="00FD59B6" w:rsidRPr="003C0052">
        <w:rPr>
          <w:rFonts w:ascii="Times New Roman" w:hAnsi="Times New Roman" w:cs="Times New Roman"/>
        </w:rPr>
        <w:t>, Germany</w:t>
      </w:r>
      <w:r w:rsidR="00CC775F" w:rsidRPr="003C0052">
        <w:rPr>
          <w:rFonts w:ascii="Times New Roman" w:hAnsi="Times New Roman" w:cs="Times New Roman"/>
        </w:rPr>
        <w:t xml:space="preserve"> and the Czech Republic </w:t>
      </w:r>
      <w:r w:rsidR="004818C4" w:rsidRPr="003C0052">
        <w:rPr>
          <w:rFonts w:ascii="Times New Roman" w:hAnsi="Times New Roman" w:cs="Times New Roman"/>
        </w:rPr>
        <w:t xml:space="preserve">for example, </w:t>
      </w:r>
      <w:r w:rsidR="00CC775F" w:rsidRPr="003C0052">
        <w:rPr>
          <w:rFonts w:ascii="Times New Roman" w:hAnsi="Times New Roman" w:cs="Times New Roman"/>
        </w:rPr>
        <w:t xml:space="preserve">aggravating circumstances are used to distinguish between more and less serious supply offences. Though this enables </w:t>
      </w:r>
      <w:proofErr w:type="spellStart"/>
      <w:r w:rsidR="00CC775F" w:rsidRPr="003C0052">
        <w:rPr>
          <w:rFonts w:ascii="Times New Roman" w:hAnsi="Times New Roman" w:cs="Times New Roman"/>
        </w:rPr>
        <w:t>sentencers</w:t>
      </w:r>
      <w:proofErr w:type="spellEnd"/>
      <w:r w:rsidR="00CC775F" w:rsidRPr="003C0052">
        <w:rPr>
          <w:rFonts w:ascii="Times New Roman" w:hAnsi="Times New Roman" w:cs="Times New Roman"/>
        </w:rPr>
        <w:t xml:space="preserve"> to </w:t>
      </w:r>
      <w:r w:rsidR="002B7A3D" w:rsidRPr="003C0052">
        <w:rPr>
          <w:rFonts w:ascii="Times New Roman" w:hAnsi="Times New Roman" w:cs="Times New Roman"/>
        </w:rPr>
        <w:t xml:space="preserve">impose </w:t>
      </w:r>
      <w:r w:rsidR="00CC775F" w:rsidRPr="003C0052">
        <w:rPr>
          <w:rFonts w:ascii="Times New Roman" w:hAnsi="Times New Roman" w:cs="Times New Roman"/>
        </w:rPr>
        <w:t xml:space="preserve">longer sentences for more culpable or dangerous suppliers, it tends not to </w:t>
      </w:r>
      <w:r w:rsidR="002B7A3D" w:rsidRPr="003C0052">
        <w:rPr>
          <w:rFonts w:ascii="Times New Roman" w:hAnsi="Times New Roman" w:cs="Times New Roman"/>
        </w:rPr>
        <w:t>distinguish</w:t>
      </w:r>
      <w:r w:rsidR="00CC775F" w:rsidRPr="003C0052">
        <w:rPr>
          <w:rFonts w:ascii="Times New Roman" w:hAnsi="Times New Roman" w:cs="Times New Roman"/>
        </w:rPr>
        <w:t xml:space="preserve"> </w:t>
      </w:r>
      <w:r w:rsidR="002B7A3D" w:rsidRPr="003C0052">
        <w:rPr>
          <w:rFonts w:ascii="Times New Roman" w:hAnsi="Times New Roman" w:cs="Times New Roman"/>
        </w:rPr>
        <w:t xml:space="preserve">lower-level supply offences and </w:t>
      </w:r>
      <w:r w:rsidR="00CC775F" w:rsidRPr="003C0052">
        <w:rPr>
          <w:rFonts w:ascii="Times New Roman" w:hAnsi="Times New Roman" w:cs="Times New Roman"/>
        </w:rPr>
        <w:t xml:space="preserve">in this </w:t>
      </w:r>
      <w:r w:rsidR="002B7A3D" w:rsidRPr="003C0052">
        <w:rPr>
          <w:rFonts w:ascii="Times New Roman" w:hAnsi="Times New Roman" w:cs="Times New Roman"/>
        </w:rPr>
        <w:t>respect, social supply offences are</w:t>
      </w:r>
      <w:r w:rsidR="00B61E87" w:rsidRPr="003C0052">
        <w:rPr>
          <w:rFonts w:ascii="Times New Roman" w:hAnsi="Times New Roman" w:cs="Times New Roman"/>
        </w:rPr>
        <w:t xml:space="preserve"> still</w:t>
      </w:r>
      <w:r w:rsidR="00E01FCC" w:rsidRPr="003C0052">
        <w:rPr>
          <w:rFonts w:ascii="Times New Roman" w:hAnsi="Times New Roman" w:cs="Times New Roman"/>
        </w:rPr>
        <w:t xml:space="preserve"> punished</w:t>
      </w:r>
      <w:r w:rsidR="00492C7F" w:rsidRPr="003C0052">
        <w:rPr>
          <w:rFonts w:ascii="Times New Roman" w:hAnsi="Times New Roman" w:cs="Times New Roman"/>
        </w:rPr>
        <w:t xml:space="preserve"> through arbitrary</w:t>
      </w:r>
      <w:r w:rsidR="00E01FCC" w:rsidRPr="003C0052">
        <w:rPr>
          <w:rFonts w:ascii="Times New Roman" w:hAnsi="Times New Roman" w:cs="Times New Roman"/>
        </w:rPr>
        <w:t xml:space="preserve"> </w:t>
      </w:r>
      <w:r w:rsidR="00492C7F" w:rsidRPr="003C0052">
        <w:rPr>
          <w:rFonts w:ascii="Times New Roman" w:hAnsi="Times New Roman" w:cs="Times New Roman"/>
        </w:rPr>
        <w:t xml:space="preserve">prison </w:t>
      </w:r>
      <w:r w:rsidR="00E01FCC" w:rsidRPr="003C0052">
        <w:rPr>
          <w:rFonts w:ascii="Times New Roman" w:hAnsi="Times New Roman" w:cs="Times New Roman"/>
        </w:rPr>
        <w:t xml:space="preserve">sentencing bands, </w:t>
      </w:r>
      <w:r w:rsidR="00492C7F" w:rsidRPr="003C0052">
        <w:rPr>
          <w:rFonts w:ascii="Times New Roman" w:hAnsi="Times New Roman" w:cs="Times New Roman"/>
        </w:rPr>
        <w:t xml:space="preserve">often </w:t>
      </w:r>
      <w:r w:rsidR="00E01FCC" w:rsidRPr="003C0052">
        <w:rPr>
          <w:rFonts w:ascii="Times New Roman" w:hAnsi="Times New Roman" w:cs="Times New Roman"/>
        </w:rPr>
        <w:t xml:space="preserve">without </w:t>
      </w:r>
      <w:r w:rsidR="002B7A3D" w:rsidRPr="003C0052">
        <w:rPr>
          <w:rFonts w:ascii="Times New Roman" w:hAnsi="Times New Roman" w:cs="Times New Roman"/>
        </w:rPr>
        <w:t xml:space="preserve">meaningful </w:t>
      </w:r>
      <w:r w:rsidR="00E01FCC" w:rsidRPr="003C0052">
        <w:rPr>
          <w:rFonts w:ascii="Times New Roman" w:hAnsi="Times New Roman" w:cs="Times New Roman"/>
        </w:rPr>
        <w:t>provision for sentence discounts.</w:t>
      </w:r>
      <w:r w:rsidR="00DD65D4" w:rsidRPr="003C0052">
        <w:rPr>
          <w:rFonts w:ascii="Times New Roman" w:hAnsi="Times New Roman" w:cs="Times New Roman"/>
        </w:rPr>
        <w:t xml:space="preserve"> In these systems, </w:t>
      </w:r>
      <w:r w:rsidR="00DD65D4" w:rsidRPr="003C0052">
        <w:rPr>
          <w:rFonts w:ascii="Times New Roman" w:hAnsi="Times New Roman" w:cs="Times New Roman"/>
          <w:i/>
        </w:rPr>
        <w:t>judicial discretion</w:t>
      </w:r>
      <w:r w:rsidR="00DD65D4" w:rsidRPr="003C0052">
        <w:rPr>
          <w:rFonts w:ascii="Times New Roman" w:hAnsi="Times New Roman" w:cs="Times New Roman"/>
        </w:rPr>
        <w:t xml:space="preserve"> becomes the mechanism in which individual sentences are selected</w:t>
      </w:r>
      <w:r w:rsidR="0082401A" w:rsidRPr="003C0052">
        <w:rPr>
          <w:rFonts w:ascii="Times New Roman" w:hAnsi="Times New Roman" w:cs="Times New Roman"/>
        </w:rPr>
        <w:t>,</w:t>
      </w:r>
      <w:r w:rsidR="00DD65D4" w:rsidRPr="003C0052">
        <w:rPr>
          <w:rFonts w:ascii="Times New Roman" w:hAnsi="Times New Roman" w:cs="Times New Roman"/>
        </w:rPr>
        <w:t xml:space="preserve"> </w:t>
      </w:r>
      <w:r w:rsidR="004A0288" w:rsidRPr="003C0052">
        <w:rPr>
          <w:rFonts w:ascii="Times New Roman" w:hAnsi="Times New Roman" w:cs="Times New Roman"/>
        </w:rPr>
        <w:t>reduced harm and culpability are noted</w:t>
      </w:r>
      <w:r w:rsidR="0082401A" w:rsidRPr="003C0052">
        <w:rPr>
          <w:rFonts w:ascii="Times New Roman" w:hAnsi="Times New Roman" w:cs="Times New Roman"/>
        </w:rPr>
        <w:t>,</w:t>
      </w:r>
      <w:r w:rsidR="004A0288" w:rsidRPr="003C0052">
        <w:rPr>
          <w:rFonts w:ascii="Times New Roman" w:hAnsi="Times New Roman" w:cs="Times New Roman"/>
        </w:rPr>
        <w:t xml:space="preserve"> </w:t>
      </w:r>
      <w:r w:rsidR="00DD65D4" w:rsidRPr="003C0052">
        <w:rPr>
          <w:rFonts w:ascii="Times New Roman" w:hAnsi="Times New Roman" w:cs="Times New Roman"/>
        </w:rPr>
        <w:t xml:space="preserve">and </w:t>
      </w:r>
      <w:r w:rsidR="002B7A3D" w:rsidRPr="003C0052">
        <w:rPr>
          <w:rFonts w:ascii="Times New Roman" w:hAnsi="Times New Roman" w:cs="Times New Roman"/>
        </w:rPr>
        <w:t xml:space="preserve">some </w:t>
      </w:r>
      <w:r w:rsidR="00DD65D4" w:rsidRPr="003C0052">
        <w:rPr>
          <w:rFonts w:ascii="Times New Roman" w:hAnsi="Times New Roman" w:cs="Times New Roman"/>
        </w:rPr>
        <w:t xml:space="preserve">gradation </w:t>
      </w:r>
      <w:r w:rsidR="00492C7F" w:rsidRPr="003C0052">
        <w:rPr>
          <w:rFonts w:ascii="Times New Roman" w:hAnsi="Times New Roman" w:cs="Times New Roman"/>
        </w:rPr>
        <w:t>can occur</w:t>
      </w:r>
      <w:r w:rsidR="00DD65D4" w:rsidRPr="003C0052">
        <w:rPr>
          <w:rFonts w:ascii="Times New Roman" w:hAnsi="Times New Roman" w:cs="Times New Roman"/>
        </w:rPr>
        <w:t>.</w:t>
      </w:r>
      <w:r w:rsidR="00562388" w:rsidRPr="003C0052">
        <w:rPr>
          <w:rFonts w:ascii="Times New Roman" w:hAnsi="Times New Roman" w:cs="Times New Roman"/>
        </w:rPr>
        <w:t xml:space="preserve"> </w:t>
      </w:r>
      <w:r w:rsidR="00713081" w:rsidRPr="003C0052">
        <w:rPr>
          <w:rFonts w:ascii="Times New Roman" w:hAnsi="Times New Roman" w:cs="Times New Roman"/>
        </w:rPr>
        <w:t>Moving to</w:t>
      </w:r>
      <w:r w:rsidR="00CC4A7F" w:rsidRPr="003C0052">
        <w:rPr>
          <w:rFonts w:ascii="Times New Roman" w:hAnsi="Times New Roman" w:cs="Times New Roman"/>
        </w:rPr>
        <w:t xml:space="preserve"> Australia and the Netherlands</w:t>
      </w:r>
      <w:r w:rsidR="00492C7F" w:rsidRPr="003C0052">
        <w:rPr>
          <w:rFonts w:ascii="Times New Roman" w:hAnsi="Times New Roman" w:cs="Times New Roman"/>
        </w:rPr>
        <w:t>,</w:t>
      </w:r>
      <w:r w:rsidR="00CC4A7F" w:rsidRPr="003C0052">
        <w:rPr>
          <w:rFonts w:ascii="Times New Roman" w:hAnsi="Times New Roman" w:cs="Times New Roman"/>
        </w:rPr>
        <w:t xml:space="preserve"> data suggests that there are cases where the Judiciary recognise the characteristics of social supply or minimally commercial supply (Coomber </w:t>
      </w:r>
      <w:r w:rsidR="006C2F28" w:rsidRPr="003C0052">
        <w:rPr>
          <w:rFonts w:ascii="Times New Roman" w:hAnsi="Times New Roman" w:cs="Times New Roman"/>
        </w:rPr>
        <w:t xml:space="preserve">&amp; </w:t>
      </w:r>
      <w:r w:rsidR="00CC4A7F" w:rsidRPr="003C0052">
        <w:rPr>
          <w:rFonts w:ascii="Times New Roman" w:hAnsi="Times New Roman" w:cs="Times New Roman"/>
        </w:rPr>
        <w:t xml:space="preserve">Moyle, 2014) and </w:t>
      </w:r>
      <w:r w:rsidR="002B7A3D" w:rsidRPr="003C0052">
        <w:rPr>
          <w:rFonts w:ascii="Times New Roman" w:hAnsi="Times New Roman" w:cs="Times New Roman"/>
        </w:rPr>
        <w:t>punishment is</w:t>
      </w:r>
      <w:r w:rsidR="00CC4A7F" w:rsidRPr="003C0052">
        <w:rPr>
          <w:rFonts w:ascii="Times New Roman" w:hAnsi="Times New Roman" w:cs="Times New Roman"/>
        </w:rPr>
        <w:t xml:space="preserve"> reduced accordingly. </w:t>
      </w:r>
      <w:r w:rsidR="002456FF" w:rsidRPr="003C0052">
        <w:rPr>
          <w:rFonts w:ascii="Times New Roman" w:hAnsi="Times New Roman" w:cs="Times New Roman"/>
        </w:rPr>
        <w:t>Though some offenders may benefit from a magistrate or judge’s recognition of such supply attributes or ‘guideline cases’, t</w:t>
      </w:r>
      <w:r w:rsidR="00CC4A7F" w:rsidRPr="003C0052">
        <w:rPr>
          <w:rFonts w:ascii="Times New Roman" w:hAnsi="Times New Roman" w:cs="Times New Roman"/>
        </w:rPr>
        <w:t>here are</w:t>
      </w:r>
      <w:r w:rsidR="00902AF9" w:rsidRPr="003C0052">
        <w:rPr>
          <w:rFonts w:ascii="Times New Roman" w:hAnsi="Times New Roman" w:cs="Times New Roman"/>
        </w:rPr>
        <w:t xml:space="preserve"> however</w:t>
      </w:r>
      <w:r w:rsidR="00CC4A7F" w:rsidRPr="003C0052">
        <w:rPr>
          <w:rFonts w:ascii="Times New Roman" w:hAnsi="Times New Roman" w:cs="Times New Roman"/>
        </w:rPr>
        <w:t xml:space="preserve"> obvious challenges with discretionary systems relating to inconsistency in sentencing</w:t>
      </w:r>
      <w:r w:rsidR="00831AD8" w:rsidRPr="003C0052">
        <w:rPr>
          <w:rFonts w:ascii="Times New Roman" w:hAnsi="Times New Roman" w:cs="Times New Roman"/>
        </w:rPr>
        <w:t xml:space="preserve">. </w:t>
      </w:r>
      <w:r w:rsidR="001612E5" w:rsidRPr="003C0052">
        <w:rPr>
          <w:rFonts w:ascii="Times New Roman" w:hAnsi="Times New Roman" w:cs="Times New Roman"/>
        </w:rPr>
        <w:t xml:space="preserve">While in cases where there is an absence of </w:t>
      </w:r>
      <w:r w:rsidR="004A4747" w:rsidRPr="003C0052">
        <w:rPr>
          <w:rFonts w:ascii="Times New Roman" w:hAnsi="Times New Roman" w:cs="Times New Roman"/>
        </w:rPr>
        <w:t xml:space="preserve">differentiated </w:t>
      </w:r>
      <w:r w:rsidR="001612E5" w:rsidRPr="003C0052">
        <w:rPr>
          <w:rFonts w:ascii="Times New Roman" w:hAnsi="Times New Roman" w:cs="Times New Roman"/>
        </w:rPr>
        <w:t>sentencing</w:t>
      </w:r>
      <w:r w:rsidR="00831AD8" w:rsidRPr="003C0052">
        <w:rPr>
          <w:rFonts w:ascii="Times New Roman" w:hAnsi="Times New Roman" w:cs="Times New Roman"/>
        </w:rPr>
        <w:t xml:space="preserve"> </w:t>
      </w:r>
      <w:r w:rsidR="004A4747" w:rsidRPr="003C0052">
        <w:rPr>
          <w:rFonts w:ascii="Times New Roman" w:hAnsi="Times New Roman" w:cs="Times New Roman"/>
        </w:rPr>
        <w:t xml:space="preserve">apparatus </w:t>
      </w:r>
      <w:r w:rsidR="00831AD8" w:rsidRPr="003C0052">
        <w:rPr>
          <w:rFonts w:ascii="Times New Roman" w:hAnsi="Times New Roman" w:cs="Times New Roman"/>
        </w:rPr>
        <w:t>discretion can facilitate mitigation</w:t>
      </w:r>
      <w:r w:rsidR="005616F1" w:rsidRPr="003C0052">
        <w:rPr>
          <w:rFonts w:ascii="Times New Roman" w:hAnsi="Times New Roman" w:cs="Times New Roman"/>
        </w:rPr>
        <w:t xml:space="preserve"> for mandatory sentences (R</w:t>
      </w:r>
      <w:r w:rsidR="00B41419" w:rsidRPr="003C0052">
        <w:rPr>
          <w:rFonts w:ascii="Times New Roman" w:hAnsi="Times New Roman" w:cs="Times New Roman"/>
        </w:rPr>
        <w:t>oche, 1999</w:t>
      </w:r>
      <w:r w:rsidR="005616F1" w:rsidRPr="003C0052">
        <w:rPr>
          <w:rFonts w:ascii="Times New Roman" w:hAnsi="Times New Roman" w:cs="Times New Roman"/>
        </w:rPr>
        <w:t>)</w:t>
      </w:r>
      <w:r w:rsidR="00831AD8" w:rsidRPr="003C0052">
        <w:rPr>
          <w:rFonts w:ascii="Times New Roman" w:hAnsi="Times New Roman" w:cs="Times New Roman"/>
        </w:rPr>
        <w:t xml:space="preserve">, </w:t>
      </w:r>
      <w:r w:rsidR="00831AD8" w:rsidRPr="003C0052">
        <w:rPr>
          <w:rFonts w:ascii="Times New Roman" w:hAnsi="Times New Roman" w:cs="Times New Roman"/>
          <w:i/>
        </w:rPr>
        <w:t>dependence</w:t>
      </w:r>
      <w:r w:rsidR="00831AD8" w:rsidRPr="003C0052">
        <w:rPr>
          <w:rFonts w:ascii="Times New Roman" w:hAnsi="Times New Roman" w:cs="Times New Roman"/>
        </w:rPr>
        <w:t xml:space="preserve"> on </w:t>
      </w:r>
      <w:r w:rsidR="00BD3310" w:rsidRPr="003C0052">
        <w:rPr>
          <w:rFonts w:ascii="Times New Roman" w:hAnsi="Times New Roman" w:cs="Times New Roman"/>
        </w:rPr>
        <w:t xml:space="preserve">arbitrary </w:t>
      </w:r>
      <w:r w:rsidR="00831AD8" w:rsidRPr="003C0052">
        <w:rPr>
          <w:rFonts w:ascii="Times New Roman" w:hAnsi="Times New Roman" w:cs="Times New Roman"/>
        </w:rPr>
        <w:t>judicial d</w:t>
      </w:r>
      <w:r w:rsidR="00F801F8" w:rsidRPr="003C0052">
        <w:rPr>
          <w:rFonts w:ascii="Times New Roman" w:hAnsi="Times New Roman" w:cs="Times New Roman"/>
        </w:rPr>
        <w:t>iscretion</w:t>
      </w:r>
      <w:r w:rsidR="004A4747" w:rsidRPr="003C0052">
        <w:rPr>
          <w:rFonts w:ascii="Times New Roman" w:hAnsi="Times New Roman" w:cs="Times New Roman"/>
        </w:rPr>
        <w:t xml:space="preserve"> </w:t>
      </w:r>
      <w:r w:rsidR="001612E5" w:rsidRPr="003C0052">
        <w:rPr>
          <w:rFonts w:ascii="Times New Roman" w:hAnsi="Times New Roman" w:cs="Times New Roman"/>
        </w:rPr>
        <w:t>to uphold proportionate sentences</w:t>
      </w:r>
      <w:r w:rsidR="00F801F8" w:rsidRPr="003C0052">
        <w:rPr>
          <w:rFonts w:ascii="Times New Roman" w:hAnsi="Times New Roman" w:cs="Times New Roman"/>
        </w:rPr>
        <w:t xml:space="preserve"> </w:t>
      </w:r>
      <w:r w:rsidR="001612E5" w:rsidRPr="003C0052">
        <w:rPr>
          <w:rFonts w:ascii="Times New Roman" w:hAnsi="Times New Roman" w:cs="Times New Roman"/>
        </w:rPr>
        <w:t xml:space="preserve">culminates in </w:t>
      </w:r>
      <w:r w:rsidR="000E5716" w:rsidRPr="003C0052">
        <w:rPr>
          <w:rFonts w:ascii="Times New Roman" w:hAnsi="Times New Roman" w:cs="Times New Roman"/>
        </w:rPr>
        <w:t>variation</w:t>
      </w:r>
      <w:r w:rsidR="00F801F8" w:rsidRPr="003C0052">
        <w:rPr>
          <w:rFonts w:ascii="Times New Roman" w:hAnsi="Times New Roman" w:cs="Times New Roman"/>
        </w:rPr>
        <w:t xml:space="preserve"> </w:t>
      </w:r>
      <w:r w:rsidR="001544D4" w:rsidRPr="003C0052">
        <w:rPr>
          <w:rFonts w:ascii="Times New Roman" w:hAnsi="Times New Roman" w:cs="Times New Roman"/>
        </w:rPr>
        <w:t>across geographical space</w:t>
      </w:r>
      <w:r w:rsidR="004E2120" w:rsidRPr="003C0052">
        <w:rPr>
          <w:rFonts w:ascii="Times New Roman" w:hAnsi="Times New Roman" w:cs="Times New Roman"/>
        </w:rPr>
        <w:t xml:space="preserve"> (Sigler, 2009)</w:t>
      </w:r>
      <w:r w:rsidR="002B7A3D" w:rsidRPr="003C0052">
        <w:rPr>
          <w:rFonts w:ascii="Times New Roman" w:hAnsi="Times New Roman" w:cs="Times New Roman"/>
        </w:rPr>
        <w:t>,</w:t>
      </w:r>
      <w:r w:rsidR="001544D4" w:rsidRPr="003C0052">
        <w:rPr>
          <w:rFonts w:ascii="Times New Roman" w:hAnsi="Times New Roman" w:cs="Times New Roman"/>
        </w:rPr>
        <w:t xml:space="preserve"> and m</w:t>
      </w:r>
      <w:r w:rsidR="002456FF" w:rsidRPr="003C0052">
        <w:rPr>
          <w:rFonts w:ascii="Times New Roman" w:hAnsi="Times New Roman" w:cs="Times New Roman"/>
        </w:rPr>
        <w:t>any</w:t>
      </w:r>
      <w:r w:rsidR="00FC1CFD" w:rsidRPr="003C0052">
        <w:rPr>
          <w:rFonts w:ascii="Times New Roman" w:hAnsi="Times New Roman" w:cs="Times New Roman"/>
        </w:rPr>
        <w:t xml:space="preserve"> individuals</w:t>
      </w:r>
      <w:r w:rsidR="0011009F" w:rsidRPr="003C0052">
        <w:rPr>
          <w:rFonts w:ascii="Times New Roman" w:hAnsi="Times New Roman" w:cs="Times New Roman"/>
        </w:rPr>
        <w:t xml:space="preserve"> may have to </w:t>
      </w:r>
      <w:r w:rsidR="00FC1CFD" w:rsidRPr="003C0052">
        <w:rPr>
          <w:rFonts w:ascii="Times New Roman" w:hAnsi="Times New Roman" w:cs="Times New Roman"/>
        </w:rPr>
        <w:t xml:space="preserve">wait to </w:t>
      </w:r>
      <w:r w:rsidR="0011009F" w:rsidRPr="003C0052">
        <w:rPr>
          <w:rFonts w:ascii="Times New Roman" w:hAnsi="Times New Roman" w:cs="Times New Roman"/>
        </w:rPr>
        <w:t>appeal</w:t>
      </w:r>
      <w:r w:rsidR="002456FF" w:rsidRPr="003C0052">
        <w:rPr>
          <w:rFonts w:ascii="Times New Roman" w:hAnsi="Times New Roman" w:cs="Times New Roman"/>
        </w:rPr>
        <w:t xml:space="preserve"> </w:t>
      </w:r>
      <w:r w:rsidR="00FC1CFD" w:rsidRPr="003C0052">
        <w:rPr>
          <w:rFonts w:ascii="Times New Roman" w:hAnsi="Times New Roman" w:cs="Times New Roman"/>
        </w:rPr>
        <w:t xml:space="preserve">their sentence </w:t>
      </w:r>
      <w:r w:rsidR="002456FF" w:rsidRPr="003C0052">
        <w:rPr>
          <w:rFonts w:ascii="Times New Roman" w:hAnsi="Times New Roman" w:cs="Times New Roman"/>
        </w:rPr>
        <w:t xml:space="preserve">before the mitigating factors </w:t>
      </w:r>
      <w:r w:rsidR="002456FF" w:rsidRPr="003C0052">
        <w:rPr>
          <w:rFonts w:ascii="Times New Roman" w:hAnsi="Times New Roman" w:cs="Times New Roman"/>
        </w:rPr>
        <w:lastRenderedPageBreak/>
        <w:t>relating to their case are sufficiently recognised</w:t>
      </w:r>
      <w:r w:rsidR="00314F27" w:rsidRPr="003C0052">
        <w:rPr>
          <w:rFonts w:ascii="Times New Roman" w:hAnsi="Times New Roman" w:cs="Times New Roman"/>
        </w:rPr>
        <w:t xml:space="preserve">. </w:t>
      </w:r>
      <w:r w:rsidR="000B6FDD" w:rsidRPr="003C0052">
        <w:rPr>
          <w:rFonts w:ascii="Times New Roman" w:hAnsi="Times New Roman" w:cs="Times New Roman"/>
        </w:rPr>
        <w:t xml:space="preserve">Significantly, given the deeply embedded </w:t>
      </w:r>
      <w:r w:rsidR="00C80797" w:rsidRPr="003C0052">
        <w:rPr>
          <w:rFonts w:ascii="Times New Roman" w:hAnsi="Times New Roman" w:cs="Times New Roman"/>
        </w:rPr>
        <w:t xml:space="preserve">societal </w:t>
      </w:r>
      <w:r w:rsidR="000B6FDD" w:rsidRPr="003C0052">
        <w:rPr>
          <w:rFonts w:ascii="Times New Roman" w:hAnsi="Times New Roman" w:cs="Times New Roman"/>
        </w:rPr>
        <w:t>stereotypes of drug dealers</w:t>
      </w:r>
      <w:r w:rsidR="00C80797" w:rsidRPr="003C0052">
        <w:rPr>
          <w:rFonts w:ascii="Times New Roman" w:hAnsi="Times New Roman" w:cs="Times New Roman"/>
        </w:rPr>
        <w:t xml:space="preserve"> (Coomber, 2006; Taylor, 2008)</w:t>
      </w:r>
      <w:r w:rsidR="001A33D0" w:rsidRPr="003C0052">
        <w:rPr>
          <w:rFonts w:ascii="Times New Roman" w:hAnsi="Times New Roman" w:cs="Times New Roman"/>
        </w:rPr>
        <w:t xml:space="preserve">, it is not enough to depend </w:t>
      </w:r>
      <w:r w:rsidR="00FC1CFD" w:rsidRPr="003C0052">
        <w:rPr>
          <w:rFonts w:ascii="Times New Roman" w:hAnsi="Times New Roman" w:cs="Times New Roman"/>
        </w:rPr>
        <w:t xml:space="preserve">solely </w:t>
      </w:r>
      <w:r w:rsidR="001A33D0" w:rsidRPr="003C0052">
        <w:rPr>
          <w:rFonts w:ascii="Times New Roman" w:hAnsi="Times New Roman" w:cs="Times New Roman"/>
        </w:rPr>
        <w:t>on</w:t>
      </w:r>
      <w:r w:rsidR="004A4747" w:rsidRPr="003C0052">
        <w:rPr>
          <w:rFonts w:ascii="Times New Roman" w:hAnsi="Times New Roman" w:cs="Times New Roman"/>
        </w:rPr>
        <w:t xml:space="preserve"> mitigation and</w:t>
      </w:r>
      <w:r w:rsidR="001A33D0" w:rsidRPr="003C0052">
        <w:rPr>
          <w:rFonts w:ascii="Times New Roman" w:hAnsi="Times New Roman" w:cs="Times New Roman"/>
        </w:rPr>
        <w:t xml:space="preserve"> the discretion of </w:t>
      </w:r>
      <w:proofErr w:type="spellStart"/>
      <w:r w:rsidR="001A33D0" w:rsidRPr="003C0052">
        <w:rPr>
          <w:rFonts w:ascii="Times New Roman" w:hAnsi="Times New Roman" w:cs="Times New Roman"/>
        </w:rPr>
        <w:t>sentencers</w:t>
      </w:r>
      <w:proofErr w:type="spellEnd"/>
      <w:r w:rsidR="0064141D" w:rsidRPr="003C0052">
        <w:rPr>
          <w:rFonts w:ascii="Times New Roman" w:hAnsi="Times New Roman" w:cs="Times New Roman"/>
        </w:rPr>
        <w:t xml:space="preserve">, many of whom </w:t>
      </w:r>
      <w:r w:rsidR="00AD5C02" w:rsidRPr="003C0052">
        <w:rPr>
          <w:rFonts w:ascii="Times New Roman" w:hAnsi="Times New Roman" w:cs="Times New Roman"/>
        </w:rPr>
        <w:t xml:space="preserve">are likely </w:t>
      </w:r>
      <w:r w:rsidR="004A4747" w:rsidRPr="003C0052">
        <w:rPr>
          <w:rFonts w:ascii="Times New Roman" w:hAnsi="Times New Roman" w:cs="Times New Roman"/>
        </w:rPr>
        <w:t>affected by these tropes.</w:t>
      </w:r>
      <w:r w:rsidR="00E64E58" w:rsidRPr="003C0052">
        <w:rPr>
          <w:rFonts w:ascii="Times New Roman" w:hAnsi="Times New Roman" w:cs="Times New Roman"/>
        </w:rPr>
        <w:t xml:space="preserve"> </w:t>
      </w:r>
      <w:r w:rsidR="004A4747" w:rsidRPr="003C0052">
        <w:rPr>
          <w:rFonts w:ascii="Times New Roman" w:hAnsi="Times New Roman" w:cs="Times New Roman"/>
        </w:rPr>
        <w:t>I</w:t>
      </w:r>
      <w:r w:rsidR="00C80797" w:rsidRPr="003C0052">
        <w:rPr>
          <w:rFonts w:ascii="Times New Roman" w:hAnsi="Times New Roman" w:cs="Times New Roman"/>
        </w:rPr>
        <w:t>nstead</w:t>
      </w:r>
      <w:r w:rsidR="004A0288" w:rsidRPr="003C0052">
        <w:rPr>
          <w:rFonts w:ascii="Times New Roman" w:hAnsi="Times New Roman" w:cs="Times New Roman"/>
        </w:rPr>
        <w:t>,</w:t>
      </w:r>
      <w:r w:rsidR="00C80797" w:rsidRPr="003C0052">
        <w:rPr>
          <w:rFonts w:ascii="Times New Roman" w:hAnsi="Times New Roman" w:cs="Times New Roman"/>
        </w:rPr>
        <w:t xml:space="preserve"> </w:t>
      </w:r>
      <w:r w:rsidR="002B7A3D" w:rsidRPr="003C0052">
        <w:rPr>
          <w:rFonts w:ascii="Times New Roman" w:hAnsi="Times New Roman" w:cs="Times New Roman"/>
        </w:rPr>
        <w:t>the implementation</w:t>
      </w:r>
      <w:r w:rsidR="006F588C" w:rsidRPr="003C0052">
        <w:rPr>
          <w:rFonts w:ascii="Times New Roman" w:hAnsi="Times New Roman" w:cs="Times New Roman"/>
        </w:rPr>
        <w:t xml:space="preserve"> of</w:t>
      </w:r>
      <w:r w:rsidR="002B7A3D" w:rsidRPr="003C0052">
        <w:rPr>
          <w:rFonts w:ascii="Times New Roman" w:hAnsi="Times New Roman" w:cs="Times New Roman"/>
        </w:rPr>
        <w:t xml:space="preserve"> diversion, the creation of separate offences (see Police </w:t>
      </w:r>
      <w:r w:rsidR="005E063D" w:rsidRPr="003C0052">
        <w:rPr>
          <w:rFonts w:ascii="Times New Roman" w:hAnsi="Times New Roman" w:cs="Times New Roman"/>
        </w:rPr>
        <w:t>Foundation</w:t>
      </w:r>
      <w:r w:rsidR="00752A08" w:rsidRPr="003C0052">
        <w:rPr>
          <w:rFonts w:ascii="Times New Roman" w:hAnsi="Times New Roman" w:cs="Times New Roman"/>
        </w:rPr>
        <w:t xml:space="preserve"> Report</w:t>
      </w:r>
      <w:r w:rsidR="00314F27" w:rsidRPr="003C0052">
        <w:rPr>
          <w:rFonts w:ascii="Times New Roman" w:hAnsi="Times New Roman" w:cs="Times New Roman"/>
        </w:rPr>
        <w:t>, 2000; N</w:t>
      </w:r>
      <w:r w:rsidR="000E5716" w:rsidRPr="003C0052">
        <w:rPr>
          <w:rFonts w:ascii="Times New Roman" w:hAnsi="Times New Roman" w:cs="Times New Roman"/>
        </w:rPr>
        <w:t xml:space="preserve">ew </w:t>
      </w:r>
      <w:r w:rsidR="00314F27" w:rsidRPr="003C0052">
        <w:rPr>
          <w:rFonts w:ascii="Times New Roman" w:hAnsi="Times New Roman" w:cs="Times New Roman"/>
        </w:rPr>
        <w:t>Z</w:t>
      </w:r>
      <w:r w:rsidR="000E5716" w:rsidRPr="003C0052">
        <w:rPr>
          <w:rFonts w:ascii="Times New Roman" w:hAnsi="Times New Roman" w:cs="Times New Roman"/>
        </w:rPr>
        <w:t>ealand</w:t>
      </w:r>
      <w:r w:rsidR="00314F27" w:rsidRPr="003C0052">
        <w:rPr>
          <w:rFonts w:ascii="Times New Roman" w:hAnsi="Times New Roman" w:cs="Times New Roman"/>
        </w:rPr>
        <w:t xml:space="preserve"> Law Commission, 2011</w:t>
      </w:r>
      <w:r w:rsidR="002B7A3D" w:rsidRPr="003C0052">
        <w:rPr>
          <w:rFonts w:ascii="Times New Roman" w:hAnsi="Times New Roman" w:cs="Times New Roman"/>
        </w:rPr>
        <w:t xml:space="preserve">) with distinct sentencing tariffs, or at least </w:t>
      </w:r>
      <w:r w:rsidR="00C80797" w:rsidRPr="003C0052">
        <w:rPr>
          <w:rFonts w:ascii="Times New Roman" w:hAnsi="Times New Roman" w:cs="Times New Roman"/>
        </w:rPr>
        <w:t>differentiated</w:t>
      </w:r>
      <w:r w:rsidR="001D33C7" w:rsidRPr="003C0052">
        <w:rPr>
          <w:rFonts w:ascii="Times New Roman" w:hAnsi="Times New Roman" w:cs="Times New Roman"/>
        </w:rPr>
        <w:t>, proportionate</w:t>
      </w:r>
      <w:r w:rsidR="00C80797" w:rsidRPr="003C0052">
        <w:rPr>
          <w:rFonts w:ascii="Times New Roman" w:hAnsi="Times New Roman" w:cs="Times New Roman"/>
        </w:rPr>
        <w:t xml:space="preserve"> frameworks</w:t>
      </w:r>
      <w:r w:rsidR="00BD497A" w:rsidRPr="003C0052">
        <w:rPr>
          <w:rFonts w:ascii="Times New Roman" w:hAnsi="Times New Roman" w:cs="Times New Roman"/>
        </w:rPr>
        <w:t xml:space="preserve"> can help to</w:t>
      </w:r>
      <w:r w:rsidR="00C80797" w:rsidRPr="003C0052">
        <w:rPr>
          <w:rFonts w:ascii="Times New Roman" w:hAnsi="Times New Roman" w:cs="Times New Roman"/>
        </w:rPr>
        <w:t xml:space="preserve"> protect </w:t>
      </w:r>
      <w:r w:rsidR="00BD497A" w:rsidRPr="003C0052">
        <w:rPr>
          <w:rFonts w:ascii="Times New Roman" w:hAnsi="Times New Roman" w:cs="Times New Roman"/>
        </w:rPr>
        <w:t xml:space="preserve">against </w:t>
      </w:r>
      <w:r w:rsidR="00C80797" w:rsidRPr="003C0052">
        <w:rPr>
          <w:rFonts w:ascii="Times New Roman" w:hAnsi="Times New Roman" w:cs="Times New Roman"/>
        </w:rPr>
        <w:t>these biases</w:t>
      </w:r>
      <w:r w:rsidR="006F588C" w:rsidRPr="003C0052">
        <w:rPr>
          <w:rFonts w:ascii="Times New Roman" w:hAnsi="Times New Roman" w:cs="Times New Roman"/>
        </w:rPr>
        <w:t>.</w:t>
      </w:r>
      <w:r w:rsidR="00AD6708" w:rsidRPr="003C0052">
        <w:rPr>
          <w:rFonts w:ascii="Times New Roman" w:hAnsi="Times New Roman" w:cs="Times New Roman"/>
        </w:rPr>
        <w:t xml:space="preserve"> </w:t>
      </w:r>
      <w:proofErr w:type="spellStart"/>
      <w:r w:rsidR="00810139" w:rsidRPr="003C0052">
        <w:rPr>
          <w:rFonts w:ascii="Times New Roman" w:hAnsi="Times New Roman" w:cs="Times New Roman"/>
        </w:rPr>
        <w:t>Grigg</w:t>
      </w:r>
      <w:proofErr w:type="spellEnd"/>
      <w:r w:rsidR="00810139" w:rsidRPr="003C0052">
        <w:rPr>
          <w:rFonts w:ascii="Times New Roman" w:hAnsi="Times New Roman" w:cs="Times New Roman"/>
        </w:rPr>
        <w:t xml:space="preserve"> et al</w:t>
      </w:r>
      <w:r w:rsidR="004A0288" w:rsidRPr="003C0052">
        <w:rPr>
          <w:rFonts w:ascii="Times New Roman" w:hAnsi="Times New Roman" w:cs="Times New Roman"/>
        </w:rPr>
        <w:t>.</w:t>
      </w:r>
      <w:r w:rsidR="00810139" w:rsidRPr="003C0052">
        <w:rPr>
          <w:rFonts w:ascii="Times New Roman" w:hAnsi="Times New Roman" w:cs="Times New Roman"/>
        </w:rPr>
        <w:t xml:space="preserve"> (2015) suggest that there may be some merit in expanding current Australian prohibition with cautioning and drug diversion options beyond simple possession offences to include low-level supply of cannabis and perhaps other drugs. </w:t>
      </w:r>
      <w:r w:rsidR="00C8408C" w:rsidRPr="003C0052">
        <w:rPr>
          <w:rFonts w:ascii="Times New Roman" w:hAnsi="Times New Roman" w:cs="Times New Roman"/>
        </w:rPr>
        <w:t xml:space="preserve">Alternatively, the majority of social suppliers could effectively be moved out of the ambit of trafficking offences through adapting sentencing thresholds so that </w:t>
      </w:r>
      <w:r w:rsidR="001C7EF8" w:rsidRPr="003C0052">
        <w:rPr>
          <w:rFonts w:ascii="Times New Roman" w:hAnsi="Times New Roman" w:cs="Times New Roman"/>
        </w:rPr>
        <w:t>limits</w:t>
      </w:r>
      <w:r w:rsidR="00C8408C" w:rsidRPr="003C0052">
        <w:rPr>
          <w:rFonts w:ascii="Times New Roman" w:hAnsi="Times New Roman" w:cs="Times New Roman"/>
        </w:rPr>
        <w:t xml:space="preserve"> for supply are </w:t>
      </w:r>
      <w:r w:rsidR="00BC63AF" w:rsidRPr="003C0052">
        <w:rPr>
          <w:rFonts w:ascii="Times New Roman" w:hAnsi="Times New Roman" w:cs="Times New Roman"/>
        </w:rPr>
        <w:t>ref</w:t>
      </w:r>
      <w:r w:rsidR="00F36840" w:rsidRPr="003C0052">
        <w:rPr>
          <w:rFonts w:ascii="Times New Roman" w:hAnsi="Times New Roman" w:cs="Times New Roman"/>
        </w:rPr>
        <w:t>lective</w:t>
      </w:r>
      <w:r w:rsidR="00C8408C" w:rsidRPr="003C0052">
        <w:rPr>
          <w:rFonts w:ascii="Times New Roman" w:hAnsi="Times New Roman" w:cs="Times New Roman"/>
        </w:rPr>
        <w:t xml:space="preserve"> of commercial</w:t>
      </w:r>
      <w:r w:rsidR="00F92CBE" w:rsidRPr="003C0052">
        <w:rPr>
          <w:rFonts w:ascii="Times New Roman" w:hAnsi="Times New Roman" w:cs="Times New Roman"/>
        </w:rPr>
        <w:t xml:space="preserve"> quantities.</w:t>
      </w:r>
      <w:r w:rsidR="00937207" w:rsidRPr="003C0052">
        <w:rPr>
          <w:rFonts w:ascii="Times New Roman" w:hAnsi="Times New Roman" w:cs="Times New Roman"/>
        </w:rPr>
        <w:t xml:space="preserve"> </w:t>
      </w:r>
      <w:r w:rsidR="00F92CBE" w:rsidRPr="003C0052">
        <w:rPr>
          <w:rFonts w:ascii="Times New Roman" w:hAnsi="Times New Roman" w:cs="Times New Roman"/>
        </w:rPr>
        <w:t>Mirroring the approach taken in Spain,</w:t>
      </w:r>
      <w:r w:rsidR="00675C22" w:rsidRPr="003C0052">
        <w:rPr>
          <w:rFonts w:ascii="Times New Roman" w:hAnsi="Times New Roman" w:cs="Times New Roman"/>
        </w:rPr>
        <w:t xml:space="preserve"> </w:t>
      </w:r>
      <w:r w:rsidR="00F92CBE" w:rsidRPr="003C0052">
        <w:rPr>
          <w:rFonts w:ascii="Times New Roman" w:hAnsi="Times New Roman" w:cs="Times New Roman"/>
        </w:rPr>
        <w:t>this would</w:t>
      </w:r>
      <w:r w:rsidR="005B59A6" w:rsidRPr="003C0052">
        <w:rPr>
          <w:rFonts w:ascii="Times New Roman" w:hAnsi="Times New Roman" w:cs="Times New Roman"/>
        </w:rPr>
        <w:t xml:space="preserve"> mean</w:t>
      </w:r>
      <w:r w:rsidR="00937207" w:rsidRPr="003C0052">
        <w:rPr>
          <w:rFonts w:ascii="Times New Roman" w:hAnsi="Times New Roman" w:cs="Times New Roman"/>
        </w:rPr>
        <w:t xml:space="preserve"> low-level </w:t>
      </w:r>
      <w:r w:rsidR="005B59A6" w:rsidRPr="003C0052">
        <w:rPr>
          <w:rFonts w:ascii="Times New Roman" w:hAnsi="Times New Roman" w:cs="Times New Roman"/>
        </w:rPr>
        <w:t xml:space="preserve">embedded </w:t>
      </w:r>
      <w:r w:rsidR="00937207" w:rsidRPr="003C0052">
        <w:rPr>
          <w:rFonts w:ascii="Times New Roman" w:hAnsi="Times New Roman" w:cs="Times New Roman"/>
        </w:rPr>
        <w:t xml:space="preserve">supply offences are instead </w:t>
      </w:r>
      <w:r w:rsidR="00675C22" w:rsidRPr="003C0052">
        <w:rPr>
          <w:rFonts w:ascii="Times New Roman" w:hAnsi="Times New Roman" w:cs="Times New Roman"/>
        </w:rPr>
        <w:t>c</w:t>
      </w:r>
      <w:r w:rsidR="00BF321B" w:rsidRPr="003C0052">
        <w:rPr>
          <w:rFonts w:ascii="Times New Roman" w:hAnsi="Times New Roman" w:cs="Times New Roman"/>
        </w:rPr>
        <w:t xml:space="preserve">harged as </w:t>
      </w:r>
      <w:r w:rsidR="005B59A6" w:rsidRPr="003C0052">
        <w:rPr>
          <w:rFonts w:ascii="Times New Roman" w:hAnsi="Times New Roman" w:cs="Times New Roman"/>
        </w:rPr>
        <w:t>‘</w:t>
      </w:r>
      <w:r w:rsidR="00BF321B" w:rsidRPr="003C0052">
        <w:rPr>
          <w:rFonts w:ascii="Times New Roman" w:hAnsi="Times New Roman" w:cs="Times New Roman"/>
        </w:rPr>
        <w:t>possession-</w:t>
      </w:r>
      <w:r w:rsidR="00675C22" w:rsidRPr="003C0052">
        <w:rPr>
          <w:rFonts w:ascii="Times New Roman" w:hAnsi="Times New Roman" w:cs="Times New Roman"/>
        </w:rPr>
        <w:t>related offences</w:t>
      </w:r>
      <w:r w:rsidR="005B59A6" w:rsidRPr="003C0052">
        <w:rPr>
          <w:rFonts w:ascii="Times New Roman" w:hAnsi="Times New Roman" w:cs="Times New Roman"/>
        </w:rPr>
        <w:t>’</w:t>
      </w:r>
      <w:r w:rsidR="004D25AE" w:rsidRPr="003C0052">
        <w:rPr>
          <w:rFonts w:ascii="Times New Roman" w:hAnsi="Times New Roman" w:cs="Times New Roman"/>
        </w:rPr>
        <w:t xml:space="preserve"> </w:t>
      </w:r>
      <w:r w:rsidR="0064141D" w:rsidRPr="003C0052">
        <w:rPr>
          <w:rFonts w:ascii="Times New Roman" w:hAnsi="Times New Roman" w:cs="Times New Roman"/>
        </w:rPr>
        <w:t xml:space="preserve">rather than trafficking offences </w:t>
      </w:r>
      <w:r w:rsidR="004D25AE" w:rsidRPr="003C0052">
        <w:rPr>
          <w:rFonts w:ascii="Times New Roman" w:hAnsi="Times New Roman" w:cs="Times New Roman"/>
        </w:rPr>
        <w:t>(EMCDDA 2017</w:t>
      </w:r>
      <w:r w:rsidR="00B61E87" w:rsidRPr="003C0052">
        <w:rPr>
          <w:rFonts w:ascii="Times New Roman" w:hAnsi="Times New Roman" w:cs="Times New Roman"/>
        </w:rPr>
        <w:t>g</w:t>
      </w:r>
      <w:r w:rsidR="004D25AE" w:rsidRPr="003C0052">
        <w:rPr>
          <w:rFonts w:ascii="Times New Roman" w:hAnsi="Times New Roman" w:cs="Times New Roman"/>
        </w:rPr>
        <w:t xml:space="preserve">: </w:t>
      </w:r>
      <w:r w:rsidR="00694067" w:rsidRPr="003C0052">
        <w:rPr>
          <w:rFonts w:ascii="Times New Roman" w:hAnsi="Times New Roman" w:cs="Times New Roman"/>
        </w:rPr>
        <w:t>4)</w:t>
      </w:r>
      <w:r w:rsidR="00675C22" w:rsidRPr="003C0052">
        <w:rPr>
          <w:rFonts w:ascii="Times New Roman" w:hAnsi="Times New Roman" w:cs="Times New Roman"/>
        </w:rPr>
        <w:t>.</w:t>
      </w:r>
      <w:r w:rsidR="00C8408C" w:rsidRPr="003C0052">
        <w:rPr>
          <w:rFonts w:ascii="Times New Roman" w:hAnsi="Times New Roman" w:cs="Times New Roman"/>
        </w:rPr>
        <w:t xml:space="preserve">    </w:t>
      </w:r>
    </w:p>
    <w:p w:rsidR="008644C7" w:rsidRPr="003C0052" w:rsidRDefault="008644C7" w:rsidP="00CB4184">
      <w:pPr>
        <w:spacing w:line="360" w:lineRule="auto"/>
        <w:jc w:val="both"/>
        <w:rPr>
          <w:rFonts w:ascii="Times New Roman" w:hAnsi="Times New Roman" w:cs="Times New Roman"/>
        </w:rPr>
      </w:pPr>
    </w:p>
    <w:p w:rsidR="00DD4850" w:rsidRPr="003C0052" w:rsidRDefault="00DD4850" w:rsidP="00CB4184">
      <w:pPr>
        <w:spacing w:line="360" w:lineRule="auto"/>
        <w:jc w:val="both"/>
        <w:outlineLvl w:val="0"/>
        <w:rPr>
          <w:rFonts w:ascii="Times New Roman" w:hAnsi="Times New Roman" w:cs="Times New Roman"/>
          <w:b/>
        </w:rPr>
      </w:pPr>
      <w:r w:rsidRPr="003C0052">
        <w:rPr>
          <w:rFonts w:ascii="Times New Roman" w:hAnsi="Times New Roman" w:cs="Times New Roman"/>
          <w:b/>
        </w:rPr>
        <w:t>Conclusion</w:t>
      </w:r>
    </w:p>
    <w:p w:rsidR="00902AF9" w:rsidRPr="003C0052" w:rsidRDefault="00902AF9" w:rsidP="00CB4184">
      <w:pPr>
        <w:spacing w:line="360" w:lineRule="auto"/>
        <w:jc w:val="both"/>
        <w:rPr>
          <w:rFonts w:ascii="Times New Roman" w:hAnsi="Times New Roman" w:cs="Times New Roman"/>
        </w:rPr>
      </w:pPr>
    </w:p>
    <w:p w:rsidR="001D33C7" w:rsidRPr="003C0052" w:rsidRDefault="007D3A34" w:rsidP="001D33C7">
      <w:pPr>
        <w:spacing w:line="360" w:lineRule="auto"/>
        <w:jc w:val="both"/>
        <w:rPr>
          <w:rFonts w:ascii="Times New Roman" w:hAnsi="Times New Roman" w:cs="Times New Roman"/>
        </w:rPr>
      </w:pPr>
      <w:r w:rsidRPr="003C0052">
        <w:rPr>
          <w:rFonts w:ascii="Times New Roman" w:hAnsi="Times New Roman" w:cs="Times New Roman"/>
        </w:rPr>
        <w:t>Research on social supply has tended to focus on</w:t>
      </w:r>
      <w:r w:rsidR="005A71AB" w:rsidRPr="003C0052">
        <w:rPr>
          <w:rFonts w:ascii="Times New Roman" w:hAnsi="Times New Roman" w:cs="Times New Roman"/>
        </w:rPr>
        <w:t xml:space="preserve"> distinct milieus and communities</w:t>
      </w:r>
      <w:r w:rsidR="00DA2076" w:rsidRPr="003C0052">
        <w:rPr>
          <w:rFonts w:ascii="Times New Roman" w:hAnsi="Times New Roman" w:cs="Times New Roman"/>
        </w:rPr>
        <w:t>,</w:t>
      </w:r>
      <w:r w:rsidR="005A71AB" w:rsidRPr="003C0052">
        <w:rPr>
          <w:rFonts w:ascii="Times New Roman" w:hAnsi="Times New Roman" w:cs="Times New Roman"/>
        </w:rPr>
        <w:t xml:space="preserve"> and there has to date been little </w:t>
      </w:r>
      <w:r w:rsidR="000F03E2" w:rsidRPr="003C0052">
        <w:rPr>
          <w:rFonts w:ascii="Times New Roman" w:hAnsi="Times New Roman" w:cs="Times New Roman"/>
        </w:rPr>
        <w:t xml:space="preserve">consideration of </w:t>
      </w:r>
      <w:r w:rsidR="005A71AB" w:rsidRPr="003C0052">
        <w:rPr>
          <w:rFonts w:ascii="Times New Roman" w:hAnsi="Times New Roman" w:cs="Times New Roman"/>
        </w:rPr>
        <w:t>social supply as an internationally relevant concept.</w:t>
      </w:r>
      <w:r w:rsidRPr="003C0052">
        <w:rPr>
          <w:rFonts w:ascii="Times New Roman" w:hAnsi="Times New Roman" w:cs="Times New Roman"/>
        </w:rPr>
        <w:t xml:space="preserve"> </w:t>
      </w:r>
      <w:r w:rsidR="005A71AB" w:rsidRPr="003C0052">
        <w:rPr>
          <w:rFonts w:ascii="Times New Roman" w:hAnsi="Times New Roman" w:cs="Times New Roman"/>
        </w:rPr>
        <w:t>Al</w:t>
      </w:r>
      <w:r w:rsidRPr="003C0052">
        <w:rPr>
          <w:rFonts w:ascii="Times New Roman" w:hAnsi="Times New Roman" w:cs="Times New Roman"/>
        </w:rPr>
        <w:t>t</w:t>
      </w:r>
      <w:r w:rsidR="00902AF9" w:rsidRPr="003C0052">
        <w:rPr>
          <w:rFonts w:ascii="Times New Roman" w:hAnsi="Times New Roman" w:cs="Times New Roman"/>
        </w:rPr>
        <w:t xml:space="preserve">hough this research </w:t>
      </w:r>
      <w:r w:rsidR="000706DC" w:rsidRPr="003C0052">
        <w:rPr>
          <w:rFonts w:ascii="Times New Roman" w:hAnsi="Times New Roman" w:cs="Times New Roman"/>
        </w:rPr>
        <w:t>can only provide</w:t>
      </w:r>
      <w:r w:rsidR="00902AF9" w:rsidRPr="003C0052">
        <w:rPr>
          <w:rFonts w:ascii="Times New Roman" w:hAnsi="Times New Roman" w:cs="Times New Roman"/>
        </w:rPr>
        <w:t xml:space="preserve"> a snapshot of the </w:t>
      </w:r>
      <w:r w:rsidRPr="003C0052">
        <w:rPr>
          <w:rFonts w:ascii="Times New Roman" w:hAnsi="Times New Roman" w:cs="Times New Roman"/>
        </w:rPr>
        <w:t xml:space="preserve">global </w:t>
      </w:r>
      <w:r w:rsidR="00902AF9" w:rsidRPr="003C0052">
        <w:rPr>
          <w:rFonts w:ascii="Times New Roman" w:hAnsi="Times New Roman" w:cs="Times New Roman"/>
        </w:rPr>
        <w:t xml:space="preserve">picture, it </w:t>
      </w:r>
      <w:r w:rsidR="00DA2076" w:rsidRPr="003C0052">
        <w:rPr>
          <w:rFonts w:ascii="Times New Roman" w:hAnsi="Times New Roman" w:cs="Times New Roman"/>
        </w:rPr>
        <w:t>offer</w:t>
      </w:r>
      <w:r w:rsidR="005A71AB" w:rsidRPr="003C0052">
        <w:rPr>
          <w:rFonts w:ascii="Times New Roman" w:hAnsi="Times New Roman" w:cs="Times New Roman"/>
        </w:rPr>
        <w:t>s</w:t>
      </w:r>
      <w:r w:rsidR="00877084" w:rsidRPr="003C0052">
        <w:rPr>
          <w:rFonts w:ascii="Times New Roman" w:hAnsi="Times New Roman" w:cs="Times New Roman"/>
        </w:rPr>
        <w:t xml:space="preserve"> some important </w:t>
      </w:r>
      <w:r w:rsidR="0000016D" w:rsidRPr="003C0052">
        <w:rPr>
          <w:rFonts w:ascii="Times New Roman" w:hAnsi="Times New Roman" w:cs="Times New Roman"/>
        </w:rPr>
        <w:t>contributions</w:t>
      </w:r>
      <w:r w:rsidRPr="003C0052">
        <w:rPr>
          <w:rFonts w:ascii="Times New Roman" w:hAnsi="Times New Roman" w:cs="Times New Roman"/>
        </w:rPr>
        <w:t xml:space="preserve"> in regard to its </w:t>
      </w:r>
      <w:r w:rsidR="000523C0" w:rsidRPr="003C0052">
        <w:rPr>
          <w:rFonts w:ascii="Times New Roman" w:hAnsi="Times New Roman" w:cs="Times New Roman"/>
        </w:rPr>
        <w:t>applicability</w:t>
      </w:r>
      <w:r w:rsidR="0000016D" w:rsidRPr="003C0052">
        <w:rPr>
          <w:rFonts w:ascii="Times New Roman" w:hAnsi="Times New Roman" w:cs="Times New Roman"/>
        </w:rPr>
        <w:t>, ac</w:t>
      </w:r>
      <w:r w:rsidR="00B85E77" w:rsidRPr="003C0052">
        <w:rPr>
          <w:rFonts w:ascii="Times New Roman" w:hAnsi="Times New Roman" w:cs="Times New Roman"/>
        </w:rPr>
        <w:t xml:space="preserve">ceptance and operationalisation in international </w:t>
      </w:r>
      <w:r w:rsidR="00FD59B6" w:rsidRPr="003C0052">
        <w:rPr>
          <w:rFonts w:ascii="Times New Roman" w:hAnsi="Times New Roman" w:cs="Times New Roman"/>
        </w:rPr>
        <w:t xml:space="preserve">criminal justice </w:t>
      </w:r>
      <w:r w:rsidR="00B85E77" w:rsidRPr="003C0052">
        <w:rPr>
          <w:rFonts w:ascii="Times New Roman" w:hAnsi="Times New Roman" w:cs="Times New Roman"/>
        </w:rPr>
        <w:t xml:space="preserve">contexts. </w:t>
      </w:r>
      <w:r w:rsidR="000A3CBC" w:rsidRPr="003C0052">
        <w:rPr>
          <w:rFonts w:ascii="Times New Roman" w:hAnsi="Times New Roman" w:cs="Times New Roman"/>
        </w:rPr>
        <w:t>Data suggests that while</w:t>
      </w:r>
      <w:r w:rsidR="00355654" w:rsidRPr="003C0052">
        <w:rPr>
          <w:rFonts w:ascii="Times New Roman" w:hAnsi="Times New Roman" w:cs="Times New Roman"/>
        </w:rPr>
        <w:t xml:space="preserve"> researchers identified the presence of social drug supply in e</w:t>
      </w:r>
      <w:r w:rsidR="00833992" w:rsidRPr="003C0052">
        <w:rPr>
          <w:rFonts w:ascii="Times New Roman" w:hAnsi="Times New Roman" w:cs="Times New Roman"/>
        </w:rPr>
        <w:t>ach setting</w:t>
      </w:r>
      <w:r w:rsidR="005A71AB" w:rsidRPr="003C0052">
        <w:rPr>
          <w:rFonts w:ascii="Times New Roman" w:hAnsi="Times New Roman" w:cs="Times New Roman"/>
        </w:rPr>
        <w:t xml:space="preserve"> as an observable and distinct supply behaviour</w:t>
      </w:r>
      <w:r w:rsidR="007A50F5" w:rsidRPr="003C0052">
        <w:rPr>
          <w:rFonts w:ascii="Times New Roman" w:hAnsi="Times New Roman" w:cs="Times New Roman"/>
        </w:rPr>
        <w:t>,</w:t>
      </w:r>
      <w:r w:rsidR="00833992" w:rsidRPr="003C0052">
        <w:rPr>
          <w:rFonts w:ascii="Times New Roman" w:hAnsi="Times New Roman" w:cs="Times New Roman"/>
        </w:rPr>
        <w:t xml:space="preserve"> </w:t>
      </w:r>
      <w:r w:rsidRPr="003C0052">
        <w:rPr>
          <w:rFonts w:ascii="Times New Roman" w:hAnsi="Times New Roman" w:cs="Times New Roman"/>
        </w:rPr>
        <w:t xml:space="preserve">that when it came to policy and legal discourse, </w:t>
      </w:r>
      <w:r w:rsidR="00833992" w:rsidRPr="003C0052">
        <w:rPr>
          <w:rFonts w:ascii="Times New Roman" w:hAnsi="Times New Roman" w:cs="Times New Roman"/>
        </w:rPr>
        <w:t xml:space="preserve">there existed a variegated </w:t>
      </w:r>
      <w:r w:rsidR="000F03E2" w:rsidRPr="003C0052">
        <w:rPr>
          <w:rFonts w:ascii="Times New Roman" w:hAnsi="Times New Roman" w:cs="Times New Roman"/>
        </w:rPr>
        <w:t xml:space="preserve">discursive </w:t>
      </w:r>
      <w:r w:rsidR="007A50F5" w:rsidRPr="003C0052">
        <w:rPr>
          <w:rFonts w:ascii="Times New Roman" w:hAnsi="Times New Roman" w:cs="Times New Roman"/>
        </w:rPr>
        <w:t>acceptance of the social supply concept</w:t>
      </w:r>
      <w:r w:rsidR="000F03E2" w:rsidRPr="003C0052">
        <w:rPr>
          <w:rFonts w:ascii="Times New Roman" w:hAnsi="Times New Roman" w:cs="Times New Roman"/>
        </w:rPr>
        <w:t xml:space="preserve"> across the </w:t>
      </w:r>
      <w:r w:rsidR="00FD59B6" w:rsidRPr="003C0052">
        <w:rPr>
          <w:rFonts w:ascii="Times New Roman" w:hAnsi="Times New Roman" w:cs="Times New Roman"/>
        </w:rPr>
        <w:t xml:space="preserve">different </w:t>
      </w:r>
      <w:r w:rsidR="00E9560D" w:rsidRPr="003C0052">
        <w:rPr>
          <w:rFonts w:ascii="Times New Roman" w:hAnsi="Times New Roman" w:cs="Times New Roman"/>
        </w:rPr>
        <w:t xml:space="preserve"> research settings</w:t>
      </w:r>
      <w:r w:rsidR="00FD59B6" w:rsidRPr="003C0052">
        <w:rPr>
          <w:rFonts w:ascii="Times New Roman" w:hAnsi="Times New Roman" w:cs="Times New Roman"/>
        </w:rPr>
        <w:t>,</w:t>
      </w:r>
      <w:r w:rsidR="00A95F0C" w:rsidRPr="003C0052">
        <w:rPr>
          <w:rFonts w:ascii="Times New Roman" w:hAnsi="Times New Roman" w:cs="Times New Roman"/>
        </w:rPr>
        <w:t xml:space="preserve"> </w:t>
      </w:r>
      <w:r w:rsidR="00252629" w:rsidRPr="003C0052">
        <w:rPr>
          <w:rFonts w:ascii="Times New Roman" w:hAnsi="Times New Roman" w:cs="Times New Roman"/>
        </w:rPr>
        <w:t>ranging from</w:t>
      </w:r>
      <w:r w:rsidR="007A2ED8" w:rsidRPr="003C0052">
        <w:rPr>
          <w:rFonts w:ascii="Times New Roman" w:hAnsi="Times New Roman" w:cs="Times New Roman"/>
        </w:rPr>
        <w:t xml:space="preserve"> those that actively engaged with the term (</w:t>
      </w:r>
      <w:r w:rsidR="00632842" w:rsidRPr="003C0052">
        <w:rPr>
          <w:rFonts w:ascii="Times New Roman" w:hAnsi="Times New Roman" w:cs="Times New Roman"/>
        </w:rPr>
        <w:t>England and Wales</w:t>
      </w:r>
      <w:r w:rsidR="007A2ED8" w:rsidRPr="003C0052">
        <w:rPr>
          <w:rFonts w:ascii="Times New Roman" w:hAnsi="Times New Roman" w:cs="Times New Roman"/>
        </w:rPr>
        <w:t xml:space="preserve">; Hong Kong; </w:t>
      </w:r>
      <w:r w:rsidR="00A95F0C" w:rsidRPr="003C0052">
        <w:rPr>
          <w:rFonts w:ascii="Times New Roman" w:hAnsi="Times New Roman" w:cs="Times New Roman"/>
        </w:rPr>
        <w:t>N</w:t>
      </w:r>
      <w:r w:rsidR="0044044F" w:rsidRPr="003C0052">
        <w:rPr>
          <w:rFonts w:ascii="Times New Roman" w:hAnsi="Times New Roman" w:cs="Times New Roman"/>
        </w:rPr>
        <w:t xml:space="preserve">ew </w:t>
      </w:r>
      <w:r w:rsidR="00A95F0C" w:rsidRPr="003C0052">
        <w:rPr>
          <w:rFonts w:ascii="Times New Roman" w:hAnsi="Times New Roman" w:cs="Times New Roman"/>
        </w:rPr>
        <w:t>Z</w:t>
      </w:r>
      <w:r w:rsidR="0044044F" w:rsidRPr="003C0052">
        <w:rPr>
          <w:rFonts w:ascii="Times New Roman" w:hAnsi="Times New Roman" w:cs="Times New Roman"/>
        </w:rPr>
        <w:t>ealand</w:t>
      </w:r>
      <w:r w:rsidR="007A2ED8" w:rsidRPr="003C0052">
        <w:rPr>
          <w:rFonts w:ascii="Times New Roman" w:hAnsi="Times New Roman" w:cs="Times New Roman"/>
        </w:rPr>
        <w:t>)</w:t>
      </w:r>
      <w:r w:rsidR="00A95F0C" w:rsidRPr="003C0052">
        <w:rPr>
          <w:rFonts w:ascii="Times New Roman" w:hAnsi="Times New Roman" w:cs="Times New Roman"/>
        </w:rPr>
        <w:t>,</w:t>
      </w:r>
      <w:r w:rsidR="007A2ED8" w:rsidRPr="003C0052">
        <w:rPr>
          <w:rFonts w:ascii="Times New Roman" w:hAnsi="Times New Roman" w:cs="Times New Roman"/>
        </w:rPr>
        <w:t xml:space="preserve"> to contexts in which </w:t>
      </w:r>
      <w:r w:rsidR="001C7EF8" w:rsidRPr="003C0052">
        <w:rPr>
          <w:rFonts w:ascii="Times New Roman" w:hAnsi="Times New Roman" w:cs="Times New Roman"/>
        </w:rPr>
        <w:t xml:space="preserve">‘supply is supply’ and </w:t>
      </w:r>
      <w:r w:rsidR="00A95F0C" w:rsidRPr="003C0052">
        <w:rPr>
          <w:rFonts w:ascii="Times New Roman" w:hAnsi="Times New Roman" w:cs="Times New Roman"/>
        </w:rPr>
        <w:t>the social supply term</w:t>
      </w:r>
      <w:r w:rsidR="007A2ED8" w:rsidRPr="003C0052">
        <w:rPr>
          <w:rFonts w:ascii="Times New Roman" w:hAnsi="Times New Roman" w:cs="Times New Roman"/>
        </w:rPr>
        <w:t xml:space="preserve"> did not exist (</w:t>
      </w:r>
      <w:r w:rsidR="005E07B5" w:rsidRPr="003C0052">
        <w:rPr>
          <w:rFonts w:ascii="Times New Roman" w:hAnsi="Times New Roman" w:cs="Times New Roman"/>
        </w:rPr>
        <w:t xml:space="preserve">e.g. </w:t>
      </w:r>
      <w:r w:rsidR="007A2ED8" w:rsidRPr="003C0052">
        <w:rPr>
          <w:rFonts w:ascii="Times New Roman" w:hAnsi="Times New Roman" w:cs="Times New Roman"/>
        </w:rPr>
        <w:t>Finland</w:t>
      </w:r>
      <w:r w:rsidR="005E07B5" w:rsidRPr="003C0052">
        <w:rPr>
          <w:rFonts w:ascii="Times New Roman" w:hAnsi="Times New Roman" w:cs="Times New Roman"/>
        </w:rPr>
        <w:t>, US)</w:t>
      </w:r>
      <w:r w:rsidR="005A71AB" w:rsidRPr="003C0052">
        <w:rPr>
          <w:rFonts w:ascii="Times New Roman" w:hAnsi="Times New Roman" w:cs="Times New Roman"/>
        </w:rPr>
        <w:t>.</w:t>
      </w:r>
      <w:r w:rsidR="00E9560D" w:rsidRPr="003C0052">
        <w:rPr>
          <w:rFonts w:ascii="Times New Roman" w:hAnsi="Times New Roman" w:cs="Times New Roman"/>
        </w:rPr>
        <w:t xml:space="preserve"> </w:t>
      </w:r>
      <w:r w:rsidR="00BF0A08" w:rsidRPr="003C0052">
        <w:rPr>
          <w:rFonts w:ascii="Times New Roman" w:hAnsi="Times New Roman" w:cs="Times New Roman"/>
        </w:rPr>
        <w:t xml:space="preserve">The implementation </w:t>
      </w:r>
      <w:r w:rsidR="00932C5E" w:rsidRPr="003C0052">
        <w:rPr>
          <w:rFonts w:ascii="Times New Roman" w:hAnsi="Times New Roman" w:cs="Times New Roman"/>
        </w:rPr>
        <w:t xml:space="preserve">of </w:t>
      </w:r>
      <w:r w:rsidR="00BF0A08" w:rsidRPr="003C0052">
        <w:rPr>
          <w:rFonts w:ascii="Times New Roman" w:hAnsi="Times New Roman" w:cs="Times New Roman"/>
        </w:rPr>
        <w:t>different</w:t>
      </w:r>
      <w:r w:rsidR="000F03E2" w:rsidRPr="003C0052">
        <w:rPr>
          <w:rFonts w:ascii="Times New Roman" w:hAnsi="Times New Roman" w:cs="Times New Roman"/>
        </w:rPr>
        <w:t xml:space="preserve"> </w:t>
      </w:r>
      <w:r w:rsidR="00932C5E" w:rsidRPr="003C0052">
        <w:rPr>
          <w:rFonts w:ascii="Times New Roman" w:hAnsi="Times New Roman" w:cs="Times New Roman"/>
        </w:rPr>
        <w:t xml:space="preserve">penal </w:t>
      </w:r>
      <w:r w:rsidR="000F03E2" w:rsidRPr="003C0052">
        <w:rPr>
          <w:rFonts w:ascii="Times New Roman" w:hAnsi="Times New Roman" w:cs="Times New Roman"/>
        </w:rPr>
        <w:t xml:space="preserve">approaches </w:t>
      </w:r>
      <w:r w:rsidR="00932C5E" w:rsidRPr="003C0052">
        <w:rPr>
          <w:rFonts w:ascii="Times New Roman" w:hAnsi="Times New Roman" w:cs="Times New Roman"/>
        </w:rPr>
        <w:t>has</w:t>
      </w:r>
      <w:r w:rsidR="005A71AB" w:rsidRPr="003C0052">
        <w:rPr>
          <w:rFonts w:ascii="Times New Roman" w:hAnsi="Times New Roman" w:cs="Times New Roman"/>
        </w:rPr>
        <w:t xml:space="preserve"> profound consequences for those social suppliers who are prosecuted for trafficking sentences, and this is even more salient for those who take recreational drugs other than cannabis. </w:t>
      </w:r>
      <w:r w:rsidR="00B01B35" w:rsidRPr="003C0052">
        <w:rPr>
          <w:rFonts w:ascii="Times New Roman" w:hAnsi="Times New Roman" w:cs="Times New Roman"/>
        </w:rPr>
        <w:t xml:space="preserve">A range of penal approaches were analysed across the research settings and the most progressive were all located in countries with </w:t>
      </w:r>
      <w:r w:rsidR="0006687F" w:rsidRPr="003C0052">
        <w:rPr>
          <w:rFonts w:ascii="Times New Roman" w:hAnsi="Times New Roman" w:cs="Times New Roman"/>
        </w:rPr>
        <w:t xml:space="preserve">broadly differentiated sentencing frameworks and </w:t>
      </w:r>
      <w:r w:rsidR="00C00872" w:rsidRPr="003C0052">
        <w:rPr>
          <w:rFonts w:ascii="Times New Roman" w:hAnsi="Times New Roman" w:cs="Times New Roman"/>
        </w:rPr>
        <w:lastRenderedPageBreak/>
        <w:t xml:space="preserve">an established discursive framework for social supply. </w:t>
      </w:r>
      <w:r w:rsidR="00EB4992" w:rsidRPr="003C0052">
        <w:rPr>
          <w:rFonts w:ascii="Times New Roman" w:hAnsi="Times New Roman" w:cs="Times New Roman"/>
        </w:rPr>
        <w:t xml:space="preserve">Countries less sympathetic to low-level dealing behaviours like social supply tended to </w:t>
      </w:r>
      <w:r w:rsidR="00117359" w:rsidRPr="003C0052">
        <w:rPr>
          <w:rFonts w:ascii="Times New Roman" w:hAnsi="Times New Roman" w:cs="Times New Roman"/>
        </w:rPr>
        <w:t xml:space="preserve">apply aggravating factors </w:t>
      </w:r>
      <w:r w:rsidR="0006566C" w:rsidRPr="003C0052">
        <w:rPr>
          <w:rFonts w:ascii="Times New Roman" w:hAnsi="Times New Roman" w:cs="Times New Roman"/>
        </w:rPr>
        <w:t>to more serious forms of supply rather than</w:t>
      </w:r>
      <w:r w:rsidR="00A82FF3" w:rsidRPr="003C0052">
        <w:rPr>
          <w:rFonts w:ascii="Times New Roman" w:hAnsi="Times New Roman" w:cs="Times New Roman"/>
        </w:rPr>
        <w:t xml:space="preserve"> offering</w:t>
      </w:r>
      <w:r w:rsidR="00CE0EE0" w:rsidRPr="003C0052">
        <w:rPr>
          <w:rFonts w:ascii="Times New Roman" w:hAnsi="Times New Roman" w:cs="Times New Roman"/>
        </w:rPr>
        <w:t xml:space="preserve"> structured sentencing frameworks that incorporated the characteristics of</w:t>
      </w:r>
      <w:r w:rsidR="00A82FF3" w:rsidRPr="003C0052">
        <w:rPr>
          <w:rFonts w:ascii="Times New Roman" w:hAnsi="Times New Roman" w:cs="Times New Roman"/>
        </w:rPr>
        <w:t xml:space="preserve"> less serious cases,</w:t>
      </w:r>
      <w:r w:rsidR="00CE0EE0" w:rsidRPr="003C0052">
        <w:rPr>
          <w:rFonts w:ascii="Times New Roman" w:hAnsi="Times New Roman" w:cs="Times New Roman"/>
        </w:rPr>
        <w:t xml:space="preserve"> and relied</w:t>
      </w:r>
      <w:r w:rsidR="0006566C" w:rsidRPr="003C0052">
        <w:rPr>
          <w:rFonts w:ascii="Times New Roman" w:hAnsi="Times New Roman" w:cs="Times New Roman"/>
        </w:rPr>
        <w:t xml:space="preserve"> on judicial discretion</w:t>
      </w:r>
      <w:r w:rsidR="00A82FF3" w:rsidRPr="003C0052">
        <w:rPr>
          <w:rFonts w:ascii="Times New Roman" w:hAnsi="Times New Roman" w:cs="Times New Roman"/>
        </w:rPr>
        <w:t xml:space="preserve"> </w:t>
      </w:r>
      <w:r w:rsidR="0064141D" w:rsidRPr="003C0052">
        <w:rPr>
          <w:rFonts w:ascii="Times New Roman" w:hAnsi="Times New Roman" w:cs="Times New Roman"/>
        </w:rPr>
        <w:t>in attemp</w:t>
      </w:r>
      <w:r w:rsidR="00B61E87" w:rsidRPr="003C0052">
        <w:rPr>
          <w:rFonts w:ascii="Times New Roman" w:hAnsi="Times New Roman" w:cs="Times New Roman"/>
        </w:rPr>
        <w:t xml:space="preserve">t to acknowledge difference and </w:t>
      </w:r>
      <w:r w:rsidR="00A82FF3" w:rsidRPr="003C0052">
        <w:rPr>
          <w:rFonts w:ascii="Times New Roman" w:hAnsi="Times New Roman" w:cs="Times New Roman"/>
        </w:rPr>
        <w:t>implement proportionate sentence</w:t>
      </w:r>
      <w:r w:rsidR="005D452B" w:rsidRPr="003C0052">
        <w:rPr>
          <w:rFonts w:ascii="Times New Roman" w:hAnsi="Times New Roman" w:cs="Times New Roman"/>
        </w:rPr>
        <w:t>s for non-commercial</w:t>
      </w:r>
      <w:r w:rsidR="001B6713" w:rsidRPr="003C0052">
        <w:rPr>
          <w:rFonts w:ascii="Times New Roman" w:hAnsi="Times New Roman" w:cs="Times New Roman"/>
        </w:rPr>
        <w:t xml:space="preserve"> </w:t>
      </w:r>
      <w:r w:rsidR="005D452B" w:rsidRPr="003C0052">
        <w:rPr>
          <w:rFonts w:ascii="Times New Roman" w:hAnsi="Times New Roman" w:cs="Times New Roman"/>
        </w:rPr>
        <w:t>suppliers.</w:t>
      </w:r>
      <w:r w:rsidR="00531979" w:rsidRPr="003C0052">
        <w:rPr>
          <w:rFonts w:ascii="Times New Roman" w:hAnsi="Times New Roman" w:cs="Times New Roman"/>
        </w:rPr>
        <w:t xml:space="preserve"> </w:t>
      </w:r>
      <w:r w:rsidR="0045531E" w:rsidRPr="003C0052">
        <w:rPr>
          <w:rFonts w:ascii="Times New Roman" w:hAnsi="Times New Roman" w:cs="Times New Roman"/>
        </w:rPr>
        <w:t xml:space="preserve">Proportionate penal approaches toward social supply would ideally feature separate offences for social supply and ‘minimally commercial’ (Coomber </w:t>
      </w:r>
      <w:r w:rsidR="00F13EB1" w:rsidRPr="003C0052">
        <w:rPr>
          <w:rFonts w:ascii="Times New Roman" w:hAnsi="Times New Roman" w:cs="Times New Roman"/>
        </w:rPr>
        <w:t xml:space="preserve">&amp; </w:t>
      </w:r>
      <w:r w:rsidR="0045531E" w:rsidRPr="003C0052">
        <w:rPr>
          <w:rFonts w:ascii="Times New Roman" w:hAnsi="Times New Roman" w:cs="Times New Roman"/>
        </w:rPr>
        <w:t>Moyle, 2014) supply offences (see Police Foundation, 2000; Moyle et al., 2013; New Zealand Law Commission, 2011), thereby limiting the severity of punishment and offering opportunities for diversion (</w:t>
      </w:r>
      <w:proofErr w:type="spellStart"/>
      <w:r w:rsidR="0045531E" w:rsidRPr="003C0052">
        <w:rPr>
          <w:rFonts w:ascii="Times New Roman" w:hAnsi="Times New Roman" w:cs="Times New Roman"/>
        </w:rPr>
        <w:t>Grigg</w:t>
      </w:r>
      <w:proofErr w:type="spellEnd"/>
      <w:r w:rsidR="0045531E" w:rsidRPr="003C0052">
        <w:rPr>
          <w:rFonts w:ascii="Times New Roman" w:hAnsi="Times New Roman" w:cs="Times New Roman"/>
        </w:rPr>
        <w:t xml:space="preserve"> et al., 2015). At the very least, it is important that the identification of social supply is not left entirely to the discretion of </w:t>
      </w:r>
      <w:proofErr w:type="spellStart"/>
      <w:r w:rsidR="0045531E" w:rsidRPr="003C0052">
        <w:rPr>
          <w:rFonts w:ascii="Times New Roman" w:hAnsi="Times New Roman" w:cs="Times New Roman"/>
        </w:rPr>
        <w:t>sentencers</w:t>
      </w:r>
      <w:proofErr w:type="spellEnd"/>
      <w:r w:rsidR="005A2485" w:rsidRPr="003C0052">
        <w:rPr>
          <w:rFonts w:ascii="Times New Roman" w:hAnsi="Times New Roman" w:cs="Times New Roman"/>
        </w:rPr>
        <w:t>. Instead, social supply</w:t>
      </w:r>
      <w:r w:rsidR="0045531E" w:rsidRPr="003C0052">
        <w:rPr>
          <w:rFonts w:ascii="Times New Roman" w:hAnsi="Times New Roman" w:cs="Times New Roman"/>
        </w:rPr>
        <w:t xml:space="preserve"> characteristics </w:t>
      </w:r>
      <w:r w:rsidR="005A2485" w:rsidRPr="003C0052">
        <w:rPr>
          <w:rFonts w:ascii="Times New Roman" w:hAnsi="Times New Roman" w:cs="Times New Roman"/>
        </w:rPr>
        <w:t>should feature</w:t>
      </w:r>
      <w:r w:rsidR="0045531E" w:rsidRPr="003C0052">
        <w:rPr>
          <w:rFonts w:ascii="Times New Roman" w:hAnsi="Times New Roman" w:cs="Times New Roman"/>
        </w:rPr>
        <w:t xml:space="preserve"> with</w:t>
      </w:r>
      <w:r w:rsidR="008A7BE4" w:rsidRPr="003C0052">
        <w:rPr>
          <w:rFonts w:ascii="Times New Roman" w:hAnsi="Times New Roman" w:cs="Times New Roman"/>
        </w:rPr>
        <w:t xml:space="preserve">in sentencing structures and guidelines </w:t>
      </w:r>
      <w:r w:rsidR="0045531E" w:rsidRPr="003C0052">
        <w:rPr>
          <w:rFonts w:ascii="Times New Roman" w:hAnsi="Times New Roman" w:cs="Times New Roman"/>
        </w:rPr>
        <w:t xml:space="preserve">as </w:t>
      </w:r>
      <w:r w:rsidR="008A7BE4" w:rsidRPr="003C0052">
        <w:rPr>
          <w:rFonts w:ascii="Times New Roman" w:hAnsi="Times New Roman" w:cs="Times New Roman"/>
        </w:rPr>
        <w:t xml:space="preserve">a </w:t>
      </w:r>
      <w:r w:rsidR="0045531E" w:rsidRPr="003C0052">
        <w:rPr>
          <w:rFonts w:ascii="Times New Roman" w:hAnsi="Times New Roman" w:cs="Times New Roman"/>
        </w:rPr>
        <w:t xml:space="preserve">less serious form of supply subject to sentencing discounts. </w:t>
      </w:r>
      <w:r w:rsidR="005D452B" w:rsidRPr="003C0052">
        <w:rPr>
          <w:rFonts w:ascii="Times New Roman" w:hAnsi="Times New Roman" w:cs="Times New Roman"/>
        </w:rPr>
        <w:t xml:space="preserve">In seeking to move towards more proportionate outcomes for social suppliers, further research is </w:t>
      </w:r>
      <w:r w:rsidR="001D33C7" w:rsidRPr="003C0052">
        <w:rPr>
          <w:rFonts w:ascii="Times New Roman" w:hAnsi="Times New Roman" w:cs="Times New Roman"/>
        </w:rPr>
        <w:t xml:space="preserve">crucial in </w:t>
      </w:r>
      <w:r w:rsidR="00EB4992" w:rsidRPr="003C0052">
        <w:rPr>
          <w:rFonts w:ascii="Times New Roman" w:hAnsi="Times New Roman" w:cs="Times New Roman"/>
        </w:rPr>
        <w:t xml:space="preserve">bolstering the conceptual presence of social supply in policy </w:t>
      </w:r>
      <w:r w:rsidR="005D452B" w:rsidRPr="003C0052">
        <w:rPr>
          <w:rFonts w:ascii="Times New Roman" w:hAnsi="Times New Roman" w:cs="Times New Roman"/>
        </w:rPr>
        <w:t xml:space="preserve">and </w:t>
      </w:r>
      <w:r w:rsidR="001C7EF8" w:rsidRPr="003C0052">
        <w:rPr>
          <w:rFonts w:ascii="Times New Roman" w:hAnsi="Times New Roman" w:cs="Times New Roman"/>
        </w:rPr>
        <w:t xml:space="preserve">practice and </w:t>
      </w:r>
      <w:r w:rsidR="005D452B" w:rsidRPr="003C0052">
        <w:rPr>
          <w:rFonts w:ascii="Times New Roman" w:hAnsi="Times New Roman" w:cs="Times New Roman"/>
        </w:rPr>
        <w:t>– reflective of the relative normalisation of recreational drugs</w:t>
      </w:r>
      <w:r w:rsidR="004F0955" w:rsidRPr="003C0052">
        <w:rPr>
          <w:rFonts w:ascii="Times New Roman" w:hAnsi="Times New Roman" w:cs="Times New Roman"/>
        </w:rPr>
        <w:t xml:space="preserve"> </w:t>
      </w:r>
      <w:r w:rsidR="005D452B" w:rsidRPr="003C0052">
        <w:rPr>
          <w:rFonts w:ascii="Times New Roman" w:hAnsi="Times New Roman" w:cs="Times New Roman"/>
        </w:rPr>
        <w:t xml:space="preserve">- as a behaviour that is relevant to users of </w:t>
      </w:r>
      <w:r w:rsidR="005D452B" w:rsidRPr="003C0052">
        <w:rPr>
          <w:rFonts w:ascii="Times New Roman" w:hAnsi="Times New Roman" w:cs="Times New Roman"/>
          <w:i/>
        </w:rPr>
        <w:t>all</w:t>
      </w:r>
      <w:r w:rsidR="005D452B" w:rsidRPr="003C0052">
        <w:rPr>
          <w:rFonts w:ascii="Times New Roman" w:hAnsi="Times New Roman" w:cs="Times New Roman"/>
        </w:rPr>
        <w:t xml:space="preserve"> drugs. </w:t>
      </w:r>
    </w:p>
    <w:p w:rsidR="00661581" w:rsidRPr="003C0052" w:rsidRDefault="00661581" w:rsidP="000A322B">
      <w:pPr>
        <w:spacing w:line="360" w:lineRule="auto"/>
        <w:jc w:val="both"/>
        <w:rPr>
          <w:rFonts w:ascii="Times New Roman" w:hAnsi="Times New Roman" w:cs="Times New Roman"/>
        </w:rPr>
      </w:pPr>
    </w:p>
    <w:p w:rsidR="00555363" w:rsidRPr="003C0052" w:rsidRDefault="00555363" w:rsidP="00555363">
      <w:pPr>
        <w:rPr>
          <w:b/>
        </w:rPr>
      </w:pPr>
      <w:r w:rsidRPr="003C0052">
        <w:rPr>
          <w:b/>
        </w:rPr>
        <w:t>Declarations of interest: none</w:t>
      </w:r>
    </w:p>
    <w:p w:rsidR="00555363" w:rsidRPr="003C0052" w:rsidRDefault="00555363" w:rsidP="000A322B">
      <w:pPr>
        <w:spacing w:line="360" w:lineRule="auto"/>
        <w:jc w:val="both"/>
        <w:rPr>
          <w:rFonts w:ascii="Times New Roman" w:hAnsi="Times New Roman" w:cs="Times New Roman"/>
        </w:rPr>
      </w:pPr>
    </w:p>
    <w:p w:rsidR="00EC53E9" w:rsidRPr="003C0052" w:rsidRDefault="00EC53E9" w:rsidP="00EC53E9">
      <w:pPr>
        <w:outlineLvl w:val="0"/>
        <w:rPr>
          <w:rFonts w:ascii="Times New Roman" w:hAnsi="Times New Roman" w:cs="Times New Roman"/>
          <w:b/>
        </w:rPr>
      </w:pPr>
      <w:proofErr w:type="gramStart"/>
      <w:r w:rsidRPr="003C0052">
        <w:rPr>
          <w:rFonts w:ascii="Times New Roman" w:hAnsi="Times New Roman" w:cs="Times New Roman"/>
          <w:b/>
        </w:rPr>
        <w:t>References.</w:t>
      </w:r>
      <w:proofErr w:type="gramEnd"/>
    </w:p>
    <w:p w:rsidR="00EC53E9" w:rsidRPr="003C0052" w:rsidRDefault="00EC53E9" w:rsidP="00EC53E9">
      <w:pPr>
        <w:outlineLvl w:val="0"/>
        <w:rPr>
          <w:rFonts w:ascii="Times New Roman" w:hAnsi="Times New Roman" w:cs="Times New Roman"/>
          <w:b/>
        </w:rPr>
      </w:pPr>
    </w:p>
    <w:p w:rsidR="00EC53E9" w:rsidRPr="003C0052" w:rsidRDefault="00EC53E9" w:rsidP="00EC53E9">
      <w:pPr>
        <w:outlineLvl w:val="0"/>
        <w:rPr>
          <w:rFonts w:ascii="Times New Roman" w:hAnsi="Times New Roman" w:cs="Times New Roman"/>
          <w:b/>
        </w:rPr>
      </w:pPr>
      <w:proofErr w:type="spellStart"/>
      <w:proofErr w:type="gramStart"/>
      <w:r w:rsidRPr="003C0052">
        <w:rPr>
          <w:rFonts w:ascii="Times New Roman" w:hAnsi="Times New Roman" w:cs="Times New Roman"/>
        </w:rPr>
        <w:t>Belackova</w:t>
      </w:r>
      <w:proofErr w:type="spellEnd"/>
      <w:r w:rsidRPr="003C0052">
        <w:rPr>
          <w:rFonts w:ascii="Times New Roman" w:hAnsi="Times New Roman" w:cs="Times New Roman"/>
        </w:rPr>
        <w:t xml:space="preserve">, V., &amp; </w:t>
      </w:r>
      <w:proofErr w:type="spellStart"/>
      <w:r w:rsidRPr="003C0052">
        <w:rPr>
          <w:rFonts w:ascii="Times New Roman" w:hAnsi="Times New Roman" w:cs="Times New Roman"/>
        </w:rPr>
        <w:t>Stefunkova</w:t>
      </w:r>
      <w:proofErr w:type="spellEnd"/>
      <w:r w:rsidRPr="003C0052">
        <w:rPr>
          <w:rFonts w:ascii="Times New Roman" w:hAnsi="Times New Roman" w:cs="Times New Roman"/>
        </w:rPr>
        <w:t>, M. (2017).</w:t>
      </w:r>
      <w:proofErr w:type="gramEnd"/>
      <w:r w:rsidRPr="003C0052">
        <w:rPr>
          <w:rFonts w:ascii="Times New Roman" w:hAnsi="Times New Roman" w:cs="Times New Roman"/>
        </w:rPr>
        <w:t xml:space="preserve"> Decriminalization: the glass is half full. </w:t>
      </w:r>
      <w:proofErr w:type="gramStart"/>
      <w:r w:rsidRPr="003C0052">
        <w:rPr>
          <w:rFonts w:ascii="Times New Roman" w:hAnsi="Times New Roman" w:cs="Times New Roman"/>
          <w:i/>
        </w:rPr>
        <w:t>International Journal of Drug Policy, in print</w:t>
      </w:r>
      <w:r w:rsidRPr="003C0052">
        <w:rPr>
          <w:rFonts w:ascii="Times New Roman" w:hAnsi="Times New Roman" w:cs="Times New Roman"/>
        </w:rPr>
        <w:t>.</w:t>
      </w:r>
      <w:proofErr w:type="gramEnd"/>
    </w:p>
    <w:p w:rsidR="00EC53E9" w:rsidRPr="003C0052" w:rsidRDefault="00EC53E9" w:rsidP="00EC53E9">
      <w:pPr>
        <w:outlineLvl w:val="0"/>
        <w:rPr>
          <w:rFonts w:ascii="Times New Roman" w:hAnsi="Times New Roman" w:cs="Times New Roman"/>
          <w:b/>
        </w:rPr>
      </w:pPr>
    </w:p>
    <w:p w:rsidR="00EC53E9" w:rsidRPr="003C0052" w:rsidRDefault="00EC53E9" w:rsidP="00EC53E9">
      <w:pPr>
        <w:outlineLvl w:val="0"/>
        <w:rPr>
          <w:rFonts w:ascii="Times New Roman" w:hAnsi="Times New Roman" w:cs="Times New Roman"/>
        </w:rPr>
      </w:pPr>
      <w:proofErr w:type="spellStart"/>
      <w:r w:rsidRPr="003C0052">
        <w:rPr>
          <w:rFonts w:ascii="Times New Roman" w:hAnsi="Times New Roman" w:cs="Times New Roman"/>
        </w:rPr>
        <w:t>Belackova</w:t>
      </w:r>
      <w:proofErr w:type="spellEnd"/>
      <w:r w:rsidRPr="003C0052">
        <w:rPr>
          <w:rFonts w:ascii="Times New Roman" w:hAnsi="Times New Roman" w:cs="Times New Roman"/>
        </w:rPr>
        <w:t xml:space="preserve">, V., &amp; Vaccaro., C.A. (2013) “A Friend with Weed is a Friend Indeed” Understanding the Relationship </w:t>
      </w:r>
      <w:proofErr w:type="gramStart"/>
      <w:r w:rsidRPr="003C0052">
        <w:rPr>
          <w:rFonts w:ascii="Times New Roman" w:hAnsi="Times New Roman" w:cs="Times New Roman"/>
        </w:rPr>
        <w:t>Between</w:t>
      </w:r>
      <w:proofErr w:type="gramEnd"/>
      <w:r w:rsidRPr="003C0052">
        <w:rPr>
          <w:rFonts w:ascii="Times New Roman" w:hAnsi="Times New Roman" w:cs="Times New Roman"/>
        </w:rPr>
        <w:t xml:space="preserve"> Friendship, Identity and Market Relations Among Marijuana Users. </w:t>
      </w:r>
      <w:proofErr w:type="gramStart"/>
      <w:r w:rsidRPr="003C0052">
        <w:rPr>
          <w:rFonts w:ascii="Times New Roman" w:hAnsi="Times New Roman" w:cs="Times New Roman"/>
          <w:i/>
        </w:rPr>
        <w:t>Journal of Drug Issues</w:t>
      </w:r>
      <w:r w:rsidRPr="003C0052">
        <w:rPr>
          <w:rFonts w:ascii="Times New Roman" w:hAnsi="Times New Roman" w:cs="Times New Roman"/>
        </w:rPr>
        <w:t>.</w:t>
      </w:r>
      <w:proofErr w:type="gramEnd"/>
      <w:r w:rsidRPr="003C0052">
        <w:rPr>
          <w:rFonts w:ascii="Times New Roman" w:hAnsi="Times New Roman" w:cs="Times New Roman"/>
        </w:rPr>
        <w:t xml:space="preserve"> 43(3), 289-313</w:t>
      </w:r>
    </w:p>
    <w:p w:rsidR="00EC53E9" w:rsidRPr="003C0052" w:rsidRDefault="00EC53E9" w:rsidP="00EC53E9">
      <w:pPr>
        <w:outlineLvl w:val="0"/>
        <w:rPr>
          <w:rFonts w:ascii="Times New Roman" w:hAnsi="Times New Roman" w:cs="Times New Roman"/>
          <w:b/>
        </w:rPr>
      </w:pPr>
    </w:p>
    <w:p w:rsidR="00EC53E9" w:rsidRPr="003C0052" w:rsidRDefault="00EC53E9" w:rsidP="00EC53E9">
      <w:pPr>
        <w:outlineLvl w:val="0"/>
        <w:rPr>
          <w:rFonts w:ascii="Times New Roman" w:hAnsi="Times New Roman" w:cs="Times New Roman"/>
        </w:rPr>
      </w:pPr>
      <w:proofErr w:type="spellStart"/>
      <w:proofErr w:type="gramStart"/>
      <w:r w:rsidRPr="003C0052">
        <w:rPr>
          <w:rFonts w:ascii="Times New Roman" w:hAnsi="Times New Roman" w:cs="Times New Roman"/>
        </w:rPr>
        <w:t>Belackova</w:t>
      </w:r>
      <w:proofErr w:type="spellEnd"/>
      <w:r w:rsidRPr="003C0052">
        <w:rPr>
          <w:rFonts w:ascii="Times New Roman" w:hAnsi="Times New Roman" w:cs="Times New Roman"/>
        </w:rPr>
        <w:t xml:space="preserve">, V., &amp; </w:t>
      </w:r>
      <w:proofErr w:type="spellStart"/>
      <w:r w:rsidRPr="003C0052">
        <w:rPr>
          <w:rFonts w:ascii="Times New Roman" w:hAnsi="Times New Roman" w:cs="Times New Roman"/>
        </w:rPr>
        <w:t>Zabransky</w:t>
      </w:r>
      <w:proofErr w:type="spellEnd"/>
      <w:r w:rsidRPr="003C0052">
        <w:rPr>
          <w:rFonts w:ascii="Times New Roman" w:hAnsi="Times New Roman" w:cs="Times New Roman"/>
        </w:rPr>
        <w:t>, T. (2016).</w:t>
      </w:r>
      <w:proofErr w:type="gramEnd"/>
      <w:r w:rsidRPr="003C0052">
        <w:rPr>
          <w:rFonts w:ascii="Times New Roman" w:hAnsi="Times New Roman" w:cs="Times New Roman"/>
        </w:rPr>
        <w:t xml:space="preserve"> “Friendly” marijuana markets in the Czech Republic and in the US–drug policy outcomes and risks. </w:t>
      </w:r>
      <w:proofErr w:type="gramStart"/>
      <w:r w:rsidRPr="003C0052">
        <w:rPr>
          <w:rFonts w:ascii="Times New Roman" w:hAnsi="Times New Roman" w:cs="Times New Roman"/>
        </w:rPr>
        <w:t>In </w:t>
      </w:r>
      <w:r w:rsidRPr="003C0052">
        <w:rPr>
          <w:rFonts w:ascii="Times New Roman" w:hAnsi="Times New Roman" w:cs="Times New Roman"/>
          <w:i/>
          <w:iCs/>
        </w:rPr>
        <w:t>Friendly Business</w:t>
      </w:r>
      <w:r w:rsidRPr="003C0052">
        <w:rPr>
          <w:rFonts w:ascii="Times New Roman" w:hAnsi="Times New Roman" w:cs="Times New Roman"/>
        </w:rPr>
        <w:t> (pp. 47-70).</w:t>
      </w:r>
      <w:proofErr w:type="gramEnd"/>
      <w:r w:rsidRPr="003C0052">
        <w:rPr>
          <w:rFonts w:ascii="Times New Roman" w:hAnsi="Times New Roman" w:cs="Times New Roman"/>
        </w:rPr>
        <w:t xml:space="preserve"> </w:t>
      </w:r>
      <w:proofErr w:type="gramStart"/>
      <w:r w:rsidRPr="003C0052">
        <w:rPr>
          <w:rFonts w:ascii="Times New Roman" w:hAnsi="Times New Roman" w:cs="Times New Roman"/>
        </w:rPr>
        <w:t xml:space="preserve">Springer </w:t>
      </w:r>
      <w:proofErr w:type="spellStart"/>
      <w:r w:rsidRPr="003C0052">
        <w:rPr>
          <w:rFonts w:ascii="Times New Roman" w:hAnsi="Times New Roman" w:cs="Times New Roman"/>
        </w:rPr>
        <w:t>Fachmedien</w:t>
      </w:r>
      <w:proofErr w:type="spellEnd"/>
      <w:r w:rsidRPr="003C0052">
        <w:rPr>
          <w:rFonts w:ascii="Times New Roman" w:hAnsi="Times New Roman" w:cs="Times New Roman"/>
        </w:rPr>
        <w:t xml:space="preserve"> Wiesbaden.</w:t>
      </w:r>
      <w:proofErr w:type="gramEnd"/>
    </w:p>
    <w:p w:rsidR="00EC53E9" w:rsidRPr="003C0052" w:rsidRDefault="00EC53E9" w:rsidP="00EC53E9">
      <w:pPr>
        <w:outlineLvl w:val="0"/>
        <w:rPr>
          <w:rFonts w:ascii="Times New Roman" w:hAnsi="Times New Roman" w:cs="Times New Roman"/>
        </w:rPr>
      </w:pPr>
    </w:p>
    <w:p w:rsidR="00EC53E9" w:rsidRPr="003C0052" w:rsidRDefault="00EC53E9" w:rsidP="00EC53E9">
      <w:pPr>
        <w:outlineLvl w:val="0"/>
        <w:rPr>
          <w:rFonts w:ascii="Times New Roman" w:hAnsi="Times New Roman" w:cs="Times New Roman"/>
        </w:rPr>
      </w:pPr>
      <w:proofErr w:type="gramStart"/>
      <w:r w:rsidRPr="003C0052">
        <w:rPr>
          <w:rFonts w:ascii="Times New Roman" w:hAnsi="Times New Roman" w:cs="Times New Roman"/>
        </w:rPr>
        <w:t>Blum, R.H. and Associates (1972).</w:t>
      </w:r>
      <w:proofErr w:type="gramEnd"/>
      <w:r w:rsidRPr="003C0052">
        <w:rPr>
          <w:rFonts w:ascii="Times New Roman" w:hAnsi="Times New Roman" w:cs="Times New Roman"/>
        </w:rPr>
        <w:t xml:space="preserve"> </w:t>
      </w:r>
      <w:proofErr w:type="gramStart"/>
      <w:r w:rsidRPr="003C0052">
        <w:rPr>
          <w:rFonts w:ascii="Times New Roman" w:hAnsi="Times New Roman" w:cs="Times New Roman"/>
        </w:rPr>
        <w:t>The dream sellers.</w:t>
      </w:r>
      <w:proofErr w:type="gramEnd"/>
      <w:r w:rsidRPr="003C0052">
        <w:rPr>
          <w:rFonts w:ascii="Times New Roman" w:hAnsi="Times New Roman" w:cs="Times New Roman"/>
        </w:rPr>
        <w:t xml:space="preserve"> San Francisco,</w:t>
      </w:r>
    </w:p>
    <w:p w:rsidR="00EC53E9" w:rsidRPr="003C0052" w:rsidRDefault="00EC53E9" w:rsidP="00EC53E9">
      <w:pPr>
        <w:outlineLvl w:val="0"/>
        <w:rPr>
          <w:rFonts w:ascii="Times New Roman" w:hAnsi="Times New Roman" w:cs="Times New Roman"/>
        </w:rPr>
      </w:pPr>
      <w:r w:rsidRPr="003C0052">
        <w:rPr>
          <w:rFonts w:ascii="Times New Roman" w:hAnsi="Times New Roman" w:cs="Times New Roman"/>
        </w:rPr>
        <w:t xml:space="preserve">CA: </w:t>
      </w:r>
      <w:proofErr w:type="spellStart"/>
      <w:r w:rsidRPr="003C0052">
        <w:rPr>
          <w:rFonts w:ascii="Times New Roman" w:hAnsi="Times New Roman" w:cs="Times New Roman"/>
        </w:rPr>
        <w:t>Jossey</w:t>
      </w:r>
      <w:proofErr w:type="spellEnd"/>
      <w:r w:rsidRPr="003C0052">
        <w:rPr>
          <w:rFonts w:ascii="Times New Roman" w:hAnsi="Times New Roman" w:cs="Times New Roman"/>
        </w:rPr>
        <w:t>-Bass.</w:t>
      </w:r>
    </w:p>
    <w:p w:rsidR="00EC53E9" w:rsidRPr="003C0052" w:rsidRDefault="00EC53E9" w:rsidP="00EC53E9">
      <w:pPr>
        <w:outlineLvl w:val="0"/>
        <w:rPr>
          <w:rFonts w:ascii="Times New Roman" w:hAnsi="Times New Roman" w:cs="Times New Roman"/>
        </w:rPr>
      </w:pPr>
    </w:p>
    <w:p w:rsidR="00EC53E9" w:rsidRPr="003C0052" w:rsidRDefault="00EC53E9" w:rsidP="00EC53E9">
      <w:pPr>
        <w:outlineLvl w:val="0"/>
        <w:rPr>
          <w:rFonts w:ascii="Times New Roman" w:hAnsi="Times New Roman" w:cs="Times New Roman"/>
        </w:rPr>
      </w:pPr>
      <w:proofErr w:type="spellStart"/>
      <w:proofErr w:type="gramStart"/>
      <w:r w:rsidRPr="003C0052">
        <w:rPr>
          <w:rFonts w:ascii="Times New Roman" w:hAnsi="Times New Roman" w:cs="Times New Roman"/>
        </w:rPr>
        <w:t>Chatwin</w:t>
      </w:r>
      <w:proofErr w:type="spellEnd"/>
      <w:r w:rsidRPr="003C0052">
        <w:rPr>
          <w:rFonts w:ascii="Times New Roman" w:hAnsi="Times New Roman" w:cs="Times New Roman"/>
        </w:rPr>
        <w:t>, C., &amp; Potter, G. (2014).</w:t>
      </w:r>
      <w:proofErr w:type="gramEnd"/>
      <w:r w:rsidRPr="003C0052">
        <w:rPr>
          <w:rFonts w:ascii="Times New Roman" w:hAnsi="Times New Roman" w:cs="Times New Roman"/>
        </w:rPr>
        <w:t xml:space="preserve"> Blurred boundaries: The artificial distinction between “use” and “supply” in the UK cannabis market. </w:t>
      </w:r>
      <w:r w:rsidRPr="003C0052">
        <w:rPr>
          <w:rFonts w:ascii="Times New Roman" w:hAnsi="Times New Roman" w:cs="Times New Roman"/>
          <w:i/>
          <w:iCs/>
        </w:rPr>
        <w:t>Contemporary Drug Problems</w:t>
      </w:r>
      <w:r w:rsidRPr="003C0052">
        <w:rPr>
          <w:rFonts w:ascii="Times New Roman" w:hAnsi="Times New Roman" w:cs="Times New Roman"/>
        </w:rPr>
        <w:t>, </w:t>
      </w:r>
      <w:r w:rsidRPr="003C0052">
        <w:rPr>
          <w:rFonts w:ascii="Times New Roman" w:hAnsi="Times New Roman" w:cs="Times New Roman"/>
          <w:i/>
          <w:iCs/>
        </w:rPr>
        <w:t>41</w:t>
      </w:r>
      <w:r w:rsidRPr="003C0052">
        <w:rPr>
          <w:rFonts w:ascii="Times New Roman" w:hAnsi="Times New Roman" w:cs="Times New Roman"/>
        </w:rPr>
        <w:t>(4), 536-550.</w:t>
      </w:r>
    </w:p>
    <w:p w:rsidR="00EC53E9" w:rsidRPr="003C0052" w:rsidRDefault="00EC53E9" w:rsidP="00EC53E9">
      <w:pPr>
        <w:outlineLvl w:val="0"/>
        <w:rPr>
          <w:rFonts w:ascii="Times New Roman" w:hAnsi="Times New Roman" w:cs="Times New Roman"/>
        </w:rPr>
      </w:pPr>
    </w:p>
    <w:p w:rsidR="00EC53E9" w:rsidRPr="003C0052" w:rsidRDefault="00EC53E9" w:rsidP="00EC53E9">
      <w:pPr>
        <w:rPr>
          <w:rFonts w:ascii="Times New Roman" w:hAnsi="Times New Roman" w:cs="Times New Roman"/>
        </w:rPr>
      </w:pPr>
      <w:r w:rsidRPr="003C0052">
        <w:rPr>
          <w:rFonts w:ascii="Times New Roman" w:hAnsi="Times New Roman" w:cs="Times New Roman"/>
        </w:rPr>
        <w:t>Congressional Research Service (2015) Drug Offenses: Maximum Fines and Terms of Imprisonment for Violation of the Federal Controlled Substances Act and Related Laws. Available at:</w:t>
      </w:r>
    </w:p>
    <w:p w:rsidR="00EC53E9" w:rsidRPr="003C0052" w:rsidRDefault="00E45CD4" w:rsidP="00EC53E9">
      <w:pPr>
        <w:rPr>
          <w:rStyle w:val="Hyperlink"/>
          <w:rFonts w:ascii="Times New Roman" w:hAnsi="Times New Roman" w:cs="Times New Roman"/>
        </w:rPr>
      </w:pPr>
      <w:hyperlink r:id="rId23" w:history="1">
        <w:r w:rsidR="00EC53E9" w:rsidRPr="003C0052">
          <w:rPr>
            <w:rStyle w:val="Hyperlink"/>
            <w:rFonts w:ascii="Times New Roman" w:hAnsi="Times New Roman" w:cs="Times New Roman"/>
          </w:rPr>
          <w:t>https://fas.org/sgp/crs/misc/RL30722.pdf</w:t>
        </w:r>
      </w:hyperlink>
      <w:r w:rsidR="00EC53E9" w:rsidRPr="003C0052">
        <w:rPr>
          <w:rStyle w:val="Hyperlink"/>
          <w:rFonts w:ascii="Times New Roman" w:hAnsi="Times New Roman" w:cs="Times New Roman"/>
        </w:rPr>
        <w:t xml:space="preserve"> </w:t>
      </w:r>
    </w:p>
    <w:p w:rsidR="00EC53E9" w:rsidRPr="003C0052" w:rsidRDefault="00EC53E9" w:rsidP="00EC53E9">
      <w:pPr>
        <w:rPr>
          <w:rStyle w:val="Hyperlink"/>
          <w:rFonts w:ascii="Times New Roman" w:hAnsi="Times New Roman" w:cs="Times New Roman"/>
        </w:rPr>
      </w:pPr>
    </w:p>
    <w:p w:rsidR="00EC53E9" w:rsidRPr="003C0052" w:rsidRDefault="00EC53E9" w:rsidP="00EC53E9">
      <w:pPr>
        <w:rPr>
          <w:rFonts w:ascii="Times New Roman" w:hAnsi="Times New Roman" w:cs="Times New Roman"/>
          <w:color w:val="000000" w:themeColor="text1"/>
        </w:rPr>
      </w:pPr>
      <w:proofErr w:type="gramStart"/>
      <w:r w:rsidRPr="003C0052">
        <w:rPr>
          <w:rFonts w:ascii="Times New Roman" w:hAnsi="Times New Roman" w:cs="Times New Roman"/>
          <w:color w:val="000000" w:themeColor="text1"/>
        </w:rPr>
        <w:t>Coomber, R. (2006</w:t>
      </w:r>
      <w:r w:rsidRPr="003C0052">
        <w:rPr>
          <w:rFonts w:ascii="Times New Roman" w:hAnsi="Times New Roman" w:cs="Times New Roman"/>
          <w:i/>
          <w:color w:val="000000" w:themeColor="text1"/>
        </w:rPr>
        <w:t>).</w:t>
      </w:r>
      <w:proofErr w:type="gramEnd"/>
      <w:r w:rsidRPr="003C0052">
        <w:rPr>
          <w:rFonts w:ascii="Times New Roman" w:hAnsi="Times New Roman" w:cs="Times New Roman"/>
          <w:i/>
          <w:color w:val="000000" w:themeColor="text1"/>
        </w:rPr>
        <w:t xml:space="preserve"> Pusher myths: Re-situating the drug dealer</w:t>
      </w:r>
      <w:r w:rsidRPr="003C0052">
        <w:rPr>
          <w:rFonts w:ascii="Times New Roman" w:hAnsi="Times New Roman" w:cs="Times New Roman"/>
          <w:color w:val="000000" w:themeColor="text1"/>
        </w:rPr>
        <w:t>. London: Free Association.</w:t>
      </w:r>
    </w:p>
    <w:p w:rsidR="00EC53E9" w:rsidRPr="003C0052" w:rsidRDefault="00EC53E9" w:rsidP="00EC53E9">
      <w:pPr>
        <w:rPr>
          <w:rStyle w:val="Hyperlink"/>
          <w:rFonts w:ascii="Times New Roman" w:hAnsi="Times New Roman" w:cs="Times New Roman"/>
        </w:rPr>
      </w:pPr>
    </w:p>
    <w:p w:rsidR="00EC53E9" w:rsidRPr="003C0052" w:rsidRDefault="00EC53E9" w:rsidP="00EC53E9">
      <w:pPr>
        <w:jc w:val="both"/>
        <w:outlineLvl w:val="0"/>
        <w:rPr>
          <w:rFonts w:ascii="Times New Roman" w:hAnsi="Times New Roman" w:cs="Times New Roman"/>
        </w:rPr>
      </w:pPr>
      <w:proofErr w:type="gramStart"/>
      <w:r w:rsidRPr="003C0052">
        <w:rPr>
          <w:rFonts w:ascii="Times New Roman" w:hAnsi="Times New Roman" w:cs="Times New Roman"/>
        </w:rPr>
        <w:t>Coomber, R., &amp; Turnbull, P. (2007).</w:t>
      </w:r>
      <w:proofErr w:type="gramEnd"/>
      <w:r w:rsidRPr="003C0052">
        <w:rPr>
          <w:rFonts w:ascii="Times New Roman" w:hAnsi="Times New Roman" w:cs="Times New Roman"/>
        </w:rPr>
        <w:t xml:space="preserve"> Arenas of drug transaction:</w:t>
      </w:r>
    </w:p>
    <w:p w:rsidR="00EC53E9" w:rsidRPr="003C0052" w:rsidRDefault="00EC53E9" w:rsidP="00EC53E9">
      <w:pPr>
        <w:jc w:val="both"/>
        <w:outlineLvl w:val="0"/>
        <w:rPr>
          <w:rFonts w:ascii="Times New Roman" w:hAnsi="Times New Roman" w:cs="Times New Roman"/>
        </w:rPr>
      </w:pPr>
      <w:proofErr w:type="gramStart"/>
      <w:r w:rsidRPr="003C0052">
        <w:rPr>
          <w:rFonts w:ascii="Times New Roman" w:hAnsi="Times New Roman" w:cs="Times New Roman"/>
        </w:rPr>
        <w:t>Adolescent cannabis transactions in England.</w:t>
      </w:r>
      <w:proofErr w:type="gramEnd"/>
      <w:r w:rsidRPr="003C0052">
        <w:rPr>
          <w:rFonts w:ascii="Times New Roman" w:hAnsi="Times New Roman" w:cs="Times New Roman"/>
        </w:rPr>
        <w:t xml:space="preserve"> </w:t>
      </w:r>
      <w:r w:rsidRPr="003C0052">
        <w:rPr>
          <w:rFonts w:ascii="Times New Roman" w:hAnsi="Times New Roman" w:cs="Times New Roman"/>
          <w:i/>
        </w:rPr>
        <w:t>Journal of Drug Issues</w:t>
      </w:r>
      <w:r w:rsidRPr="003C0052">
        <w:rPr>
          <w:rFonts w:ascii="Times New Roman" w:hAnsi="Times New Roman" w:cs="Times New Roman"/>
        </w:rPr>
        <w:t>,</w:t>
      </w:r>
    </w:p>
    <w:p w:rsidR="00EC53E9" w:rsidRPr="003C0052" w:rsidRDefault="00EC53E9" w:rsidP="00EC53E9">
      <w:pPr>
        <w:jc w:val="both"/>
        <w:outlineLvl w:val="0"/>
        <w:rPr>
          <w:rFonts w:ascii="Times New Roman" w:hAnsi="Times New Roman" w:cs="Times New Roman"/>
        </w:rPr>
      </w:pPr>
      <w:r w:rsidRPr="003C0052">
        <w:rPr>
          <w:rFonts w:ascii="Times New Roman" w:hAnsi="Times New Roman" w:cs="Times New Roman"/>
        </w:rPr>
        <w:t>37, 845–865</w:t>
      </w:r>
    </w:p>
    <w:p w:rsidR="00EC53E9" w:rsidRPr="003C0052" w:rsidRDefault="00EC53E9" w:rsidP="00EC53E9">
      <w:pPr>
        <w:jc w:val="both"/>
        <w:outlineLvl w:val="0"/>
        <w:rPr>
          <w:rFonts w:ascii="Times New Roman" w:hAnsi="Times New Roman" w:cs="Times New Roman"/>
        </w:rPr>
      </w:pPr>
    </w:p>
    <w:p w:rsidR="00EC53E9" w:rsidRPr="003C0052" w:rsidRDefault="00EC53E9" w:rsidP="00EC53E9">
      <w:pPr>
        <w:jc w:val="both"/>
        <w:outlineLvl w:val="0"/>
        <w:rPr>
          <w:rFonts w:ascii="Times New Roman" w:hAnsi="Times New Roman" w:cs="Times New Roman"/>
        </w:rPr>
      </w:pPr>
      <w:r w:rsidRPr="003C0052">
        <w:rPr>
          <w:rFonts w:ascii="Times New Roman" w:hAnsi="Times New Roman" w:cs="Times New Roman"/>
        </w:rPr>
        <w:t xml:space="preserve">Coomber, R., and Moyle, L., (2013) </w:t>
      </w:r>
      <w:proofErr w:type="gramStart"/>
      <w:r w:rsidRPr="003C0052">
        <w:rPr>
          <w:rFonts w:ascii="Times New Roman" w:hAnsi="Times New Roman" w:cs="Times New Roman"/>
        </w:rPr>
        <w:t>Beyond</w:t>
      </w:r>
      <w:proofErr w:type="gramEnd"/>
      <w:r w:rsidRPr="003C0052">
        <w:rPr>
          <w:rFonts w:ascii="Times New Roman" w:hAnsi="Times New Roman" w:cs="Times New Roman"/>
        </w:rPr>
        <w:t xml:space="preserve"> drug dealing: Developing and extending the concept of ‘social supply’ of illicit drugs to ‘minimally commercial supply’. </w:t>
      </w:r>
      <w:r w:rsidRPr="003C0052">
        <w:rPr>
          <w:rFonts w:ascii="Times New Roman" w:hAnsi="Times New Roman" w:cs="Times New Roman"/>
          <w:i/>
        </w:rPr>
        <w:t>Drugs: Education, Prevention and Policy</w:t>
      </w:r>
      <w:r w:rsidRPr="003C0052">
        <w:rPr>
          <w:rFonts w:ascii="Times New Roman" w:hAnsi="Times New Roman" w:cs="Times New Roman"/>
        </w:rPr>
        <w:t>. 21(4), 157-164.</w:t>
      </w:r>
    </w:p>
    <w:p w:rsidR="00EC53E9" w:rsidRPr="003C0052" w:rsidRDefault="00EC53E9" w:rsidP="00EC53E9">
      <w:pPr>
        <w:jc w:val="both"/>
        <w:outlineLvl w:val="0"/>
        <w:rPr>
          <w:rFonts w:ascii="Times New Roman" w:hAnsi="Times New Roman" w:cs="Times New Roman"/>
        </w:rPr>
      </w:pPr>
    </w:p>
    <w:p w:rsidR="00EC53E9" w:rsidRPr="003C0052" w:rsidRDefault="00EC53E9" w:rsidP="00EC53E9">
      <w:pPr>
        <w:jc w:val="both"/>
        <w:outlineLvl w:val="0"/>
        <w:rPr>
          <w:rFonts w:ascii="Times New Roman" w:hAnsi="Times New Roman" w:cs="Times New Roman"/>
        </w:rPr>
      </w:pPr>
      <w:proofErr w:type="gramStart"/>
      <w:r w:rsidRPr="003C0052">
        <w:rPr>
          <w:rFonts w:ascii="Times New Roman" w:hAnsi="Times New Roman" w:cs="Times New Roman"/>
        </w:rPr>
        <w:t>Coomber, R., Moyle, L., &amp; South, N. (2016).</w:t>
      </w:r>
      <w:proofErr w:type="gramEnd"/>
      <w:r w:rsidRPr="003C0052">
        <w:rPr>
          <w:rFonts w:ascii="Times New Roman" w:hAnsi="Times New Roman" w:cs="Times New Roman"/>
        </w:rPr>
        <w:t xml:space="preserve"> The normalisation of drug supply: The social supply of drugs as the “other side” of the history of normalisation. </w:t>
      </w:r>
      <w:r w:rsidRPr="003C0052">
        <w:rPr>
          <w:rFonts w:ascii="Times New Roman" w:hAnsi="Times New Roman" w:cs="Times New Roman"/>
          <w:i/>
          <w:iCs/>
        </w:rPr>
        <w:t>Drugs: Education, Prevention and Policy</w:t>
      </w:r>
      <w:r w:rsidRPr="003C0052">
        <w:rPr>
          <w:rFonts w:ascii="Times New Roman" w:hAnsi="Times New Roman" w:cs="Times New Roman"/>
        </w:rPr>
        <w:t>, </w:t>
      </w:r>
      <w:r w:rsidRPr="003C0052">
        <w:rPr>
          <w:rFonts w:ascii="Times New Roman" w:hAnsi="Times New Roman" w:cs="Times New Roman"/>
          <w:i/>
          <w:iCs/>
        </w:rPr>
        <w:t>23</w:t>
      </w:r>
      <w:r w:rsidRPr="003C0052">
        <w:rPr>
          <w:rFonts w:ascii="Times New Roman" w:hAnsi="Times New Roman" w:cs="Times New Roman"/>
        </w:rPr>
        <w:t>(3), 255-263.</w:t>
      </w:r>
    </w:p>
    <w:p w:rsidR="00EC53E9" w:rsidRPr="003C0052" w:rsidRDefault="00EC53E9" w:rsidP="00EC53E9">
      <w:pPr>
        <w:jc w:val="both"/>
        <w:outlineLvl w:val="0"/>
        <w:rPr>
          <w:rFonts w:ascii="Times New Roman" w:hAnsi="Times New Roman" w:cs="Times New Roman"/>
        </w:rPr>
      </w:pPr>
    </w:p>
    <w:p w:rsidR="00EC53E9" w:rsidRPr="003C0052" w:rsidRDefault="00EC53E9" w:rsidP="00EC53E9">
      <w:pPr>
        <w:outlineLvl w:val="0"/>
        <w:rPr>
          <w:rFonts w:ascii="Times New Roman" w:hAnsi="Times New Roman" w:cs="Times New Roman"/>
        </w:rPr>
      </w:pPr>
      <w:proofErr w:type="gramStart"/>
      <w:r w:rsidRPr="003C0052">
        <w:rPr>
          <w:rFonts w:ascii="Times New Roman" w:hAnsi="Times New Roman" w:cs="Times New Roman"/>
        </w:rPr>
        <w:t xml:space="preserve">Coomber, R., </w:t>
      </w:r>
      <w:proofErr w:type="spellStart"/>
      <w:r w:rsidRPr="003C0052">
        <w:rPr>
          <w:rFonts w:ascii="Times New Roman" w:hAnsi="Times New Roman" w:cs="Times New Roman"/>
        </w:rPr>
        <w:t>Pavlidis</w:t>
      </w:r>
      <w:proofErr w:type="spellEnd"/>
      <w:r w:rsidRPr="003C0052">
        <w:rPr>
          <w:rFonts w:ascii="Times New Roman" w:hAnsi="Times New Roman" w:cs="Times New Roman"/>
        </w:rPr>
        <w:t xml:space="preserve">, A., Santos, G. H., Wilde, M., Schmidt, W., &amp; </w:t>
      </w:r>
      <w:proofErr w:type="spellStart"/>
      <w:r w:rsidRPr="003C0052">
        <w:rPr>
          <w:rFonts w:ascii="Times New Roman" w:hAnsi="Times New Roman" w:cs="Times New Roman"/>
        </w:rPr>
        <w:t>Redshaw</w:t>
      </w:r>
      <w:proofErr w:type="spellEnd"/>
      <w:r w:rsidRPr="003C0052">
        <w:rPr>
          <w:rFonts w:ascii="Times New Roman" w:hAnsi="Times New Roman" w:cs="Times New Roman"/>
        </w:rPr>
        <w:t>, C. (2014).</w:t>
      </w:r>
      <w:proofErr w:type="gramEnd"/>
      <w:r w:rsidRPr="003C0052">
        <w:rPr>
          <w:rFonts w:ascii="Times New Roman" w:hAnsi="Times New Roman" w:cs="Times New Roman"/>
        </w:rPr>
        <w:t xml:space="preserve"> The supply of steroids and other performance and image enhancing drugs (PIEDs) in one English city: fakes, counterfeits, supplier trust, common beliefs and access. </w:t>
      </w:r>
      <w:r w:rsidRPr="003C0052">
        <w:rPr>
          <w:rFonts w:ascii="Times New Roman" w:hAnsi="Times New Roman" w:cs="Times New Roman"/>
          <w:i/>
          <w:iCs/>
        </w:rPr>
        <w:t>Performance Enhancement &amp; Health</w:t>
      </w:r>
      <w:r w:rsidRPr="003C0052">
        <w:rPr>
          <w:rFonts w:ascii="Times New Roman" w:hAnsi="Times New Roman" w:cs="Times New Roman"/>
        </w:rPr>
        <w:t>, </w:t>
      </w:r>
      <w:r w:rsidRPr="003C0052">
        <w:rPr>
          <w:rFonts w:ascii="Times New Roman" w:hAnsi="Times New Roman" w:cs="Times New Roman"/>
          <w:i/>
          <w:iCs/>
        </w:rPr>
        <w:t>3</w:t>
      </w:r>
      <w:r w:rsidRPr="003C0052">
        <w:rPr>
          <w:rFonts w:ascii="Times New Roman" w:hAnsi="Times New Roman" w:cs="Times New Roman"/>
        </w:rPr>
        <w:t>(3), 135-144.</w:t>
      </w:r>
    </w:p>
    <w:p w:rsidR="00EC53E9" w:rsidRPr="003C0052" w:rsidRDefault="00EC53E9" w:rsidP="00EC53E9">
      <w:pPr>
        <w:outlineLvl w:val="0"/>
        <w:rPr>
          <w:rFonts w:ascii="Times New Roman" w:hAnsi="Times New Roman" w:cs="Times New Roman"/>
        </w:rPr>
      </w:pPr>
    </w:p>
    <w:p w:rsidR="00EC53E9" w:rsidRPr="003C0052" w:rsidRDefault="00EC53E9" w:rsidP="00EC53E9">
      <w:pPr>
        <w:outlineLvl w:val="0"/>
        <w:rPr>
          <w:rFonts w:ascii="Times New Roman" w:hAnsi="Times New Roman" w:cs="Times New Roman"/>
        </w:rPr>
      </w:pPr>
      <w:proofErr w:type="gramStart"/>
      <w:r w:rsidRPr="003C0052">
        <w:rPr>
          <w:rFonts w:ascii="Times New Roman" w:hAnsi="Times New Roman" w:cs="Times New Roman"/>
        </w:rPr>
        <w:t>DEA (2017) Drugs of Abuse.</w:t>
      </w:r>
      <w:proofErr w:type="gramEnd"/>
      <w:r w:rsidRPr="003C0052">
        <w:rPr>
          <w:rFonts w:ascii="Times New Roman" w:hAnsi="Times New Roman" w:cs="Times New Roman"/>
        </w:rPr>
        <w:t xml:space="preserve"> </w:t>
      </w:r>
      <w:proofErr w:type="gramStart"/>
      <w:r w:rsidRPr="003C0052">
        <w:rPr>
          <w:rFonts w:ascii="Times New Roman" w:hAnsi="Times New Roman" w:cs="Times New Roman"/>
        </w:rPr>
        <w:t>A DEA resource guide.</w:t>
      </w:r>
      <w:proofErr w:type="gramEnd"/>
      <w:r w:rsidRPr="003C0052">
        <w:rPr>
          <w:rFonts w:ascii="Times New Roman" w:hAnsi="Times New Roman" w:cs="Times New Roman"/>
        </w:rPr>
        <w:t xml:space="preserve"> Available at: </w:t>
      </w:r>
      <w:hyperlink r:id="rId24" w:anchor="page=30" w:history="1">
        <w:r w:rsidRPr="003C0052">
          <w:rPr>
            <w:rStyle w:val="Hyperlink"/>
            <w:rFonts w:ascii="Times New Roman" w:hAnsi="Times New Roman" w:cs="Times New Roman"/>
          </w:rPr>
          <w:t>https://www.dea.gov/pr/multimedia-library/publications/drug_of_abuse.pdf#page=30</w:t>
        </w:r>
      </w:hyperlink>
      <w:r w:rsidRPr="003C0052">
        <w:rPr>
          <w:rFonts w:ascii="Times New Roman" w:hAnsi="Times New Roman" w:cs="Times New Roman"/>
        </w:rPr>
        <w:t xml:space="preserve"> </w:t>
      </w:r>
    </w:p>
    <w:p w:rsidR="00EC53E9" w:rsidRPr="003C0052" w:rsidRDefault="00EC53E9" w:rsidP="00EC53E9">
      <w:pPr>
        <w:outlineLvl w:val="0"/>
        <w:rPr>
          <w:rFonts w:ascii="Times New Roman" w:hAnsi="Times New Roman" w:cs="Times New Roman"/>
        </w:rPr>
      </w:pPr>
    </w:p>
    <w:p w:rsidR="00EC53E9" w:rsidRPr="003C0052" w:rsidRDefault="00EC53E9" w:rsidP="00EC53E9">
      <w:pPr>
        <w:outlineLvl w:val="0"/>
        <w:rPr>
          <w:rFonts w:ascii="Times New Roman" w:hAnsi="Times New Roman" w:cs="Times New Roman"/>
          <w:lang w:val="nl-BE"/>
        </w:rPr>
      </w:pPr>
      <w:r w:rsidRPr="003C0052">
        <w:rPr>
          <w:rFonts w:ascii="Times New Roman" w:hAnsi="Times New Roman" w:cs="Times New Roman"/>
          <w:lang w:val="nl-BE"/>
        </w:rPr>
        <w:t xml:space="preserve">Decorte, T., Paoli, L., Kersten, L., Heyde, J., Van Dun, E., &amp; Vlaemynck, M. (2014). </w:t>
      </w:r>
      <w:r w:rsidRPr="003C0052">
        <w:rPr>
          <w:rFonts w:ascii="Times New Roman" w:hAnsi="Times New Roman" w:cs="Times New Roman"/>
          <w:i/>
          <w:lang w:val="en-US"/>
        </w:rPr>
        <w:t>Cannabis production in Belgium: assessment of the nature and harms, and implications for priority setting</w:t>
      </w:r>
      <w:r w:rsidRPr="003C0052">
        <w:rPr>
          <w:rFonts w:ascii="Times New Roman" w:hAnsi="Times New Roman" w:cs="Times New Roman"/>
          <w:lang w:val="en-US"/>
        </w:rPr>
        <w:t xml:space="preserve">. </w:t>
      </w:r>
      <w:r w:rsidRPr="003C0052">
        <w:rPr>
          <w:rFonts w:ascii="Times New Roman" w:hAnsi="Times New Roman" w:cs="Times New Roman"/>
          <w:lang w:val="nl-BE"/>
        </w:rPr>
        <w:t>Gent: Academia Press.</w:t>
      </w:r>
    </w:p>
    <w:p w:rsidR="00EC53E9" w:rsidRPr="003C0052" w:rsidRDefault="00EC53E9" w:rsidP="00EC53E9">
      <w:pPr>
        <w:outlineLvl w:val="0"/>
        <w:rPr>
          <w:rFonts w:ascii="Times New Roman" w:hAnsi="Times New Roman" w:cs="Times New Roman"/>
        </w:rPr>
      </w:pPr>
    </w:p>
    <w:p w:rsidR="00EC53E9" w:rsidRPr="003C0052" w:rsidRDefault="00EC53E9" w:rsidP="00EC53E9">
      <w:pPr>
        <w:outlineLvl w:val="0"/>
        <w:rPr>
          <w:rFonts w:ascii="Times New Roman" w:hAnsi="Times New Roman" w:cs="Times New Roman"/>
        </w:rPr>
      </w:pPr>
      <w:r w:rsidRPr="003C0052">
        <w:rPr>
          <w:rFonts w:ascii="Times New Roman" w:hAnsi="Times New Roman" w:cs="Times New Roman"/>
        </w:rPr>
        <w:t xml:space="preserve">Duffy, M., Schafer, N., Coomber, R., O’Connell, L., and Turnbull, P. (2008) </w:t>
      </w:r>
      <w:r w:rsidRPr="003C0052">
        <w:rPr>
          <w:rFonts w:ascii="Times New Roman" w:hAnsi="Times New Roman" w:cs="Times New Roman"/>
          <w:i/>
        </w:rPr>
        <w:t>Cannabis Supply and Young People: ‘It’s a Social Thing’</w:t>
      </w:r>
      <w:r w:rsidRPr="003C0052">
        <w:rPr>
          <w:rFonts w:ascii="Times New Roman" w:hAnsi="Times New Roman" w:cs="Times New Roman"/>
        </w:rPr>
        <w:t>. York, UK: Joseph Rowntree Foundation.</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proofErr w:type="gramStart"/>
      <w:r w:rsidRPr="003C0052">
        <w:rPr>
          <w:rFonts w:ascii="Times New Roman" w:hAnsi="Times New Roman" w:cs="Times New Roman"/>
        </w:rPr>
        <w:t xml:space="preserve">Eastwood, N., Fox, E., and </w:t>
      </w:r>
      <w:proofErr w:type="spellStart"/>
      <w:r w:rsidRPr="003C0052">
        <w:rPr>
          <w:rFonts w:ascii="Times New Roman" w:hAnsi="Times New Roman" w:cs="Times New Roman"/>
        </w:rPr>
        <w:t>Rosmarin</w:t>
      </w:r>
      <w:proofErr w:type="spellEnd"/>
      <w:r w:rsidRPr="003C0052">
        <w:rPr>
          <w:rFonts w:ascii="Times New Roman" w:hAnsi="Times New Roman" w:cs="Times New Roman"/>
        </w:rPr>
        <w:t xml:space="preserve">, A. (2016) </w:t>
      </w:r>
      <w:r w:rsidRPr="003C0052">
        <w:rPr>
          <w:rFonts w:ascii="Times New Roman" w:hAnsi="Times New Roman" w:cs="Times New Roman"/>
          <w:i/>
        </w:rPr>
        <w:t>A quiet revolution: drug decriminalisation across the globe</w:t>
      </w:r>
      <w:r w:rsidRPr="003C0052">
        <w:rPr>
          <w:rFonts w:ascii="Times New Roman" w:hAnsi="Times New Roman" w:cs="Times New Roman"/>
        </w:rPr>
        <w:t>.</w:t>
      </w:r>
      <w:proofErr w:type="gramEnd"/>
      <w:r w:rsidRPr="003C0052">
        <w:rPr>
          <w:rFonts w:ascii="Times New Roman" w:hAnsi="Times New Roman" w:cs="Times New Roman"/>
        </w:rPr>
        <w:t xml:space="preserve"> London: Release. Available at: </w:t>
      </w:r>
      <w:hyperlink r:id="rId25" w:history="1">
        <w:r w:rsidRPr="003C0052">
          <w:rPr>
            <w:rStyle w:val="Hyperlink"/>
            <w:rFonts w:ascii="Times New Roman" w:hAnsi="Times New Roman" w:cs="Times New Roman"/>
          </w:rPr>
          <w:t>https://www.release.org.uk/sites/default/files/pdf/publications/A%20Quiet%20Revolution%20-%20Decriminalisation%20Across%20the%20Globe.pdf</w:t>
        </w:r>
      </w:hyperlink>
      <w:r w:rsidRPr="003C0052">
        <w:rPr>
          <w:rFonts w:ascii="Times New Roman" w:hAnsi="Times New Roman" w:cs="Times New Roman"/>
        </w:rPr>
        <w:t xml:space="preserve"> </w:t>
      </w:r>
    </w:p>
    <w:p w:rsidR="00EC53E9" w:rsidRPr="003C0052" w:rsidRDefault="00EC53E9" w:rsidP="00EC53E9">
      <w:pPr>
        <w:rPr>
          <w:rStyle w:val="Hyperlink"/>
          <w:rFonts w:ascii="Times New Roman" w:hAnsi="Times New Roman" w:cs="Times New Roman"/>
        </w:rPr>
      </w:pPr>
    </w:p>
    <w:p w:rsidR="00EC53E9" w:rsidRPr="003C0052" w:rsidRDefault="00EC53E9" w:rsidP="00EC53E9">
      <w:pPr>
        <w:rPr>
          <w:rFonts w:ascii="Times New Roman" w:hAnsi="Times New Roman" w:cs="Times New Roman"/>
        </w:rPr>
      </w:pPr>
      <w:proofErr w:type="gramStart"/>
      <w:r w:rsidRPr="003C0052">
        <w:rPr>
          <w:rFonts w:ascii="Times New Roman" w:hAnsi="Times New Roman" w:cs="Times New Roman"/>
        </w:rPr>
        <w:t xml:space="preserve">EMCDDA (2017a) </w:t>
      </w:r>
      <w:r w:rsidRPr="003C0052">
        <w:rPr>
          <w:rFonts w:ascii="Times New Roman" w:hAnsi="Times New Roman" w:cs="Times New Roman"/>
          <w:i/>
        </w:rPr>
        <w:t>European Drug Report, Trends and Developments</w:t>
      </w:r>
      <w:r w:rsidRPr="003C0052">
        <w:rPr>
          <w:rFonts w:ascii="Times New Roman" w:hAnsi="Times New Roman" w:cs="Times New Roman"/>
        </w:rPr>
        <w:t>.</w:t>
      </w:r>
      <w:proofErr w:type="gramEnd"/>
      <w:r w:rsidRPr="003C0052">
        <w:rPr>
          <w:rFonts w:ascii="Times New Roman" w:hAnsi="Times New Roman" w:cs="Times New Roman"/>
        </w:rPr>
        <w:t xml:space="preserve"> Available at: </w:t>
      </w:r>
      <w:hyperlink r:id="rId26" w:history="1">
        <w:r w:rsidRPr="003C0052">
          <w:rPr>
            <w:rStyle w:val="Hyperlink"/>
            <w:rFonts w:ascii="Times New Roman" w:hAnsi="Times New Roman" w:cs="Times New Roman"/>
          </w:rPr>
          <w:t>http://www.emcdda.europa.eu/system/files/publications/4541/TDAT17001ENN.pdf</w:t>
        </w:r>
      </w:hyperlink>
      <w:r w:rsidRPr="003C0052">
        <w:rPr>
          <w:rFonts w:ascii="Times New Roman" w:hAnsi="Times New Roman" w:cs="Times New Roman"/>
        </w:rPr>
        <w:t xml:space="preserve"> </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proofErr w:type="gramStart"/>
      <w:r w:rsidRPr="003C0052">
        <w:rPr>
          <w:rFonts w:ascii="Times New Roman" w:hAnsi="Times New Roman" w:cs="Times New Roman"/>
        </w:rPr>
        <w:t xml:space="preserve">EMCDDA (2017b) </w:t>
      </w:r>
      <w:r w:rsidRPr="003C0052">
        <w:rPr>
          <w:rFonts w:ascii="Times New Roman" w:hAnsi="Times New Roman" w:cs="Times New Roman"/>
          <w:i/>
        </w:rPr>
        <w:t>Belgium, Country Report 2017</w:t>
      </w:r>
      <w:r w:rsidRPr="003C0052">
        <w:rPr>
          <w:rFonts w:ascii="Times New Roman" w:hAnsi="Times New Roman" w:cs="Times New Roman"/>
        </w:rPr>
        <w:t>.</w:t>
      </w:r>
      <w:proofErr w:type="gramEnd"/>
      <w:r w:rsidRPr="003C0052">
        <w:rPr>
          <w:rFonts w:ascii="Times New Roman" w:hAnsi="Times New Roman" w:cs="Times New Roman"/>
        </w:rPr>
        <w:t xml:space="preserve"> Available at: </w:t>
      </w:r>
      <w:hyperlink r:id="rId27" w:history="1">
        <w:r w:rsidRPr="003C0052">
          <w:rPr>
            <w:rStyle w:val="Hyperlink"/>
            <w:rFonts w:ascii="Times New Roman" w:hAnsi="Times New Roman" w:cs="Times New Roman"/>
          </w:rPr>
          <w:t>http://www.emcdda.europa.eu/countries/drug-reports/2017/belgium_en</w:t>
        </w:r>
      </w:hyperlink>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proofErr w:type="gramStart"/>
      <w:r w:rsidRPr="003C0052">
        <w:rPr>
          <w:rFonts w:ascii="Times New Roman" w:hAnsi="Times New Roman" w:cs="Times New Roman"/>
        </w:rPr>
        <w:t xml:space="preserve">EMCDDA (2017c) </w:t>
      </w:r>
      <w:r w:rsidRPr="003C0052">
        <w:rPr>
          <w:rFonts w:ascii="Times New Roman" w:hAnsi="Times New Roman" w:cs="Times New Roman"/>
          <w:i/>
        </w:rPr>
        <w:t>Czech Republic, Country Report 2017</w:t>
      </w:r>
      <w:r w:rsidRPr="003C0052">
        <w:rPr>
          <w:rFonts w:ascii="Times New Roman" w:hAnsi="Times New Roman" w:cs="Times New Roman"/>
        </w:rPr>
        <w:t>.</w:t>
      </w:r>
      <w:proofErr w:type="gramEnd"/>
      <w:r w:rsidRPr="003C0052">
        <w:rPr>
          <w:rFonts w:ascii="Times New Roman" w:hAnsi="Times New Roman" w:cs="Times New Roman"/>
        </w:rPr>
        <w:t xml:space="preserve"> Available at: </w:t>
      </w:r>
      <w:hyperlink r:id="rId28" w:history="1">
        <w:r w:rsidRPr="003C0052">
          <w:rPr>
            <w:rStyle w:val="Hyperlink"/>
            <w:rFonts w:ascii="Times New Roman" w:hAnsi="Times New Roman" w:cs="Times New Roman"/>
          </w:rPr>
          <w:t>http://www.emcdda.europa.eu/countries/drug-reports/2017/czech-republic_en</w:t>
        </w:r>
      </w:hyperlink>
      <w:r w:rsidRPr="003C0052">
        <w:rPr>
          <w:rFonts w:ascii="Times New Roman" w:hAnsi="Times New Roman" w:cs="Times New Roman"/>
        </w:rPr>
        <w:t xml:space="preserve"> </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proofErr w:type="gramStart"/>
      <w:r w:rsidRPr="003C0052">
        <w:rPr>
          <w:rFonts w:ascii="Times New Roman" w:hAnsi="Times New Roman" w:cs="Times New Roman"/>
        </w:rPr>
        <w:t>EMCDDA (2017d</w:t>
      </w:r>
      <w:r w:rsidRPr="003C0052">
        <w:rPr>
          <w:rFonts w:ascii="Times New Roman" w:hAnsi="Times New Roman" w:cs="Times New Roman"/>
          <w:i/>
        </w:rPr>
        <w:t>) Finland, Country Report 2017</w:t>
      </w:r>
      <w:r w:rsidRPr="003C0052">
        <w:rPr>
          <w:rFonts w:ascii="Times New Roman" w:hAnsi="Times New Roman" w:cs="Times New Roman"/>
        </w:rPr>
        <w:t>.</w:t>
      </w:r>
      <w:proofErr w:type="gramEnd"/>
      <w:r w:rsidRPr="003C0052">
        <w:rPr>
          <w:rFonts w:ascii="Times New Roman" w:hAnsi="Times New Roman" w:cs="Times New Roman"/>
        </w:rPr>
        <w:t xml:space="preserve"> Available at: </w:t>
      </w:r>
      <w:hyperlink r:id="rId29" w:history="1">
        <w:r w:rsidRPr="003C0052">
          <w:rPr>
            <w:rStyle w:val="Hyperlink"/>
            <w:rFonts w:ascii="Times New Roman" w:hAnsi="Times New Roman" w:cs="Times New Roman"/>
          </w:rPr>
          <w:t>http://www.emcdda.europa.eu/countries/drug-reports/2017/finland_en</w:t>
        </w:r>
      </w:hyperlink>
      <w:r w:rsidRPr="003C0052">
        <w:rPr>
          <w:rFonts w:ascii="Times New Roman" w:hAnsi="Times New Roman" w:cs="Times New Roman"/>
        </w:rPr>
        <w:t xml:space="preserve"> </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proofErr w:type="gramStart"/>
      <w:r w:rsidRPr="003C0052">
        <w:rPr>
          <w:rFonts w:ascii="Times New Roman" w:hAnsi="Times New Roman" w:cs="Times New Roman"/>
        </w:rPr>
        <w:t xml:space="preserve">EMCDDA (2017e) </w:t>
      </w:r>
      <w:r w:rsidRPr="003C0052">
        <w:rPr>
          <w:rFonts w:ascii="Times New Roman" w:hAnsi="Times New Roman" w:cs="Times New Roman"/>
          <w:i/>
        </w:rPr>
        <w:t>Germany, Country Report 2017</w:t>
      </w:r>
      <w:r w:rsidRPr="003C0052">
        <w:rPr>
          <w:rFonts w:ascii="Times New Roman" w:hAnsi="Times New Roman" w:cs="Times New Roman"/>
        </w:rPr>
        <w:t>.</w:t>
      </w:r>
      <w:proofErr w:type="gramEnd"/>
      <w:r w:rsidRPr="003C0052">
        <w:rPr>
          <w:rFonts w:ascii="Times New Roman" w:hAnsi="Times New Roman" w:cs="Times New Roman"/>
        </w:rPr>
        <w:t xml:space="preserve"> Available at: </w:t>
      </w:r>
      <w:hyperlink r:id="rId30" w:history="1">
        <w:r w:rsidRPr="003C0052">
          <w:rPr>
            <w:rStyle w:val="Hyperlink"/>
            <w:rFonts w:ascii="Times New Roman" w:hAnsi="Times New Roman" w:cs="Times New Roman"/>
          </w:rPr>
          <w:t>http://www.emcdda.europa.eu/countries/drug-reports/2017/germany_en</w:t>
        </w:r>
      </w:hyperlink>
      <w:r w:rsidRPr="003C0052">
        <w:rPr>
          <w:rFonts w:ascii="Times New Roman" w:hAnsi="Times New Roman" w:cs="Times New Roman"/>
        </w:rPr>
        <w:t xml:space="preserve"> </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r w:rsidRPr="003C0052">
        <w:rPr>
          <w:rFonts w:ascii="Times New Roman" w:hAnsi="Times New Roman" w:cs="Times New Roman"/>
        </w:rPr>
        <w:t xml:space="preserve">EMCDDA (2017f) </w:t>
      </w:r>
      <w:r w:rsidRPr="003C0052">
        <w:rPr>
          <w:rFonts w:ascii="Times New Roman" w:hAnsi="Times New Roman" w:cs="Times New Roman"/>
          <w:i/>
        </w:rPr>
        <w:t>Netherlands, Country Report 2017</w:t>
      </w:r>
      <w:r w:rsidRPr="003C0052">
        <w:rPr>
          <w:rFonts w:ascii="Times New Roman" w:hAnsi="Times New Roman" w:cs="Times New Roman"/>
        </w:rPr>
        <w:t xml:space="preserve">. Available at: </w:t>
      </w:r>
      <w:hyperlink r:id="rId31" w:history="1">
        <w:r w:rsidRPr="003C0052">
          <w:rPr>
            <w:rStyle w:val="Hyperlink"/>
            <w:rFonts w:ascii="Times New Roman" w:hAnsi="Times New Roman" w:cs="Times New Roman"/>
          </w:rPr>
          <w:t>http://www.emcdda.europa.eu/countries/drug-reports/2017/netherlands_en</w:t>
        </w:r>
      </w:hyperlink>
      <w:r w:rsidRPr="003C0052">
        <w:rPr>
          <w:rFonts w:ascii="Times New Roman" w:hAnsi="Times New Roman" w:cs="Times New Roman"/>
        </w:rPr>
        <w:t xml:space="preserve"> </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proofErr w:type="gramStart"/>
      <w:r w:rsidRPr="003C0052">
        <w:rPr>
          <w:rFonts w:ascii="Times New Roman" w:hAnsi="Times New Roman" w:cs="Times New Roman"/>
        </w:rPr>
        <w:t xml:space="preserve">EMCDDA (2017g) </w:t>
      </w:r>
      <w:r w:rsidRPr="003C0052">
        <w:rPr>
          <w:rFonts w:ascii="Times New Roman" w:hAnsi="Times New Roman" w:cs="Times New Roman"/>
          <w:i/>
        </w:rPr>
        <w:t>Spain, Country Report 2017</w:t>
      </w:r>
      <w:r w:rsidRPr="003C0052">
        <w:rPr>
          <w:rFonts w:ascii="Times New Roman" w:hAnsi="Times New Roman" w:cs="Times New Roman"/>
        </w:rPr>
        <w:t>.</w:t>
      </w:r>
      <w:proofErr w:type="gramEnd"/>
      <w:r w:rsidRPr="003C0052">
        <w:rPr>
          <w:rFonts w:ascii="Times New Roman" w:hAnsi="Times New Roman" w:cs="Times New Roman"/>
        </w:rPr>
        <w:t xml:space="preserve"> Available at: </w:t>
      </w:r>
      <w:hyperlink r:id="rId32" w:history="1">
        <w:r w:rsidRPr="003C0052">
          <w:rPr>
            <w:rStyle w:val="Hyperlink"/>
            <w:rFonts w:ascii="Times New Roman" w:hAnsi="Times New Roman" w:cs="Times New Roman"/>
          </w:rPr>
          <w:t>http://www.emcdda.europa.eu/publications/country-drug-reports/2017/spain_en</w:t>
        </w:r>
      </w:hyperlink>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r w:rsidRPr="003C0052">
        <w:rPr>
          <w:rFonts w:ascii="Times New Roman" w:hAnsi="Times New Roman" w:cs="Times New Roman"/>
        </w:rPr>
        <w:t xml:space="preserve">Engle, E (2012) </w:t>
      </w:r>
      <w:proofErr w:type="gramStart"/>
      <w:r w:rsidRPr="003C0052">
        <w:rPr>
          <w:rFonts w:ascii="Times New Roman" w:hAnsi="Times New Roman" w:cs="Times New Roman"/>
        </w:rPr>
        <w:t>The</w:t>
      </w:r>
      <w:proofErr w:type="gramEnd"/>
      <w:r w:rsidRPr="003C0052">
        <w:rPr>
          <w:rFonts w:ascii="Times New Roman" w:hAnsi="Times New Roman" w:cs="Times New Roman"/>
        </w:rPr>
        <w:t xml:space="preserve"> History of the General Principle of Proportionality: An Overview (July 7, 2009). 10 </w:t>
      </w:r>
      <w:r w:rsidRPr="003C0052">
        <w:rPr>
          <w:rFonts w:ascii="Times New Roman" w:hAnsi="Times New Roman" w:cs="Times New Roman"/>
          <w:i/>
        </w:rPr>
        <w:t xml:space="preserve">Dartmouth Law </w:t>
      </w:r>
      <w:proofErr w:type="gramStart"/>
      <w:r w:rsidRPr="003C0052">
        <w:rPr>
          <w:rFonts w:ascii="Times New Roman" w:hAnsi="Times New Roman" w:cs="Times New Roman"/>
          <w:i/>
        </w:rPr>
        <w:t>Journal</w:t>
      </w:r>
      <w:proofErr w:type="gramEnd"/>
      <w:r w:rsidRPr="003C0052">
        <w:rPr>
          <w:rFonts w:ascii="Times New Roman" w:hAnsi="Times New Roman" w:cs="Times New Roman"/>
        </w:rPr>
        <w:t xml:space="preserve"> 1-11</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proofErr w:type="gramStart"/>
      <w:r w:rsidRPr="003C0052">
        <w:rPr>
          <w:rFonts w:ascii="Times New Roman" w:hAnsi="Times New Roman" w:cs="Times New Roman"/>
        </w:rPr>
        <w:t xml:space="preserve">Fowler, G., </w:t>
      </w:r>
      <w:proofErr w:type="spellStart"/>
      <w:r w:rsidRPr="003C0052">
        <w:rPr>
          <w:rFonts w:ascii="Times New Roman" w:hAnsi="Times New Roman" w:cs="Times New Roman"/>
        </w:rPr>
        <w:t>Kinner</w:t>
      </w:r>
      <w:proofErr w:type="spellEnd"/>
      <w:r w:rsidRPr="003C0052">
        <w:rPr>
          <w:rFonts w:ascii="Times New Roman" w:hAnsi="Times New Roman" w:cs="Times New Roman"/>
        </w:rPr>
        <w:t xml:space="preserve">, S., &amp; </w:t>
      </w:r>
      <w:proofErr w:type="spellStart"/>
      <w:r w:rsidRPr="003C0052">
        <w:rPr>
          <w:rFonts w:ascii="Times New Roman" w:hAnsi="Times New Roman" w:cs="Times New Roman"/>
        </w:rPr>
        <w:t>Krenske</w:t>
      </w:r>
      <w:proofErr w:type="spellEnd"/>
      <w:r w:rsidRPr="003C0052">
        <w:rPr>
          <w:rFonts w:ascii="Times New Roman" w:hAnsi="Times New Roman" w:cs="Times New Roman"/>
        </w:rPr>
        <w:t>, L. (2007).</w:t>
      </w:r>
      <w:proofErr w:type="gramEnd"/>
      <w:r w:rsidRPr="003C0052">
        <w:rPr>
          <w:rFonts w:ascii="Times New Roman" w:hAnsi="Times New Roman" w:cs="Times New Roman"/>
        </w:rPr>
        <w:t xml:space="preserve"> </w:t>
      </w:r>
      <w:proofErr w:type="gramStart"/>
      <w:r w:rsidRPr="003C0052">
        <w:rPr>
          <w:rFonts w:ascii="Times New Roman" w:hAnsi="Times New Roman" w:cs="Times New Roman"/>
          <w:i/>
        </w:rPr>
        <w:t>Containing ecstasy: Analytical tools for profiling an illegal drug market</w:t>
      </w:r>
      <w:r w:rsidRPr="003C0052">
        <w:rPr>
          <w:rFonts w:ascii="Times New Roman" w:hAnsi="Times New Roman" w:cs="Times New Roman"/>
        </w:rPr>
        <w:t>.</w:t>
      </w:r>
      <w:proofErr w:type="gramEnd"/>
      <w:r w:rsidRPr="003C0052">
        <w:rPr>
          <w:rFonts w:ascii="Times New Roman" w:hAnsi="Times New Roman" w:cs="Times New Roman"/>
        </w:rPr>
        <w:t xml:space="preserve"> Tasmania: National Drug Law Enforcement Research Fund.</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proofErr w:type="spellStart"/>
      <w:r w:rsidRPr="003C0052">
        <w:rPr>
          <w:rFonts w:ascii="Times New Roman" w:hAnsi="Times New Roman" w:cs="Times New Roman"/>
        </w:rPr>
        <w:t>Gallahue</w:t>
      </w:r>
      <w:proofErr w:type="spellEnd"/>
      <w:r w:rsidRPr="003C0052">
        <w:rPr>
          <w:rFonts w:ascii="Times New Roman" w:hAnsi="Times New Roman" w:cs="Times New Roman"/>
        </w:rPr>
        <w:t xml:space="preserve">, P., </w:t>
      </w:r>
      <w:proofErr w:type="spellStart"/>
      <w:r w:rsidRPr="003C0052">
        <w:rPr>
          <w:rFonts w:ascii="Times New Roman" w:hAnsi="Times New Roman" w:cs="Times New Roman"/>
        </w:rPr>
        <w:t>Gunawan</w:t>
      </w:r>
      <w:proofErr w:type="spellEnd"/>
      <w:r w:rsidRPr="003C0052">
        <w:rPr>
          <w:rFonts w:ascii="Times New Roman" w:hAnsi="Times New Roman" w:cs="Times New Roman"/>
        </w:rPr>
        <w:t xml:space="preserve">, R., Rahman, F., El Mufti, K., Din, N. U., &amp; </w:t>
      </w:r>
      <w:proofErr w:type="spellStart"/>
      <w:r w:rsidRPr="003C0052">
        <w:rPr>
          <w:rFonts w:ascii="Times New Roman" w:hAnsi="Times New Roman" w:cs="Times New Roman"/>
        </w:rPr>
        <w:t>Felten</w:t>
      </w:r>
      <w:proofErr w:type="spellEnd"/>
      <w:r w:rsidRPr="003C0052">
        <w:rPr>
          <w:rFonts w:ascii="Times New Roman" w:hAnsi="Times New Roman" w:cs="Times New Roman"/>
        </w:rPr>
        <w:t>, R. (2012). The death penalty for drug offences: global overview 2012. </w:t>
      </w:r>
      <w:r w:rsidRPr="003C0052">
        <w:rPr>
          <w:rFonts w:ascii="Times New Roman" w:hAnsi="Times New Roman" w:cs="Times New Roman"/>
          <w:i/>
          <w:iCs/>
        </w:rPr>
        <w:t>London: International Harm Reduction Association</w:t>
      </w:r>
      <w:r w:rsidRPr="003C0052">
        <w:rPr>
          <w:rFonts w:ascii="Times New Roman" w:hAnsi="Times New Roman" w:cs="Times New Roman"/>
        </w:rPr>
        <w:t>.</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proofErr w:type="gramStart"/>
      <w:r w:rsidRPr="003C0052">
        <w:rPr>
          <w:rFonts w:ascii="Times New Roman" w:hAnsi="Times New Roman" w:cs="Times New Roman"/>
        </w:rPr>
        <w:t>Global Commission on Drugs Policy (2016) Advancing Drug Policy Reform: A New Approach to Decriminalisation.</w:t>
      </w:r>
      <w:proofErr w:type="gramEnd"/>
      <w:r w:rsidRPr="003C0052">
        <w:rPr>
          <w:rFonts w:ascii="Times New Roman" w:hAnsi="Times New Roman" w:cs="Times New Roman"/>
        </w:rPr>
        <w:t xml:space="preserve"> </w:t>
      </w:r>
      <w:proofErr w:type="gramStart"/>
      <w:r w:rsidRPr="003C0052">
        <w:rPr>
          <w:rFonts w:ascii="Times New Roman" w:hAnsi="Times New Roman" w:cs="Times New Roman"/>
        </w:rPr>
        <w:t>GCDP.</w:t>
      </w:r>
      <w:proofErr w:type="gramEnd"/>
      <w:r w:rsidRPr="003C0052">
        <w:rPr>
          <w:rFonts w:ascii="Times New Roman" w:hAnsi="Times New Roman" w:cs="Times New Roman"/>
        </w:rPr>
        <w:t xml:space="preserve"> Available at: </w:t>
      </w:r>
      <w:hyperlink r:id="rId33" w:history="1">
        <w:r w:rsidRPr="003C0052">
          <w:rPr>
            <w:rStyle w:val="Hyperlink"/>
            <w:rFonts w:ascii="Times New Roman" w:hAnsi="Times New Roman" w:cs="Times New Roman"/>
          </w:rPr>
          <w:t>http://www.globalcommissionondrugs.org/wp-content/uploads/2016/11/GCDP-Report-2016-ENGLISH.pdf</w:t>
        </w:r>
      </w:hyperlink>
      <w:r w:rsidRPr="003C0052">
        <w:rPr>
          <w:rFonts w:ascii="Times New Roman" w:hAnsi="Times New Roman" w:cs="Times New Roman"/>
        </w:rPr>
        <w:t xml:space="preserve"> </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lang w:val="en-US"/>
        </w:rPr>
      </w:pPr>
      <w:proofErr w:type="spellStart"/>
      <w:r w:rsidRPr="003C0052">
        <w:rPr>
          <w:rFonts w:ascii="Times New Roman" w:hAnsi="Times New Roman" w:cs="Times New Roman"/>
          <w:lang w:val="en-US"/>
        </w:rPr>
        <w:t>Grigg</w:t>
      </w:r>
      <w:proofErr w:type="spellEnd"/>
      <w:r w:rsidRPr="003C0052">
        <w:rPr>
          <w:rFonts w:ascii="Times New Roman" w:hAnsi="Times New Roman" w:cs="Times New Roman"/>
          <w:lang w:val="en-US"/>
        </w:rPr>
        <w:t xml:space="preserve">, J., </w:t>
      </w:r>
      <w:proofErr w:type="spellStart"/>
      <w:proofErr w:type="gramStart"/>
      <w:r w:rsidRPr="003C0052">
        <w:rPr>
          <w:rFonts w:ascii="Times New Roman" w:hAnsi="Times New Roman" w:cs="Times New Roman"/>
          <w:lang w:val="en-US"/>
        </w:rPr>
        <w:t>Lenton</w:t>
      </w:r>
      <w:proofErr w:type="spellEnd"/>
      <w:r w:rsidRPr="003C0052">
        <w:rPr>
          <w:rFonts w:ascii="Times New Roman" w:hAnsi="Times New Roman" w:cs="Times New Roman"/>
          <w:lang w:val="en-US"/>
        </w:rPr>
        <w:t>.,</w:t>
      </w:r>
      <w:proofErr w:type="gramEnd"/>
      <w:r w:rsidRPr="003C0052">
        <w:rPr>
          <w:rFonts w:ascii="Times New Roman" w:hAnsi="Times New Roman" w:cs="Times New Roman"/>
          <w:lang w:val="en-US"/>
        </w:rPr>
        <w:t xml:space="preserve"> Scott, J., &amp; Barratt, M., (2015). National</w:t>
      </w:r>
      <w:r w:rsidRPr="003C0052">
        <w:rPr>
          <w:rFonts w:ascii="Times New Roman" w:hAnsi="Times New Roman" w:cs="Times New Roman"/>
          <w:i/>
          <w:lang w:val="en-US"/>
        </w:rPr>
        <w:t xml:space="preserve"> Drug Law Enforcement Research Fund, Monograph Series No. 59: Social supply of cannabis in Australia. </w:t>
      </w:r>
      <w:r w:rsidRPr="003C0052">
        <w:rPr>
          <w:rFonts w:ascii="Times New Roman" w:hAnsi="Times New Roman" w:cs="Times New Roman"/>
          <w:lang w:val="en-US"/>
        </w:rPr>
        <w:t xml:space="preserve">Available at: </w:t>
      </w:r>
      <w:hyperlink r:id="rId34" w:history="1">
        <w:r w:rsidRPr="003C0052">
          <w:rPr>
            <w:rStyle w:val="Hyperlink"/>
            <w:rFonts w:ascii="Times New Roman" w:hAnsi="Times New Roman" w:cs="Times New Roman"/>
            <w:lang w:val="en-US"/>
          </w:rPr>
          <w:t>http://www.ndlerf.gov.au/publications/monographs/monograph-59</w:t>
        </w:r>
      </w:hyperlink>
      <w:r w:rsidRPr="003C0052">
        <w:rPr>
          <w:rFonts w:ascii="Times New Roman" w:hAnsi="Times New Roman" w:cs="Times New Roman"/>
          <w:lang w:val="en-US"/>
        </w:rPr>
        <w:t>.</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r w:rsidRPr="003C0052">
        <w:rPr>
          <w:rFonts w:ascii="Times New Roman" w:hAnsi="Times New Roman" w:cs="Times New Roman"/>
        </w:rPr>
        <w:t>Harris, G. (2011) Expert Seminar on Proportionality of Sentencing for Drug Offences. London, UK: International Drug Policy Consortium.</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lang w:val="en-US"/>
        </w:rPr>
      </w:pPr>
      <w:proofErr w:type="spellStart"/>
      <w:proofErr w:type="gramStart"/>
      <w:r w:rsidRPr="003C0052">
        <w:rPr>
          <w:rFonts w:ascii="Times New Roman" w:hAnsi="Times New Roman" w:cs="Times New Roman"/>
          <w:lang w:val="en-US"/>
        </w:rPr>
        <w:t>Hakkarainen</w:t>
      </w:r>
      <w:proofErr w:type="spellEnd"/>
      <w:r w:rsidRPr="003C0052">
        <w:rPr>
          <w:rFonts w:ascii="Times New Roman" w:hAnsi="Times New Roman" w:cs="Times New Roman"/>
          <w:lang w:val="en-US"/>
        </w:rPr>
        <w:t xml:space="preserve">, P., &amp; </w:t>
      </w:r>
      <w:proofErr w:type="spellStart"/>
      <w:r w:rsidRPr="003C0052">
        <w:rPr>
          <w:rFonts w:ascii="Times New Roman" w:hAnsi="Times New Roman" w:cs="Times New Roman"/>
          <w:lang w:val="en-US"/>
        </w:rPr>
        <w:t>Perälä</w:t>
      </w:r>
      <w:proofErr w:type="spellEnd"/>
      <w:r w:rsidRPr="003C0052">
        <w:rPr>
          <w:rFonts w:ascii="Times New Roman" w:hAnsi="Times New Roman" w:cs="Times New Roman"/>
          <w:lang w:val="en-US"/>
        </w:rPr>
        <w:t>, J. (2016).</w:t>
      </w:r>
      <w:proofErr w:type="gramEnd"/>
      <w:r w:rsidRPr="003C0052">
        <w:rPr>
          <w:rFonts w:ascii="Times New Roman" w:hAnsi="Times New Roman" w:cs="Times New Roman"/>
          <w:lang w:val="en-US"/>
        </w:rPr>
        <w:t xml:space="preserve"> </w:t>
      </w:r>
      <w:proofErr w:type="gramStart"/>
      <w:r w:rsidRPr="003C0052">
        <w:rPr>
          <w:rFonts w:ascii="Times New Roman" w:hAnsi="Times New Roman" w:cs="Times New Roman"/>
          <w:lang w:val="en-US"/>
        </w:rPr>
        <w:t>Green, green grass of home ­– Small-scale cannabis cultivation and social supply in Finland.</w:t>
      </w:r>
      <w:proofErr w:type="gramEnd"/>
      <w:r w:rsidRPr="003C0052">
        <w:rPr>
          <w:rFonts w:ascii="Times New Roman" w:hAnsi="Times New Roman" w:cs="Times New Roman"/>
          <w:lang w:val="en-US"/>
        </w:rPr>
        <w:t xml:space="preserve"> </w:t>
      </w:r>
      <w:proofErr w:type="gramStart"/>
      <w:r w:rsidRPr="003C0052">
        <w:rPr>
          <w:rFonts w:ascii="Times New Roman" w:hAnsi="Times New Roman" w:cs="Times New Roman"/>
          <w:lang w:val="en-US"/>
        </w:rPr>
        <w:t xml:space="preserve">In </w:t>
      </w:r>
      <w:proofErr w:type="spellStart"/>
      <w:r w:rsidRPr="003C0052">
        <w:rPr>
          <w:rFonts w:ascii="Times New Roman" w:hAnsi="Times New Roman" w:cs="Times New Roman"/>
          <w:lang w:val="en-US"/>
        </w:rPr>
        <w:t>Werse</w:t>
      </w:r>
      <w:proofErr w:type="spellEnd"/>
      <w:r w:rsidRPr="003C0052">
        <w:rPr>
          <w:rFonts w:ascii="Times New Roman" w:hAnsi="Times New Roman" w:cs="Times New Roman"/>
          <w:lang w:val="en-US"/>
        </w:rPr>
        <w:t xml:space="preserve">, B., &amp; Bernard, C. (eds.) </w:t>
      </w:r>
      <w:r w:rsidRPr="003C0052">
        <w:rPr>
          <w:rFonts w:ascii="Times New Roman" w:hAnsi="Times New Roman" w:cs="Times New Roman"/>
          <w:i/>
          <w:lang w:val="en-US"/>
        </w:rPr>
        <w:t>Friendly business.</w:t>
      </w:r>
      <w:proofErr w:type="gramEnd"/>
      <w:r w:rsidRPr="003C0052">
        <w:rPr>
          <w:rFonts w:ascii="Times New Roman" w:hAnsi="Times New Roman" w:cs="Times New Roman"/>
          <w:i/>
          <w:lang w:val="en-US"/>
        </w:rPr>
        <w:t xml:space="preserve"> International views on social supply, self-supply and small-scale drug dealing</w:t>
      </w:r>
      <w:r w:rsidRPr="003C0052">
        <w:rPr>
          <w:rFonts w:ascii="Times New Roman" w:hAnsi="Times New Roman" w:cs="Times New Roman"/>
          <w:lang w:val="en-US"/>
        </w:rPr>
        <w:t>. Wiesbaden: Springer VS, 197-221</w:t>
      </w:r>
    </w:p>
    <w:p w:rsidR="00BF1132" w:rsidRPr="003C0052" w:rsidRDefault="00BF1132" w:rsidP="00EC53E9">
      <w:pPr>
        <w:rPr>
          <w:rFonts w:ascii="Times New Roman" w:hAnsi="Times New Roman" w:cs="Times New Roman"/>
          <w:lang w:val="en-US"/>
        </w:rPr>
      </w:pPr>
    </w:p>
    <w:p w:rsidR="00EC53E9" w:rsidRPr="003C0052" w:rsidRDefault="00EC53E9" w:rsidP="00EC53E9">
      <w:pPr>
        <w:rPr>
          <w:rFonts w:ascii="Times New Roman" w:hAnsi="Times New Roman" w:cs="Times New Roman"/>
        </w:rPr>
      </w:pPr>
      <w:r w:rsidRPr="003C0052">
        <w:rPr>
          <w:rFonts w:ascii="Times New Roman" w:hAnsi="Times New Roman" w:cs="Times New Roman"/>
        </w:rPr>
        <w:t xml:space="preserve">Hathaway, A.D. 2004. </w:t>
      </w:r>
      <w:proofErr w:type="gramStart"/>
      <w:r w:rsidRPr="003C0052">
        <w:rPr>
          <w:rFonts w:ascii="Times New Roman" w:hAnsi="Times New Roman" w:cs="Times New Roman"/>
        </w:rPr>
        <w:t>Cannabis users’ informal rules for managing stigma and risk.</w:t>
      </w:r>
      <w:proofErr w:type="gramEnd"/>
      <w:r w:rsidRPr="003C0052">
        <w:rPr>
          <w:rFonts w:ascii="Times New Roman" w:hAnsi="Times New Roman" w:cs="Times New Roman"/>
        </w:rPr>
        <w:t xml:space="preserve"> Deviant </w:t>
      </w:r>
      <w:proofErr w:type="spellStart"/>
      <w:r w:rsidRPr="003C0052">
        <w:rPr>
          <w:rFonts w:ascii="Times New Roman" w:hAnsi="Times New Roman" w:cs="Times New Roman"/>
        </w:rPr>
        <w:t>Behavior</w:t>
      </w:r>
      <w:proofErr w:type="spellEnd"/>
      <w:r w:rsidRPr="003C0052">
        <w:rPr>
          <w:rFonts w:ascii="Times New Roman" w:hAnsi="Times New Roman" w:cs="Times New Roman"/>
        </w:rPr>
        <w:t xml:space="preserve"> 25(6): 559-77.</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r w:rsidRPr="003C0052">
        <w:rPr>
          <w:rFonts w:ascii="Times New Roman" w:hAnsi="Times New Roman" w:cs="Times New Roman"/>
        </w:rPr>
        <w:t xml:space="preserve">Hathaway, A.D., Erickson, P.G. and Lucas, P. 2007. Canadian public opinion on cannabis: How far out of step with it is the existing law? </w:t>
      </w:r>
      <w:r w:rsidRPr="003C0052">
        <w:rPr>
          <w:rFonts w:ascii="Times New Roman" w:hAnsi="Times New Roman" w:cs="Times New Roman"/>
          <w:i/>
        </w:rPr>
        <w:t>Canadian Review of Social Policy</w:t>
      </w:r>
      <w:r w:rsidRPr="003C0052">
        <w:rPr>
          <w:rFonts w:ascii="Times New Roman" w:hAnsi="Times New Roman" w:cs="Times New Roman"/>
        </w:rPr>
        <w:t xml:space="preserve"> 59: 44-55.</w:t>
      </w:r>
    </w:p>
    <w:p w:rsidR="00BF1132" w:rsidRPr="003C0052" w:rsidRDefault="00BF1132" w:rsidP="00EC53E9">
      <w:pPr>
        <w:rPr>
          <w:rFonts w:ascii="Times New Roman" w:hAnsi="Times New Roman" w:cs="Times New Roman"/>
        </w:rPr>
      </w:pPr>
    </w:p>
    <w:p w:rsidR="00BF1132" w:rsidRPr="003C0052" w:rsidRDefault="00BF1132" w:rsidP="00BF1132">
      <w:pPr>
        <w:shd w:val="clear" w:color="auto" w:fill="FFFFFF"/>
        <w:spacing w:after="240"/>
        <w:rPr>
          <w:rFonts w:ascii="Times New Roman" w:eastAsia="Times New Roman" w:hAnsi="Times New Roman" w:cs="Times New Roman"/>
          <w:color w:val="000000"/>
          <w:lang w:eastAsia="en-GB"/>
        </w:rPr>
      </w:pPr>
      <w:r w:rsidRPr="003C0052">
        <w:rPr>
          <w:rFonts w:ascii="Times New Roman" w:eastAsia="Times New Roman" w:hAnsi="Times New Roman" w:cs="Times New Roman"/>
          <w:color w:val="000000"/>
          <w:lang w:eastAsia="en-GB"/>
        </w:rPr>
        <w:t xml:space="preserve">Hathaway, A., </w:t>
      </w:r>
      <w:proofErr w:type="spellStart"/>
      <w:r w:rsidRPr="003C0052">
        <w:rPr>
          <w:rFonts w:ascii="Times New Roman" w:eastAsia="Times New Roman" w:hAnsi="Times New Roman" w:cs="Times New Roman"/>
          <w:color w:val="000000"/>
          <w:lang w:eastAsia="en-GB"/>
        </w:rPr>
        <w:t>Mostaghim</w:t>
      </w:r>
      <w:proofErr w:type="spellEnd"/>
      <w:r w:rsidRPr="003C0052">
        <w:rPr>
          <w:rFonts w:ascii="Times New Roman" w:eastAsia="Times New Roman" w:hAnsi="Times New Roman" w:cs="Times New Roman"/>
          <w:color w:val="000000"/>
          <w:lang w:eastAsia="en-GB"/>
        </w:rPr>
        <w:t xml:space="preserve">, A., Erickson, P., Kolar, K. and Osbourne, G. (2018) “It’s Really No Big Deal”: The Role of Social Supply Networks in Normalizing Use of </w:t>
      </w:r>
      <w:r w:rsidRPr="003C0052">
        <w:rPr>
          <w:rFonts w:ascii="Times New Roman" w:eastAsia="Times New Roman" w:hAnsi="Times New Roman" w:cs="Times New Roman"/>
          <w:color w:val="000000"/>
          <w:lang w:eastAsia="en-GB"/>
        </w:rPr>
        <w:lastRenderedPageBreak/>
        <w:t xml:space="preserve">Cannabis by Students at Canadian Universities, </w:t>
      </w:r>
      <w:r w:rsidRPr="003C0052">
        <w:rPr>
          <w:rFonts w:ascii="Times New Roman" w:eastAsia="Times New Roman" w:hAnsi="Times New Roman" w:cs="Times New Roman"/>
          <w:i/>
          <w:color w:val="000000"/>
          <w:lang w:eastAsia="en-GB"/>
        </w:rPr>
        <w:t>Deviant Behaviour</w:t>
      </w:r>
      <w:r w:rsidRPr="003C0052">
        <w:rPr>
          <w:rFonts w:ascii="Times New Roman" w:eastAsia="Times New Roman" w:hAnsi="Times New Roman" w:cs="Times New Roman"/>
          <w:color w:val="000000"/>
          <w:lang w:eastAsia="en-GB"/>
        </w:rPr>
        <w:t xml:space="preserve"> [early online doi.org/10.1080/01639625.2017.1411047]</w:t>
      </w:r>
    </w:p>
    <w:p w:rsidR="00BF1132" w:rsidRPr="003C0052" w:rsidRDefault="00BF1132" w:rsidP="00BF1132">
      <w:pPr>
        <w:shd w:val="clear" w:color="auto" w:fill="FFFFFF"/>
        <w:spacing w:after="240"/>
        <w:rPr>
          <w:rFonts w:ascii="Times New Roman" w:eastAsia="Times New Roman" w:hAnsi="Times New Roman" w:cs="Times New Roman"/>
          <w:color w:val="000000"/>
          <w:lang w:eastAsia="en-GB"/>
        </w:rPr>
      </w:pPr>
      <w:r w:rsidRPr="003C0052">
        <w:rPr>
          <w:rFonts w:ascii="Times New Roman" w:eastAsia="Times New Roman" w:hAnsi="Times New Roman" w:cs="Times New Roman"/>
          <w:color w:val="000000"/>
          <w:lang w:eastAsia="en-GB"/>
        </w:rPr>
        <w:t xml:space="preserve">Hathaway, A., </w:t>
      </w:r>
      <w:proofErr w:type="spellStart"/>
      <w:r w:rsidRPr="003C0052">
        <w:rPr>
          <w:rFonts w:ascii="Times New Roman" w:eastAsia="Times New Roman" w:hAnsi="Times New Roman" w:cs="Times New Roman"/>
          <w:color w:val="000000"/>
          <w:lang w:eastAsia="en-GB"/>
        </w:rPr>
        <w:t>Mostaghim</w:t>
      </w:r>
      <w:proofErr w:type="spellEnd"/>
      <w:r w:rsidRPr="003C0052">
        <w:rPr>
          <w:rFonts w:ascii="Times New Roman" w:eastAsia="Times New Roman" w:hAnsi="Times New Roman" w:cs="Times New Roman"/>
          <w:color w:val="000000"/>
          <w:lang w:eastAsia="en-GB"/>
        </w:rPr>
        <w:t xml:space="preserve">, A., Erickson, P., Kolar, K. and Osbourne, G. (2016) A nuanced view of normalisation: Attitudes of cannabis non-users in a study of undergraduate students at three Canadian universities, </w:t>
      </w:r>
      <w:r w:rsidRPr="003C0052">
        <w:rPr>
          <w:rFonts w:ascii="Times New Roman" w:eastAsia="Times New Roman" w:hAnsi="Times New Roman" w:cs="Times New Roman"/>
          <w:i/>
          <w:color w:val="000000"/>
          <w:lang w:eastAsia="en-GB"/>
        </w:rPr>
        <w:t>Drugs: Education, Prevention and Policy</w:t>
      </w:r>
      <w:proofErr w:type="gramStart"/>
      <w:r w:rsidRPr="003C0052">
        <w:rPr>
          <w:rFonts w:ascii="Times New Roman" w:eastAsia="Times New Roman" w:hAnsi="Times New Roman" w:cs="Times New Roman"/>
          <w:color w:val="000000"/>
          <w:lang w:eastAsia="en-GB"/>
        </w:rPr>
        <w:t>,  23</w:t>
      </w:r>
      <w:proofErr w:type="gramEnd"/>
      <w:r w:rsidRPr="003C0052">
        <w:rPr>
          <w:rFonts w:ascii="Times New Roman" w:eastAsia="Times New Roman" w:hAnsi="Times New Roman" w:cs="Times New Roman"/>
          <w:color w:val="000000"/>
          <w:lang w:eastAsia="en-GB"/>
        </w:rPr>
        <w:t>(3): 238-246</w:t>
      </w:r>
    </w:p>
    <w:p w:rsidR="00EC53E9" w:rsidRPr="003C0052" w:rsidRDefault="00EC53E9" w:rsidP="00EC53E9">
      <w:pPr>
        <w:rPr>
          <w:rFonts w:ascii="Times New Roman" w:hAnsi="Times New Roman" w:cs="Times New Roman"/>
        </w:rPr>
      </w:pPr>
      <w:r w:rsidRPr="003C0052">
        <w:rPr>
          <w:rFonts w:ascii="Times New Roman" w:hAnsi="Times New Roman" w:cs="Times New Roman"/>
        </w:rPr>
        <w:t xml:space="preserve">Hong Kong Government Records Service (1960) Available at: </w:t>
      </w:r>
      <w:hyperlink r:id="rId35" w:history="1">
        <w:r w:rsidRPr="003C0052">
          <w:rPr>
            <w:rStyle w:val="Hyperlink"/>
            <w:rFonts w:ascii="Times New Roman" w:hAnsi="Times New Roman" w:cs="Times New Roman"/>
          </w:rPr>
          <w:t>http://www.grs.gov.hk/ws/online/anti_drug/en/poster_gallery/index.html</w:t>
        </w:r>
      </w:hyperlink>
      <w:r w:rsidRPr="003C0052">
        <w:rPr>
          <w:rFonts w:ascii="Times New Roman" w:hAnsi="Times New Roman" w:cs="Times New Roman"/>
        </w:rPr>
        <w:t xml:space="preserve"> </w:t>
      </w:r>
    </w:p>
    <w:p w:rsidR="00EC53E9" w:rsidRPr="003C0052" w:rsidRDefault="00EC53E9" w:rsidP="00EC53E9">
      <w:pPr>
        <w:rPr>
          <w:rFonts w:ascii="Times New Roman" w:hAnsi="Times New Roman" w:cs="Times New Roman"/>
        </w:rPr>
      </w:pPr>
    </w:p>
    <w:p w:rsidR="00EC53E9" w:rsidRPr="003C0052" w:rsidRDefault="00EC53E9" w:rsidP="00EC53E9">
      <w:pPr>
        <w:spacing w:after="120"/>
        <w:rPr>
          <w:rFonts w:ascii="Times New Roman" w:hAnsi="Times New Roman" w:cs="Times New Roman"/>
        </w:rPr>
      </w:pPr>
      <w:r w:rsidRPr="003C0052">
        <w:rPr>
          <w:rFonts w:ascii="Times New Roman" w:hAnsi="Times New Roman" w:cs="Times New Roman"/>
        </w:rPr>
        <w:t>Hughes, C</w:t>
      </w:r>
      <w:proofErr w:type="gramStart"/>
      <w:r w:rsidRPr="003C0052">
        <w:rPr>
          <w:rFonts w:ascii="Times New Roman" w:hAnsi="Times New Roman" w:cs="Times New Roman"/>
        </w:rPr>
        <w:t>,.</w:t>
      </w:r>
      <w:proofErr w:type="gramEnd"/>
      <w:r w:rsidRPr="003C0052">
        <w:rPr>
          <w:rFonts w:ascii="Times New Roman" w:hAnsi="Times New Roman" w:cs="Times New Roman"/>
        </w:rPr>
        <w:t xml:space="preserve"> &amp; Ritter, A. (2011) ‘Legal thresholds for serious drug offences: Expert advice to the ACT on determining amounts for trafficable, commercial and large commercial drug offences’, </w:t>
      </w:r>
      <w:r w:rsidRPr="003C0052">
        <w:rPr>
          <w:rFonts w:ascii="Times New Roman" w:hAnsi="Times New Roman" w:cs="Times New Roman"/>
          <w:i/>
        </w:rPr>
        <w:t>DPMP Monograph Series</w:t>
      </w:r>
      <w:r w:rsidRPr="003C0052">
        <w:rPr>
          <w:rFonts w:ascii="Times New Roman" w:hAnsi="Times New Roman" w:cs="Times New Roman"/>
        </w:rPr>
        <w:t>, No. 22, Sydney, National Drug and Alcohol Research Centre.</w:t>
      </w:r>
    </w:p>
    <w:p w:rsidR="00EC53E9" w:rsidRPr="003C0052" w:rsidRDefault="00EC53E9" w:rsidP="00EC53E9">
      <w:pPr>
        <w:rPr>
          <w:rFonts w:ascii="Times New Roman" w:hAnsi="Times New Roman" w:cs="Times New Roman"/>
        </w:rPr>
      </w:pPr>
    </w:p>
    <w:p w:rsidR="00EC53E9" w:rsidRPr="003C0052" w:rsidRDefault="00EC53E9" w:rsidP="00EC53E9">
      <w:pPr>
        <w:spacing w:after="120"/>
        <w:rPr>
          <w:rFonts w:ascii="Times New Roman" w:hAnsi="Times New Roman" w:cs="Times New Roman"/>
        </w:rPr>
      </w:pPr>
      <w:r w:rsidRPr="003C0052">
        <w:rPr>
          <w:rFonts w:ascii="Times New Roman" w:hAnsi="Times New Roman" w:cs="Times New Roman"/>
        </w:rPr>
        <w:t xml:space="preserve">Hughes, C., Ritter, A., </w:t>
      </w:r>
      <w:proofErr w:type="spellStart"/>
      <w:r w:rsidRPr="003C0052">
        <w:rPr>
          <w:rFonts w:ascii="Times New Roman" w:hAnsi="Times New Roman" w:cs="Times New Roman"/>
        </w:rPr>
        <w:t>Cowdery</w:t>
      </w:r>
      <w:proofErr w:type="spellEnd"/>
      <w:r w:rsidRPr="003C0052">
        <w:rPr>
          <w:rFonts w:ascii="Times New Roman" w:hAnsi="Times New Roman" w:cs="Times New Roman"/>
        </w:rPr>
        <w:t xml:space="preserve">, N. &amp; Phillips, B. (2014) ‘Australian Threshold quantities for “Drug Trafficking”: Are They Placing Drug Users at Risk of Unjustified Sanction?’ </w:t>
      </w:r>
      <w:proofErr w:type="gramStart"/>
      <w:r w:rsidRPr="003C0052">
        <w:rPr>
          <w:rFonts w:ascii="Times New Roman" w:hAnsi="Times New Roman" w:cs="Times New Roman"/>
          <w:i/>
        </w:rPr>
        <w:t>Trends &amp; Issues in Crime and Criminal Justice</w:t>
      </w:r>
      <w:r w:rsidRPr="003C0052">
        <w:rPr>
          <w:rFonts w:ascii="Times New Roman" w:hAnsi="Times New Roman" w:cs="Times New Roman"/>
        </w:rPr>
        <w:t xml:space="preserve"> 467, Australian Institute of Criminology.</w:t>
      </w:r>
      <w:proofErr w:type="gramEnd"/>
    </w:p>
    <w:p w:rsidR="00EC53E9" w:rsidRPr="003C0052" w:rsidRDefault="00EC53E9" w:rsidP="00EC53E9">
      <w:pPr>
        <w:rPr>
          <w:rFonts w:ascii="Times New Roman" w:hAnsi="Times New Roman" w:cs="Times New Roman"/>
        </w:rPr>
      </w:pPr>
      <w:r w:rsidRPr="003C0052">
        <w:rPr>
          <w:rFonts w:ascii="Times New Roman" w:hAnsi="Times New Roman" w:cs="Times New Roman"/>
        </w:rPr>
        <w:t xml:space="preserve">Jacinto, C., </w:t>
      </w:r>
      <w:proofErr w:type="spellStart"/>
      <w:r w:rsidRPr="003C0052">
        <w:rPr>
          <w:rFonts w:ascii="Times New Roman" w:hAnsi="Times New Roman" w:cs="Times New Roman"/>
        </w:rPr>
        <w:t>Duterte</w:t>
      </w:r>
      <w:proofErr w:type="spellEnd"/>
      <w:r w:rsidRPr="003C0052">
        <w:rPr>
          <w:rFonts w:ascii="Times New Roman" w:hAnsi="Times New Roman" w:cs="Times New Roman"/>
        </w:rPr>
        <w:t xml:space="preserve">, M., </w:t>
      </w:r>
      <w:proofErr w:type="gramStart"/>
      <w:r w:rsidRPr="003C0052">
        <w:rPr>
          <w:rFonts w:ascii="Times New Roman" w:hAnsi="Times New Roman" w:cs="Times New Roman"/>
        </w:rPr>
        <w:t>Sales.,</w:t>
      </w:r>
      <w:proofErr w:type="gramEnd"/>
      <w:r w:rsidRPr="003C0052">
        <w:rPr>
          <w:rFonts w:ascii="Times New Roman" w:hAnsi="Times New Roman" w:cs="Times New Roman"/>
        </w:rPr>
        <w:t xml:space="preserve"> P and Murphy, S. (2008) I’m not a real dealer: The identity process of ecstasy sellers. </w:t>
      </w:r>
      <w:r w:rsidRPr="003C0052">
        <w:rPr>
          <w:rFonts w:ascii="Times New Roman" w:hAnsi="Times New Roman" w:cs="Times New Roman"/>
          <w:i/>
        </w:rPr>
        <w:t>Journal of Drug Issues</w:t>
      </w:r>
      <w:r w:rsidRPr="003C0052">
        <w:rPr>
          <w:rFonts w:ascii="Times New Roman" w:hAnsi="Times New Roman" w:cs="Times New Roman"/>
        </w:rPr>
        <w:t xml:space="preserve"> 38: 419–444.</w:t>
      </w:r>
    </w:p>
    <w:p w:rsidR="00EC53E9" w:rsidRPr="003C0052" w:rsidRDefault="00EC53E9" w:rsidP="00EC53E9">
      <w:pPr>
        <w:rPr>
          <w:rFonts w:ascii="Times New Roman" w:hAnsi="Times New Roman" w:cs="Times New Roman"/>
          <w:b/>
        </w:rPr>
      </w:pPr>
    </w:p>
    <w:p w:rsidR="00EC53E9" w:rsidRPr="003C0052" w:rsidRDefault="00EC53E9" w:rsidP="00EC53E9">
      <w:pPr>
        <w:rPr>
          <w:rFonts w:ascii="Times New Roman" w:hAnsi="Times New Roman" w:cs="Times New Roman"/>
        </w:rPr>
      </w:pPr>
      <w:r w:rsidRPr="003C0052">
        <w:rPr>
          <w:rFonts w:ascii="Times New Roman" w:hAnsi="Times New Roman" w:cs="Times New Roman"/>
        </w:rPr>
        <w:t xml:space="preserve">Jacques, S., and Wright, R. (2011) </w:t>
      </w:r>
      <w:r w:rsidRPr="003C0052">
        <w:rPr>
          <w:rFonts w:ascii="Times New Roman" w:hAnsi="Times New Roman" w:cs="Times New Roman"/>
          <w:i/>
        </w:rPr>
        <w:t xml:space="preserve">Code of the Suburb: Inside the world of white middle class drug dealers. </w:t>
      </w:r>
      <w:r w:rsidRPr="003C0052">
        <w:rPr>
          <w:rFonts w:ascii="Times New Roman" w:hAnsi="Times New Roman" w:cs="Times New Roman"/>
        </w:rPr>
        <w:t>Chicago: University of Chicago Press.</w:t>
      </w:r>
    </w:p>
    <w:p w:rsidR="00EC53E9" w:rsidRPr="003C0052" w:rsidRDefault="00EC53E9" w:rsidP="00EC53E9">
      <w:pPr>
        <w:rPr>
          <w:rFonts w:ascii="Times New Roman" w:hAnsi="Times New Roman" w:cs="Times New Roman"/>
          <w:b/>
        </w:rPr>
      </w:pPr>
    </w:p>
    <w:p w:rsidR="00EC53E9" w:rsidRPr="003C0052" w:rsidRDefault="00EC53E9" w:rsidP="00EC53E9">
      <w:pPr>
        <w:rPr>
          <w:rFonts w:ascii="Times New Roman" w:hAnsi="Times New Roman" w:cs="Times New Roman"/>
        </w:rPr>
      </w:pPr>
      <w:proofErr w:type="gramStart"/>
      <w:r w:rsidRPr="003C0052">
        <w:rPr>
          <w:rFonts w:ascii="Times New Roman" w:hAnsi="Times New Roman" w:cs="Times New Roman"/>
        </w:rPr>
        <w:t xml:space="preserve">Joe </w:t>
      </w:r>
      <w:proofErr w:type="spellStart"/>
      <w:r w:rsidRPr="003C0052">
        <w:rPr>
          <w:rFonts w:ascii="Times New Roman" w:hAnsi="Times New Roman" w:cs="Times New Roman"/>
        </w:rPr>
        <w:t>Laidler</w:t>
      </w:r>
      <w:proofErr w:type="spellEnd"/>
      <w:r w:rsidRPr="003C0052">
        <w:rPr>
          <w:rFonts w:ascii="Times New Roman" w:hAnsi="Times New Roman" w:cs="Times New Roman"/>
        </w:rPr>
        <w:t>, K. (2014) Understanding the relationship between drug use and social supply: Observations from Hong Kong.</w:t>
      </w:r>
      <w:proofErr w:type="gramEnd"/>
      <w:r w:rsidRPr="003C0052">
        <w:rPr>
          <w:rFonts w:ascii="Times New Roman" w:hAnsi="Times New Roman" w:cs="Times New Roman"/>
        </w:rPr>
        <w:t xml:space="preserve"> Paper presented at the 708</w:t>
      </w:r>
      <w:r w:rsidRPr="003C0052">
        <w:rPr>
          <w:rFonts w:ascii="Times New Roman" w:hAnsi="Times New Roman" w:cs="Times New Roman"/>
          <w:vertAlign w:val="superscript"/>
        </w:rPr>
        <w:t>th</w:t>
      </w:r>
      <w:r w:rsidRPr="003C0052">
        <w:rPr>
          <w:rFonts w:ascii="Times New Roman" w:hAnsi="Times New Roman" w:cs="Times New Roman"/>
        </w:rPr>
        <w:t xml:space="preserve"> Annual Conference of the American Society of Criminology. 20</w:t>
      </w:r>
      <w:r w:rsidRPr="003C0052">
        <w:rPr>
          <w:rFonts w:ascii="Times New Roman" w:hAnsi="Times New Roman" w:cs="Times New Roman"/>
          <w:vertAlign w:val="superscript"/>
        </w:rPr>
        <w:t>th</w:t>
      </w:r>
      <w:r w:rsidRPr="003C0052">
        <w:rPr>
          <w:rFonts w:ascii="Times New Roman" w:hAnsi="Times New Roman" w:cs="Times New Roman"/>
        </w:rPr>
        <w:t xml:space="preserve"> November. </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r w:rsidRPr="003C0052">
        <w:rPr>
          <w:rFonts w:ascii="Times New Roman" w:hAnsi="Times New Roman" w:cs="Times New Roman"/>
        </w:rPr>
        <w:t xml:space="preserve">Joe </w:t>
      </w:r>
      <w:proofErr w:type="spellStart"/>
      <w:r w:rsidRPr="003C0052">
        <w:rPr>
          <w:rFonts w:ascii="Times New Roman" w:hAnsi="Times New Roman" w:cs="Times New Roman"/>
        </w:rPr>
        <w:t>Laidler</w:t>
      </w:r>
      <w:proofErr w:type="spellEnd"/>
      <w:r w:rsidRPr="003C0052">
        <w:rPr>
          <w:rFonts w:ascii="Times New Roman" w:hAnsi="Times New Roman" w:cs="Times New Roman"/>
        </w:rPr>
        <w:t xml:space="preserve">, K, </w:t>
      </w:r>
      <w:proofErr w:type="spellStart"/>
      <w:r w:rsidRPr="003C0052">
        <w:rPr>
          <w:rFonts w:ascii="Times New Roman" w:hAnsi="Times New Roman" w:cs="Times New Roman"/>
        </w:rPr>
        <w:t>Hodson</w:t>
      </w:r>
      <w:proofErr w:type="spellEnd"/>
      <w:r w:rsidRPr="003C0052">
        <w:rPr>
          <w:rFonts w:ascii="Times New Roman" w:hAnsi="Times New Roman" w:cs="Times New Roman"/>
        </w:rPr>
        <w:t xml:space="preserve">, D &amp; </w:t>
      </w:r>
      <w:proofErr w:type="spellStart"/>
      <w:r w:rsidRPr="003C0052">
        <w:rPr>
          <w:rFonts w:ascii="Times New Roman" w:hAnsi="Times New Roman" w:cs="Times New Roman"/>
        </w:rPr>
        <w:t>Traver</w:t>
      </w:r>
      <w:proofErr w:type="spellEnd"/>
      <w:r w:rsidRPr="003C0052">
        <w:rPr>
          <w:rFonts w:ascii="Times New Roman" w:hAnsi="Times New Roman" w:cs="Times New Roman"/>
        </w:rPr>
        <w:t xml:space="preserve">, H. (2000) </w:t>
      </w:r>
      <w:proofErr w:type="gramStart"/>
      <w:r w:rsidRPr="003C0052">
        <w:rPr>
          <w:rFonts w:ascii="Times New Roman" w:hAnsi="Times New Roman" w:cs="Times New Roman"/>
          <w:i/>
        </w:rPr>
        <w:t>The</w:t>
      </w:r>
      <w:proofErr w:type="gramEnd"/>
      <w:r w:rsidRPr="003C0052">
        <w:rPr>
          <w:rFonts w:ascii="Times New Roman" w:hAnsi="Times New Roman" w:cs="Times New Roman"/>
          <w:i/>
        </w:rPr>
        <w:t xml:space="preserve"> Hong Kong Drug Market. </w:t>
      </w:r>
      <w:proofErr w:type="gramStart"/>
      <w:r w:rsidRPr="003C0052">
        <w:rPr>
          <w:rFonts w:ascii="Times New Roman" w:hAnsi="Times New Roman" w:cs="Times New Roman"/>
          <w:i/>
        </w:rPr>
        <w:t>A Report for UNICRI for the UNDCP Global Study in Illicit Drug Markets</w:t>
      </w:r>
      <w:r w:rsidRPr="003C0052">
        <w:rPr>
          <w:rFonts w:ascii="Times New Roman" w:hAnsi="Times New Roman" w:cs="Times New Roman"/>
        </w:rPr>
        <w:t>.</w:t>
      </w:r>
      <w:proofErr w:type="gramEnd"/>
      <w:r w:rsidRPr="003C0052">
        <w:rPr>
          <w:rFonts w:ascii="Times New Roman" w:hAnsi="Times New Roman" w:cs="Times New Roman"/>
        </w:rPr>
        <w:t xml:space="preserve"> Centre for Criminology, University of Hong Kong.</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proofErr w:type="gramStart"/>
      <w:r w:rsidRPr="003C0052">
        <w:rPr>
          <w:rFonts w:ascii="Times New Roman" w:hAnsi="Times New Roman" w:cs="Times New Roman"/>
        </w:rPr>
        <w:t>Joe-</w:t>
      </w:r>
      <w:proofErr w:type="spellStart"/>
      <w:r w:rsidRPr="003C0052">
        <w:rPr>
          <w:rFonts w:ascii="Times New Roman" w:hAnsi="Times New Roman" w:cs="Times New Roman"/>
        </w:rPr>
        <w:t>Laidler</w:t>
      </w:r>
      <w:proofErr w:type="spellEnd"/>
      <w:r w:rsidRPr="003C0052">
        <w:rPr>
          <w:rFonts w:ascii="Times New Roman" w:hAnsi="Times New Roman" w:cs="Times New Roman"/>
        </w:rPr>
        <w:t>, K., &amp; Hunt, G. (2008).</w:t>
      </w:r>
      <w:proofErr w:type="gramEnd"/>
      <w:r w:rsidRPr="003C0052">
        <w:rPr>
          <w:rFonts w:ascii="Times New Roman" w:hAnsi="Times New Roman" w:cs="Times New Roman"/>
        </w:rPr>
        <w:t xml:space="preserve"> Sit down to float: The cultural meaning of ketamine use in Hong Kong. </w:t>
      </w:r>
      <w:proofErr w:type="gramStart"/>
      <w:r w:rsidRPr="003C0052">
        <w:rPr>
          <w:rFonts w:ascii="Times New Roman" w:hAnsi="Times New Roman" w:cs="Times New Roman"/>
          <w:i/>
        </w:rPr>
        <w:t>Addiction research &amp; theory</w:t>
      </w:r>
      <w:r w:rsidRPr="003C0052">
        <w:rPr>
          <w:rFonts w:ascii="Times New Roman" w:hAnsi="Times New Roman" w:cs="Times New Roman"/>
        </w:rPr>
        <w:t>, 16(3), 259-271.</w:t>
      </w:r>
      <w:proofErr w:type="gramEnd"/>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lang w:val="en-US"/>
        </w:rPr>
      </w:pPr>
      <w:proofErr w:type="spellStart"/>
      <w:r w:rsidRPr="003C0052">
        <w:rPr>
          <w:rFonts w:ascii="Times New Roman" w:hAnsi="Times New Roman" w:cs="Times New Roman"/>
        </w:rPr>
        <w:t>Kainulainen</w:t>
      </w:r>
      <w:proofErr w:type="spellEnd"/>
      <w:r w:rsidRPr="003C0052">
        <w:rPr>
          <w:rFonts w:ascii="Times New Roman" w:hAnsi="Times New Roman" w:cs="Times New Roman"/>
        </w:rPr>
        <w:t xml:space="preserve">, H. 2006. </w:t>
      </w:r>
      <w:proofErr w:type="spellStart"/>
      <w:proofErr w:type="gramStart"/>
      <w:r w:rsidRPr="003C0052">
        <w:rPr>
          <w:rFonts w:ascii="Times New Roman" w:hAnsi="Times New Roman" w:cs="Times New Roman"/>
          <w:i/>
        </w:rPr>
        <w:t>Seuraamuskäytäntö</w:t>
      </w:r>
      <w:proofErr w:type="spellEnd"/>
      <w:r w:rsidRPr="003C0052">
        <w:rPr>
          <w:rFonts w:ascii="Times New Roman" w:hAnsi="Times New Roman" w:cs="Times New Roman"/>
          <w:i/>
        </w:rPr>
        <w:t xml:space="preserve"> </w:t>
      </w:r>
      <w:proofErr w:type="spellStart"/>
      <w:r w:rsidRPr="003C0052">
        <w:rPr>
          <w:rFonts w:ascii="Times New Roman" w:hAnsi="Times New Roman" w:cs="Times New Roman"/>
          <w:i/>
        </w:rPr>
        <w:t>huumausaineen</w:t>
      </w:r>
      <w:proofErr w:type="spellEnd"/>
      <w:r w:rsidRPr="003C0052">
        <w:rPr>
          <w:rFonts w:ascii="Times New Roman" w:hAnsi="Times New Roman" w:cs="Times New Roman"/>
          <w:i/>
        </w:rPr>
        <w:t xml:space="preserve"> </w:t>
      </w:r>
      <w:proofErr w:type="spellStart"/>
      <w:r w:rsidRPr="003C0052">
        <w:rPr>
          <w:rFonts w:ascii="Times New Roman" w:hAnsi="Times New Roman" w:cs="Times New Roman"/>
          <w:i/>
        </w:rPr>
        <w:t>käyttörikoksessa</w:t>
      </w:r>
      <w:proofErr w:type="spellEnd"/>
      <w:r w:rsidRPr="003C0052">
        <w:rPr>
          <w:rFonts w:ascii="Times New Roman" w:hAnsi="Times New Roman" w:cs="Times New Roman"/>
          <w:i/>
        </w:rPr>
        <w:t xml:space="preserve"> </w:t>
      </w:r>
      <w:r w:rsidRPr="003C0052">
        <w:rPr>
          <w:rFonts w:ascii="Times New Roman" w:hAnsi="Times New Roman" w:cs="Times New Roman"/>
        </w:rPr>
        <w:t>[Sanction practices in drug offences].</w:t>
      </w:r>
      <w:proofErr w:type="gramEnd"/>
      <w:r w:rsidRPr="003C0052">
        <w:rPr>
          <w:rFonts w:ascii="Times New Roman" w:hAnsi="Times New Roman" w:cs="Times New Roman"/>
        </w:rPr>
        <w:t xml:space="preserve"> </w:t>
      </w:r>
      <w:r w:rsidRPr="003C0052">
        <w:rPr>
          <w:rFonts w:ascii="Times New Roman" w:hAnsi="Times New Roman" w:cs="Times New Roman"/>
          <w:lang w:val="en-US"/>
        </w:rPr>
        <w:t>Helsinki: National Institute of Legal Policy, Research Reports 219.</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proofErr w:type="gramStart"/>
      <w:r w:rsidRPr="003C0052">
        <w:rPr>
          <w:rFonts w:ascii="Times New Roman" w:hAnsi="Times New Roman" w:cs="Times New Roman"/>
        </w:rPr>
        <w:t xml:space="preserve">Kim, B., </w:t>
      </w:r>
      <w:proofErr w:type="spellStart"/>
      <w:r w:rsidRPr="003C0052">
        <w:rPr>
          <w:rFonts w:ascii="Times New Roman" w:hAnsi="Times New Roman" w:cs="Times New Roman"/>
        </w:rPr>
        <w:t>Spohn</w:t>
      </w:r>
      <w:proofErr w:type="spellEnd"/>
      <w:r w:rsidRPr="003C0052">
        <w:rPr>
          <w:rFonts w:ascii="Times New Roman" w:hAnsi="Times New Roman" w:cs="Times New Roman"/>
        </w:rPr>
        <w:t xml:space="preserve">, C., &amp; </w:t>
      </w:r>
      <w:proofErr w:type="spellStart"/>
      <w:r w:rsidRPr="003C0052">
        <w:rPr>
          <w:rFonts w:ascii="Times New Roman" w:hAnsi="Times New Roman" w:cs="Times New Roman"/>
        </w:rPr>
        <w:t>Hedberg</w:t>
      </w:r>
      <w:proofErr w:type="spellEnd"/>
      <w:r w:rsidRPr="003C0052">
        <w:rPr>
          <w:rFonts w:ascii="Times New Roman" w:hAnsi="Times New Roman" w:cs="Times New Roman"/>
        </w:rPr>
        <w:t>, E. C. (2015).</w:t>
      </w:r>
      <w:proofErr w:type="gramEnd"/>
      <w:r w:rsidRPr="003C0052">
        <w:rPr>
          <w:rFonts w:ascii="Times New Roman" w:hAnsi="Times New Roman" w:cs="Times New Roman"/>
        </w:rPr>
        <w:t xml:space="preserve"> Federal sentencing as a complex collaborative process: judges, prosecutors, judge–prosecutor dyads, and disparity in sentencing. </w:t>
      </w:r>
      <w:r w:rsidRPr="003C0052">
        <w:rPr>
          <w:rFonts w:ascii="Times New Roman" w:hAnsi="Times New Roman" w:cs="Times New Roman"/>
          <w:i/>
          <w:iCs/>
        </w:rPr>
        <w:t>Criminology</w:t>
      </w:r>
      <w:r w:rsidRPr="003C0052">
        <w:rPr>
          <w:rFonts w:ascii="Times New Roman" w:hAnsi="Times New Roman" w:cs="Times New Roman"/>
        </w:rPr>
        <w:t>, </w:t>
      </w:r>
      <w:r w:rsidRPr="003C0052">
        <w:rPr>
          <w:rFonts w:ascii="Times New Roman" w:hAnsi="Times New Roman" w:cs="Times New Roman"/>
          <w:i/>
          <w:iCs/>
        </w:rPr>
        <w:t>53</w:t>
      </w:r>
      <w:r w:rsidRPr="003C0052">
        <w:rPr>
          <w:rFonts w:ascii="Times New Roman" w:hAnsi="Times New Roman" w:cs="Times New Roman"/>
        </w:rPr>
        <w:t>(4), 597-623.</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proofErr w:type="gramStart"/>
      <w:r w:rsidRPr="003C0052">
        <w:rPr>
          <w:rFonts w:ascii="Times New Roman" w:hAnsi="Times New Roman" w:cs="Times New Roman"/>
        </w:rPr>
        <w:t xml:space="preserve">Lai G (2012) </w:t>
      </w:r>
      <w:r w:rsidRPr="003C0052">
        <w:rPr>
          <w:rFonts w:ascii="Times New Roman" w:hAnsi="Times New Roman" w:cs="Times New Roman"/>
          <w:i/>
        </w:rPr>
        <w:t>Drugs, crime and punishment.</w:t>
      </w:r>
      <w:proofErr w:type="gramEnd"/>
      <w:r w:rsidRPr="003C0052">
        <w:rPr>
          <w:rFonts w:ascii="Times New Roman" w:hAnsi="Times New Roman" w:cs="Times New Roman"/>
          <w:i/>
        </w:rPr>
        <w:t xml:space="preserve"> </w:t>
      </w:r>
      <w:proofErr w:type="gramStart"/>
      <w:r w:rsidRPr="003C0052">
        <w:rPr>
          <w:rFonts w:ascii="Times New Roman" w:hAnsi="Times New Roman" w:cs="Times New Roman"/>
          <w:i/>
        </w:rPr>
        <w:t>Proportionality of sentencing for drug offences</w:t>
      </w:r>
      <w:r w:rsidRPr="003C0052">
        <w:rPr>
          <w:rFonts w:ascii="Times New Roman" w:hAnsi="Times New Roman" w:cs="Times New Roman"/>
        </w:rPr>
        <w:t>.</w:t>
      </w:r>
      <w:proofErr w:type="gramEnd"/>
      <w:r w:rsidRPr="003C0052">
        <w:rPr>
          <w:rFonts w:ascii="Times New Roman" w:hAnsi="Times New Roman" w:cs="Times New Roman"/>
        </w:rPr>
        <w:t xml:space="preserve"> Series on legislative reform of drug policies, Nr.20. London: International Drug Policy Consortium (IDPC).</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r w:rsidRPr="003C0052">
        <w:rPr>
          <w:rFonts w:ascii="Times New Roman" w:hAnsi="Times New Roman" w:cs="Times New Roman"/>
        </w:rPr>
        <w:lastRenderedPageBreak/>
        <w:t xml:space="preserve">Leung, J., (2010) Hong Kong Government warns young people to stand firm against drugs. </w:t>
      </w:r>
      <w:proofErr w:type="gramStart"/>
      <w:r w:rsidRPr="003C0052">
        <w:rPr>
          <w:rFonts w:ascii="Times New Roman" w:hAnsi="Times New Roman" w:cs="Times New Roman"/>
        </w:rPr>
        <w:t>Campaign.</w:t>
      </w:r>
      <w:proofErr w:type="gramEnd"/>
      <w:r w:rsidRPr="003C0052">
        <w:rPr>
          <w:rFonts w:ascii="Times New Roman" w:hAnsi="Times New Roman" w:cs="Times New Roman"/>
        </w:rPr>
        <w:t xml:space="preserve"> </w:t>
      </w:r>
      <w:proofErr w:type="spellStart"/>
      <w:r w:rsidRPr="003C0052">
        <w:rPr>
          <w:rFonts w:ascii="Times New Roman" w:hAnsi="Times New Roman" w:cs="Times New Roman"/>
        </w:rPr>
        <w:t>Avaliable</w:t>
      </w:r>
      <w:proofErr w:type="spellEnd"/>
      <w:r w:rsidRPr="003C0052">
        <w:rPr>
          <w:rFonts w:ascii="Times New Roman" w:hAnsi="Times New Roman" w:cs="Times New Roman"/>
        </w:rPr>
        <w:t xml:space="preserve"> at:  </w:t>
      </w:r>
      <w:hyperlink r:id="rId36" w:history="1">
        <w:r w:rsidRPr="003C0052">
          <w:rPr>
            <w:rStyle w:val="Hyperlink"/>
            <w:rFonts w:ascii="Times New Roman" w:hAnsi="Times New Roman" w:cs="Times New Roman"/>
          </w:rPr>
          <w:t>http://www.campaignasia.com/article/hong-kong-government-warns-young-people-to-stand-firm-against-drugs/220627</w:t>
        </w:r>
      </w:hyperlink>
      <w:r w:rsidRPr="003C0052">
        <w:rPr>
          <w:rFonts w:ascii="Times New Roman" w:hAnsi="Times New Roman" w:cs="Times New Roman"/>
        </w:rPr>
        <w:t xml:space="preserve"> </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proofErr w:type="spellStart"/>
      <w:proofErr w:type="gramStart"/>
      <w:r w:rsidRPr="003C0052">
        <w:rPr>
          <w:rFonts w:ascii="Times New Roman" w:hAnsi="Times New Roman" w:cs="Times New Roman"/>
        </w:rPr>
        <w:t>Lenton</w:t>
      </w:r>
      <w:proofErr w:type="spellEnd"/>
      <w:r w:rsidRPr="003C0052">
        <w:rPr>
          <w:rFonts w:ascii="Times New Roman" w:hAnsi="Times New Roman" w:cs="Times New Roman"/>
        </w:rPr>
        <w:t xml:space="preserve">, S., </w:t>
      </w:r>
      <w:proofErr w:type="spellStart"/>
      <w:r w:rsidRPr="003C0052">
        <w:rPr>
          <w:rFonts w:ascii="Times New Roman" w:hAnsi="Times New Roman" w:cs="Times New Roman"/>
        </w:rPr>
        <w:t>Grigg</w:t>
      </w:r>
      <w:proofErr w:type="spellEnd"/>
      <w:r w:rsidRPr="003C0052">
        <w:rPr>
          <w:rFonts w:ascii="Times New Roman" w:hAnsi="Times New Roman" w:cs="Times New Roman"/>
        </w:rPr>
        <w:t xml:space="preserve">, J., Scott, J., Barratt, M., &amp; </w:t>
      </w:r>
      <w:proofErr w:type="spellStart"/>
      <w:r w:rsidRPr="003C0052">
        <w:rPr>
          <w:rFonts w:ascii="Times New Roman" w:hAnsi="Times New Roman" w:cs="Times New Roman"/>
        </w:rPr>
        <w:t>Eleftheriadis</w:t>
      </w:r>
      <w:proofErr w:type="spellEnd"/>
      <w:r w:rsidRPr="003C0052">
        <w:rPr>
          <w:rFonts w:ascii="Times New Roman" w:hAnsi="Times New Roman" w:cs="Times New Roman"/>
        </w:rPr>
        <w:t>, D. (2015).</w:t>
      </w:r>
      <w:proofErr w:type="gramEnd"/>
      <w:r w:rsidRPr="003C0052">
        <w:rPr>
          <w:rFonts w:ascii="Times New Roman" w:hAnsi="Times New Roman" w:cs="Times New Roman"/>
        </w:rPr>
        <w:t xml:space="preserve"> </w:t>
      </w:r>
      <w:proofErr w:type="gramStart"/>
      <w:r w:rsidRPr="003C0052">
        <w:rPr>
          <w:rFonts w:ascii="Times New Roman" w:hAnsi="Times New Roman" w:cs="Times New Roman"/>
        </w:rPr>
        <w:t>The social supply of cannabis among young people in Australia.</w:t>
      </w:r>
      <w:proofErr w:type="gramEnd"/>
      <w:r w:rsidRPr="003C0052">
        <w:rPr>
          <w:rFonts w:ascii="Times New Roman" w:hAnsi="Times New Roman" w:cs="Times New Roman"/>
        </w:rPr>
        <w:t> </w:t>
      </w:r>
      <w:r w:rsidRPr="003C0052">
        <w:rPr>
          <w:rFonts w:ascii="Times New Roman" w:hAnsi="Times New Roman" w:cs="Times New Roman"/>
          <w:i/>
          <w:iCs/>
        </w:rPr>
        <w:t>Trends &amp; Issues in Crime and Criminal Justice</w:t>
      </w:r>
      <w:r w:rsidRPr="003C0052">
        <w:rPr>
          <w:rFonts w:ascii="Times New Roman" w:hAnsi="Times New Roman" w:cs="Times New Roman"/>
        </w:rPr>
        <w:t>, </w:t>
      </w:r>
      <w:r w:rsidRPr="003C0052">
        <w:rPr>
          <w:rFonts w:ascii="Times New Roman" w:hAnsi="Times New Roman" w:cs="Times New Roman"/>
          <w:i/>
          <w:iCs/>
        </w:rPr>
        <w:t>503</w:t>
      </w:r>
      <w:r w:rsidRPr="003C0052">
        <w:rPr>
          <w:rFonts w:ascii="Times New Roman" w:hAnsi="Times New Roman" w:cs="Times New Roman"/>
        </w:rPr>
        <w:t>, 501-520.</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proofErr w:type="spellStart"/>
      <w:r w:rsidRPr="003C0052">
        <w:rPr>
          <w:rFonts w:ascii="Times New Roman" w:hAnsi="Times New Roman" w:cs="Times New Roman"/>
        </w:rPr>
        <w:t>Lovegrove</w:t>
      </w:r>
      <w:proofErr w:type="spellEnd"/>
      <w:r w:rsidRPr="003C0052">
        <w:rPr>
          <w:rFonts w:ascii="Times New Roman" w:hAnsi="Times New Roman" w:cs="Times New Roman"/>
        </w:rPr>
        <w:t xml:space="preserve">, A. (2010). </w:t>
      </w:r>
      <w:proofErr w:type="gramStart"/>
      <w:r w:rsidRPr="003C0052">
        <w:rPr>
          <w:rFonts w:ascii="Times New Roman" w:hAnsi="Times New Roman" w:cs="Times New Roman"/>
        </w:rPr>
        <w:t>Proportionality Theory, Personal Mitigation, and the People's Sense of Justice.</w:t>
      </w:r>
      <w:proofErr w:type="gramEnd"/>
      <w:r w:rsidRPr="003C0052">
        <w:rPr>
          <w:rFonts w:ascii="Times New Roman" w:hAnsi="Times New Roman" w:cs="Times New Roman"/>
        </w:rPr>
        <w:t> </w:t>
      </w:r>
      <w:r w:rsidRPr="003C0052">
        <w:rPr>
          <w:rFonts w:ascii="Times New Roman" w:hAnsi="Times New Roman" w:cs="Times New Roman"/>
          <w:i/>
          <w:iCs/>
        </w:rPr>
        <w:t>The Cambridge Law Journal</w:t>
      </w:r>
      <w:r w:rsidRPr="003C0052">
        <w:rPr>
          <w:rFonts w:ascii="Times New Roman" w:hAnsi="Times New Roman" w:cs="Times New Roman"/>
        </w:rPr>
        <w:t>, </w:t>
      </w:r>
      <w:r w:rsidRPr="003C0052">
        <w:rPr>
          <w:rFonts w:ascii="Times New Roman" w:hAnsi="Times New Roman" w:cs="Times New Roman"/>
          <w:i/>
          <w:iCs/>
        </w:rPr>
        <w:t>69</w:t>
      </w:r>
      <w:r w:rsidRPr="003C0052">
        <w:rPr>
          <w:rFonts w:ascii="Times New Roman" w:hAnsi="Times New Roman" w:cs="Times New Roman"/>
        </w:rPr>
        <w:t>(2), 321-352.</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proofErr w:type="spellStart"/>
      <w:proofErr w:type="gramStart"/>
      <w:r w:rsidRPr="003C0052">
        <w:rPr>
          <w:rFonts w:ascii="Times New Roman" w:hAnsi="Times New Roman" w:cs="Times New Roman"/>
        </w:rPr>
        <w:t>Measham</w:t>
      </w:r>
      <w:proofErr w:type="spellEnd"/>
      <w:r w:rsidRPr="003C0052">
        <w:rPr>
          <w:rFonts w:ascii="Times New Roman" w:hAnsi="Times New Roman" w:cs="Times New Roman"/>
        </w:rPr>
        <w:t xml:space="preserve"> F, Aldridge J and Parker H (2001) </w:t>
      </w:r>
      <w:r w:rsidRPr="003C0052">
        <w:rPr>
          <w:rFonts w:ascii="Times New Roman" w:hAnsi="Times New Roman" w:cs="Times New Roman"/>
          <w:i/>
        </w:rPr>
        <w:t>Dancing on Drugs: Risk, Health and Hedonism in the British Club Scene</w:t>
      </w:r>
      <w:r w:rsidRPr="003C0052">
        <w:rPr>
          <w:rFonts w:ascii="Times New Roman" w:hAnsi="Times New Roman" w:cs="Times New Roman"/>
        </w:rPr>
        <w:t>.</w:t>
      </w:r>
      <w:proofErr w:type="gramEnd"/>
      <w:r w:rsidRPr="003C0052">
        <w:rPr>
          <w:rFonts w:ascii="Times New Roman" w:hAnsi="Times New Roman" w:cs="Times New Roman"/>
        </w:rPr>
        <w:t xml:space="preserve"> London, UK: Free Association Books.</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i/>
        </w:rPr>
      </w:pPr>
      <w:proofErr w:type="gramStart"/>
      <w:r w:rsidRPr="003C0052">
        <w:rPr>
          <w:rFonts w:ascii="Times New Roman" w:hAnsi="Times New Roman" w:cs="Times New Roman"/>
        </w:rPr>
        <w:t xml:space="preserve">Mohamed, A., &amp; </w:t>
      </w:r>
      <w:proofErr w:type="spellStart"/>
      <w:r w:rsidRPr="003C0052">
        <w:rPr>
          <w:rFonts w:ascii="Times New Roman" w:hAnsi="Times New Roman" w:cs="Times New Roman"/>
        </w:rPr>
        <w:t>Fritzvold</w:t>
      </w:r>
      <w:proofErr w:type="spellEnd"/>
      <w:r w:rsidRPr="003C0052">
        <w:rPr>
          <w:rFonts w:ascii="Times New Roman" w:hAnsi="Times New Roman" w:cs="Times New Roman"/>
        </w:rPr>
        <w:t>, E. (2010).</w:t>
      </w:r>
      <w:proofErr w:type="gramEnd"/>
      <w:r w:rsidRPr="003C0052">
        <w:rPr>
          <w:rFonts w:ascii="Times New Roman" w:hAnsi="Times New Roman" w:cs="Times New Roman"/>
        </w:rPr>
        <w:t xml:space="preserve"> </w:t>
      </w:r>
      <w:r w:rsidRPr="003C0052">
        <w:rPr>
          <w:rFonts w:ascii="Times New Roman" w:hAnsi="Times New Roman" w:cs="Times New Roman"/>
          <w:i/>
        </w:rPr>
        <w:t>Dorm room dealers: Drugs and the privileges of race and class</w:t>
      </w:r>
      <w:r w:rsidRPr="003C0052">
        <w:rPr>
          <w:rFonts w:ascii="Times New Roman" w:hAnsi="Times New Roman" w:cs="Times New Roman"/>
        </w:rPr>
        <w:t xml:space="preserve">. Boulder, CO: Lynne </w:t>
      </w:r>
      <w:proofErr w:type="spellStart"/>
      <w:r w:rsidRPr="003C0052">
        <w:rPr>
          <w:rFonts w:ascii="Times New Roman" w:hAnsi="Times New Roman" w:cs="Times New Roman"/>
        </w:rPr>
        <w:t>Rienner</w:t>
      </w:r>
      <w:proofErr w:type="spellEnd"/>
      <w:r w:rsidRPr="003C0052">
        <w:rPr>
          <w:rFonts w:ascii="Times New Roman" w:hAnsi="Times New Roman" w:cs="Times New Roman"/>
        </w:rPr>
        <w:t>.</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proofErr w:type="gramStart"/>
      <w:r w:rsidRPr="003C0052">
        <w:rPr>
          <w:rFonts w:ascii="Times New Roman" w:hAnsi="Times New Roman" w:cs="Times New Roman"/>
        </w:rPr>
        <w:t>Moyle, L., Coomber, R., &amp; Lowther, J. (2013).</w:t>
      </w:r>
      <w:proofErr w:type="gramEnd"/>
      <w:r w:rsidRPr="003C0052">
        <w:rPr>
          <w:rFonts w:ascii="Times New Roman" w:hAnsi="Times New Roman" w:cs="Times New Roman"/>
        </w:rPr>
        <w:t xml:space="preserve"> Crushing a walnut with a</w:t>
      </w:r>
    </w:p>
    <w:p w:rsidR="00EC53E9" w:rsidRPr="003C0052" w:rsidRDefault="00EC53E9" w:rsidP="00EC53E9">
      <w:pPr>
        <w:rPr>
          <w:rFonts w:ascii="Times New Roman" w:hAnsi="Times New Roman" w:cs="Times New Roman"/>
        </w:rPr>
      </w:pPr>
      <w:proofErr w:type="gramStart"/>
      <w:r w:rsidRPr="003C0052">
        <w:rPr>
          <w:rFonts w:ascii="Times New Roman" w:hAnsi="Times New Roman" w:cs="Times New Roman"/>
        </w:rPr>
        <w:t>sledgehammer</w:t>
      </w:r>
      <w:proofErr w:type="gramEnd"/>
      <w:r w:rsidRPr="003C0052">
        <w:rPr>
          <w:rFonts w:ascii="Times New Roman" w:hAnsi="Times New Roman" w:cs="Times New Roman"/>
        </w:rPr>
        <w:t>? Analysing the penal response to the social supply of</w:t>
      </w:r>
    </w:p>
    <w:p w:rsidR="00EC53E9" w:rsidRPr="003C0052" w:rsidRDefault="00EC53E9" w:rsidP="00EC53E9">
      <w:pPr>
        <w:rPr>
          <w:rFonts w:ascii="Times New Roman" w:hAnsi="Times New Roman" w:cs="Times New Roman"/>
        </w:rPr>
      </w:pPr>
      <w:proofErr w:type="gramStart"/>
      <w:r w:rsidRPr="003C0052">
        <w:rPr>
          <w:rFonts w:ascii="Times New Roman" w:hAnsi="Times New Roman" w:cs="Times New Roman"/>
        </w:rPr>
        <w:t>illicit</w:t>
      </w:r>
      <w:proofErr w:type="gramEnd"/>
      <w:r w:rsidRPr="003C0052">
        <w:rPr>
          <w:rFonts w:ascii="Times New Roman" w:hAnsi="Times New Roman" w:cs="Times New Roman"/>
        </w:rPr>
        <w:t xml:space="preserve"> drugs. </w:t>
      </w:r>
      <w:r w:rsidRPr="003C0052">
        <w:rPr>
          <w:rFonts w:ascii="Times New Roman" w:hAnsi="Times New Roman" w:cs="Times New Roman"/>
          <w:i/>
        </w:rPr>
        <w:t>Social &amp; Legal Studies</w:t>
      </w:r>
      <w:r w:rsidRPr="003C0052">
        <w:rPr>
          <w:rFonts w:ascii="Times New Roman" w:hAnsi="Times New Roman" w:cs="Times New Roman"/>
        </w:rPr>
        <w:t>, 22, 553–573.</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proofErr w:type="gramStart"/>
      <w:r w:rsidRPr="003C0052">
        <w:rPr>
          <w:rFonts w:ascii="Times New Roman" w:hAnsi="Times New Roman" w:cs="Times New Roman"/>
        </w:rPr>
        <w:t xml:space="preserve">Murphy, S., Waldorf, D., and </w:t>
      </w:r>
      <w:proofErr w:type="spellStart"/>
      <w:r w:rsidRPr="003C0052">
        <w:rPr>
          <w:rFonts w:ascii="Times New Roman" w:hAnsi="Times New Roman" w:cs="Times New Roman"/>
        </w:rPr>
        <w:t>Reinarman</w:t>
      </w:r>
      <w:proofErr w:type="spellEnd"/>
      <w:r w:rsidRPr="003C0052">
        <w:rPr>
          <w:rFonts w:ascii="Times New Roman" w:hAnsi="Times New Roman" w:cs="Times New Roman"/>
        </w:rPr>
        <w:t xml:space="preserve"> C. (1990) Drifting into dealing: Becoming a cocaine seller.</w:t>
      </w:r>
      <w:proofErr w:type="gramEnd"/>
      <w:r w:rsidRPr="003C0052">
        <w:rPr>
          <w:rFonts w:ascii="Times New Roman" w:hAnsi="Times New Roman" w:cs="Times New Roman"/>
        </w:rPr>
        <w:t xml:space="preserve"> </w:t>
      </w:r>
      <w:r w:rsidRPr="003C0052">
        <w:rPr>
          <w:rFonts w:ascii="Times New Roman" w:hAnsi="Times New Roman" w:cs="Times New Roman"/>
          <w:i/>
        </w:rPr>
        <w:t>Qualitative Sociology</w:t>
      </w:r>
      <w:r w:rsidRPr="003C0052">
        <w:rPr>
          <w:rFonts w:ascii="Times New Roman" w:hAnsi="Times New Roman" w:cs="Times New Roman"/>
        </w:rPr>
        <w:t xml:space="preserve"> 13(4): 321–343.</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r w:rsidRPr="003C0052">
        <w:rPr>
          <w:rFonts w:ascii="Times New Roman" w:hAnsi="Times New Roman" w:cs="Times New Roman"/>
        </w:rPr>
        <w:t>Murphy</w:t>
      </w:r>
      <w:r w:rsidR="00165AA3" w:rsidRPr="003C0052">
        <w:rPr>
          <w:rFonts w:ascii="Times New Roman" w:hAnsi="Times New Roman" w:cs="Times New Roman"/>
        </w:rPr>
        <w:t>,</w:t>
      </w:r>
      <w:r w:rsidRPr="003C0052">
        <w:rPr>
          <w:rFonts w:ascii="Times New Roman" w:hAnsi="Times New Roman" w:cs="Times New Roman"/>
        </w:rPr>
        <w:t xml:space="preserve"> S</w:t>
      </w:r>
      <w:r w:rsidR="00165AA3" w:rsidRPr="003C0052">
        <w:rPr>
          <w:rFonts w:ascii="Times New Roman" w:hAnsi="Times New Roman" w:cs="Times New Roman"/>
        </w:rPr>
        <w:t>.</w:t>
      </w:r>
      <w:r w:rsidRPr="003C0052">
        <w:rPr>
          <w:rFonts w:ascii="Times New Roman" w:hAnsi="Times New Roman" w:cs="Times New Roman"/>
        </w:rPr>
        <w:t>, Sales</w:t>
      </w:r>
      <w:r w:rsidR="00165AA3" w:rsidRPr="003C0052">
        <w:rPr>
          <w:rFonts w:ascii="Times New Roman" w:hAnsi="Times New Roman" w:cs="Times New Roman"/>
        </w:rPr>
        <w:t>,</w:t>
      </w:r>
      <w:r w:rsidRPr="003C0052">
        <w:rPr>
          <w:rFonts w:ascii="Times New Roman" w:hAnsi="Times New Roman" w:cs="Times New Roman"/>
        </w:rPr>
        <w:t xml:space="preserve"> P</w:t>
      </w:r>
      <w:r w:rsidR="00165AA3" w:rsidRPr="003C0052">
        <w:rPr>
          <w:rFonts w:ascii="Times New Roman" w:hAnsi="Times New Roman" w:cs="Times New Roman"/>
        </w:rPr>
        <w:t>.</w:t>
      </w:r>
      <w:r w:rsidRPr="003C0052">
        <w:rPr>
          <w:rFonts w:ascii="Times New Roman" w:hAnsi="Times New Roman" w:cs="Times New Roman"/>
        </w:rPr>
        <w:t xml:space="preserve">, </w:t>
      </w:r>
      <w:proofErr w:type="spellStart"/>
      <w:r w:rsidRPr="003C0052">
        <w:rPr>
          <w:rFonts w:ascii="Times New Roman" w:hAnsi="Times New Roman" w:cs="Times New Roman"/>
        </w:rPr>
        <w:t>Duterte</w:t>
      </w:r>
      <w:proofErr w:type="spellEnd"/>
      <w:r w:rsidR="00165AA3" w:rsidRPr="003C0052">
        <w:rPr>
          <w:rFonts w:ascii="Times New Roman" w:hAnsi="Times New Roman" w:cs="Times New Roman"/>
        </w:rPr>
        <w:t>,</w:t>
      </w:r>
      <w:r w:rsidR="00114E06" w:rsidRPr="003C0052">
        <w:rPr>
          <w:rFonts w:ascii="Times New Roman" w:hAnsi="Times New Roman" w:cs="Times New Roman"/>
        </w:rPr>
        <w:t xml:space="preserve"> </w:t>
      </w:r>
      <w:r w:rsidRPr="003C0052">
        <w:rPr>
          <w:rFonts w:ascii="Times New Roman" w:hAnsi="Times New Roman" w:cs="Times New Roman"/>
        </w:rPr>
        <w:t>M</w:t>
      </w:r>
      <w:r w:rsidR="00165AA3" w:rsidRPr="003C0052">
        <w:rPr>
          <w:rFonts w:ascii="Times New Roman" w:hAnsi="Times New Roman" w:cs="Times New Roman"/>
        </w:rPr>
        <w:t>.</w:t>
      </w:r>
      <w:r w:rsidRPr="003C0052">
        <w:rPr>
          <w:rFonts w:ascii="Times New Roman" w:hAnsi="Times New Roman" w:cs="Times New Roman"/>
        </w:rPr>
        <w:t xml:space="preserve"> </w:t>
      </w:r>
      <w:r w:rsidR="00114E06" w:rsidRPr="003C0052">
        <w:rPr>
          <w:rFonts w:ascii="Times New Roman" w:hAnsi="Times New Roman" w:cs="Times New Roman"/>
        </w:rPr>
        <w:t xml:space="preserve">and </w:t>
      </w:r>
      <w:r w:rsidRPr="003C0052">
        <w:rPr>
          <w:rFonts w:ascii="Times New Roman" w:hAnsi="Times New Roman" w:cs="Times New Roman"/>
        </w:rPr>
        <w:t>Jacinto</w:t>
      </w:r>
      <w:r w:rsidR="00165AA3" w:rsidRPr="003C0052">
        <w:rPr>
          <w:rFonts w:ascii="Times New Roman" w:hAnsi="Times New Roman" w:cs="Times New Roman"/>
        </w:rPr>
        <w:t>,</w:t>
      </w:r>
      <w:r w:rsidRPr="003C0052">
        <w:rPr>
          <w:rFonts w:ascii="Times New Roman" w:hAnsi="Times New Roman" w:cs="Times New Roman"/>
        </w:rPr>
        <w:t xml:space="preserve"> C</w:t>
      </w:r>
      <w:r w:rsidR="00165AA3" w:rsidRPr="003C0052">
        <w:rPr>
          <w:rFonts w:ascii="Times New Roman" w:hAnsi="Times New Roman" w:cs="Times New Roman"/>
        </w:rPr>
        <w:t>.</w:t>
      </w:r>
      <w:r w:rsidR="00114E06" w:rsidRPr="003C0052">
        <w:rPr>
          <w:rFonts w:ascii="Times New Roman" w:hAnsi="Times New Roman" w:cs="Times New Roman"/>
        </w:rPr>
        <w:t xml:space="preserve"> </w:t>
      </w:r>
      <w:r w:rsidRPr="003C0052">
        <w:rPr>
          <w:rFonts w:ascii="Times New Roman" w:hAnsi="Times New Roman" w:cs="Times New Roman"/>
        </w:rPr>
        <w:t xml:space="preserve">(2004) </w:t>
      </w:r>
      <w:proofErr w:type="gramStart"/>
      <w:r w:rsidRPr="003C0052">
        <w:rPr>
          <w:rFonts w:ascii="Times New Roman" w:hAnsi="Times New Roman" w:cs="Times New Roman"/>
        </w:rPr>
        <w:t>A</w:t>
      </w:r>
      <w:proofErr w:type="gramEnd"/>
      <w:r w:rsidRPr="003C0052">
        <w:rPr>
          <w:rFonts w:ascii="Times New Roman" w:hAnsi="Times New Roman" w:cs="Times New Roman"/>
        </w:rPr>
        <w:t xml:space="preserve"> qualitative study of ecstasy sellers in the San Francisco Bay Area: Final report to the National Institute of Justice Grant #2002-IJ-CX-0018. Available at: http://www.ncjrs.gov/pdffiles1/nij/grants/209267.pdf (accessed June 2017). </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r w:rsidRPr="003C0052">
        <w:rPr>
          <w:rFonts w:ascii="Times New Roman" w:hAnsi="Times New Roman" w:cs="Times New Roman"/>
        </w:rPr>
        <w:t>Murphy, F., Murphy, S., Sales, P. and Lau, N. (2018) Examining social supply among nonmedical prescription stimulant users in the San Francisco Bay Area</w:t>
      </w:r>
      <w:r w:rsidRPr="003C0052">
        <w:rPr>
          <w:rFonts w:ascii="Times New Roman" w:hAnsi="Times New Roman" w:cs="Times New Roman"/>
          <w:i/>
        </w:rPr>
        <w:t>, International Journal of Drug Policy</w:t>
      </w:r>
      <w:r w:rsidRPr="003C0052">
        <w:rPr>
          <w:rFonts w:ascii="Times New Roman" w:hAnsi="Times New Roman" w:cs="Times New Roman"/>
        </w:rPr>
        <w:t>, 54: 68–76.</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r w:rsidRPr="003C0052">
        <w:rPr>
          <w:rFonts w:ascii="Times New Roman" w:hAnsi="Times New Roman" w:cs="Times New Roman"/>
        </w:rPr>
        <w:t xml:space="preserve">New Zealand Drug Foundation (2017) Matters of substance, July 2017. Available at: </w:t>
      </w:r>
      <w:hyperlink r:id="rId37" w:history="1">
        <w:r w:rsidRPr="003C0052">
          <w:rPr>
            <w:rStyle w:val="Hyperlink"/>
            <w:rFonts w:ascii="Times New Roman" w:hAnsi="Times New Roman" w:cs="Times New Roman"/>
          </w:rPr>
          <w:t>https://issuu.com/nzdrugfoundation/docs/mos-july-2017</w:t>
        </w:r>
      </w:hyperlink>
      <w:r w:rsidRPr="003C0052">
        <w:rPr>
          <w:rFonts w:ascii="Times New Roman" w:hAnsi="Times New Roman" w:cs="Times New Roman"/>
        </w:rPr>
        <w:t xml:space="preserve"> </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proofErr w:type="gramStart"/>
      <w:r w:rsidRPr="003C0052">
        <w:rPr>
          <w:rFonts w:ascii="Times New Roman" w:hAnsi="Times New Roman" w:cs="Times New Roman"/>
        </w:rPr>
        <w:t xml:space="preserve">New Zealand Law Commission (2011) </w:t>
      </w:r>
      <w:r w:rsidRPr="003C0052">
        <w:rPr>
          <w:rFonts w:ascii="Times New Roman" w:hAnsi="Times New Roman" w:cs="Times New Roman"/>
          <w:i/>
        </w:rPr>
        <w:t>Controlling and Regulating Drugs: A Review of the Misuse of Drugs Act 1975</w:t>
      </w:r>
      <w:r w:rsidRPr="003C0052">
        <w:rPr>
          <w:rFonts w:ascii="Times New Roman" w:hAnsi="Times New Roman" w:cs="Times New Roman"/>
        </w:rPr>
        <w:t>.</w:t>
      </w:r>
      <w:proofErr w:type="gramEnd"/>
      <w:r w:rsidRPr="003C0052">
        <w:rPr>
          <w:rFonts w:ascii="Times New Roman" w:hAnsi="Times New Roman" w:cs="Times New Roman"/>
        </w:rPr>
        <w:t xml:space="preserve"> Wellington, New Zealand: Law Commission.</w:t>
      </w:r>
    </w:p>
    <w:p w:rsidR="00EC53E9" w:rsidRPr="003C0052" w:rsidRDefault="00EC53E9" w:rsidP="00EC53E9">
      <w:pPr>
        <w:rPr>
          <w:rFonts w:ascii="Times New Roman" w:hAnsi="Times New Roman" w:cs="Times New Roman"/>
        </w:rPr>
      </w:pPr>
    </w:p>
    <w:p w:rsidR="00EC53E9" w:rsidRPr="003C0052" w:rsidRDefault="001D2AC8" w:rsidP="00EC53E9">
      <w:pPr>
        <w:rPr>
          <w:rFonts w:ascii="Times New Roman" w:hAnsi="Times New Roman" w:cs="Times New Roman"/>
        </w:rPr>
      </w:pPr>
      <w:r w:rsidRPr="003C0052">
        <w:rPr>
          <w:rFonts w:ascii="Times New Roman" w:hAnsi="Times New Roman" w:cs="Times New Roman"/>
        </w:rPr>
        <w:t>Nicholas, R. (2008)</w:t>
      </w:r>
      <w:r w:rsidR="00EC53E9" w:rsidRPr="003C0052">
        <w:rPr>
          <w:rFonts w:ascii="Times New Roman" w:hAnsi="Times New Roman" w:cs="Times New Roman"/>
        </w:rPr>
        <w:t xml:space="preserve"> </w:t>
      </w:r>
      <w:proofErr w:type="gramStart"/>
      <w:r w:rsidR="00EC53E9" w:rsidRPr="003C0052">
        <w:rPr>
          <w:rFonts w:ascii="Times New Roman" w:hAnsi="Times New Roman" w:cs="Times New Roman"/>
          <w:i/>
        </w:rPr>
        <w:t>The</w:t>
      </w:r>
      <w:proofErr w:type="gramEnd"/>
      <w:r w:rsidR="00EC53E9" w:rsidRPr="003C0052">
        <w:rPr>
          <w:rFonts w:ascii="Times New Roman" w:hAnsi="Times New Roman" w:cs="Times New Roman"/>
          <w:i/>
        </w:rPr>
        <w:t xml:space="preserve"> impacts of social networks and not-for-profit illicit drug dealing on illicit drug markets in Australia</w:t>
      </w:r>
      <w:r w:rsidR="00EC53E9" w:rsidRPr="003C0052">
        <w:rPr>
          <w:rFonts w:ascii="Times New Roman" w:hAnsi="Times New Roman" w:cs="Times New Roman"/>
        </w:rPr>
        <w:t>. Tasmania: National Drug Law Research Fund.</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r w:rsidRPr="003C0052">
        <w:rPr>
          <w:rFonts w:ascii="Times New Roman" w:hAnsi="Times New Roman" w:cs="Times New Roman"/>
        </w:rPr>
        <w:t xml:space="preserve">Parker H (2000) </w:t>
      </w:r>
      <w:proofErr w:type="gramStart"/>
      <w:r w:rsidRPr="003C0052">
        <w:rPr>
          <w:rFonts w:ascii="Times New Roman" w:hAnsi="Times New Roman" w:cs="Times New Roman"/>
          <w:i/>
        </w:rPr>
        <w:t>How</w:t>
      </w:r>
      <w:proofErr w:type="gramEnd"/>
      <w:r w:rsidRPr="003C0052">
        <w:rPr>
          <w:rFonts w:ascii="Times New Roman" w:hAnsi="Times New Roman" w:cs="Times New Roman"/>
          <w:i/>
        </w:rPr>
        <w:t xml:space="preserve"> young Britons obtain their drugs: Drugs transactions at the point of consumption</w:t>
      </w:r>
      <w:r w:rsidRPr="003C0052">
        <w:rPr>
          <w:rFonts w:ascii="Times New Roman" w:hAnsi="Times New Roman" w:cs="Times New Roman"/>
        </w:rPr>
        <w:t>. Crime Prevention Studies 11: 59–82.</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r w:rsidRPr="003C0052">
        <w:rPr>
          <w:rFonts w:ascii="Times New Roman" w:hAnsi="Times New Roman" w:cs="Times New Roman"/>
        </w:rPr>
        <w:t xml:space="preserve">Parker, H., Aldridge, J., and </w:t>
      </w:r>
      <w:proofErr w:type="spellStart"/>
      <w:proofErr w:type="gramStart"/>
      <w:r w:rsidRPr="003C0052">
        <w:rPr>
          <w:rFonts w:ascii="Times New Roman" w:hAnsi="Times New Roman" w:cs="Times New Roman"/>
        </w:rPr>
        <w:t>Measham</w:t>
      </w:r>
      <w:proofErr w:type="spellEnd"/>
      <w:r w:rsidRPr="003C0052">
        <w:rPr>
          <w:rFonts w:ascii="Times New Roman" w:hAnsi="Times New Roman" w:cs="Times New Roman"/>
        </w:rPr>
        <w:t>.,</w:t>
      </w:r>
      <w:proofErr w:type="gramEnd"/>
      <w:r w:rsidRPr="003C0052">
        <w:rPr>
          <w:rFonts w:ascii="Times New Roman" w:hAnsi="Times New Roman" w:cs="Times New Roman"/>
        </w:rPr>
        <w:t xml:space="preserve"> F (1998) Illegal Leisure: The Normalization of Adolescent Recreational Drug Use. </w:t>
      </w:r>
      <w:proofErr w:type="gramStart"/>
      <w:r w:rsidRPr="003C0052">
        <w:rPr>
          <w:rFonts w:ascii="Times New Roman" w:hAnsi="Times New Roman" w:cs="Times New Roman"/>
        </w:rPr>
        <w:t>Adolescence and Society Series.</w:t>
      </w:r>
      <w:proofErr w:type="gramEnd"/>
      <w:r w:rsidRPr="003C0052">
        <w:rPr>
          <w:rFonts w:ascii="Times New Roman" w:hAnsi="Times New Roman" w:cs="Times New Roman"/>
        </w:rPr>
        <w:t xml:space="preserve"> London, UK: Routledge.</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eastAsia="Times New Roman" w:hAnsi="Times New Roman" w:cs="Times New Roman"/>
          <w:lang w:eastAsia="en-GB"/>
        </w:rPr>
      </w:pPr>
      <w:proofErr w:type="gramStart"/>
      <w:r w:rsidRPr="003C0052">
        <w:rPr>
          <w:rFonts w:ascii="Times New Roman" w:eastAsia="Times New Roman" w:hAnsi="Times New Roman" w:cs="Times New Roman"/>
          <w:lang w:eastAsia="en-GB"/>
        </w:rPr>
        <w:lastRenderedPageBreak/>
        <w:t>Parker, H., Williams, L. &amp; Aldridge, J. (2002).</w:t>
      </w:r>
      <w:proofErr w:type="gramEnd"/>
      <w:r w:rsidRPr="003C0052">
        <w:rPr>
          <w:rFonts w:ascii="Times New Roman" w:eastAsia="Times New Roman" w:hAnsi="Times New Roman" w:cs="Times New Roman"/>
          <w:lang w:eastAsia="en-GB"/>
        </w:rPr>
        <w:t xml:space="preserve"> The normalisation of ‘sensible’ recreational drug use: Further evidence from the North West Longitudinal Study. Sociology, 36 (4), 941-964</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r w:rsidRPr="003C0052">
        <w:rPr>
          <w:rFonts w:ascii="Times New Roman" w:hAnsi="Times New Roman" w:cs="Times New Roman"/>
        </w:rPr>
        <w:t>Police Foundation (2000) Drugs and the Law: Report of the Independent Inquiry into the Misuse of Drugs Act 1971. London, UK: The Police Foundation.</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r w:rsidRPr="003C0052">
        <w:rPr>
          <w:rFonts w:ascii="Times New Roman" w:hAnsi="Times New Roman" w:cs="Times New Roman"/>
        </w:rPr>
        <w:t xml:space="preserve">Potter, G.R (2009) Exploring retail level drug distribution: Social supply, ‘real’ dealers and the user/dealer interface. In: </w:t>
      </w:r>
      <w:proofErr w:type="spellStart"/>
      <w:r w:rsidRPr="003C0052">
        <w:rPr>
          <w:rFonts w:ascii="Times New Roman" w:hAnsi="Times New Roman" w:cs="Times New Roman"/>
        </w:rPr>
        <w:t>Demetrovics</w:t>
      </w:r>
      <w:proofErr w:type="spellEnd"/>
      <w:r w:rsidRPr="003C0052">
        <w:rPr>
          <w:rFonts w:ascii="Times New Roman" w:hAnsi="Times New Roman" w:cs="Times New Roman"/>
        </w:rPr>
        <w:t xml:space="preserve"> T, Fountain J and Kraus L (</w:t>
      </w:r>
      <w:proofErr w:type="spellStart"/>
      <w:r w:rsidRPr="003C0052">
        <w:rPr>
          <w:rFonts w:ascii="Times New Roman" w:hAnsi="Times New Roman" w:cs="Times New Roman"/>
        </w:rPr>
        <w:t>eds</w:t>
      </w:r>
      <w:proofErr w:type="spellEnd"/>
      <w:r w:rsidRPr="003C0052">
        <w:rPr>
          <w:rFonts w:ascii="Times New Roman" w:hAnsi="Times New Roman" w:cs="Times New Roman"/>
        </w:rPr>
        <w:t>)</w:t>
      </w:r>
      <w:r w:rsidRPr="003C0052">
        <w:rPr>
          <w:rFonts w:ascii="Times New Roman" w:hAnsi="Times New Roman" w:cs="Times New Roman"/>
          <w:i/>
        </w:rPr>
        <w:t xml:space="preserve"> Old and New Policies, Theories, Research Methods and Drug Users Across Europe</w:t>
      </w:r>
      <w:r w:rsidRPr="003C0052">
        <w:rPr>
          <w:rFonts w:ascii="Times New Roman" w:hAnsi="Times New Roman" w:cs="Times New Roman"/>
        </w:rPr>
        <w:t xml:space="preserve">. </w:t>
      </w:r>
      <w:proofErr w:type="spellStart"/>
      <w:r w:rsidRPr="003C0052">
        <w:rPr>
          <w:rFonts w:ascii="Times New Roman" w:hAnsi="Times New Roman" w:cs="Times New Roman"/>
        </w:rPr>
        <w:t>Lengerich</w:t>
      </w:r>
      <w:proofErr w:type="spellEnd"/>
      <w:r w:rsidRPr="003C0052">
        <w:rPr>
          <w:rFonts w:ascii="Times New Roman" w:hAnsi="Times New Roman" w:cs="Times New Roman"/>
        </w:rPr>
        <w:t>: Pabst Publications.</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r w:rsidRPr="003C0052">
        <w:rPr>
          <w:rFonts w:ascii="Times New Roman" w:hAnsi="Times New Roman" w:cs="Times New Roman"/>
        </w:rPr>
        <w:t xml:space="preserve">Porter, N. D., &amp; Wright, V. (2011) Cracked Justice. </w:t>
      </w:r>
      <w:proofErr w:type="gramStart"/>
      <w:r w:rsidRPr="003C0052">
        <w:rPr>
          <w:rFonts w:ascii="Times New Roman" w:hAnsi="Times New Roman" w:cs="Times New Roman"/>
        </w:rPr>
        <w:t>The Sentencing Project.</w:t>
      </w:r>
      <w:proofErr w:type="gramEnd"/>
      <w:r w:rsidRPr="003C0052">
        <w:rPr>
          <w:rFonts w:ascii="Times New Roman" w:hAnsi="Times New Roman" w:cs="Times New Roman"/>
        </w:rPr>
        <w:t xml:space="preserve"> Available at: </w:t>
      </w:r>
      <w:hyperlink r:id="rId38" w:history="1">
        <w:r w:rsidRPr="003C0052">
          <w:rPr>
            <w:rStyle w:val="Hyperlink"/>
            <w:rFonts w:ascii="Times New Roman" w:hAnsi="Times New Roman" w:cs="Times New Roman"/>
          </w:rPr>
          <w:t>file:///Users/s2979713/Downloads/Cracked-Justice.pdf</w:t>
        </w:r>
      </w:hyperlink>
      <w:r w:rsidRPr="003C0052">
        <w:rPr>
          <w:rFonts w:ascii="Times New Roman" w:hAnsi="Times New Roman" w:cs="Times New Roman"/>
        </w:rPr>
        <w:t xml:space="preserve"> </w:t>
      </w:r>
    </w:p>
    <w:p w:rsidR="00EC53E9" w:rsidRPr="003C0052" w:rsidRDefault="00EC53E9" w:rsidP="00EC53E9">
      <w:pPr>
        <w:rPr>
          <w:rFonts w:ascii="Times New Roman" w:hAnsi="Times New Roman" w:cs="Times New Roman"/>
        </w:rPr>
      </w:pPr>
    </w:p>
    <w:p w:rsidR="00EC53E9" w:rsidRPr="003C0052" w:rsidRDefault="00EC53E9" w:rsidP="00EC53E9">
      <w:pPr>
        <w:jc w:val="both"/>
        <w:rPr>
          <w:rFonts w:ascii="Times New Roman" w:hAnsi="Times New Roman" w:cs="Times New Roman"/>
        </w:rPr>
      </w:pPr>
      <w:r w:rsidRPr="003C0052">
        <w:rPr>
          <w:rFonts w:ascii="Times New Roman" w:hAnsi="Times New Roman" w:cs="Times New Roman"/>
        </w:rPr>
        <w:t xml:space="preserve">PZC (2016, October 4). </w:t>
      </w:r>
      <w:r w:rsidRPr="003C0052">
        <w:rPr>
          <w:rStyle w:val="Emphasis"/>
          <w:rFonts w:ascii="Times New Roman" w:eastAsia="Times New Roman" w:hAnsi="Times New Roman" w:cs="Times New Roman"/>
        </w:rPr>
        <w:t xml:space="preserve">Man </w:t>
      </w:r>
      <w:proofErr w:type="spellStart"/>
      <w:r w:rsidRPr="003C0052">
        <w:rPr>
          <w:rStyle w:val="Emphasis"/>
          <w:rFonts w:ascii="Times New Roman" w:eastAsia="Times New Roman" w:hAnsi="Times New Roman" w:cs="Times New Roman"/>
        </w:rPr>
        <w:t>uit</w:t>
      </w:r>
      <w:proofErr w:type="spellEnd"/>
      <w:r w:rsidRPr="003C0052">
        <w:rPr>
          <w:rStyle w:val="Emphasis"/>
          <w:rFonts w:ascii="Times New Roman" w:eastAsia="Times New Roman" w:hAnsi="Times New Roman" w:cs="Times New Roman"/>
        </w:rPr>
        <w:t xml:space="preserve"> </w:t>
      </w:r>
      <w:proofErr w:type="spellStart"/>
      <w:r w:rsidRPr="003C0052">
        <w:rPr>
          <w:rStyle w:val="Emphasis"/>
          <w:rFonts w:ascii="Times New Roman" w:eastAsia="Times New Roman" w:hAnsi="Times New Roman" w:cs="Times New Roman"/>
        </w:rPr>
        <w:t>Zierikzee</w:t>
      </w:r>
      <w:proofErr w:type="spellEnd"/>
      <w:r w:rsidRPr="003C0052">
        <w:rPr>
          <w:rStyle w:val="Emphasis"/>
          <w:rFonts w:ascii="Times New Roman" w:eastAsia="Times New Roman" w:hAnsi="Times New Roman" w:cs="Times New Roman"/>
        </w:rPr>
        <w:t xml:space="preserve"> </w:t>
      </w:r>
      <w:proofErr w:type="spellStart"/>
      <w:r w:rsidRPr="003C0052">
        <w:rPr>
          <w:rStyle w:val="Emphasis"/>
          <w:rFonts w:ascii="Times New Roman" w:eastAsia="Times New Roman" w:hAnsi="Times New Roman" w:cs="Times New Roman"/>
        </w:rPr>
        <w:t>krijgt</w:t>
      </w:r>
      <w:proofErr w:type="spellEnd"/>
      <w:r w:rsidRPr="003C0052">
        <w:rPr>
          <w:rStyle w:val="Emphasis"/>
          <w:rFonts w:ascii="Times New Roman" w:eastAsia="Times New Roman" w:hAnsi="Times New Roman" w:cs="Times New Roman"/>
        </w:rPr>
        <w:t xml:space="preserve"> </w:t>
      </w:r>
      <w:proofErr w:type="spellStart"/>
      <w:r w:rsidRPr="003C0052">
        <w:rPr>
          <w:rStyle w:val="Emphasis"/>
          <w:rFonts w:ascii="Times New Roman" w:eastAsia="Times New Roman" w:hAnsi="Times New Roman" w:cs="Times New Roman"/>
        </w:rPr>
        <w:t>celstraf</w:t>
      </w:r>
      <w:proofErr w:type="spellEnd"/>
      <w:r w:rsidRPr="003C0052">
        <w:rPr>
          <w:rStyle w:val="Emphasis"/>
          <w:rFonts w:ascii="Times New Roman" w:eastAsia="Times New Roman" w:hAnsi="Times New Roman" w:cs="Times New Roman"/>
        </w:rPr>
        <w:t xml:space="preserve"> </w:t>
      </w:r>
      <w:proofErr w:type="spellStart"/>
      <w:r w:rsidRPr="003C0052">
        <w:rPr>
          <w:rStyle w:val="Emphasis"/>
          <w:rFonts w:ascii="Times New Roman" w:eastAsia="Times New Roman" w:hAnsi="Times New Roman" w:cs="Times New Roman"/>
        </w:rPr>
        <w:t>voor</w:t>
      </w:r>
      <w:proofErr w:type="spellEnd"/>
      <w:r w:rsidRPr="003C0052">
        <w:rPr>
          <w:rStyle w:val="Emphasis"/>
          <w:rFonts w:ascii="Times New Roman" w:eastAsia="Times New Roman" w:hAnsi="Times New Roman" w:cs="Times New Roman"/>
        </w:rPr>
        <w:t xml:space="preserve"> </w:t>
      </w:r>
      <w:proofErr w:type="spellStart"/>
      <w:r w:rsidRPr="003C0052">
        <w:rPr>
          <w:rStyle w:val="Emphasis"/>
          <w:rFonts w:ascii="Times New Roman" w:eastAsia="Times New Roman" w:hAnsi="Times New Roman" w:cs="Times New Roman"/>
        </w:rPr>
        <w:t>dealen</w:t>
      </w:r>
      <w:proofErr w:type="spellEnd"/>
      <w:r w:rsidRPr="003C0052">
        <w:rPr>
          <w:rStyle w:val="Emphasis"/>
          <w:rFonts w:ascii="Times New Roman" w:eastAsia="Times New Roman" w:hAnsi="Times New Roman" w:cs="Times New Roman"/>
        </w:rPr>
        <w:t xml:space="preserve"> drugs </w:t>
      </w:r>
      <w:proofErr w:type="spellStart"/>
      <w:r w:rsidRPr="003C0052">
        <w:rPr>
          <w:rStyle w:val="Emphasis"/>
          <w:rFonts w:ascii="Times New Roman" w:eastAsia="Times New Roman" w:hAnsi="Times New Roman" w:cs="Times New Roman"/>
        </w:rPr>
        <w:t>voor</w:t>
      </w:r>
      <w:proofErr w:type="spellEnd"/>
      <w:r w:rsidRPr="003C0052">
        <w:rPr>
          <w:rStyle w:val="Emphasis"/>
          <w:rFonts w:ascii="Times New Roman" w:eastAsia="Times New Roman" w:hAnsi="Times New Roman" w:cs="Times New Roman"/>
        </w:rPr>
        <w:t xml:space="preserve"> </w:t>
      </w:r>
      <w:proofErr w:type="spellStart"/>
      <w:r w:rsidRPr="003C0052">
        <w:rPr>
          <w:rStyle w:val="Emphasis"/>
          <w:rFonts w:ascii="Times New Roman" w:eastAsia="Times New Roman" w:hAnsi="Times New Roman" w:cs="Times New Roman"/>
        </w:rPr>
        <w:t>vrienden</w:t>
      </w:r>
      <w:proofErr w:type="spellEnd"/>
      <w:r w:rsidRPr="003C0052">
        <w:rPr>
          <w:rFonts w:ascii="Times New Roman" w:hAnsi="Times New Roman" w:cs="Times New Roman"/>
        </w:rPr>
        <w:t xml:space="preserve">. Retrieved from: </w:t>
      </w:r>
      <w:hyperlink r:id="rId39" w:history="1">
        <w:r w:rsidRPr="003C0052">
          <w:rPr>
            <w:rStyle w:val="Hyperlink"/>
            <w:rFonts w:ascii="Times New Roman" w:hAnsi="Times New Roman" w:cs="Times New Roman"/>
          </w:rPr>
          <w:t>http://www.pzc.nl/regio/schouwen-duiveland/man-uit-zierikzee-krijgt-celstraf-voor-dealen-drugs-voor-vrienden-1.6492248</w:t>
        </w:r>
      </w:hyperlink>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r w:rsidRPr="003C0052">
        <w:rPr>
          <w:rFonts w:ascii="Times New Roman" w:hAnsi="Times New Roman" w:cs="Times New Roman"/>
        </w:rPr>
        <w:t xml:space="preserve">Release (2009) </w:t>
      </w:r>
      <w:r w:rsidRPr="003C0052">
        <w:rPr>
          <w:rFonts w:ascii="Times New Roman" w:hAnsi="Times New Roman" w:cs="Times New Roman"/>
          <w:i/>
        </w:rPr>
        <w:t>Response to the Sentencing Advisory Panel’s Consultation Paper on Sentencing for Drug Offences</w:t>
      </w:r>
      <w:r w:rsidRPr="003C0052">
        <w:rPr>
          <w:rFonts w:ascii="Times New Roman" w:hAnsi="Times New Roman" w:cs="Times New Roman"/>
        </w:rPr>
        <w:t>. London, UK: Release.</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lang w:val="fi-FI"/>
        </w:rPr>
      </w:pPr>
      <w:r w:rsidRPr="003C0052">
        <w:rPr>
          <w:rFonts w:ascii="Times New Roman" w:hAnsi="Times New Roman" w:cs="Times New Roman"/>
          <w:lang w:val="fi-FI"/>
        </w:rPr>
        <w:t>Reuband, K.H. (2007). Strafverfolgung als Mittel der Generalprävention? In: Dollinger, B. &amp; Schmidt-Semisch, H. (eds.): Sozialwissenschaftliche Suchtforschung. Wiesbaden: VS-Verlag: 131-168.</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lang w:eastAsia="en-GB"/>
        </w:rPr>
      </w:pPr>
      <w:proofErr w:type="gramStart"/>
      <w:r w:rsidRPr="003C0052">
        <w:rPr>
          <w:rFonts w:ascii="Times New Roman" w:hAnsi="Times New Roman" w:cs="Times New Roman"/>
          <w:lang w:eastAsia="en-GB"/>
        </w:rPr>
        <w:t xml:space="preserve">Sentencing Council (2011) </w:t>
      </w:r>
      <w:r w:rsidRPr="003C0052">
        <w:rPr>
          <w:rFonts w:ascii="Times New Roman" w:hAnsi="Times New Roman" w:cs="Times New Roman"/>
          <w:i/>
          <w:lang w:eastAsia="en-GB"/>
        </w:rPr>
        <w:t>Drug Offences Guideline, Public Consultation</w:t>
      </w:r>
      <w:r w:rsidRPr="003C0052">
        <w:rPr>
          <w:rFonts w:ascii="Times New Roman" w:hAnsi="Times New Roman" w:cs="Times New Roman"/>
          <w:lang w:eastAsia="en-GB"/>
        </w:rPr>
        <w:t>.</w:t>
      </w:r>
      <w:proofErr w:type="gramEnd"/>
      <w:r w:rsidRPr="003C0052">
        <w:rPr>
          <w:rFonts w:ascii="Times New Roman" w:hAnsi="Times New Roman" w:cs="Times New Roman"/>
          <w:lang w:eastAsia="en-GB"/>
        </w:rPr>
        <w:t xml:space="preserve"> London, UK: Sentencing Council.</w:t>
      </w:r>
    </w:p>
    <w:p w:rsidR="00EC53E9" w:rsidRPr="003C0052" w:rsidRDefault="00EC53E9" w:rsidP="00EC53E9">
      <w:pPr>
        <w:rPr>
          <w:rFonts w:ascii="Times New Roman" w:hAnsi="Times New Roman" w:cs="Times New Roman"/>
          <w:lang w:eastAsia="en-GB"/>
        </w:rPr>
      </w:pPr>
    </w:p>
    <w:p w:rsidR="00EC53E9" w:rsidRPr="003C0052" w:rsidRDefault="00EC53E9" w:rsidP="00EC53E9">
      <w:pPr>
        <w:rPr>
          <w:rFonts w:ascii="Times New Roman" w:hAnsi="Times New Roman" w:cs="Times New Roman"/>
          <w:lang w:eastAsia="en-GB"/>
        </w:rPr>
      </w:pPr>
      <w:r w:rsidRPr="003C0052">
        <w:rPr>
          <w:rFonts w:ascii="Times New Roman" w:hAnsi="Times New Roman" w:cs="Times New Roman"/>
          <w:lang w:eastAsia="en-GB"/>
        </w:rPr>
        <w:t xml:space="preserve">Sentencing Council (2012) </w:t>
      </w:r>
      <w:r w:rsidRPr="003C0052">
        <w:rPr>
          <w:rFonts w:ascii="Times New Roman" w:hAnsi="Times New Roman" w:cs="Times New Roman"/>
          <w:i/>
          <w:lang w:eastAsia="en-GB"/>
        </w:rPr>
        <w:t>Drug Offences Definitive Guidelines</w:t>
      </w:r>
      <w:r w:rsidRPr="003C0052">
        <w:rPr>
          <w:rFonts w:ascii="Times New Roman" w:hAnsi="Times New Roman" w:cs="Times New Roman"/>
          <w:lang w:eastAsia="en-GB"/>
        </w:rPr>
        <w:t>. London, UK: Sentencing Council.</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proofErr w:type="gramStart"/>
      <w:r w:rsidRPr="003C0052">
        <w:rPr>
          <w:rFonts w:ascii="Times New Roman" w:hAnsi="Times New Roman" w:cs="Times New Roman"/>
        </w:rPr>
        <w:t>Sigler, M. (2003).</w:t>
      </w:r>
      <w:proofErr w:type="gramEnd"/>
      <w:r w:rsidRPr="003C0052">
        <w:rPr>
          <w:rFonts w:ascii="Times New Roman" w:hAnsi="Times New Roman" w:cs="Times New Roman"/>
        </w:rPr>
        <w:t xml:space="preserve"> </w:t>
      </w:r>
      <w:proofErr w:type="gramStart"/>
      <w:r w:rsidRPr="003C0052">
        <w:rPr>
          <w:rFonts w:ascii="Times New Roman" w:hAnsi="Times New Roman" w:cs="Times New Roman"/>
        </w:rPr>
        <w:t>Contradiction, Coherence, and Guided Discretion in the Supreme Court's Capital Sentencing Jurisprudence.</w:t>
      </w:r>
      <w:proofErr w:type="gramEnd"/>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proofErr w:type="gramStart"/>
      <w:r w:rsidRPr="003C0052">
        <w:rPr>
          <w:rFonts w:ascii="Times New Roman" w:hAnsi="Times New Roman" w:cs="Times New Roman"/>
        </w:rPr>
        <w:t>So, E. (2009) Changes in Drug Subculture and Drug Trafficking Among Young People.</w:t>
      </w:r>
      <w:proofErr w:type="gramEnd"/>
      <w:r w:rsidRPr="003C0052">
        <w:rPr>
          <w:rFonts w:ascii="Times New Roman" w:hAnsi="Times New Roman" w:cs="Times New Roman"/>
        </w:rPr>
        <w:t xml:space="preserve"> </w:t>
      </w:r>
      <w:proofErr w:type="gramStart"/>
      <w:r w:rsidRPr="003C0052">
        <w:rPr>
          <w:rFonts w:ascii="Times New Roman" w:hAnsi="Times New Roman" w:cs="Times New Roman"/>
          <w:i/>
        </w:rPr>
        <w:t>Journal of Youth Studies</w:t>
      </w:r>
      <w:r w:rsidRPr="003C0052">
        <w:rPr>
          <w:rFonts w:ascii="Times New Roman" w:hAnsi="Times New Roman" w:cs="Times New Roman"/>
        </w:rPr>
        <w:t>.</w:t>
      </w:r>
      <w:proofErr w:type="gramEnd"/>
      <w:r w:rsidRPr="003C0052">
        <w:rPr>
          <w:rFonts w:ascii="Times New Roman" w:hAnsi="Times New Roman" w:cs="Times New Roman"/>
        </w:rPr>
        <w:t xml:space="preserve"> 12(1) Serial 23: 171-176.  (Chinese)</w:t>
      </w:r>
    </w:p>
    <w:p w:rsidR="00EC53E9" w:rsidRPr="003C0052" w:rsidRDefault="00EC53E9" w:rsidP="00EC53E9">
      <w:pPr>
        <w:rPr>
          <w:rFonts w:ascii="Times New Roman" w:hAnsi="Times New Roman" w:cs="Times New Roman"/>
        </w:rPr>
      </w:pPr>
    </w:p>
    <w:p w:rsidR="00EC53E9" w:rsidRPr="003C0052" w:rsidRDefault="00EC53E9" w:rsidP="00EC53E9">
      <w:pPr>
        <w:jc w:val="both"/>
        <w:rPr>
          <w:rFonts w:ascii="Times New Roman" w:hAnsi="Times New Roman" w:cs="Times New Roman"/>
        </w:rPr>
      </w:pPr>
      <w:r w:rsidRPr="003C0052">
        <w:rPr>
          <w:rFonts w:ascii="Times New Roman" w:hAnsi="Times New Roman" w:cs="Times New Roman"/>
        </w:rPr>
        <w:t xml:space="preserve">South, N. (1999). </w:t>
      </w:r>
      <w:proofErr w:type="gramStart"/>
      <w:r w:rsidRPr="003C0052">
        <w:rPr>
          <w:rFonts w:ascii="Times New Roman" w:hAnsi="Times New Roman" w:cs="Times New Roman"/>
        </w:rPr>
        <w:t>Debating drugs and everyday life: Normalisation, prohibition and ‘otherness’.</w:t>
      </w:r>
      <w:proofErr w:type="gramEnd"/>
      <w:r w:rsidRPr="003C0052">
        <w:rPr>
          <w:rFonts w:ascii="Times New Roman" w:hAnsi="Times New Roman" w:cs="Times New Roman"/>
        </w:rPr>
        <w:t xml:space="preserve"> In N. South (Ed.), Drugs: Cultures, controls and everyday life (pp. 1–15). London: Sage.</w:t>
      </w:r>
    </w:p>
    <w:p w:rsidR="00EC53E9" w:rsidRPr="003C0052" w:rsidRDefault="00EC53E9" w:rsidP="00EC53E9">
      <w:pPr>
        <w:jc w:val="both"/>
        <w:rPr>
          <w:rFonts w:ascii="Times New Roman" w:hAnsi="Times New Roman" w:cs="Times New Roman"/>
        </w:rPr>
      </w:pPr>
    </w:p>
    <w:p w:rsidR="00EC53E9" w:rsidRPr="003C0052" w:rsidRDefault="00EC53E9" w:rsidP="00EC53E9">
      <w:pPr>
        <w:jc w:val="both"/>
        <w:rPr>
          <w:rFonts w:ascii="Times New Roman" w:hAnsi="Times New Roman" w:cs="Times New Roman"/>
        </w:rPr>
      </w:pPr>
      <w:r w:rsidRPr="003C0052">
        <w:rPr>
          <w:rFonts w:ascii="Times New Roman" w:hAnsi="Times New Roman" w:cs="Times New Roman"/>
        </w:rPr>
        <w:t>South, N. (2004). Managing work, hedonism and ‘the borderline’ between the legal and illegal markets: Two case studies of recreational heavy drug users. Addiction Research &amp; Theory, 12, 525–538.</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eastAsia="Times New Roman" w:hAnsi="Times New Roman" w:cs="Times New Roman"/>
          <w:lang w:eastAsia="en-GB"/>
        </w:rPr>
      </w:pPr>
      <w:proofErr w:type="spellStart"/>
      <w:r w:rsidRPr="003C0052">
        <w:rPr>
          <w:rFonts w:ascii="Times New Roman" w:eastAsia="Times New Roman" w:hAnsi="Times New Roman" w:cs="Times New Roman"/>
          <w:lang w:eastAsia="en-GB"/>
        </w:rPr>
        <w:t>Spohn</w:t>
      </w:r>
      <w:proofErr w:type="spellEnd"/>
      <w:r w:rsidRPr="003C0052">
        <w:rPr>
          <w:rFonts w:ascii="Times New Roman" w:eastAsia="Times New Roman" w:hAnsi="Times New Roman" w:cs="Times New Roman"/>
          <w:lang w:eastAsia="en-GB"/>
        </w:rPr>
        <w:t xml:space="preserve">, C, &amp; </w:t>
      </w:r>
      <w:proofErr w:type="spellStart"/>
      <w:r w:rsidRPr="003C0052">
        <w:rPr>
          <w:rFonts w:ascii="Times New Roman" w:eastAsia="Times New Roman" w:hAnsi="Times New Roman" w:cs="Times New Roman"/>
          <w:lang w:eastAsia="en-GB"/>
        </w:rPr>
        <w:t>Fornango</w:t>
      </w:r>
      <w:proofErr w:type="spellEnd"/>
      <w:r w:rsidRPr="003C0052">
        <w:rPr>
          <w:rFonts w:ascii="Times New Roman" w:eastAsia="Times New Roman" w:hAnsi="Times New Roman" w:cs="Times New Roman"/>
          <w:lang w:eastAsia="en-GB"/>
        </w:rPr>
        <w:t>, R (2009) U.S. attorneys and substantial assistance departures: Testing for inter-prosecutor disparity. Criminology 47:813–46</w:t>
      </w:r>
    </w:p>
    <w:p w:rsidR="00EC53E9" w:rsidRPr="003C0052" w:rsidRDefault="00EC53E9" w:rsidP="00EC53E9">
      <w:pPr>
        <w:rPr>
          <w:rFonts w:ascii="Times New Roman" w:hAnsi="Times New Roman" w:cs="Times New Roman"/>
          <w:lang w:val="fi-FI"/>
        </w:rPr>
      </w:pPr>
    </w:p>
    <w:p w:rsidR="00EC53E9" w:rsidRPr="003C0052" w:rsidRDefault="00EC53E9" w:rsidP="00EC53E9">
      <w:pPr>
        <w:rPr>
          <w:rFonts w:ascii="Times New Roman" w:hAnsi="Times New Roman" w:cs="Times New Roman"/>
        </w:rPr>
      </w:pPr>
      <w:r w:rsidRPr="003C0052">
        <w:rPr>
          <w:rFonts w:ascii="Times New Roman" w:hAnsi="Times New Roman" w:cs="Times New Roman"/>
        </w:rPr>
        <w:lastRenderedPageBreak/>
        <w:t>Taylor, S. (2008). Outside the outsiders: Media representations of drug use. </w:t>
      </w:r>
      <w:r w:rsidRPr="003C0052">
        <w:rPr>
          <w:rFonts w:ascii="Times New Roman" w:hAnsi="Times New Roman" w:cs="Times New Roman"/>
          <w:i/>
          <w:iCs/>
        </w:rPr>
        <w:t>Probation Journal</w:t>
      </w:r>
      <w:r w:rsidRPr="003C0052">
        <w:rPr>
          <w:rFonts w:ascii="Times New Roman" w:hAnsi="Times New Roman" w:cs="Times New Roman"/>
        </w:rPr>
        <w:t>, </w:t>
      </w:r>
      <w:r w:rsidRPr="003C0052">
        <w:rPr>
          <w:rFonts w:ascii="Times New Roman" w:hAnsi="Times New Roman" w:cs="Times New Roman"/>
          <w:i/>
          <w:iCs/>
        </w:rPr>
        <w:t>55</w:t>
      </w:r>
      <w:r w:rsidRPr="003C0052">
        <w:rPr>
          <w:rFonts w:ascii="Times New Roman" w:hAnsi="Times New Roman" w:cs="Times New Roman"/>
        </w:rPr>
        <w:t>(4), 369-387.</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r w:rsidRPr="003C0052">
        <w:rPr>
          <w:rFonts w:ascii="Times New Roman" w:hAnsi="Times New Roman" w:cs="Times New Roman"/>
        </w:rPr>
        <w:t xml:space="preserve">UNODC (2015) </w:t>
      </w:r>
      <w:proofErr w:type="gramStart"/>
      <w:r w:rsidRPr="003C0052">
        <w:rPr>
          <w:rFonts w:ascii="Times New Roman" w:hAnsi="Times New Roman" w:cs="Times New Roman"/>
        </w:rPr>
        <w:t>The</w:t>
      </w:r>
      <w:proofErr w:type="gramEnd"/>
      <w:r w:rsidRPr="003C0052">
        <w:rPr>
          <w:rFonts w:ascii="Times New Roman" w:hAnsi="Times New Roman" w:cs="Times New Roman"/>
        </w:rPr>
        <w:t xml:space="preserve"> challenge of synthetic drugs in East and South East Asia and Oceania. </w:t>
      </w:r>
      <w:proofErr w:type="gramStart"/>
      <w:r w:rsidRPr="003C0052">
        <w:rPr>
          <w:rFonts w:ascii="Times New Roman" w:hAnsi="Times New Roman" w:cs="Times New Roman"/>
        </w:rPr>
        <w:t>Trends and types pf amphetamine type stimulants and new psychoactive substances.</w:t>
      </w:r>
      <w:proofErr w:type="gramEnd"/>
      <w:r w:rsidRPr="003C0052">
        <w:rPr>
          <w:rFonts w:ascii="Times New Roman" w:hAnsi="Times New Roman" w:cs="Times New Roman"/>
        </w:rPr>
        <w:t xml:space="preserve"> Available at: </w:t>
      </w:r>
      <w:hyperlink r:id="rId40" w:history="1">
        <w:r w:rsidRPr="003C0052">
          <w:rPr>
            <w:rStyle w:val="Hyperlink"/>
            <w:rFonts w:ascii="Times New Roman" w:hAnsi="Times New Roman" w:cs="Times New Roman"/>
          </w:rPr>
          <w:t>https://www.unodc.org/documents/southeastasiaandpacific/Publications/2015/drugs/ATS_2015_Report_web.pdf</w:t>
        </w:r>
      </w:hyperlink>
      <w:r w:rsidRPr="003C0052">
        <w:rPr>
          <w:rFonts w:ascii="Times New Roman" w:hAnsi="Times New Roman" w:cs="Times New Roman"/>
        </w:rPr>
        <w:t xml:space="preserve"> </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eastAsia="Times New Roman" w:hAnsi="Times New Roman" w:cs="Times New Roman"/>
          <w:sz w:val="36"/>
          <w:lang w:eastAsia="en-GB"/>
        </w:rPr>
      </w:pPr>
      <w:proofErr w:type="gramStart"/>
      <w:r w:rsidRPr="003C0052">
        <w:rPr>
          <w:rFonts w:ascii="Times New Roman" w:eastAsia="Times New Roman" w:hAnsi="Times New Roman" w:cs="Times New Roman"/>
          <w:color w:val="222222"/>
          <w:szCs w:val="20"/>
          <w:shd w:val="clear" w:color="auto" w:fill="FFFFFF"/>
          <w:lang w:eastAsia="en-GB"/>
        </w:rPr>
        <w:t>van</w:t>
      </w:r>
      <w:proofErr w:type="gramEnd"/>
      <w:r w:rsidRPr="003C0052">
        <w:rPr>
          <w:rFonts w:ascii="Times New Roman" w:eastAsia="Times New Roman" w:hAnsi="Times New Roman" w:cs="Times New Roman"/>
          <w:color w:val="222222"/>
          <w:szCs w:val="20"/>
          <w:shd w:val="clear" w:color="auto" w:fill="FFFFFF"/>
          <w:lang w:eastAsia="en-GB"/>
        </w:rPr>
        <w:t xml:space="preserve"> de </w:t>
      </w:r>
      <w:proofErr w:type="spellStart"/>
      <w:r w:rsidRPr="003C0052">
        <w:rPr>
          <w:rFonts w:ascii="Times New Roman" w:eastAsia="Times New Roman" w:hAnsi="Times New Roman" w:cs="Times New Roman"/>
          <w:color w:val="222222"/>
          <w:szCs w:val="20"/>
          <w:shd w:val="clear" w:color="auto" w:fill="FFFFFF"/>
          <w:lang w:eastAsia="en-GB"/>
        </w:rPr>
        <w:t>Ven</w:t>
      </w:r>
      <w:proofErr w:type="spellEnd"/>
      <w:r w:rsidRPr="003C0052">
        <w:rPr>
          <w:rFonts w:ascii="Times New Roman" w:eastAsia="Times New Roman" w:hAnsi="Times New Roman" w:cs="Times New Roman"/>
          <w:color w:val="222222"/>
          <w:szCs w:val="20"/>
          <w:shd w:val="clear" w:color="auto" w:fill="FFFFFF"/>
          <w:lang w:eastAsia="en-GB"/>
        </w:rPr>
        <w:t xml:space="preserve">, K., &amp; </w:t>
      </w:r>
      <w:proofErr w:type="spellStart"/>
      <w:r w:rsidRPr="003C0052">
        <w:rPr>
          <w:rFonts w:ascii="Times New Roman" w:eastAsia="Times New Roman" w:hAnsi="Times New Roman" w:cs="Times New Roman"/>
          <w:color w:val="222222"/>
          <w:szCs w:val="20"/>
          <w:shd w:val="clear" w:color="auto" w:fill="FFFFFF"/>
          <w:lang w:eastAsia="en-GB"/>
        </w:rPr>
        <w:t>Mulrooney</w:t>
      </w:r>
      <w:proofErr w:type="spellEnd"/>
      <w:r w:rsidRPr="003C0052">
        <w:rPr>
          <w:rFonts w:ascii="Times New Roman" w:eastAsia="Times New Roman" w:hAnsi="Times New Roman" w:cs="Times New Roman"/>
          <w:color w:val="222222"/>
          <w:szCs w:val="20"/>
          <w:shd w:val="clear" w:color="auto" w:fill="FFFFFF"/>
          <w:lang w:eastAsia="en-GB"/>
        </w:rPr>
        <w:t>, K. J. (2017). Social suppliers: Exploring the cultural contours of the performance and image enhancing drug (PIED) market among bodybuilders in the Netherlands and Belgium. </w:t>
      </w:r>
      <w:r w:rsidRPr="003C0052">
        <w:rPr>
          <w:rFonts w:ascii="Times New Roman" w:eastAsia="Times New Roman" w:hAnsi="Times New Roman" w:cs="Times New Roman"/>
          <w:i/>
          <w:iCs/>
          <w:color w:val="222222"/>
          <w:szCs w:val="20"/>
          <w:shd w:val="clear" w:color="auto" w:fill="FFFFFF"/>
          <w:lang w:eastAsia="en-GB"/>
        </w:rPr>
        <w:t>International Journal of Drug Policy</w:t>
      </w:r>
      <w:r w:rsidRPr="003C0052">
        <w:rPr>
          <w:rFonts w:ascii="Times New Roman" w:eastAsia="Times New Roman" w:hAnsi="Times New Roman" w:cs="Times New Roman"/>
          <w:color w:val="222222"/>
          <w:szCs w:val="20"/>
          <w:shd w:val="clear" w:color="auto" w:fill="FFFFFF"/>
          <w:lang w:eastAsia="en-GB"/>
        </w:rPr>
        <w:t>, </w:t>
      </w:r>
      <w:r w:rsidRPr="003C0052">
        <w:rPr>
          <w:rFonts w:ascii="Times New Roman" w:eastAsia="Times New Roman" w:hAnsi="Times New Roman" w:cs="Times New Roman"/>
          <w:i/>
          <w:iCs/>
          <w:color w:val="222222"/>
          <w:szCs w:val="20"/>
          <w:shd w:val="clear" w:color="auto" w:fill="FFFFFF"/>
          <w:lang w:eastAsia="en-GB"/>
        </w:rPr>
        <w:t>40</w:t>
      </w:r>
      <w:r w:rsidRPr="003C0052">
        <w:rPr>
          <w:rFonts w:ascii="Times New Roman" w:eastAsia="Times New Roman" w:hAnsi="Times New Roman" w:cs="Times New Roman"/>
          <w:color w:val="222222"/>
          <w:szCs w:val="20"/>
          <w:shd w:val="clear" w:color="auto" w:fill="FFFFFF"/>
          <w:lang w:eastAsia="en-GB"/>
        </w:rPr>
        <w:t>, 6-15.</w:t>
      </w:r>
    </w:p>
    <w:p w:rsidR="00EC53E9" w:rsidRPr="003C0052" w:rsidRDefault="00EC53E9" w:rsidP="00EC53E9">
      <w:pPr>
        <w:rPr>
          <w:rFonts w:ascii="Times New Roman" w:hAnsi="Times New Roman" w:cs="Times New Roman"/>
        </w:rPr>
      </w:pPr>
    </w:p>
    <w:p w:rsidR="00EC53E9" w:rsidRPr="003C0052" w:rsidRDefault="00EC53E9" w:rsidP="00EC53E9">
      <w:pPr>
        <w:rPr>
          <w:rFonts w:ascii="Times New Roman" w:hAnsi="Times New Roman" w:cs="Times New Roman"/>
        </w:rPr>
      </w:pPr>
      <w:proofErr w:type="gramStart"/>
      <w:r w:rsidRPr="003C0052">
        <w:rPr>
          <w:rFonts w:ascii="Times New Roman" w:hAnsi="Times New Roman" w:cs="Times New Roman"/>
        </w:rPr>
        <w:t>Von Hirsch, A., &amp; Ashworth, A. (2005).</w:t>
      </w:r>
      <w:proofErr w:type="gramEnd"/>
      <w:r w:rsidRPr="003C0052">
        <w:rPr>
          <w:rFonts w:ascii="Times New Roman" w:hAnsi="Times New Roman" w:cs="Times New Roman"/>
        </w:rPr>
        <w:t xml:space="preserve"> </w:t>
      </w:r>
      <w:r w:rsidRPr="003C0052">
        <w:rPr>
          <w:rFonts w:ascii="Times New Roman" w:hAnsi="Times New Roman" w:cs="Times New Roman"/>
          <w:i/>
        </w:rPr>
        <w:t>Proportionate sentencing: Exploring the principles</w:t>
      </w:r>
      <w:r w:rsidRPr="003C0052">
        <w:rPr>
          <w:rFonts w:ascii="Times New Roman" w:hAnsi="Times New Roman" w:cs="Times New Roman"/>
        </w:rPr>
        <w:t>. Oxford: OUP</w:t>
      </w:r>
    </w:p>
    <w:p w:rsidR="00EC53E9" w:rsidRPr="003C0052" w:rsidRDefault="00EC53E9" w:rsidP="00EC53E9">
      <w:pPr>
        <w:rPr>
          <w:rFonts w:ascii="Times New Roman" w:hAnsi="Times New Roman" w:cs="Times New Roman"/>
          <w:b/>
        </w:rPr>
      </w:pPr>
    </w:p>
    <w:p w:rsidR="00EC53E9" w:rsidRPr="003C0052" w:rsidRDefault="00EC53E9" w:rsidP="00EC53E9">
      <w:pPr>
        <w:pStyle w:val="EndNoteBibliography"/>
        <w:spacing w:after="0"/>
        <w:rPr>
          <w:rFonts w:ascii="Times New Roman" w:hAnsi="Times New Roman" w:cs="Times New Roman"/>
          <w:lang w:val="nl-BE"/>
        </w:rPr>
      </w:pPr>
      <w:r w:rsidRPr="003C0052">
        <w:rPr>
          <w:rFonts w:ascii="Times New Roman" w:hAnsi="Times New Roman" w:cs="Times New Roman"/>
        </w:rPr>
        <w:t xml:space="preserve">Vlaemynck, M. (2016). </w:t>
      </w:r>
      <w:r w:rsidRPr="003C0052">
        <w:rPr>
          <w:rFonts w:ascii="Times New Roman" w:hAnsi="Times New Roman" w:cs="Times New Roman"/>
          <w:i/>
        </w:rPr>
        <w:t>Disentangling 'social supply': a personal netork study into the social world of recreational cannabis use and its supply.</w:t>
      </w:r>
      <w:r w:rsidRPr="003C0052">
        <w:rPr>
          <w:rFonts w:ascii="Times New Roman" w:hAnsi="Times New Roman" w:cs="Times New Roman"/>
        </w:rPr>
        <w:t xml:space="preserve"> </w:t>
      </w:r>
      <w:r w:rsidRPr="003C0052">
        <w:rPr>
          <w:rFonts w:ascii="Times New Roman" w:hAnsi="Times New Roman" w:cs="Times New Roman"/>
          <w:lang w:val="nl-BE"/>
        </w:rPr>
        <w:t xml:space="preserve">(Dissertation), University of Ghent, Ghent. English AUS  </w:t>
      </w:r>
    </w:p>
    <w:p w:rsidR="00EC53E9" w:rsidRPr="003C0052" w:rsidRDefault="00EC53E9" w:rsidP="00EC53E9">
      <w:pPr>
        <w:pStyle w:val="EndNoteBibliography"/>
        <w:spacing w:after="0"/>
        <w:rPr>
          <w:rFonts w:ascii="Times New Roman" w:hAnsi="Times New Roman" w:cs="Times New Roman"/>
          <w:lang w:val="nl-BE"/>
        </w:rPr>
      </w:pPr>
    </w:p>
    <w:p w:rsidR="00EC53E9" w:rsidRPr="003C0052" w:rsidRDefault="00EC53E9" w:rsidP="00EC53E9">
      <w:pPr>
        <w:rPr>
          <w:rFonts w:ascii="Times" w:hAnsi="Times"/>
          <w:lang w:val="de-DE"/>
        </w:rPr>
      </w:pPr>
      <w:proofErr w:type="spellStart"/>
      <w:r w:rsidRPr="003C0052">
        <w:rPr>
          <w:rFonts w:ascii="Times" w:hAnsi="Times"/>
        </w:rPr>
        <w:t>Werse</w:t>
      </w:r>
      <w:proofErr w:type="spellEnd"/>
      <w:r w:rsidRPr="003C0052">
        <w:rPr>
          <w:rFonts w:ascii="Times" w:hAnsi="Times"/>
        </w:rPr>
        <w:t xml:space="preserve">, B. (2008): Retail markets for cannabis - users, sharers, go-betweens and stash dealers. In: </w:t>
      </w:r>
      <w:proofErr w:type="spellStart"/>
      <w:r w:rsidRPr="003C0052">
        <w:rPr>
          <w:rFonts w:ascii="Times" w:hAnsi="Times"/>
        </w:rPr>
        <w:t>Korf</w:t>
      </w:r>
      <w:proofErr w:type="spellEnd"/>
      <w:r w:rsidRPr="003C0052">
        <w:rPr>
          <w:rFonts w:ascii="Times" w:hAnsi="Times"/>
        </w:rPr>
        <w:t xml:space="preserve">, D. J. (Ed.): Cannabis in Europe. </w:t>
      </w:r>
      <w:proofErr w:type="gramStart"/>
      <w:r w:rsidRPr="003C0052">
        <w:rPr>
          <w:rFonts w:ascii="Times" w:hAnsi="Times"/>
        </w:rPr>
        <w:t>Dynamics in Perception, Policy and Markets.</w:t>
      </w:r>
      <w:proofErr w:type="gramEnd"/>
      <w:r w:rsidRPr="003C0052">
        <w:rPr>
          <w:rFonts w:ascii="Times" w:hAnsi="Times"/>
        </w:rPr>
        <w:t xml:space="preserve"> </w:t>
      </w:r>
      <w:proofErr w:type="spellStart"/>
      <w:r w:rsidRPr="003C0052">
        <w:rPr>
          <w:rFonts w:ascii="Times" w:hAnsi="Times"/>
        </w:rPr>
        <w:t>Lengerich</w:t>
      </w:r>
      <w:proofErr w:type="spellEnd"/>
      <w:r w:rsidRPr="003C0052">
        <w:rPr>
          <w:rFonts w:ascii="Times" w:hAnsi="Times"/>
        </w:rPr>
        <w:t>: Pabst</w:t>
      </w:r>
    </w:p>
    <w:p w:rsidR="00EC53E9" w:rsidRPr="003C0052" w:rsidRDefault="00EC53E9" w:rsidP="00EC53E9">
      <w:pPr>
        <w:rPr>
          <w:rFonts w:ascii="Times" w:hAnsi="Times"/>
        </w:rPr>
      </w:pPr>
    </w:p>
    <w:p w:rsidR="00EC53E9" w:rsidRPr="003C0052" w:rsidRDefault="00EC53E9" w:rsidP="00EC53E9">
      <w:pPr>
        <w:rPr>
          <w:rFonts w:ascii="Times" w:hAnsi="Times"/>
        </w:rPr>
      </w:pPr>
      <w:proofErr w:type="spellStart"/>
      <w:r w:rsidRPr="003C0052">
        <w:rPr>
          <w:rFonts w:ascii="Times" w:hAnsi="Times"/>
        </w:rPr>
        <w:t>Werse</w:t>
      </w:r>
      <w:proofErr w:type="spellEnd"/>
      <w:r w:rsidRPr="003C0052">
        <w:rPr>
          <w:rFonts w:ascii="Times" w:hAnsi="Times"/>
        </w:rPr>
        <w:t xml:space="preserve">, B. (2014): </w:t>
      </w:r>
      <w:proofErr w:type="spellStart"/>
      <w:r w:rsidRPr="003C0052">
        <w:rPr>
          <w:rFonts w:ascii="Times" w:hAnsi="Times"/>
        </w:rPr>
        <w:t>Wie</w:t>
      </w:r>
      <w:proofErr w:type="spellEnd"/>
      <w:r w:rsidRPr="003C0052">
        <w:rPr>
          <w:rFonts w:ascii="Times" w:hAnsi="Times"/>
        </w:rPr>
        <w:t xml:space="preserve"> </w:t>
      </w:r>
      <w:proofErr w:type="spellStart"/>
      <w:r w:rsidRPr="003C0052">
        <w:rPr>
          <w:rFonts w:ascii="Times" w:hAnsi="Times"/>
        </w:rPr>
        <w:t>kriminell</w:t>
      </w:r>
      <w:proofErr w:type="spellEnd"/>
      <w:r w:rsidRPr="003C0052">
        <w:rPr>
          <w:rFonts w:ascii="Times" w:hAnsi="Times"/>
        </w:rPr>
        <w:t xml:space="preserve"> </w:t>
      </w:r>
      <w:proofErr w:type="spellStart"/>
      <w:proofErr w:type="gramStart"/>
      <w:r w:rsidRPr="003C0052">
        <w:rPr>
          <w:rFonts w:ascii="Times" w:hAnsi="Times"/>
        </w:rPr>
        <w:t>sind</w:t>
      </w:r>
      <w:proofErr w:type="spellEnd"/>
      <w:proofErr w:type="gramEnd"/>
      <w:r w:rsidRPr="003C0052">
        <w:rPr>
          <w:rFonts w:ascii="Times" w:hAnsi="Times"/>
        </w:rPr>
        <w:t xml:space="preserve"> 'Social Supplier'? </w:t>
      </w:r>
      <w:proofErr w:type="spellStart"/>
      <w:proofErr w:type="gramStart"/>
      <w:r w:rsidRPr="003C0052">
        <w:rPr>
          <w:rFonts w:ascii="Times" w:hAnsi="Times"/>
        </w:rPr>
        <w:t>Ergebnisse</w:t>
      </w:r>
      <w:proofErr w:type="spellEnd"/>
      <w:r w:rsidRPr="003C0052">
        <w:rPr>
          <w:rFonts w:ascii="Times" w:hAnsi="Times"/>
        </w:rPr>
        <w:t xml:space="preserve"> </w:t>
      </w:r>
      <w:proofErr w:type="spellStart"/>
      <w:r w:rsidRPr="003C0052">
        <w:rPr>
          <w:rFonts w:ascii="Times" w:hAnsi="Times"/>
        </w:rPr>
        <w:t>zum</w:t>
      </w:r>
      <w:proofErr w:type="spellEnd"/>
      <w:r w:rsidRPr="003C0052">
        <w:rPr>
          <w:rFonts w:ascii="Times" w:hAnsi="Times"/>
        </w:rPr>
        <w:t xml:space="preserve"> </w:t>
      </w:r>
      <w:proofErr w:type="spellStart"/>
      <w:r w:rsidRPr="003C0052">
        <w:rPr>
          <w:rFonts w:ascii="Times" w:hAnsi="Times"/>
        </w:rPr>
        <w:t>Drogenkleinsthandel</w:t>
      </w:r>
      <w:proofErr w:type="spellEnd"/>
      <w:r w:rsidRPr="003C0052">
        <w:rPr>
          <w:rFonts w:ascii="Times" w:hAnsi="Times"/>
        </w:rPr>
        <w:t xml:space="preserve"> </w:t>
      </w:r>
      <w:proofErr w:type="spellStart"/>
      <w:r w:rsidRPr="003C0052">
        <w:rPr>
          <w:rFonts w:ascii="Times" w:hAnsi="Times"/>
        </w:rPr>
        <w:t>aus</w:t>
      </w:r>
      <w:proofErr w:type="spellEnd"/>
      <w:r w:rsidRPr="003C0052">
        <w:rPr>
          <w:rFonts w:ascii="Times" w:hAnsi="Times"/>
        </w:rPr>
        <w:t xml:space="preserve"> </w:t>
      </w:r>
      <w:proofErr w:type="spellStart"/>
      <w:r w:rsidRPr="003C0052">
        <w:rPr>
          <w:rFonts w:ascii="Times" w:hAnsi="Times"/>
        </w:rPr>
        <w:t>zwei</w:t>
      </w:r>
      <w:proofErr w:type="spellEnd"/>
      <w:r w:rsidRPr="003C0052">
        <w:rPr>
          <w:rFonts w:ascii="Times" w:hAnsi="Times"/>
        </w:rPr>
        <w:t xml:space="preserve"> </w:t>
      </w:r>
      <w:proofErr w:type="spellStart"/>
      <w:r w:rsidRPr="003C0052">
        <w:rPr>
          <w:rFonts w:ascii="Times" w:hAnsi="Times"/>
        </w:rPr>
        <w:t>empirischen</w:t>
      </w:r>
      <w:proofErr w:type="spellEnd"/>
      <w:r w:rsidRPr="003C0052">
        <w:rPr>
          <w:rFonts w:ascii="Times" w:hAnsi="Times"/>
        </w:rPr>
        <w:t xml:space="preserve"> </w:t>
      </w:r>
      <w:proofErr w:type="spellStart"/>
      <w:r w:rsidRPr="003C0052">
        <w:rPr>
          <w:rFonts w:ascii="Times" w:hAnsi="Times"/>
        </w:rPr>
        <w:t>Studien</w:t>
      </w:r>
      <w:proofErr w:type="spellEnd"/>
      <w:r w:rsidRPr="003C0052">
        <w:rPr>
          <w:rFonts w:ascii="Times" w:hAnsi="Times"/>
        </w:rPr>
        <w:t>.</w:t>
      </w:r>
      <w:proofErr w:type="gramEnd"/>
      <w:r w:rsidRPr="003C0052">
        <w:rPr>
          <w:rFonts w:ascii="Times" w:hAnsi="Times"/>
        </w:rPr>
        <w:t xml:space="preserve"> Rausch - Wiener </w:t>
      </w:r>
      <w:proofErr w:type="spellStart"/>
      <w:r w:rsidRPr="003C0052">
        <w:rPr>
          <w:rFonts w:ascii="Times" w:hAnsi="Times"/>
        </w:rPr>
        <w:t>Zeitschrift</w:t>
      </w:r>
      <w:proofErr w:type="spellEnd"/>
      <w:r w:rsidRPr="003C0052">
        <w:rPr>
          <w:rFonts w:ascii="Times" w:hAnsi="Times"/>
        </w:rPr>
        <w:t xml:space="preserve"> </w:t>
      </w:r>
      <w:proofErr w:type="spellStart"/>
      <w:r w:rsidRPr="003C0052">
        <w:rPr>
          <w:rFonts w:ascii="Times" w:hAnsi="Times"/>
        </w:rPr>
        <w:t>für</w:t>
      </w:r>
      <w:proofErr w:type="spellEnd"/>
      <w:r w:rsidRPr="003C0052">
        <w:rPr>
          <w:rFonts w:ascii="Times" w:hAnsi="Times"/>
        </w:rPr>
        <w:t xml:space="preserve"> </w:t>
      </w:r>
      <w:proofErr w:type="spellStart"/>
      <w:r w:rsidRPr="003C0052">
        <w:rPr>
          <w:rFonts w:ascii="Times" w:hAnsi="Times"/>
        </w:rPr>
        <w:t>Suchttherapie</w:t>
      </w:r>
      <w:proofErr w:type="spellEnd"/>
      <w:r w:rsidRPr="003C0052">
        <w:rPr>
          <w:rFonts w:ascii="Times" w:hAnsi="Times"/>
        </w:rPr>
        <w:t>, 2014; 3(2): 98-106</w:t>
      </w:r>
    </w:p>
    <w:p w:rsidR="00EC53E9" w:rsidRPr="003C0052" w:rsidRDefault="00EC53E9" w:rsidP="00EC53E9">
      <w:pPr>
        <w:pStyle w:val="EndNoteBibliography"/>
        <w:spacing w:after="0"/>
        <w:rPr>
          <w:rFonts w:ascii="Times New Roman" w:hAnsi="Times New Roman" w:cs="Times New Roman"/>
          <w:lang w:val="nl-BE"/>
        </w:rPr>
      </w:pPr>
    </w:p>
    <w:p w:rsidR="00EC53E9" w:rsidRPr="003C0052" w:rsidRDefault="00EC53E9" w:rsidP="00EC53E9">
      <w:pPr>
        <w:pStyle w:val="EndNoteBibliography"/>
        <w:spacing w:after="0"/>
        <w:rPr>
          <w:rFonts w:ascii="Times New Roman" w:hAnsi="Times New Roman" w:cs="Times New Roman"/>
          <w:lang w:val="nl-BE"/>
        </w:rPr>
      </w:pPr>
      <w:r w:rsidRPr="003C0052">
        <w:rPr>
          <w:rFonts w:ascii="Times New Roman" w:hAnsi="Times New Roman" w:cs="Times New Roman"/>
          <w:lang w:val="nl-BE"/>
        </w:rPr>
        <w:t xml:space="preserve">Werse, B. &amp; Bernard., C (eds) (2016). </w:t>
      </w:r>
      <w:r w:rsidRPr="003C0052">
        <w:rPr>
          <w:rFonts w:ascii="Times New Roman" w:hAnsi="Times New Roman" w:cs="Times New Roman"/>
          <w:i/>
          <w:lang w:val="nl-BE"/>
        </w:rPr>
        <w:t>Friendly Business. International Views on Social Supply, Self-Supply and Small Scale Drug Dealing</w:t>
      </w:r>
      <w:r w:rsidRPr="003C0052">
        <w:rPr>
          <w:rFonts w:ascii="Times New Roman" w:hAnsi="Times New Roman" w:cs="Times New Roman"/>
          <w:lang w:val="nl-BE"/>
        </w:rPr>
        <w:t>. Wiesbaden: Springer VS.</w:t>
      </w:r>
    </w:p>
    <w:p w:rsidR="00EC53E9" w:rsidRPr="003C0052" w:rsidRDefault="00EC53E9" w:rsidP="00EC53E9">
      <w:pPr>
        <w:pStyle w:val="EndNoteBibliography"/>
        <w:spacing w:after="0"/>
        <w:ind w:left="720" w:hanging="720"/>
        <w:rPr>
          <w:rFonts w:ascii="Times New Roman" w:hAnsi="Times New Roman" w:cs="Times New Roman"/>
          <w:lang w:val="nl-BE"/>
        </w:rPr>
      </w:pPr>
    </w:p>
    <w:p w:rsidR="00EC53E9" w:rsidRPr="003C0052" w:rsidRDefault="00EC53E9" w:rsidP="00EC53E9">
      <w:pPr>
        <w:pStyle w:val="CommentText"/>
        <w:rPr>
          <w:rFonts w:ascii="Times New Roman" w:hAnsi="Times New Roman" w:cs="Times New Roman"/>
        </w:rPr>
      </w:pPr>
      <w:proofErr w:type="spellStart"/>
      <w:r w:rsidRPr="003C0052">
        <w:rPr>
          <w:rFonts w:ascii="Times New Roman" w:hAnsi="Times New Roman" w:cs="Times New Roman"/>
        </w:rPr>
        <w:t>Werse</w:t>
      </w:r>
      <w:proofErr w:type="spellEnd"/>
      <w:r w:rsidRPr="003C0052">
        <w:rPr>
          <w:rFonts w:ascii="Times New Roman" w:hAnsi="Times New Roman" w:cs="Times New Roman"/>
        </w:rPr>
        <w:t xml:space="preserve">, B. &amp; Müller, D. (2016): Drifting in and out of Dealing - results on career dynamics from the TDID project. In: </w:t>
      </w:r>
      <w:proofErr w:type="spellStart"/>
      <w:r w:rsidRPr="003C0052">
        <w:rPr>
          <w:rFonts w:ascii="Times New Roman" w:hAnsi="Times New Roman" w:cs="Times New Roman"/>
        </w:rPr>
        <w:t>Werse</w:t>
      </w:r>
      <w:proofErr w:type="spellEnd"/>
      <w:r w:rsidRPr="003C0052">
        <w:rPr>
          <w:rFonts w:ascii="Times New Roman" w:hAnsi="Times New Roman" w:cs="Times New Roman"/>
        </w:rPr>
        <w:t xml:space="preserve"> &amp; Bernard (eds.): </w:t>
      </w:r>
      <w:r w:rsidRPr="003C0052">
        <w:rPr>
          <w:rFonts w:ascii="Times New Roman" w:hAnsi="Times New Roman" w:cs="Times New Roman"/>
          <w:i/>
        </w:rPr>
        <w:t>Friendly Business,</w:t>
      </w:r>
      <w:r w:rsidRPr="003C0052">
        <w:rPr>
          <w:rFonts w:ascii="Times New Roman" w:hAnsi="Times New Roman" w:cs="Times New Roman"/>
        </w:rPr>
        <w:t xml:space="preserve"> </w:t>
      </w:r>
      <w:r w:rsidRPr="003C0052">
        <w:rPr>
          <w:rFonts w:ascii="Times New Roman" w:hAnsi="Times New Roman" w:cs="Times New Roman"/>
          <w:i/>
          <w:lang w:val="nl-BE"/>
        </w:rPr>
        <w:t>International Views on Social Supply, Self-Supply and Small Scale Drug Dealing</w:t>
      </w:r>
      <w:r w:rsidRPr="003C0052">
        <w:rPr>
          <w:rFonts w:ascii="Times New Roman" w:hAnsi="Times New Roman" w:cs="Times New Roman"/>
        </w:rPr>
        <w:t xml:space="preserve"> pp. 93-120)</w:t>
      </w:r>
    </w:p>
    <w:p w:rsidR="00EC53E9" w:rsidRPr="003C0052" w:rsidRDefault="00EC53E9" w:rsidP="00EC53E9">
      <w:pPr>
        <w:pStyle w:val="EndNoteBibliography"/>
        <w:spacing w:after="0"/>
        <w:rPr>
          <w:rFonts w:ascii="Times New Roman" w:hAnsi="Times New Roman" w:cs="Times New Roman"/>
          <w:lang w:val="nl-BE"/>
        </w:rPr>
      </w:pPr>
    </w:p>
    <w:p w:rsidR="00EC53E9" w:rsidRPr="00A20538" w:rsidRDefault="00EC53E9" w:rsidP="00EC53E9">
      <w:pPr>
        <w:pStyle w:val="EndNoteBibliography"/>
        <w:spacing w:after="0"/>
        <w:rPr>
          <w:rFonts w:ascii="Times New Roman" w:hAnsi="Times New Roman" w:cs="Times New Roman"/>
          <w:lang w:val="en-GB"/>
        </w:rPr>
      </w:pPr>
      <w:r w:rsidRPr="003C0052">
        <w:rPr>
          <w:rFonts w:ascii="Times New Roman" w:hAnsi="Times New Roman" w:cs="Times New Roman"/>
          <w:lang w:val="en-GB"/>
        </w:rPr>
        <w:t xml:space="preserve">Zeman, P., Stefunkova, M., &amp; Travnickova, I. (2015). </w:t>
      </w:r>
      <w:r w:rsidRPr="003C0052">
        <w:rPr>
          <w:rFonts w:ascii="Times New Roman" w:hAnsi="Times New Roman" w:cs="Times New Roman"/>
          <w:i/>
          <w:lang w:val="en-GB"/>
        </w:rPr>
        <w:t>Drogova kriminalita [Illicit Drug Criminality]</w:t>
      </w:r>
      <w:r w:rsidRPr="003C0052">
        <w:rPr>
          <w:rFonts w:ascii="Times New Roman" w:hAnsi="Times New Roman" w:cs="Times New Roman"/>
          <w:lang w:val="en-GB"/>
        </w:rPr>
        <w:t xml:space="preserve">. Retrieved from Praha: </w:t>
      </w:r>
      <w:hyperlink r:id="rId41" w:history="1">
        <w:r w:rsidRPr="003C0052">
          <w:rPr>
            <w:rStyle w:val="Hyperlink"/>
            <w:rFonts w:ascii="Times New Roman" w:hAnsi="Times New Roman" w:cs="Times New Roman"/>
            <w:lang w:val="en-GB"/>
          </w:rPr>
          <w:t>http://www.ok.cz/iksp/docs/387.pdf</w:t>
        </w:r>
      </w:hyperlink>
    </w:p>
    <w:p w:rsidR="00EC53E9" w:rsidRPr="00A20538" w:rsidRDefault="00EC53E9" w:rsidP="00EC53E9">
      <w:pPr>
        <w:pStyle w:val="EndNoteBibliography"/>
        <w:spacing w:after="0"/>
        <w:ind w:left="720" w:hanging="720"/>
        <w:rPr>
          <w:rFonts w:ascii="Times New Roman" w:hAnsi="Times New Roman" w:cs="Times New Roman"/>
          <w:lang w:val="nl-BE"/>
        </w:rPr>
      </w:pPr>
    </w:p>
    <w:p w:rsidR="00EC53E9" w:rsidRPr="00C915FF" w:rsidRDefault="00EC53E9" w:rsidP="00EC53E9">
      <w:pPr>
        <w:rPr>
          <w:rFonts w:asciiTheme="majorHAnsi" w:hAnsiTheme="majorHAnsi"/>
          <w:b/>
        </w:rPr>
      </w:pPr>
    </w:p>
    <w:p w:rsidR="003C0052" w:rsidRPr="00BF534B" w:rsidRDefault="003C0052" w:rsidP="003C0052">
      <w:pPr>
        <w:rPr>
          <w:u w:val="single"/>
        </w:rPr>
      </w:pPr>
      <w:proofErr w:type="gramStart"/>
      <w:r w:rsidRPr="00BF534B">
        <w:rPr>
          <w:u w:val="single"/>
        </w:rPr>
        <w:t>Table 1.</w:t>
      </w:r>
      <w:proofErr w:type="gramEnd"/>
      <w:r w:rsidRPr="00BF534B">
        <w:rPr>
          <w:u w:val="single"/>
        </w:rPr>
        <w:t xml:space="preserve"> International Research on Social Supply </w:t>
      </w:r>
    </w:p>
    <w:tbl>
      <w:tblPr>
        <w:tblStyle w:val="TableGrid"/>
        <w:tblW w:w="0" w:type="auto"/>
        <w:tblLook w:val="04A0" w:firstRow="1" w:lastRow="0" w:firstColumn="1" w:lastColumn="0" w:noHBand="0" w:noVBand="1"/>
      </w:tblPr>
      <w:tblGrid>
        <w:gridCol w:w="1688"/>
        <w:gridCol w:w="1939"/>
        <w:gridCol w:w="2453"/>
        <w:gridCol w:w="2436"/>
      </w:tblGrid>
      <w:tr w:rsidR="003C0052" w:rsidTr="007D0B1C">
        <w:tc>
          <w:tcPr>
            <w:tcW w:w="1809" w:type="dxa"/>
          </w:tcPr>
          <w:p w:rsidR="003C0052" w:rsidRPr="00C35438" w:rsidRDefault="003C0052" w:rsidP="007D0B1C">
            <w:pPr>
              <w:rPr>
                <w:b/>
              </w:rPr>
            </w:pPr>
            <w:r w:rsidRPr="00C35438">
              <w:rPr>
                <w:b/>
              </w:rPr>
              <w:t>Country</w:t>
            </w:r>
          </w:p>
        </w:tc>
        <w:tc>
          <w:tcPr>
            <w:tcW w:w="2127" w:type="dxa"/>
          </w:tcPr>
          <w:p w:rsidR="003C0052" w:rsidRPr="00C35438" w:rsidRDefault="003C0052" w:rsidP="007D0B1C">
            <w:pPr>
              <w:rPr>
                <w:b/>
              </w:rPr>
            </w:pPr>
            <w:r w:rsidRPr="00C35438">
              <w:rPr>
                <w:b/>
              </w:rPr>
              <w:t>Drug/s of Focus</w:t>
            </w:r>
          </w:p>
        </w:tc>
        <w:tc>
          <w:tcPr>
            <w:tcW w:w="2551" w:type="dxa"/>
          </w:tcPr>
          <w:p w:rsidR="003C0052" w:rsidRPr="00C35438" w:rsidRDefault="003C0052" w:rsidP="007D0B1C">
            <w:pPr>
              <w:rPr>
                <w:b/>
              </w:rPr>
            </w:pPr>
            <w:r w:rsidRPr="00C35438">
              <w:rPr>
                <w:b/>
              </w:rPr>
              <w:t>Supplier Group/s</w:t>
            </w:r>
          </w:p>
        </w:tc>
        <w:tc>
          <w:tcPr>
            <w:tcW w:w="2755" w:type="dxa"/>
          </w:tcPr>
          <w:p w:rsidR="003C0052" w:rsidRPr="00C35438" w:rsidRDefault="003C0052" w:rsidP="007D0B1C">
            <w:pPr>
              <w:rPr>
                <w:b/>
              </w:rPr>
            </w:pPr>
            <w:r>
              <w:rPr>
                <w:b/>
              </w:rPr>
              <w:t>Extent of Research</w:t>
            </w:r>
          </w:p>
        </w:tc>
      </w:tr>
      <w:tr w:rsidR="003C0052" w:rsidTr="007D0B1C">
        <w:tc>
          <w:tcPr>
            <w:tcW w:w="1809" w:type="dxa"/>
          </w:tcPr>
          <w:p w:rsidR="003C0052" w:rsidRDefault="003C0052" w:rsidP="007D0B1C"/>
        </w:tc>
        <w:tc>
          <w:tcPr>
            <w:tcW w:w="2127" w:type="dxa"/>
          </w:tcPr>
          <w:p w:rsidR="003C0052" w:rsidRDefault="003C0052" w:rsidP="007D0B1C"/>
        </w:tc>
        <w:tc>
          <w:tcPr>
            <w:tcW w:w="2551" w:type="dxa"/>
          </w:tcPr>
          <w:p w:rsidR="003C0052" w:rsidRDefault="003C0052" w:rsidP="007D0B1C"/>
        </w:tc>
        <w:tc>
          <w:tcPr>
            <w:tcW w:w="2755" w:type="dxa"/>
          </w:tcPr>
          <w:p w:rsidR="003C0052" w:rsidRDefault="003C0052" w:rsidP="007D0B1C"/>
        </w:tc>
      </w:tr>
      <w:tr w:rsidR="003C0052" w:rsidTr="007D0B1C">
        <w:tc>
          <w:tcPr>
            <w:tcW w:w="1809" w:type="dxa"/>
          </w:tcPr>
          <w:p w:rsidR="003C0052" w:rsidRDefault="003C0052" w:rsidP="007D0B1C">
            <w:r>
              <w:t>Australia</w:t>
            </w:r>
          </w:p>
        </w:tc>
        <w:tc>
          <w:tcPr>
            <w:tcW w:w="2127" w:type="dxa"/>
          </w:tcPr>
          <w:p w:rsidR="003C0052" w:rsidRDefault="003C0052" w:rsidP="007D0B1C">
            <w:r>
              <w:t xml:space="preserve">Main focus on cannabis; current projects on </w:t>
            </w:r>
            <w:r w:rsidRPr="00AF4D6A">
              <w:t xml:space="preserve">any recreational drugs for Social Supply; </w:t>
            </w:r>
            <w:r>
              <w:t>a</w:t>
            </w:r>
            <w:r w:rsidRPr="00AF4D6A">
              <w:t xml:space="preserve">ll drugs </w:t>
            </w:r>
            <w:r w:rsidRPr="00AF4D6A">
              <w:lastRenderedPageBreak/>
              <w:t>of dependence for Minimally Commercial Supply</w:t>
            </w:r>
          </w:p>
        </w:tc>
        <w:tc>
          <w:tcPr>
            <w:tcW w:w="2551" w:type="dxa"/>
          </w:tcPr>
          <w:p w:rsidR="003C0052" w:rsidRDefault="003C0052" w:rsidP="007D0B1C">
            <w:r>
              <w:lastRenderedPageBreak/>
              <w:t>Mostly cannabis users for fieldwork; secondary analysis of sentencing outcomes for all demographics/drugs</w:t>
            </w:r>
          </w:p>
        </w:tc>
        <w:tc>
          <w:tcPr>
            <w:tcW w:w="2755" w:type="dxa"/>
          </w:tcPr>
          <w:p w:rsidR="003C0052" w:rsidRDefault="003C0052" w:rsidP="007D0B1C">
            <w:r>
              <w:t>A number of projects over the last ten years showing social supply to be common among cannabis users</w:t>
            </w:r>
            <w:r>
              <w:rPr>
                <w:vertAlign w:val="superscript"/>
              </w:rPr>
              <w:t>1</w:t>
            </w:r>
            <w:r>
              <w:t xml:space="preserve">. Some new research also </w:t>
            </w:r>
            <w:r>
              <w:lastRenderedPageBreak/>
              <w:t>looking at sentencing of social suppliers of all drugs and heroin and crack user-dealers.</w:t>
            </w:r>
          </w:p>
        </w:tc>
      </w:tr>
      <w:tr w:rsidR="003C0052" w:rsidTr="007D0B1C">
        <w:tc>
          <w:tcPr>
            <w:tcW w:w="1809" w:type="dxa"/>
          </w:tcPr>
          <w:p w:rsidR="003C0052" w:rsidRDefault="003C0052" w:rsidP="007D0B1C">
            <w:r>
              <w:lastRenderedPageBreak/>
              <w:t>Belgium</w:t>
            </w:r>
          </w:p>
        </w:tc>
        <w:tc>
          <w:tcPr>
            <w:tcW w:w="2127" w:type="dxa"/>
          </w:tcPr>
          <w:p w:rsidR="003C0052" w:rsidRDefault="003C0052" w:rsidP="007D0B1C">
            <w:r>
              <w:t>Cannabis</w:t>
            </w:r>
          </w:p>
        </w:tc>
        <w:tc>
          <w:tcPr>
            <w:tcW w:w="2551" w:type="dxa"/>
          </w:tcPr>
          <w:p w:rsidR="003C0052" w:rsidRDefault="003C0052" w:rsidP="007D0B1C">
            <w:r>
              <w:t>Cannabis users/ suppliers (range of)</w:t>
            </w:r>
          </w:p>
        </w:tc>
        <w:tc>
          <w:tcPr>
            <w:tcW w:w="2755" w:type="dxa"/>
          </w:tcPr>
          <w:p w:rsidR="003C0052" w:rsidRDefault="003C0052" w:rsidP="007D0B1C">
            <w:r>
              <w:t>At least two prior projects showing friend supply is common. One dedicated project showing social supply activity appears common</w:t>
            </w:r>
          </w:p>
        </w:tc>
      </w:tr>
      <w:tr w:rsidR="003C0052" w:rsidTr="007D0B1C">
        <w:tc>
          <w:tcPr>
            <w:tcW w:w="1809" w:type="dxa"/>
          </w:tcPr>
          <w:p w:rsidR="003C0052" w:rsidRDefault="003C0052" w:rsidP="007D0B1C">
            <w:r>
              <w:t>Canada</w:t>
            </w:r>
          </w:p>
        </w:tc>
        <w:tc>
          <w:tcPr>
            <w:tcW w:w="2127" w:type="dxa"/>
          </w:tcPr>
          <w:p w:rsidR="003C0052" w:rsidRDefault="003C0052" w:rsidP="007D0B1C">
            <w:r>
              <w:t>Cannabis</w:t>
            </w:r>
          </w:p>
        </w:tc>
        <w:tc>
          <w:tcPr>
            <w:tcW w:w="2551" w:type="dxa"/>
          </w:tcPr>
          <w:p w:rsidR="003C0052" w:rsidRDefault="003C0052" w:rsidP="007D0B1C">
            <w:r>
              <w:t>University students</w:t>
            </w:r>
          </w:p>
        </w:tc>
        <w:tc>
          <w:tcPr>
            <w:tcW w:w="2755" w:type="dxa"/>
          </w:tcPr>
          <w:p w:rsidR="003C0052" w:rsidRDefault="003C0052" w:rsidP="007D0B1C">
            <w:r w:rsidRPr="00904C19">
              <w:t>One dedicated project showing strong social supply activity is common</w:t>
            </w:r>
            <w:r>
              <w:t xml:space="preserve">. A few previous projects on normalised cannabis use have shown friend supply and relations to be important. </w:t>
            </w:r>
          </w:p>
        </w:tc>
      </w:tr>
      <w:tr w:rsidR="003C0052" w:rsidTr="007D0B1C">
        <w:tc>
          <w:tcPr>
            <w:tcW w:w="1809" w:type="dxa"/>
          </w:tcPr>
          <w:p w:rsidR="003C0052" w:rsidRDefault="003C0052" w:rsidP="007D0B1C">
            <w:r>
              <w:t>Czech Republic</w:t>
            </w:r>
          </w:p>
        </w:tc>
        <w:tc>
          <w:tcPr>
            <w:tcW w:w="2127" w:type="dxa"/>
          </w:tcPr>
          <w:p w:rsidR="003C0052" w:rsidRDefault="003C0052" w:rsidP="007D0B1C">
            <w:r>
              <w:t>Cannabis</w:t>
            </w:r>
          </w:p>
        </w:tc>
        <w:tc>
          <w:tcPr>
            <w:tcW w:w="2551" w:type="dxa"/>
          </w:tcPr>
          <w:p w:rsidR="003C0052" w:rsidRDefault="003C0052" w:rsidP="007D0B1C">
            <w:r>
              <w:t>Cannabis suppliers</w:t>
            </w:r>
          </w:p>
        </w:tc>
        <w:tc>
          <w:tcPr>
            <w:tcW w:w="2755" w:type="dxa"/>
          </w:tcPr>
          <w:p w:rsidR="003C0052" w:rsidRDefault="003C0052" w:rsidP="007D0B1C">
            <w:r>
              <w:t>A few projects relating how the general culture of supply in CR for cannabis is around free (or at cost) distribution and thus social supply</w:t>
            </w:r>
          </w:p>
        </w:tc>
      </w:tr>
      <w:tr w:rsidR="003C0052" w:rsidTr="007D0B1C">
        <w:tc>
          <w:tcPr>
            <w:tcW w:w="1809" w:type="dxa"/>
          </w:tcPr>
          <w:p w:rsidR="003C0052" w:rsidRDefault="003C0052" w:rsidP="007D0B1C">
            <w:r>
              <w:t>England &amp; Wales</w:t>
            </w:r>
          </w:p>
        </w:tc>
        <w:tc>
          <w:tcPr>
            <w:tcW w:w="2127" w:type="dxa"/>
          </w:tcPr>
          <w:p w:rsidR="003C0052" w:rsidRDefault="003C0052" w:rsidP="007D0B1C">
            <w:r>
              <w:t xml:space="preserve">All/any recreational drugs for Social Supply; all drugs of dependence for Minimally Commercial Supply; </w:t>
            </w:r>
            <w:r w:rsidRPr="00C95480">
              <w:t>Image and Performance Enhancing Drugs (IPED)</w:t>
            </w:r>
          </w:p>
        </w:tc>
        <w:tc>
          <w:tcPr>
            <w:tcW w:w="2551" w:type="dxa"/>
          </w:tcPr>
          <w:p w:rsidR="003C0052" w:rsidRDefault="003C0052" w:rsidP="007D0B1C">
            <w:r>
              <w:t>All groups: Young people/adults (cannabis; other drugs);  recreational drug users; cannabis growers; heroin and crack user-dealers; bodybuilders; university students; school students</w:t>
            </w:r>
          </w:p>
        </w:tc>
        <w:tc>
          <w:tcPr>
            <w:tcW w:w="2755" w:type="dxa"/>
          </w:tcPr>
          <w:p w:rsidR="003C0052" w:rsidRDefault="003C0052" w:rsidP="007D0B1C">
            <w:r>
              <w:t>Over 30 years of research touching on forms of social supply; research extends from early ‘trading charities’ to varying forms of non-commercial supply. Various but not especially numerous amount of projects.</w:t>
            </w:r>
          </w:p>
        </w:tc>
      </w:tr>
      <w:tr w:rsidR="003C0052" w:rsidTr="007D0B1C">
        <w:tc>
          <w:tcPr>
            <w:tcW w:w="1809" w:type="dxa"/>
          </w:tcPr>
          <w:p w:rsidR="003C0052" w:rsidRDefault="003C0052" w:rsidP="007D0B1C">
            <w:r>
              <w:t>Finland</w:t>
            </w:r>
          </w:p>
        </w:tc>
        <w:tc>
          <w:tcPr>
            <w:tcW w:w="2127" w:type="dxa"/>
          </w:tcPr>
          <w:p w:rsidR="003C0052" w:rsidRDefault="003C0052" w:rsidP="007D0B1C">
            <w:r>
              <w:t>Cannabis</w:t>
            </w:r>
          </w:p>
        </w:tc>
        <w:tc>
          <w:tcPr>
            <w:tcW w:w="2551" w:type="dxa"/>
          </w:tcPr>
          <w:p w:rsidR="003C0052" w:rsidRDefault="003C0052" w:rsidP="007D0B1C">
            <w:r>
              <w:t>Small-scale home growers of cannabis</w:t>
            </w:r>
          </w:p>
        </w:tc>
        <w:tc>
          <w:tcPr>
            <w:tcW w:w="2755" w:type="dxa"/>
          </w:tcPr>
          <w:p w:rsidR="003C0052" w:rsidRDefault="003C0052" w:rsidP="007D0B1C">
            <w:r>
              <w:t>Single study looking at sharing of home growers. National survey indicates around two-thirds of cannabis users mostly access drugs from social supply sources.</w:t>
            </w:r>
          </w:p>
        </w:tc>
      </w:tr>
      <w:tr w:rsidR="003C0052" w:rsidTr="007D0B1C">
        <w:tc>
          <w:tcPr>
            <w:tcW w:w="1809" w:type="dxa"/>
          </w:tcPr>
          <w:p w:rsidR="003C0052" w:rsidRDefault="003C0052" w:rsidP="007D0B1C">
            <w:r>
              <w:t>Germany</w:t>
            </w:r>
          </w:p>
        </w:tc>
        <w:tc>
          <w:tcPr>
            <w:tcW w:w="2127" w:type="dxa"/>
          </w:tcPr>
          <w:p w:rsidR="003C0052" w:rsidRDefault="003C0052" w:rsidP="007D0B1C"/>
        </w:tc>
        <w:tc>
          <w:tcPr>
            <w:tcW w:w="2551" w:type="dxa"/>
          </w:tcPr>
          <w:p w:rsidR="003C0052" w:rsidRDefault="003C0052" w:rsidP="007D0B1C"/>
        </w:tc>
        <w:tc>
          <w:tcPr>
            <w:tcW w:w="2755" w:type="dxa"/>
          </w:tcPr>
          <w:p w:rsidR="003C0052" w:rsidRDefault="003C0052" w:rsidP="007D0B1C">
            <w:r>
              <w:t xml:space="preserve">Background national data suggesting more than two-thirds of cannabis users mostly access from friends; two dedicated projects </w:t>
            </w:r>
            <w:r>
              <w:lastRenderedPageBreak/>
              <w:t>(one with a dedicated section) showed similarly high levels of both friend mediated access and high levels of having also supplied socially.</w:t>
            </w:r>
          </w:p>
        </w:tc>
      </w:tr>
      <w:tr w:rsidR="003C0052" w:rsidTr="007D0B1C">
        <w:tc>
          <w:tcPr>
            <w:tcW w:w="1809" w:type="dxa"/>
          </w:tcPr>
          <w:p w:rsidR="003C0052" w:rsidRDefault="003C0052" w:rsidP="007D0B1C">
            <w:r>
              <w:lastRenderedPageBreak/>
              <w:t>Hong Kong</w:t>
            </w:r>
          </w:p>
        </w:tc>
        <w:tc>
          <w:tcPr>
            <w:tcW w:w="2127" w:type="dxa"/>
          </w:tcPr>
          <w:p w:rsidR="003C0052" w:rsidRDefault="003C0052" w:rsidP="007D0B1C">
            <w:r>
              <w:t xml:space="preserve">Stimulant Type Substances </w:t>
            </w:r>
          </w:p>
        </w:tc>
        <w:tc>
          <w:tcPr>
            <w:tcW w:w="2551" w:type="dxa"/>
          </w:tcPr>
          <w:p w:rsidR="003C0052" w:rsidRDefault="003C0052" w:rsidP="007D0B1C">
            <w:r>
              <w:t>Stimulant Type Substance users generally</w:t>
            </w:r>
          </w:p>
        </w:tc>
        <w:tc>
          <w:tcPr>
            <w:tcW w:w="2755" w:type="dxa"/>
          </w:tcPr>
          <w:p w:rsidR="003C0052" w:rsidRDefault="003C0052" w:rsidP="007D0B1C">
            <w:r>
              <w:t xml:space="preserve">No direct research </w:t>
            </w:r>
            <w:proofErr w:type="gramStart"/>
            <w:r>
              <w:t>published,</w:t>
            </w:r>
            <w:proofErr w:type="gramEnd"/>
            <w:r>
              <w:t xml:space="preserve"> one conference presentation. </w:t>
            </w:r>
            <w:r w:rsidRPr="00857BB1">
              <w:t xml:space="preserve">The few </w:t>
            </w:r>
            <w:r>
              <w:t xml:space="preserve">indirect </w:t>
            </w:r>
            <w:r w:rsidRPr="00857BB1">
              <w:t>studies available have found that the majority of young people obtain their drugs from friends, often free</w:t>
            </w:r>
            <w:r>
              <w:t xml:space="preserve"> but commonly to cover own costs. Acknowledged in courts.</w:t>
            </w:r>
          </w:p>
        </w:tc>
      </w:tr>
      <w:tr w:rsidR="003C0052" w:rsidTr="007D0B1C">
        <w:tc>
          <w:tcPr>
            <w:tcW w:w="1809" w:type="dxa"/>
          </w:tcPr>
          <w:p w:rsidR="003C0052" w:rsidRDefault="003C0052" w:rsidP="007D0B1C">
            <w:r>
              <w:t>Netherlands</w:t>
            </w:r>
          </w:p>
        </w:tc>
        <w:tc>
          <w:tcPr>
            <w:tcW w:w="2127" w:type="dxa"/>
          </w:tcPr>
          <w:p w:rsidR="003C0052" w:rsidRDefault="003C0052" w:rsidP="007D0B1C">
            <w:r>
              <w:t xml:space="preserve">Image and Performance Enhancing Drugs (IPED) </w:t>
            </w:r>
          </w:p>
        </w:tc>
        <w:tc>
          <w:tcPr>
            <w:tcW w:w="2551" w:type="dxa"/>
          </w:tcPr>
          <w:p w:rsidR="003C0052" w:rsidRDefault="003C0052" w:rsidP="007D0B1C">
            <w:r>
              <w:t>Bodybuilders</w:t>
            </w:r>
          </w:p>
        </w:tc>
        <w:tc>
          <w:tcPr>
            <w:tcW w:w="2755" w:type="dxa"/>
          </w:tcPr>
          <w:p w:rsidR="003C0052" w:rsidRDefault="003C0052" w:rsidP="007D0B1C"/>
        </w:tc>
      </w:tr>
      <w:tr w:rsidR="003C0052" w:rsidTr="007D0B1C">
        <w:tc>
          <w:tcPr>
            <w:tcW w:w="1809" w:type="dxa"/>
          </w:tcPr>
          <w:p w:rsidR="003C0052" w:rsidRDefault="003C0052" w:rsidP="007D0B1C">
            <w:r>
              <w:t>New Zealand</w:t>
            </w:r>
          </w:p>
        </w:tc>
        <w:tc>
          <w:tcPr>
            <w:tcW w:w="2127" w:type="dxa"/>
          </w:tcPr>
          <w:p w:rsidR="003C0052" w:rsidRDefault="003C0052" w:rsidP="007D0B1C">
            <w:r>
              <w:t>None. Draws on international research</w:t>
            </w:r>
          </w:p>
        </w:tc>
        <w:tc>
          <w:tcPr>
            <w:tcW w:w="2551" w:type="dxa"/>
          </w:tcPr>
          <w:p w:rsidR="003C0052" w:rsidRDefault="003C0052" w:rsidP="007D0B1C">
            <w:r>
              <w:t xml:space="preserve">None. Draws on international research </w:t>
            </w:r>
          </w:p>
        </w:tc>
        <w:tc>
          <w:tcPr>
            <w:tcW w:w="2755" w:type="dxa"/>
          </w:tcPr>
          <w:p w:rsidR="003C0052" w:rsidRDefault="003C0052" w:rsidP="007D0B1C">
            <w:r w:rsidRPr="00023D11">
              <w:t>Draws on international research</w:t>
            </w:r>
            <w:r>
              <w:t xml:space="preserve"> but has acknowledged its likely existence in debates in the criminal justice system and parliament. Prime for research. </w:t>
            </w:r>
          </w:p>
        </w:tc>
      </w:tr>
      <w:tr w:rsidR="003C0052" w:rsidTr="007D0B1C">
        <w:tc>
          <w:tcPr>
            <w:tcW w:w="1809" w:type="dxa"/>
          </w:tcPr>
          <w:p w:rsidR="003C0052" w:rsidRDefault="003C0052" w:rsidP="007D0B1C">
            <w:r>
              <w:t>United States</w:t>
            </w:r>
          </w:p>
        </w:tc>
        <w:tc>
          <w:tcPr>
            <w:tcW w:w="2127" w:type="dxa"/>
          </w:tcPr>
          <w:p w:rsidR="003C0052" w:rsidRDefault="003C0052" w:rsidP="007D0B1C">
            <w:r>
              <w:t xml:space="preserve">Cocaine; Ecstasy; </w:t>
            </w:r>
          </w:p>
        </w:tc>
        <w:tc>
          <w:tcPr>
            <w:tcW w:w="2551" w:type="dxa"/>
          </w:tcPr>
          <w:p w:rsidR="003C0052" w:rsidRDefault="003C0052" w:rsidP="007D0B1C">
            <w:r>
              <w:t xml:space="preserve">Middle class male cocaine users; ecstasy and other recreational drug users; university students users of recreational drugs and also of cognitive enhancers </w:t>
            </w:r>
          </w:p>
        </w:tc>
        <w:tc>
          <w:tcPr>
            <w:tcW w:w="2755" w:type="dxa"/>
          </w:tcPr>
          <w:p w:rsidR="003C0052" w:rsidRDefault="003C0052" w:rsidP="007D0B1C">
            <w:r>
              <w:t>Social supply type behaviours identified in middle-class dealers of cocaine and in university contexts; social supply of cognitive enhancers in university settings</w:t>
            </w:r>
          </w:p>
        </w:tc>
      </w:tr>
    </w:tbl>
    <w:p w:rsidR="003C0052" w:rsidRPr="00953B75" w:rsidRDefault="003C0052" w:rsidP="003C0052">
      <w:pPr>
        <w:pStyle w:val="ListParagraph"/>
        <w:numPr>
          <w:ilvl w:val="0"/>
          <w:numId w:val="3"/>
        </w:numPr>
        <w:spacing w:after="0" w:line="240" w:lineRule="auto"/>
        <w:ind w:left="714" w:hanging="357"/>
        <w:rPr>
          <w:vertAlign w:val="superscript"/>
        </w:rPr>
      </w:pPr>
      <w:r>
        <w:rPr>
          <w:vertAlign w:val="superscript"/>
        </w:rPr>
        <w:t>Sometimes a country will have e.g. studies looking at use of a drug such as cannabis and supply and access to supply will be tangential topics that are reported on but are not the focus of the project.</w:t>
      </w:r>
    </w:p>
    <w:p w:rsidR="003C0052" w:rsidRDefault="003C0052" w:rsidP="003C0052"/>
    <w:p w:rsidR="003C0052" w:rsidRDefault="003C0052" w:rsidP="003C0052"/>
    <w:p w:rsidR="003C0052" w:rsidRDefault="003C0052" w:rsidP="003C0052"/>
    <w:p w:rsidR="003C0052" w:rsidRDefault="003C0052" w:rsidP="003C0052"/>
    <w:p w:rsidR="003C0052" w:rsidRDefault="003C0052" w:rsidP="003C0052"/>
    <w:p w:rsidR="003C0052" w:rsidRDefault="003C0052" w:rsidP="003C0052"/>
    <w:p w:rsidR="003C0052" w:rsidRPr="00BF534B" w:rsidRDefault="003C0052" w:rsidP="003C0052">
      <w:pPr>
        <w:rPr>
          <w:u w:val="single"/>
        </w:rPr>
      </w:pPr>
      <w:proofErr w:type="gramStart"/>
      <w:r>
        <w:rPr>
          <w:u w:val="single"/>
        </w:rPr>
        <w:t>Table 2</w:t>
      </w:r>
      <w:r w:rsidRPr="00BF534B">
        <w:rPr>
          <w:u w:val="single"/>
        </w:rPr>
        <w:t>.</w:t>
      </w:r>
      <w:proofErr w:type="gramEnd"/>
      <w:r w:rsidRPr="00BF534B">
        <w:rPr>
          <w:u w:val="single"/>
        </w:rPr>
        <w:t xml:space="preserve"> </w:t>
      </w:r>
      <w:r>
        <w:rPr>
          <w:u w:val="single"/>
        </w:rPr>
        <w:t>Differences in terms of how social supply is understood and responded to internationally</w:t>
      </w:r>
      <w:r w:rsidRPr="00BF534B">
        <w:rPr>
          <w:u w:val="single"/>
        </w:rPr>
        <w:t xml:space="preserve"> </w:t>
      </w:r>
    </w:p>
    <w:tbl>
      <w:tblPr>
        <w:tblStyle w:val="TableGrid"/>
        <w:tblW w:w="0" w:type="auto"/>
        <w:tblLook w:val="04A0" w:firstRow="1" w:lastRow="0" w:firstColumn="1" w:lastColumn="0" w:noHBand="0" w:noVBand="1"/>
      </w:tblPr>
      <w:tblGrid>
        <w:gridCol w:w="1735"/>
        <w:gridCol w:w="2800"/>
        <w:gridCol w:w="3981"/>
      </w:tblGrid>
      <w:tr w:rsidR="003C0052" w:rsidTr="007D0B1C">
        <w:tc>
          <w:tcPr>
            <w:tcW w:w="1809" w:type="dxa"/>
          </w:tcPr>
          <w:p w:rsidR="003C0052" w:rsidRPr="00C35438" w:rsidRDefault="003C0052" w:rsidP="007D0B1C">
            <w:pPr>
              <w:rPr>
                <w:b/>
              </w:rPr>
            </w:pPr>
            <w:r w:rsidRPr="00C35438">
              <w:rPr>
                <w:b/>
              </w:rPr>
              <w:t>Country</w:t>
            </w:r>
          </w:p>
        </w:tc>
        <w:tc>
          <w:tcPr>
            <w:tcW w:w="2977" w:type="dxa"/>
          </w:tcPr>
          <w:p w:rsidR="003C0052" w:rsidRPr="00C35438" w:rsidRDefault="003C0052" w:rsidP="007D0B1C">
            <w:pPr>
              <w:rPr>
                <w:b/>
              </w:rPr>
            </w:pPr>
            <w:r>
              <w:rPr>
                <w:b/>
              </w:rPr>
              <w:t>Recognition of Social Supply or Minimally Commercial Supply</w:t>
            </w:r>
          </w:p>
        </w:tc>
        <w:tc>
          <w:tcPr>
            <w:tcW w:w="4394" w:type="dxa"/>
          </w:tcPr>
          <w:p w:rsidR="003C0052" w:rsidRPr="00C35438" w:rsidRDefault="003C0052" w:rsidP="007D0B1C">
            <w:pPr>
              <w:rPr>
                <w:b/>
              </w:rPr>
            </w:pPr>
            <w:r>
              <w:rPr>
                <w:b/>
              </w:rPr>
              <w:t>Judicial or Other Criminal Justice Responses</w:t>
            </w:r>
          </w:p>
        </w:tc>
      </w:tr>
      <w:tr w:rsidR="003C0052" w:rsidTr="007D0B1C">
        <w:tc>
          <w:tcPr>
            <w:tcW w:w="1809" w:type="dxa"/>
          </w:tcPr>
          <w:p w:rsidR="003C0052" w:rsidRDefault="003C0052" w:rsidP="007D0B1C"/>
        </w:tc>
        <w:tc>
          <w:tcPr>
            <w:tcW w:w="2977" w:type="dxa"/>
          </w:tcPr>
          <w:p w:rsidR="003C0052" w:rsidRDefault="003C0052" w:rsidP="007D0B1C"/>
        </w:tc>
        <w:tc>
          <w:tcPr>
            <w:tcW w:w="4394" w:type="dxa"/>
          </w:tcPr>
          <w:p w:rsidR="003C0052" w:rsidRDefault="003C0052" w:rsidP="007D0B1C"/>
        </w:tc>
      </w:tr>
      <w:tr w:rsidR="003C0052" w:rsidTr="007D0B1C">
        <w:tc>
          <w:tcPr>
            <w:tcW w:w="1809" w:type="dxa"/>
          </w:tcPr>
          <w:p w:rsidR="003C0052" w:rsidRDefault="003C0052" w:rsidP="007D0B1C">
            <w:r>
              <w:t>Australia</w:t>
            </w:r>
          </w:p>
        </w:tc>
        <w:tc>
          <w:tcPr>
            <w:tcW w:w="2977" w:type="dxa"/>
          </w:tcPr>
          <w:p w:rsidR="003C0052" w:rsidRDefault="003C0052" w:rsidP="007D0B1C">
            <w:r>
              <w:t>Yes, and social supply is occasionally referred to by name in court but the concept is under-developed in terms of how it is addressed legally. Concern mostly on seriousness of trafficking offence. Can apply to any drug.</w:t>
            </w:r>
          </w:p>
        </w:tc>
        <w:tc>
          <w:tcPr>
            <w:tcW w:w="4394" w:type="dxa"/>
          </w:tcPr>
          <w:p w:rsidR="003C0052" w:rsidRDefault="003C0052" w:rsidP="007D0B1C">
            <w:r>
              <w:t>Both SS and MCS acknowledged and accommodated in court to some degree for non-commercial activity; uneven use of discretion applied in courts; use of thresholds (weight of seizures) to determine seriousness of crime/s – usually in terms of level of commerciality.</w:t>
            </w:r>
          </w:p>
        </w:tc>
      </w:tr>
      <w:tr w:rsidR="003C0052" w:rsidTr="007D0B1C">
        <w:tc>
          <w:tcPr>
            <w:tcW w:w="1809" w:type="dxa"/>
          </w:tcPr>
          <w:p w:rsidR="003C0052" w:rsidRDefault="003C0052" w:rsidP="007D0B1C">
            <w:r>
              <w:t>Belgium</w:t>
            </w:r>
          </w:p>
        </w:tc>
        <w:tc>
          <w:tcPr>
            <w:tcW w:w="2977" w:type="dxa"/>
          </w:tcPr>
          <w:p w:rsidR="003C0052" w:rsidRDefault="003C0052" w:rsidP="007D0B1C">
            <w:r>
              <w:t xml:space="preserve">The term </w:t>
            </w:r>
            <w:r w:rsidRPr="00D6035A">
              <w:t xml:space="preserve">'social supply' is not </w:t>
            </w:r>
            <w:r>
              <w:t xml:space="preserve">commonly </w:t>
            </w:r>
            <w:r w:rsidRPr="00D6035A">
              <w:t>used</w:t>
            </w:r>
            <w:r>
              <w:t xml:space="preserve"> but there exists a ‘tolerance model’ that applies only to cannabis. </w:t>
            </w:r>
            <w:r w:rsidRPr="00D6035A">
              <w:t xml:space="preserve"> </w:t>
            </w:r>
          </w:p>
        </w:tc>
        <w:tc>
          <w:tcPr>
            <w:tcW w:w="4394" w:type="dxa"/>
          </w:tcPr>
          <w:p w:rsidR="003C0052" w:rsidRDefault="003C0052" w:rsidP="007D0B1C">
            <w:r>
              <w:t>S</w:t>
            </w:r>
            <w:r w:rsidRPr="00D6035A">
              <w:t xml:space="preserve">ome provision </w:t>
            </w:r>
            <w:r>
              <w:t xml:space="preserve">or ‘tolerance’ </w:t>
            </w:r>
            <w:r w:rsidRPr="00D6035A">
              <w:t xml:space="preserve">for </w:t>
            </w:r>
            <w:r>
              <w:t xml:space="preserve">cannabis growers/suppliers that sell ‘at cost’ </w:t>
            </w:r>
            <w:r w:rsidRPr="00D6035A">
              <w:t xml:space="preserve">to be distinguished </w:t>
            </w:r>
            <w:r>
              <w:t xml:space="preserve">from commercial sellers. This </w:t>
            </w:r>
            <w:r w:rsidRPr="00D6035A">
              <w:t xml:space="preserve">does not extend to any other illegal drugs. </w:t>
            </w:r>
            <w:r>
              <w:t>For drugs other than cannabis e.g. MDMA there is no distinction</w:t>
            </w:r>
            <w:r w:rsidRPr="00D6035A">
              <w:t xml:space="preserve"> be</w:t>
            </w:r>
            <w:r>
              <w:t>tween non-commercial and commercial supply.</w:t>
            </w:r>
          </w:p>
        </w:tc>
      </w:tr>
      <w:tr w:rsidR="003C0052" w:rsidTr="007D0B1C">
        <w:tc>
          <w:tcPr>
            <w:tcW w:w="1809" w:type="dxa"/>
          </w:tcPr>
          <w:p w:rsidR="003C0052" w:rsidRDefault="003C0052" w:rsidP="007D0B1C">
            <w:r>
              <w:t>Canada</w:t>
            </w:r>
          </w:p>
        </w:tc>
        <w:tc>
          <w:tcPr>
            <w:tcW w:w="2977" w:type="dxa"/>
          </w:tcPr>
          <w:p w:rsidR="003C0052" w:rsidRDefault="003C0052" w:rsidP="007D0B1C">
            <w:r>
              <w:t>Informal acknowledgment of social supply in relation to cannabis only.</w:t>
            </w:r>
          </w:p>
        </w:tc>
        <w:tc>
          <w:tcPr>
            <w:tcW w:w="4394" w:type="dxa"/>
          </w:tcPr>
          <w:p w:rsidR="003C0052" w:rsidRDefault="003C0052" w:rsidP="007D0B1C">
            <w:r>
              <w:t>Uneven application of law that can apply discretion in the case of ‘social sharing’ compared to commercial supply. Numerus mitigating factors are similar to those used elsewhere that correspond to social supply recognition.</w:t>
            </w:r>
          </w:p>
        </w:tc>
      </w:tr>
      <w:tr w:rsidR="003C0052" w:rsidTr="007D0B1C">
        <w:tc>
          <w:tcPr>
            <w:tcW w:w="1809" w:type="dxa"/>
          </w:tcPr>
          <w:p w:rsidR="003C0052" w:rsidRDefault="003C0052" w:rsidP="007D0B1C">
            <w:r>
              <w:t>Czech Republic</w:t>
            </w:r>
          </w:p>
        </w:tc>
        <w:tc>
          <w:tcPr>
            <w:tcW w:w="2977" w:type="dxa"/>
          </w:tcPr>
          <w:p w:rsidR="003C0052" w:rsidRDefault="003C0052" w:rsidP="007D0B1C">
            <w:r>
              <w:t>N</w:t>
            </w:r>
            <w:r w:rsidRPr="00234D17">
              <w:t>o special regulations for social supply offenses vs. profit-oriented sale (except for the vag</w:t>
            </w:r>
            <w:r>
              <w:t>ue term of “commercial” dealing. All drugs.</w:t>
            </w:r>
          </w:p>
        </w:tc>
        <w:tc>
          <w:tcPr>
            <w:tcW w:w="4394" w:type="dxa"/>
          </w:tcPr>
          <w:p w:rsidR="003C0052" w:rsidRDefault="003C0052" w:rsidP="007D0B1C">
            <w:r>
              <w:t>Courts often differentiate between levels of severity and social harm. No</w:t>
            </w:r>
            <w:r w:rsidRPr="00234D17">
              <w:t xml:space="preserve"> explicit legal provisions for social supply</w:t>
            </w:r>
            <w:r>
              <w:t xml:space="preserve"> but supply deemed less severe/harmful supply can act as mitigation in sentencing.</w:t>
            </w:r>
          </w:p>
        </w:tc>
      </w:tr>
      <w:tr w:rsidR="003C0052" w:rsidTr="007D0B1C">
        <w:tc>
          <w:tcPr>
            <w:tcW w:w="1809" w:type="dxa"/>
          </w:tcPr>
          <w:p w:rsidR="003C0052" w:rsidRDefault="003C0052" w:rsidP="007D0B1C">
            <w:r>
              <w:t>England &amp; Wales</w:t>
            </w:r>
          </w:p>
        </w:tc>
        <w:tc>
          <w:tcPr>
            <w:tcW w:w="2977" w:type="dxa"/>
          </w:tcPr>
          <w:p w:rsidR="003C0052" w:rsidRDefault="003C0052" w:rsidP="007D0B1C">
            <w:r>
              <w:t xml:space="preserve">Social supply of any recreational drug and minimally commercial supply of drugs of dependence and other drugs such as image and performance enhancing drugs is recognised and acknowledged. Social supply as a term is in common currency in general and in courts but is not explicitly listed in sentencing frameworks. </w:t>
            </w:r>
          </w:p>
        </w:tc>
        <w:tc>
          <w:tcPr>
            <w:tcW w:w="4394" w:type="dxa"/>
          </w:tcPr>
          <w:p w:rsidR="003C0052" w:rsidRDefault="003C0052" w:rsidP="007D0B1C">
            <w:r>
              <w:t xml:space="preserve">Sentencing frameworks adopt an explicit model designed to </w:t>
            </w:r>
            <w:proofErr w:type="gramStart"/>
            <w:r>
              <w:t>mitigate</w:t>
            </w:r>
            <w:proofErr w:type="gramEnd"/>
            <w:r>
              <w:t xml:space="preserve"> against disproportionate sentencing through the use of mitigating factors such as non-commercial or minimally commercial supply and perceived levels of harm and involvement in the supply chain.</w:t>
            </w:r>
          </w:p>
        </w:tc>
      </w:tr>
      <w:tr w:rsidR="003C0052" w:rsidTr="007D0B1C">
        <w:tc>
          <w:tcPr>
            <w:tcW w:w="1809" w:type="dxa"/>
          </w:tcPr>
          <w:p w:rsidR="003C0052" w:rsidRDefault="003C0052" w:rsidP="007D0B1C">
            <w:r>
              <w:t>Finland</w:t>
            </w:r>
          </w:p>
        </w:tc>
        <w:tc>
          <w:tcPr>
            <w:tcW w:w="2977" w:type="dxa"/>
          </w:tcPr>
          <w:p w:rsidR="003C0052" w:rsidRDefault="003C0052" w:rsidP="007D0B1C">
            <w:r>
              <w:t xml:space="preserve">Social supply as a concept not in common currency and relatively under-developed judicial practice. </w:t>
            </w:r>
          </w:p>
        </w:tc>
        <w:tc>
          <w:tcPr>
            <w:tcW w:w="4394" w:type="dxa"/>
          </w:tcPr>
          <w:p w:rsidR="003C0052" w:rsidRDefault="003C0052" w:rsidP="007D0B1C">
            <w:r>
              <w:t>S</w:t>
            </w:r>
            <w:r w:rsidRPr="00D80CC3">
              <w:t xml:space="preserve">ocial supply offences </w:t>
            </w:r>
            <w:r>
              <w:t xml:space="preserve">tend to be </w:t>
            </w:r>
            <w:r w:rsidRPr="00D80CC3">
              <w:t xml:space="preserve">punished through arbitrary prison sentencing bands, often without meaningful provision for sentence discounts. </w:t>
            </w:r>
            <w:r>
              <w:t>J</w:t>
            </w:r>
            <w:r w:rsidRPr="00D80CC3">
              <w:t xml:space="preserve">udicial discretion </w:t>
            </w:r>
            <w:r>
              <w:t>is the mechanism through</w:t>
            </w:r>
            <w:r w:rsidRPr="00D80CC3">
              <w:t xml:space="preserve"> which individual sentences are selected, reduced harm and culpability are noted, and some </w:t>
            </w:r>
            <w:r w:rsidRPr="00D80CC3">
              <w:lastRenderedPageBreak/>
              <w:t>gradation can occur.</w:t>
            </w:r>
          </w:p>
        </w:tc>
      </w:tr>
      <w:tr w:rsidR="003C0052" w:rsidTr="007D0B1C">
        <w:tc>
          <w:tcPr>
            <w:tcW w:w="1809" w:type="dxa"/>
          </w:tcPr>
          <w:p w:rsidR="003C0052" w:rsidRDefault="003C0052" w:rsidP="007D0B1C">
            <w:r>
              <w:lastRenderedPageBreak/>
              <w:t>Germany</w:t>
            </w:r>
          </w:p>
        </w:tc>
        <w:tc>
          <w:tcPr>
            <w:tcW w:w="2977" w:type="dxa"/>
          </w:tcPr>
          <w:p w:rsidR="003C0052" w:rsidRDefault="003C0052" w:rsidP="007D0B1C">
            <w:r>
              <w:t>N</w:t>
            </w:r>
            <w:r w:rsidRPr="00234D17">
              <w:t>o special regulations for social supply offenses vs. profit-oriented sale (except for the vag</w:t>
            </w:r>
            <w:r>
              <w:t>ue term of “commercial” dealing. All drugs.</w:t>
            </w:r>
          </w:p>
        </w:tc>
        <w:tc>
          <w:tcPr>
            <w:tcW w:w="4394" w:type="dxa"/>
          </w:tcPr>
          <w:p w:rsidR="003C0052" w:rsidRDefault="003C0052" w:rsidP="007D0B1C">
            <w:r>
              <w:t>Courts often differentiate between levels of severity and social harm. No</w:t>
            </w:r>
            <w:r w:rsidRPr="00234D17">
              <w:t xml:space="preserve"> explicit legal provisions for social supply</w:t>
            </w:r>
            <w:r>
              <w:t xml:space="preserve"> but supply deemed less severe/harmful supply can act as mitigation in sentencing.</w:t>
            </w:r>
          </w:p>
        </w:tc>
      </w:tr>
      <w:tr w:rsidR="003C0052" w:rsidTr="007D0B1C">
        <w:tc>
          <w:tcPr>
            <w:tcW w:w="1809" w:type="dxa"/>
          </w:tcPr>
          <w:p w:rsidR="003C0052" w:rsidRDefault="003C0052" w:rsidP="007D0B1C">
            <w:r>
              <w:t>Hong Kong</w:t>
            </w:r>
          </w:p>
        </w:tc>
        <w:tc>
          <w:tcPr>
            <w:tcW w:w="2977" w:type="dxa"/>
          </w:tcPr>
          <w:p w:rsidR="003C0052" w:rsidRDefault="003C0052" w:rsidP="007D0B1C">
            <w:r>
              <w:t>Applies to the predominant Stimulant Type Substances rather than cannabis. Incipient acknowledgement of ‘social trafficking’ and a real difference between less/more serious forms of supply based on level of commerciality.</w:t>
            </w:r>
          </w:p>
        </w:tc>
        <w:tc>
          <w:tcPr>
            <w:tcW w:w="4394" w:type="dxa"/>
          </w:tcPr>
          <w:p w:rsidR="003C0052" w:rsidRDefault="003C0052" w:rsidP="007D0B1C">
            <w:r>
              <w:t>Non-custodial sentences can be considered for demonstrably social supply type offences. Some differentiation of sentencing tariffs for different substances.</w:t>
            </w:r>
          </w:p>
        </w:tc>
      </w:tr>
      <w:tr w:rsidR="003C0052" w:rsidTr="007D0B1C">
        <w:tc>
          <w:tcPr>
            <w:tcW w:w="1809" w:type="dxa"/>
          </w:tcPr>
          <w:p w:rsidR="003C0052" w:rsidRDefault="003C0052" w:rsidP="007D0B1C">
            <w:r>
              <w:t>Netherlands</w:t>
            </w:r>
          </w:p>
        </w:tc>
        <w:tc>
          <w:tcPr>
            <w:tcW w:w="2977" w:type="dxa"/>
          </w:tcPr>
          <w:p w:rsidR="003C0052" w:rsidRDefault="003C0052" w:rsidP="007D0B1C">
            <w:r>
              <w:t xml:space="preserve">Social supply as a concept not in common currency and relatively under-developed judicial practice. </w:t>
            </w:r>
          </w:p>
        </w:tc>
        <w:tc>
          <w:tcPr>
            <w:tcW w:w="4394" w:type="dxa"/>
          </w:tcPr>
          <w:p w:rsidR="003C0052" w:rsidRDefault="003C0052" w:rsidP="007D0B1C">
            <w:r>
              <w:t>S</w:t>
            </w:r>
            <w:r w:rsidRPr="00D80CC3">
              <w:t xml:space="preserve">ocial supply offences </w:t>
            </w:r>
            <w:r>
              <w:t xml:space="preserve">tend to be </w:t>
            </w:r>
            <w:r w:rsidRPr="00D80CC3">
              <w:t xml:space="preserve">punished through arbitrary prison sentencing bands, often without meaningful provision for sentence discounts. </w:t>
            </w:r>
            <w:r>
              <w:t>J</w:t>
            </w:r>
            <w:r w:rsidRPr="00D80CC3">
              <w:t xml:space="preserve">udicial discretion </w:t>
            </w:r>
            <w:r>
              <w:t>is the mechanism through</w:t>
            </w:r>
            <w:r w:rsidRPr="00D80CC3">
              <w:t xml:space="preserve"> which individual sentences are selected, reduced harm and culpability are noted, and some gradation can occur.</w:t>
            </w:r>
          </w:p>
        </w:tc>
      </w:tr>
      <w:tr w:rsidR="003C0052" w:rsidTr="007D0B1C">
        <w:tc>
          <w:tcPr>
            <w:tcW w:w="1809" w:type="dxa"/>
          </w:tcPr>
          <w:p w:rsidR="003C0052" w:rsidRDefault="003C0052" w:rsidP="007D0B1C">
            <w:r>
              <w:t>New Zealand</w:t>
            </w:r>
          </w:p>
        </w:tc>
        <w:tc>
          <w:tcPr>
            <w:tcW w:w="2977" w:type="dxa"/>
          </w:tcPr>
          <w:p w:rsidR="003C0052" w:rsidRDefault="003C0052" w:rsidP="007D0B1C">
            <w:r>
              <w:t xml:space="preserve">Social supply recognised conceptually and subject to policy discussion. </w:t>
            </w:r>
          </w:p>
        </w:tc>
        <w:tc>
          <w:tcPr>
            <w:tcW w:w="4394" w:type="dxa"/>
          </w:tcPr>
          <w:p w:rsidR="003C0052" w:rsidRDefault="003C0052" w:rsidP="007D0B1C">
            <w:r>
              <w:t>Despite being part of the discursive milieu for the sentencing of social supply type offences it is currently unclear how this affects court or policing decisions.</w:t>
            </w:r>
          </w:p>
        </w:tc>
      </w:tr>
      <w:tr w:rsidR="003C0052" w:rsidTr="007D0B1C">
        <w:tc>
          <w:tcPr>
            <w:tcW w:w="1809" w:type="dxa"/>
          </w:tcPr>
          <w:p w:rsidR="003C0052" w:rsidRDefault="003C0052" w:rsidP="007D0B1C">
            <w:r>
              <w:t>United States</w:t>
            </w:r>
          </w:p>
        </w:tc>
        <w:tc>
          <w:tcPr>
            <w:tcW w:w="2977" w:type="dxa"/>
          </w:tcPr>
          <w:p w:rsidR="003C0052" w:rsidRDefault="003C0052" w:rsidP="007D0B1C">
            <w:r>
              <w:t xml:space="preserve">Little discursive or conceptual acknowledgement of social supply of minimally commercial supply. </w:t>
            </w:r>
          </w:p>
        </w:tc>
        <w:tc>
          <w:tcPr>
            <w:tcW w:w="4394" w:type="dxa"/>
          </w:tcPr>
          <w:p w:rsidR="003C0052" w:rsidRDefault="003C0052" w:rsidP="007D0B1C">
            <w:r>
              <w:t>Under-developed policy on sentencing that relies largely on relatively harsh threshold quantities to determine ‘harm’ and sentences or tariffs that lack the nuance on supply differences.</w:t>
            </w:r>
          </w:p>
        </w:tc>
      </w:tr>
    </w:tbl>
    <w:p w:rsidR="003C0052" w:rsidRDefault="003C0052" w:rsidP="003C0052"/>
    <w:p w:rsidR="0025281B" w:rsidRPr="00C915FF" w:rsidRDefault="0025281B" w:rsidP="00EC53E9">
      <w:pPr>
        <w:outlineLvl w:val="0"/>
        <w:rPr>
          <w:rFonts w:asciiTheme="majorHAnsi" w:hAnsiTheme="majorHAnsi"/>
          <w:b/>
        </w:rPr>
      </w:pPr>
    </w:p>
    <w:sectPr w:rsidR="0025281B" w:rsidRPr="00C915FF" w:rsidSect="00DC1603">
      <w:footerReference w:type="even" r:id="rId42"/>
      <w:footerReference w:type="default" r:id="rId4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CD4" w:rsidRDefault="00E45CD4" w:rsidP="00E34796">
      <w:r>
        <w:separator/>
      </w:r>
    </w:p>
  </w:endnote>
  <w:endnote w:type="continuationSeparator" w:id="0">
    <w:p w:rsidR="00E45CD4" w:rsidRDefault="00E45CD4" w:rsidP="00E3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alibr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C1" w:rsidRDefault="00CA1CC1" w:rsidP="006E21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1CC1" w:rsidRDefault="00CA1CC1" w:rsidP="00E347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C1" w:rsidRDefault="00CA1CC1" w:rsidP="006E21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574D">
      <w:rPr>
        <w:rStyle w:val="PageNumber"/>
        <w:noProof/>
      </w:rPr>
      <w:t>1</w:t>
    </w:r>
    <w:r>
      <w:rPr>
        <w:rStyle w:val="PageNumber"/>
      </w:rPr>
      <w:fldChar w:fldCharType="end"/>
    </w:r>
  </w:p>
  <w:p w:rsidR="00CA1CC1" w:rsidRDefault="00CA1CC1" w:rsidP="00E347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CD4" w:rsidRDefault="00E45CD4" w:rsidP="00E34796">
      <w:r>
        <w:separator/>
      </w:r>
    </w:p>
  </w:footnote>
  <w:footnote w:type="continuationSeparator" w:id="0">
    <w:p w:rsidR="00E45CD4" w:rsidRDefault="00E45CD4" w:rsidP="00E34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95F64CB"/>
    <w:multiLevelType w:val="hybridMultilevel"/>
    <w:tmpl w:val="71B6F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891868"/>
    <w:multiLevelType w:val="hybridMultilevel"/>
    <w:tmpl w:val="A6B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D4"/>
    <w:rsid w:val="0000016D"/>
    <w:rsid w:val="000010B2"/>
    <w:rsid w:val="000011C7"/>
    <w:rsid w:val="00006623"/>
    <w:rsid w:val="000120E5"/>
    <w:rsid w:val="00012D63"/>
    <w:rsid w:val="0001359D"/>
    <w:rsid w:val="00016F57"/>
    <w:rsid w:val="00020CBC"/>
    <w:rsid w:val="000210AA"/>
    <w:rsid w:val="00021E75"/>
    <w:rsid w:val="000232CA"/>
    <w:rsid w:val="00023982"/>
    <w:rsid w:val="00024035"/>
    <w:rsid w:val="00024D6F"/>
    <w:rsid w:val="00026BD9"/>
    <w:rsid w:val="00034DF9"/>
    <w:rsid w:val="00035F85"/>
    <w:rsid w:val="00036B6A"/>
    <w:rsid w:val="000401FF"/>
    <w:rsid w:val="00041FBD"/>
    <w:rsid w:val="00042529"/>
    <w:rsid w:val="0004316F"/>
    <w:rsid w:val="00051C3E"/>
    <w:rsid w:val="000523C0"/>
    <w:rsid w:val="00052B65"/>
    <w:rsid w:val="000530ED"/>
    <w:rsid w:val="000537C4"/>
    <w:rsid w:val="00053907"/>
    <w:rsid w:val="00053A1E"/>
    <w:rsid w:val="00056D9C"/>
    <w:rsid w:val="00063996"/>
    <w:rsid w:val="00063FBC"/>
    <w:rsid w:val="0006566C"/>
    <w:rsid w:val="0006687F"/>
    <w:rsid w:val="00067867"/>
    <w:rsid w:val="000706DC"/>
    <w:rsid w:val="000718A7"/>
    <w:rsid w:val="0007458A"/>
    <w:rsid w:val="000804B9"/>
    <w:rsid w:val="000821FF"/>
    <w:rsid w:val="00082F64"/>
    <w:rsid w:val="00085078"/>
    <w:rsid w:val="00085C5B"/>
    <w:rsid w:val="00086135"/>
    <w:rsid w:val="00090947"/>
    <w:rsid w:val="0009102D"/>
    <w:rsid w:val="00092B38"/>
    <w:rsid w:val="00094586"/>
    <w:rsid w:val="0009552D"/>
    <w:rsid w:val="000A322B"/>
    <w:rsid w:val="000A3CBC"/>
    <w:rsid w:val="000A7294"/>
    <w:rsid w:val="000B00E4"/>
    <w:rsid w:val="000B0BFC"/>
    <w:rsid w:val="000B0EEB"/>
    <w:rsid w:val="000B1DA6"/>
    <w:rsid w:val="000B23E4"/>
    <w:rsid w:val="000B3426"/>
    <w:rsid w:val="000B3544"/>
    <w:rsid w:val="000B383A"/>
    <w:rsid w:val="000B3CDB"/>
    <w:rsid w:val="000B4CD2"/>
    <w:rsid w:val="000B5B74"/>
    <w:rsid w:val="000B6FDD"/>
    <w:rsid w:val="000B7395"/>
    <w:rsid w:val="000C256A"/>
    <w:rsid w:val="000C4BAD"/>
    <w:rsid w:val="000C4DC3"/>
    <w:rsid w:val="000C6594"/>
    <w:rsid w:val="000D06BB"/>
    <w:rsid w:val="000D2155"/>
    <w:rsid w:val="000D55E7"/>
    <w:rsid w:val="000D780D"/>
    <w:rsid w:val="000E0BF2"/>
    <w:rsid w:val="000E137B"/>
    <w:rsid w:val="000E1CC2"/>
    <w:rsid w:val="000E2B4A"/>
    <w:rsid w:val="000E39C5"/>
    <w:rsid w:val="000E5716"/>
    <w:rsid w:val="000E690D"/>
    <w:rsid w:val="000E6EC0"/>
    <w:rsid w:val="000E7522"/>
    <w:rsid w:val="000F03E2"/>
    <w:rsid w:val="000F2264"/>
    <w:rsid w:val="000F2333"/>
    <w:rsid w:val="000F4B69"/>
    <w:rsid w:val="000F57BC"/>
    <w:rsid w:val="0010287B"/>
    <w:rsid w:val="0011009F"/>
    <w:rsid w:val="00113AD7"/>
    <w:rsid w:val="0011410E"/>
    <w:rsid w:val="00114266"/>
    <w:rsid w:val="00114E06"/>
    <w:rsid w:val="001151E5"/>
    <w:rsid w:val="00117359"/>
    <w:rsid w:val="00117491"/>
    <w:rsid w:val="00120A82"/>
    <w:rsid w:val="00122267"/>
    <w:rsid w:val="00122E0B"/>
    <w:rsid w:val="001238E5"/>
    <w:rsid w:val="00124563"/>
    <w:rsid w:val="00124DDF"/>
    <w:rsid w:val="001256EF"/>
    <w:rsid w:val="001271CC"/>
    <w:rsid w:val="0013047B"/>
    <w:rsid w:val="001326F6"/>
    <w:rsid w:val="00132DA0"/>
    <w:rsid w:val="00136652"/>
    <w:rsid w:val="00136C8A"/>
    <w:rsid w:val="00144A42"/>
    <w:rsid w:val="0014561F"/>
    <w:rsid w:val="00146CCF"/>
    <w:rsid w:val="00150FE5"/>
    <w:rsid w:val="001516D6"/>
    <w:rsid w:val="00151AA5"/>
    <w:rsid w:val="0015213F"/>
    <w:rsid w:val="001544D4"/>
    <w:rsid w:val="00154E41"/>
    <w:rsid w:val="0015632F"/>
    <w:rsid w:val="001612E5"/>
    <w:rsid w:val="00162EEA"/>
    <w:rsid w:val="001641F6"/>
    <w:rsid w:val="00164870"/>
    <w:rsid w:val="00165AA3"/>
    <w:rsid w:val="00166D3B"/>
    <w:rsid w:val="00170AB2"/>
    <w:rsid w:val="00170B3A"/>
    <w:rsid w:val="001711F7"/>
    <w:rsid w:val="001716F6"/>
    <w:rsid w:val="00172582"/>
    <w:rsid w:val="00172952"/>
    <w:rsid w:val="00172D1F"/>
    <w:rsid w:val="001732C7"/>
    <w:rsid w:val="00174229"/>
    <w:rsid w:val="00174B34"/>
    <w:rsid w:val="001763AE"/>
    <w:rsid w:val="00176A43"/>
    <w:rsid w:val="00176D78"/>
    <w:rsid w:val="00177854"/>
    <w:rsid w:val="00180935"/>
    <w:rsid w:val="001816FF"/>
    <w:rsid w:val="00185269"/>
    <w:rsid w:val="001854E0"/>
    <w:rsid w:val="0019002D"/>
    <w:rsid w:val="00190CF3"/>
    <w:rsid w:val="00192898"/>
    <w:rsid w:val="0019522B"/>
    <w:rsid w:val="00195414"/>
    <w:rsid w:val="00195683"/>
    <w:rsid w:val="00197B88"/>
    <w:rsid w:val="001A1632"/>
    <w:rsid w:val="001A33D0"/>
    <w:rsid w:val="001A3BFD"/>
    <w:rsid w:val="001A6484"/>
    <w:rsid w:val="001B1B15"/>
    <w:rsid w:val="001B33A8"/>
    <w:rsid w:val="001B4ABA"/>
    <w:rsid w:val="001B6713"/>
    <w:rsid w:val="001B6D0C"/>
    <w:rsid w:val="001C35BC"/>
    <w:rsid w:val="001C7EF8"/>
    <w:rsid w:val="001D0237"/>
    <w:rsid w:val="001D1D18"/>
    <w:rsid w:val="001D2AC8"/>
    <w:rsid w:val="001D33C7"/>
    <w:rsid w:val="001E1BEB"/>
    <w:rsid w:val="001E3B4B"/>
    <w:rsid w:val="001E3F58"/>
    <w:rsid w:val="001E6F7D"/>
    <w:rsid w:val="001E7381"/>
    <w:rsid w:val="001E7FEC"/>
    <w:rsid w:val="001F0893"/>
    <w:rsid w:val="001F2845"/>
    <w:rsid w:val="001F5BE4"/>
    <w:rsid w:val="001F5E99"/>
    <w:rsid w:val="001F6E3C"/>
    <w:rsid w:val="0020040B"/>
    <w:rsid w:val="00202DAD"/>
    <w:rsid w:val="00203423"/>
    <w:rsid w:val="00204FF2"/>
    <w:rsid w:val="002066A9"/>
    <w:rsid w:val="00207A1A"/>
    <w:rsid w:val="0021089D"/>
    <w:rsid w:val="002109F1"/>
    <w:rsid w:val="00211EC9"/>
    <w:rsid w:val="00212315"/>
    <w:rsid w:val="00214390"/>
    <w:rsid w:val="00217CF9"/>
    <w:rsid w:val="00221F28"/>
    <w:rsid w:val="00221F9E"/>
    <w:rsid w:val="00222683"/>
    <w:rsid w:val="00227567"/>
    <w:rsid w:val="002310A4"/>
    <w:rsid w:val="0023211E"/>
    <w:rsid w:val="00232512"/>
    <w:rsid w:val="00232892"/>
    <w:rsid w:val="00236895"/>
    <w:rsid w:val="00237170"/>
    <w:rsid w:val="0024204B"/>
    <w:rsid w:val="002456FF"/>
    <w:rsid w:val="0024759D"/>
    <w:rsid w:val="00250B6C"/>
    <w:rsid w:val="00251FEA"/>
    <w:rsid w:val="00252393"/>
    <w:rsid w:val="00252629"/>
    <w:rsid w:val="002527FF"/>
    <w:rsid w:val="0025281B"/>
    <w:rsid w:val="00255912"/>
    <w:rsid w:val="00255F49"/>
    <w:rsid w:val="0026125D"/>
    <w:rsid w:val="002618B9"/>
    <w:rsid w:val="00263D77"/>
    <w:rsid w:val="00264633"/>
    <w:rsid w:val="00265DED"/>
    <w:rsid w:val="00265E44"/>
    <w:rsid w:val="00265E89"/>
    <w:rsid w:val="002661B9"/>
    <w:rsid w:val="00267916"/>
    <w:rsid w:val="00271698"/>
    <w:rsid w:val="00271A28"/>
    <w:rsid w:val="00272D08"/>
    <w:rsid w:val="002732AD"/>
    <w:rsid w:val="002746BD"/>
    <w:rsid w:val="00275FCA"/>
    <w:rsid w:val="00276239"/>
    <w:rsid w:val="0027681A"/>
    <w:rsid w:val="00277C8A"/>
    <w:rsid w:val="002803FB"/>
    <w:rsid w:val="00280BE2"/>
    <w:rsid w:val="00286F09"/>
    <w:rsid w:val="00291147"/>
    <w:rsid w:val="0029135B"/>
    <w:rsid w:val="002916A7"/>
    <w:rsid w:val="00292498"/>
    <w:rsid w:val="002948E3"/>
    <w:rsid w:val="00294D71"/>
    <w:rsid w:val="002A0BF2"/>
    <w:rsid w:val="002A1BC6"/>
    <w:rsid w:val="002A1E61"/>
    <w:rsid w:val="002A23C2"/>
    <w:rsid w:val="002A42F0"/>
    <w:rsid w:val="002A76BB"/>
    <w:rsid w:val="002B1793"/>
    <w:rsid w:val="002B25FF"/>
    <w:rsid w:val="002B2B88"/>
    <w:rsid w:val="002B3B48"/>
    <w:rsid w:val="002B7A3D"/>
    <w:rsid w:val="002C4DC1"/>
    <w:rsid w:val="002C511C"/>
    <w:rsid w:val="002C6244"/>
    <w:rsid w:val="002C647A"/>
    <w:rsid w:val="002D213D"/>
    <w:rsid w:val="002D3C61"/>
    <w:rsid w:val="002D59DB"/>
    <w:rsid w:val="002D5AB6"/>
    <w:rsid w:val="002D6380"/>
    <w:rsid w:val="002D78F8"/>
    <w:rsid w:val="002E11AB"/>
    <w:rsid w:val="002E1400"/>
    <w:rsid w:val="002E173F"/>
    <w:rsid w:val="002F0141"/>
    <w:rsid w:val="002F144C"/>
    <w:rsid w:val="002F356B"/>
    <w:rsid w:val="002F3854"/>
    <w:rsid w:val="002F479A"/>
    <w:rsid w:val="002F5E1F"/>
    <w:rsid w:val="002F6B2B"/>
    <w:rsid w:val="00301DA4"/>
    <w:rsid w:val="003032B1"/>
    <w:rsid w:val="003032D8"/>
    <w:rsid w:val="0030433D"/>
    <w:rsid w:val="0030560B"/>
    <w:rsid w:val="00305B0B"/>
    <w:rsid w:val="00307908"/>
    <w:rsid w:val="00307ACF"/>
    <w:rsid w:val="00311AD8"/>
    <w:rsid w:val="00314F27"/>
    <w:rsid w:val="0031562D"/>
    <w:rsid w:val="00323DD8"/>
    <w:rsid w:val="0032446C"/>
    <w:rsid w:val="00330246"/>
    <w:rsid w:val="00330E85"/>
    <w:rsid w:val="00336E7E"/>
    <w:rsid w:val="00341D72"/>
    <w:rsid w:val="003421B7"/>
    <w:rsid w:val="00345115"/>
    <w:rsid w:val="00345131"/>
    <w:rsid w:val="00345DC4"/>
    <w:rsid w:val="00346728"/>
    <w:rsid w:val="00347CB2"/>
    <w:rsid w:val="0035084E"/>
    <w:rsid w:val="00352E14"/>
    <w:rsid w:val="00353EA1"/>
    <w:rsid w:val="00354FF1"/>
    <w:rsid w:val="00355654"/>
    <w:rsid w:val="00357F84"/>
    <w:rsid w:val="003605EF"/>
    <w:rsid w:val="00360F34"/>
    <w:rsid w:val="003613DF"/>
    <w:rsid w:val="00361B2A"/>
    <w:rsid w:val="00361F3B"/>
    <w:rsid w:val="003624BB"/>
    <w:rsid w:val="00363C84"/>
    <w:rsid w:val="0036458D"/>
    <w:rsid w:val="00366760"/>
    <w:rsid w:val="00371442"/>
    <w:rsid w:val="00371671"/>
    <w:rsid w:val="0037195C"/>
    <w:rsid w:val="00371F8B"/>
    <w:rsid w:val="003734F8"/>
    <w:rsid w:val="003746F3"/>
    <w:rsid w:val="00376287"/>
    <w:rsid w:val="00376A14"/>
    <w:rsid w:val="00377402"/>
    <w:rsid w:val="0038364D"/>
    <w:rsid w:val="003847E9"/>
    <w:rsid w:val="00386C2A"/>
    <w:rsid w:val="00386D24"/>
    <w:rsid w:val="00387006"/>
    <w:rsid w:val="00392354"/>
    <w:rsid w:val="00393278"/>
    <w:rsid w:val="00393992"/>
    <w:rsid w:val="00394142"/>
    <w:rsid w:val="00397717"/>
    <w:rsid w:val="003A0CEB"/>
    <w:rsid w:val="003A3DAC"/>
    <w:rsid w:val="003A59E7"/>
    <w:rsid w:val="003A668A"/>
    <w:rsid w:val="003B1D10"/>
    <w:rsid w:val="003B35E8"/>
    <w:rsid w:val="003B5905"/>
    <w:rsid w:val="003B6516"/>
    <w:rsid w:val="003B72E1"/>
    <w:rsid w:val="003B79E2"/>
    <w:rsid w:val="003B7B25"/>
    <w:rsid w:val="003C0052"/>
    <w:rsid w:val="003C15B3"/>
    <w:rsid w:val="003C3479"/>
    <w:rsid w:val="003C40F6"/>
    <w:rsid w:val="003C4852"/>
    <w:rsid w:val="003C49B3"/>
    <w:rsid w:val="003C4BFD"/>
    <w:rsid w:val="003C7258"/>
    <w:rsid w:val="003C753F"/>
    <w:rsid w:val="003C759B"/>
    <w:rsid w:val="003C7F55"/>
    <w:rsid w:val="003D0CEA"/>
    <w:rsid w:val="003D1139"/>
    <w:rsid w:val="003D2925"/>
    <w:rsid w:val="003D3BDD"/>
    <w:rsid w:val="003D3F50"/>
    <w:rsid w:val="003D4348"/>
    <w:rsid w:val="003D56D4"/>
    <w:rsid w:val="003D5CFD"/>
    <w:rsid w:val="003D5F75"/>
    <w:rsid w:val="003D6409"/>
    <w:rsid w:val="003D78D6"/>
    <w:rsid w:val="003E01C9"/>
    <w:rsid w:val="003E2347"/>
    <w:rsid w:val="003E36CC"/>
    <w:rsid w:val="003E3852"/>
    <w:rsid w:val="003E4A48"/>
    <w:rsid w:val="003E6C2C"/>
    <w:rsid w:val="003F0E71"/>
    <w:rsid w:val="003F12A0"/>
    <w:rsid w:val="003F356D"/>
    <w:rsid w:val="003F36F1"/>
    <w:rsid w:val="003F695C"/>
    <w:rsid w:val="00400687"/>
    <w:rsid w:val="0040186B"/>
    <w:rsid w:val="0040425F"/>
    <w:rsid w:val="00404B97"/>
    <w:rsid w:val="004061D5"/>
    <w:rsid w:val="00406553"/>
    <w:rsid w:val="0040658A"/>
    <w:rsid w:val="00410024"/>
    <w:rsid w:val="00411037"/>
    <w:rsid w:val="004146C2"/>
    <w:rsid w:val="00415FE7"/>
    <w:rsid w:val="00417FF5"/>
    <w:rsid w:val="00420C1F"/>
    <w:rsid w:val="0042302F"/>
    <w:rsid w:val="00425040"/>
    <w:rsid w:val="004252BE"/>
    <w:rsid w:val="0042594D"/>
    <w:rsid w:val="00425F45"/>
    <w:rsid w:val="004301C7"/>
    <w:rsid w:val="0043052E"/>
    <w:rsid w:val="00431300"/>
    <w:rsid w:val="0043531D"/>
    <w:rsid w:val="00435870"/>
    <w:rsid w:val="004362C1"/>
    <w:rsid w:val="0044044F"/>
    <w:rsid w:val="004419D3"/>
    <w:rsid w:val="00441AF4"/>
    <w:rsid w:val="00443F0C"/>
    <w:rsid w:val="00450AD6"/>
    <w:rsid w:val="00451C4B"/>
    <w:rsid w:val="00453C77"/>
    <w:rsid w:val="00454CD7"/>
    <w:rsid w:val="0045531E"/>
    <w:rsid w:val="00462D1F"/>
    <w:rsid w:val="00463E12"/>
    <w:rsid w:val="004645B3"/>
    <w:rsid w:val="004663F9"/>
    <w:rsid w:val="00466A77"/>
    <w:rsid w:val="0046746A"/>
    <w:rsid w:val="00467BC4"/>
    <w:rsid w:val="0047166F"/>
    <w:rsid w:val="0047304C"/>
    <w:rsid w:val="00473513"/>
    <w:rsid w:val="0047368F"/>
    <w:rsid w:val="00473DBF"/>
    <w:rsid w:val="00473EDA"/>
    <w:rsid w:val="004751E7"/>
    <w:rsid w:val="0047660F"/>
    <w:rsid w:val="0048134D"/>
    <w:rsid w:val="004818C4"/>
    <w:rsid w:val="004831D4"/>
    <w:rsid w:val="0048380E"/>
    <w:rsid w:val="00483D1E"/>
    <w:rsid w:val="004846DF"/>
    <w:rsid w:val="0048779B"/>
    <w:rsid w:val="00492C7F"/>
    <w:rsid w:val="004944B8"/>
    <w:rsid w:val="004946A7"/>
    <w:rsid w:val="00496133"/>
    <w:rsid w:val="00497050"/>
    <w:rsid w:val="00497389"/>
    <w:rsid w:val="004A0288"/>
    <w:rsid w:val="004A36DC"/>
    <w:rsid w:val="004A4747"/>
    <w:rsid w:val="004A5755"/>
    <w:rsid w:val="004A6597"/>
    <w:rsid w:val="004A67C9"/>
    <w:rsid w:val="004A6B15"/>
    <w:rsid w:val="004B02BC"/>
    <w:rsid w:val="004B0D3F"/>
    <w:rsid w:val="004B1F0E"/>
    <w:rsid w:val="004B66C4"/>
    <w:rsid w:val="004C4150"/>
    <w:rsid w:val="004D25AE"/>
    <w:rsid w:val="004D3FD8"/>
    <w:rsid w:val="004D4668"/>
    <w:rsid w:val="004D4EE2"/>
    <w:rsid w:val="004E1F67"/>
    <w:rsid w:val="004E2120"/>
    <w:rsid w:val="004E2182"/>
    <w:rsid w:val="004E4927"/>
    <w:rsid w:val="004E5D69"/>
    <w:rsid w:val="004E7089"/>
    <w:rsid w:val="004E733D"/>
    <w:rsid w:val="004E7567"/>
    <w:rsid w:val="004E7EF3"/>
    <w:rsid w:val="004F0955"/>
    <w:rsid w:val="004F1A36"/>
    <w:rsid w:val="004F3AC8"/>
    <w:rsid w:val="004F4F5C"/>
    <w:rsid w:val="004F5419"/>
    <w:rsid w:val="004F5BBE"/>
    <w:rsid w:val="00501DDE"/>
    <w:rsid w:val="00502FDD"/>
    <w:rsid w:val="005049FC"/>
    <w:rsid w:val="005059F8"/>
    <w:rsid w:val="00507012"/>
    <w:rsid w:val="00507C6E"/>
    <w:rsid w:val="00507E1F"/>
    <w:rsid w:val="00510657"/>
    <w:rsid w:val="00511CE1"/>
    <w:rsid w:val="0051266E"/>
    <w:rsid w:val="00514145"/>
    <w:rsid w:val="00520BED"/>
    <w:rsid w:val="005235FE"/>
    <w:rsid w:val="00524590"/>
    <w:rsid w:val="00525866"/>
    <w:rsid w:val="00527C7E"/>
    <w:rsid w:val="00527DBD"/>
    <w:rsid w:val="00531619"/>
    <w:rsid w:val="00531979"/>
    <w:rsid w:val="00532D14"/>
    <w:rsid w:val="005356A1"/>
    <w:rsid w:val="005425D3"/>
    <w:rsid w:val="00543C68"/>
    <w:rsid w:val="00543D35"/>
    <w:rsid w:val="00544161"/>
    <w:rsid w:val="005444CB"/>
    <w:rsid w:val="005445EC"/>
    <w:rsid w:val="00544E39"/>
    <w:rsid w:val="00550A2A"/>
    <w:rsid w:val="005515FA"/>
    <w:rsid w:val="00554604"/>
    <w:rsid w:val="00555122"/>
    <w:rsid w:val="00555363"/>
    <w:rsid w:val="005569E3"/>
    <w:rsid w:val="00561432"/>
    <w:rsid w:val="005616F1"/>
    <w:rsid w:val="00562388"/>
    <w:rsid w:val="00563D4A"/>
    <w:rsid w:val="005650A2"/>
    <w:rsid w:val="0056589D"/>
    <w:rsid w:val="00565FAE"/>
    <w:rsid w:val="005724E3"/>
    <w:rsid w:val="00573F2C"/>
    <w:rsid w:val="0057575E"/>
    <w:rsid w:val="00576CDE"/>
    <w:rsid w:val="00582159"/>
    <w:rsid w:val="00582D52"/>
    <w:rsid w:val="005841E2"/>
    <w:rsid w:val="00584EBC"/>
    <w:rsid w:val="00587E09"/>
    <w:rsid w:val="0059290E"/>
    <w:rsid w:val="00593186"/>
    <w:rsid w:val="0059333C"/>
    <w:rsid w:val="00595418"/>
    <w:rsid w:val="00596745"/>
    <w:rsid w:val="00596A87"/>
    <w:rsid w:val="005A00DF"/>
    <w:rsid w:val="005A08DC"/>
    <w:rsid w:val="005A0AB2"/>
    <w:rsid w:val="005A163F"/>
    <w:rsid w:val="005A2485"/>
    <w:rsid w:val="005A2AE3"/>
    <w:rsid w:val="005A374A"/>
    <w:rsid w:val="005A4538"/>
    <w:rsid w:val="005A5D9A"/>
    <w:rsid w:val="005A6FDE"/>
    <w:rsid w:val="005A71AB"/>
    <w:rsid w:val="005A7238"/>
    <w:rsid w:val="005A7410"/>
    <w:rsid w:val="005B16C9"/>
    <w:rsid w:val="005B2123"/>
    <w:rsid w:val="005B319C"/>
    <w:rsid w:val="005B35A2"/>
    <w:rsid w:val="005B3F24"/>
    <w:rsid w:val="005B4332"/>
    <w:rsid w:val="005B59A6"/>
    <w:rsid w:val="005B640B"/>
    <w:rsid w:val="005C0DF1"/>
    <w:rsid w:val="005C13BD"/>
    <w:rsid w:val="005C1E89"/>
    <w:rsid w:val="005C4532"/>
    <w:rsid w:val="005C6719"/>
    <w:rsid w:val="005C76CA"/>
    <w:rsid w:val="005C79FB"/>
    <w:rsid w:val="005D0B64"/>
    <w:rsid w:val="005D14E1"/>
    <w:rsid w:val="005D27FA"/>
    <w:rsid w:val="005D3064"/>
    <w:rsid w:val="005D32B3"/>
    <w:rsid w:val="005D3693"/>
    <w:rsid w:val="005D4424"/>
    <w:rsid w:val="005D452B"/>
    <w:rsid w:val="005D533E"/>
    <w:rsid w:val="005E063D"/>
    <w:rsid w:val="005E07B5"/>
    <w:rsid w:val="005E1FEF"/>
    <w:rsid w:val="005E34E7"/>
    <w:rsid w:val="005E4365"/>
    <w:rsid w:val="005F019C"/>
    <w:rsid w:val="005F0750"/>
    <w:rsid w:val="005F1C4D"/>
    <w:rsid w:val="005F1DF8"/>
    <w:rsid w:val="005F240A"/>
    <w:rsid w:val="006024CF"/>
    <w:rsid w:val="00602D11"/>
    <w:rsid w:val="00605FF2"/>
    <w:rsid w:val="00606411"/>
    <w:rsid w:val="00606C1F"/>
    <w:rsid w:val="00607611"/>
    <w:rsid w:val="00607B04"/>
    <w:rsid w:val="00610130"/>
    <w:rsid w:val="00610984"/>
    <w:rsid w:val="00610BDC"/>
    <w:rsid w:val="00610F46"/>
    <w:rsid w:val="006112E2"/>
    <w:rsid w:val="00613349"/>
    <w:rsid w:val="00613C3D"/>
    <w:rsid w:val="00616164"/>
    <w:rsid w:val="006171A0"/>
    <w:rsid w:val="006174AD"/>
    <w:rsid w:val="00621BBE"/>
    <w:rsid w:val="00622F7D"/>
    <w:rsid w:val="00625D9D"/>
    <w:rsid w:val="00626DD3"/>
    <w:rsid w:val="006276FD"/>
    <w:rsid w:val="00630124"/>
    <w:rsid w:val="006313A7"/>
    <w:rsid w:val="00631D3D"/>
    <w:rsid w:val="0063201D"/>
    <w:rsid w:val="00632268"/>
    <w:rsid w:val="00632842"/>
    <w:rsid w:val="00633C04"/>
    <w:rsid w:val="00637249"/>
    <w:rsid w:val="00640A33"/>
    <w:rsid w:val="0064141D"/>
    <w:rsid w:val="006416B8"/>
    <w:rsid w:val="00645AA2"/>
    <w:rsid w:val="0064720B"/>
    <w:rsid w:val="006505C5"/>
    <w:rsid w:val="00650C69"/>
    <w:rsid w:val="00651B08"/>
    <w:rsid w:val="006523F1"/>
    <w:rsid w:val="00654DD0"/>
    <w:rsid w:val="00656D35"/>
    <w:rsid w:val="006609EA"/>
    <w:rsid w:val="00660E58"/>
    <w:rsid w:val="00661575"/>
    <w:rsid w:val="00661581"/>
    <w:rsid w:val="00661F14"/>
    <w:rsid w:val="00662F3D"/>
    <w:rsid w:val="00664688"/>
    <w:rsid w:val="00666C8A"/>
    <w:rsid w:val="00670E5F"/>
    <w:rsid w:val="00673D8B"/>
    <w:rsid w:val="00673E2D"/>
    <w:rsid w:val="00675C22"/>
    <w:rsid w:val="00682312"/>
    <w:rsid w:val="00683E58"/>
    <w:rsid w:val="0068472F"/>
    <w:rsid w:val="00686D43"/>
    <w:rsid w:val="006907B1"/>
    <w:rsid w:val="006918D6"/>
    <w:rsid w:val="00692A89"/>
    <w:rsid w:val="00693A77"/>
    <w:rsid w:val="00693B38"/>
    <w:rsid w:val="00694005"/>
    <w:rsid w:val="00694067"/>
    <w:rsid w:val="00695E31"/>
    <w:rsid w:val="006967DF"/>
    <w:rsid w:val="00696E93"/>
    <w:rsid w:val="006A2567"/>
    <w:rsid w:val="006A54BD"/>
    <w:rsid w:val="006A5521"/>
    <w:rsid w:val="006A667B"/>
    <w:rsid w:val="006B4657"/>
    <w:rsid w:val="006B5471"/>
    <w:rsid w:val="006B7F28"/>
    <w:rsid w:val="006C24E9"/>
    <w:rsid w:val="006C2F28"/>
    <w:rsid w:val="006C49B8"/>
    <w:rsid w:val="006C5C73"/>
    <w:rsid w:val="006D3414"/>
    <w:rsid w:val="006E21BB"/>
    <w:rsid w:val="006E3455"/>
    <w:rsid w:val="006E43A1"/>
    <w:rsid w:val="006E6080"/>
    <w:rsid w:val="006E624A"/>
    <w:rsid w:val="006E701B"/>
    <w:rsid w:val="006F0764"/>
    <w:rsid w:val="006F1253"/>
    <w:rsid w:val="006F2EAE"/>
    <w:rsid w:val="006F4CD8"/>
    <w:rsid w:val="006F588C"/>
    <w:rsid w:val="006F69A1"/>
    <w:rsid w:val="0070028D"/>
    <w:rsid w:val="00700597"/>
    <w:rsid w:val="0070089B"/>
    <w:rsid w:val="0070368F"/>
    <w:rsid w:val="00706F7F"/>
    <w:rsid w:val="00707948"/>
    <w:rsid w:val="00707FFA"/>
    <w:rsid w:val="00710A73"/>
    <w:rsid w:val="00710BFD"/>
    <w:rsid w:val="0071250F"/>
    <w:rsid w:val="007128BE"/>
    <w:rsid w:val="00712B3C"/>
    <w:rsid w:val="00713081"/>
    <w:rsid w:val="00713D8F"/>
    <w:rsid w:val="00714085"/>
    <w:rsid w:val="0071463C"/>
    <w:rsid w:val="0071670D"/>
    <w:rsid w:val="00716930"/>
    <w:rsid w:val="00716FE2"/>
    <w:rsid w:val="0071737E"/>
    <w:rsid w:val="00717929"/>
    <w:rsid w:val="00720ECC"/>
    <w:rsid w:val="00721763"/>
    <w:rsid w:val="00721FF3"/>
    <w:rsid w:val="007241B9"/>
    <w:rsid w:val="007263E5"/>
    <w:rsid w:val="00726F7E"/>
    <w:rsid w:val="00731DE3"/>
    <w:rsid w:val="007320A1"/>
    <w:rsid w:val="007360B8"/>
    <w:rsid w:val="00736A13"/>
    <w:rsid w:val="0074095E"/>
    <w:rsid w:val="00741FE9"/>
    <w:rsid w:val="00742547"/>
    <w:rsid w:val="00743062"/>
    <w:rsid w:val="00744682"/>
    <w:rsid w:val="00744850"/>
    <w:rsid w:val="00744CDE"/>
    <w:rsid w:val="007458C3"/>
    <w:rsid w:val="00745C11"/>
    <w:rsid w:val="0074636E"/>
    <w:rsid w:val="00747524"/>
    <w:rsid w:val="00747F83"/>
    <w:rsid w:val="00752A08"/>
    <w:rsid w:val="00752D33"/>
    <w:rsid w:val="00753957"/>
    <w:rsid w:val="00754A96"/>
    <w:rsid w:val="0075513B"/>
    <w:rsid w:val="00755DB4"/>
    <w:rsid w:val="00756DC0"/>
    <w:rsid w:val="00760AF7"/>
    <w:rsid w:val="0076306F"/>
    <w:rsid w:val="0076386E"/>
    <w:rsid w:val="00764056"/>
    <w:rsid w:val="0076685C"/>
    <w:rsid w:val="007675C4"/>
    <w:rsid w:val="007714F9"/>
    <w:rsid w:val="00773569"/>
    <w:rsid w:val="00776AB9"/>
    <w:rsid w:val="007775F3"/>
    <w:rsid w:val="00781911"/>
    <w:rsid w:val="007844BF"/>
    <w:rsid w:val="0078502B"/>
    <w:rsid w:val="007860EC"/>
    <w:rsid w:val="007875B4"/>
    <w:rsid w:val="00791C36"/>
    <w:rsid w:val="00794176"/>
    <w:rsid w:val="00794F5C"/>
    <w:rsid w:val="007964AC"/>
    <w:rsid w:val="007969CE"/>
    <w:rsid w:val="0079701C"/>
    <w:rsid w:val="00797FBA"/>
    <w:rsid w:val="007A0B46"/>
    <w:rsid w:val="007A1777"/>
    <w:rsid w:val="007A2658"/>
    <w:rsid w:val="007A2ED8"/>
    <w:rsid w:val="007A3108"/>
    <w:rsid w:val="007A3301"/>
    <w:rsid w:val="007A4A51"/>
    <w:rsid w:val="007A4AB0"/>
    <w:rsid w:val="007A50F5"/>
    <w:rsid w:val="007A7CBB"/>
    <w:rsid w:val="007B01E5"/>
    <w:rsid w:val="007B09C3"/>
    <w:rsid w:val="007B2FB6"/>
    <w:rsid w:val="007B33B3"/>
    <w:rsid w:val="007B3AC0"/>
    <w:rsid w:val="007B5145"/>
    <w:rsid w:val="007B521A"/>
    <w:rsid w:val="007B587C"/>
    <w:rsid w:val="007B5AF0"/>
    <w:rsid w:val="007B5B7A"/>
    <w:rsid w:val="007B5F69"/>
    <w:rsid w:val="007B7328"/>
    <w:rsid w:val="007B797C"/>
    <w:rsid w:val="007C14EE"/>
    <w:rsid w:val="007C25D9"/>
    <w:rsid w:val="007C266C"/>
    <w:rsid w:val="007C4C36"/>
    <w:rsid w:val="007C705D"/>
    <w:rsid w:val="007D29B7"/>
    <w:rsid w:val="007D3A34"/>
    <w:rsid w:val="007D3FB2"/>
    <w:rsid w:val="007D49F7"/>
    <w:rsid w:val="007D4C7C"/>
    <w:rsid w:val="007D678A"/>
    <w:rsid w:val="007D6C29"/>
    <w:rsid w:val="007D6FEF"/>
    <w:rsid w:val="007D70CD"/>
    <w:rsid w:val="007E04D9"/>
    <w:rsid w:val="007E0F26"/>
    <w:rsid w:val="007E0F77"/>
    <w:rsid w:val="007E1B5D"/>
    <w:rsid w:val="007E72DA"/>
    <w:rsid w:val="007F25CB"/>
    <w:rsid w:val="007F2D52"/>
    <w:rsid w:val="007F306F"/>
    <w:rsid w:val="007F309F"/>
    <w:rsid w:val="007F337B"/>
    <w:rsid w:val="007F43C6"/>
    <w:rsid w:val="007F4A43"/>
    <w:rsid w:val="007F4BA2"/>
    <w:rsid w:val="007F4EF3"/>
    <w:rsid w:val="007F5C18"/>
    <w:rsid w:val="00803118"/>
    <w:rsid w:val="00803754"/>
    <w:rsid w:val="00803D8F"/>
    <w:rsid w:val="0080408F"/>
    <w:rsid w:val="00805653"/>
    <w:rsid w:val="00805723"/>
    <w:rsid w:val="00805D90"/>
    <w:rsid w:val="00806C92"/>
    <w:rsid w:val="00810139"/>
    <w:rsid w:val="00811C4D"/>
    <w:rsid w:val="00815AE2"/>
    <w:rsid w:val="00820341"/>
    <w:rsid w:val="00820AB4"/>
    <w:rsid w:val="0082115C"/>
    <w:rsid w:val="00823460"/>
    <w:rsid w:val="0082401A"/>
    <w:rsid w:val="008242CC"/>
    <w:rsid w:val="00827885"/>
    <w:rsid w:val="008308AC"/>
    <w:rsid w:val="00831AD8"/>
    <w:rsid w:val="00832073"/>
    <w:rsid w:val="00833992"/>
    <w:rsid w:val="00833E0B"/>
    <w:rsid w:val="0083524D"/>
    <w:rsid w:val="0083612B"/>
    <w:rsid w:val="0083641F"/>
    <w:rsid w:val="008402A1"/>
    <w:rsid w:val="00842103"/>
    <w:rsid w:val="00842421"/>
    <w:rsid w:val="00842714"/>
    <w:rsid w:val="008435A0"/>
    <w:rsid w:val="00845EC3"/>
    <w:rsid w:val="00846980"/>
    <w:rsid w:val="008479E8"/>
    <w:rsid w:val="00850958"/>
    <w:rsid w:val="00850D71"/>
    <w:rsid w:val="00853E2A"/>
    <w:rsid w:val="0085666E"/>
    <w:rsid w:val="008644C7"/>
    <w:rsid w:val="00864C43"/>
    <w:rsid w:val="008655EA"/>
    <w:rsid w:val="0086689E"/>
    <w:rsid w:val="008706CD"/>
    <w:rsid w:val="008711BF"/>
    <w:rsid w:val="0087216A"/>
    <w:rsid w:val="00873122"/>
    <w:rsid w:val="008750B1"/>
    <w:rsid w:val="00877084"/>
    <w:rsid w:val="008776AC"/>
    <w:rsid w:val="00877F0B"/>
    <w:rsid w:val="008837E4"/>
    <w:rsid w:val="00883F4D"/>
    <w:rsid w:val="00884450"/>
    <w:rsid w:val="00891EE2"/>
    <w:rsid w:val="008929DB"/>
    <w:rsid w:val="0089354D"/>
    <w:rsid w:val="008952B7"/>
    <w:rsid w:val="00895D33"/>
    <w:rsid w:val="00895FAB"/>
    <w:rsid w:val="00896131"/>
    <w:rsid w:val="008A0114"/>
    <w:rsid w:val="008A150F"/>
    <w:rsid w:val="008A1AB6"/>
    <w:rsid w:val="008A4CFA"/>
    <w:rsid w:val="008A5055"/>
    <w:rsid w:val="008A5347"/>
    <w:rsid w:val="008A53B2"/>
    <w:rsid w:val="008A6909"/>
    <w:rsid w:val="008A6FF2"/>
    <w:rsid w:val="008A7BE4"/>
    <w:rsid w:val="008B03E3"/>
    <w:rsid w:val="008B10E7"/>
    <w:rsid w:val="008B6746"/>
    <w:rsid w:val="008B7AF4"/>
    <w:rsid w:val="008B7BE4"/>
    <w:rsid w:val="008C1961"/>
    <w:rsid w:val="008C2964"/>
    <w:rsid w:val="008D25B9"/>
    <w:rsid w:val="008D26D1"/>
    <w:rsid w:val="008D3C99"/>
    <w:rsid w:val="008D47BB"/>
    <w:rsid w:val="008E0A1E"/>
    <w:rsid w:val="008E0FFD"/>
    <w:rsid w:val="008E1DDD"/>
    <w:rsid w:val="008E2F8C"/>
    <w:rsid w:val="008E3EA2"/>
    <w:rsid w:val="008E43AD"/>
    <w:rsid w:val="008E6499"/>
    <w:rsid w:val="008E7300"/>
    <w:rsid w:val="008F0C7A"/>
    <w:rsid w:val="008F2A26"/>
    <w:rsid w:val="008F55AF"/>
    <w:rsid w:val="008F584B"/>
    <w:rsid w:val="00902AF9"/>
    <w:rsid w:val="00902F61"/>
    <w:rsid w:val="00903D70"/>
    <w:rsid w:val="00905440"/>
    <w:rsid w:val="00906AB0"/>
    <w:rsid w:val="00906F11"/>
    <w:rsid w:val="0090701C"/>
    <w:rsid w:val="00910A5A"/>
    <w:rsid w:val="0091211F"/>
    <w:rsid w:val="009139BA"/>
    <w:rsid w:val="00916914"/>
    <w:rsid w:val="009232C6"/>
    <w:rsid w:val="00925A33"/>
    <w:rsid w:val="00930D70"/>
    <w:rsid w:val="0093163D"/>
    <w:rsid w:val="00932C5E"/>
    <w:rsid w:val="00933601"/>
    <w:rsid w:val="00933E2B"/>
    <w:rsid w:val="0093470C"/>
    <w:rsid w:val="0093521B"/>
    <w:rsid w:val="00935CA7"/>
    <w:rsid w:val="00936DC3"/>
    <w:rsid w:val="00937207"/>
    <w:rsid w:val="009436F6"/>
    <w:rsid w:val="0094523D"/>
    <w:rsid w:val="009454A7"/>
    <w:rsid w:val="00945561"/>
    <w:rsid w:val="0095351B"/>
    <w:rsid w:val="00956AE9"/>
    <w:rsid w:val="00961A0C"/>
    <w:rsid w:val="00962722"/>
    <w:rsid w:val="00963237"/>
    <w:rsid w:val="00964794"/>
    <w:rsid w:val="00966A34"/>
    <w:rsid w:val="00967469"/>
    <w:rsid w:val="00974B23"/>
    <w:rsid w:val="00977079"/>
    <w:rsid w:val="00981303"/>
    <w:rsid w:val="00981C13"/>
    <w:rsid w:val="00981F00"/>
    <w:rsid w:val="00983E1A"/>
    <w:rsid w:val="00985F2B"/>
    <w:rsid w:val="009873A0"/>
    <w:rsid w:val="009907F1"/>
    <w:rsid w:val="00990DA1"/>
    <w:rsid w:val="009917CB"/>
    <w:rsid w:val="0099295A"/>
    <w:rsid w:val="00994074"/>
    <w:rsid w:val="00994E70"/>
    <w:rsid w:val="00995E4A"/>
    <w:rsid w:val="00996067"/>
    <w:rsid w:val="009962B4"/>
    <w:rsid w:val="009A0537"/>
    <w:rsid w:val="009A0ABB"/>
    <w:rsid w:val="009A26AD"/>
    <w:rsid w:val="009A4C2F"/>
    <w:rsid w:val="009B0829"/>
    <w:rsid w:val="009B2FBC"/>
    <w:rsid w:val="009B3306"/>
    <w:rsid w:val="009C062D"/>
    <w:rsid w:val="009C4E76"/>
    <w:rsid w:val="009C513C"/>
    <w:rsid w:val="009C5576"/>
    <w:rsid w:val="009C5729"/>
    <w:rsid w:val="009C5A31"/>
    <w:rsid w:val="009C61A8"/>
    <w:rsid w:val="009C7E87"/>
    <w:rsid w:val="009D0114"/>
    <w:rsid w:val="009D0837"/>
    <w:rsid w:val="009D1730"/>
    <w:rsid w:val="009D76F3"/>
    <w:rsid w:val="009E0406"/>
    <w:rsid w:val="009E0C36"/>
    <w:rsid w:val="009E32AF"/>
    <w:rsid w:val="009E3657"/>
    <w:rsid w:val="009E4380"/>
    <w:rsid w:val="009E4D71"/>
    <w:rsid w:val="009E62D0"/>
    <w:rsid w:val="009F0759"/>
    <w:rsid w:val="009F08BE"/>
    <w:rsid w:val="009F0B85"/>
    <w:rsid w:val="009F26A6"/>
    <w:rsid w:val="009F3734"/>
    <w:rsid w:val="009F4448"/>
    <w:rsid w:val="00A00A1C"/>
    <w:rsid w:val="00A0180D"/>
    <w:rsid w:val="00A01E6A"/>
    <w:rsid w:val="00A036B7"/>
    <w:rsid w:val="00A03887"/>
    <w:rsid w:val="00A03EEA"/>
    <w:rsid w:val="00A04B1A"/>
    <w:rsid w:val="00A04D5D"/>
    <w:rsid w:val="00A071BE"/>
    <w:rsid w:val="00A10D2E"/>
    <w:rsid w:val="00A1278A"/>
    <w:rsid w:val="00A13B2E"/>
    <w:rsid w:val="00A150C4"/>
    <w:rsid w:val="00A1581B"/>
    <w:rsid w:val="00A15CC0"/>
    <w:rsid w:val="00A17DD8"/>
    <w:rsid w:val="00A20538"/>
    <w:rsid w:val="00A20DC4"/>
    <w:rsid w:val="00A22588"/>
    <w:rsid w:val="00A22A39"/>
    <w:rsid w:val="00A25A76"/>
    <w:rsid w:val="00A26550"/>
    <w:rsid w:val="00A278AD"/>
    <w:rsid w:val="00A3068E"/>
    <w:rsid w:val="00A32B95"/>
    <w:rsid w:val="00A34305"/>
    <w:rsid w:val="00A34E94"/>
    <w:rsid w:val="00A3621E"/>
    <w:rsid w:val="00A37570"/>
    <w:rsid w:val="00A4077D"/>
    <w:rsid w:val="00A44A8A"/>
    <w:rsid w:val="00A4536D"/>
    <w:rsid w:val="00A46363"/>
    <w:rsid w:val="00A47192"/>
    <w:rsid w:val="00A47BA6"/>
    <w:rsid w:val="00A5064D"/>
    <w:rsid w:val="00A51F52"/>
    <w:rsid w:val="00A52586"/>
    <w:rsid w:val="00A60E39"/>
    <w:rsid w:val="00A618AA"/>
    <w:rsid w:val="00A6236C"/>
    <w:rsid w:val="00A634D8"/>
    <w:rsid w:val="00A64B09"/>
    <w:rsid w:val="00A6523D"/>
    <w:rsid w:val="00A65725"/>
    <w:rsid w:val="00A679BE"/>
    <w:rsid w:val="00A70A30"/>
    <w:rsid w:val="00A731B4"/>
    <w:rsid w:val="00A73A7F"/>
    <w:rsid w:val="00A74FF4"/>
    <w:rsid w:val="00A753A9"/>
    <w:rsid w:val="00A77519"/>
    <w:rsid w:val="00A80202"/>
    <w:rsid w:val="00A80880"/>
    <w:rsid w:val="00A814CD"/>
    <w:rsid w:val="00A818AB"/>
    <w:rsid w:val="00A8226E"/>
    <w:rsid w:val="00A8287D"/>
    <w:rsid w:val="00A82FF3"/>
    <w:rsid w:val="00A832F5"/>
    <w:rsid w:val="00A9072F"/>
    <w:rsid w:val="00A910A5"/>
    <w:rsid w:val="00A92235"/>
    <w:rsid w:val="00A94008"/>
    <w:rsid w:val="00A95F0C"/>
    <w:rsid w:val="00AA0159"/>
    <w:rsid w:val="00AA1069"/>
    <w:rsid w:val="00AA4143"/>
    <w:rsid w:val="00AA59D2"/>
    <w:rsid w:val="00AA5B94"/>
    <w:rsid w:val="00AB274B"/>
    <w:rsid w:val="00AB327E"/>
    <w:rsid w:val="00AB7A5F"/>
    <w:rsid w:val="00AC340E"/>
    <w:rsid w:val="00AC47D6"/>
    <w:rsid w:val="00AD40AF"/>
    <w:rsid w:val="00AD439B"/>
    <w:rsid w:val="00AD5604"/>
    <w:rsid w:val="00AD5C02"/>
    <w:rsid w:val="00AD6708"/>
    <w:rsid w:val="00AD7B8C"/>
    <w:rsid w:val="00AE01EB"/>
    <w:rsid w:val="00AE0E01"/>
    <w:rsid w:val="00AE45DD"/>
    <w:rsid w:val="00AE46E9"/>
    <w:rsid w:val="00AE4959"/>
    <w:rsid w:val="00AE6627"/>
    <w:rsid w:val="00AE6657"/>
    <w:rsid w:val="00AE6C28"/>
    <w:rsid w:val="00AE7358"/>
    <w:rsid w:val="00AF068F"/>
    <w:rsid w:val="00B013C8"/>
    <w:rsid w:val="00B015F0"/>
    <w:rsid w:val="00B01B35"/>
    <w:rsid w:val="00B041E2"/>
    <w:rsid w:val="00B04FF7"/>
    <w:rsid w:val="00B05567"/>
    <w:rsid w:val="00B0574D"/>
    <w:rsid w:val="00B05968"/>
    <w:rsid w:val="00B0703B"/>
    <w:rsid w:val="00B12264"/>
    <w:rsid w:val="00B159EA"/>
    <w:rsid w:val="00B15E36"/>
    <w:rsid w:val="00B16792"/>
    <w:rsid w:val="00B17B06"/>
    <w:rsid w:val="00B23D6B"/>
    <w:rsid w:val="00B23E40"/>
    <w:rsid w:val="00B24E6D"/>
    <w:rsid w:val="00B27252"/>
    <w:rsid w:val="00B3234E"/>
    <w:rsid w:val="00B331E1"/>
    <w:rsid w:val="00B33309"/>
    <w:rsid w:val="00B33DB3"/>
    <w:rsid w:val="00B34870"/>
    <w:rsid w:val="00B36379"/>
    <w:rsid w:val="00B37EDB"/>
    <w:rsid w:val="00B41419"/>
    <w:rsid w:val="00B416A2"/>
    <w:rsid w:val="00B473AA"/>
    <w:rsid w:val="00B50CEE"/>
    <w:rsid w:val="00B50EFD"/>
    <w:rsid w:val="00B5103F"/>
    <w:rsid w:val="00B5260B"/>
    <w:rsid w:val="00B549F8"/>
    <w:rsid w:val="00B576F8"/>
    <w:rsid w:val="00B60851"/>
    <w:rsid w:val="00B60DB6"/>
    <w:rsid w:val="00B61029"/>
    <w:rsid w:val="00B61E87"/>
    <w:rsid w:val="00B61EDC"/>
    <w:rsid w:val="00B627DE"/>
    <w:rsid w:val="00B628D0"/>
    <w:rsid w:val="00B6385E"/>
    <w:rsid w:val="00B642D8"/>
    <w:rsid w:val="00B673C5"/>
    <w:rsid w:val="00B716C8"/>
    <w:rsid w:val="00B7369B"/>
    <w:rsid w:val="00B73960"/>
    <w:rsid w:val="00B7599F"/>
    <w:rsid w:val="00B81162"/>
    <w:rsid w:val="00B84DA8"/>
    <w:rsid w:val="00B851ED"/>
    <w:rsid w:val="00B85853"/>
    <w:rsid w:val="00B85E77"/>
    <w:rsid w:val="00B86FDD"/>
    <w:rsid w:val="00B917AE"/>
    <w:rsid w:val="00B918D0"/>
    <w:rsid w:val="00B91E20"/>
    <w:rsid w:val="00B94C13"/>
    <w:rsid w:val="00B962BA"/>
    <w:rsid w:val="00B963E9"/>
    <w:rsid w:val="00B9731E"/>
    <w:rsid w:val="00BA0228"/>
    <w:rsid w:val="00BA3A43"/>
    <w:rsid w:val="00BA3AD2"/>
    <w:rsid w:val="00BA6FE4"/>
    <w:rsid w:val="00BA7643"/>
    <w:rsid w:val="00BA79F9"/>
    <w:rsid w:val="00BB062C"/>
    <w:rsid w:val="00BB6284"/>
    <w:rsid w:val="00BC2AFA"/>
    <w:rsid w:val="00BC3352"/>
    <w:rsid w:val="00BC3E26"/>
    <w:rsid w:val="00BC63AF"/>
    <w:rsid w:val="00BC717C"/>
    <w:rsid w:val="00BD0444"/>
    <w:rsid w:val="00BD100E"/>
    <w:rsid w:val="00BD116F"/>
    <w:rsid w:val="00BD1472"/>
    <w:rsid w:val="00BD3310"/>
    <w:rsid w:val="00BD3A69"/>
    <w:rsid w:val="00BD4078"/>
    <w:rsid w:val="00BD4923"/>
    <w:rsid w:val="00BD497A"/>
    <w:rsid w:val="00BD773D"/>
    <w:rsid w:val="00BD7953"/>
    <w:rsid w:val="00BD7AAC"/>
    <w:rsid w:val="00BE370B"/>
    <w:rsid w:val="00BE4FB0"/>
    <w:rsid w:val="00BF0A08"/>
    <w:rsid w:val="00BF100F"/>
    <w:rsid w:val="00BF1132"/>
    <w:rsid w:val="00BF1AB8"/>
    <w:rsid w:val="00BF2A06"/>
    <w:rsid w:val="00BF321B"/>
    <w:rsid w:val="00BF35D3"/>
    <w:rsid w:val="00BF5E23"/>
    <w:rsid w:val="00BF7E03"/>
    <w:rsid w:val="00C00872"/>
    <w:rsid w:val="00C05686"/>
    <w:rsid w:val="00C07AAC"/>
    <w:rsid w:val="00C12801"/>
    <w:rsid w:val="00C1287B"/>
    <w:rsid w:val="00C14438"/>
    <w:rsid w:val="00C15167"/>
    <w:rsid w:val="00C1587C"/>
    <w:rsid w:val="00C1797A"/>
    <w:rsid w:val="00C2052A"/>
    <w:rsid w:val="00C22442"/>
    <w:rsid w:val="00C22704"/>
    <w:rsid w:val="00C239DD"/>
    <w:rsid w:val="00C25590"/>
    <w:rsid w:val="00C2588C"/>
    <w:rsid w:val="00C32571"/>
    <w:rsid w:val="00C32EEF"/>
    <w:rsid w:val="00C33C04"/>
    <w:rsid w:val="00C33E38"/>
    <w:rsid w:val="00C34229"/>
    <w:rsid w:val="00C34EE0"/>
    <w:rsid w:val="00C35292"/>
    <w:rsid w:val="00C420C7"/>
    <w:rsid w:val="00C424AB"/>
    <w:rsid w:val="00C429E4"/>
    <w:rsid w:val="00C42EBA"/>
    <w:rsid w:val="00C43E9F"/>
    <w:rsid w:val="00C4456C"/>
    <w:rsid w:val="00C44EF8"/>
    <w:rsid w:val="00C50462"/>
    <w:rsid w:val="00C540EF"/>
    <w:rsid w:val="00C5456C"/>
    <w:rsid w:val="00C6032F"/>
    <w:rsid w:val="00C64F49"/>
    <w:rsid w:val="00C6738B"/>
    <w:rsid w:val="00C67464"/>
    <w:rsid w:val="00C709BC"/>
    <w:rsid w:val="00C7345C"/>
    <w:rsid w:val="00C73D78"/>
    <w:rsid w:val="00C73FF5"/>
    <w:rsid w:val="00C74CD1"/>
    <w:rsid w:val="00C74D34"/>
    <w:rsid w:val="00C74D40"/>
    <w:rsid w:val="00C75226"/>
    <w:rsid w:val="00C7528F"/>
    <w:rsid w:val="00C80797"/>
    <w:rsid w:val="00C81F6E"/>
    <w:rsid w:val="00C82126"/>
    <w:rsid w:val="00C83B71"/>
    <w:rsid w:val="00C8408C"/>
    <w:rsid w:val="00C84BEA"/>
    <w:rsid w:val="00C86CD8"/>
    <w:rsid w:val="00C90030"/>
    <w:rsid w:val="00C90860"/>
    <w:rsid w:val="00C9126B"/>
    <w:rsid w:val="00C915FF"/>
    <w:rsid w:val="00C91CA0"/>
    <w:rsid w:val="00C96C93"/>
    <w:rsid w:val="00CA02F5"/>
    <w:rsid w:val="00CA103D"/>
    <w:rsid w:val="00CA1CC1"/>
    <w:rsid w:val="00CA3004"/>
    <w:rsid w:val="00CA7F28"/>
    <w:rsid w:val="00CB088C"/>
    <w:rsid w:val="00CB3853"/>
    <w:rsid w:val="00CB4184"/>
    <w:rsid w:val="00CB5F4C"/>
    <w:rsid w:val="00CB617B"/>
    <w:rsid w:val="00CB6B29"/>
    <w:rsid w:val="00CB74B9"/>
    <w:rsid w:val="00CC1AF8"/>
    <w:rsid w:val="00CC2001"/>
    <w:rsid w:val="00CC21D7"/>
    <w:rsid w:val="00CC4A7F"/>
    <w:rsid w:val="00CC592C"/>
    <w:rsid w:val="00CC6777"/>
    <w:rsid w:val="00CC775F"/>
    <w:rsid w:val="00CD3D4B"/>
    <w:rsid w:val="00CD3ED0"/>
    <w:rsid w:val="00CD48A9"/>
    <w:rsid w:val="00CD61FF"/>
    <w:rsid w:val="00CD7A55"/>
    <w:rsid w:val="00CE0EE0"/>
    <w:rsid w:val="00CE0F69"/>
    <w:rsid w:val="00CE309E"/>
    <w:rsid w:val="00CE4052"/>
    <w:rsid w:val="00CE6950"/>
    <w:rsid w:val="00CE6B94"/>
    <w:rsid w:val="00CF2906"/>
    <w:rsid w:val="00CF5513"/>
    <w:rsid w:val="00D00C3C"/>
    <w:rsid w:val="00D037BA"/>
    <w:rsid w:val="00D06A37"/>
    <w:rsid w:val="00D1052C"/>
    <w:rsid w:val="00D10820"/>
    <w:rsid w:val="00D11F95"/>
    <w:rsid w:val="00D128E2"/>
    <w:rsid w:val="00D148BB"/>
    <w:rsid w:val="00D15301"/>
    <w:rsid w:val="00D162E9"/>
    <w:rsid w:val="00D16348"/>
    <w:rsid w:val="00D16460"/>
    <w:rsid w:val="00D168F9"/>
    <w:rsid w:val="00D20681"/>
    <w:rsid w:val="00D20692"/>
    <w:rsid w:val="00D22AE7"/>
    <w:rsid w:val="00D278A7"/>
    <w:rsid w:val="00D3005E"/>
    <w:rsid w:val="00D34A81"/>
    <w:rsid w:val="00D357F0"/>
    <w:rsid w:val="00D35E6C"/>
    <w:rsid w:val="00D46E0C"/>
    <w:rsid w:val="00D47EE8"/>
    <w:rsid w:val="00D51B9E"/>
    <w:rsid w:val="00D5244E"/>
    <w:rsid w:val="00D5421F"/>
    <w:rsid w:val="00D54335"/>
    <w:rsid w:val="00D57D57"/>
    <w:rsid w:val="00D60759"/>
    <w:rsid w:val="00D61B95"/>
    <w:rsid w:val="00D6274F"/>
    <w:rsid w:val="00D660BC"/>
    <w:rsid w:val="00D660F5"/>
    <w:rsid w:val="00D676B5"/>
    <w:rsid w:val="00D6777E"/>
    <w:rsid w:val="00D70A3B"/>
    <w:rsid w:val="00D71303"/>
    <w:rsid w:val="00D71BED"/>
    <w:rsid w:val="00D76627"/>
    <w:rsid w:val="00D825CD"/>
    <w:rsid w:val="00D84151"/>
    <w:rsid w:val="00D854B9"/>
    <w:rsid w:val="00D86B77"/>
    <w:rsid w:val="00D9104C"/>
    <w:rsid w:val="00D91436"/>
    <w:rsid w:val="00D92D49"/>
    <w:rsid w:val="00D94065"/>
    <w:rsid w:val="00D9489C"/>
    <w:rsid w:val="00D95DCE"/>
    <w:rsid w:val="00D97E74"/>
    <w:rsid w:val="00DA0D07"/>
    <w:rsid w:val="00DA0FF3"/>
    <w:rsid w:val="00DA1CF1"/>
    <w:rsid w:val="00DA2076"/>
    <w:rsid w:val="00DA25D4"/>
    <w:rsid w:val="00DA548E"/>
    <w:rsid w:val="00DA560D"/>
    <w:rsid w:val="00DA5995"/>
    <w:rsid w:val="00DA602A"/>
    <w:rsid w:val="00DA6886"/>
    <w:rsid w:val="00DA6E4B"/>
    <w:rsid w:val="00DA738E"/>
    <w:rsid w:val="00DA7530"/>
    <w:rsid w:val="00DB0BF0"/>
    <w:rsid w:val="00DB110F"/>
    <w:rsid w:val="00DB1D6C"/>
    <w:rsid w:val="00DB6CE2"/>
    <w:rsid w:val="00DB7496"/>
    <w:rsid w:val="00DC1603"/>
    <w:rsid w:val="00DC17AE"/>
    <w:rsid w:val="00DC2411"/>
    <w:rsid w:val="00DC5046"/>
    <w:rsid w:val="00DC77BE"/>
    <w:rsid w:val="00DD0E1F"/>
    <w:rsid w:val="00DD3498"/>
    <w:rsid w:val="00DD35FC"/>
    <w:rsid w:val="00DD4850"/>
    <w:rsid w:val="00DD4F24"/>
    <w:rsid w:val="00DD65D4"/>
    <w:rsid w:val="00DD6A13"/>
    <w:rsid w:val="00DD7831"/>
    <w:rsid w:val="00DD7A22"/>
    <w:rsid w:val="00DE0591"/>
    <w:rsid w:val="00DE173E"/>
    <w:rsid w:val="00DE27E1"/>
    <w:rsid w:val="00DE5373"/>
    <w:rsid w:val="00DE714A"/>
    <w:rsid w:val="00DE71A3"/>
    <w:rsid w:val="00DE7364"/>
    <w:rsid w:val="00DF08C1"/>
    <w:rsid w:val="00DF0D58"/>
    <w:rsid w:val="00DF1992"/>
    <w:rsid w:val="00DF2838"/>
    <w:rsid w:val="00DF28C6"/>
    <w:rsid w:val="00DF3B16"/>
    <w:rsid w:val="00DF546B"/>
    <w:rsid w:val="00DF68B8"/>
    <w:rsid w:val="00DF6CB1"/>
    <w:rsid w:val="00E00091"/>
    <w:rsid w:val="00E01FCC"/>
    <w:rsid w:val="00E02B6D"/>
    <w:rsid w:val="00E044BB"/>
    <w:rsid w:val="00E04EEC"/>
    <w:rsid w:val="00E05AD9"/>
    <w:rsid w:val="00E07F8F"/>
    <w:rsid w:val="00E11442"/>
    <w:rsid w:val="00E11CEE"/>
    <w:rsid w:val="00E175FF"/>
    <w:rsid w:val="00E17ABD"/>
    <w:rsid w:val="00E230A1"/>
    <w:rsid w:val="00E24927"/>
    <w:rsid w:val="00E24D2F"/>
    <w:rsid w:val="00E265B2"/>
    <w:rsid w:val="00E26A43"/>
    <w:rsid w:val="00E27372"/>
    <w:rsid w:val="00E302D8"/>
    <w:rsid w:val="00E31D61"/>
    <w:rsid w:val="00E326CC"/>
    <w:rsid w:val="00E3304E"/>
    <w:rsid w:val="00E3316B"/>
    <w:rsid w:val="00E3358B"/>
    <w:rsid w:val="00E34796"/>
    <w:rsid w:val="00E3550D"/>
    <w:rsid w:val="00E368F6"/>
    <w:rsid w:val="00E37C9B"/>
    <w:rsid w:val="00E41833"/>
    <w:rsid w:val="00E41C4B"/>
    <w:rsid w:val="00E43CED"/>
    <w:rsid w:val="00E4472B"/>
    <w:rsid w:val="00E452AC"/>
    <w:rsid w:val="00E45CD4"/>
    <w:rsid w:val="00E478EA"/>
    <w:rsid w:val="00E47912"/>
    <w:rsid w:val="00E5148A"/>
    <w:rsid w:val="00E536F3"/>
    <w:rsid w:val="00E53AD5"/>
    <w:rsid w:val="00E549CF"/>
    <w:rsid w:val="00E55501"/>
    <w:rsid w:val="00E56DC1"/>
    <w:rsid w:val="00E60AF8"/>
    <w:rsid w:val="00E63266"/>
    <w:rsid w:val="00E63FF0"/>
    <w:rsid w:val="00E640D0"/>
    <w:rsid w:val="00E64789"/>
    <w:rsid w:val="00E64E58"/>
    <w:rsid w:val="00E65197"/>
    <w:rsid w:val="00E65F59"/>
    <w:rsid w:val="00E674B0"/>
    <w:rsid w:val="00E67B0E"/>
    <w:rsid w:val="00E70A8E"/>
    <w:rsid w:val="00E72A25"/>
    <w:rsid w:val="00E72C85"/>
    <w:rsid w:val="00E738CE"/>
    <w:rsid w:val="00E743E6"/>
    <w:rsid w:val="00E75DD7"/>
    <w:rsid w:val="00E77098"/>
    <w:rsid w:val="00E7752F"/>
    <w:rsid w:val="00E778A9"/>
    <w:rsid w:val="00E81C29"/>
    <w:rsid w:val="00E81FF8"/>
    <w:rsid w:val="00E82FEA"/>
    <w:rsid w:val="00E8709F"/>
    <w:rsid w:val="00E879C6"/>
    <w:rsid w:val="00E9080A"/>
    <w:rsid w:val="00E91DF8"/>
    <w:rsid w:val="00E9218D"/>
    <w:rsid w:val="00E9560D"/>
    <w:rsid w:val="00E97C70"/>
    <w:rsid w:val="00EA1555"/>
    <w:rsid w:val="00EA1E53"/>
    <w:rsid w:val="00EA72CA"/>
    <w:rsid w:val="00EB26FD"/>
    <w:rsid w:val="00EB4992"/>
    <w:rsid w:val="00EB5660"/>
    <w:rsid w:val="00EB5F35"/>
    <w:rsid w:val="00EC071E"/>
    <w:rsid w:val="00EC1C57"/>
    <w:rsid w:val="00EC53E9"/>
    <w:rsid w:val="00EC6596"/>
    <w:rsid w:val="00EC7E4E"/>
    <w:rsid w:val="00ED0641"/>
    <w:rsid w:val="00ED075D"/>
    <w:rsid w:val="00ED2F81"/>
    <w:rsid w:val="00ED3E47"/>
    <w:rsid w:val="00ED4445"/>
    <w:rsid w:val="00ED60AF"/>
    <w:rsid w:val="00ED6A19"/>
    <w:rsid w:val="00ED6A2C"/>
    <w:rsid w:val="00ED75EB"/>
    <w:rsid w:val="00EE0F69"/>
    <w:rsid w:val="00EE3AD8"/>
    <w:rsid w:val="00EE3CD0"/>
    <w:rsid w:val="00EE3D6C"/>
    <w:rsid w:val="00EE4BC6"/>
    <w:rsid w:val="00EE6B8D"/>
    <w:rsid w:val="00EF1188"/>
    <w:rsid w:val="00EF1E3E"/>
    <w:rsid w:val="00EF3F25"/>
    <w:rsid w:val="00EF5412"/>
    <w:rsid w:val="00EF58A7"/>
    <w:rsid w:val="00EF6427"/>
    <w:rsid w:val="00EF6D03"/>
    <w:rsid w:val="00F00C0E"/>
    <w:rsid w:val="00F01656"/>
    <w:rsid w:val="00F01A69"/>
    <w:rsid w:val="00F0217E"/>
    <w:rsid w:val="00F03853"/>
    <w:rsid w:val="00F04FE9"/>
    <w:rsid w:val="00F05413"/>
    <w:rsid w:val="00F07E10"/>
    <w:rsid w:val="00F106FA"/>
    <w:rsid w:val="00F12DFA"/>
    <w:rsid w:val="00F133CC"/>
    <w:rsid w:val="00F13EB1"/>
    <w:rsid w:val="00F14444"/>
    <w:rsid w:val="00F175BA"/>
    <w:rsid w:val="00F17D48"/>
    <w:rsid w:val="00F2267D"/>
    <w:rsid w:val="00F228BB"/>
    <w:rsid w:val="00F22C8B"/>
    <w:rsid w:val="00F232DA"/>
    <w:rsid w:val="00F242BC"/>
    <w:rsid w:val="00F246D4"/>
    <w:rsid w:val="00F269BE"/>
    <w:rsid w:val="00F27553"/>
    <w:rsid w:val="00F30F56"/>
    <w:rsid w:val="00F3406A"/>
    <w:rsid w:val="00F36840"/>
    <w:rsid w:val="00F37099"/>
    <w:rsid w:val="00F40BEE"/>
    <w:rsid w:val="00F44ACF"/>
    <w:rsid w:val="00F45ED1"/>
    <w:rsid w:val="00F4725A"/>
    <w:rsid w:val="00F506DA"/>
    <w:rsid w:val="00F5251A"/>
    <w:rsid w:val="00F53192"/>
    <w:rsid w:val="00F543E2"/>
    <w:rsid w:val="00F6234A"/>
    <w:rsid w:val="00F62B2D"/>
    <w:rsid w:val="00F661BD"/>
    <w:rsid w:val="00F67104"/>
    <w:rsid w:val="00F6772C"/>
    <w:rsid w:val="00F67937"/>
    <w:rsid w:val="00F67FF8"/>
    <w:rsid w:val="00F709AB"/>
    <w:rsid w:val="00F72477"/>
    <w:rsid w:val="00F748AD"/>
    <w:rsid w:val="00F76311"/>
    <w:rsid w:val="00F801F8"/>
    <w:rsid w:val="00F813EB"/>
    <w:rsid w:val="00F81518"/>
    <w:rsid w:val="00F819F5"/>
    <w:rsid w:val="00F82467"/>
    <w:rsid w:val="00F82BCF"/>
    <w:rsid w:val="00F82E0A"/>
    <w:rsid w:val="00F83499"/>
    <w:rsid w:val="00F84E70"/>
    <w:rsid w:val="00F86575"/>
    <w:rsid w:val="00F86C0E"/>
    <w:rsid w:val="00F86DD1"/>
    <w:rsid w:val="00F877F0"/>
    <w:rsid w:val="00F91641"/>
    <w:rsid w:val="00F92CBE"/>
    <w:rsid w:val="00F9574D"/>
    <w:rsid w:val="00F96A15"/>
    <w:rsid w:val="00FA2D4D"/>
    <w:rsid w:val="00FA4929"/>
    <w:rsid w:val="00FA5E75"/>
    <w:rsid w:val="00FA5E89"/>
    <w:rsid w:val="00FB03B4"/>
    <w:rsid w:val="00FB17B6"/>
    <w:rsid w:val="00FB2FCC"/>
    <w:rsid w:val="00FB3DDC"/>
    <w:rsid w:val="00FB524B"/>
    <w:rsid w:val="00FB6404"/>
    <w:rsid w:val="00FB65D0"/>
    <w:rsid w:val="00FB76DE"/>
    <w:rsid w:val="00FC032D"/>
    <w:rsid w:val="00FC0CFB"/>
    <w:rsid w:val="00FC0DBD"/>
    <w:rsid w:val="00FC1CFD"/>
    <w:rsid w:val="00FC252F"/>
    <w:rsid w:val="00FC29FE"/>
    <w:rsid w:val="00FC3F10"/>
    <w:rsid w:val="00FC5975"/>
    <w:rsid w:val="00FC64A0"/>
    <w:rsid w:val="00FC653F"/>
    <w:rsid w:val="00FD0268"/>
    <w:rsid w:val="00FD430E"/>
    <w:rsid w:val="00FD43D1"/>
    <w:rsid w:val="00FD59B6"/>
    <w:rsid w:val="00FD629B"/>
    <w:rsid w:val="00FD6BB1"/>
    <w:rsid w:val="00FD7421"/>
    <w:rsid w:val="00FE0E75"/>
    <w:rsid w:val="00FE0F1F"/>
    <w:rsid w:val="00FE1F04"/>
    <w:rsid w:val="00FE473F"/>
    <w:rsid w:val="00FE51EC"/>
    <w:rsid w:val="00FF1243"/>
    <w:rsid w:val="00FF22E6"/>
    <w:rsid w:val="00FF3D26"/>
    <w:rsid w:val="00FF56EE"/>
    <w:rsid w:val="00FF6AA8"/>
    <w:rsid w:val="00FF7A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74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F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1F3B"/>
    <w:rPr>
      <w:rFonts w:ascii="Lucida Grande" w:hAnsi="Lucida Grande" w:cs="Lucida Grande"/>
      <w:sz w:val="18"/>
      <w:szCs w:val="18"/>
      <w:lang w:val="en-GB"/>
    </w:rPr>
  </w:style>
  <w:style w:type="paragraph" w:styleId="Header">
    <w:name w:val="header"/>
    <w:basedOn w:val="Normal"/>
    <w:link w:val="HeaderChar"/>
    <w:uiPriority w:val="99"/>
    <w:unhideWhenUsed/>
    <w:rsid w:val="00DA25D4"/>
    <w:pPr>
      <w:tabs>
        <w:tab w:val="center" w:pos="4536"/>
        <w:tab w:val="right" w:pos="9072"/>
      </w:tabs>
    </w:pPr>
    <w:rPr>
      <w:rFonts w:ascii="Calibri" w:eastAsia="Calibri" w:hAnsi="Calibri" w:cs="Calibri"/>
      <w:color w:val="000000"/>
      <w:sz w:val="22"/>
      <w:szCs w:val="22"/>
      <w:lang w:val="cs-CZ" w:eastAsia="cs-CZ"/>
    </w:rPr>
  </w:style>
  <w:style w:type="character" w:customStyle="1" w:styleId="HeaderChar">
    <w:name w:val="Header Char"/>
    <w:basedOn w:val="DefaultParagraphFont"/>
    <w:link w:val="Header"/>
    <w:uiPriority w:val="99"/>
    <w:rsid w:val="00DA25D4"/>
    <w:rPr>
      <w:rFonts w:ascii="Calibri" w:eastAsia="Calibri" w:hAnsi="Calibri" w:cs="Calibri"/>
      <w:color w:val="000000"/>
      <w:sz w:val="22"/>
      <w:szCs w:val="22"/>
      <w:lang w:val="cs-CZ" w:eastAsia="cs-CZ"/>
    </w:rPr>
  </w:style>
  <w:style w:type="character" w:styleId="CommentReference">
    <w:name w:val="annotation reference"/>
    <w:basedOn w:val="DefaultParagraphFont"/>
    <w:uiPriority w:val="99"/>
    <w:semiHidden/>
    <w:unhideWhenUsed/>
    <w:rsid w:val="001256EF"/>
    <w:rPr>
      <w:sz w:val="18"/>
      <w:szCs w:val="18"/>
    </w:rPr>
  </w:style>
  <w:style w:type="paragraph" w:styleId="CommentText">
    <w:name w:val="annotation text"/>
    <w:basedOn w:val="Normal"/>
    <w:link w:val="CommentTextChar"/>
    <w:uiPriority w:val="99"/>
    <w:unhideWhenUsed/>
    <w:rsid w:val="001256EF"/>
  </w:style>
  <w:style w:type="character" w:customStyle="1" w:styleId="CommentTextChar">
    <w:name w:val="Comment Text Char"/>
    <w:basedOn w:val="DefaultParagraphFont"/>
    <w:link w:val="CommentText"/>
    <w:uiPriority w:val="99"/>
    <w:rsid w:val="001256EF"/>
    <w:rPr>
      <w:lang w:val="en-GB"/>
    </w:rPr>
  </w:style>
  <w:style w:type="paragraph" w:styleId="CommentSubject">
    <w:name w:val="annotation subject"/>
    <w:basedOn w:val="CommentText"/>
    <w:next w:val="CommentText"/>
    <w:link w:val="CommentSubjectChar"/>
    <w:uiPriority w:val="99"/>
    <w:semiHidden/>
    <w:unhideWhenUsed/>
    <w:rsid w:val="001256EF"/>
    <w:rPr>
      <w:b/>
      <w:bCs/>
      <w:sz w:val="20"/>
      <w:szCs w:val="20"/>
    </w:rPr>
  </w:style>
  <w:style w:type="character" w:customStyle="1" w:styleId="CommentSubjectChar">
    <w:name w:val="Comment Subject Char"/>
    <w:basedOn w:val="CommentTextChar"/>
    <w:link w:val="CommentSubject"/>
    <w:uiPriority w:val="99"/>
    <w:semiHidden/>
    <w:rsid w:val="001256EF"/>
    <w:rPr>
      <w:b/>
      <w:bCs/>
      <w:sz w:val="20"/>
      <w:szCs w:val="20"/>
      <w:lang w:val="en-GB"/>
    </w:rPr>
  </w:style>
  <w:style w:type="character" w:styleId="Hyperlink">
    <w:name w:val="Hyperlink"/>
    <w:basedOn w:val="DefaultParagraphFont"/>
    <w:uiPriority w:val="99"/>
    <w:unhideWhenUsed/>
    <w:rsid w:val="00C42EBA"/>
    <w:rPr>
      <w:color w:val="0000FF" w:themeColor="hyperlink"/>
      <w:u w:val="single"/>
    </w:rPr>
  </w:style>
  <w:style w:type="paragraph" w:styleId="Footer">
    <w:name w:val="footer"/>
    <w:basedOn w:val="Normal"/>
    <w:link w:val="FooterChar"/>
    <w:uiPriority w:val="99"/>
    <w:unhideWhenUsed/>
    <w:rsid w:val="00E34796"/>
    <w:pPr>
      <w:tabs>
        <w:tab w:val="center" w:pos="4513"/>
        <w:tab w:val="right" w:pos="9026"/>
      </w:tabs>
    </w:pPr>
  </w:style>
  <w:style w:type="character" w:customStyle="1" w:styleId="FooterChar">
    <w:name w:val="Footer Char"/>
    <w:basedOn w:val="DefaultParagraphFont"/>
    <w:link w:val="Footer"/>
    <w:uiPriority w:val="99"/>
    <w:rsid w:val="00E34796"/>
    <w:rPr>
      <w:lang w:val="en-GB"/>
    </w:rPr>
  </w:style>
  <w:style w:type="character" w:styleId="PageNumber">
    <w:name w:val="page number"/>
    <w:basedOn w:val="DefaultParagraphFont"/>
    <w:uiPriority w:val="99"/>
    <w:semiHidden/>
    <w:unhideWhenUsed/>
    <w:rsid w:val="00E34796"/>
  </w:style>
  <w:style w:type="character" w:customStyle="1" w:styleId="apple-converted-space">
    <w:name w:val="apple-converted-space"/>
    <w:basedOn w:val="DefaultParagraphFont"/>
    <w:rsid w:val="007F4BA2"/>
  </w:style>
  <w:style w:type="character" w:styleId="Emphasis">
    <w:name w:val="Emphasis"/>
    <w:basedOn w:val="DefaultParagraphFont"/>
    <w:uiPriority w:val="20"/>
    <w:qFormat/>
    <w:rsid w:val="00114266"/>
    <w:rPr>
      <w:i/>
      <w:iCs/>
    </w:rPr>
  </w:style>
  <w:style w:type="paragraph" w:customStyle="1" w:styleId="p1">
    <w:name w:val="p1"/>
    <w:basedOn w:val="Normal"/>
    <w:rsid w:val="002732AD"/>
    <w:rPr>
      <w:rFonts w:ascii="Helvetica" w:hAnsi="Helvetica" w:cs="Times New Roman"/>
      <w:color w:val="2F2A2B"/>
      <w:sz w:val="16"/>
      <w:szCs w:val="16"/>
      <w:lang w:eastAsia="en-GB"/>
    </w:rPr>
  </w:style>
  <w:style w:type="paragraph" w:customStyle="1" w:styleId="EndNoteBibliography">
    <w:name w:val="EndNote Bibliography"/>
    <w:basedOn w:val="Normal"/>
    <w:link w:val="EndNoteBibliographyChar"/>
    <w:rsid w:val="0025281B"/>
    <w:pPr>
      <w:spacing w:after="160"/>
      <w:jc w:val="both"/>
    </w:pPr>
    <w:rPr>
      <w:rFonts w:ascii="Cambria" w:eastAsiaTheme="minorHAnsi" w:hAnsi="Cambria"/>
      <w:noProof/>
      <w:szCs w:val="22"/>
      <w:lang w:val="en-US"/>
    </w:rPr>
  </w:style>
  <w:style w:type="character" w:customStyle="1" w:styleId="EndNoteBibliographyChar">
    <w:name w:val="EndNote Bibliography Char"/>
    <w:basedOn w:val="DefaultParagraphFont"/>
    <w:link w:val="EndNoteBibliography"/>
    <w:rsid w:val="0025281B"/>
    <w:rPr>
      <w:rFonts w:ascii="Cambria" w:eastAsiaTheme="minorHAnsi" w:hAnsi="Cambria"/>
      <w:noProof/>
      <w:szCs w:val="22"/>
      <w:lang w:val="en-US"/>
    </w:rPr>
  </w:style>
  <w:style w:type="character" w:styleId="FollowedHyperlink">
    <w:name w:val="FollowedHyperlink"/>
    <w:basedOn w:val="DefaultParagraphFont"/>
    <w:uiPriority w:val="99"/>
    <w:semiHidden/>
    <w:unhideWhenUsed/>
    <w:rsid w:val="005C13BD"/>
    <w:rPr>
      <w:color w:val="800080" w:themeColor="followedHyperlink"/>
      <w:u w:val="single"/>
    </w:rPr>
  </w:style>
  <w:style w:type="paragraph" w:styleId="NormalWeb">
    <w:name w:val="Normal (Web)"/>
    <w:basedOn w:val="Normal"/>
    <w:rsid w:val="0087312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C0052"/>
    <w:pPr>
      <w:spacing w:after="200" w:line="276" w:lineRule="auto"/>
      <w:ind w:left="720"/>
      <w:contextualSpacing/>
    </w:pPr>
    <w:rPr>
      <w:rFonts w:eastAsiaTheme="minorHAnsi"/>
      <w:sz w:val="22"/>
      <w:szCs w:val="22"/>
    </w:rPr>
  </w:style>
  <w:style w:type="table" w:styleId="TableGrid">
    <w:name w:val="Table Grid"/>
    <w:basedOn w:val="TableNormal"/>
    <w:uiPriority w:val="59"/>
    <w:rsid w:val="003C005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74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F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1F3B"/>
    <w:rPr>
      <w:rFonts w:ascii="Lucida Grande" w:hAnsi="Lucida Grande" w:cs="Lucida Grande"/>
      <w:sz w:val="18"/>
      <w:szCs w:val="18"/>
      <w:lang w:val="en-GB"/>
    </w:rPr>
  </w:style>
  <w:style w:type="paragraph" w:styleId="Header">
    <w:name w:val="header"/>
    <w:basedOn w:val="Normal"/>
    <w:link w:val="HeaderChar"/>
    <w:uiPriority w:val="99"/>
    <w:unhideWhenUsed/>
    <w:rsid w:val="00DA25D4"/>
    <w:pPr>
      <w:tabs>
        <w:tab w:val="center" w:pos="4536"/>
        <w:tab w:val="right" w:pos="9072"/>
      </w:tabs>
    </w:pPr>
    <w:rPr>
      <w:rFonts w:ascii="Calibri" w:eastAsia="Calibri" w:hAnsi="Calibri" w:cs="Calibri"/>
      <w:color w:val="000000"/>
      <w:sz w:val="22"/>
      <w:szCs w:val="22"/>
      <w:lang w:val="cs-CZ" w:eastAsia="cs-CZ"/>
    </w:rPr>
  </w:style>
  <w:style w:type="character" w:customStyle="1" w:styleId="HeaderChar">
    <w:name w:val="Header Char"/>
    <w:basedOn w:val="DefaultParagraphFont"/>
    <w:link w:val="Header"/>
    <w:uiPriority w:val="99"/>
    <w:rsid w:val="00DA25D4"/>
    <w:rPr>
      <w:rFonts w:ascii="Calibri" w:eastAsia="Calibri" w:hAnsi="Calibri" w:cs="Calibri"/>
      <w:color w:val="000000"/>
      <w:sz w:val="22"/>
      <w:szCs w:val="22"/>
      <w:lang w:val="cs-CZ" w:eastAsia="cs-CZ"/>
    </w:rPr>
  </w:style>
  <w:style w:type="character" w:styleId="CommentReference">
    <w:name w:val="annotation reference"/>
    <w:basedOn w:val="DefaultParagraphFont"/>
    <w:uiPriority w:val="99"/>
    <w:semiHidden/>
    <w:unhideWhenUsed/>
    <w:rsid w:val="001256EF"/>
    <w:rPr>
      <w:sz w:val="18"/>
      <w:szCs w:val="18"/>
    </w:rPr>
  </w:style>
  <w:style w:type="paragraph" w:styleId="CommentText">
    <w:name w:val="annotation text"/>
    <w:basedOn w:val="Normal"/>
    <w:link w:val="CommentTextChar"/>
    <w:uiPriority w:val="99"/>
    <w:unhideWhenUsed/>
    <w:rsid w:val="001256EF"/>
  </w:style>
  <w:style w:type="character" w:customStyle="1" w:styleId="CommentTextChar">
    <w:name w:val="Comment Text Char"/>
    <w:basedOn w:val="DefaultParagraphFont"/>
    <w:link w:val="CommentText"/>
    <w:uiPriority w:val="99"/>
    <w:rsid w:val="001256EF"/>
    <w:rPr>
      <w:lang w:val="en-GB"/>
    </w:rPr>
  </w:style>
  <w:style w:type="paragraph" w:styleId="CommentSubject">
    <w:name w:val="annotation subject"/>
    <w:basedOn w:val="CommentText"/>
    <w:next w:val="CommentText"/>
    <w:link w:val="CommentSubjectChar"/>
    <w:uiPriority w:val="99"/>
    <w:semiHidden/>
    <w:unhideWhenUsed/>
    <w:rsid w:val="001256EF"/>
    <w:rPr>
      <w:b/>
      <w:bCs/>
      <w:sz w:val="20"/>
      <w:szCs w:val="20"/>
    </w:rPr>
  </w:style>
  <w:style w:type="character" w:customStyle="1" w:styleId="CommentSubjectChar">
    <w:name w:val="Comment Subject Char"/>
    <w:basedOn w:val="CommentTextChar"/>
    <w:link w:val="CommentSubject"/>
    <w:uiPriority w:val="99"/>
    <w:semiHidden/>
    <w:rsid w:val="001256EF"/>
    <w:rPr>
      <w:b/>
      <w:bCs/>
      <w:sz w:val="20"/>
      <w:szCs w:val="20"/>
      <w:lang w:val="en-GB"/>
    </w:rPr>
  </w:style>
  <w:style w:type="character" w:styleId="Hyperlink">
    <w:name w:val="Hyperlink"/>
    <w:basedOn w:val="DefaultParagraphFont"/>
    <w:uiPriority w:val="99"/>
    <w:unhideWhenUsed/>
    <w:rsid w:val="00C42EBA"/>
    <w:rPr>
      <w:color w:val="0000FF" w:themeColor="hyperlink"/>
      <w:u w:val="single"/>
    </w:rPr>
  </w:style>
  <w:style w:type="paragraph" w:styleId="Footer">
    <w:name w:val="footer"/>
    <w:basedOn w:val="Normal"/>
    <w:link w:val="FooterChar"/>
    <w:uiPriority w:val="99"/>
    <w:unhideWhenUsed/>
    <w:rsid w:val="00E34796"/>
    <w:pPr>
      <w:tabs>
        <w:tab w:val="center" w:pos="4513"/>
        <w:tab w:val="right" w:pos="9026"/>
      </w:tabs>
    </w:pPr>
  </w:style>
  <w:style w:type="character" w:customStyle="1" w:styleId="FooterChar">
    <w:name w:val="Footer Char"/>
    <w:basedOn w:val="DefaultParagraphFont"/>
    <w:link w:val="Footer"/>
    <w:uiPriority w:val="99"/>
    <w:rsid w:val="00E34796"/>
    <w:rPr>
      <w:lang w:val="en-GB"/>
    </w:rPr>
  </w:style>
  <w:style w:type="character" w:styleId="PageNumber">
    <w:name w:val="page number"/>
    <w:basedOn w:val="DefaultParagraphFont"/>
    <w:uiPriority w:val="99"/>
    <w:semiHidden/>
    <w:unhideWhenUsed/>
    <w:rsid w:val="00E34796"/>
  </w:style>
  <w:style w:type="character" w:customStyle="1" w:styleId="apple-converted-space">
    <w:name w:val="apple-converted-space"/>
    <w:basedOn w:val="DefaultParagraphFont"/>
    <w:rsid w:val="007F4BA2"/>
  </w:style>
  <w:style w:type="character" w:styleId="Emphasis">
    <w:name w:val="Emphasis"/>
    <w:basedOn w:val="DefaultParagraphFont"/>
    <w:uiPriority w:val="20"/>
    <w:qFormat/>
    <w:rsid w:val="00114266"/>
    <w:rPr>
      <w:i/>
      <w:iCs/>
    </w:rPr>
  </w:style>
  <w:style w:type="paragraph" w:customStyle="1" w:styleId="p1">
    <w:name w:val="p1"/>
    <w:basedOn w:val="Normal"/>
    <w:rsid w:val="002732AD"/>
    <w:rPr>
      <w:rFonts w:ascii="Helvetica" w:hAnsi="Helvetica" w:cs="Times New Roman"/>
      <w:color w:val="2F2A2B"/>
      <w:sz w:val="16"/>
      <w:szCs w:val="16"/>
      <w:lang w:eastAsia="en-GB"/>
    </w:rPr>
  </w:style>
  <w:style w:type="paragraph" w:customStyle="1" w:styleId="EndNoteBibliography">
    <w:name w:val="EndNote Bibliography"/>
    <w:basedOn w:val="Normal"/>
    <w:link w:val="EndNoteBibliographyChar"/>
    <w:rsid w:val="0025281B"/>
    <w:pPr>
      <w:spacing w:after="160"/>
      <w:jc w:val="both"/>
    </w:pPr>
    <w:rPr>
      <w:rFonts w:ascii="Cambria" w:eastAsiaTheme="minorHAnsi" w:hAnsi="Cambria"/>
      <w:noProof/>
      <w:szCs w:val="22"/>
      <w:lang w:val="en-US"/>
    </w:rPr>
  </w:style>
  <w:style w:type="character" w:customStyle="1" w:styleId="EndNoteBibliographyChar">
    <w:name w:val="EndNote Bibliography Char"/>
    <w:basedOn w:val="DefaultParagraphFont"/>
    <w:link w:val="EndNoteBibliography"/>
    <w:rsid w:val="0025281B"/>
    <w:rPr>
      <w:rFonts w:ascii="Cambria" w:eastAsiaTheme="minorHAnsi" w:hAnsi="Cambria"/>
      <w:noProof/>
      <w:szCs w:val="22"/>
      <w:lang w:val="en-US"/>
    </w:rPr>
  </w:style>
  <w:style w:type="character" w:styleId="FollowedHyperlink">
    <w:name w:val="FollowedHyperlink"/>
    <w:basedOn w:val="DefaultParagraphFont"/>
    <w:uiPriority w:val="99"/>
    <w:semiHidden/>
    <w:unhideWhenUsed/>
    <w:rsid w:val="005C13BD"/>
    <w:rPr>
      <w:color w:val="800080" w:themeColor="followedHyperlink"/>
      <w:u w:val="single"/>
    </w:rPr>
  </w:style>
  <w:style w:type="paragraph" w:styleId="NormalWeb">
    <w:name w:val="Normal (Web)"/>
    <w:basedOn w:val="Normal"/>
    <w:rsid w:val="0087312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C0052"/>
    <w:pPr>
      <w:spacing w:after="200" w:line="276" w:lineRule="auto"/>
      <w:ind w:left="720"/>
      <w:contextualSpacing/>
    </w:pPr>
    <w:rPr>
      <w:rFonts w:eastAsiaTheme="minorHAnsi"/>
      <w:sz w:val="22"/>
      <w:szCs w:val="22"/>
    </w:rPr>
  </w:style>
  <w:style w:type="table" w:styleId="TableGrid">
    <w:name w:val="Table Grid"/>
    <w:basedOn w:val="TableNormal"/>
    <w:uiPriority w:val="59"/>
    <w:rsid w:val="003C005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826">
      <w:bodyDiv w:val="1"/>
      <w:marLeft w:val="0"/>
      <w:marRight w:val="0"/>
      <w:marTop w:val="0"/>
      <w:marBottom w:val="0"/>
      <w:divBdr>
        <w:top w:val="none" w:sz="0" w:space="0" w:color="auto"/>
        <w:left w:val="none" w:sz="0" w:space="0" w:color="auto"/>
        <w:bottom w:val="none" w:sz="0" w:space="0" w:color="auto"/>
        <w:right w:val="none" w:sz="0" w:space="0" w:color="auto"/>
      </w:divBdr>
    </w:div>
    <w:div w:id="35545643">
      <w:bodyDiv w:val="1"/>
      <w:marLeft w:val="0"/>
      <w:marRight w:val="0"/>
      <w:marTop w:val="0"/>
      <w:marBottom w:val="0"/>
      <w:divBdr>
        <w:top w:val="none" w:sz="0" w:space="0" w:color="auto"/>
        <w:left w:val="none" w:sz="0" w:space="0" w:color="auto"/>
        <w:bottom w:val="none" w:sz="0" w:space="0" w:color="auto"/>
        <w:right w:val="none" w:sz="0" w:space="0" w:color="auto"/>
      </w:divBdr>
    </w:div>
    <w:div w:id="35668223">
      <w:bodyDiv w:val="1"/>
      <w:marLeft w:val="0"/>
      <w:marRight w:val="0"/>
      <w:marTop w:val="0"/>
      <w:marBottom w:val="0"/>
      <w:divBdr>
        <w:top w:val="none" w:sz="0" w:space="0" w:color="auto"/>
        <w:left w:val="none" w:sz="0" w:space="0" w:color="auto"/>
        <w:bottom w:val="none" w:sz="0" w:space="0" w:color="auto"/>
        <w:right w:val="none" w:sz="0" w:space="0" w:color="auto"/>
      </w:divBdr>
    </w:div>
    <w:div w:id="96145272">
      <w:bodyDiv w:val="1"/>
      <w:marLeft w:val="0"/>
      <w:marRight w:val="0"/>
      <w:marTop w:val="0"/>
      <w:marBottom w:val="0"/>
      <w:divBdr>
        <w:top w:val="none" w:sz="0" w:space="0" w:color="auto"/>
        <w:left w:val="none" w:sz="0" w:space="0" w:color="auto"/>
        <w:bottom w:val="none" w:sz="0" w:space="0" w:color="auto"/>
        <w:right w:val="none" w:sz="0" w:space="0" w:color="auto"/>
      </w:divBdr>
    </w:div>
    <w:div w:id="105345700">
      <w:bodyDiv w:val="1"/>
      <w:marLeft w:val="0"/>
      <w:marRight w:val="0"/>
      <w:marTop w:val="0"/>
      <w:marBottom w:val="0"/>
      <w:divBdr>
        <w:top w:val="none" w:sz="0" w:space="0" w:color="auto"/>
        <w:left w:val="none" w:sz="0" w:space="0" w:color="auto"/>
        <w:bottom w:val="none" w:sz="0" w:space="0" w:color="auto"/>
        <w:right w:val="none" w:sz="0" w:space="0" w:color="auto"/>
      </w:divBdr>
    </w:div>
    <w:div w:id="111487431">
      <w:bodyDiv w:val="1"/>
      <w:marLeft w:val="0"/>
      <w:marRight w:val="0"/>
      <w:marTop w:val="0"/>
      <w:marBottom w:val="0"/>
      <w:divBdr>
        <w:top w:val="none" w:sz="0" w:space="0" w:color="auto"/>
        <w:left w:val="none" w:sz="0" w:space="0" w:color="auto"/>
        <w:bottom w:val="none" w:sz="0" w:space="0" w:color="auto"/>
        <w:right w:val="none" w:sz="0" w:space="0" w:color="auto"/>
      </w:divBdr>
    </w:div>
    <w:div w:id="164054987">
      <w:bodyDiv w:val="1"/>
      <w:marLeft w:val="0"/>
      <w:marRight w:val="0"/>
      <w:marTop w:val="0"/>
      <w:marBottom w:val="0"/>
      <w:divBdr>
        <w:top w:val="none" w:sz="0" w:space="0" w:color="auto"/>
        <w:left w:val="none" w:sz="0" w:space="0" w:color="auto"/>
        <w:bottom w:val="none" w:sz="0" w:space="0" w:color="auto"/>
        <w:right w:val="none" w:sz="0" w:space="0" w:color="auto"/>
      </w:divBdr>
    </w:div>
    <w:div w:id="184559633">
      <w:bodyDiv w:val="1"/>
      <w:marLeft w:val="0"/>
      <w:marRight w:val="0"/>
      <w:marTop w:val="0"/>
      <w:marBottom w:val="0"/>
      <w:divBdr>
        <w:top w:val="none" w:sz="0" w:space="0" w:color="auto"/>
        <w:left w:val="none" w:sz="0" w:space="0" w:color="auto"/>
        <w:bottom w:val="none" w:sz="0" w:space="0" w:color="auto"/>
        <w:right w:val="none" w:sz="0" w:space="0" w:color="auto"/>
      </w:divBdr>
    </w:div>
    <w:div w:id="200019358">
      <w:bodyDiv w:val="1"/>
      <w:marLeft w:val="0"/>
      <w:marRight w:val="0"/>
      <w:marTop w:val="0"/>
      <w:marBottom w:val="0"/>
      <w:divBdr>
        <w:top w:val="none" w:sz="0" w:space="0" w:color="auto"/>
        <w:left w:val="none" w:sz="0" w:space="0" w:color="auto"/>
        <w:bottom w:val="none" w:sz="0" w:space="0" w:color="auto"/>
        <w:right w:val="none" w:sz="0" w:space="0" w:color="auto"/>
      </w:divBdr>
    </w:div>
    <w:div w:id="202013466">
      <w:bodyDiv w:val="1"/>
      <w:marLeft w:val="0"/>
      <w:marRight w:val="0"/>
      <w:marTop w:val="0"/>
      <w:marBottom w:val="0"/>
      <w:divBdr>
        <w:top w:val="none" w:sz="0" w:space="0" w:color="auto"/>
        <w:left w:val="none" w:sz="0" w:space="0" w:color="auto"/>
        <w:bottom w:val="none" w:sz="0" w:space="0" w:color="auto"/>
        <w:right w:val="none" w:sz="0" w:space="0" w:color="auto"/>
      </w:divBdr>
    </w:div>
    <w:div w:id="222328599">
      <w:bodyDiv w:val="1"/>
      <w:marLeft w:val="0"/>
      <w:marRight w:val="0"/>
      <w:marTop w:val="0"/>
      <w:marBottom w:val="0"/>
      <w:divBdr>
        <w:top w:val="none" w:sz="0" w:space="0" w:color="auto"/>
        <w:left w:val="none" w:sz="0" w:space="0" w:color="auto"/>
        <w:bottom w:val="none" w:sz="0" w:space="0" w:color="auto"/>
        <w:right w:val="none" w:sz="0" w:space="0" w:color="auto"/>
      </w:divBdr>
    </w:div>
    <w:div w:id="226427200">
      <w:bodyDiv w:val="1"/>
      <w:marLeft w:val="0"/>
      <w:marRight w:val="0"/>
      <w:marTop w:val="0"/>
      <w:marBottom w:val="0"/>
      <w:divBdr>
        <w:top w:val="none" w:sz="0" w:space="0" w:color="auto"/>
        <w:left w:val="none" w:sz="0" w:space="0" w:color="auto"/>
        <w:bottom w:val="none" w:sz="0" w:space="0" w:color="auto"/>
        <w:right w:val="none" w:sz="0" w:space="0" w:color="auto"/>
      </w:divBdr>
    </w:div>
    <w:div w:id="242571887">
      <w:bodyDiv w:val="1"/>
      <w:marLeft w:val="0"/>
      <w:marRight w:val="0"/>
      <w:marTop w:val="0"/>
      <w:marBottom w:val="0"/>
      <w:divBdr>
        <w:top w:val="none" w:sz="0" w:space="0" w:color="auto"/>
        <w:left w:val="none" w:sz="0" w:space="0" w:color="auto"/>
        <w:bottom w:val="none" w:sz="0" w:space="0" w:color="auto"/>
        <w:right w:val="none" w:sz="0" w:space="0" w:color="auto"/>
      </w:divBdr>
    </w:div>
    <w:div w:id="244000906">
      <w:bodyDiv w:val="1"/>
      <w:marLeft w:val="0"/>
      <w:marRight w:val="0"/>
      <w:marTop w:val="0"/>
      <w:marBottom w:val="0"/>
      <w:divBdr>
        <w:top w:val="none" w:sz="0" w:space="0" w:color="auto"/>
        <w:left w:val="none" w:sz="0" w:space="0" w:color="auto"/>
        <w:bottom w:val="none" w:sz="0" w:space="0" w:color="auto"/>
        <w:right w:val="none" w:sz="0" w:space="0" w:color="auto"/>
      </w:divBdr>
    </w:div>
    <w:div w:id="254945136">
      <w:bodyDiv w:val="1"/>
      <w:marLeft w:val="0"/>
      <w:marRight w:val="0"/>
      <w:marTop w:val="0"/>
      <w:marBottom w:val="0"/>
      <w:divBdr>
        <w:top w:val="none" w:sz="0" w:space="0" w:color="auto"/>
        <w:left w:val="none" w:sz="0" w:space="0" w:color="auto"/>
        <w:bottom w:val="none" w:sz="0" w:space="0" w:color="auto"/>
        <w:right w:val="none" w:sz="0" w:space="0" w:color="auto"/>
      </w:divBdr>
    </w:div>
    <w:div w:id="303200938">
      <w:bodyDiv w:val="1"/>
      <w:marLeft w:val="0"/>
      <w:marRight w:val="0"/>
      <w:marTop w:val="0"/>
      <w:marBottom w:val="0"/>
      <w:divBdr>
        <w:top w:val="none" w:sz="0" w:space="0" w:color="auto"/>
        <w:left w:val="none" w:sz="0" w:space="0" w:color="auto"/>
        <w:bottom w:val="none" w:sz="0" w:space="0" w:color="auto"/>
        <w:right w:val="none" w:sz="0" w:space="0" w:color="auto"/>
      </w:divBdr>
    </w:div>
    <w:div w:id="335571691">
      <w:bodyDiv w:val="1"/>
      <w:marLeft w:val="0"/>
      <w:marRight w:val="0"/>
      <w:marTop w:val="0"/>
      <w:marBottom w:val="0"/>
      <w:divBdr>
        <w:top w:val="none" w:sz="0" w:space="0" w:color="auto"/>
        <w:left w:val="none" w:sz="0" w:space="0" w:color="auto"/>
        <w:bottom w:val="none" w:sz="0" w:space="0" w:color="auto"/>
        <w:right w:val="none" w:sz="0" w:space="0" w:color="auto"/>
      </w:divBdr>
    </w:div>
    <w:div w:id="342561543">
      <w:bodyDiv w:val="1"/>
      <w:marLeft w:val="0"/>
      <w:marRight w:val="0"/>
      <w:marTop w:val="0"/>
      <w:marBottom w:val="0"/>
      <w:divBdr>
        <w:top w:val="none" w:sz="0" w:space="0" w:color="auto"/>
        <w:left w:val="none" w:sz="0" w:space="0" w:color="auto"/>
        <w:bottom w:val="none" w:sz="0" w:space="0" w:color="auto"/>
        <w:right w:val="none" w:sz="0" w:space="0" w:color="auto"/>
      </w:divBdr>
    </w:div>
    <w:div w:id="344862455">
      <w:bodyDiv w:val="1"/>
      <w:marLeft w:val="0"/>
      <w:marRight w:val="0"/>
      <w:marTop w:val="0"/>
      <w:marBottom w:val="0"/>
      <w:divBdr>
        <w:top w:val="none" w:sz="0" w:space="0" w:color="auto"/>
        <w:left w:val="none" w:sz="0" w:space="0" w:color="auto"/>
        <w:bottom w:val="none" w:sz="0" w:space="0" w:color="auto"/>
        <w:right w:val="none" w:sz="0" w:space="0" w:color="auto"/>
      </w:divBdr>
    </w:div>
    <w:div w:id="379014466">
      <w:bodyDiv w:val="1"/>
      <w:marLeft w:val="0"/>
      <w:marRight w:val="0"/>
      <w:marTop w:val="0"/>
      <w:marBottom w:val="0"/>
      <w:divBdr>
        <w:top w:val="none" w:sz="0" w:space="0" w:color="auto"/>
        <w:left w:val="none" w:sz="0" w:space="0" w:color="auto"/>
        <w:bottom w:val="none" w:sz="0" w:space="0" w:color="auto"/>
        <w:right w:val="none" w:sz="0" w:space="0" w:color="auto"/>
      </w:divBdr>
    </w:div>
    <w:div w:id="386801285">
      <w:bodyDiv w:val="1"/>
      <w:marLeft w:val="0"/>
      <w:marRight w:val="0"/>
      <w:marTop w:val="0"/>
      <w:marBottom w:val="0"/>
      <w:divBdr>
        <w:top w:val="none" w:sz="0" w:space="0" w:color="auto"/>
        <w:left w:val="none" w:sz="0" w:space="0" w:color="auto"/>
        <w:bottom w:val="none" w:sz="0" w:space="0" w:color="auto"/>
        <w:right w:val="none" w:sz="0" w:space="0" w:color="auto"/>
      </w:divBdr>
    </w:div>
    <w:div w:id="408582228">
      <w:bodyDiv w:val="1"/>
      <w:marLeft w:val="0"/>
      <w:marRight w:val="0"/>
      <w:marTop w:val="0"/>
      <w:marBottom w:val="0"/>
      <w:divBdr>
        <w:top w:val="none" w:sz="0" w:space="0" w:color="auto"/>
        <w:left w:val="none" w:sz="0" w:space="0" w:color="auto"/>
        <w:bottom w:val="none" w:sz="0" w:space="0" w:color="auto"/>
        <w:right w:val="none" w:sz="0" w:space="0" w:color="auto"/>
      </w:divBdr>
    </w:div>
    <w:div w:id="422848515">
      <w:bodyDiv w:val="1"/>
      <w:marLeft w:val="0"/>
      <w:marRight w:val="0"/>
      <w:marTop w:val="0"/>
      <w:marBottom w:val="0"/>
      <w:divBdr>
        <w:top w:val="none" w:sz="0" w:space="0" w:color="auto"/>
        <w:left w:val="none" w:sz="0" w:space="0" w:color="auto"/>
        <w:bottom w:val="none" w:sz="0" w:space="0" w:color="auto"/>
        <w:right w:val="none" w:sz="0" w:space="0" w:color="auto"/>
      </w:divBdr>
    </w:div>
    <w:div w:id="437524739">
      <w:bodyDiv w:val="1"/>
      <w:marLeft w:val="0"/>
      <w:marRight w:val="0"/>
      <w:marTop w:val="0"/>
      <w:marBottom w:val="0"/>
      <w:divBdr>
        <w:top w:val="none" w:sz="0" w:space="0" w:color="auto"/>
        <w:left w:val="none" w:sz="0" w:space="0" w:color="auto"/>
        <w:bottom w:val="none" w:sz="0" w:space="0" w:color="auto"/>
        <w:right w:val="none" w:sz="0" w:space="0" w:color="auto"/>
      </w:divBdr>
    </w:div>
    <w:div w:id="454104443">
      <w:bodyDiv w:val="1"/>
      <w:marLeft w:val="0"/>
      <w:marRight w:val="0"/>
      <w:marTop w:val="0"/>
      <w:marBottom w:val="0"/>
      <w:divBdr>
        <w:top w:val="none" w:sz="0" w:space="0" w:color="auto"/>
        <w:left w:val="none" w:sz="0" w:space="0" w:color="auto"/>
        <w:bottom w:val="none" w:sz="0" w:space="0" w:color="auto"/>
        <w:right w:val="none" w:sz="0" w:space="0" w:color="auto"/>
      </w:divBdr>
    </w:div>
    <w:div w:id="461775278">
      <w:bodyDiv w:val="1"/>
      <w:marLeft w:val="0"/>
      <w:marRight w:val="0"/>
      <w:marTop w:val="0"/>
      <w:marBottom w:val="0"/>
      <w:divBdr>
        <w:top w:val="none" w:sz="0" w:space="0" w:color="auto"/>
        <w:left w:val="none" w:sz="0" w:space="0" w:color="auto"/>
        <w:bottom w:val="none" w:sz="0" w:space="0" w:color="auto"/>
        <w:right w:val="none" w:sz="0" w:space="0" w:color="auto"/>
      </w:divBdr>
    </w:div>
    <w:div w:id="473914601">
      <w:bodyDiv w:val="1"/>
      <w:marLeft w:val="0"/>
      <w:marRight w:val="0"/>
      <w:marTop w:val="0"/>
      <w:marBottom w:val="0"/>
      <w:divBdr>
        <w:top w:val="none" w:sz="0" w:space="0" w:color="auto"/>
        <w:left w:val="none" w:sz="0" w:space="0" w:color="auto"/>
        <w:bottom w:val="none" w:sz="0" w:space="0" w:color="auto"/>
        <w:right w:val="none" w:sz="0" w:space="0" w:color="auto"/>
      </w:divBdr>
    </w:div>
    <w:div w:id="483281501">
      <w:bodyDiv w:val="1"/>
      <w:marLeft w:val="0"/>
      <w:marRight w:val="0"/>
      <w:marTop w:val="0"/>
      <w:marBottom w:val="0"/>
      <w:divBdr>
        <w:top w:val="none" w:sz="0" w:space="0" w:color="auto"/>
        <w:left w:val="none" w:sz="0" w:space="0" w:color="auto"/>
        <w:bottom w:val="none" w:sz="0" w:space="0" w:color="auto"/>
        <w:right w:val="none" w:sz="0" w:space="0" w:color="auto"/>
      </w:divBdr>
    </w:div>
    <w:div w:id="515383123">
      <w:bodyDiv w:val="1"/>
      <w:marLeft w:val="0"/>
      <w:marRight w:val="0"/>
      <w:marTop w:val="0"/>
      <w:marBottom w:val="0"/>
      <w:divBdr>
        <w:top w:val="none" w:sz="0" w:space="0" w:color="auto"/>
        <w:left w:val="none" w:sz="0" w:space="0" w:color="auto"/>
        <w:bottom w:val="none" w:sz="0" w:space="0" w:color="auto"/>
        <w:right w:val="none" w:sz="0" w:space="0" w:color="auto"/>
      </w:divBdr>
    </w:div>
    <w:div w:id="536697599">
      <w:bodyDiv w:val="1"/>
      <w:marLeft w:val="0"/>
      <w:marRight w:val="0"/>
      <w:marTop w:val="0"/>
      <w:marBottom w:val="0"/>
      <w:divBdr>
        <w:top w:val="none" w:sz="0" w:space="0" w:color="auto"/>
        <w:left w:val="none" w:sz="0" w:space="0" w:color="auto"/>
        <w:bottom w:val="none" w:sz="0" w:space="0" w:color="auto"/>
        <w:right w:val="none" w:sz="0" w:space="0" w:color="auto"/>
      </w:divBdr>
    </w:div>
    <w:div w:id="549415172">
      <w:bodyDiv w:val="1"/>
      <w:marLeft w:val="0"/>
      <w:marRight w:val="0"/>
      <w:marTop w:val="0"/>
      <w:marBottom w:val="0"/>
      <w:divBdr>
        <w:top w:val="none" w:sz="0" w:space="0" w:color="auto"/>
        <w:left w:val="none" w:sz="0" w:space="0" w:color="auto"/>
        <w:bottom w:val="none" w:sz="0" w:space="0" w:color="auto"/>
        <w:right w:val="none" w:sz="0" w:space="0" w:color="auto"/>
      </w:divBdr>
    </w:div>
    <w:div w:id="560793051">
      <w:bodyDiv w:val="1"/>
      <w:marLeft w:val="0"/>
      <w:marRight w:val="0"/>
      <w:marTop w:val="0"/>
      <w:marBottom w:val="0"/>
      <w:divBdr>
        <w:top w:val="none" w:sz="0" w:space="0" w:color="auto"/>
        <w:left w:val="none" w:sz="0" w:space="0" w:color="auto"/>
        <w:bottom w:val="none" w:sz="0" w:space="0" w:color="auto"/>
        <w:right w:val="none" w:sz="0" w:space="0" w:color="auto"/>
      </w:divBdr>
    </w:div>
    <w:div w:id="561600615">
      <w:bodyDiv w:val="1"/>
      <w:marLeft w:val="0"/>
      <w:marRight w:val="0"/>
      <w:marTop w:val="0"/>
      <w:marBottom w:val="0"/>
      <w:divBdr>
        <w:top w:val="none" w:sz="0" w:space="0" w:color="auto"/>
        <w:left w:val="none" w:sz="0" w:space="0" w:color="auto"/>
        <w:bottom w:val="none" w:sz="0" w:space="0" w:color="auto"/>
        <w:right w:val="none" w:sz="0" w:space="0" w:color="auto"/>
      </w:divBdr>
    </w:div>
    <w:div w:id="570388820">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76886032">
      <w:bodyDiv w:val="1"/>
      <w:marLeft w:val="0"/>
      <w:marRight w:val="0"/>
      <w:marTop w:val="0"/>
      <w:marBottom w:val="0"/>
      <w:divBdr>
        <w:top w:val="none" w:sz="0" w:space="0" w:color="auto"/>
        <w:left w:val="none" w:sz="0" w:space="0" w:color="auto"/>
        <w:bottom w:val="none" w:sz="0" w:space="0" w:color="auto"/>
        <w:right w:val="none" w:sz="0" w:space="0" w:color="auto"/>
      </w:divBdr>
    </w:div>
    <w:div w:id="713433287">
      <w:bodyDiv w:val="1"/>
      <w:marLeft w:val="0"/>
      <w:marRight w:val="0"/>
      <w:marTop w:val="0"/>
      <w:marBottom w:val="0"/>
      <w:divBdr>
        <w:top w:val="none" w:sz="0" w:space="0" w:color="auto"/>
        <w:left w:val="none" w:sz="0" w:space="0" w:color="auto"/>
        <w:bottom w:val="none" w:sz="0" w:space="0" w:color="auto"/>
        <w:right w:val="none" w:sz="0" w:space="0" w:color="auto"/>
      </w:divBdr>
    </w:div>
    <w:div w:id="749040733">
      <w:bodyDiv w:val="1"/>
      <w:marLeft w:val="0"/>
      <w:marRight w:val="0"/>
      <w:marTop w:val="0"/>
      <w:marBottom w:val="0"/>
      <w:divBdr>
        <w:top w:val="none" w:sz="0" w:space="0" w:color="auto"/>
        <w:left w:val="none" w:sz="0" w:space="0" w:color="auto"/>
        <w:bottom w:val="none" w:sz="0" w:space="0" w:color="auto"/>
        <w:right w:val="none" w:sz="0" w:space="0" w:color="auto"/>
      </w:divBdr>
    </w:div>
    <w:div w:id="765537167">
      <w:bodyDiv w:val="1"/>
      <w:marLeft w:val="0"/>
      <w:marRight w:val="0"/>
      <w:marTop w:val="0"/>
      <w:marBottom w:val="0"/>
      <w:divBdr>
        <w:top w:val="none" w:sz="0" w:space="0" w:color="auto"/>
        <w:left w:val="none" w:sz="0" w:space="0" w:color="auto"/>
        <w:bottom w:val="none" w:sz="0" w:space="0" w:color="auto"/>
        <w:right w:val="none" w:sz="0" w:space="0" w:color="auto"/>
      </w:divBdr>
    </w:div>
    <w:div w:id="798843849">
      <w:bodyDiv w:val="1"/>
      <w:marLeft w:val="0"/>
      <w:marRight w:val="0"/>
      <w:marTop w:val="0"/>
      <w:marBottom w:val="0"/>
      <w:divBdr>
        <w:top w:val="none" w:sz="0" w:space="0" w:color="auto"/>
        <w:left w:val="none" w:sz="0" w:space="0" w:color="auto"/>
        <w:bottom w:val="none" w:sz="0" w:space="0" w:color="auto"/>
        <w:right w:val="none" w:sz="0" w:space="0" w:color="auto"/>
      </w:divBdr>
    </w:div>
    <w:div w:id="824471699">
      <w:bodyDiv w:val="1"/>
      <w:marLeft w:val="0"/>
      <w:marRight w:val="0"/>
      <w:marTop w:val="0"/>
      <w:marBottom w:val="0"/>
      <w:divBdr>
        <w:top w:val="none" w:sz="0" w:space="0" w:color="auto"/>
        <w:left w:val="none" w:sz="0" w:space="0" w:color="auto"/>
        <w:bottom w:val="none" w:sz="0" w:space="0" w:color="auto"/>
        <w:right w:val="none" w:sz="0" w:space="0" w:color="auto"/>
      </w:divBdr>
    </w:div>
    <w:div w:id="826242770">
      <w:bodyDiv w:val="1"/>
      <w:marLeft w:val="0"/>
      <w:marRight w:val="0"/>
      <w:marTop w:val="0"/>
      <w:marBottom w:val="0"/>
      <w:divBdr>
        <w:top w:val="none" w:sz="0" w:space="0" w:color="auto"/>
        <w:left w:val="none" w:sz="0" w:space="0" w:color="auto"/>
        <w:bottom w:val="none" w:sz="0" w:space="0" w:color="auto"/>
        <w:right w:val="none" w:sz="0" w:space="0" w:color="auto"/>
      </w:divBdr>
    </w:div>
    <w:div w:id="828252198">
      <w:bodyDiv w:val="1"/>
      <w:marLeft w:val="0"/>
      <w:marRight w:val="0"/>
      <w:marTop w:val="0"/>
      <w:marBottom w:val="0"/>
      <w:divBdr>
        <w:top w:val="none" w:sz="0" w:space="0" w:color="auto"/>
        <w:left w:val="none" w:sz="0" w:space="0" w:color="auto"/>
        <w:bottom w:val="none" w:sz="0" w:space="0" w:color="auto"/>
        <w:right w:val="none" w:sz="0" w:space="0" w:color="auto"/>
      </w:divBdr>
    </w:div>
    <w:div w:id="835149993">
      <w:bodyDiv w:val="1"/>
      <w:marLeft w:val="0"/>
      <w:marRight w:val="0"/>
      <w:marTop w:val="0"/>
      <w:marBottom w:val="0"/>
      <w:divBdr>
        <w:top w:val="none" w:sz="0" w:space="0" w:color="auto"/>
        <w:left w:val="none" w:sz="0" w:space="0" w:color="auto"/>
        <w:bottom w:val="none" w:sz="0" w:space="0" w:color="auto"/>
        <w:right w:val="none" w:sz="0" w:space="0" w:color="auto"/>
      </w:divBdr>
    </w:div>
    <w:div w:id="878784317">
      <w:bodyDiv w:val="1"/>
      <w:marLeft w:val="0"/>
      <w:marRight w:val="0"/>
      <w:marTop w:val="0"/>
      <w:marBottom w:val="0"/>
      <w:divBdr>
        <w:top w:val="none" w:sz="0" w:space="0" w:color="auto"/>
        <w:left w:val="none" w:sz="0" w:space="0" w:color="auto"/>
        <w:bottom w:val="none" w:sz="0" w:space="0" w:color="auto"/>
        <w:right w:val="none" w:sz="0" w:space="0" w:color="auto"/>
      </w:divBdr>
    </w:div>
    <w:div w:id="881210056">
      <w:bodyDiv w:val="1"/>
      <w:marLeft w:val="0"/>
      <w:marRight w:val="0"/>
      <w:marTop w:val="0"/>
      <w:marBottom w:val="0"/>
      <w:divBdr>
        <w:top w:val="none" w:sz="0" w:space="0" w:color="auto"/>
        <w:left w:val="none" w:sz="0" w:space="0" w:color="auto"/>
        <w:bottom w:val="none" w:sz="0" w:space="0" w:color="auto"/>
        <w:right w:val="none" w:sz="0" w:space="0" w:color="auto"/>
      </w:divBdr>
    </w:div>
    <w:div w:id="931745070">
      <w:bodyDiv w:val="1"/>
      <w:marLeft w:val="0"/>
      <w:marRight w:val="0"/>
      <w:marTop w:val="0"/>
      <w:marBottom w:val="0"/>
      <w:divBdr>
        <w:top w:val="none" w:sz="0" w:space="0" w:color="auto"/>
        <w:left w:val="none" w:sz="0" w:space="0" w:color="auto"/>
        <w:bottom w:val="none" w:sz="0" w:space="0" w:color="auto"/>
        <w:right w:val="none" w:sz="0" w:space="0" w:color="auto"/>
      </w:divBdr>
    </w:div>
    <w:div w:id="987899573">
      <w:bodyDiv w:val="1"/>
      <w:marLeft w:val="0"/>
      <w:marRight w:val="0"/>
      <w:marTop w:val="0"/>
      <w:marBottom w:val="0"/>
      <w:divBdr>
        <w:top w:val="none" w:sz="0" w:space="0" w:color="auto"/>
        <w:left w:val="none" w:sz="0" w:space="0" w:color="auto"/>
        <w:bottom w:val="none" w:sz="0" w:space="0" w:color="auto"/>
        <w:right w:val="none" w:sz="0" w:space="0" w:color="auto"/>
      </w:divBdr>
    </w:div>
    <w:div w:id="989284218">
      <w:bodyDiv w:val="1"/>
      <w:marLeft w:val="0"/>
      <w:marRight w:val="0"/>
      <w:marTop w:val="0"/>
      <w:marBottom w:val="0"/>
      <w:divBdr>
        <w:top w:val="none" w:sz="0" w:space="0" w:color="auto"/>
        <w:left w:val="none" w:sz="0" w:space="0" w:color="auto"/>
        <w:bottom w:val="none" w:sz="0" w:space="0" w:color="auto"/>
        <w:right w:val="none" w:sz="0" w:space="0" w:color="auto"/>
      </w:divBdr>
    </w:div>
    <w:div w:id="997999061">
      <w:bodyDiv w:val="1"/>
      <w:marLeft w:val="0"/>
      <w:marRight w:val="0"/>
      <w:marTop w:val="0"/>
      <w:marBottom w:val="0"/>
      <w:divBdr>
        <w:top w:val="none" w:sz="0" w:space="0" w:color="auto"/>
        <w:left w:val="none" w:sz="0" w:space="0" w:color="auto"/>
        <w:bottom w:val="none" w:sz="0" w:space="0" w:color="auto"/>
        <w:right w:val="none" w:sz="0" w:space="0" w:color="auto"/>
      </w:divBdr>
    </w:div>
    <w:div w:id="1014964804">
      <w:bodyDiv w:val="1"/>
      <w:marLeft w:val="0"/>
      <w:marRight w:val="0"/>
      <w:marTop w:val="0"/>
      <w:marBottom w:val="0"/>
      <w:divBdr>
        <w:top w:val="none" w:sz="0" w:space="0" w:color="auto"/>
        <w:left w:val="none" w:sz="0" w:space="0" w:color="auto"/>
        <w:bottom w:val="none" w:sz="0" w:space="0" w:color="auto"/>
        <w:right w:val="none" w:sz="0" w:space="0" w:color="auto"/>
      </w:divBdr>
    </w:div>
    <w:div w:id="1046295860">
      <w:bodyDiv w:val="1"/>
      <w:marLeft w:val="0"/>
      <w:marRight w:val="0"/>
      <w:marTop w:val="0"/>
      <w:marBottom w:val="0"/>
      <w:divBdr>
        <w:top w:val="none" w:sz="0" w:space="0" w:color="auto"/>
        <w:left w:val="none" w:sz="0" w:space="0" w:color="auto"/>
        <w:bottom w:val="none" w:sz="0" w:space="0" w:color="auto"/>
        <w:right w:val="none" w:sz="0" w:space="0" w:color="auto"/>
      </w:divBdr>
    </w:div>
    <w:div w:id="1062220774">
      <w:bodyDiv w:val="1"/>
      <w:marLeft w:val="0"/>
      <w:marRight w:val="0"/>
      <w:marTop w:val="0"/>
      <w:marBottom w:val="0"/>
      <w:divBdr>
        <w:top w:val="none" w:sz="0" w:space="0" w:color="auto"/>
        <w:left w:val="none" w:sz="0" w:space="0" w:color="auto"/>
        <w:bottom w:val="none" w:sz="0" w:space="0" w:color="auto"/>
        <w:right w:val="none" w:sz="0" w:space="0" w:color="auto"/>
      </w:divBdr>
    </w:div>
    <w:div w:id="1078331731">
      <w:bodyDiv w:val="1"/>
      <w:marLeft w:val="0"/>
      <w:marRight w:val="0"/>
      <w:marTop w:val="0"/>
      <w:marBottom w:val="0"/>
      <w:divBdr>
        <w:top w:val="none" w:sz="0" w:space="0" w:color="auto"/>
        <w:left w:val="none" w:sz="0" w:space="0" w:color="auto"/>
        <w:bottom w:val="none" w:sz="0" w:space="0" w:color="auto"/>
        <w:right w:val="none" w:sz="0" w:space="0" w:color="auto"/>
      </w:divBdr>
    </w:div>
    <w:div w:id="1085415805">
      <w:bodyDiv w:val="1"/>
      <w:marLeft w:val="0"/>
      <w:marRight w:val="0"/>
      <w:marTop w:val="0"/>
      <w:marBottom w:val="0"/>
      <w:divBdr>
        <w:top w:val="none" w:sz="0" w:space="0" w:color="auto"/>
        <w:left w:val="none" w:sz="0" w:space="0" w:color="auto"/>
        <w:bottom w:val="none" w:sz="0" w:space="0" w:color="auto"/>
        <w:right w:val="none" w:sz="0" w:space="0" w:color="auto"/>
      </w:divBdr>
    </w:div>
    <w:div w:id="1097022572">
      <w:bodyDiv w:val="1"/>
      <w:marLeft w:val="0"/>
      <w:marRight w:val="0"/>
      <w:marTop w:val="0"/>
      <w:marBottom w:val="0"/>
      <w:divBdr>
        <w:top w:val="none" w:sz="0" w:space="0" w:color="auto"/>
        <w:left w:val="none" w:sz="0" w:space="0" w:color="auto"/>
        <w:bottom w:val="none" w:sz="0" w:space="0" w:color="auto"/>
        <w:right w:val="none" w:sz="0" w:space="0" w:color="auto"/>
      </w:divBdr>
    </w:div>
    <w:div w:id="1098063148">
      <w:bodyDiv w:val="1"/>
      <w:marLeft w:val="0"/>
      <w:marRight w:val="0"/>
      <w:marTop w:val="0"/>
      <w:marBottom w:val="0"/>
      <w:divBdr>
        <w:top w:val="none" w:sz="0" w:space="0" w:color="auto"/>
        <w:left w:val="none" w:sz="0" w:space="0" w:color="auto"/>
        <w:bottom w:val="none" w:sz="0" w:space="0" w:color="auto"/>
        <w:right w:val="none" w:sz="0" w:space="0" w:color="auto"/>
      </w:divBdr>
    </w:div>
    <w:div w:id="1100368214">
      <w:bodyDiv w:val="1"/>
      <w:marLeft w:val="0"/>
      <w:marRight w:val="0"/>
      <w:marTop w:val="0"/>
      <w:marBottom w:val="0"/>
      <w:divBdr>
        <w:top w:val="none" w:sz="0" w:space="0" w:color="auto"/>
        <w:left w:val="none" w:sz="0" w:space="0" w:color="auto"/>
        <w:bottom w:val="none" w:sz="0" w:space="0" w:color="auto"/>
        <w:right w:val="none" w:sz="0" w:space="0" w:color="auto"/>
      </w:divBdr>
    </w:div>
    <w:div w:id="1122648511">
      <w:bodyDiv w:val="1"/>
      <w:marLeft w:val="0"/>
      <w:marRight w:val="0"/>
      <w:marTop w:val="0"/>
      <w:marBottom w:val="0"/>
      <w:divBdr>
        <w:top w:val="none" w:sz="0" w:space="0" w:color="auto"/>
        <w:left w:val="none" w:sz="0" w:space="0" w:color="auto"/>
        <w:bottom w:val="none" w:sz="0" w:space="0" w:color="auto"/>
        <w:right w:val="none" w:sz="0" w:space="0" w:color="auto"/>
      </w:divBdr>
    </w:div>
    <w:div w:id="1135488867">
      <w:bodyDiv w:val="1"/>
      <w:marLeft w:val="0"/>
      <w:marRight w:val="0"/>
      <w:marTop w:val="0"/>
      <w:marBottom w:val="0"/>
      <w:divBdr>
        <w:top w:val="none" w:sz="0" w:space="0" w:color="auto"/>
        <w:left w:val="none" w:sz="0" w:space="0" w:color="auto"/>
        <w:bottom w:val="none" w:sz="0" w:space="0" w:color="auto"/>
        <w:right w:val="none" w:sz="0" w:space="0" w:color="auto"/>
      </w:divBdr>
    </w:div>
    <w:div w:id="1142163197">
      <w:bodyDiv w:val="1"/>
      <w:marLeft w:val="0"/>
      <w:marRight w:val="0"/>
      <w:marTop w:val="0"/>
      <w:marBottom w:val="0"/>
      <w:divBdr>
        <w:top w:val="none" w:sz="0" w:space="0" w:color="auto"/>
        <w:left w:val="none" w:sz="0" w:space="0" w:color="auto"/>
        <w:bottom w:val="none" w:sz="0" w:space="0" w:color="auto"/>
        <w:right w:val="none" w:sz="0" w:space="0" w:color="auto"/>
      </w:divBdr>
    </w:div>
    <w:div w:id="1155339028">
      <w:bodyDiv w:val="1"/>
      <w:marLeft w:val="0"/>
      <w:marRight w:val="0"/>
      <w:marTop w:val="0"/>
      <w:marBottom w:val="0"/>
      <w:divBdr>
        <w:top w:val="none" w:sz="0" w:space="0" w:color="auto"/>
        <w:left w:val="none" w:sz="0" w:space="0" w:color="auto"/>
        <w:bottom w:val="none" w:sz="0" w:space="0" w:color="auto"/>
        <w:right w:val="none" w:sz="0" w:space="0" w:color="auto"/>
      </w:divBdr>
    </w:div>
    <w:div w:id="1164127920">
      <w:bodyDiv w:val="1"/>
      <w:marLeft w:val="0"/>
      <w:marRight w:val="0"/>
      <w:marTop w:val="0"/>
      <w:marBottom w:val="0"/>
      <w:divBdr>
        <w:top w:val="none" w:sz="0" w:space="0" w:color="auto"/>
        <w:left w:val="none" w:sz="0" w:space="0" w:color="auto"/>
        <w:bottom w:val="none" w:sz="0" w:space="0" w:color="auto"/>
        <w:right w:val="none" w:sz="0" w:space="0" w:color="auto"/>
      </w:divBdr>
    </w:div>
    <w:div w:id="1164780390">
      <w:bodyDiv w:val="1"/>
      <w:marLeft w:val="0"/>
      <w:marRight w:val="0"/>
      <w:marTop w:val="0"/>
      <w:marBottom w:val="0"/>
      <w:divBdr>
        <w:top w:val="none" w:sz="0" w:space="0" w:color="auto"/>
        <w:left w:val="none" w:sz="0" w:space="0" w:color="auto"/>
        <w:bottom w:val="none" w:sz="0" w:space="0" w:color="auto"/>
        <w:right w:val="none" w:sz="0" w:space="0" w:color="auto"/>
      </w:divBdr>
    </w:div>
    <w:div w:id="1244293485">
      <w:bodyDiv w:val="1"/>
      <w:marLeft w:val="0"/>
      <w:marRight w:val="0"/>
      <w:marTop w:val="0"/>
      <w:marBottom w:val="0"/>
      <w:divBdr>
        <w:top w:val="none" w:sz="0" w:space="0" w:color="auto"/>
        <w:left w:val="none" w:sz="0" w:space="0" w:color="auto"/>
        <w:bottom w:val="none" w:sz="0" w:space="0" w:color="auto"/>
        <w:right w:val="none" w:sz="0" w:space="0" w:color="auto"/>
      </w:divBdr>
    </w:div>
    <w:div w:id="1366831642">
      <w:bodyDiv w:val="1"/>
      <w:marLeft w:val="0"/>
      <w:marRight w:val="0"/>
      <w:marTop w:val="0"/>
      <w:marBottom w:val="0"/>
      <w:divBdr>
        <w:top w:val="none" w:sz="0" w:space="0" w:color="auto"/>
        <w:left w:val="none" w:sz="0" w:space="0" w:color="auto"/>
        <w:bottom w:val="none" w:sz="0" w:space="0" w:color="auto"/>
        <w:right w:val="none" w:sz="0" w:space="0" w:color="auto"/>
      </w:divBdr>
    </w:div>
    <w:div w:id="1392922878">
      <w:bodyDiv w:val="1"/>
      <w:marLeft w:val="0"/>
      <w:marRight w:val="0"/>
      <w:marTop w:val="0"/>
      <w:marBottom w:val="0"/>
      <w:divBdr>
        <w:top w:val="none" w:sz="0" w:space="0" w:color="auto"/>
        <w:left w:val="none" w:sz="0" w:space="0" w:color="auto"/>
        <w:bottom w:val="none" w:sz="0" w:space="0" w:color="auto"/>
        <w:right w:val="none" w:sz="0" w:space="0" w:color="auto"/>
      </w:divBdr>
    </w:div>
    <w:div w:id="1412384961">
      <w:bodyDiv w:val="1"/>
      <w:marLeft w:val="0"/>
      <w:marRight w:val="0"/>
      <w:marTop w:val="0"/>
      <w:marBottom w:val="0"/>
      <w:divBdr>
        <w:top w:val="none" w:sz="0" w:space="0" w:color="auto"/>
        <w:left w:val="none" w:sz="0" w:space="0" w:color="auto"/>
        <w:bottom w:val="none" w:sz="0" w:space="0" w:color="auto"/>
        <w:right w:val="none" w:sz="0" w:space="0" w:color="auto"/>
      </w:divBdr>
    </w:div>
    <w:div w:id="1428577509">
      <w:bodyDiv w:val="1"/>
      <w:marLeft w:val="0"/>
      <w:marRight w:val="0"/>
      <w:marTop w:val="0"/>
      <w:marBottom w:val="0"/>
      <w:divBdr>
        <w:top w:val="none" w:sz="0" w:space="0" w:color="auto"/>
        <w:left w:val="none" w:sz="0" w:space="0" w:color="auto"/>
        <w:bottom w:val="none" w:sz="0" w:space="0" w:color="auto"/>
        <w:right w:val="none" w:sz="0" w:space="0" w:color="auto"/>
      </w:divBdr>
    </w:div>
    <w:div w:id="1440762341">
      <w:bodyDiv w:val="1"/>
      <w:marLeft w:val="0"/>
      <w:marRight w:val="0"/>
      <w:marTop w:val="0"/>
      <w:marBottom w:val="0"/>
      <w:divBdr>
        <w:top w:val="none" w:sz="0" w:space="0" w:color="auto"/>
        <w:left w:val="none" w:sz="0" w:space="0" w:color="auto"/>
        <w:bottom w:val="none" w:sz="0" w:space="0" w:color="auto"/>
        <w:right w:val="none" w:sz="0" w:space="0" w:color="auto"/>
      </w:divBdr>
    </w:div>
    <w:div w:id="1448044154">
      <w:bodyDiv w:val="1"/>
      <w:marLeft w:val="0"/>
      <w:marRight w:val="0"/>
      <w:marTop w:val="0"/>
      <w:marBottom w:val="0"/>
      <w:divBdr>
        <w:top w:val="none" w:sz="0" w:space="0" w:color="auto"/>
        <w:left w:val="none" w:sz="0" w:space="0" w:color="auto"/>
        <w:bottom w:val="none" w:sz="0" w:space="0" w:color="auto"/>
        <w:right w:val="none" w:sz="0" w:space="0" w:color="auto"/>
      </w:divBdr>
    </w:div>
    <w:div w:id="1454859214">
      <w:bodyDiv w:val="1"/>
      <w:marLeft w:val="0"/>
      <w:marRight w:val="0"/>
      <w:marTop w:val="0"/>
      <w:marBottom w:val="0"/>
      <w:divBdr>
        <w:top w:val="none" w:sz="0" w:space="0" w:color="auto"/>
        <w:left w:val="none" w:sz="0" w:space="0" w:color="auto"/>
        <w:bottom w:val="none" w:sz="0" w:space="0" w:color="auto"/>
        <w:right w:val="none" w:sz="0" w:space="0" w:color="auto"/>
      </w:divBdr>
    </w:div>
    <w:div w:id="1511721689">
      <w:bodyDiv w:val="1"/>
      <w:marLeft w:val="0"/>
      <w:marRight w:val="0"/>
      <w:marTop w:val="0"/>
      <w:marBottom w:val="0"/>
      <w:divBdr>
        <w:top w:val="none" w:sz="0" w:space="0" w:color="auto"/>
        <w:left w:val="none" w:sz="0" w:space="0" w:color="auto"/>
        <w:bottom w:val="none" w:sz="0" w:space="0" w:color="auto"/>
        <w:right w:val="none" w:sz="0" w:space="0" w:color="auto"/>
      </w:divBdr>
    </w:div>
    <w:div w:id="1526020656">
      <w:bodyDiv w:val="1"/>
      <w:marLeft w:val="0"/>
      <w:marRight w:val="0"/>
      <w:marTop w:val="0"/>
      <w:marBottom w:val="0"/>
      <w:divBdr>
        <w:top w:val="none" w:sz="0" w:space="0" w:color="auto"/>
        <w:left w:val="none" w:sz="0" w:space="0" w:color="auto"/>
        <w:bottom w:val="none" w:sz="0" w:space="0" w:color="auto"/>
        <w:right w:val="none" w:sz="0" w:space="0" w:color="auto"/>
      </w:divBdr>
    </w:div>
    <w:div w:id="1526361588">
      <w:bodyDiv w:val="1"/>
      <w:marLeft w:val="0"/>
      <w:marRight w:val="0"/>
      <w:marTop w:val="0"/>
      <w:marBottom w:val="0"/>
      <w:divBdr>
        <w:top w:val="none" w:sz="0" w:space="0" w:color="auto"/>
        <w:left w:val="none" w:sz="0" w:space="0" w:color="auto"/>
        <w:bottom w:val="none" w:sz="0" w:space="0" w:color="auto"/>
        <w:right w:val="none" w:sz="0" w:space="0" w:color="auto"/>
      </w:divBdr>
    </w:div>
    <w:div w:id="1543983809">
      <w:bodyDiv w:val="1"/>
      <w:marLeft w:val="0"/>
      <w:marRight w:val="0"/>
      <w:marTop w:val="0"/>
      <w:marBottom w:val="0"/>
      <w:divBdr>
        <w:top w:val="none" w:sz="0" w:space="0" w:color="auto"/>
        <w:left w:val="none" w:sz="0" w:space="0" w:color="auto"/>
        <w:bottom w:val="none" w:sz="0" w:space="0" w:color="auto"/>
        <w:right w:val="none" w:sz="0" w:space="0" w:color="auto"/>
      </w:divBdr>
    </w:div>
    <w:div w:id="1612932584">
      <w:bodyDiv w:val="1"/>
      <w:marLeft w:val="0"/>
      <w:marRight w:val="0"/>
      <w:marTop w:val="0"/>
      <w:marBottom w:val="0"/>
      <w:divBdr>
        <w:top w:val="none" w:sz="0" w:space="0" w:color="auto"/>
        <w:left w:val="none" w:sz="0" w:space="0" w:color="auto"/>
        <w:bottom w:val="none" w:sz="0" w:space="0" w:color="auto"/>
        <w:right w:val="none" w:sz="0" w:space="0" w:color="auto"/>
      </w:divBdr>
    </w:div>
    <w:div w:id="1653218167">
      <w:bodyDiv w:val="1"/>
      <w:marLeft w:val="0"/>
      <w:marRight w:val="0"/>
      <w:marTop w:val="0"/>
      <w:marBottom w:val="0"/>
      <w:divBdr>
        <w:top w:val="none" w:sz="0" w:space="0" w:color="auto"/>
        <w:left w:val="none" w:sz="0" w:space="0" w:color="auto"/>
        <w:bottom w:val="none" w:sz="0" w:space="0" w:color="auto"/>
        <w:right w:val="none" w:sz="0" w:space="0" w:color="auto"/>
      </w:divBdr>
    </w:div>
    <w:div w:id="1724712012">
      <w:bodyDiv w:val="1"/>
      <w:marLeft w:val="0"/>
      <w:marRight w:val="0"/>
      <w:marTop w:val="0"/>
      <w:marBottom w:val="0"/>
      <w:divBdr>
        <w:top w:val="none" w:sz="0" w:space="0" w:color="auto"/>
        <w:left w:val="none" w:sz="0" w:space="0" w:color="auto"/>
        <w:bottom w:val="none" w:sz="0" w:space="0" w:color="auto"/>
        <w:right w:val="none" w:sz="0" w:space="0" w:color="auto"/>
      </w:divBdr>
    </w:div>
    <w:div w:id="1760633026">
      <w:bodyDiv w:val="1"/>
      <w:marLeft w:val="0"/>
      <w:marRight w:val="0"/>
      <w:marTop w:val="0"/>
      <w:marBottom w:val="0"/>
      <w:divBdr>
        <w:top w:val="none" w:sz="0" w:space="0" w:color="auto"/>
        <w:left w:val="none" w:sz="0" w:space="0" w:color="auto"/>
        <w:bottom w:val="none" w:sz="0" w:space="0" w:color="auto"/>
        <w:right w:val="none" w:sz="0" w:space="0" w:color="auto"/>
      </w:divBdr>
    </w:div>
    <w:div w:id="1764447003">
      <w:bodyDiv w:val="1"/>
      <w:marLeft w:val="0"/>
      <w:marRight w:val="0"/>
      <w:marTop w:val="0"/>
      <w:marBottom w:val="0"/>
      <w:divBdr>
        <w:top w:val="none" w:sz="0" w:space="0" w:color="auto"/>
        <w:left w:val="none" w:sz="0" w:space="0" w:color="auto"/>
        <w:bottom w:val="none" w:sz="0" w:space="0" w:color="auto"/>
        <w:right w:val="none" w:sz="0" w:space="0" w:color="auto"/>
      </w:divBdr>
    </w:div>
    <w:div w:id="1795634638">
      <w:bodyDiv w:val="1"/>
      <w:marLeft w:val="0"/>
      <w:marRight w:val="0"/>
      <w:marTop w:val="0"/>
      <w:marBottom w:val="0"/>
      <w:divBdr>
        <w:top w:val="none" w:sz="0" w:space="0" w:color="auto"/>
        <w:left w:val="none" w:sz="0" w:space="0" w:color="auto"/>
        <w:bottom w:val="none" w:sz="0" w:space="0" w:color="auto"/>
        <w:right w:val="none" w:sz="0" w:space="0" w:color="auto"/>
      </w:divBdr>
    </w:div>
    <w:div w:id="1830638187">
      <w:bodyDiv w:val="1"/>
      <w:marLeft w:val="0"/>
      <w:marRight w:val="0"/>
      <w:marTop w:val="0"/>
      <w:marBottom w:val="0"/>
      <w:divBdr>
        <w:top w:val="none" w:sz="0" w:space="0" w:color="auto"/>
        <w:left w:val="none" w:sz="0" w:space="0" w:color="auto"/>
        <w:bottom w:val="none" w:sz="0" w:space="0" w:color="auto"/>
        <w:right w:val="none" w:sz="0" w:space="0" w:color="auto"/>
      </w:divBdr>
    </w:div>
    <w:div w:id="1839226313">
      <w:bodyDiv w:val="1"/>
      <w:marLeft w:val="0"/>
      <w:marRight w:val="0"/>
      <w:marTop w:val="0"/>
      <w:marBottom w:val="0"/>
      <w:divBdr>
        <w:top w:val="none" w:sz="0" w:space="0" w:color="auto"/>
        <w:left w:val="none" w:sz="0" w:space="0" w:color="auto"/>
        <w:bottom w:val="none" w:sz="0" w:space="0" w:color="auto"/>
        <w:right w:val="none" w:sz="0" w:space="0" w:color="auto"/>
      </w:divBdr>
    </w:div>
    <w:div w:id="1866869541">
      <w:bodyDiv w:val="1"/>
      <w:marLeft w:val="0"/>
      <w:marRight w:val="0"/>
      <w:marTop w:val="0"/>
      <w:marBottom w:val="0"/>
      <w:divBdr>
        <w:top w:val="none" w:sz="0" w:space="0" w:color="auto"/>
        <w:left w:val="none" w:sz="0" w:space="0" w:color="auto"/>
        <w:bottom w:val="none" w:sz="0" w:space="0" w:color="auto"/>
        <w:right w:val="none" w:sz="0" w:space="0" w:color="auto"/>
      </w:divBdr>
    </w:div>
    <w:div w:id="1874537703">
      <w:bodyDiv w:val="1"/>
      <w:marLeft w:val="0"/>
      <w:marRight w:val="0"/>
      <w:marTop w:val="0"/>
      <w:marBottom w:val="0"/>
      <w:divBdr>
        <w:top w:val="none" w:sz="0" w:space="0" w:color="auto"/>
        <w:left w:val="none" w:sz="0" w:space="0" w:color="auto"/>
        <w:bottom w:val="none" w:sz="0" w:space="0" w:color="auto"/>
        <w:right w:val="none" w:sz="0" w:space="0" w:color="auto"/>
      </w:divBdr>
    </w:div>
    <w:div w:id="1942688305">
      <w:bodyDiv w:val="1"/>
      <w:marLeft w:val="0"/>
      <w:marRight w:val="0"/>
      <w:marTop w:val="0"/>
      <w:marBottom w:val="0"/>
      <w:divBdr>
        <w:top w:val="none" w:sz="0" w:space="0" w:color="auto"/>
        <w:left w:val="none" w:sz="0" w:space="0" w:color="auto"/>
        <w:bottom w:val="none" w:sz="0" w:space="0" w:color="auto"/>
        <w:right w:val="none" w:sz="0" w:space="0" w:color="auto"/>
      </w:divBdr>
    </w:div>
    <w:div w:id="1969893922">
      <w:bodyDiv w:val="1"/>
      <w:marLeft w:val="0"/>
      <w:marRight w:val="0"/>
      <w:marTop w:val="0"/>
      <w:marBottom w:val="0"/>
      <w:divBdr>
        <w:top w:val="none" w:sz="0" w:space="0" w:color="auto"/>
        <w:left w:val="none" w:sz="0" w:space="0" w:color="auto"/>
        <w:bottom w:val="none" w:sz="0" w:space="0" w:color="auto"/>
        <w:right w:val="none" w:sz="0" w:space="0" w:color="auto"/>
      </w:divBdr>
    </w:div>
    <w:div w:id="2007199409">
      <w:bodyDiv w:val="1"/>
      <w:marLeft w:val="0"/>
      <w:marRight w:val="0"/>
      <w:marTop w:val="0"/>
      <w:marBottom w:val="0"/>
      <w:divBdr>
        <w:top w:val="none" w:sz="0" w:space="0" w:color="auto"/>
        <w:left w:val="none" w:sz="0" w:space="0" w:color="auto"/>
        <w:bottom w:val="none" w:sz="0" w:space="0" w:color="auto"/>
        <w:right w:val="none" w:sz="0" w:space="0" w:color="auto"/>
      </w:divBdr>
    </w:div>
    <w:div w:id="2015066563">
      <w:bodyDiv w:val="1"/>
      <w:marLeft w:val="0"/>
      <w:marRight w:val="0"/>
      <w:marTop w:val="0"/>
      <w:marBottom w:val="0"/>
      <w:divBdr>
        <w:top w:val="none" w:sz="0" w:space="0" w:color="auto"/>
        <w:left w:val="none" w:sz="0" w:space="0" w:color="auto"/>
        <w:bottom w:val="none" w:sz="0" w:space="0" w:color="auto"/>
        <w:right w:val="none" w:sz="0" w:space="0" w:color="auto"/>
      </w:divBdr>
    </w:div>
    <w:div w:id="2024823124">
      <w:bodyDiv w:val="1"/>
      <w:marLeft w:val="0"/>
      <w:marRight w:val="0"/>
      <w:marTop w:val="0"/>
      <w:marBottom w:val="0"/>
      <w:divBdr>
        <w:top w:val="none" w:sz="0" w:space="0" w:color="auto"/>
        <w:left w:val="none" w:sz="0" w:space="0" w:color="auto"/>
        <w:bottom w:val="none" w:sz="0" w:space="0" w:color="auto"/>
        <w:right w:val="none" w:sz="0" w:space="0" w:color="auto"/>
      </w:divBdr>
    </w:div>
    <w:div w:id="2083138198">
      <w:bodyDiv w:val="1"/>
      <w:marLeft w:val="0"/>
      <w:marRight w:val="0"/>
      <w:marTop w:val="0"/>
      <w:marBottom w:val="0"/>
      <w:divBdr>
        <w:top w:val="none" w:sz="0" w:space="0" w:color="auto"/>
        <w:left w:val="none" w:sz="0" w:space="0" w:color="auto"/>
        <w:bottom w:val="none" w:sz="0" w:space="0" w:color="auto"/>
        <w:right w:val="none" w:sz="0" w:space="0" w:color="auto"/>
      </w:divBdr>
    </w:div>
    <w:div w:id="2117678174">
      <w:bodyDiv w:val="1"/>
      <w:marLeft w:val="0"/>
      <w:marRight w:val="0"/>
      <w:marTop w:val="0"/>
      <w:marBottom w:val="0"/>
      <w:divBdr>
        <w:top w:val="none" w:sz="0" w:space="0" w:color="auto"/>
        <w:left w:val="none" w:sz="0" w:space="0" w:color="auto"/>
        <w:bottom w:val="none" w:sz="0" w:space="0" w:color="auto"/>
        <w:right w:val="none" w:sz="0" w:space="0" w:color="auto"/>
      </w:divBdr>
    </w:div>
    <w:div w:id="2127121055">
      <w:bodyDiv w:val="1"/>
      <w:marLeft w:val="0"/>
      <w:marRight w:val="0"/>
      <w:marTop w:val="0"/>
      <w:marBottom w:val="0"/>
      <w:divBdr>
        <w:top w:val="none" w:sz="0" w:space="0" w:color="auto"/>
        <w:left w:val="none" w:sz="0" w:space="0" w:color="auto"/>
        <w:bottom w:val="none" w:sz="0" w:space="0" w:color="auto"/>
        <w:right w:val="none" w:sz="0" w:space="0" w:color="auto"/>
      </w:divBdr>
    </w:div>
    <w:div w:id="2127191255">
      <w:bodyDiv w:val="1"/>
      <w:marLeft w:val="0"/>
      <w:marRight w:val="0"/>
      <w:marTop w:val="0"/>
      <w:marBottom w:val="0"/>
      <w:divBdr>
        <w:top w:val="none" w:sz="0" w:space="0" w:color="auto"/>
        <w:left w:val="none" w:sz="0" w:space="0" w:color="auto"/>
        <w:bottom w:val="none" w:sz="0" w:space="0" w:color="auto"/>
        <w:right w:val="none" w:sz="0" w:space="0" w:color="auto"/>
      </w:divBdr>
    </w:div>
    <w:div w:id="2146267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eke.Vlaemynck@ugent.be" TargetMode="External"/><Relationship Id="rId18" Type="http://schemas.openxmlformats.org/officeDocument/2006/relationships/hyperlink" Target="mailto:sheigla@aol.com" TargetMode="External"/><Relationship Id="rId26" Type="http://schemas.openxmlformats.org/officeDocument/2006/relationships/hyperlink" Target="http://www.emcdda.europa.eu/system/files/publications/4541/TDAT17001ENN.pdf" TargetMode="External"/><Relationship Id="rId39" Type="http://schemas.openxmlformats.org/officeDocument/2006/relationships/hyperlink" Target="http://www.pzc.nl/regio/schouwen-duiveland/man-uit-zierikzee-krijgt-celstraf-voor-dealen-drugs-voor-vrienden-1.6492248" TargetMode="External"/><Relationship Id="rId3" Type="http://schemas.openxmlformats.org/officeDocument/2006/relationships/styles" Target="styles.xml"/><Relationship Id="rId21" Type="http://schemas.openxmlformats.org/officeDocument/2006/relationships/hyperlink" Target="mailto:k.vandeven@unsw.edu.au" TargetMode="External"/><Relationship Id="rId34" Type="http://schemas.openxmlformats.org/officeDocument/2006/relationships/hyperlink" Target="http://www.ndlerf.gov.au/publications/monographs/monograph-59"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Tom.Decorte@ugent.be" TargetMode="External"/><Relationship Id="rId17" Type="http://schemas.openxmlformats.org/officeDocument/2006/relationships/hyperlink" Target="mailto:s.lenton@curtin.edu.au" TargetMode="External"/><Relationship Id="rId25" Type="http://schemas.openxmlformats.org/officeDocument/2006/relationships/hyperlink" Target="https://www.release.org.uk/sites/default/files/pdf/publications/A%20Quiet%20Revolution%20-%20Decriminalisation%20Across%20the%20Globe.pdf" TargetMode="External"/><Relationship Id="rId33" Type="http://schemas.openxmlformats.org/officeDocument/2006/relationships/hyperlink" Target="http://www.globalcommissionondrugs.org/wp-content/uploads/2016/11/GCDP-Report-2016-ENGLISH.pdf" TargetMode="External"/><Relationship Id="rId38" Type="http://schemas.openxmlformats.org/officeDocument/2006/relationships/hyperlink" Target="file:///C:\Users\s2979713\Downloads\Cracked-Justice.pdf"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kjoe@hku.hk" TargetMode="External"/><Relationship Id="rId20" Type="http://schemas.openxmlformats.org/officeDocument/2006/relationships/hyperlink" Target="mailto:m.stefunkova@gmail.com" TargetMode="External"/><Relationship Id="rId29" Type="http://schemas.openxmlformats.org/officeDocument/2006/relationships/hyperlink" Target="http://www.emcdda.europa.eu/countries/drug-reports/2017/finland_en" TargetMode="External"/><Relationship Id="rId41" Type="http://schemas.openxmlformats.org/officeDocument/2006/relationships/hyperlink" Target="http://www.ok.cz/iksp/docs/38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ndulabelackova@gmail.com" TargetMode="External"/><Relationship Id="rId24" Type="http://schemas.openxmlformats.org/officeDocument/2006/relationships/hyperlink" Target="https://www.dea.gov/pr/multimedia-library/publications/drug_of_abuse.pdf" TargetMode="External"/><Relationship Id="rId32" Type="http://schemas.openxmlformats.org/officeDocument/2006/relationships/hyperlink" Target="http://www.emcdda.europa.eu/publications/country-drug-reports/2017/spain_en" TargetMode="External"/><Relationship Id="rId37" Type="http://schemas.openxmlformats.org/officeDocument/2006/relationships/hyperlink" Target="https://issuu.com/nzdrugfoundation/docs/mos-july-2017" TargetMode="External"/><Relationship Id="rId40" Type="http://schemas.openxmlformats.org/officeDocument/2006/relationships/hyperlink" Target="https://www.unodc.org/documents/southeastasiaandpacific/Publications/2015/drugs/ATS_2015_Report_web.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hathawaa@uoguelph.ca" TargetMode="External"/><Relationship Id="rId23" Type="http://schemas.openxmlformats.org/officeDocument/2006/relationships/hyperlink" Target="https://fas.org/sgp/crs/misc/RL30722.pdf" TargetMode="External"/><Relationship Id="rId28" Type="http://schemas.openxmlformats.org/officeDocument/2006/relationships/hyperlink" Target="http://www.emcdda.europa.eu/countries/drug-reports/2017/czech-republic_en" TargetMode="External"/><Relationship Id="rId36" Type="http://schemas.openxmlformats.org/officeDocument/2006/relationships/hyperlink" Target="http://www.campaignasia.com/article/hong-kong-government-warns-young-people-to-stand-firm-against-drugs/220627" TargetMode="External"/><Relationship Id="rId10" Type="http://schemas.openxmlformats.org/officeDocument/2006/relationships/hyperlink" Target="mailto:l.moyle@griffith.edu.au" TargetMode="External"/><Relationship Id="rId19" Type="http://schemas.openxmlformats.org/officeDocument/2006/relationships/hyperlink" Target="mailto:j31.scott@qut.edu.au" TargetMode="External"/><Relationship Id="rId31" Type="http://schemas.openxmlformats.org/officeDocument/2006/relationships/hyperlink" Target="http://www.emcdda.europa.eu/countries/drug-reports/2017/netherlands_en"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oss.coomber@liverpool.ac.uk" TargetMode="External"/><Relationship Id="rId14" Type="http://schemas.openxmlformats.org/officeDocument/2006/relationships/hyperlink" Target="mailto:pekka.hakkarainen@thl.fi" TargetMode="External"/><Relationship Id="rId22" Type="http://schemas.openxmlformats.org/officeDocument/2006/relationships/hyperlink" Target="mailto:werse@em.uni-frankfurt.de" TargetMode="External"/><Relationship Id="rId27" Type="http://schemas.openxmlformats.org/officeDocument/2006/relationships/hyperlink" Target="http://www.emcdda.europa.eu/countries/drug-reports/2017/belgium_en" TargetMode="External"/><Relationship Id="rId30" Type="http://schemas.openxmlformats.org/officeDocument/2006/relationships/hyperlink" Target="http://www.emcdda.europa.eu/countries/drug-reports/2017/germany_en" TargetMode="External"/><Relationship Id="rId35" Type="http://schemas.openxmlformats.org/officeDocument/2006/relationships/hyperlink" Target="http://www.grs.gov.hk/ws/online/anti_drug/en/poster_gallery/index.html"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256269-BDCF-4E6F-A96B-5B6DBD8D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13442</Words>
  <Characters>76625</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89888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Coomber</dc:creator>
  <cp:lastModifiedBy>R Coomber</cp:lastModifiedBy>
  <cp:revision>3</cp:revision>
  <cp:lastPrinted>2017-11-24T00:00:00Z</cp:lastPrinted>
  <dcterms:created xsi:type="dcterms:W3CDTF">2018-06-08T19:20:00Z</dcterms:created>
  <dcterms:modified xsi:type="dcterms:W3CDTF">2018-06-08T19:22:00Z</dcterms:modified>
</cp:coreProperties>
</file>