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86C91" w14:textId="19505443" w:rsidR="004E1511" w:rsidRPr="000C5399" w:rsidRDefault="00675ACF" w:rsidP="00384702">
      <w:pPr>
        <w:jc w:val="center"/>
        <w:rPr>
          <w:b/>
          <w:sz w:val="28"/>
          <w:szCs w:val="28"/>
        </w:rPr>
      </w:pPr>
      <w:bookmarkStart w:id="0" w:name="_GoBack"/>
      <w:bookmarkEnd w:id="0"/>
      <w:r>
        <w:rPr>
          <w:b/>
          <w:sz w:val="28"/>
          <w:szCs w:val="28"/>
        </w:rPr>
        <w:t xml:space="preserve">Integrating </w:t>
      </w:r>
      <w:r w:rsidRPr="000C5399">
        <w:rPr>
          <w:b/>
          <w:sz w:val="28"/>
          <w:szCs w:val="28"/>
        </w:rPr>
        <w:t>Electronic</w:t>
      </w:r>
      <w:r w:rsidR="00587735" w:rsidRPr="000C5399">
        <w:rPr>
          <w:b/>
          <w:sz w:val="28"/>
          <w:szCs w:val="28"/>
        </w:rPr>
        <w:t xml:space="preserve"> </w:t>
      </w:r>
      <w:r w:rsidR="00B913C3" w:rsidRPr="000C5399">
        <w:rPr>
          <w:b/>
          <w:sz w:val="28"/>
          <w:szCs w:val="28"/>
        </w:rPr>
        <w:t>H</w:t>
      </w:r>
      <w:r w:rsidR="00587735" w:rsidRPr="000C5399">
        <w:rPr>
          <w:b/>
          <w:sz w:val="28"/>
          <w:szCs w:val="28"/>
        </w:rPr>
        <w:t>ealth</w:t>
      </w:r>
      <w:r w:rsidR="00C16E02" w:rsidRPr="000C5399">
        <w:rPr>
          <w:b/>
          <w:sz w:val="28"/>
          <w:szCs w:val="28"/>
        </w:rPr>
        <w:t>care</w:t>
      </w:r>
      <w:r w:rsidR="00587735" w:rsidRPr="000C5399">
        <w:rPr>
          <w:b/>
          <w:sz w:val="28"/>
          <w:szCs w:val="28"/>
        </w:rPr>
        <w:t xml:space="preserve"> </w:t>
      </w:r>
      <w:r w:rsidR="00B913C3" w:rsidRPr="000C5399">
        <w:rPr>
          <w:b/>
          <w:sz w:val="28"/>
          <w:szCs w:val="28"/>
        </w:rPr>
        <w:t>R</w:t>
      </w:r>
      <w:r w:rsidR="00587735" w:rsidRPr="000C5399">
        <w:rPr>
          <w:b/>
          <w:sz w:val="28"/>
          <w:szCs w:val="28"/>
        </w:rPr>
        <w:t>ecords</w:t>
      </w:r>
      <w:r w:rsidR="000471AE">
        <w:rPr>
          <w:b/>
          <w:sz w:val="28"/>
          <w:szCs w:val="28"/>
        </w:rPr>
        <w:t xml:space="preserve"> of Armed Forces Personnel</w:t>
      </w:r>
      <w:r w:rsidR="00587735" w:rsidRPr="000C5399">
        <w:rPr>
          <w:b/>
          <w:sz w:val="28"/>
          <w:szCs w:val="28"/>
        </w:rPr>
        <w:t xml:space="preserve">: </w:t>
      </w:r>
      <w:r w:rsidR="004E1511" w:rsidRPr="000C5399">
        <w:rPr>
          <w:b/>
          <w:sz w:val="28"/>
          <w:szCs w:val="28"/>
        </w:rPr>
        <w:t xml:space="preserve">Developing a </w:t>
      </w:r>
      <w:r w:rsidR="005A1C22">
        <w:rPr>
          <w:b/>
          <w:sz w:val="28"/>
          <w:szCs w:val="28"/>
        </w:rPr>
        <w:t>framework</w:t>
      </w:r>
      <w:r w:rsidR="004E1511" w:rsidRPr="000C5399">
        <w:rPr>
          <w:b/>
          <w:sz w:val="28"/>
          <w:szCs w:val="28"/>
        </w:rPr>
        <w:t xml:space="preserve"> for evaluating </w:t>
      </w:r>
      <w:r w:rsidR="00CD7219" w:rsidRPr="000C5399">
        <w:rPr>
          <w:b/>
          <w:sz w:val="28"/>
          <w:szCs w:val="28"/>
        </w:rPr>
        <w:t xml:space="preserve">health </w:t>
      </w:r>
      <w:r w:rsidR="00146FE0" w:rsidRPr="000C5399">
        <w:rPr>
          <w:b/>
          <w:sz w:val="28"/>
          <w:szCs w:val="28"/>
        </w:rPr>
        <w:t>outcomes</w:t>
      </w:r>
      <w:r w:rsidR="00CD7219" w:rsidRPr="000C5399">
        <w:rPr>
          <w:b/>
          <w:sz w:val="28"/>
          <w:szCs w:val="28"/>
        </w:rPr>
        <w:t xml:space="preserve"> </w:t>
      </w:r>
      <w:r w:rsidR="00DE3FE8">
        <w:rPr>
          <w:b/>
          <w:sz w:val="28"/>
          <w:szCs w:val="28"/>
        </w:rPr>
        <w:t>in</w:t>
      </w:r>
      <w:r w:rsidR="009F3916" w:rsidRPr="000C5399">
        <w:rPr>
          <w:b/>
          <w:sz w:val="28"/>
          <w:szCs w:val="28"/>
        </w:rPr>
        <w:t xml:space="preserve"> England, Scotland and Wales</w:t>
      </w:r>
    </w:p>
    <w:p w14:paraId="0E8891AE" w14:textId="7D02734D" w:rsidR="00A94295" w:rsidRDefault="00A94295" w:rsidP="00611B7E">
      <w:pPr>
        <w:jc w:val="center"/>
        <w:rPr>
          <w:vertAlign w:val="superscript"/>
        </w:rPr>
      </w:pPr>
      <w:r>
        <w:t>Daniel Leightley</w:t>
      </w:r>
      <w:r w:rsidR="003068FF" w:rsidRPr="003068FF">
        <w:rPr>
          <w:vertAlign w:val="superscript"/>
        </w:rPr>
        <w:t>1</w:t>
      </w:r>
      <w:r w:rsidR="00087AF5" w:rsidRPr="00B754F0">
        <w:t>*</w:t>
      </w:r>
      <w:r>
        <w:t>, Zoe Chui</w:t>
      </w:r>
      <w:r w:rsidR="003068FF" w:rsidRPr="003068FF">
        <w:rPr>
          <w:vertAlign w:val="superscript"/>
        </w:rPr>
        <w:t>1</w:t>
      </w:r>
      <w:r>
        <w:t xml:space="preserve">, </w:t>
      </w:r>
      <w:r w:rsidR="00C34100">
        <w:t>Margaret Jones</w:t>
      </w:r>
      <w:r w:rsidR="00C34100" w:rsidRPr="00C34100">
        <w:rPr>
          <w:vertAlign w:val="superscript"/>
        </w:rPr>
        <w:t>1</w:t>
      </w:r>
      <w:r w:rsidR="00C34100">
        <w:t xml:space="preserve">, </w:t>
      </w:r>
      <w:r>
        <w:t>Sabine Landau</w:t>
      </w:r>
      <w:r w:rsidR="00BC3440" w:rsidRPr="00E469A7">
        <w:rPr>
          <w:vertAlign w:val="superscript"/>
        </w:rPr>
        <w:t>2</w:t>
      </w:r>
      <w:r>
        <w:t>, Paul McCrone</w:t>
      </w:r>
      <w:r w:rsidR="00070348" w:rsidRPr="00070348">
        <w:rPr>
          <w:vertAlign w:val="superscript"/>
        </w:rPr>
        <w:t>3</w:t>
      </w:r>
      <w:r>
        <w:t>, Richard D. Hayes</w:t>
      </w:r>
      <w:r w:rsidR="00D835F4" w:rsidRPr="00D835F4">
        <w:rPr>
          <w:vertAlign w:val="superscript"/>
        </w:rPr>
        <w:t>4</w:t>
      </w:r>
      <w:r>
        <w:t xml:space="preserve">, </w:t>
      </w:r>
      <w:r w:rsidR="005427B8">
        <w:t>Simon Wessely</w:t>
      </w:r>
      <w:r w:rsidR="003068FF" w:rsidRPr="003068FF">
        <w:rPr>
          <w:vertAlign w:val="superscript"/>
        </w:rPr>
        <w:t>1</w:t>
      </w:r>
      <w:r w:rsidR="008E528F">
        <w:rPr>
          <w:vertAlign w:val="superscript"/>
        </w:rPr>
        <w:t>, 6</w:t>
      </w:r>
      <w:r w:rsidR="005427B8">
        <w:t>, Nicola T. Fear</w:t>
      </w:r>
      <w:r w:rsidR="003068FF" w:rsidRPr="003068FF">
        <w:rPr>
          <w:vertAlign w:val="superscript"/>
        </w:rPr>
        <w:t>1</w:t>
      </w:r>
      <w:r w:rsidR="008E528F">
        <w:rPr>
          <w:vertAlign w:val="superscript"/>
        </w:rPr>
        <w:t>, 6</w:t>
      </w:r>
      <w:r w:rsidR="005427B8">
        <w:t xml:space="preserve"> and Laura Goodwin</w:t>
      </w:r>
      <w:r w:rsidR="003068FF" w:rsidRPr="003068FF">
        <w:rPr>
          <w:vertAlign w:val="superscript"/>
        </w:rPr>
        <w:t>1</w:t>
      </w:r>
      <w:r w:rsidR="008E528F">
        <w:rPr>
          <w:vertAlign w:val="superscript"/>
        </w:rPr>
        <w:t>, 5</w:t>
      </w:r>
    </w:p>
    <w:p w14:paraId="6238B432" w14:textId="738F420C" w:rsidR="00B754F0" w:rsidRDefault="00CC4813" w:rsidP="00B754F0">
      <w:pPr>
        <w:jc w:val="center"/>
      </w:pPr>
      <w:r w:rsidRPr="00CC4813">
        <w:t>dleightley@ieee.org</w:t>
      </w:r>
      <w:r>
        <w:t xml:space="preserve">, </w:t>
      </w:r>
      <w:r w:rsidR="00B754F0">
        <w:t>{</w:t>
      </w:r>
      <w:proofErr w:type="spellStart"/>
      <w:r w:rsidR="00B754F0" w:rsidRPr="007F219B">
        <w:rPr>
          <w:i/>
        </w:rPr>
        <w:t>zoe.e.chui</w:t>
      </w:r>
      <w:proofErr w:type="spellEnd"/>
      <w:r w:rsidR="00B754F0" w:rsidRPr="007F219B">
        <w:rPr>
          <w:i/>
        </w:rPr>
        <w:t>,</w:t>
      </w:r>
      <w:r w:rsidR="00C34100" w:rsidRPr="007F219B">
        <w:rPr>
          <w:i/>
        </w:rPr>
        <w:t xml:space="preserve"> </w:t>
      </w:r>
      <w:proofErr w:type="spellStart"/>
      <w:r w:rsidR="00C34100" w:rsidRPr="007F219B">
        <w:rPr>
          <w:i/>
        </w:rPr>
        <w:t>margaret.jones</w:t>
      </w:r>
      <w:proofErr w:type="spellEnd"/>
      <w:r w:rsidR="00C34100" w:rsidRPr="007F219B">
        <w:rPr>
          <w:i/>
        </w:rPr>
        <w:t>,</w:t>
      </w:r>
      <w:r w:rsidR="00B754F0" w:rsidRPr="007F219B">
        <w:rPr>
          <w:i/>
        </w:rPr>
        <w:t xml:space="preserve"> </w:t>
      </w:r>
      <w:proofErr w:type="spellStart"/>
      <w:r w:rsidR="00B754F0" w:rsidRPr="007F219B">
        <w:rPr>
          <w:i/>
        </w:rPr>
        <w:t>sabine</w:t>
      </w:r>
      <w:r w:rsidR="00AC607F">
        <w:rPr>
          <w:i/>
        </w:rPr>
        <w:t>.landau</w:t>
      </w:r>
      <w:proofErr w:type="spellEnd"/>
      <w:r w:rsidR="00AC607F">
        <w:rPr>
          <w:i/>
        </w:rPr>
        <w:t xml:space="preserve">, </w:t>
      </w:r>
      <w:proofErr w:type="spellStart"/>
      <w:r w:rsidR="00AC607F">
        <w:rPr>
          <w:i/>
        </w:rPr>
        <w:t>paul.mccrone</w:t>
      </w:r>
      <w:proofErr w:type="spellEnd"/>
      <w:r w:rsidR="00AC607F">
        <w:rPr>
          <w:i/>
        </w:rPr>
        <w:t xml:space="preserve">, </w:t>
      </w:r>
      <w:proofErr w:type="spellStart"/>
      <w:r w:rsidR="00AC607F">
        <w:rPr>
          <w:i/>
        </w:rPr>
        <w:t>richard</w:t>
      </w:r>
      <w:r w:rsidR="00B754F0" w:rsidRPr="007F219B">
        <w:rPr>
          <w:i/>
        </w:rPr>
        <w:t>.hayes</w:t>
      </w:r>
      <w:proofErr w:type="spellEnd"/>
      <w:r w:rsidR="00B754F0" w:rsidRPr="007F219B">
        <w:rPr>
          <w:i/>
        </w:rPr>
        <w:t xml:space="preserve">, </w:t>
      </w:r>
      <w:proofErr w:type="spellStart"/>
      <w:r w:rsidR="00B754F0" w:rsidRPr="007F219B">
        <w:rPr>
          <w:i/>
        </w:rPr>
        <w:t>simon.wessely</w:t>
      </w:r>
      <w:proofErr w:type="spellEnd"/>
      <w:r w:rsidR="00B754F0" w:rsidRPr="007F219B">
        <w:rPr>
          <w:i/>
        </w:rPr>
        <w:t xml:space="preserve">, </w:t>
      </w:r>
      <w:proofErr w:type="spellStart"/>
      <w:r w:rsidR="00B754F0" w:rsidRPr="007F219B">
        <w:rPr>
          <w:i/>
        </w:rPr>
        <w:t>nicola.t.fear</w:t>
      </w:r>
      <w:proofErr w:type="spellEnd"/>
      <w:r w:rsidR="00B754F0" w:rsidRPr="00B754F0">
        <w:t>}@kcl.ac.uk</w:t>
      </w:r>
      <w:r w:rsidR="00B754F0">
        <w:t xml:space="preserve">, </w:t>
      </w:r>
      <w:r w:rsidR="00B754F0" w:rsidRPr="00473C02">
        <w:rPr>
          <w:i/>
        </w:rPr>
        <w:t>laura.goodwin</w:t>
      </w:r>
      <w:r w:rsidR="00B754F0">
        <w:t>@liverpool.ac.uk</w:t>
      </w:r>
    </w:p>
    <w:p w14:paraId="5ABCA845" w14:textId="5671876F" w:rsidR="003068FF" w:rsidRDefault="003068FF" w:rsidP="00D271B9">
      <w:pPr>
        <w:pStyle w:val="NoSpacing"/>
      </w:pPr>
      <w:r w:rsidRPr="003068FF">
        <w:rPr>
          <w:vertAlign w:val="superscript"/>
        </w:rPr>
        <w:t>1</w:t>
      </w:r>
      <w:r>
        <w:t>King’s Centre for Military Health Research, Institute of Psychiatry, Psychology &amp; Neuroscience, King’s College London</w:t>
      </w:r>
      <w:r w:rsidR="004F2F3C">
        <w:t>.</w:t>
      </w:r>
    </w:p>
    <w:p w14:paraId="5049A1B2" w14:textId="77777777" w:rsidR="00CD46CC" w:rsidRDefault="00CD46CC" w:rsidP="00D271B9">
      <w:pPr>
        <w:pStyle w:val="NoSpacing"/>
      </w:pPr>
    </w:p>
    <w:p w14:paraId="0CBBA38F" w14:textId="2884ED0E" w:rsidR="00E469A7" w:rsidRDefault="00E469A7" w:rsidP="00D271B9">
      <w:pPr>
        <w:pStyle w:val="NoSpacing"/>
      </w:pPr>
      <w:r w:rsidRPr="00E469A7">
        <w:rPr>
          <w:vertAlign w:val="superscript"/>
        </w:rPr>
        <w:t>2</w:t>
      </w:r>
      <w:r w:rsidR="00D835F4">
        <w:t>Biostatistics</w:t>
      </w:r>
      <w:r w:rsidR="001526E3">
        <w:t xml:space="preserve"> &amp; Health Informatics</w:t>
      </w:r>
      <w:r>
        <w:t>, Institute of Psychiatry, Psychology &amp; Neuroscience, King’s College London.</w:t>
      </w:r>
    </w:p>
    <w:p w14:paraId="33CCFC89" w14:textId="77777777" w:rsidR="00CD46CC" w:rsidRDefault="00CD46CC" w:rsidP="00D271B9">
      <w:pPr>
        <w:pStyle w:val="NoSpacing"/>
      </w:pPr>
    </w:p>
    <w:p w14:paraId="771BE472" w14:textId="22414CE7" w:rsidR="00070348" w:rsidRDefault="00070348" w:rsidP="00D271B9">
      <w:pPr>
        <w:pStyle w:val="NoSpacing"/>
      </w:pPr>
      <w:r w:rsidRPr="00070348">
        <w:rPr>
          <w:vertAlign w:val="superscript"/>
        </w:rPr>
        <w:t>3</w:t>
      </w:r>
      <w:r w:rsidR="00BC3440">
        <w:t xml:space="preserve">Health </w:t>
      </w:r>
      <w:r w:rsidR="00D835F4">
        <w:t>Services &amp; Population Research</w:t>
      </w:r>
      <w:r>
        <w:t>, Institute of Psychiatry, Psychology &amp; Neuroscience, King’s College London.</w:t>
      </w:r>
    </w:p>
    <w:p w14:paraId="5A00E990" w14:textId="77777777" w:rsidR="00CD46CC" w:rsidRDefault="00CD46CC" w:rsidP="00D271B9">
      <w:pPr>
        <w:pStyle w:val="NoSpacing"/>
      </w:pPr>
    </w:p>
    <w:p w14:paraId="3E3002F9" w14:textId="02A8A2A7" w:rsidR="00D835F4" w:rsidRDefault="00D835F4" w:rsidP="00D271B9">
      <w:pPr>
        <w:pStyle w:val="NoSpacing"/>
      </w:pPr>
      <w:r w:rsidRPr="00D835F4">
        <w:rPr>
          <w:vertAlign w:val="superscript"/>
        </w:rPr>
        <w:t>4</w:t>
      </w:r>
      <w:r>
        <w:t>Psychological Medicine, Institute of Psychiatry, Psychology &amp; Neuroscience, King’s College London.</w:t>
      </w:r>
    </w:p>
    <w:p w14:paraId="700D1253" w14:textId="77777777" w:rsidR="00CD46CC" w:rsidRDefault="00CD46CC" w:rsidP="00D271B9">
      <w:pPr>
        <w:pStyle w:val="NoSpacing"/>
      </w:pPr>
    </w:p>
    <w:p w14:paraId="073B701F" w14:textId="77777777" w:rsidR="00AF0FC8" w:rsidRDefault="00AF0FC8" w:rsidP="00AF0FC8">
      <w:pPr>
        <w:pStyle w:val="NoSpacing"/>
      </w:pPr>
      <w:r w:rsidRPr="00200CC3">
        <w:rPr>
          <w:vertAlign w:val="superscript"/>
        </w:rPr>
        <w:t>5</w:t>
      </w:r>
      <w:r>
        <w:t xml:space="preserve">Institute of Psychology, Health &amp; Society, University of Liverpool. </w:t>
      </w:r>
    </w:p>
    <w:p w14:paraId="21403F16" w14:textId="77777777" w:rsidR="00AF0FC8" w:rsidRDefault="00AF0FC8" w:rsidP="00AF0FC8">
      <w:pPr>
        <w:pStyle w:val="NoSpacing"/>
        <w:rPr>
          <w:vertAlign w:val="superscript"/>
        </w:rPr>
      </w:pPr>
    </w:p>
    <w:p w14:paraId="0E48FDE0" w14:textId="7B348CA1" w:rsidR="00AF0FC8" w:rsidRDefault="00AF0FC8" w:rsidP="00AF0FC8">
      <w:pPr>
        <w:pStyle w:val="NoSpacing"/>
      </w:pPr>
      <w:r>
        <w:rPr>
          <w:vertAlign w:val="superscript"/>
        </w:rPr>
        <w:t>6</w:t>
      </w:r>
      <w:r w:rsidR="008E15AF">
        <w:t>Academic Department of Military Mental Health,</w:t>
      </w:r>
      <w:r w:rsidR="008E15AF" w:rsidRPr="008E15AF">
        <w:t xml:space="preserve"> </w:t>
      </w:r>
      <w:r w:rsidR="008E15AF">
        <w:t xml:space="preserve">Institute of Psychiatry, Psychology &amp; Neuroscience, King’s College London. </w:t>
      </w:r>
      <w:r>
        <w:t xml:space="preserve"> </w:t>
      </w:r>
    </w:p>
    <w:p w14:paraId="59E5B2EE" w14:textId="77777777" w:rsidR="00CC4813" w:rsidRDefault="00CC4813" w:rsidP="00D271B9">
      <w:pPr>
        <w:pStyle w:val="NoSpacing"/>
      </w:pPr>
    </w:p>
    <w:p w14:paraId="63B47BF6" w14:textId="170806BC" w:rsidR="00087AF5" w:rsidRDefault="00105501" w:rsidP="00D271B9">
      <w:pPr>
        <w:pStyle w:val="NoSpacing"/>
      </w:pPr>
      <w:r>
        <w:t>*Corresponding author</w:t>
      </w:r>
    </w:p>
    <w:p w14:paraId="433F65A6" w14:textId="35AD0044" w:rsidR="00BC3440" w:rsidRDefault="00BC3440" w:rsidP="00E469A7"/>
    <w:p w14:paraId="0BA4CA99" w14:textId="77777777" w:rsidR="003068FF" w:rsidRDefault="003068FF" w:rsidP="00611B7E">
      <w:pPr>
        <w:jc w:val="center"/>
      </w:pPr>
    </w:p>
    <w:p w14:paraId="4BFD127E" w14:textId="77777777" w:rsidR="003068FF" w:rsidRDefault="003068FF" w:rsidP="00611B7E">
      <w:pPr>
        <w:jc w:val="center"/>
      </w:pPr>
    </w:p>
    <w:p w14:paraId="46BB4D7B" w14:textId="77777777" w:rsidR="003068FF" w:rsidRDefault="003068FF" w:rsidP="00611B7E">
      <w:pPr>
        <w:jc w:val="center"/>
      </w:pPr>
    </w:p>
    <w:p w14:paraId="4F7ECF9C" w14:textId="77777777" w:rsidR="006B5FAA" w:rsidRDefault="006B5FAA" w:rsidP="00611B7E">
      <w:pPr>
        <w:jc w:val="center"/>
      </w:pPr>
    </w:p>
    <w:p w14:paraId="5F9D1232" w14:textId="77777777" w:rsidR="00A94295" w:rsidRDefault="00A94295">
      <w:r>
        <w:br w:type="page"/>
      </w:r>
    </w:p>
    <w:p w14:paraId="6829D0F6" w14:textId="77777777" w:rsidR="00747C40" w:rsidRDefault="00587735" w:rsidP="00A23430">
      <w:pPr>
        <w:outlineLvl w:val="0"/>
        <w:rPr>
          <w:b/>
          <w:u w:val="single"/>
        </w:rPr>
      </w:pPr>
      <w:r>
        <w:rPr>
          <w:b/>
          <w:u w:val="single"/>
        </w:rPr>
        <w:lastRenderedPageBreak/>
        <w:t xml:space="preserve">Abstract </w:t>
      </w:r>
    </w:p>
    <w:p w14:paraId="6E9B846D" w14:textId="55CA9C59" w:rsidR="00821114" w:rsidRDefault="00F66423" w:rsidP="00B57DE6">
      <w:pPr>
        <w:jc w:val="both"/>
      </w:pPr>
      <w:r w:rsidRPr="00D9203B">
        <w:rPr>
          <w:b/>
        </w:rPr>
        <w:t>Background</w:t>
      </w:r>
      <w:r>
        <w:t xml:space="preserve">: </w:t>
      </w:r>
      <w:r w:rsidR="00C41288">
        <w:t>Electronic Healthcare R</w:t>
      </w:r>
      <w:r w:rsidR="00B45397">
        <w:t>ecords</w:t>
      </w:r>
      <w:r w:rsidR="000A4A95">
        <w:t xml:space="preserve"> (EHRs)</w:t>
      </w:r>
      <w:r w:rsidR="00B2353C">
        <w:t xml:space="preserve"> </w:t>
      </w:r>
      <w:r w:rsidR="002C2CCB">
        <w:t xml:space="preserve">are </w:t>
      </w:r>
      <w:r w:rsidR="006F3865">
        <w:t>created</w:t>
      </w:r>
      <w:r w:rsidR="002C2CCB">
        <w:t xml:space="preserve"> to </w:t>
      </w:r>
      <w:r w:rsidR="00DE10AD">
        <w:t xml:space="preserve">capture </w:t>
      </w:r>
      <w:r w:rsidR="007924B9">
        <w:t xml:space="preserve">summaries </w:t>
      </w:r>
      <w:r w:rsidR="00B2353C">
        <w:t>of care</w:t>
      </w:r>
      <w:r w:rsidR="00DE10AD">
        <w:t xml:space="preserve"> </w:t>
      </w:r>
      <w:r w:rsidR="00892478">
        <w:t xml:space="preserve">and contact </w:t>
      </w:r>
      <w:r w:rsidR="00E13D57">
        <w:t xml:space="preserve">made </w:t>
      </w:r>
      <w:r w:rsidR="00CC4813">
        <w:t xml:space="preserve">to </w:t>
      </w:r>
      <w:r w:rsidR="006C7A5A">
        <w:t>health</w:t>
      </w:r>
      <w:r w:rsidR="00DA1603">
        <w:t>care</w:t>
      </w:r>
      <w:r w:rsidR="006C7A5A">
        <w:t xml:space="preserve"> services. EHRs </w:t>
      </w:r>
      <w:r w:rsidR="008F2E7E">
        <w:t>offer</w:t>
      </w:r>
      <w:r>
        <w:t xml:space="preserve"> a means </w:t>
      </w:r>
      <w:r w:rsidR="005407EE">
        <w:t>to</w:t>
      </w:r>
      <w:r>
        <w:t xml:space="preserve"> </w:t>
      </w:r>
      <w:r w:rsidR="005407EE">
        <w:t>analyse</w:t>
      </w:r>
      <w:r>
        <w:t xml:space="preserve"> </w:t>
      </w:r>
      <w:r w:rsidR="008F2E7E">
        <w:t>admissions</w:t>
      </w:r>
      <w:r>
        <w:t xml:space="preserve"> to hospitals</w:t>
      </w:r>
      <w:r w:rsidR="00DE10AD">
        <w:t xml:space="preserve"> for </w:t>
      </w:r>
      <w:r w:rsidR="00E128CE">
        <w:t>epidemiological research</w:t>
      </w:r>
      <w:r>
        <w:t>.</w:t>
      </w:r>
      <w:r w:rsidR="00892478">
        <w:t xml:space="preserve"> </w:t>
      </w:r>
      <w:r w:rsidR="00CB564F">
        <w:t xml:space="preserve">In the United Kingdom (UK), </w:t>
      </w:r>
      <w:r w:rsidR="00892478">
        <w:t xml:space="preserve">England, Scotland and Wales </w:t>
      </w:r>
      <w:r w:rsidR="00531607">
        <w:t>maintain separate data store</w:t>
      </w:r>
      <w:r w:rsidR="00121779">
        <w:t>s</w:t>
      </w:r>
      <w:r w:rsidR="003C29EB">
        <w:t>, which are</w:t>
      </w:r>
      <w:r w:rsidR="000A78C3">
        <w:t xml:space="preserve"> </w:t>
      </w:r>
      <w:r w:rsidR="00A60073">
        <w:t xml:space="preserve">administered </w:t>
      </w:r>
      <w:r w:rsidR="00892478">
        <w:t xml:space="preserve">and managed </w:t>
      </w:r>
      <w:r w:rsidR="00B75164">
        <w:t>exclusively</w:t>
      </w:r>
      <w:r w:rsidR="00122CD5">
        <w:t xml:space="preserve"> </w:t>
      </w:r>
      <w:r w:rsidR="00892478">
        <w:t xml:space="preserve">by </w:t>
      </w:r>
      <w:r w:rsidR="00C66E23">
        <w:t>devolved</w:t>
      </w:r>
      <w:r w:rsidR="00657D30">
        <w:t xml:space="preserve"> Government</w:t>
      </w:r>
      <w:r w:rsidR="00892478">
        <w:t xml:space="preserve">. </w:t>
      </w:r>
      <w:r w:rsidR="00B75164">
        <w:t>This independence results in harmonisation challenges, not least</w:t>
      </w:r>
      <w:r w:rsidR="00122CD5">
        <w:t xml:space="preserve"> lack of uniformi</w:t>
      </w:r>
      <w:r w:rsidR="00B75164">
        <w:t xml:space="preserve">ty, making </w:t>
      </w:r>
      <w:r w:rsidR="00122CD5">
        <w:t xml:space="preserve">it </w:t>
      </w:r>
      <w:r w:rsidR="007F1510">
        <w:t>difficult</w:t>
      </w:r>
      <w:r w:rsidR="00122CD5">
        <w:t xml:space="preserve"> to </w:t>
      </w:r>
      <w:r w:rsidR="004E6AEB">
        <w:t>evaluate</w:t>
      </w:r>
      <w:r w:rsidR="00122CD5">
        <w:t xml:space="preserve"> care, diagnoses and treatment </w:t>
      </w:r>
      <w:r w:rsidR="00821114">
        <w:t xml:space="preserve">across </w:t>
      </w:r>
      <w:r w:rsidR="00C85B26">
        <w:t xml:space="preserve">the </w:t>
      </w:r>
      <w:r w:rsidR="00CB564F">
        <w:t>UK</w:t>
      </w:r>
      <w:r w:rsidR="00821114">
        <w:t xml:space="preserve">. To overcome this lack of </w:t>
      </w:r>
      <w:r w:rsidR="00FE460E">
        <w:t>uniformity</w:t>
      </w:r>
      <w:r w:rsidR="00821114">
        <w:t xml:space="preserve">, it is important to develop methods to </w:t>
      </w:r>
      <w:r w:rsidR="00861052">
        <w:t>integrate</w:t>
      </w:r>
      <w:r w:rsidR="00821114">
        <w:t xml:space="preserve"> EHRs </w:t>
      </w:r>
      <w:r w:rsidR="009C1F9C">
        <w:t xml:space="preserve">to provide a </w:t>
      </w:r>
      <w:r w:rsidR="006E025C">
        <w:t>multi-nation</w:t>
      </w:r>
      <w:r w:rsidR="009C1F9C">
        <w:t xml:space="preserve"> </w:t>
      </w:r>
      <w:r w:rsidR="002E0F3B">
        <w:t>dataset</w:t>
      </w:r>
      <w:r w:rsidR="009C1F9C">
        <w:t xml:space="preserve"> </w:t>
      </w:r>
      <w:r w:rsidR="00821114">
        <w:t xml:space="preserve">of health. </w:t>
      </w:r>
    </w:p>
    <w:p w14:paraId="566B2280" w14:textId="02DCE0B2" w:rsidR="004C199A" w:rsidRDefault="009A4D4B" w:rsidP="00CC43DC">
      <w:pPr>
        <w:jc w:val="both"/>
      </w:pPr>
      <w:r>
        <w:rPr>
          <w:b/>
        </w:rPr>
        <w:t xml:space="preserve">Objective: </w:t>
      </w:r>
      <w:r w:rsidR="00BE512A">
        <w:t xml:space="preserve">To develop and describe a method which </w:t>
      </w:r>
      <w:r w:rsidR="001801F4">
        <w:t>integrates</w:t>
      </w:r>
      <w:r w:rsidR="00BE512A">
        <w:t xml:space="preserve"> </w:t>
      </w:r>
      <w:r w:rsidR="003F1836">
        <w:t xml:space="preserve">the </w:t>
      </w:r>
      <w:r w:rsidR="00BE512A">
        <w:t xml:space="preserve">EHRs </w:t>
      </w:r>
      <w:r w:rsidR="002A551F">
        <w:t xml:space="preserve">of Armed Forces personnel </w:t>
      </w:r>
      <w:r w:rsidR="00861052">
        <w:t>in</w:t>
      </w:r>
      <w:r w:rsidR="00BE512A">
        <w:t xml:space="preserve"> England, Scotland and Wales based on variable commonality to produce a </w:t>
      </w:r>
      <w:r w:rsidR="00550753">
        <w:t>multi-nation</w:t>
      </w:r>
      <w:r w:rsidR="00E75A1E">
        <w:t xml:space="preserve"> </w:t>
      </w:r>
      <w:r w:rsidR="00BE512A">
        <w:t xml:space="preserve">dataset of </w:t>
      </w:r>
      <w:r w:rsidR="006C7A5A">
        <w:t xml:space="preserve">secondary </w:t>
      </w:r>
      <w:r w:rsidR="00BE512A">
        <w:t>health care.</w:t>
      </w:r>
    </w:p>
    <w:p w14:paraId="706C1290" w14:textId="305D5EB1" w:rsidR="00E442A8" w:rsidRDefault="00F66423" w:rsidP="00D83F1B">
      <w:pPr>
        <w:jc w:val="both"/>
      </w:pPr>
      <w:r w:rsidRPr="005541C9">
        <w:rPr>
          <w:b/>
        </w:rPr>
        <w:t>Methods:</w:t>
      </w:r>
      <w:r>
        <w:t xml:space="preserve"> </w:t>
      </w:r>
      <w:r w:rsidR="00ED35D5">
        <w:t>An</w:t>
      </w:r>
      <w:r w:rsidR="0099464F">
        <w:t xml:space="preserve"> </w:t>
      </w:r>
      <w:r w:rsidR="00BE4444">
        <w:t>Armed Forces</w:t>
      </w:r>
      <w:r w:rsidR="0099464F">
        <w:t xml:space="preserve"> cohort</w:t>
      </w:r>
      <w:r w:rsidR="00ED35D5">
        <w:t xml:space="preserve"> was used to </w:t>
      </w:r>
      <w:r w:rsidR="00861052">
        <w:t xml:space="preserve">extract and </w:t>
      </w:r>
      <w:r w:rsidR="000F333D">
        <w:t>integrate</w:t>
      </w:r>
      <w:r w:rsidR="00DC7AC9">
        <w:t xml:space="preserve"> </w:t>
      </w:r>
      <w:r w:rsidR="00EC3FE6">
        <w:t>three</w:t>
      </w:r>
      <w:r w:rsidR="0099464F">
        <w:t xml:space="preserve"> EHR</w:t>
      </w:r>
      <w:r w:rsidR="00EC3FE6">
        <w:t xml:space="preserve"> </w:t>
      </w:r>
      <w:r w:rsidR="00DC7AC9">
        <w:t>data</w:t>
      </w:r>
      <w:r w:rsidR="00F27361">
        <w:t>sets</w:t>
      </w:r>
      <w:r w:rsidR="001A73FA">
        <w:t>,</w:t>
      </w:r>
      <w:r w:rsidR="00A23430">
        <w:t xml:space="preserve"> using commonality as the linkage point. This </w:t>
      </w:r>
      <w:r w:rsidR="00B92751">
        <w:t>was</w:t>
      </w:r>
      <w:r w:rsidR="00A23430">
        <w:t xml:space="preserve"> achieved by evaluating and </w:t>
      </w:r>
      <w:r w:rsidR="00AD086D">
        <w:t>combining</w:t>
      </w:r>
      <w:r w:rsidR="00A23430">
        <w:t xml:space="preserve"> variables which share</w:t>
      </w:r>
      <w:r w:rsidR="00B92751">
        <w:t>d</w:t>
      </w:r>
      <w:r w:rsidR="00BD6D62">
        <w:t xml:space="preserve"> the same characteristics</w:t>
      </w:r>
      <w:r w:rsidR="00A23430">
        <w:t xml:space="preserve">. </w:t>
      </w:r>
      <w:r>
        <w:t>EHRs representing Accident and Emergency</w:t>
      </w:r>
      <w:r w:rsidR="00851B1B">
        <w:t xml:space="preserve"> (A&amp;E)</w:t>
      </w:r>
      <w:r>
        <w:t>, Admitted Patient Care</w:t>
      </w:r>
      <w:r w:rsidR="00650B0E">
        <w:t xml:space="preserve"> </w:t>
      </w:r>
      <w:r w:rsidR="00930761">
        <w:t>(APC)</w:t>
      </w:r>
      <w:r w:rsidR="00966D40">
        <w:t xml:space="preserve"> and Outpatient care</w:t>
      </w:r>
      <w:r w:rsidR="0048227C">
        <w:t xml:space="preserve"> were </w:t>
      </w:r>
      <w:r w:rsidR="00E206D1">
        <w:t>combined</w:t>
      </w:r>
      <w:r w:rsidR="0048227C">
        <w:t xml:space="preserve"> to create a </w:t>
      </w:r>
      <w:r w:rsidR="00851B1B">
        <w:t>patient</w:t>
      </w:r>
      <w:r w:rsidR="0048227C">
        <w:t>-level history</w:t>
      </w:r>
      <w:r w:rsidR="00BC0F71">
        <w:t xml:space="preserve"> spanning three </w:t>
      </w:r>
      <w:r w:rsidR="00745A36">
        <w:t>nations</w:t>
      </w:r>
      <w:r w:rsidR="0048227C">
        <w:t xml:space="preserve">. </w:t>
      </w:r>
      <w:r w:rsidR="00BC0F71">
        <w:t>P</w:t>
      </w:r>
      <w:r w:rsidR="00136C59">
        <w:t xml:space="preserve">atient-level EHRs were </w:t>
      </w:r>
      <w:r w:rsidR="00112BDD">
        <w:t>examined</w:t>
      </w:r>
      <w:r w:rsidR="00136C59">
        <w:t xml:space="preserve"> </w:t>
      </w:r>
      <w:r w:rsidR="00B16A38">
        <w:t xml:space="preserve">to </w:t>
      </w:r>
      <w:r w:rsidR="00E442A8">
        <w:t>ascertain</w:t>
      </w:r>
      <w:r w:rsidR="00B16A38">
        <w:t xml:space="preserve"> </w:t>
      </w:r>
      <w:r w:rsidR="00E442A8">
        <w:t xml:space="preserve">admission differences, common diagnoses and </w:t>
      </w:r>
      <w:r w:rsidR="00183AD6">
        <w:t xml:space="preserve">record completeness. </w:t>
      </w:r>
    </w:p>
    <w:p w14:paraId="289E1CBA" w14:textId="5E7237B4" w:rsidR="00597C01" w:rsidRPr="00470EF5" w:rsidRDefault="00F66423" w:rsidP="00B74AA3">
      <w:pPr>
        <w:jc w:val="both"/>
        <w:outlineLvl w:val="0"/>
        <w:rPr>
          <w:b/>
        </w:rPr>
      </w:pPr>
      <w:r w:rsidRPr="00C806FC">
        <w:rPr>
          <w:b/>
        </w:rPr>
        <w:t>Results:</w:t>
      </w:r>
      <w:r>
        <w:rPr>
          <w:b/>
        </w:rPr>
        <w:t xml:space="preserve"> </w:t>
      </w:r>
      <w:r w:rsidR="008D63D3">
        <w:t xml:space="preserve">A total of 6,336 </w:t>
      </w:r>
      <w:r w:rsidR="00E31567">
        <w:t>Armed Forces personnel</w:t>
      </w:r>
      <w:r w:rsidR="00597C01">
        <w:t xml:space="preserve"> were matched, </w:t>
      </w:r>
      <w:r w:rsidR="00E31567">
        <w:t xml:space="preserve">of which 5,460 </w:t>
      </w:r>
      <w:r w:rsidR="00906E45">
        <w:t xml:space="preserve">personnel </w:t>
      </w:r>
      <w:r w:rsidR="008D63D3">
        <w:t>had</w:t>
      </w:r>
      <w:r w:rsidR="00E31567">
        <w:t xml:space="preserve"> </w:t>
      </w:r>
      <w:r w:rsidR="00A40154">
        <w:t>7</w:t>
      </w:r>
      <w:r w:rsidR="009762BE">
        <w:t>,</w:t>
      </w:r>
      <w:r w:rsidR="00A40154">
        <w:t>510 A&amp;E visits, 9</w:t>
      </w:r>
      <w:r w:rsidR="009762BE">
        <w:t>,</w:t>
      </w:r>
      <w:r w:rsidR="00A40154">
        <w:t>316 APC episodes and 45</w:t>
      </w:r>
      <w:r w:rsidR="009762BE">
        <w:t>,005 Outpatient appointments</w:t>
      </w:r>
      <w:r w:rsidR="00935E4B">
        <w:t xml:space="preserve">. We observed </w:t>
      </w:r>
      <w:r w:rsidR="000F333D">
        <w:t xml:space="preserve">full </w:t>
      </w:r>
      <w:r w:rsidR="00A40154">
        <w:t>com</w:t>
      </w:r>
      <w:r w:rsidR="008A2894">
        <w:t>pleteness for diagnoses in APC, w</w:t>
      </w:r>
      <w:r w:rsidR="000F333D">
        <w:t>hereas</w:t>
      </w:r>
      <w:r w:rsidR="00A40154">
        <w:t xml:space="preserve"> </w:t>
      </w:r>
      <w:r w:rsidR="00597C01">
        <w:t xml:space="preserve">Outpatient admissions were </w:t>
      </w:r>
      <w:r w:rsidR="005E0B71">
        <w:t>sparsely</w:t>
      </w:r>
      <w:r w:rsidR="00597C01">
        <w:t xml:space="preserve"> coded</w:t>
      </w:r>
      <w:r w:rsidR="009A3A89">
        <w:t>;</w:t>
      </w:r>
      <w:r w:rsidR="00597C01">
        <w:t xml:space="preserve"> with</w:t>
      </w:r>
      <w:r w:rsidR="00470EF5">
        <w:t xml:space="preserve"> 88% of diagnoses coded as “</w:t>
      </w:r>
      <w:r w:rsidR="00470EF5" w:rsidRPr="001E005D">
        <w:rPr>
          <w:i/>
        </w:rPr>
        <w:t>Unknown/unspecified cause of morbidity</w:t>
      </w:r>
      <w:r w:rsidR="00470EF5">
        <w:t>”</w:t>
      </w:r>
      <w:r w:rsidR="00597C01">
        <w:t xml:space="preserve">. In addition, A&amp;E records were </w:t>
      </w:r>
      <w:r w:rsidR="00E27140">
        <w:t>sporadically</w:t>
      </w:r>
      <w:r w:rsidR="00597C01">
        <w:t xml:space="preserve"> coded; we</w:t>
      </w:r>
      <w:r w:rsidR="00641297">
        <w:t xml:space="preserve"> </w:t>
      </w:r>
      <w:r w:rsidR="00935E4B">
        <w:t>found</w:t>
      </w:r>
      <w:r w:rsidR="00597C01">
        <w:t xml:space="preserve"> </w:t>
      </w:r>
      <w:r w:rsidR="00E56E37">
        <w:t>five</w:t>
      </w:r>
      <w:r w:rsidR="00597C01">
        <w:t xml:space="preserve"> coding systems </w:t>
      </w:r>
      <w:r w:rsidR="00EB6DED">
        <w:t>for</w:t>
      </w:r>
      <w:r w:rsidR="00597C01">
        <w:t xml:space="preserve"> identify</w:t>
      </w:r>
      <w:r w:rsidR="00EB6DED">
        <w:t>ing</w:t>
      </w:r>
      <w:r w:rsidR="00597C01">
        <w:t xml:space="preserve"> reason for admission. </w:t>
      </w:r>
    </w:p>
    <w:p w14:paraId="0DDE5C2A" w14:textId="5E179830" w:rsidR="00B071F8" w:rsidRPr="00B071F8" w:rsidRDefault="00AB5706" w:rsidP="00CC43DC">
      <w:pPr>
        <w:jc w:val="both"/>
        <w:outlineLvl w:val="0"/>
      </w:pPr>
      <w:r>
        <w:rPr>
          <w:b/>
        </w:rPr>
        <w:t>Conclusion</w:t>
      </w:r>
      <w:r w:rsidR="00F66423" w:rsidRPr="00C806FC">
        <w:rPr>
          <w:b/>
        </w:rPr>
        <w:t>:</w:t>
      </w:r>
      <w:r>
        <w:rPr>
          <w:b/>
        </w:rPr>
        <w:t xml:space="preserve"> </w:t>
      </w:r>
      <w:r w:rsidR="00B071F8">
        <w:t>At present</w:t>
      </w:r>
      <w:r w:rsidR="000114A9">
        <w:t>,</w:t>
      </w:r>
      <w:r w:rsidR="00B071F8">
        <w:t xml:space="preserve"> EHRs are designed t</w:t>
      </w:r>
      <w:r w:rsidR="000F333D">
        <w:t xml:space="preserve">o monitor the cost of treatment, </w:t>
      </w:r>
      <w:r w:rsidR="00E72152">
        <w:t>enable</w:t>
      </w:r>
      <w:r w:rsidR="00B071F8">
        <w:t xml:space="preserve"> administrative </w:t>
      </w:r>
      <w:r w:rsidR="00E72152">
        <w:t>oversight</w:t>
      </w:r>
      <w:r w:rsidR="00B071F8">
        <w:t xml:space="preserve">, and are not </w:t>
      </w:r>
      <w:r w:rsidR="00B071F8" w:rsidRPr="005E6909">
        <w:rPr>
          <w:i/>
        </w:rPr>
        <w:t>currently</w:t>
      </w:r>
      <w:r w:rsidR="00B071F8">
        <w:t xml:space="preserve"> suited to epidemiological research. However, only small changes may be needed in order to take advantage of what should be a highly </w:t>
      </w:r>
      <w:r w:rsidR="00B2731A">
        <w:t>cost-effective</w:t>
      </w:r>
      <w:r w:rsidR="00B071F8">
        <w:t xml:space="preserve"> means of </w:t>
      </w:r>
      <w:r w:rsidR="005C3AD0">
        <w:t>delivering</w:t>
      </w:r>
      <w:r w:rsidR="00B071F8">
        <w:t xml:space="preserve"> important research for the </w:t>
      </w:r>
      <w:r w:rsidR="005C3AD0">
        <w:t>benefit</w:t>
      </w:r>
      <w:r w:rsidR="00B071F8">
        <w:t xml:space="preserve"> of the NHS.  </w:t>
      </w:r>
    </w:p>
    <w:p w14:paraId="38642610" w14:textId="7173A995" w:rsidR="00F66423" w:rsidRDefault="00F66423" w:rsidP="005A0CAA">
      <w:pPr>
        <w:jc w:val="both"/>
      </w:pPr>
      <w:r w:rsidRPr="008373B8">
        <w:rPr>
          <w:b/>
        </w:rPr>
        <w:t>Keywords</w:t>
      </w:r>
      <w:r>
        <w:t>: h</w:t>
      </w:r>
      <w:r w:rsidR="00CF4D97">
        <w:t>ospital</w:t>
      </w:r>
      <w:r>
        <w:t xml:space="preserve"> episode statistics, electronic health records, hospital admission, secondary care</w:t>
      </w:r>
      <w:r w:rsidR="005C6087">
        <w:t xml:space="preserve">, </w:t>
      </w:r>
      <w:r w:rsidR="008622BD">
        <w:t>b</w:t>
      </w:r>
      <w:r w:rsidR="005C6087">
        <w:t xml:space="preserve">ig </w:t>
      </w:r>
      <w:r w:rsidR="008622BD">
        <w:t>d</w:t>
      </w:r>
      <w:r w:rsidR="005C6087">
        <w:t>ata</w:t>
      </w:r>
      <w:r w:rsidR="00E95386">
        <w:t xml:space="preserve">, data linkage. </w:t>
      </w:r>
    </w:p>
    <w:p w14:paraId="177022F6" w14:textId="198B765E" w:rsidR="00E0350F" w:rsidRDefault="00E0350F" w:rsidP="00E0350F">
      <w:pPr>
        <w:rPr>
          <w:b/>
          <w:u w:val="single"/>
        </w:rPr>
      </w:pPr>
    </w:p>
    <w:p w14:paraId="6565ACA2" w14:textId="77777777" w:rsidR="00E0350F" w:rsidRDefault="00E0350F">
      <w:pPr>
        <w:rPr>
          <w:b/>
          <w:u w:val="single"/>
        </w:rPr>
      </w:pPr>
      <w:r>
        <w:rPr>
          <w:b/>
          <w:u w:val="single"/>
        </w:rPr>
        <w:br w:type="page"/>
      </w:r>
    </w:p>
    <w:p w14:paraId="751511D8" w14:textId="43F9E8D3" w:rsidR="00F66423" w:rsidRDefault="0048227C" w:rsidP="00A23430">
      <w:pPr>
        <w:outlineLvl w:val="0"/>
        <w:rPr>
          <w:b/>
          <w:u w:val="single"/>
        </w:rPr>
      </w:pPr>
      <w:r>
        <w:rPr>
          <w:b/>
          <w:u w:val="single"/>
        </w:rPr>
        <w:t>List of Abbreviations</w:t>
      </w:r>
    </w:p>
    <w:tbl>
      <w:tblPr>
        <w:tblStyle w:val="TableGrid"/>
        <w:tblW w:w="0" w:type="auto"/>
        <w:shd w:val="clear" w:color="auto" w:fill="FFFFFF" w:themeFill="background1"/>
        <w:tblLook w:val="04A0" w:firstRow="1" w:lastRow="0" w:firstColumn="1" w:lastColumn="0" w:noHBand="0" w:noVBand="1"/>
      </w:tblPr>
      <w:tblGrid>
        <w:gridCol w:w="5807"/>
        <w:gridCol w:w="3209"/>
      </w:tblGrid>
      <w:tr w:rsidR="002D0DB7" w14:paraId="5F9D42F5" w14:textId="77777777" w:rsidTr="0062283A">
        <w:tc>
          <w:tcPr>
            <w:tcW w:w="5807" w:type="dxa"/>
            <w:shd w:val="clear" w:color="auto" w:fill="FFFFFF" w:themeFill="background1"/>
          </w:tcPr>
          <w:p w14:paraId="445A8A19" w14:textId="77777777" w:rsidR="002D0DB7" w:rsidRPr="002D0DB7" w:rsidRDefault="002D0DB7" w:rsidP="003C4E62">
            <w:pPr>
              <w:jc w:val="right"/>
              <w:rPr>
                <w:b/>
              </w:rPr>
            </w:pPr>
            <w:r w:rsidRPr="002D0DB7">
              <w:rPr>
                <w:b/>
              </w:rPr>
              <w:t>Terminology</w:t>
            </w:r>
          </w:p>
        </w:tc>
        <w:tc>
          <w:tcPr>
            <w:tcW w:w="3209" w:type="dxa"/>
            <w:shd w:val="clear" w:color="auto" w:fill="FFFFFF" w:themeFill="background1"/>
          </w:tcPr>
          <w:p w14:paraId="6070BA05" w14:textId="77777777" w:rsidR="002D0DB7" w:rsidRPr="002D0DB7" w:rsidRDefault="002D0DB7" w:rsidP="00F21A2A">
            <w:pPr>
              <w:jc w:val="center"/>
              <w:rPr>
                <w:b/>
              </w:rPr>
            </w:pPr>
            <w:r w:rsidRPr="002D0DB7">
              <w:rPr>
                <w:b/>
              </w:rPr>
              <w:t>Abbreviation</w:t>
            </w:r>
          </w:p>
        </w:tc>
      </w:tr>
      <w:tr w:rsidR="002D0DB7" w:rsidRPr="002D0DB7" w14:paraId="5B87C4F1" w14:textId="77777777" w:rsidTr="0062283A">
        <w:trPr>
          <w:trHeight w:val="255"/>
        </w:trPr>
        <w:tc>
          <w:tcPr>
            <w:tcW w:w="5807" w:type="dxa"/>
            <w:shd w:val="clear" w:color="auto" w:fill="FFFFFF" w:themeFill="background1"/>
          </w:tcPr>
          <w:p w14:paraId="2F1E957C" w14:textId="77777777" w:rsidR="002D0DB7" w:rsidRPr="002D0DB7" w:rsidRDefault="002D0DB7" w:rsidP="003C4E62">
            <w:pPr>
              <w:jc w:val="right"/>
            </w:pPr>
            <w:r w:rsidRPr="002D0DB7">
              <w:t>Accident and Emergency</w:t>
            </w:r>
          </w:p>
        </w:tc>
        <w:tc>
          <w:tcPr>
            <w:tcW w:w="3209" w:type="dxa"/>
            <w:shd w:val="clear" w:color="auto" w:fill="FFFFFF" w:themeFill="background1"/>
          </w:tcPr>
          <w:p w14:paraId="43597FC7" w14:textId="77777777" w:rsidR="002D0DB7" w:rsidRPr="002D0DB7" w:rsidRDefault="002D0DB7" w:rsidP="007509EA">
            <w:pPr>
              <w:jc w:val="center"/>
            </w:pPr>
            <w:r w:rsidRPr="002D0DB7">
              <w:t>A&amp;E</w:t>
            </w:r>
          </w:p>
        </w:tc>
      </w:tr>
      <w:tr w:rsidR="002D0DB7" w:rsidRPr="002D0DB7" w14:paraId="4A223BB1" w14:textId="77777777" w:rsidTr="00AC025F">
        <w:trPr>
          <w:trHeight w:val="298"/>
        </w:trPr>
        <w:tc>
          <w:tcPr>
            <w:tcW w:w="5807" w:type="dxa"/>
            <w:shd w:val="clear" w:color="auto" w:fill="FFFFFF" w:themeFill="background1"/>
          </w:tcPr>
          <w:p w14:paraId="029B2E9E" w14:textId="77777777" w:rsidR="002D0DB7" w:rsidRPr="002D0DB7" w:rsidRDefault="00837CCA" w:rsidP="003C4E62">
            <w:pPr>
              <w:jc w:val="right"/>
            </w:pPr>
            <w:r>
              <w:t>Admitted Patient Care</w:t>
            </w:r>
          </w:p>
        </w:tc>
        <w:tc>
          <w:tcPr>
            <w:tcW w:w="3209" w:type="dxa"/>
            <w:shd w:val="clear" w:color="auto" w:fill="FFFFFF" w:themeFill="background1"/>
          </w:tcPr>
          <w:p w14:paraId="16580771" w14:textId="77777777" w:rsidR="002D0DB7" w:rsidRPr="002D0DB7" w:rsidRDefault="00837CCA" w:rsidP="007509EA">
            <w:pPr>
              <w:jc w:val="center"/>
            </w:pPr>
            <w:r>
              <w:t>APC</w:t>
            </w:r>
          </w:p>
        </w:tc>
      </w:tr>
      <w:tr w:rsidR="00CF152D" w:rsidRPr="002D0DB7" w14:paraId="18275105" w14:textId="77777777" w:rsidTr="0062283A">
        <w:trPr>
          <w:trHeight w:val="311"/>
        </w:trPr>
        <w:tc>
          <w:tcPr>
            <w:tcW w:w="5807" w:type="dxa"/>
            <w:shd w:val="clear" w:color="auto" w:fill="FFFFFF" w:themeFill="background1"/>
          </w:tcPr>
          <w:p w14:paraId="085EADD3" w14:textId="0AC7B05D" w:rsidR="00CF152D" w:rsidRDefault="00CF152D" w:rsidP="003C4E62">
            <w:pPr>
              <w:jc w:val="right"/>
            </w:pPr>
            <w:r>
              <w:t>Community Health Index</w:t>
            </w:r>
          </w:p>
        </w:tc>
        <w:tc>
          <w:tcPr>
            <w:tcW w:w="3209" w:type="dxa"/>
            <w:shd w:val="clear" w:color="auto" w:fill="FFFFFF" w:themeFill="background1"/>
          </w:tcPr>
          <w:p w14:paraId="333F22D0" w14:textId="29C5A791" w:rsidR="00CF152D" w:rsidRDefault="00CF152D" w:rsidP="007509EA">
            <w:pPr>
              <w:jc w:val="center"/>
            </w:pPr>
            <w:r>
              <w:t>CHI</w:t>
            </w:r>
          </w:p>
        </w:tc>
      </w:tr>
      <w:tr w:rsidR="007364B9" w:rsidRPr="002D0DB7" w14:paraId="1DF2A81F" w14:textId="77777777" w:rsidTr="0062283A">
        <w:tc>
          <w:tcPr>
            <w:tcW w:w="5807" w:type="dxa"/>
            <w:shd w:val="clear" w:color="auto" w:fill="FFFFFF" w:themeFill="background1"/>
          </w:tcPr>
          <w:p w14:paraId="315C193E" w14:textId="012869E2" w:rsidR="007364B9" w:rsidRDefault="007364B9" w:rsidP="003C4E62">
            <w:pPr>
              <w:jc w:val="right"/>
            </w:pPr>
            <w:r>
              <w:t>Date of Birth</w:t>
            </w:r>
          </w:p>
        </w:tc>
        <w:tc>
          <w:tcPr>
            <w:tcW w:w="3209" w:type="dxa"/>
            <w:shd w:val="clear" w:color="auto" w:fill="FFFFFF" w:themeFill="background1"/>
          </w:tcPr>
          <w:p w14:paraId="35411C97" w14:textId="0672B48F" w:rsidR="007364B9" w:rsidRDefault="007364B9" w:rsidP="007509EA">
            <w:pPr>
              <w:jc w:val="center"/>
            </w:pPr>
            <w:r>
              <w:t>DOB</w:t>
            </w:r>
          </w:p>
        </w:tc>
      </w:tr>
      <w:tr w:rsidR="002D0DB7" w:rsidRPr="002D0DB7" w14:paraId="0476C9FF" w14:textId="77777777" w:rsidTr="0062283A">
        <w:tc>
          <w:tcPr>
            <w:tcW w:w="5807" w:type="dxa"/>
            <w:shd w:val="clear" w:color="auto" w:fill="FFFFFF" w:themeFill="background1"/>
          </w:tcPr>
          <w:p w14:paraId="1E58C447" w14:textId="48EB7117" w:rsidR="002D0DB7" w:rsidRPr="002D0DB7" w:rsidRDefault="00837CCA" w:rsidP="003C4E62">
            <w:pPr>
              <w:jc w:val="right"/>
            </w:pPr>
            <w:r>
              <w:t>Electronic Healthcare Record</w:t>
            </w:r>
            <w:r w:rsidR="00837EA8">
              <w:t>s</w:t>
            </w:r>
          </w:p>
        </w:tc>
        <w:tc>
          <w:tcPr>
            <w:tcW w:w="3209" w:type="dxa"/>
            <w:shd w:val="clear" w:color="auto" w:fill="FFFFFF" w:themeFill="background1"/>
          </w:tcPr>
          <w:p w14:paraId="4E6E9C80" w14:textId="0B5E48B7" w:rsidR="002D0DB7" w:rsidRPr="002D0DB7" w:rsidRDefault="00837CCA" w:rsidP="007509EA">
            <w:pPr>
              <w:jc w:val="center"/>
            </w:pPr>
            <w:r>
              <w:t>EHR</w:t>
            </w:r>
            <w:r w:rsidR="00837EA8">
              <w:t>s</w:t>
            </w:r>
          </w:p>
        </w:tc>
      </w:tr>
      <w:tr w:rsidR="00CF152D" w:rsidRPr="002D0DB7" w14:paraId="1E57AEA0" w14:textId="77777777" w:rsidTr="0062283A">
        <w:tc>
          <w:tcPr>
            <w:tcW w:w="5807" w:type="dxa"/>
            <w:shd w:val="clear" w:color="auto" w:fill="FFFFFF" w:themeFill="background1"/>
          </w:tcPr>
          <w:p w14:paraId="3850C44C" w14:textId="27DEBF0C" w:rsidR="00CF152D" w:rsidRPr="00B724F8" w:rsidRDefault="00CF152D" w:rsidP="003C4E62">
            <w:pPr>
              <w:jc w:val="right"/>
            </w:pPr>
            <w:r>
              <w:t>Health Episode Statistics</w:t>
            </w:r>
          </w:p>
        </w:tc>
        <w:tc>
          <w:tcPr>
            <w:tcW w:w="3209" w:type="dxa"/>
            <w:shd w:val="clear" w:color="auto" w:fill="FFFFFF" w:themeFill="background1"/>
          </w:tcPr>
          <w:p w14:paraId="0D8765C3" w14:textId="2754048E" w:rsidR="00CF152D" w:rsidRDefault="00CF152D" w:rsidP="007509EA">
            <w:pPr>
              <w:jc w:val="center"/>
            </w:pPr>
            <w:r>
              <w:t>HES</w:t>
            </w:r>
          </w:p>
        </w:tc>
      </w:tr>
      <w:tr w:rsidR="00051D7C" w:rsidRPr="002D0DB7" w14:paraId="38E6757B" w14:textId="77777777" w:rsidTr="0062283A">
        <w:tc>
          <w:tcPr>
            <w:tcW w:w="5807" w:type="dxa"/>
            <w:shd w:val="clear" w:color="auto" w:fill="FFFFFF" w:themeFill="background1"/>
          </w:tcPr>
          <w:p w14:paraId="3DA32356" w14:textId="29FB9F24" w:rsidR="00051D7C" w:rsidRDefault="00051D7C" w:rsidP="003C4E62">
            <w:pPr>
              <w:jc w:val="right"/>
            </w:pPr>
            <w:r>
              <w:t>Information Services Division</w:t>
            </w:r>
          </w:p>
        </w:tc>
        <w:tc>
          <w:tcPr>
            <w:tcW w:w="3209" w:type="dxa"/>
            <w:shd w:val="clear" w:color="auto" w:fill="FFFFFF" w:themeFill="background1"/>
          </w:tcPr>
          <w:p w14:paraId="368F7774" w14:textId="3514E3DF" w:rsidR="00051D7C" w:rsidRDefault="00051D7C" w:rsidP="007509EA">
            <w:pPr>
              <w:jc w:val="center"/>
            </w:pPr>
            <w:r>
              <w:t>ISD</w:t>
            </w:r>
          </w:p>
        </w:tc>
      </w:tr>
      <w:tr w:rsidR="00051D7C" w:rsidRPr="002D0DB7" w14:paraId="7FC28214" w14:textId="77777777" w:rsidTr="0062283A">
        <w:tc>
          <w:tcPr>
            <w:tcW w:w="5807" w:type="dxa"/>
            <w:shd w:val="clear" w:color="auto" w:fill="FFFFFF" w:themeFill="background1"/>
          </w:tcPr>
          <w:p w14:paraId="373D3BE2" w14:textId="471FF4D6" w:rsidR="00051D7C" w:rsidRDefault="00051D7C" w:rsidP="003C4E62">
            <w:pPr>
              <w:jc w:val="right"/>
            </w:pPr>
            <w:r w:rsidRPr="00C95986">
              <w:t>International Classification of Diseases, 10</w:t>
            </w:r>
            <w:r w:rsidRPr="00C95986">
              <w:rPr>
                <w:vertAlign w:val="superscript"/>
              </w:rPr>
              <w:t>th</w:t>
            </w:r>
            <w:r>
              <w:t xml:space="preserve"> revision</w:t>
            </w:r>
          </w:p>
        </w:tc>
        <w:tc>
          <w:tcPr>
            <w:tcW w:w="3209" w:type="dxa"/>
            <w:shd w:val="clear" w:color="auto" w:fill="FFFFFF" w:themeFill="background1"/>
          </w:tcPr>
          <w:p w14:paraId="432F1196" w14:textId="30009D12" w:rsidR="00051D7C" w:rsidRDefault="00051D7C" w:rsidP="007509EA">
            <w:pPr>
              <w:jc w:val="center"/>
            </w:pPr>
            <w:r>
              <w:t>ICD-10</w:t>
            </w:r>
          </w:p>
        </w:tc>
      </w:tr>
      <w:tr w:rsidR="00051D7C" w:rsidRPr="002D0DB7" w14:paraId="25C7969B" w14:textId="77777777" w:rsidTr="0062283A">
        <w:tc>
          <w:tcPr>
            <w:tcW w:w="5807" w:type="dxa"/>
            <w:shd w:val="clear" w:color="auto" w:fill="FFFFFF" w:themeFill="background1"/>
          </w:tcPr>
          <w:p w14:paraId="590FCB22" w14:textId="334439CE" w:rsidR="00051D7C" w:rsidRPr="00C95986" w:rsidRDefault="00051D7C" w:rsidP="003C4E62">
            <w:pPr>
              <w:jc w:val="right"/>
            </w:pPr>
            <w:r>
              <w:t xml:space="preserve">King’s College Centre </w:t>
            </w:r>
            <w:r w:rsidR="00434743">
              <w:t>for</w:t>
            </w:r>
            <w:r>
              <w:t xml:space="preserve"> Military Health Research</w:t>
            </w:r>
          </w:p>
        </w:tc>
        <w:tc>
          <w:tcPr>
            <w:tcW w:w="3209" w:type="dxa"/>
            <w:shd w:val="clear" w:color="auto" w:fill="FFFFFF" w:themeFill="background1"/>
          </w:tcPr>
          <w:p w14:paraId="4DF0B11D" w14:textId="3DA1DDC8" w:rsidR="00051D7C" w:rsidRDefault="00051D7C" w:rsidP="007509EA">
            <w:pPr>
              <w:jc w:val="center"/>
            </w:pPr>
            <w:r>
              <w:t>KCMHR</w:t>
            </w:r>
          </w:p>
        </w:tc>
      </w:tr>
      <w:tr w:rsidR="00051D7C" w:rsidRPr="002D0DB7" w14:paraId="2539F44A" w14:textId="77777777" w:rsidTr="0062283A">
        <w:tc>
          <w:tcPr>
            <w:tcW w:w="5807" w:type="dxa"/>
            <w:shd w:val="clear" w:color="auto" w:fill="FFFFFF" w:themeFill="background1"/>
          </w:tcPr>
          <w:p w14:paraId="23418239" w14:textId="1EAD5B9B" w:rsidR="00051D7C" w:rsidRPr="00C95986" w:rsidRDefault="00051D7C" w:rsidP="003C4E62">
            <w:pPr>
              <w:jc w:val="right"/>
            </w:pPr>
            <w:r>
              <w:t>National Health Service</w:t>
            </w:r>
          </w:p>
        </w:tc>
        <w:tc>
          <w:tcPr>
            <w:tcW w:w="3209" w:type="dxa"/>
            <w:shd w:val="clear" w:color="auto" w:fill="FFFFFF" w:themeFill="background1"/>
          </w:tcPr>
          <w:p w14:paraId="232D8AFE" w14:textId="7BA015F5" w:rsidR="00051D7C" w:rsidRDefault="00051D7C" w:rsidP="007509EA">
            <w:pPr>
              <w:jc w:val="center"/>
            </w:pPr>
            <w:r>
              <w:t>NHS</w:t>
            </w:r>
          </w:p>
        </w:tc>
      </w:tr>
      <w:tr w:rsidR="00051D7C" w:rsidRPr="002D0DB7" w14:paraId="348B080F" w14:textId="77777777" w:rsidTr="0062283A">
        <w:tc>
          <w:tcPr>
            <w:tcW w:w="5807" w:type="dxa"/>
            <w:shd w:val="clear" w:color="auto" w:fill="FFFFFF" w:themeFill="background1"/>
          </w:tcPr>
          <w:p w14:paraId="57A43765" w14:textId="0EEC216D" w:rsidR="00051D7C" w:rsidRDefault="00051D7C" w:rsidP="003C4E62">
            <w:pPr>
              <w:jc w:val="right"/>
            </w:pPr>
            <w:r>
              <w:t>OPCS Classification of Interventions and Procedures version 4</w:t>
            </w:r>
          </w:p>
        </w:tc>
        <w:tc>
          <w:tcPr>
            <w:tcW w:w="3209" w:type="dxa"/>
            <w:shd w:val="clear" w:color="auto" w:fill="FFFFFF" w:themeFill="background1"/>
          </w:tcPr>
          <w:p w14:paraId="51EE0D8F" w14:textId="13CB1549" w:rsidR="00051D7C" w:rsidRDefault="00051D7C" w:rsidP="007509EA">
            <w:pPr>
              <w:jc w:val="center"/>
            </w:pPr>
            <w:r>
              <w:t>OPCS-4</w:t>
            </w:r>
          </w:p>
        </w:tc>
      </w:tr>
      <w:tr w:rsidR="002D0DB7" w:rsidRPr="002D0DB7" w14:paraId="6F01773A" w14:textId="77777777" w:rsidTr="0062283A">
        <w:tc>
          <w:tcPr>
            <w:tcW w:w="5807" w:type="dxa"/>
            <w:shd w:val="clear" w:color="auto" w:fill="FFFFFF" w:themeFill="background1"/>
          </w:tcPr>
          <w:p w14:paraId="6421524B" w14:textId="77777777" w:rsidR="002D0DB7" w:rsidRPr="002D0DB7" w:rsidRDefault="00981DC5" w:rsidP="003C4E62">
            <w:pPr>
              <w:jc w:val="right"/>
            </w:pPr>
            <w:r w:rsidRPr="003600AB">
              <w:t>Secure Anonymised Information Li</w:t>
            </w:r>
            <w:r>
              <w:t>nkage</w:t>
            </w:r>
          </w:p>
        </w:tc>
        <w:tc>
          <w:tcPr>
            <w:tcW w:w="3209" w:type="dxa"/>
            <w:shd w:val="clear" w:color="auto" w:fill="FFFFFF" w:themeFill="background1"/>
          </w:tcPr>
          <w:p w14:paraId="6D5EF59D" w14:textId="77777777" w:rsidR="002D0DB7" w:rsidRPr="002D0DB7" w:rsidRDefault="00981DC5" w:rsidP="007509EA">
            <w:pPr>
              <w:jc w:val="center"/>
            </w:pPr>
            <w:r>
              <w:t>SAIL</w:t>
            </w:r>
          </w:p>
        </w:tc>
      </w:tr>
      <w:tr w:rsidR="00C00DA6" w:rsidRPr="002D0DB7" w14:paraId="6895A746" w14:textId="77777777" w:rsidTr="0062283A">
        <w:trPr>
          <w:trHeight w:val="311"/>
        </w:trPr>
        <w:tc>
          <w:tcPr>
            <w:tcW w:w="5807" w:type="dxa"/>
            <w:shd w:val="clear" w:color="auto" w:fill="FFFFFF" w:themeFill="background1"/>
          </w:tcPr>
          <w:p w14:paraId="7ABDC225" w14:textId="142838EF" w:rsidR="00C00DA6" w:rsidRDefault="00C00DA6" w:rsidP="003C4E62">
            <w:pPr>
              <w:jc w:val="right"/>
            </w:pPr>
            <w:r>
              <w:t>United Kingdom</w:t>
            </w:r>
          </w:p>
        </w:tc>
        <w:tc>
          <w:tcPr>
            <w:tcW w:w="3209" w:type="dxa"/>
            <w:shd w:val="clear" w:color="auto" w:fill="FFFFFF" w:themeFill="background1"/>
          </w:tcPr>
          <w:p w14:paraId="5CCE1201" w14:textId="661CEB49" w:rsidR="00C00DA6" w:rsidRDefault="00C00DA6" w:rsidP="007509EA">
            <w:pPr>
              <w:jc w:val="center"/>
            </w:pPr>
            <w:r>
              <w:t>UK</w:t>
            </w:r>
          </w:p>
        </w:tc>
      </w:tr>
    </w:tbl>
    <w:p w14:paraId="6B37395A" w14:textId="77777777" w:rsidR="002D0DB7" w:rsidRPr="002D0DB7" w:rsidRDefault="002D0DB7"/>
    <w:p w14:paraId="7EF418C6" w14:textId="77777777" w:rsidR="00E0350F" w:rsidRDefault="00E0350F" w:rsidP="00A23430">
      <w:pPr>
        <w:outlineLvl w:val="0"/>
        <w:rPr>
          <w:b/>
          <w:u w:val="single"/>
        </w:rPr>
      </w:pPr>
    </w:p>
    <w:p w14:paraId="2E6D9562" w14:textId="7D82927D" w:rsidR="00E0350F" w:rsidRDefault="00E0350F" w:rsidP="00E0350F">
      <w:pPr>
        <w:rPr>
          <w:b/>
          <w:u w:val="single"/>
        </w:rPr>
      </w:pPr>
      <w:r>
        <w:rPr>
          <w:b/>
          <w:u w:val="single"/>
        </w:rPr>
        <w:br w:type="page"/>
      </w:r>
    </w:p>
    <w:p w14:paraId="40A02C34" w14:textId="50D791CB" w:rsidR="002D0DB7" w:rsidRDefault="007D0338" w:rsidP="00A23430">
      <w:pPr>
        <w:outlineLvl w:val="0"/>
        <w:rPr>
          <w:b/>
          <w:u w:val="single"/>
        </w:rPr>
      </w:pPr>
      <w:r>
        <w:rPr>
          <w:b/>
          <w:u w:val="single"/>
        </w:rPr>
        <w:t xml:space="preserve">Background </w:t>
      </w:r>
    </w:p>
    <w:p w14:paraId="5BCCA021" w14:textId="285FFD19" w:rsidR="00751BB3" w:rsidRDefault="00643106" w:rsidP="00301F33">
      <w:pPr>
        <w:spacing w:line="360" w:lineRule="auto"/>
        <w:jc w:val="both"/>
      </w:pPr>
      <w:r>
        <w:t>Routinely collected</w:t>
      </w:r>
      <w:r w:rsidR="000007EA">
        <w:t xml:space="preserve"> Electronic Healthcare Record</w:t>
      </w:r>
      <w:r w:rsidR="008A016D">
        <w:t>s (EHR</w:t>
      </w:r>
      <w:r w:rsidR="00C3444C">
        <w:t>s</w:t>
      </w:r>
      <w:r w:rsidR="000007EA">
        <w:t>)</w:t>
      </w:r>
      <w:r w:rsidR="00271E7E">
        <w:t xml:space="preserve"> </w:t>
      </w:r>
      <w:r w:rsidR="00644192">
        <w:t>can be used to evaluate disease</w:t>
      </w:r>
      <w:r w:rsidR="007E00CF">
        <w:t xml:space="preserve"> prevalence</w:t>
      </w:r>
      <w:r w:rsidR="00644192">
        <w:t xml:space="preserve">, </w:t>
      </w:r>
      <w:r w:rsidR="00B453FC">
        <w:t>tendencies</w:t>
      </w:r>
      <w:r>
        <w:t>,</w:t>
      </w:r>
      <w:r w:rsidR="00C3444C">
        <w:t xml:space="preserve"> and to perform</w:t>
      </w:r>
      <w:r w:rsidR="00042355">
        <w:t xml:space="preserve"> epidemiological analyses</w:t>
      </w:r>
      <w:r w:rsidR="008E6C5A">
        <w:t xml:space="preserve"> </w:t>
      </w:r>
      <w:r w:rsidR="008E6C5A">
        <w:fldChar w:fldCharType="begin" w:fldLock="1"/>
      </w:r>
      <w:r w:rsidR="004A0009">
        <w:instrText>ADDIN CSL_CITATION { "citationItems" : [ { "id" : "ITEM-1", "itemData" : { "DOI" : "10.1136/bmjopen-2015-008721", "ISSN" : "2044-6055", "author" : [ { "dropping-particle" : "", "family" : "Perera", "given" : "Gayan Surendrajith", "non-dropping-particle" : "", "parse-names" : false, "suffix" : "" }, { "dropping-particle" : "", "family" : "Chang", "given" : "Chin-Kuo", "non-dropping-particle" : "", "parse-names" : false, "suffix" : "" }, { "dropping-particle" : "", "family" : "Broadbent", "given" : "Matthew", "non-dropping-particle" : "", "parse-names" : false, "suffix" : "" }, { "dropping-particle" : "", "family" : "Callard", "given" : "Felicity", "non-dropping-particle" : "", "parse-names" : false, "suffix" : "" }, { "dropping-particle" : "", "family" : "Downs", "given" : "Jonathan Muir", "non-dropping-particle" : "", "parse-names" : false, "suffix" : "" }, { "dropping-particle" : "", "family" : "Dutta", "given" : "Rina", "non-dropping-particle" : "", "parse-names" : false, "suffix" : "" }, { "dropping-particle" : "", "family" : "Fernandes", "given" : "Andrea Carmen", "non-dropping-particle" : "", "parse-names" : false, "suffix" : "" }, { "dropping-particle" : "", "family" : "Hayes", "given" : "Richard Derek", "non-dropping-particle" : "", "parse-names" : false, "suffix" : "" }, { "dropping-particle" : "", "family" : "Henderson", "given" : "Max Joseph", "non-dropping-particle" : "", "parse-names" : false, "suffix" : "" }, { "dropping-particle" : "", "family" : "Jackson", "given" : "Richard George", "non-dropping-particle" : "", "parse-names" : false, "suffix" : "" }, { "dropping-particle" : "", "family" : "Jewell", "given" : "A", "non-dropping-particle" : "", "parse-names" : false, "suffix" : "" }, { "dropping-particle" : "", "family" : "Kadra", "given" : "Giouliana", "non-dropping-particle" : "", "parse-names" : false, "suffix" : "" }, { "dropping-particle" : "", "family" : "Little", "given" : "Ryan", "non-dropping-particle" : "", "parse-names" : false, "suffix" : "" }, { "dropping-particle" : "", "family" : "Pritchard", "given" : "Megan Ruth", "non-dropping-particle" : "", "parse-names" : false, "suffix" : "" }, { "dropping-particle" : "", "family" : "Shetty", "given" : "Hitesh", "non-dropping-particle" : "", "parse-names" : false, "suffix" : "" }, { "dropping-particle" : "", "family" : "Tulloch", "given" : "Alexander David", "non-dropping-particle" : "", "parse-names" : false, "suffix" : "" }, { "dropping-particle" : "", "family" : "Stewart", "given" : "Robert James", "non-dropping-particle" : "", "parse-names" : false, "suffix" : "" } ], "container-title" : "BMJ Open", "id" : "ITEM-1", "issue" : "3", "issued" : { "date-parts" : [ [ "2016" ] ] }, "page" : "1-22", "title" : "Cohort profile of the South London and Maudsley NHS Foundation Trust Biomedical Research Centre (SLaM BRC) Case Register: current status and recent enhancement of an Electronic Mental Health Record-derived data resource", "type" : "article-journal", "volume" : "6" }, "uris" : [ "http://www.mendeley.com/documents/?uuid=7516609b-adb5-48dc-89cc-146ed8644d2d" ] } ], "mendeley" : { "formattedCitation" : "[1]", "plainTextFormattedCitation" : "[1]", "previouslyFormattedCitation" : "[1]" }, "properties" : { "noteIndex" : 0 }, "schema" : "https://github.com/citation-style-language/schema/raw/master/csl-citation.json" }</w:instrText>
      </w:r>
      <w:r w:rsidR="008E6C5A">
        <w:fldChar w:fldCharType="separate"/>
      </w:r>
      <w:r w:rsidR="008E6C5A" w:rsidRPr="008E6C5A">
        <w:rPr>
          <w:noProof/>
        </w:rPr>
        <w:t>[1]</w:t>
      </w:r>
      <w:r w:rsidR="008E6C5A">
        <w:fldChar w:fldCharType="end"/>
      </w:r>
      <w:r w:rsidR="00042355">
        <w:t>;  in</w:t>
      </w:r>
      <w:r w:rsidR="00C01852">
        <w:t>vesti</w:t>
      </w:r>
      <w:r w:rsidR="00042355">
        <w:t>gate</w:t>
      </w:r>
      <w:r>
        <w:t xml:space="preserve"> </w:t>
      </w:r>
      <w:r w:rsidR="000F7548">
        <w:t xml:space="preserve">quality of care </w:t>
      </w:r>
      <w:r w:rsidR="00926361">
        <w:t xml:space="preserve">and </w:t>
      </w:r>
      <w:r w:rsidR="000F7548">
        <w:t xml:space="preserve">to improve </w:t>
      </w:r>
      <w:r w:rsidR="00926361">
        <w:t>clinical decision-making</w:t>
      </w:r>
      <w:r w:rsidR="00281514">
        <w:t>,</w:t>
      </w:r>
      <w:r w:rsidR="00391B90">
        <w:t xml:space="preserve"> </w:t>
      </w:r>
      <w:r w:rsidR="000007EA">
        <w:t>which</w:t>
      </w:r>
      <w:r w:rsidR="00C0367F">
        <w:t xml:space="preserve"> can</w:t>
      </w:r>
      <w:r w:rsidR="000007EA">
        <w:t xml:space="preserve"> </w:t>
      </w:r>
      <w:r w:rsidR="000F7548">
        <w:t xml:space="preserve">influence </w:t>
      </w:r>
      <w:r w:rsidR="00C0367F">
        <w:t>patient outcome</w:t>
      </w:r>
      <w:r w:rsidR="00391B90">
        <w:t xml:space="preserve"> and care </w:t>
      </w:r>
      <w:r w:rsidR="005877C9">
        <w:fldChar w:fldCharType="begin" w:fldLock="1"/>
      </w:r>
      <w:r w:rsidR="004A0009">
        <w:instrText>ADDIN CSL_CITATION { "citationItems" : [ { "id" : "ITEM-1", "itemData" : { "author" : [ { "dropping-particle" : "", "family" : "Payne", "given" : "Rupert A", "non-dropping-particle" : "", "parse-names" : false, "suffix" : "" }, { "dropping-particle" : "", "family" : "Abel", "given" : "Gary A", "non-dropping-particle" : "", "parse-names" : false, "suffix" : "" }, { "dropping-particle" : "", "family" : "Guthrie", "given" : "Bruce", "non-dropping-particle" : "", "parse-names" : false, "suffix" : "" }, { "dropping-particle" : "", "family" : "Mercer", "given" : "Stewart W", "non-dropping-particle" : "", "parse-names" : false, "suffix" : "" } ], "container-title" : "Canadian Medical Association Journal", "id" : "ITEM-1", "issue" : "5", "issued" : { "date-parts" : [ [ "2013" ] ] }, "page" : "E221-E228", "title" : "The effect of physical multimorbidity, mental health conditions and socioeconomic deprivation on unplanned admissions to hospital: a retrospective cohort study", "type" : "article-journal", "volume" : "185" }, "uris" : [ "http://www.mendeley.com/documents/?uuid=c73244a5-a649-419f-846e-fb0f6b2822ed" ] }, { "id" : "ITEM-2", "itemData" : { "author" : [ { "dropping-particle" : "", "family" : "Simmonds", "given" : "Shirley J", "non-dropping-particle" : "", "parse-names" : false, "suffix" : "" }, { "dropping-particle" : "", "family" : "Syddall", "given" : "Holly E", "non-dropping-particle" : "", "parse-names" : false, "suffix" : "" }, { "dropping-particle" : "", "family" : "Walsh", "given" : "Bronagh", "non-dropping-particle" : "", "parse-names" : false, "suffix" : "" }, { "dropping-particle" : "", "family" : "Evandrou", "given" : "Maria", "non-dropping-particle" : "", "parse-names" : false, "suffix" : "" }, { "dropping-particle" : "", "family" : "Dennison", "given" : "Elaine M", "non-dropping-particle" : "", "parse-names" : false, "suffix" : "" }, { "dropping-particle" : "", "family" : "Cooper", "given" : "Cyrus", "non-dropping-particle" : "", "parse-names" : false, "suffix" : "" }, { "dropping-particle" : "", "family" : "Aihie Sayer", "given" : "Avan", "non-dropping-particle" : "", "parse-names" : false, "suffix" : "" } ], "container-title" : "Age and Ageing", "id" : "ITEM-2", "issue" : "5", "issued" : { "date-parts" : [ [ "2014" ] ] }, "page" : "653-660", "title" : "Understanding NHS hospital admissions in England: linkage of Hospital Episode Statistics to the Hertfordshire Cohort Study", "type" : "article-journal", "volume" : "43" }, "uris" : [ "http://www.mendeley.com/documents/?uuid=a6b051c1-e3a7-457c-a194-6329dd7e608b" ] } ], "mendeley" : { "formattedCitation" : "[2], [3]", "plainTextFormattedCitation" : "[2], [3]", "previouslyFormattedCitation" : "[2], [3]" }, "properties" : { "noteIndex" : 0 }, "schema" : "https://github.com/citation-style-language/schema/raw/master/csl-citation.json" }</w:instrText>
      </w:r>
      <w:r w:rsidR="005877C9">
        <w:fldChar w:fldCharType="separate"/>
      </w:r>
      <w:r w:rsidR="008E6C5A" w:rsidRPr="008E6C5A">
        <w:rPr>
          <w:noProof/>
        </w:rPr>
        <w:t>[2], [3]</w:t>
      </w:r>
      <w:r w:rsidR="005877C9">
        <w:fldChar w:fldCharType="end"/>
      </w:r>
      <w:r w:rsidR="00391B90">
        <w:t xml:space="preserve">. </w:t>
      </w:r>
      <w:r w:rsidR="00B924F0">
        <w:t>In recent years, there has been</w:t>
      </w:r>
      <w:r w:rsidR="009E1FDC">
        <w:t xml:space="preserve"> a</w:t>
      </w:r>
      <w:r w:rsidR="00B924F0">
        <w:t xml:space="preserve"> </w:t>
      </w:r>
      <w:r w:rsidR="009E1FDC">
        <w:t xml:space="preserve">growth in the </w:t>
      </w:r>
      <w:r w:rsidR="00502525">
        <w:t>use of</w:t>
      </w:r>
      <w:r w:rsidR="009E1FDC">
        <w:t xml:space="preserve"> EHR</w:t>
      </w:r>
      <w:r w:rsidR="004F59A6">
        <w:t>s</w:t>
      </w:r>
      <w:r w:rsidR="00994C45">
        <w:t xml:space="preserve"> </w:t>
      </w:r>
      <w:r w:rsidR="000B4A1C">
        <w:t>in the field of</w:t>
      </w:r>
      <w:r w:rsidR="00994C45">
        <w:t xml:space="preserve"> </w:t>
      </w:r>
      <w:r w:rsidR="00A23430">
        <w:t>Big Data</w:t>
      </w:r>
      <w:r w:rsidR="000B4A1C">
        <w:t xml:space="preserve"> analytics</w:t>
      </w:r>
      <w:r w:rsidR="00A363C5">
        <w:t>, which is the analysis and evaluation of large datasets,</w:t>
      </w:r>
      <w:r w:rsidR="009E1FDC">
        <w:t xml:space="preserve"> to answ</w:t>
      </w:r>
      <w:r w:rsidR="001F6141">
        <w:t>er specific research questions</w:t>
      </w:r>
      <w:r w:rsidR="00677506">
        <w:t xml:space="preserve"> </w:t>
      </w:r>
      <w:r w:rsidR="00677506">
        <w:fldChar w:fldCharType="begin" w:fldLock="1"/>
      </w:r>
      <w:r w:rsidR="00813F8C">
        <w:instrText>ADDIN CSL_CITATION { "citationItems" : [ { "id" : "ITEM-1", "itemData" : { "DOI" : "10.1186/1472-6963-9-157", "ISSN" : "1472-6963", "abstract" : "Vast quantities of electronic data are collected about patients and service users as they pass through health service and other public sector organisations, and these data present enormous potential for research and policy evaluation. The Health Information Research Unit (HIRU) aims to realise the potential of electronically-held, person-based, routinely-collected data to conduct and support health-related studies. However, there are considerable challenges that must be addressed before such data can be used for these purposes, to ensure compliance with the legislation and guidelines generally known as Information Governance.", "author" : [ { "dropping-particle" : "V", "family" : "Ford", "given" : "David", "non-dropping-particle" : "", "parse-names" : false, "suffix" : "" }, { "dropping-particle" : "", "family" : "Jones", "given" : "Kerina H", "non-dropping-particle" : "", "parse-names" : false, "suffix" : "" }, { "dropping-particle" : "", "family" : "Verplancke", "given" : "Jean-Philippe", "non-dropping-particle" : "", "parse-names" : false, "suffix" : "" }, { "dropping-particle" : "", "family" : "Lyons", "given" : "Ronan A", "non-dropping-particle" : "", "parse-names" : false, "suffix" : "" }, { "dropping-particle" : "", "family" : "John", "given" : "Gareth", "non-dropping-particle" : "", "parse-names" : false, "suffix" : "" }, { "dropping-particle" : "", "family" : "Brown", "given" : "Ginevra", "non-dropping-particle" : "", "parse-names" : false, "suffix" : "" }, { "dropping-particle" : "", "family" : "Brooks", "given" : "Caroline J", "non-dropping-particle" : "", "parse-names" : false, "suffix" : "" }, { "dropping-particle" : "", "family" : "Thompson", "given" : "Simon", "non-dropping-particle" : "", "parse-names" : false, "suffix" : "" }, { "dropping-particle" : "", "family" : "Bodger", "given" : "Owen", "non-dropping-particle" : "", "parse-names" : false, "suffix" : "" }, { "dropping-particle" : "", "family" : "Couch", "given" : "Tony", "non-dropping-particle" : "", "parse-names" : false, "suffix" : "" }, { "dropping-particle" : "", "family" : "Leake", "given" : "Ken", "non-dropping-particle" : "", "parse-names" : false, "suffix" : "" } ], "container-title" : "BMC Health Services Research", "id" : "ITEM-1", "issue" : "1", "issued" : { "date-parts" : [ [ "2009" ] ] }, "page" : "1-12", "title" : "The SAIL Databank: building a national architecture for e-health research and evaluation", "type" : "article-journal", "volume" : "9" }, "uris" : [ "http://www.mendeley.com/documents/?uuid=444d5ecd-b9ce-48b8-afde-b8ce0b16c641" ] }, { "id" : "ITEM-2", "itemData" : { "DOI" : "10.1093/ije/dyp155", "author" : [ { "dropping-particle" : "", "family" : "Gray", "given" : "Linsay", "non-dropping-particle" : "", "parse-names" : false, "suffix" : "" }, { "dropping-particle" : "", "family" : "Batty", "given" : "G David", "non-dropping-particle" : "", "parse-names" : false, "suffix" : "" }, { "dropping-particle" : "", "family" : "Craig", "given" : "Peter", "non-dropping-particle" : "", "parse-names" : false, "suffix" : "" }, { "dropping-particle" : "", "family" : "Stewart", "given" : "Catherine", "non-dropping-particle" : "", "parse-names" : false, "suffix" : "" }, { "dropping-particle" : "", "family" : "Whyte", "given" : "Bruce", "non-dropping-particle" : "", "parse-names" : false, "suffix" : "" }, { "dropping-particle" : "", "family" : "Finlayson", "given" : "Alan", "non-dropping-particle" : "", "parse-names" : false, "suffix" : "" }, { "dropping-particle" : "", "family" : "Leyland", "given" : "Alastair H", "non-dropping-particle" : "", "parse-names" : false, "suffix" : "" } ], "container-title" : "International Journal of Epidemiology", "id" : "ITEM-2", "issue" : "2", "issued" : { "date-parts" : [ [ "2010" ] ] }, "page" : "345-350", "title" : "Cohort Profile: The Scottish Health Surveys Cohort: linkage of study participants to routinely collected records for mortality, hospital discharge, cancer and offspring birth characteristics in three nationwide studies", "type" : "article-journal", "volume" : "39" }, "uris" : [ "http://www.mendeley.com/documents/?uuid=98ea59d3-ce62-4d8f-b367-1834c0b22153" ] } ], "mendeley" : { "formattedCitation" : "[4], [5]", "plainTextFormattedCitation" : "[4], [5]", "previouslyFormattedCitation" : "[4], [5]" }, "properties" : { "noteIndex" : 0 }, "schema" : "https://github.com/citation-style-language/schema/raw/master/csl-citation.json" }</w:instrText>
      </w:r>
      <w:r w:rsidR="00677506">
        <w:fldChar w:fldCharType="separate"/>
      </w:r>
      <w:r w:rsidR="008E6C5A" w:rsidRPr="008E6C5A">
        <w:rPr>
          <w:noProof/>
        </w:rPr>
        <w:t>[4], [5]</w:t>
      </w:r>
      <w:r w:rsidR="00677506">
        <w:fldChar w:fldCharType="end"/>
      </w:r>
      <w:r w:rsidR="00677506">
        <w:t xml:space="preserve">. </w:t>
      </w:r>
      <w:r w:rsidR="00E0501A">
        <w:t>The term “</w:t>
      </w:r>
      <w:r w:rsidR="00A23430">
        <w:t>Big Data</w:t>
      </w:r>
      <w:r w:rsidR="00E0501A">
        <w:t>”</w:t>
      </w:r>
      <w:r w:rsidR="00A773F8">
        <w:t xml:space="preserve"> </w:t>
      </w:r>
      <w:r w:rsidR="00A773F8">
        <w:fldChar w:fldCharType="begin" w:fldLock="1"/>
      </w:r>
      <w:r w:rsidR="00813F8C">
        <w:instrText>ADDIN CSL_CITATION { "citationItems" : [ { "id" : "ITEM-1", "itemData" : { "ISBN" : "1848547927, 9781848547926", "author" : [ { "dropping-particle" : "", "family" : "Mayer-Schnberger", "given" : "Viktor", "non-dropping-particle" : "", "parse-names" : false, "suffix" : "" } ], "id" : "ITEM-1", "issued" : { "date-parts" : [ [ "2013" ] ] }, "publisher" : "John Murray Publishers", "publisher-place" : "UK", "title" : "Big Data: A Revolution That Will Transform How We Live, Work and Think. Viktor Mayer-Schnberger and Kenneth Cukier", "type" : "book" }, "uris" : [ "http://www.mendeley.com/documents/?uuid=c5e3db1a-e902-4a96-9a47-c22651ec3b4f" ] } ], "mendeley" : { "formattedCitation" : "[6]", "plainTextFormattedCitation" : "[6]", "previouslyFormattedCitation" : "[6]" }, "properties" : { "noteIndex" : 0 }, "schema" : "https://github.com/citation-style-language/schema/raw/master/csl-citation.json" }</w:instrText>
      </w:r>
      <w:r w:rsidR="00A773F8">
        <w:fldChar w:fldCharType="separate"/>
      </w:r>
      <w:r w:rsidR="004A0009" w:rsidRPr="004A0009">
        <w:rPr>
          <w:noProof/>
        </w:rPr>
        <w:t>[6]</w:t>
      </w:r>
      <w:r w:rsidR="00A773F8">
        <w:fldChar w:fldCharType="end"/>
      </w:r>
      <w:r w:rsidR="00A773F8">
        <w:t xml:space="preserve"> </w:t>
      </w:r>
      <w:r w:rsidR="00E0501A">
        <w:t xml:space="preserve"> has </w:t>
      </w:r>
      <w:r w:rsidR="00A674FD">
        <w:t xml:space="preserve">been used </w:t>
      </w:r>
      <w:r w:rsidR="00FC2C1F">
        <w:t xml:space="preserve">in </w:t>
      </w:r>
      <w:r w:rsidR="00A674FD">
        <w:t>a number</w:t>
      </w:r>
      <w:r w:rsidR="002A2676">
        <w:t xml:space="preserve"> of</w:t>
      </w:r>
      <w:r w:rsidR="00502525">
        <w:t xml:space="preserve"> </w:t>
      </w:r>
      <w:r w:rsidR="00E0501A">
        <w:t>health</w:t>
      </w:r>
      <w:r w:rsidR="00502525">
        <w:t xml:space="preserve"> </w:t>
      </w:r>
      <w:r w:rsidR="007E5784">
        <w:t>setting</w:t>
      </w:r>
      <w:r w:rsidR="001B7BC6">
        <w:t>s</w:t>
      </w:r>
      <w:r w:rsidR="007E5784">
        <w:t xml:space="preserve">, it </w:t>
      </w:r>
      <w:r w:rsidR="00E0501A">
        <w:t xml:space="preserve">is </w:t>
      </w:r>
      <w:r w:rsidR="0039504A">
        <w:t>synonymous</w:t>
      </w:r>
      <w:r w:rsidR="00E0501A">
        <w:t xml:space="preserve"> with the meaningful analyses of</w:t>
      </w:r>
      <w:r w:rsidR="00144173">
        <w:t xml:space="preserve"> EHRs to identify health </w:t>
      </w:r>
      <w:r w:rsidR="00C3444C">
        <w:t>movements</w:t>
      </w:r>
      <w:r w:rsidR="00144173">
        <w:t xml:space="preserve"> and associations </w:t>
      </w:r>
      <w:r w:rsidR="00E0501A">
        <w:fldChar w:fldCharType="begin" w:fldLock="1"/>
      </w:r>
      <w:r w:rsidR="00231F32">
        <w:instrText>ADDIN CSL_CITATION { "citationItems" : [ { "id" : "ITEM-1", "itemData" : { "DOI" : "10.1109/JBHI.2015.2450362", "ISSN" : "2168-2194", "author" : [ { "dropping-particle" : "", "family" : "Andreu-Perez", "given" : "J", "non-dropping-particle" : "", "parse-names" : false, "suffix" : "" }, { "dropping-particle" : "", "family" : "Poon", "given" : "C C Y", "non-dropping-particle" : "", "parse-names" : false, "suffix" : "" }, { "dropping-particle" : "", "family" : "Merrifield", "given" : "R D", "non-dropping-particle" : "", "parse-names" : false, "suffix" : "" }, { "dropping-particle" : "", "family" : "Wong", "given" : "S T C", "non-dropping-particle" : "", "parse-names" : false, "suffix" : "" }, { "dropping-particle" : "", "family" : "Yang", "given" : "G Z", "non-dropping-particle" : "", "parse-names" : false, "suffix" : "" } ], "container-title" : "IEEE Journal of Biomedical and Health Informatics", "id" : "ITEM-1", "issue" : "4", "issued" : { "date-parts" : [ [ "2015", "7" ] ] }, "page" : "1193-1208", "title" : "Big Data for Health", "type" : "article-journal", "volume" : "19" }, "uris" : [ "http://www.mendeley.com/documents/?uuid=e5c44661-fa85-4498-8785-c7e3721234a5" ] } ], "mendeley" : { "formattedCitation" : "[7]", "plainTextFormattedCitation" : "[7]", "previouslyFormattedCitation" : "[7]" }, "properties" : { "noteIndex" : 0 }, "schema" : "https://github.com/citation-style-language/schema/raw/master/csl-citation.json" }</w:instrText>
      </w:r>
      <w:r w:rsidR="00E0501A">
        <w:fldChar w:fldCharType="separate"/>
      </w:r>
      <w:r w:rsidR="004A0009" w:rsidRPr="004A0009">
        <w:rPr>
          <w:noProof/>
        </w:rPr>
        <w:t>[7]</w:t>
      </w:r>
      <w:r w:rsidR="00E0501A">
        <w:fldChar w:fldCharType="end"/>
      </w:r>
      <w:r w:rsidR="00EF76AA">
        <w:t xml:space="preserve">. </w:t>
      </w:r>
      <w:r w:rsidR="004158A3">
        <w:t xml:space="preserve">Further, </w:t>
      </w:r>
      <w:proofErr w:type="spellStart"/>
      <w:r w:rsidR="004158A3">
        <w:t>Schneeweiss</w:t>
      </w:r>
      <w:proofErr w:type="spellEnd"/>
      <w:r w:rsidR="002A2676">
        <w:t xml:space="preserve"> </w:t>
      </w:r>
      <w:r w:rsidR="002A2676" w:rsidRPr="00C95C9F">
        <w:rPr>
          <w:i/>
        </w:rPr>
        <w:t>et al</w:t>
      </w:r>
      <w:r w:rsidR="00C95C9F" w:rsidRPr="00C95C9F">
        <w:rPr>
          <w:i/>
        </w:rPr>
        <w:t>.</w:t>
      </w:r>
      <w:r w:rsidR="004158A3">
        <w:t xml:space="preserve"> </w:t>
      </w:r>
      <w:r w:rsidR="004158A3">
        <w:fldChar w:fldCharType="begin" w:fldLock="1"/>
      </w:r>
      <w:r w:rsidR="00231F32">
        <w:instrText>ADDIN CSL_CITATION { "citationItems" : [ { "id" : "ITEM-1", "itemData" : { "author" : [ { "dropping-particle" : "", "family" : "Schneeweiss", "given" : "S", "non-dropping-particle" : "", "parse-names" : false, "suffix" : "" } ], "container-title" : "New England Journal of Medicine", "id" : "ITEM-1", "issue" : "23", "issued" : { "date-parts" : [ [ "2014" ] ] }, "page" : "2161-2163", "title" : "Learning from Big Health Care Data", "type" : "article-journal", "volume" : "370" }, "uris" : [ "http://www.mendeley.com/documents/?uuid=5544b654-e0ac-486f-976f-39903f2d5a98" ] } ], "mendeley" : { "formattedCitation" : "[8]", "plainTextFormattedCitation" : "[8]", "previouslyFormattedCitation" : "[8]" }, "properties" : { "noteIndex" : 0 }, "schema" : "https://github.com/citation-style-language/schema/raw/master/csl-citation.json" }</w:instrText>
      </w:r>
      <w:r w:rsidR="004158A3">
        <w:fldChar w:fldCharType="separate"/>
      </w:r>
      <w:r w:rsidR="004A0009" w:rsidRPr="004A0009">
        <w:rPr>
          <w:noProof/>
        </w:rPr>
        <w:t>[8]</w:t>
      </w:r>
      <w:r w:rsidR="004158A3">
        <w:fldChar w:fldCharType="end"/>
      </w:r>
      <w:r w:rsidR="004158A3">
        <w:t xml:space="preserve"> summarises the potential applications into two key areas</w:t>
      </w:r>
      <w:r w:rsidR="00FC2C1F">
        <w:t xml:space="preserve">: </w:t>
      </w:r>
      <w:r w:rsidR="004158A3">
        <w:t>generation of knowledge to improve the effectiveness of treatment</w:t>
      </w:r>
      <w:r w:rsidR="001B7BC6">
        <w:t>;</w:t>
      </w:r>
      <w:r w:rsidR="004158A3">
        <w:t xml:space="preserve"> </w:t>
      </w:r>
      <w:r w:rsidR="00E50A34">
        <w:t xml:space="preserve">and </w:t>
      </w:r>
      <w:r w:rsidR="009B0DC8">
        <w:t xml:space="preserve">to </w:t>
      </w:r>
      <w:r w:rsidR="004158A3">
        <w:t>predict the outcome of treatment and diagnoses.</w:t>
      </w:r>
    </w:p>
    <w:p w14:paraId="50C0D691" w14:textId="284358F4" w:rsidR="007A4634" w:rsidRDefault="001B7BC6" w:rsidP="00E5102E">
      <w:pPr>
        <w:spacing w:line="360" w:lineRule="auto"/>
        <w:jc w:val="both"/>
      </w:pPr>
      <w:r>
        <w:t>Globally, t</w:t>
      </w:r>
      <w:r w:rsidR="00207BAE">
        <w:t>he</w:t>
      </w:r>
      <w:r w:rsidR="007C21C7">
        <w:t xml:space="preserve"> development and use </w:t>
      </w:r>
      <w:r w:rsidR="00207BAE">
        <w:t xml:space="preserve">of </w:t>
      </w:r>
      <w:r w:rsidR="00391C3D">
        <w:t>EHR</w:t>
      </w:r>
      <w:r w:rsidR="000F7548">
        <w:t>s</w:t>
      </w:r>
      <w:r w:rsidR="00391C3D">
        <w:t xml:space="preserve"> is </w:t>
      </w:r>
      <w:r w:rsidR="006B3739">
        <w:t>increasing</w:t>
      </w:r>
      <w:r w:rsidR="002E1E8F">
        <w:t xml:space="preserve">, </w:t>
      </w:r>
      <w:r w:rsidR="00751BB3">
        <w:t xml:space="preserve">alongside </w:t>
      </w:r>
      <w:r w:rsidR="00A23430">
        <w:t>Big Data</w:t>
      </w:r>
      <w:r w:rsidR="00751BB3">
        <w:t xml:space="preserve"> </w:t>
      </w:r>
      <w:r w:rsidR="00207BAE">
        <w:t>innovation</w:t>
      </w:r>
      <w:r w:rsidR="002E4C13">
        <w:t xml:space="preserve"> in a number of fields</w:t>
      </w:r>
      <w:r w:rsidR="00684B3B">
        <w:t xml:space="preserve"> </w:t>
      </w:r>
      <w:r w:rsidR="004D1EA7">
        <w:fldChar w:fldCharType="begin" w:fldLock="1"/>
      </w:r>
      <w:r w:rsidR="000F333D">
        <w:instrText>ADDIN CSL_CITATION { "citationItems" : [ { "id" : "ITEM-1", "itemData" : { "author" : [ { "dropping-particle" : "", "family" : "Schneeweiss", "given" : "S", "non-dropping-particle" : "", "parse-names" : false, "suffix" : "" } ], "container-title" : "New England Journal of Medicine", "id" : "ITEM-1", "issue" : "23", "issued" : { "date-parts" : [ [ "2014" ] ] }, "page" : "2161-2163", "title" : "Learning from Big Health Care Data", "type" : "article-journal", "volume" : "370" }, "uris" : [ "http://www.mendeley.com/documents/?uuid=5544b654-e0ac-486f-976f-39903f2d5a98" ] }, { "id" : "ITEM-2", "itemData" : { "DOI" : "10.1186/2047-2501-2-3", "ISSN" : "2047-2501", "abstract" : "To describe the promise and potential of big data analytics in healthcare.", "author" : [ { "dropping-particle" : "", "family" : "Raghupathi", "given" : "Wullianallur", "non-dropping-particle" : "", "parse-names" : false, "suffix" : "" }, { "dropping-particle" : "", "family" : "Raghupathi", "given" : "Viju", "non-dropping-particle" : "", "parse-names" : false, "suffix" : "" } ], "container-title" : "Health Information Science and Systems", "id" : "ITEM-2", "issue" : "1", "issued" : { "date-parts" : [ [ "2014" ] ] }, "page" : "1-10", "title" : "Big data analytics in healthcare: promise and potential", "type" : "article-journal", "volume" : "2" }, "uris" : [ "http://www.mendeley.com/documents/?uuid=5465f889-7e1f-4fc1-aa5b-ad77444fe42f" ] }, { "id" : "ITEM-3", "itemData" : { "DOI" : "10.1109/JBHI.2016.2558540", "ISSN" : "21682194", "abstract" : "\u00a9 2016 IEEE. Analysis and quantification of human motion to support clinicians in the decision-making process is the desired outcome for many clinical-based approaches. However, generating statistical models that are free from human interpretation and yet representative is a difficult task. In this paper, we propose a framework that automatically recognizes and evaluates human mobility impairments using the Microsoft Kinect One depth sensor. The framework is composed of two parts. First, it recognizes motions, such as sit-to-stand or walking 4 m, using abstract feature representation techniques and machine learning. Second, evaluation of the motion sequence in the temporal domain by comparing the test participant with a statistical mobility model, generated from tracking movements of healthy people. To complement the framework, we propose an automatic method to enable a fairer, unbiased approach to label motion capture data. Finally, we demonstrate the ability of the framework to recognize and provide clinically relevant feedback to highlight mobility concerns, hence providing a route toward stratified rehabilitation pathways and clinician-led interventions.", "author" : [ { "dropping-particle" : "", "family" : "Leightley", "given" : "D.", "non-dropping-particle" : "", "parse-names" : false, "suffix" : "" }, { "dropping-particle" : "", "family" : "McPhee", "given" : "J.S.", "non-dropping-particle" : "", "parse-names" : false, "suffix" : "" }, { "dropping-particle" : "", "family" : "Yap", "given" : "Moi Hoon", "non-dropping-particle" : "", "parse-names" : false, "suffix" : "" } ], "container-title" : "IEEE Journal of Biomedical and Health Informatics", "id" : "ITEM-3", "issue" : "4", "issued" : { "date-parts" : [ [ "2017" ] ] }, "page" : "939-948", "title" : "Automated Analysis and Quantification of Human Mobility Using a Depth Sensor", "type" : "article-journal", "volume" : "21" }, "uris" : [ "http://www.mendeley.com/documents/?uuid=a95f2bc3-5363-35c9-8cb3-c55c972415b8" ] } ], "mendeley" : { "formattedCitation" : "[8]\u2013[10]", "plainTextFormattedCitation" : "[8]\u2013[10]", "previouslyFormattedCitation" : "[8]\u2013[10]" }, "properties" : { "noteIndex" : 0 }, "schema" : "https://github.com/citation-style-language/schema/raw/master/csl-citation.json" }</w:instrText>
      </w:r>
      <w:r w:rsidR="004D1EA7">
        <w:fldChar w:fldCharType="separate"/>
      </w:r>
      <w:r w:rsidR="004A0009" w:rsidRPr="004A0009">
        <w:rPr>
          <w:noProof/>
        </w:rPr>
        <w:t>[8]–[10]</w:t>
      </w:r>
      <w:r w:rsidR="004D1EA7">
        <w:fldChar w:fldCharType="end"/>
      </w:r>
      <w:r w:rsidR="006B3739">
        <w:t xml:space="preserve">. </w:t>
      </w:r>
      <w:r w:rsidR="00391C3D">
        <w:t xml:space="preserve"> </w:t>
      </w:r>
      <w:r w:rsidR="00B924F0">
        <w:t>S</w:t>
      </w:r>
      <w:r w:rsidR="002D241F">
        <w:t xml:space="preserve">tandardised EHR systems are </w:t>
      </w:r>
      <w:r w:rsidR="00860DCB">
        <w:t>difficult</w:t>
      </w:r>
      <w:r w:rsidR="002D241F">
        <w:t xml:space="preserve"> t</w:t>
      </w:r>
      <w:r w:rsidR="00C3444C">
        <w:t xml:space="preserve">o implement in larger countries, </w:t>
      </w:r>
      <w:r w:rsidR="002D241F">
        <w:t>those which have complex political structures</w:t>
      </w:r>
      <w:r w:rsidR="004A0009">
        <w:t xml:space="preserve"> or multiple private entities</w:t>
      </w:r>
      <w:r w:rsidR="00485443">
        <w:t xml:space="preserve"> </w:t>
      </w:r>
      <w:r w:rsidR="00485443">
        <w:fldChar w:fldCharType="begin" w:fldLock="1"/>
      </w:r>
      <w:r w:rsidR="00231F32">
        <w:instrText>ADDIN CSL_CITATION { "citationItems" : [ { "id" : "ITEM-1", "itemData" : { "DOI" : "10.1038/nrg3208", "author" : [ { "dropping-particle" : "", "family" : "Jensen", "given" : "Peter B", "non-dropping-particle" : "", "parse-names" : false, "suffix" : "" }, { "dropping-particle" : "", "family" : "Jensen", "given" : "Lars J", "non-dropping-particle" : "", "parse-names" : false, "suffix" : "" }, { "dropping-particle" : "", "family" : "Brunak", "given" : "Soren", "non-dropping-particle" : "", "parse-names" : false, "suffix" : "" } ], "container-title" : "Nature Reviews Genetics", "id" : "ITEM-1", "issue" : "1", "issued" : { "date-parts" : [ [ "2012" ] ] }, "page" : "395-405", "title" : "Mining electronic health records: towards better research applications and clinical care", "type" : "article-journal", "volume" : "13" }, "uris" : [ "http://www.mendeley.com/documents/?uuid=dd61da6d-3b68-4d7a-80e7-e115b4bc3e13" ] } ], "mendeley" : { "formattedCitation" : "[11]", "plainTextFormattedCitation" : "[11]", "previouslyFormattedCitation" : "[11]" }, "properties" : { "noteIndex" : 0 }, "schema" : "https://github.com/citation-style-language/schema/raw/master/csl-citation.json" }</w:instrText>
      </w:r>
      <w:r w:rsidR="00485443">
        <w:fldChar w:fldCharType="separate"/>
      </w:r>
      <w:r w:rsidR="004A0009" w:rsidRPr="004A0009">
        <w:rPr>
          <w:noProof/>
        </w:rPr>
        <w:t>[11]</w:t>
      </w:r>
      <w:r w:rsidR="00485443">
        <w:fldChar w:fldCharType="end"/>
      </w:r>
      <w:r w:rsidR="00E50A34">
        <w:t xml:space="preserve">, </w:t>
      </w:r>
      <w:r w:rsidR="00C77BD5">
        <w:t xml:space="preserve">such as the United States. </w:t>
      </w:r>
      <w:r w:rsidR="0003596E">
        <w:t xml:space="preserve">In the </w:t>
      </w:r>
      <w:r w:rsidR="0039504A">
        <w:t>United Kingdom (UK)</w:t>
      </w:r>
      <w:r w:rsidR="002578B4">
        <w:t xml:space="preserve">, health and social care </w:t>
      </w:r>
      <w:r w:rsidR="00737FF3">
        <w:t>is</w:t>
      </w:r>
      <w:r w:rsidR="002578B4">
        <w:t xml:space="preserve"> devolved </w:t>
      </w:r>
      <w:r w:rsidR="00851822">
        <w:t>to</w:t>
      </w:r>
      <w:r w:rsidR="00737FF3">
        <w:t xml:space="preserve"> </w:t>
      </w:r>
      <w:r w:rsidR="00911798">
        <w:t>national</w:t>
      </w:r>
      <w:r w:rsidR="00737FF3">
        <w:t xml:space="preserve"> Government</w:t>
      </w:r>
      <w:r w:rsidR="002578B4">
        <w:t xml:space="preserve"> and local agencies</w:t>
      </w:r>
      <w:r w:rsidR="00860DCB">
        <w:t xml:space="preserve"> </w:t>
      </w:r>
      <w:r w:rsidR="002578B4">
        <w:t xml:space="preserve">using </w:t>
      </w:r>
      <w:r w:rsidR="00737FF3">
        <w:t>propriety</w:t>
      </w:r>
      <w:r w:rsidR="002578B4">
        <w:t xml:space="preserve"> systems</w:t>
      </w:r>
      <w:r w:rsidR="00860DCB">
        <w:t xml:space="preserve"> whi</w:t>
      </w:r>
      <w:r w:rsidR="00380289">
        <w:t>ch are not interconnected</w:t>
      </w:r>
      <w:r w:rsidR="00574A48">
        <w:t xml:space="preserve"> </w:t>
      </w:r>
      <w:r w:rsidR="00BA334A">
        <w:t>or</w:t>
      </w:r>
      <w:r w:rsidR="00574A48">
        <w:t xml:space="preserve"> able to identify patients </w:t>
      </w:r>
      <w:r w:rsidR="00E97E83">
        <w:t xml:space="preserve">who relocate from a </w:t>
      </w:r>
      <w:r w:rsidR="00574A48">
        <w:t>nations</w:t>
      </w:r>
      <w:r w:rsidR="00832E3A">
        <w:t xml:space="preserve"> </w:t>
      </w:r>
      <w:r w:rsidR="008648F9">
        <w:fldChar w:fldCharType="begin" w:fldLock="1"/>
      </w:r>
      <w:r w:rsidR="00231F32">
        <w:instrText>ADDIN CSL_CITATION { "citationItems" : [ { "id" : "ITEM-1", "itemData" : { "author" : [ { "dropping-particle" : "", "family" : "Bevan", "given" : "Gwyn", "non-dropping-particle" : "", "parse-names" : false, "suffix" : "" } ], "id" : "ITEM-1", "issued" : { "date-parts" : [ [ "2014" ] ] }, "title" : "The impacts of asymmetric devolution on health care in the four countries of the UK", "type" : "report" }, "uris" : [ "http://www.mendeley.com/documents/?uuid=914d453f-3b91-4648-bee8-feb891141409" ] }, { "id" : "ITEM-2", "itemData" : { "author" : [ { "dropping-particle" : "", "family" : "Coorevits", "given" : "P", "non-dropping-particle" : "", "parse-names" : false, "suffix" : "" }, { "dropping-particle" : "", "family" : "Sundgren", "given" : "M", "non-dropping-particle" : "", "parse-names" : false, "suffix" : "" }, { "dropping-particle" : "", "family" : "Klein", "given" : "G O", "non-dropping-particle" : "", "parse-names" : false, "suffix" : "" }, { "dropping-particle" : "", "family" : "Bahr", "given" : "A", "non-dropping-particle" : "", "parse-names" : false, "suffix" : "" }, { "dropping-particle" : "", "family" : "Claerhout", "given" : "B", "non-dropping-particle" : "", "parse-names" : false, "suffix" : "" }, { "dropping-particle" : "", "family" : "Daniel", "given" : "C", "non-dropping-particle" : "", "parse-names" : false, "suffix" : "" }, { "dropping-particle" : "", "family" : "Dugas", "given" : "M", "non-dropping-particle" : "", "parse-names" : false, "suffix" : "" }, { "dropping-particle" : "", "family" : "Dupont", "given" : "D", "non-dropping-particle" : "", "parse-names" : false, "suffix" : "" }, { "dropping-particle" : "", "family" : "Schmidt", "given" : "A", "non-dropping-particle" : "", "parse-names" : false, "suffix" : "" }, { "dropping-particle" : "", "family" : "Singleton", "given" : "P", "non-dropping-particle" : "", "parse-names" : false, "suffix" : "" }, { "dropping-particle" : "", "family" : "Moor", "given" : "G", "non-dropping-particle" : "De", "parse-names" : false, "suffix" : "" }, { "dropping-particle" : "", "family" : "Kalra", "given" : "D", "non-dropping-particle" : "", "parse-names" : false, "suffix" : "" } ], "container-title" : "Journal of Internal Medicine", "id" : "ITEM-2", "issue" : "6", "issued" : { "date-parts" : [ [ "2013" ] ] }, "page" : "547-560", "title" : "Electronic health records: new opportunities for clinical research", "type" : "article-journal", "volume" : "274" }, "uris" : [ "http://www.mendeley.com/documents/?uuid=1f7204dc-1685-48e2-bc47-74ab8cea5a00" ] }, { "id" : "ITEM-3", "itemData" : { "DOI" : "10.1038/nrg3208", "author" : [ { "dropping-particle" : "", "family" : "Jensen", "given" : "Peter B", "non-dropping-particle" : "", "parse-names" : false, "suffix" : "" }, { "dropping-particle" : "", "family" : "Jensen", "given" : "Lars J", "non-dropping-particle" : "", "parse-names" : false, "suffix" : "" }, { "dropping-particle" : "", "family" : "Brunak", "given" : "Soren", "non-dropping-particle" : "", "parse-names" : false, "suffix" : "" } ], "container-title" : "Nature Reviews Genetics", "id" : "ITEM-3", "issue" : "1", "issued" : { "date-parts" : [ [ "2012" ] ] }, "page" : "395-405", "title" : "Mining electronic health records: towards better research applications and clinical care", "type" : "article-journal", "volume" : "13" }, "uris" : [ "http://www.mendeley.com/documents/?uuid=dd61da6d-3b68-4d7a-80e7-e115b4bc3e13" ] } ], "mendeley" : { "formattedCitation" : "[11]\u2013[13]", "plainTextFormattedCitation" : "[11]\u2013[13]", "previouslyFormattedCitation" : "[11]\u2013[13]" }, "properties" : { "noteIndex" : 0 }, "schema" : "https://github.com/citation-style-language/schema/raw/master/csl-citation.json" }</w:instrText>
      </w:r>
      <w:r w:rsidR="008648F9">
        <w:fldChar w:fldCharType="separate"/>
      </w:r>
      <w:r w:rsidR="004A0009" w:rsidRPr="004A0009">
        <w:rPr>
          <w:noProof/>
        </w:rPr>
        <w:t>[11]–[13]</w:t>
      </w:r>
      <w:r w:rsidR="008648F9">
        <w:fldChar w:fldCharType="end"/>
      </w:r>
      <w:r w:rsidR="002578B4">
        <w:t>.</w:t>
      </w:r>
      <w:r w:rsidR="00574A48">
        <w:t xml:space="preserve"> In the UK, it is estimated </w:t>
      </w:r>
      <w:r w:rsidR="00ED31E0">
        <w:t xml:space="preserve">that 53,000 individuals </w:t>
      </w:r>
      <w:r w:rsidR="002556CB">
        <w:t>migrate</w:t>
      </w:r>
      <w:r w:rsidR="00ED31E0">
        <w:t xml:space="preserve"> from England and Wales </w:t>
      </w:r>
      <w:r w:rsidR="00813B33">
        <w:t>to Northern Ireland and Scotland</w:t>
      </w:r>
      <w:r w:rsidR="00ED31E0">
        <w:t xml:space="preserve">; with 46,800 individuals </w:t>
      </w:r>
      <w:r w:rsidR="002556CB">
        <w:t xml:space="preserve">migrating </w:t>
      </w:r>
      <w:r w:rsidR="00ED31E0">
        <w:t xml:space="preserve">from Northern Ireland and Scotland to </w:t>
      </w:r>
      <w:r w:rsidR="000E4558">
        <w:t xml:space="preserve">England and Wales </w:t>
      </w:r>
      <w:r w:rsidR="00586C3D">
        <w:t>each</w:t>
      </w:r>
      <w:r w:rsidR="000E4558">
        <w:t xml:space="preserve"> year</w:t>
      </w:r>
      <w:r w:rsidR="00586C3D">
        <w:t xml:space="preserve"> </w:t>
      </w:r>
      <w:r w:rsidR="00ED31E0">
        <w:fldChar w:fldCharType="begin" w:fldLock="1"/>
      </w:r>
      <w:r w:rsidR="00CC0FBC">
        <w:instrText>ADDIN CSL_CITATION { "citationItems" : [ { "id" : "ITEM-1", "itemData" : { "URL" : "https://www.ons.gov.uk/peoplepopulationandcommunity/populationandmigration/migrationwithintheuk/bulletins/internalmigrationbylocalauthoritiesinenglandandwales/2014-06-26", "accessed" : { "date-parts" : [ [ "2017", "9", "11" ] ] }, "author" : [ { "dropping-particle" : "", "family" : "Andrew Nash", "given" : "", "non-dropping-particle" : "", "parse-names" : false, "suffix" : "" } ], "container-title" : "Online", "id" : "ITEM-1", "issued" : { "date-parts" : [ [ "2014" ] ] }, "title" : "Internal Migration, England and Wales - Office for National Statistics", "type" : "webpage" }, "uris" : [ "http://www.mendeley.com/documents/?uuid=dbce0e64-7c28-3238-bdaa-4e354d8de6c0" ] } ], "mendeley" : { "formattedCitation" : "[14]", "plainTextFormattedCitation" : "[14]", "previouslyFormattedCitation" : "[14]" }, "properties" : { "noteIndex" : 0 }, "schema" : "https://github.com/citation-style-language/schema/raw/master/csl-citation.json" }</w:instrText>
      </w:r>
      <w:r w:rsidR="00ED31E0">
        <w:fldChar w:fldCharType="separate"/>
      </w:r>
      <w:r w:rsidR="00ED31E0" w:rsidRPr="00ED31E0">
        <w:rPr>
          <w:noProof/>
        </w:rPr>
        <w:t>[14]</w:t>
      </w:r>
      <w:r w:rsidR="00ED31E0">
        <w:fldChar w:fldCharType="end"/>
      </w:r>
      <w:r w:rsidR="00ED31E0">
        <w:t>.</w:t>
      </w:r>
      <w:r w:rsidR="00813B33">
        <w:t xml:space="preserve"> At present, </w:t>
      </w:r>
      <w:r w:rsidR="00D56457">
        <w:t xml:space="preserve">migration </w:t>
      </w:r>
      <w:r w:rsidR="00BA3157">
        <w:t>statistics</w:t>
      </w:r>
      <w:r w:rsidR="00813B33">
        <w:t xml:space="preserve"> </w:t>
      </w:r>
      <w:r w:rsidR="00BA3157">
        <w:t>are</w:t>
      </w:r>
      <w:r w:rsidR="00813B33">
        <w:t xml:space="preserve"> not reported </w:t>
      </w:r>
      <w:r w:rsidR="00485574">
        <w:t>separately</w:t>
      </w:r>
      <w:r w:rsidR="00F649A2">
        <w:t>, making it difficult to determine cross-border migration</w:t>
      </w:r>
      <w:r w:rsidR="00813B33">
        <w:t>.</w:t>
      </w:r>
      <w:r w:rsidR="00ED31E0">
        <w:t xml:space="preserve"> </w:t>
      </w:r>
      <w:r w:rsidR="00F425EC">
        <w:t xml:space="preserve">EHRs </w:t>
      </w:r>
      <w:r w:rsidR="0020323B">
        <w:t xml:space="preserve">which </w:t>
      </w:r>
      <w:r w:rsidR="00955945">
        <w:t>represent</w:t>
      </w:r>
      <w:r w:rsidR="00CE1B47">
        <w:t xml:space="preserve"> </w:t>
      </w:r>
      <w:r w:rsidR="00F425EC">
        <w:t>the s</w:t>
      </w:r>
      <w:r w:rsidR="00CE1B47">
        <w:t>ame patient</w:t>
      </w:r>
      <w:r w:rsidR="0020323B">
        <w:t xml:space="preserve"> across the three nations </w:t>
      </w:r>
      <w:r w:rsidR="0058227B">
        <w:t>show</w:t>
      </w:r>
      <w:r w:rsidR="00BD497E">
        <w:t xml:space="preserve"> great promise and </w:t>
      </w:r>
      <w:r w:rsidR="00F425EC">
        <w:t xml:space="preserve">could be used to identify risk, inform healthcare policy, service provision and improve health and social outcomes </w:t>
      </w:r>
      <w:r w:rsidR="00F425EC">
        <w:fldChar w:fldCharType="begin" w:fldLock="1"/>
      </w:r>
      <w:r w:rsidR="00CC0FBC">
        <w:instrText>ADDIN CSL_CITATION { "citationItems" : [ { "id" : "ITEM-1", "itemData" : { "author" : [ { "dropping-particle" : "", "family" : "Vayena", "given" : "Effy", "non-dropping-particle" : "", "parse-names" : false, "suffix" : "" }, { "dropping-particle" : "", "family" : "Salath\u00e9", "given" : "Marcel", "non-dropping-particle" : "", "parse-names" : false, "suffix" : "" }, { "dropping-particle" : "", "family" : "Madoff", "given" : "Lawrence C", "non-dropping-particle" : "", "parse-names" : false, "suffix" : "" }, { "dropping-particle" : "", "family" : "Brownstein", "given" : "John S", "non-dropping-particle" : "", "parse-names" : false, "suffix" : "" } ], "container-title" : "PLoS Comput Biol", "id" : "ITEM-1", "issue" : "2", "issued" : { "date-parts" : [ [ "2015" ] ] }, "page" : "1-7", "title" : "Ethical Challenges of Big Data in Public Health", "type" : "article-journal", "volume" : "11" }, "uris" : [ "http://www.mendeley.com/documents/?uuid=30ddad9f-66c8-4fa2-9070-2726369888a2" ] }, { "id" : "ITEM-2", "itemData" : { "author" : [ { "dropping-particle" : "", "family" : "Coorevits", "given" : "P", "non-dropping-particle" : "", "parse-names" : false, "suffix" : "" }, { "dropping-particle" : "", "family" : "Sundgren", "given" : "M", "non-dropping-particle" : "", "parse-names" : false, "suffix" : "" }, { "dropping-particle" : "", "family" : "Klein", "given" : "G O", "non-dropping-particle" : "", "parse-names" : false, "suffix" : "" }, { "dropping-particle" : "", "family" : "Bahr", "given" : "A", "non-dropping-particle" : "", "parse-names" : false, "suffix" : "" }, { "dropping-particle" : "", "family" : "Claerhout", "given" : "B", "non-dropping-particle" : "", "parse-names" : false, "suffix" : "" }, { "dropping-particle" : "", "family" : "Daniel", "given" : "C", "non-dropping-particle" : "", "parse-names" : false, "suffix" : "" }, { "dropping-particle" : "", "family" : "Dugas", "given" : "M", "non-dropping-particle" : "", "parse-names" : false, "suffix" : "" }, { "dropping-particle" : "", "family" : "Dupont", "given" : "D", "non-dropping-particle" : "", "parse-names" : false, "suffix" : "" }, { "dropping-particle" : "", "family" : "Schmidt", "given" : "A", "non-dropping-particle" : "", "parse-names" : false, "suffix" : "" }, { "dropping-particle" : "", "family" : "Singleton", "given" : "P", "non-dropping-particle" : "", "parse-names" : false, "suffix" : "" }, { "dropping-particle" : "", "family" : "Moor", "given" : "G", "non-dropping-particle" : "De", "parse-names" : false, "suffix" : "" }, { "dropping-particle" : "", "family" : "Kalra", "given" : "D", "non-dropping-particle" : "", "parse-names" : false, "suffix" : "" } ], "container-title" : "Journal of Internal Medicine", "id" : "ITEM-2", "issue" : "6", "issued" : { "date-parts" : [ [ "2013" ] ] }, "page" : "547-560", "title" : "Electronic health records: new opportunities for clinical research", "type" : "article-journal", "volume" : "274" }, "uris" : [ "http://www.mendeley.com/documents/?uuid=1f7204dc-1685-48e2-bc47-74ab8cea5a00" ] }, { "id" : "ITEM-3", "itemData" : { "DOI" : "10.1136/bmjopen-2016-012102", "abstract" : "Objectives We aimed to create a `multidatabase' algorithm for identification of cholestatic liver injury using multiple linked UK databases, before (1) assessing the improvement in case ascertainment compared to using a single database and (2) developing a new single-database case-definition algorithm, validated against the multidatabase algorithm.Design Method development for case ascertainment.Setting Three UK population-based electronic health record databases: the UK Clinical Practice Research Datalink (CPRD), the UK Hospital Episodes Statistics (HES) database and the UK Office of National Statistics (ONS) mortality database.Participants 16\u2005040 people over the age of 18\u2005years with linked CPRD--HES records indicating potential cholestatic liver injury between 1 January 2000 and 1 January 2013.Primary outcome measures (1) The number of cases of cholestatic liver injury detected by the multidatabase algorithm. (2) The relative contribution of each data source to multidatabase case status. (3) The ability of the new single-database algorithm to discriminate multidatabase algorithm case status.Results Within the multidatabase case identification algorithm, 4033 of 16\u2005040 potential cases (25%) were identified as definite cases based on CPRD data. HES data allowed possible cases to be discriminated from unlikely cases (947 of 16\u2005040, 6%), but only facilitated identification of 1 definite case. ONS data did not contribute to case definition. The new single-database (CPRD-only) algorithm had a very good ability to discriminate multidatabase case status (area under the receiver operator characteristic curve 0.95).Conclusions CPRD--HES--ONS linkage confers minimal improvement in cholestatic liver injury case ascertainment compared to using CPRD data alone, and a multidatabase algorithm provides little additional information for validation of a CPRD-only algorithm. The availability of laboratory test results within CPRD but not HES means that algorithms based on CPRD--HES-linked data may not always be merited for studies of liver injury, or for other outcomes relying primarily on laboratory test results.", "author" : [ { "dropping-particle" : "", "family" : "Wing", "given" : "Kevin", "non-dropping-particle" : "", "parse-names" : false, "suffix" : "" }, { "dropping-particle" : "", "family" : "Bhaskaran", "given" : "Krishnan", "non-dropping-particle" : "", "parse-names" : false, "suffix" : "" }, { "dropping-particle" : "", "family" : "Smeeth", "given" : "Liam", "non-dropping-particle" : "", "parse-names" : false, "suffix" : "" }, { "dropping-particle" : "", "family" : "Staa", "given" : "Tjeerd P", "non-dropping-particle" : "van", "parse-names" : false, "suffix" : "" }, { "dropping-particle" : "", "family" : "Klungel", "given" : "Olaf H", "non-dropping-particle" : "", "parse-names" : false, "suffix" : "" }, { "dropping-particle" : "", "family" : "Reynolds", "given" : "Robert F", "non-dropping-particle" : "", "parse-names" : false, "suffix" : "" }, { "dropping-particle" : "", "family" : "Douglas", "given" : "Ian", "non-dropping-particle" : "", "parse-names" : false, "suffix" : "" } ], "container-title" : "BMJ Open", "id" : "ITEM-3", "issue" : "9", "issued" : { "date-parts" : [ [ "2016" ] ] }, "title" : "Optimising case detection within UK electronic health records: use of multiple linked databases for detecting liver injury", "type" : "article-journal", "volume" : "6" }, "uris" : [ "http://www.mendeley.com/documents/?uuid=da458c4a-b5fd-4f74-9ea8-3ac4de162c80" ] } ], "mendeley" : { "formattedCitation" : "[13], [15], [16]", "plainTextFormattedCitation" : "[13], [15], [16]", "previouslyFormattedCitation" : "[13], [15], [16]" }, "properties" : { "noteIndex" : 0 }, "schema" : "https://github.com/citation-style-language/schema/raw/master/csl-citation.json" }</w:instrText>
      </w:r>
      <w:r w:rsidR="00F425EC">
        <w:fldChar w:fldCharType="separate"/>
      </w:r>
      <w:r w:rsidR="00ED31E0" w:rsidRPr="00ED31E0">
        <w:rPr>
          <w:noProof/>
        </w:rPr>
        <w:t>[13], [15], [16]</w:t>
      </w:r>
      <w:r w:rsidR="00F425EC">
        <w:fldChar w:fldCharType="end"/>
      </w:r>
      <w:r w:rsidR="00F425EC">
        <w:t>.</w:t>
      </w:r>
      <w:r w:rsidR="006741EB">
        <w:t xml:space="preserve"> Using a cross-border cohort </w:t>
      </w:r>
      <w:r w:rsidR="00593DA9">
        <w:t>might</w:t>
      </w:r>
      <w:r w:rsidR="006741EB">
        <w:t xml:space="preserve"> provide the foundation of creating such a system.</w:t>
      </w:r>
      <w:r w:rsidR="00F425EC">
        <w:t xml:space="preserve"> </w:t>
      </w:r>
      <w:r w:rsidR="000A78AD">
        <w:t xml:space="preserve">While several studies have sought to create national datasets of health and social care </w:t>
      </w:r>
      <w:r w:rsidR="000A78AD">
        <w:fldChar w:fldCharType="begin" w:fldLock="1"/>
      </w:r>
      <w:r w:rsidR="00CC0FBC">
        <w:instrText>ADDIN CSL_CITATION { "citationItems" : [ { "id" : "ITEM-1", "itemData" : { "DOI" : "10.1186/1472-6947-9-3", "ISSN" : "1472-6947", "abstract" : "Vast amounts of data are collected about patients and service users in the course of health and social care service delivery. Electronic data systems for patient records have the potential to revolutionise service delivery and research. But in order to achieve this, it is essential that the ability to link the data at the individual record level be retained whilst adhering to the principles of information governance. The SAIL (Secure Anonymised Information Linkage) databank has been established using disparate datasets, and over 500 million records from multiple health and social care service providers have been loaded to date, with further growth in progress.", "author" : [ { "dropping-particle" : "", "family" : "Lyons", "given" : "Ronan A", "non-dropping-particle" : "", "parse-names" : false, "suffix" : "" }, { "dropping-particle" : "", "family" : "Jones", "given" : "Kerina H", "non-dropping-particle" : "", "parse-names" : false, "suffix" : "" }, { "dropping-particle" : "", "family" : "John", "given" : "Gareth", "non-dropping-particle" : "", "parse-names" : false, "suffix" : "" }, { "dropping-particle" : "", "family" : "Brooks", "given" : "Caroline J", "non-dropping-particle" : "", "parse-names" : false, "suffix" : "" }, { "dropping-particle" : "", "family" : "Verplancke", "given" : "Jean-Philippe", "non-dropping-particle" : "", "parse-names" : false, "suffix" : "" }, { "dropping-particle" : "V", "family" : "Ford", "given" : "David", "non-dropping-particle" : "", "parse-names" : false, "suffix" : "" }, { "dropping-particle" : "", "family" : "Brown", "given" : "Ginevra", "non-dropping-particle" : "", "parse-names" : false, "suffix" : "" }, { "dropping-particle" : "", "family" : "Leake", "given" : "Ken", "non-dropping-particle" : "", "parse-names" : false, "suffix" : "" } ], "container-title" : "BMC Medical Informatics and Decision Making", "id" : "ITEM-1", "issue" : "1", "issued" : { "date-parts" : [ [ "2009" ] ] }, "page" : "1-8", "title" : "The SAIL databank: linking multiple health and social care datasets", "type" : "article-journal", "volume" : "9" }, "uris" : [ "http://www.mendeley.com/documents/?uuid=8a4a890f-b1c8-4c47-9da4-3194cde3d2d9" ] }, { "id" : "ITEM-2", "itemData" : { "DOI" : "10.1186/1472-6963-9-157", "ISSN" : "1472-6963", "abstract" : "Vast quantities of electronic data are collected about patients and service users as they pass through health service and other public sector organisations, and these data present enormous potential for research and policy evaluation. The Health Information Research Unit (HIRU) aims to realise the potential of electronically-held, person-based, routinely-collected data to conduct and support health-related studies. However, there are considerable challenges that must be addressed before such data can be used for these purposes, to ensure compliance with the legislation and guidelines generally known as Information Governance.", "author" : [ { "dropping-particle" : "V", "family" : "Ford", "given" : "David", "non-dropping-particle" : "", "parse-names" : false, "suffix" : "" }, { "dropping-particle" : "", "family" : "Jones", "given" : "Kerina H", "non-dropping-particle" : "", "parse-names" : false, "suffix" : "" }, { "dropping-particle" : "", "family" : "Verplancke", "given" : "Jean-Philippe", "non-dropping-particle" : "", "parse-names" : false, "suffix" : "" }, { "dropping-particle" : "", "family" : "Lyons", "given" : "Ronan A", "non-dropping-particle" : "", "parse-names" : false, "suffix" : "" }, { "dropping-particle" : "", "family" : "John", "given" : "Gareth", "non-dropping-particle" : "", "parse-names" : false, "suffix" : "" }, { "dropping-particle" : "", "family" : "Brown", "given" : "Ginevra", "non-dropping-particle" : "", "parse-names" : false, "suffix" : "" }, { "dropping-particle" : "", "family" : "Brooks", "given" : "Caroline J", "non-dropping-particle" : "", "parse-names" : false, "suffix" : "" }, { "dropping-particle" : "", "family" : "Thompson", "given" : "Simon", "non-dropping-particle" : "", "parse-names" : false, "suffix" : "" }, { "dropping-particle" : "", "family" : "Bodger", "given" : "Owen", "non-dropping-particle" : "", "parse-names" : false, "suffix" : "" }, { "dropping-particle" : "", "family" : "Couch", "given" : "Tony", "non-dropping-particle" : "", "parse-names" : false, "suffix" : "" }, { "dropping-particle" : "", "family" : "Leake", "given" : "Ken", "non-dropping-particle" : "", "parse-names" : false, "suffix" : "" } ], "container-title" : "BMC Health Services Research", "id" : "ITEM-2", "issue" : "1", "issued" : { "date-parts" : [ [ "2009" ] ] }, "page" : "1-12", "title" : "The SAIL Databank: building a national architecture for e-health research and evaluation", "type" : "article-journal", "volume" : "9" }, "uris" : [ "http://www.mendeley.com/documents/?uuid=444d5ecd-b9ce-48b8-afde-b8ce0b16c641" ] } ], "mendeley" : { "formattedCitation" : "[4], [17]", "plainTextFormattedCitation" : "[4], [17]", "previouslyFormattedCitation" : "[4], [17]" }, "properties" : { "noteIndex" : 0 }, "schema" : "https://github.com/citation-style-language/schema/raw/master/csl-citation.json" }</w:instrText>
      </w:r>
      <w:r w:rsidR="000A78AD">
        <w:fldChar w:fldCharType="separate"/>
      </w:r>
      <w:r w:rsidR="00ED31E0" w:rsidRPr="00ED31E0">
        <w:rPr>
          <w:noProof/>
        </w:rPr>
        <w:t>[4], [17]</w:t>
      </w:r>
      <w:r w:rsidR="000A78AD">
        <w:fldChar w:fldCharType="end"/>
      </w:r>
      <w:r w:rsidR="000A78AD">
        <w:t>, t</w:t>
      </w:r>
      <w:r w:rsidR="00F425EC">
        <w:t xml:space="preserve">o our knowledge, no studies exist which </w:t>
      </w:r>
      <w:r w:rsidR="00383D34">
        <w:t>integrate</w:t>
      </w:r>
      <w:r w:rsidR="00456E69">
        <w:t xml:space="preserve"> EHRs from multiple nations </w:t>
      </w:r>
      <w:r w:rsidR="00F425EC">
        <w:t xml:space="preserve">into a single </w:t>
      </w:r>
      <w:r w:rsidR="00D24181">
        <w:t>repository</w:t>
      </w:r>
      <w:r w:rsidR="00E5102E">
        <w:t xml:space="preserve"> </w:t>
      </w:r>
      <w:r w:rsidR="00F425EC">
        <w:t>for research.</w:t>
      </w:r>
    </w:p>
    <w:p w14:paraId="17BD6860" w14:textId="049A2570" w:rsidR="008A016D" w:rsidRDefault="00D12157" w:rsidP="002808B0">
      <w:pPr>
        <w:spacing w:line="360" w:lineRule="auto"/>
        <w:jc w:val="both"/>
      </w:pPr>
      <w:r>
        <w:t>There are multiple c</w:t>
      </w:r>
      <w:r w:rsidR="00E26D59">
        <w:t>hallenges</w:t>
      </w:r>
      <w:r w:rsidR="00AE464A">
        <w:t xml:space="preserve"> in </w:t>
      </w:r>
      <w:r w:rsidR="00040024">
        <w:t xml:space="preserve">integrating </w:t>
      </w:r>
      <w:r w:rsidR="00AE464A">
        <w:t>EHRs</w:t>
      </w:r>
      <w:r w:rsidR="00E26D59">
        <w:t xml:space="preserve"> </w:t>
      </w:r>
      <w:r w:rsidR="00CF117E">
        <w:t>in the UK</w:t>
      </w:r>
      <w:r w:rsidR="00E26D59">
        <w:t>. Firstly, t</w:t>
      </w:r>
      <w:r w:rsidR="00274E08">
        <w:t xml:space="preserve">here is no system </w:t>
      </w:r>
      <w:r w:rsidR="008E1C88">
        <w:t xml:space="preserve">or framework </w:t>
      </w:r>
      <w:r w:rsidR="004128FE">
        <w:t>which</w:t>
      </w:r>
      <w:r w:rsidR="00274E08">
        <w:t xml:space="preserve"> uniquely </w:t>
      </w:r>
      <w:r w:rsidR="004128FE">
        <w:t>identifies</w:t>
      </w:r>
      <w:r w:rsidR="00274E08">
        <w:t xml:space="preserve"> </w:t>
      </w:r>
      <w:r w:rsidR="00A64627">
        <w:t>a person</w:t>
      </w:r>
      <w:r w:rsidR="008E1C88">
        <w:t xml:space="preserve"> (</w:t>
      </w:r>
      <w:r w:rsidR="008E1C88" w:rsidRPr="00C0367F">
        <w:rPr>
          <w:i/>
        </w:rPr>
        <w:t>e.g.</w:t>
      </w:r>
      <w:r w:rsidR="008E1C88">
        <w:t xml:space="preserve"> </w:t>
      </w:r>
      <w:r w:rsidR="00770E8D">
        <w:t xml:space="preserve">unique </w:t>
      </w:r>
      <w:r w:rsidR="008E1C88">
        <w:t>ID</w:t>
      </w:r>
      <w:r w:rsidR="00770E8D">
        <w:t xml:space="preserve"> number for each citizen</w:t>
      </w:r>
      <w:r w:rsidR="008E1C88">
        <w:t>)</w:t>
      </w:r>
      <w:r w:rsidR="000E39DB">
        <w:t xml:space="preserve"> across public services</w:t>
      </w:r>
      <w:r w:rsidR="00831D66">
        <w:t xml:space="preserve"> such as </w:t>
      </w:r>
      <w:r w:rsidR="00D65E82">
        <w:t>welfare</w:t>
      </w:r>
      <w:r w:rsidR="001D631B">
        <w:t xml:space="preserve">, housing, </w:t>
      </w:r>
      <w:r w:rsidR="00831D66">
        <w:t>education</w:t>
      </w:r>
      <w:r w:rsidR="001D631B">
        <w:t xml:space="preserve"> and health</w:t>
      </w:r>
      <w:r w:rsidR="003327D0">
        <w:t xml:space="preserve"> </w:t>
      </w:r>
      <w:r w:rsidR="008E1C88">
        <w:fldChar w:fldCharType="begin" w:fldLock="1"/>
      </w:r>
      <w:r w:rsidR="00CC0FBC">
        <w:instrText>ADDIN CSL_CITATION { "citationItems" : [ { "id" : "ITEM-1", "itemData" : { "author" : [ { "dropping-particle" : "", "family" : "Bohensky", "given" : "Megan A", "non-dropping-particle" : "", "parse-names" : false, "suffix" : "" }, { "dropping-particle" : "", "family" : "Jolley", "given" : "Damien", "non-dropping-particle" : "", "parse-names" : false, "suffix" : "" }, { "dropping-particle" : "", "family" : "Sundararajan", "given" : "Vijaya", "non-dropping-particle" : "", "parse-names" : false, "suffix" : "" }, { "dropping-particle" : "", "family" : "Evans", "given" : "Sue", "non-dropping-particle" : "", "parse-names" : false, "suffix" : "" }, { "dropping-particle" : "V", "family" : "Pilcher", "given" : "David", "non-dropping-particle" : "", "parse-names" : false, "suffix" : "" }, { "dropping-particle" : "", "family" : "Scott", "given" : "Ian", "non-dropping-particle" : "", "parse-names" : false, "suffix" : "" }, { "dropping-particle" : "", "family" : "Brand", "given" : "Caroline A", "non-dropping-particle" : "", "parse-names" : false, "suffix" : "" } ], "container-title" : "BMC Health Services Research", "id" : "ITEM-1", "issue" : "346", "issued" : { "date-parts" : [ [ "2010" ] ] }, "title" : "Data Linkage: A powerful research tool with potential problems", "type" : "article-journal", "volume" : "10" }, "uris" : [ "http://www.mendeley.com/documents/?uuid=d07cc3e1-9abe-4b41-854a-d571d016f6b5" ] } ], "mendeley" : { "formattedCitation" : "[18]", "plainTextFormattedCitation" : "[18]", "previouslyFormattedCitation" : "[18]" }, "properties" : { "noteIndex" : 0 }, "schema" : "https://github.com/citation-style-language/schema/raw/master/csl-citation.json" }</w:instrText>
      </w:r>
      <w:r w:rsidR="008E1C88">
        <w:fldChar w:fldCharType="separate"/>
      </w:r>
      <w:r w:rsidR="00ED31E0" w:rsidRPr="00ED31E0">
        <w:rPr>
          <w:noProof/>
        </w:rPr>
        <w:t>[18]</w:t>
      </w:r>
      <w:r w:rsidR="008E1C88">
        <w:fldChar w:fldCharType="end"/>
      </w:r>
      <w:r w:rsidR="0088137B">
        <w:t xml:space="preserve">. </w:t>
      </w:r>
      <w:r w:rsidR="00D33273">
        <w:t>T</w:t>
      </w:r>
      <w:r w:rsidR="0088137B">
        <w:t xml:space="preserve">hose </w:t>
      </w:r>
      <w:r w:rsidR="00274E08">
        <w:t xml:space="preserve">registered with </w:t>
      </w:r>
      <w:r w:rsidR="00923267">
        <w:t xml:space="preserve">the </w:t>
      </w:r>
      <w:r w:rsidR="00274E08">
        <w:t xml:space="preserve">National Health Service (NHS) </w:t>
      </w:r>
      <w:r w:rsidR="00083AE1">
        <w:t>of</w:t>
      </w:r>
      <w:r w:rsidR="00274E08">
        <w:t xml:space="preserve"> England and Wales</w:t>
      </w:r>
      <w:r w:rsidR="00237559">
        <w:t xml:space="preserve"> </w:t>
      </w:r>
      <w:r w:rsidR="00274E08">
        <w:t xml:space="preserve">are assigned a unique 10-digit number, </w:t>
      </w:r>
      <w:r w:rsidR="002F00DF">
        <w:t>which</w:t>
      </w:r>
      <w:r w:rsidR="00274E08">
        <w:t xml:space="preserve"> i</w:t>
      </w:r>
      <w:r w:rsidR="006100EB">
        <w:t>s used as the</w:t>
      </w:r>
      <w:r w:rsidR="0095032B">
        <w:t xml:space="preserve"> sole</w:t>
      </w:r>
      <w:r w:rsidR="006100EB">
        <w:t xml:space="preserve"> identifier </w:t>
      </w:r>
      <w:r w:rsidR="00A160C5">
        <w:t>in</w:t>
      </w:r>
      <w:r w:rsidR="00274E08">
        <w:t xml:space="preserve"> </w:t>
      </w:r>
      <w:r w:rsidR="0095032B">
        <w:t>health</w:t>
      </w:r>
      <w:r w:rsidR="00547600">
        <w:t>care</w:t>
      </w:r>
      <w:r w:rsidR="00274E08">
        <w:t xml:space="preserve"> </w:t>
      </w:r>
      <w:r w:rsidR="00A67A11">
        <w:fldChar w:fldCharType="begin" w:fldLock="1"/>
      </w:r>
      <w:r w:rsidR="00CC0FBC">
        <w:instrText>ADDIN CSL_CITATION { "citationItems" : [ { "id" : "ITEM-1", "itemData" : { "URL" : "http://www.nhs.uk/NHSEngland/thenhs/records/nhs-number/Pages/what-is-the-nhs-number.aspx", "author" : [ { "dropping-particle" : "", "family" : "NHS Direct", "given" : "", "non-dropping-particle" : "", "parse-names" : false, "suffix" : "" } ], "id" : "ITEM-1", "issued" : { "date-parts" : [ [ "2015" ] ] }, "title" : "Your health and care records", "type" : "webpage" }, "uris" : [ "http://www.mendeley.com/documents/?uuid=8c50f0b1-a991-4b09-b9fc-443e52367318" ] } ], "mendeley" : { "formattedCitation" : "[19]", "plainTextFormattedCitation" : "[19]", "previouslyFormattedCitation" : "[19]" }, "properties" : { "noteIndex" : 0 }, "schema" : "https://github.com/citation-style-language/schema/raw/master/csl-citation.json" }</w:instrText>
      </w:r>
      <w:r w:rsidR="00A67A11">
        <w:fldChar w:fldCharType="separate"/>
      </w:r>
      <w:r w:rsidR="00ED31E0" w:rsidRPr="00ED31E0">
        <w:rPr>
          <w:noProof/>
        </w:rPr>
        <w:t>[19]</w:t>
      </w:r>
      <w:r w:rsidR="00A67A11">
        <w:fldChar w:fldCharType="end"/>
      </w:r>
      <w:r w:rsidR="00274E08">
        <w:t>.</w:t>
      </w:r>
      <w:r w:rsidR="00124860">
        <w:t xml:space="preserve"> Similarly, in Scotland a person </w:t>
      </w:r>
      <w:r w:rsidR="006C5162">
        <w:t xml:space="preserve">is </w:t>
      </w:r>
      <w:r w:rsidR="00124860">
        <w:t>assigned a Community Health Index (CHI) number</w:t>
      </w:r>
      <w:r w:rsidR="000978F5">
        <w:t xml:space="preserve"> which </w:t>
      </w:r>
      <w:r w:rsidR="009C22EB">
        <w:t>is used</w:t>
      </w:r>
      <w:r w:rsidR="000978F5">
        <w:t xml:space="preserve"> in the same </w:t>
      </w:r>
      <w:r w:rsidR="00C511EA">
        <w:t>manner</w:t>
      </w:r>
      <w:r w:rsidR="00EF34B3">
        <w:t>.</w:t>
      </w:r>
      <w:r w:rsidR="00274E08">
        <w:t xml:space="preserve"> </w:t>
      </w:r>
      <w:r w:rsidR="00BC0332">
        <w:t>Second</w:t>
      </w:r>
      <w:r w:rsidR="00DC206C">
        <w:t xml:space="preserve">, </w:t>
      </w:r>
      <w:r w:rsidR="00944E50">
        <w:t xml:space="preserve">EHRs provided by </w:t>
      </w:r>
      <w:r w:rsidR="00944E50" w:rsidRPr="003600AB">
        <w:t>England</w:t>
      </w:r>
      <w:r w:rsidR="00944E50">
        <w:t xml:space="preserve"> </w:t>
      </w:r>
      <w:r w:rsidR="00944E50">
        <w:fldChar w:fldCharType="begin" w:fldLock="1"/>
      </w:r>
      <w:r w:rsidR="00CC0FBC">
        <w:instrText>ADDIN CSL_CITATION { "citationItems" : [ { "id" : "ITEM-1", "itemData" : { "author" : [ { "dropping-particle" : "", "family" : "NHS Information Centre for Health and Social Care", "given" : "", "non-dropping-particle" : "", "parse-names" : false, "suffix" : "" } ], "id" : "ITEM-1", "issued" : { "date-parts" : [ [ "2010" ] ] }, "title" : "Hospital episode statistics (HES). NHS Information Centre", "type" : "article-journal" }, "uris" : [ "http://www.mendeley.com/documents/?uuid=a5d85bb4-6d82-4eb8-baff-57dbfa9278fa" ] } ], "mendeley" : { "formattedCitation" : "[20]", "plainTextFormattedCitation" : "[20]", "previouslyFormattedCitation" : "[20]" }, "properties" : { "noteIndex" : 0 }, "schema" : "https://github.com/citation-style-language/schema/raw/master/csl-citation.json" }</w:instrText>
      </w:r>
      <w:r w:rsidR="00944E50">
        <w:fldChar w:fldCharType="separate"/>
      </w:r>
      <w:r w:rsidR="00ED31E0" w:rsidRPr="00ED31E0">
        <w:rPr>
          <w:noProof/>
        </w:rPr>
        <w:t>[20]</w:t>
      </w:r>
      <w:r w:rsidR="00944E50">
        <w:fldChar w:fldCharType="end"/>
      </w:r>
      <w:r w:rsidR="00944E50" w:rsidRPr="003600AB">
        <w:t xml:space="preserve">, </w:t>
      </w:r>
      <w:r w:rsidR="00944E50">
        <w:t xml:space="preserve">Wales </w:t>
      </w:r>
      <w:r w:rsidR="00944E50">
        <w:fldChar w:fldCharType="begin" w:fldLock="1"/>
      </w:r>
      <w:r w:rsidR="00CC0FBC">
        <w:instrText>ADDIN CSL_CITATION { "citationItems" : [ { "id" : "ITEM-1", "itemData" : { "DOI" : "10.1186/1472-6963-9-157", "ISSN" : "1472-6963", "abstract" : "Vast quantities of electronic data are collected about patients and service users as they pass through health service and other public sector organisations, and these data present enormous potential for research and policy evaluation. The Health Information Research Unit (HIRU) aims to realise the potential of electronically-held, person-based, routinely-collected data to conduct and support health-related studies. However, there are considerable challenges that must be addressed before such data can be used for these purposes, to ensure compliance with the legislation and guidelines generally known as Information Governance.", "author" : [ { "dropping-particle" : "V", "family" : "Ford", "given" : "David", "non-dropping-particle" : "", "parse-names" : false, "suffix" : "" }, { "dropping-particle" : "", "family" : "Jones", "given" : "Kerina H", "non-dropping-particle" : "", "parse-names" : false, "suffix" : "" }, { "dropping-particle" : "", "family" : "Verplancke", "given" : "Jean-Philippe", "non-dropping-particle" : "", "parse-names" : false, "suffix" : "" }, { "dropping-particle" : "", "family" : "Lyons", "given" : "Ronan A", "non-dropping-particle" : "", "parse-names" : false, "suffix" : "" }, { "dropping-particle" : "", "family" : "John", "given" : "Gareth", "non-dropping-particle" : "", "parse-names" : false, "suffix" : "" }, { "dropping-particle" : "", "family" : "Brown", "given" : "Ginevra", "non-dropping-particle" : "", "parse-names" : false, "suffix" : "" }, { "dropping-particle" : "", "family" : "Brooks", "given" : "Caroline J", "non-dropping-particle" : "", "parse-names" : false, "suffix" : "" }, { "dropping-particle" : "", "family" : "Thompson", "given" : "Simon", "non-dropping-particle" : "", "parse-names" : false, "suffix" : "" }, { "dropping-particle" : "", "family" : "Bodger", "given" : "Owen", "non-dropping-particle" : "", "parse-names" : false, "suffix" : "" }, { "dropping-particle" : "", "family" : "Couch", "given" : "Tony", "non-dropping-particle" : "", "parse-names" : false, "suffix" : "" }, { "dropping-particle" : "", "family" : "Leake", "given" : "Ken", "non-dropping-particle" : "", "parse-names" : false, "suffix" : "" } ], "container-title" : "BMC Health Services Research", "id" : "ITEM-1", "issue" : "1", "issued" : { "date-parts" : [ [ "2009" ] ] }, "page" : "1-12", "title" : "The SAIL Databank: building a national architecture for e-health research and evaluation", "type" : "article-journal", "volume" : "9" }, "uris" : [ "http://www.mendeley.com/documents/?uuid=444d5ecd-b9ce-48b8-afde-b8ce0b16c641" ] }, { "id" : "ITEM-2", "itemData" : { "DOI" : "10.1186/1472-6947-9-3", "ISSN" : "1472-6947", "abstract" : "Vast amounts of data are collected about patients and service users in the course of health and social care service delivery. Electronic data systems for patient records have the potential to revolutionise service delivery and research. But in order to achieve this, it is essential that the ability to link the data at the individual record level be retained whilst adhering to the principles of information governance. The SAIL (Secure Anonymised Information Linkage) databank has been established using disparate datasets, and over 500 million records from multiple health and social care service providers have been loaded to date, with further growth in progress.", "author" : [ { "dropping-particle" : "", "family" : "Lyons", "given" : "Ronan A", "non-dropping-particle" : "", "parse-names" : false, "suffix" : "" }, { "dropping-particle" : "", "family" : "Jones", "given" : "Kerina H", "non-dropping-particle" : "", "parse-names" : false, "suffix" : "" }, { "dropping-particle" : "", "family" : "John", "given" : "Gareth", "non-dropping-particle" : "", "parse-names" : false, "suffix" : "" }, { "dropping-particle" : "", "family" : "Brooks", "given" : "Caroline J", "non-dropping-particle" : "", "parse-names" : false, "suffix" : "" }, { "dropping-particle" : "", "family" : "Verplancke", "given" : "Jean-Philippe", "non-dropping-particle" : "", "parse-names" : false, "suffix" : "" }, { "dropping-particle" : "V", "family" : "Ford", "given" : "David", "non-dropping-particle" : "", "parse-names" : false, "suffix" : "" }, { "dropping-particle" : "", "family" : "Brown", "given" : "Ginevra", "non-dropping-particle" : "", "parse-names" : false, "suffix" : "" }, { "dropping-particle" : "", "family" : "Leake", "given" : "Ken", "non-dropping-particle" : "", "parse-names" : false, "suffix" : "" } ], "container-title" : "BMC Medical Informatics and Decision Making", "id" : "ITEM-2", "issue" : "1", "issued" : { "date-parts" : [ [ "2009" ] ] }, "page" : "1-8", "title" : "The SAIL databank: linking multiple health and social care datasets", "type" : "article-journal", "volume" : "9" }, "uris" : [ "http://www.mendeley.com/documents/?uuid=8a4a890f-b1c8-4c47-9da4-3194cde3d2d9" ] } ], "mendeley" : { "formattedCitation" : "[4], [17]", "plainTextFormattedCitation" : "[4], [17]", "previouslyFormattedCitation" : "[4], [17]" }, "properties" : { "noteIndex" : 0 }, "schema" : "https://github.com/citation-style-language/schema/raw/master/csl-citation.json" }</w:instrText>
      </w:r>
      <w:r w:rsidR="00944E50">
        <w:fldChar w:fldCharType="separate"/>
      </w:r>
      <w:r w:rsidR="00ED31E0" w:rsidRPr="00ED31E0">
        <w:rPr>
          <w:noProof/>
        </w:rPr>
        <w:t>[4], [17]</w:t>
      </w:r>
      <w:r w:rsidR="00944E50">
        <w:fldChar w:fldCharType="end"/>
      </w:r>
      <w:r w:rsidR="00944E50">
        <w:t xml:space="preserve"> </w:t>
      </w:r>
      <w:r w:rsidR="00944E50" w:rsidRPr="003600AB">
        <w:t>and Scotland</w:t>
      </w:r>
      <w:r w:rsidR="00944E50">
        <w:t xml:space="preserve"> </w:t>
      </w:r>
      <w:r w:rsidR="00944E50">
        <w:fldChar w:fldCharType="begin" w:fldLock="1"/>
      </w:r>
      <w:r w:rsidR="00CC0FBC">
        <w:instrText>ADDIN CSL_CITATION { "citationItems" : [ { "id" : "ITEM-1", "itemData" : { "URL" : "http://www.isdscotland.org", "author" : [ { "dropping-particle" : "", "family" : "NHS Information Services Division", "given" : "", "non-dropping-particle" : "", "parse-names" : false, "suffix" : "" } ], "id" : "ITEM-1", "issued" : { "date-parts" : [ [ "0" ] ] }, "title" : "Scottish Morbidity Records (SMRs). NHS Information Services Division", "type" : "webpage" }, "uris" : [ "http://www.mendeley.com/documents/?uuid=fa199042-d008-42d9-9d93-b836e4d7a30f" ] } ], "mendeley" : { "formattedCitation" : "[21]", "plainTextFormattedCitation" : "[21]", "previouslyFormattedCitation" : "[21]" }, "properties" : { "noteIndex" : 0 }, "schema" : "https://github.com/citation-style-language/schema/raw/master/csl-citation.json" }</w:instrText>
      </w:r>
      <w:r w:rsidR="00944E50">
        <w:fldChar w:fldCharType="separate"/>
      </w:r>
      <w:r w:rsidR="00ED31E0" w:rsidRPr="00ED31E0">
        <w:rPr>
          <w:noProof/>
        </w:rPr>
        <w:t>[21]</w:t>
      </w:r>
      <w:r w:rsidR="00944E50">
        <w:fldChar w:fldCharType="end"/>
      </w:r>
      <w:r w:rsidR="00770E8D">
        <w:t xml:space="preserve"> are distinctive </w:t>
      </w:r>
      <w:r w:rsidR="00944E50">
        <w:t xml:space="preserve">in structure, </w:t>
      </w:r>
      <w:r w:rsidR="007D7F66">
        <w:t>collection</w:t>
      </w:r>
      <w:r w:rsidR="00DF0EE1">
        <w:t xml:space="preserve"> and</w:t>
      </w:r>
      <w:r w:rsidR="00944E50">
        <w:t xml:space="preserve"> </w:t>
      </w:r>
      <w:r w:rsidR="007D7F66">
        <w:t>management</w:t>
      </w:r>
      <w:r w:rsidR="00944E50">
        <w:t>.</w:t>
      </w:r>
      <w:r w:rsidR="00BC0332">
        <w:t xml:space="preserve"> Third</w:t>
      </w:r>
      <w:r w:rsidR="00E37BEC">
        <w:t xml:space="preserve">, </w:t>
      </w:r>
      <w:r w:rsidR="004F32BD">
        <w:t>EHR data</w:t>
      </w:r>
      <w:r w:rsidR="00E37BEC">
        <w:t xml:space="preserve"> </w:t>
      </w:r>
      <w:r w:rsidR="006720AC">
        <w:t xml:space="preserve">from each </w:t>
      </w:r>
      <w:r w:rsidR="0099340A">
        <w:t xml:space="preserve">of these </w:t>
      </w:r>
      <w:r w:rsidR="00AC3300">
        <w:t>data source</w:t>
      </w:r>
      <w:r w:rsidR="001C1688">
        <w:t>s</w:t>
      </w:r>
      <w:r w:rsidR="004F32BD">
        <w:t xml:space="preserve"> </w:t>
      </w:r>
      <w:r w:rsidR="004C722E">
        <w:t>include</w:t>
      </w:r>
      <w:r w:rsidR="004F32BD">
        <w:t xml:space="preserve"> various data types, from structured information such as drug prescriptions, diagnoses and treatment, to unstructured data such as clinical notes </w:t>
      </w:r>
      <w:r w:rsidR="00BD3DB4">
        <w:t>and</w:t>
      </w:r>
      <w:r w:rsidR="004F32BD">
        <w:t xml:space="preserve"> patient self-reported illness</w:t>
      </w:r>
      <w:r w:rsidR="00BF48F1">
        <w:t xml:space="preserve"> </w:t>
      </w:r>
      <w:r w:rsidR="00BF48F1">
        <w:fldChar w:fldCharType="begin" w:fldLock="1"/>
      </w:r>
      <w:r w:rsidR="00231F32">
        <w:instrText>ADDIN CSL_CITATION { "citationItems" : [ { "id" : "ITEM-1", "itemData" : { "DOI" : "10.1038/nrg3208", "author" : [ { "dropping-particle" : "", "family" : "Jensen", "given" : "Peter B", "non-dropping-particle" : "", "parse-names" : false, "suffix" : "" }, { "dropping-particle" : "", "family" : "Jensen", "given" : "Lars J", "non-dropping-particle" : "", "parse-names" : false, "suffix" : "" }, { "dropping-particle" : "", "family" : "Brunak", "given" : "Soren", "non-dropping-particle" : "", "parse-names" : false, "suffix" : "" } ], "container-title" : "Nature Reviews Genetics", "id" : "ITEM-1", "issue" : "1", "issued" : { "date-parts" : [ [ "2012" ] ] }, "page" : "395-405", "title" : "Mining electronic health records: towards better research applications and clinical care", "type" : "article-journal", "volume" : "13" }, "uris" : [ "http://www.mendeley.com/documents/?uuid=dd61da6d-3b68-4d7a-80e7-e115b4bc3e13" ] } ], "mendeley" : { "formattedCitation" : "[11]", "plainTextFormattedCitation" : "[11]", "previouslyFormattedCitation" : "[11]" }, "properties" : { "noteIndex" : 0 }, "schema" : "https://github.com/citation-style-language/schema/raw/master/csl-citation.json" }</w:instrText>
      </w:r>
      <w:r w:rsidR="00BF48F1">
        <w:fldChar w:fldCharType="separate"/>
      </w:r>
      <w:r w:rsidR="004A0009" w:rsidRPr="004A0009">
        <w:rPr>
          <w:noProof/>
        </w:rPr>
        <w:t>[11]</w:t>
      </w:r>
      <w:r w:rsidR="00BF48F1">
        <w:fldChar w:fldCharType="end"/>
      </w:r>
      <w:r w:rsidR="004F32BD">
        <w:t xml:space="preserve">. </w:t>
      </w:r>
      <w:r w:rsidR="008A016D">
        <w:t xml:space="preserve">Finally, there is a </w:t>
      </w:r>
      <w:r w:rsidR="00B348B3">
        <w:t>dearth of</w:t>
      </w:r>
      <w:r w:rsidR="008A016D">
        <w:t xml:space="preserve"> literature </w:t>
      </w:r>
      <w:r w:rsidR="00B348B3">
        <w:t>which</w:t>
      </w:r>
      <w:r w:rsidR="008A016D">
        <w:t xml:space="preserve"> describe</w:t>
      </w:r>
      <w:r w:rsidR="00B348B3">
        <w:t>s</w:t>
      </w:r>
      <w:r w:rsidR="008A016D">
        <w:t xml:space="preserve"> </w:t>
      </w:r>
      <w:r w:rsidR="0015791B">
        <w:t xml:space="preserve">how to undertake </w:t>
      </w:r>
      <w:r w:rsidR="002808B0">
        <w:t xml:space="preserve">EHR data linkage from multiple data sources </w:t>
      </w:r>
      <w:r w:rsidR="008A016D">
        <w:fldChar w:fldCharType="begin" w:fldLock="1"/>
      </w:r>
      <w:r w:rsidR="00CC0FBC">
        <w:instrText>ADDIN CSL_CITATION { "citationItems" : [ { "id" : "ITEM-1", "itemData" : { "author" : [ { "dropping-particle" : "", "family" : "Hagger-Johnson", "given" : "Gareth", "non-dropping-particle" : "", "parse-names" : false, "suffix" : "" }, { "dropping-particle" : "", "family" : "Harron", "given" : "Katie", "non-dropping-particle" : "", "parse-names" : false, "suffix" : "" }, { "dropping-particle" : "", "family" : "Fleming", "given" : "Tom", "non-dropping-particle" : "", "parse-names" : false, "suffix" : "" }, { "dropping-particle" : "", "family" : "Gilbert", "given" : "Ruth", "non-dropping-particle" : "", "parse-names" : false, "suffix" : "" }, { "dropping-particle" : "", "family" : "Goldstein", "given" : "Harvey", "non-dropping-particle" : "", "parse-names" : false, "suffix" : "" }, { "dropping-particle" : "", "family" : "Landy", "given" : "Rebecca", "non-dropping-particle" : "", "parse-names" : false, "suffix" : "" }, { "dropping-particle" : "", "family" : "Parslow", "given" : "Roger C", "non-dropping-particle" : "", "parse-names" : false, "suffix" : "" } ], "container-title" : "BMJ Open", "id" : "ITEM-1", "issue" : "8", "issued" : { "date-parts" : [ [ "2015" ] ] }, "title" : "Data linkage errors in hospital administrative data when applying a pseudonymisation algorithm to paediatric intensive care records", "type" : "article-journal", "volume" : "5" }, "uris" : [ "http://www.mendeley.com/documents/?uuid=56a5193f-3da4-4e10-8736-957efeeb8abf" ] } ], "mendeley" : { "formattedCitation" : "[22]", "plainTextFormattedCitation" : "[22]", "previouslyFormattedCitation" : "[22]" }, "properties" : { "noteIndex" : 0 }, "schema" : "https://github.com/citation-style-language/schema/raw/master/csl-citation.json" }</w:instrText>
      </w:r>
      <w:r w:rsidR="008A016D">
        <w:fldChar w:fldCharType="separate"/>
      </w:r>
      <w:r w:rsidR="00ED31E0" w:rsidRPr="00ED31E0">
        <w:rPr>
          <w:noProof/>
        </w:rPr>
        <w:t>[22]</w:t>
      </w:r>
      <w:r w:rsidR="008A016D">
        <w:fldChar w:fldCharType="end"/>
      </w:r>
      <w:r w:rsidR="008A016D">
        <w:t xml:space="preserve">. </w:t>
      </w:r>
    </w:p>
    <w:p w14:paraId="2697756A" w14:textId="426FEDAE" w:rsidR="005F314A" w:rsidRDefault="005F314A" w:rsidP="004A401E">
      <w:pPr>
        <w:spacing w:line="360" w:lineRule="auto"/>
        <w:jc w:val="both"/>
      </w:pPr>
      <w:r>
        <w:t>Current research efforts have been directed towards modelling and predicting single conditions (</w:t>
      </w:r>
      <w:r w:rsidRPr="00B924F0">
        <w:rPr>
          <w:i/>
        </w:rPr>
        <w:t>e.g.</w:t>
      </w:r>
      <w:r>
        <w:t xml:space="preserve"> </w:t>
      </w:r>
      <w:r w:rsidR="00CB18CD">
        <w:t>depression</w:t>
      </w:r>
      <w:r>
        <w:t xml:space="preserve">, diabetes and epilepsy) and outcomes </w:t>
      </w:r>
      <w:r>
        <w:fldChar w:fldCharType="begin" w:fldLock="1"/>
      </w:r>
      <w:r w:rsidR="002142DB">
        <w:instrText>ADDIN CSL_CITATION { "citationItems" : [ { "id" : "ITEM-1", "itemData" : { "DOI" : "10.1186/s12873-015-0041-6", "ISSN" : "1471-227X", "abstract" : "Self-harm is a significant public health concern in the UK. This is reflected in the recent addition to the English Public Health Outcomes Framework of rates of attendance at Emergency Departments (EDs) following self-harm. However there is currently no source of data to measure this outcome. Routinely available data for inpatient admissions following self-harm miss the majority of cases presenting to services.", "author" : [ { "dropping-particle" : "", "family" : "Polling", "given" : "C", "non-dropping-particle" : "", "parse-names" : false, "suffix" : "" }, { "dropping-particle" : "", "family" : "Tulloch", "given" : "A", "non-dropping-particle" : "", "parse-names" : false, "suffix" : "" }, { "dropping-particle" : "", "family" : "Banerjee", "given" : "S", "non-dropping-particle" : "", "parse-names" : false, "suffix" : "" }, { "dropping-particle" : "", "family" : "Cross", "given" : "S", "non-dropping-particle" : "", "parse-names" : false, "suffix" : "" }, { "dropping-particle" : "", "family" : "Dutta", "given" : "R", "non-dropping-particle" : "", "parse-names" : false, "suffix" : "" }, { "dropping-particle" : "", "family" : "Wood", "given" : "D M", "non-dropping-particle" : "", "parse-names" : false, "suffix" : "" }, { "dropping-particle" : "", "family" : "Dargan", "given" : "P I", "non-dropping-particle" : "", "parse-names" : false, "suffix" : "" }, { "dropping-particle" : "", "family" : "Hotopf", "given" : "M", "non-dropping-particle" : "", "parse-names" : false, "suffix" : "" } ], "container-title" : "BMC Emergency Medicine", "id" : "ITEM-1", "issue" : "1", "issued" : { "date-parts" : [ [ "2015" ] ] }, "title" : "Using routine clinical and administrative data to produce a dataset of attendances at Emergency Departments following self-harm", "type" : "article-journal", "volume" : "15" }, "uris" : [ "http://www.mendeley.com/documents/?uuid=afe13c9a-58ba-4ace-b622-30c282202e4d" ] }, { "id" : "ITEM-2", "itemData" : { "author" : [ { "dropping-particle" : "", "family" : "Samad", "given" : "Lamiya", "non-dropping-particle" : "", "parse-names" : false, "suffix" : "" }, { "dropping-particle" : "", "family" : "Cortina-Borja", "given" : "Mario", "non-dropping-particle" : "", "parse-names" : false, "suffix" : "" }, { "dropping-particle" : "", "family" : "Sutcliffe", "given" : "Alastair G", "non-dropping-particle" : "", "parse-names" : false, "suffix" : "" }, { "dropping-particle" : "", "family" : "Marven", "given" : "Sean", "non-dropping-particle" : "", "parse-names" : false, "suffix" : "" }, { "dropping-particle" : "", "family" : "Cameron", "given" : "J Claire", "non-dropping-particle" : "", "parse-names" : false, "suffix" : "" }, { "dropping-particle" : "El", "family" : "Bashir", "given" : "Haitham", "non-dropping-particle" : "", "parse-names" : false, "suffix" : "" }, { "dropping-particle" : "", "family" : "Lynn", "given" : "Richard", "non-dropping-particle" : "", "parse-names" : false, "suffix" : "" }, { "dropping-particle" : "", "family" : "Taylor", "given" : "Brent", "non-dropping-particle" : "", "parse-names" : false, "suffix" : "" } ], "container-title" : "Vaccine", "id" : "ITEM-2", "issue" : "3", "issued" : { "date-parts" : [ [ "2016" ] ] }, "page" : "373-379", "title" : "National hospital data for intussusception: Data linkage and retrospective analysis to assess quality and use in vaccine safety surveillance", "type" : "article-journal", "volume" : "34" }, "uris" : [ "http://www.mendeley.com/documents/?uuid=793a6a34-f558-4833-bd6b-81ccce233295" ] }, { "id" : "ITEM-3", "itemData" : { "author" : [ { "dropping-particle" : "", "family" : "Simmonds", "given" : "Shirley J", "non-dropping-particle" : "", "parse-names" : false, "suffix" : "" }, { "dropping-particle" : "", "family" : "Syddall", "given" : "Holly E", "non-dropping-particle" : "", "parse-names" : false, "suffix" : "" }, { "dropping-particle" : "", "family" : "Walsh", "given" : "Bronagh", "non-dropping-particle" : "", "parse-names" : false, "suffix" : "" }, { "dropping-particle" : "", "family" : "Evandrou", "given" : "Maria", "non-dropping-particle" : "", "parse-names" : false, "suffix" : "" }, { "dropping-particle" : "", "family" : "Dennison", "given" : "Elaine M", "non-dropping-particle" : "", "parse-names" : false, "suffix" : "" }, { "dropping-particle" : "", "family" : "Cooper", "given" : "Cyrus", "non-dropping-particle" : "", "parse-names" : false, "suffix" : "" }, { "dropping-particle" : "", "family" : "Aihie Sayer", "given" : "Avan", "non-dropping-particle" : "", "parse-names" : false, "suffix" : "" } ], "container-title" : "Age and Ageing", "id" : "ITEM-3", "issue" : "5", "issued" : { "date-parts" : [ [ "2014" ] ] }, "page" : "653-660", "title" : "Understanding NHS hospital admissions in England: linkage of Hospital Episode Statistics to the Hertfordshire Cohort Study", "type" : "article-journal", "volume" : "43" }, "uris" : [ "http://www.mendeley.com/documents/?uuid=a6b051c1-e3a7-457c-a194-6329dd7e608b" ] }, { "id" : "ITEM-4", "itemData" : { "DOI" : "10.1136/bmjopen-2016-012102", "abstract" : "Objectives We aimed to create a `multidatabase' algorithm for identification of cholestatic liver injury using multiple linked UK databases, before (1) assessing the improvement in case ascertainment compared to using a single database and (2) developing a new single-database case-definition algorithm, validated against the multidatabase algorithm.Design Method development for case ascertainment.Setting Three UK population-based electronic health record databases: the UK Clinical Practice Research Datalink (CPRD), the UK Hospital Episodes Statistics (HES) database and the UK Office of National Statistics (ONS) mortality database.Participants 16\u2005040 people over the age of 18\u2005years with linked CPRD--HES records indicating potential cholestatic liver injury between 1 January 2000 and 1 January 2013.Primary outcome measures (1) The number of cases of cholestatic liver injury detected by the multidatabase algorithm. (2) The relative contribution of each data source to multidatabase case status. (3) The ability of the new single-database algorithm to discriminate multidatabase algorithm case status.Results Within the multidatabase case identification algorithm, 4033 of 16\u2005040 potential cases (25%) were identified as definite cases based on CPRD data. HES data allowed possible cases to be discriminated from unlikely cases (947 of 16\u2005040, 6%), but only facilitated identification of 1 definite case. ONS data did not contribute to case definition. The new single-database (CPRD-only) algorithm had a very good ability to discriminate multidatabase case status (area under the receiver operator characteristic curve 0.95).Conclusions CPRD--HES--ONS linkage confers minimal improvement in cholestatic liver injury case ascertainment compared to using CPRD data alone, and a multidatabase algorithm provides little additional information for validation of a CPRD-only algorithm. The availability of laboratory test results within CPRD but not HES means that algorithms based on CPRD--HES-linked data may not always be merited for studies of liver injury, or for other outcomes relying primarily on laboratory test results.", "author" : [ { "dropping-particle" : "", "family" : "Wing", "given" : "Kevin", "non-dropping-particle" : "", "parse-names" : false, "suffix" : "" }, { "dropping-particle" : "", "family" : "Bhaskaran", "given" : "Krishnan", "non-dropping-particle" : "", "parse-names" : false, "suffix" : "" }, { "dropping-particle" : "", "family" : "Smeeth", "given" : "Liam", "non-dropping-particle" : "", "parse-names" : false, "suffix" : "" }, { "dropping-particle" : "", "family" : "Staa", "given" : "Tjeerd P", "non-dropping-particle" : "van", "parse-names" : false, "suffix" : "" }, { "dropping-particle" : "", "family" : "Klungel", "given" : "Olaf H", "non-dropping-particle" : "", "parse-names" : false, "suffix" : "" }, { "dropping-particle" : "", "family" : "Reynolds", "given" : "Robert F", "non-dropping-particle" : "", "parse-names" : false, "suffix" : "" }, { "dropping-particle" : "", "family" : "Douglas", "given" : "Ian", "non-dropping-particle" : "", "parse-names" : false, "suffix" : "" } ], "container-title" : "BMJ Open", "id" : "ITEM-4", "issue" : "9", "issued" : { "date-parts" : [ [ "2016" ] ] }, "title" : "Optimising case detection within UK electronic health records: use of multiple linked databases for detecting liver injury", "type" : "article-journal", "volume" : "6" }, "uris" : [ "http://www.mendeley.com/documents/?uuid=da458c4a-b5fd-4f74-9ea8-3ac4de162c80" ] } ], "mendeley" : { "formattedCitation" : "[3], [16], [23], [24]", "plainTextFormattedCitation" : "[3], [16], [23], [24]", "previouslyFormattedCitation" : "[3], [16], [23], [24]" }, "properties" : { "noteIndex" : 0 }, "schema" : "https://github.com/citation-style-language/schema/raw/master/csl-citation.json" }</w:instrText>
      </w:r>
      <w:r>
        <w:fldChar w:fldCharType="separate"/>
      </w:r>
      <w:r w:rsidR="00CC0FBC" w:rsidRPr="00CC0FBC">
        <w:rPr>
          <w:noProof/>
        </w:rPr>
        <w:t>[3], [16], [23], [24]</w:t>
      </w:r>
      <w:r>
        <w:fldChar w:fldCharType="end"/>
      </w:r>
      <w:r>
        <w:t xml:space="preserve">. </w:t>
      </w:r>
      <w:r w:rsidR="005F4ACD">
        <w:t xml:space="preserve">In this </w:t>
      </w:r>
      <w:r w:rsidR="00486612">
        <w:t>work</w:t>
      </w:r>
      <w:r w:rsidR="005F4ACD">
        <w:t xml:space="preserve">, we </w:t>
      </w:r>
      <w:r w:rsidR="00967067">
        <w:t>study</w:t>
      </w:r>
      <w:r w:rsidR="005F4ACD">
        <w:t xml:space="preserve"> a UK Armed Forces cohort </w:t>
      </w:r>
      <w:r w:rsidR="005F4ACD">
        <w:fldChar w:fldCharType="begin" w:fldLock="1"/>
      </w:r>
      <w:r w:rsidR="002142DB">
        <w:instrText>ADDIN CSL_CITATION { "citationItems" : [ { "id" : "ITEM-1", "itemData" : { "author" : [ { "dropping-particle" : "", "family" : "Hotopf", "given" : "Matthew", "non-dropping-particle" : "", "parse-names" : false, "suffix" : "" }, { "dropping-particle" : "", "family" : "Hull", "given" : "Lisa", "non-dropping-particle" : "", "parse-names" : false, "suffix" : "" }, { "dropping-particle" : "", "family" : "Fear", "given" : "Nicola T", "non-dropping-particle" : "", "parse-names" : false, "suffix" : "" }, { "dropping-particle" : "", "family" : "Browne", "given" : "Tess", "non-dropping-particle" : "", "parse-names" : false, "suffix" : "" }, { "dropping-particle" : "", "family" : "Horn", "given" : "Oded", "non-dropping-particle" : "", "parse-names" : false, "suffix" : "" }, { "dropping-particle" : "", "family" : "Iversen", "given" : "Amy", "non-dropping-particle" : "", "parse-names" : false, "suffix" : "" }, { "dropping-particle" : "", "family" : "Jones", "given" : "Margaret", "non-dropping-particle" : "", "parse-names" : false, "suffix" : "" }, { "dropping-particle" : "", "family" : "Murphy", "given" : "Dominic", "non-dropping-particle" : "", "parse-names" : false, "suffix" : "" }, { "dropping-particle" : "", "family" : "Bland", "given" : "Duncan", "non-dropping-particle" : "", "parse-names" : false, "suffix" : "" }, { "dropping-particle" : "", "family" : "Earnshaw", "given" : "Mark", "non-dropping-particle" : "", "parse-names" : false, "suffix" : "" }, { "dropping-particle" : "", "family" : "Greenberg", "given" : "Neil", "non-dropping-particle" : "", "parse-names" : false, "suffix" : "" }, { "dropping-particle" : "", "family" : "Hughes", "given" : "Jamie Hacker", "non-dropping-particle" : "", "parse-names" : false, "suffix" : "" }, { "dropping-particle" : "", "family" : "Tate", "given" : "A Rosemary", "non-dropping-particle" : "", "parse-names" : false, "suffix" : "" }, { "dropping-particle" : "", "family" : "Dandeker", "given" : "Christopher", "non-dropping-particle" : "", "parse-names" : false, "suffix" : "" }, { "dropping-particle" : "", "family" : "Rona", "given" : "Roberto", "non-dropping-particle" : "", "parse-names" : false, "suffix" : "" }, { "dropping-particle" : "", "family" : "Wessely", "given" : "Simon", "non-dropping-particle" : "", "parse-names" : false, "suffix" : "" } ], "container-title" : "The Lancet", "id" : "ITEM-1", "issue" : "9524", "issued" : { "date-parts" : [ [ "2006" ] ] }, "page" : "1731-1741", "title" : "The health of {UK} military personnel who deployed to the 2003 Iraq war: a cohort study", "type" : "article-journal", "volume" : "367" }, "uris" : [ "http://www.mendeley.com/documents/?uuid=857d8614-bc70-4fdc-bc4f-57fe21bad3c9" ] }, { "id" : "ITEM-2", "itemData" : { "author" : [ { "dropping-particle" : "", "family" : "Fear", "given" : "Nicola T", "non-dropping-particle" : "", "parse-names" : false, "suffix" : "" }, { "dropping-particle" : "", "family" : "Jones", "given" : "Margaret", "non-dropping-particle" : "", "parse-names" : false, "suffix" : "" }, { "dropping-particle" : "", "family" : "Murphy", "given" : "Dominic", "non-dropping-particle" : "", "parse-names" : false, "suffix" : "" }, { "dropping-particle" : "", "family" : "Hull", "given" : "Lisa", "non-dropping-particle" : "", "parse-names" : false, "suffix" : "" }, { "dropping-particle" : "", "family" : "Iversen", "given" : "Amy C", "non-dropping-particle" : "", "parse-names" : false, "suffix" : "" }, { "dropping-particle" : "", "family" : "Coker", "given" : "Bolaji", "non-dropping-particle" : "", "parse-names" : false, "suffix" : "" }, { "dropping-particle" : "", "family" : "Machell", "given" : "Louise", "non-dropping-particle" : "", "parse-names" : false, "suffix" : "" }, { "dropping-particle" : "", "family" : "Sundin", "given" : "Josefin", "non-dropping-particle" : "", "parse-names" : false, "suffix" : "" }, { "dropping-particle" : "", "family" : "Woodhead", "given" : "Charlotte", "non-dropping-particle" : "", "parse-names" : false, "suffix" : "" }, { "dropping-particle" : "", "family" : "Jones", "given" : "Norman", "non-dropping-particle" : "", "parse-names" : false, "suffix" : "" }, { "dropping-particle" : "", "family" : "Greenberg", "given" : "Neil", "non-dropping-particle" : "", "parse-names" : false, "suffix" : "" }, { "dropping-particle" : "", "family" : "Landau", "given" : "Sabine", "non-dropping-particle" : "", "parse-names" : false, "suffix" : "" }, { "dropping-particle" : "", "family" : "Dandeker", "given" : "Christopher", "non-dropping-particle" : "", "parse-names" : false, "suffix" : "" }, { "dropping-particle" : "", "family" : "Rona", "given" : "Roberto J", "non-dropping-particle" : "", "parse-names" : false, "suffix" : "" }, { "dropping-particle" : "", "family" : "Hotopf", "given" : "Matthew", "non-dropping-particle" : "", "parse-names" : false, "suffix" : "" }, { "dropping-particle" : "", "family" : "Wessely", "given" : "Simon", "non-dropping-particle" : "", "parse-names" : false, "suffix" : "" } ], "container-title" : "The Lancet", "id" : "ITEM-2", "issue" : "9728", "issued" : { "date-parts" : [ [ "2010" ] ] }, "page" : "1783-1797", "title" : "What are the consequences of deployment to Iraq and Afghanistan on the mental health of the {UK} armed forces? A cohort study", "type" : "article-journal", "volume" : "375" }, "uris" : [ "http://www.mendeley.com/documents/?uuid=4a9809bb-4557-43a8-873f-d7064ab569c4" ] } ], "mendeley" : { "formattedCitation" : "[25], [26]", "plainTextFormattedCitation" : "[25], [26]", "previouslyFormattedCitation" : "[25], [26]" }, "properties" : { "noteIndex" : 0 }, "schema" : "https://github.com/citation-style-language/schema/raw/master/csl-citation.json" }</w:instrText>
      </w:r>
      <w:r w:rsidR="005F4ACD">
        <w:fldChar w:fldCharType="separate"/>
      </w:r>
      <w:r w:rsidR="00CC0FBC" w:rsidRPr="00CC0FBC">
        <w:rPr>
          <w:noProof/>
        </w:rPr>
        <w:t>[25], [26]</w:t>
      </w:r>
      <w:r w:rsidR="005F4ACD">
        <w:fldChar w:fldCharType="end"/>
      </w:r>
      <w:r w:rsidR="005F4ACD">
        <w:t xml:space="preserve"> </w:t>
      </w:r>
      <w:r w:rsidR="00967067">
        <w:t>(</w:t>
      </w:r>
      <w:r w:rsidR="00EE3421">
        <w:t xml:space="preserve">which includes </w:t>
      </w:r>
      <w:r w:rsidR="00083AE1">
        <w:t>individuals</w:t>
      </w:r>
      <w:r w:rsidR="00EE3421">
        <w:t xml:space="preserve"> from England, Scotland and Wales</w:t>
      </w:r>
      <w:r w:rsidR="00967067">
        <w:t>)</w:t>
      </w:r>
      <w:r w:rsidR="00EE3421">
        <w:t xml:space="preserve"> </w:t>
      </w:r>
      <w:r w:rsidR="00967067">
        <w:t xml:space="preserve">that has been linked separately to three sources of national secondary healthcare data. These data have then been integrated to form a patient-level dataset across 3 nations which includes </w:t>
      </w:r>
      <w:r w:rsidR="00272038">
        <w:t>A&amp;E, Outpatient Care</w:t>
      </w:r>
      <w:r>
        <w:t xml:space="preserve"> and </w:t>
      </w:r>
      <w:r w:rsidR="00F440EF">
        <w:t>Admitted Patient</w:t>
      </w:r>
      <w:r w:rsidR="00876611">
        <w:t xml:space="preserve"> Care (A</w:t>
      </w:r>
      <w:r w:rsidR="00F440EF">
        <w:t>PC)</w:t>
      </w:r>
      <w:r w:rsidR="0033568F">
        <w:t>. The subsequent dataset is</w:t>
      </w:r>
      <w:r>
        <w:t xml:space="preserve"> unique, population-based longitudinal dataset that </w:t>
      </w:r>
      <w:r w:rsidR="001F46DD">
        <w:t>contains</w:t>
      </w:r>
      <w:r>
        <w:t xml:space="preserve"> a wide range of </w:t>
      </w:r>
      <w:r w:rsidR="001F46DD">
        <w:t xml:space="preserve">physical and mental </w:t>
      </w:r>
      <w:r>
        <w:t xml:space="preserve">health indicators of serving and ex-serving UK </w:t>
      </w:r>
      <w:r w:rsidR="00BE4444">
        <w:t>Armed Forces</w:t>
      </w:r>
      <w:r>
        <w:t xml:space="preserve"> personnel. </w:t>
      </w:r>
      <w:r w:rsidR="008E481B" w:rsidRPr="00B86121">
        <w:t>The objective</w:t>
      </w:r>
      <w:r w:rsidR="00207E91">
        <w:t>s</w:t>
      </w:r>
      <w:r w:rsidR="00486612" w:rsidRPr="00B86121">
        <w:t xml:space="preserve"> of this work are</w:t>
      </w:r>
      <w:r w:rsidR="00610223">
        <w:t>;</w:t>
      </w:r>
      <w:r w:rsidRPr="00B86121">
        <w:t xml:space="preserve"> </w:t>
      </w:r>
      <w:r w:rsidR="00B86121" w:rsidRPr="00B86121">
        <w:t xml:space="preserve">1) </w:t>
      </w:r>
      <w:r w:rsidR="008E481B" w:rsidRPr="00B86121">
        <w:t xml:space="preserve">to develop and describe a </w:t>
      </w:r>
      <w:r w:rsidR="00133ECE">
        <w:t>methodology</w:t>
      </w:r>
      <w:r w:rsidR="008E481B" w:rsidRPr="00B86121">
        <w:t xml:space="preserve"> which integrates EHRs of Armed Forces personnel in England, Scotland and Wales</w:t>
      </w:r>
      <w:r w:rsidR="005C3B5F">
        <w:t xml:space="preserve"> </w:t>
      </w:r>
      <w:r w:rsidR="00B86121" w:rsidRPr="00B86121">
        <w:t>2) examine healthcare utilisation</w:t>
      </w:r>
      <w:r w:rsidR="00207E91">
        <w:t xml:space="preserve"> within these data and</w:t>
      </w:r>
      <w:r w:rsidR="00B86121" w:rsidRPr="00B86121">
        <w:t xml:space="preserve"> 3) </w:t>
      </w:r>
      <w:r w:rsidRPr="00B86121">
        <w:t>evaluate characteristics</w:t>
      </w:r>
      <w:r w:rsidR="002E4A78">
        <w:t xml:space="preserve"> of admission, record completion and diagnoses</w:t>
      </w:r>
      <w:r w:rsidRPr="00B86121">
        <w:t>.</w:t>
      </w:r>
      <w:r>
        <w:t xml:space="preserve"> </w:t>
      </w:r>
    </w:p>
    <w:p w14:paraId="2F324C1C" w14:textId="0E09BCAA" w:rsidR="000C1AEB" w:rsidRPr="00DA4A75" w:rsidRDefault="000C1AEB" w:rsidP="00DA4A75">
      <w:pPr>
        <w:spacing w:line="360" w:lineRule="auto"/>
      </w:pPr>
      <w:r>
        <w:rPr>
          <w:b/>
          <w:u w:val="single"/>
        </w:rPr>
        <w:br w:type="page"/>
      </w:r>
    </w:p>
    <w:p w14:paraId="75501EE1" w14:textId="5F5DDE9E" w:rsidR="008D40FB" w:rsidRDefault="005E7650" w:rsidP="00A23430">
      <w:pPr>
        <w:outlineLvl w:val="0"/>
        <w:rPr>
          <w:b/>
          <w:u w:val="single"/>
        </w:rPr>
      </w:pPr>
      <w:r w:rsidRPr="004D3879">
        <w:rPr>
          <w:b/>
          <w:u w:val="single"/>
        </w:rPr>
        <w:t>Methods</w:t>
      </w:r>
    </w:p>
    <w:p w14:paraId="29A0F317" w14:textId="47F2EA18" w:rsidR="008258FB" w:rsidRDefault="00A25C7B" w:rsidP="008258FB">
      <w:pPr>
        <w:keepNext/>
      </w:pPr>
      <w:r>
        <w:rPr>
          <w:noProof/>
          <w:lang w:eastAsia="en-GB"/>
        </w:rPr>
        <w:drawing>
          <wp:inline distT="0" distB="0" distL="0" distR="0" wp14:anchorId="521A7493" wp14:editId="22AFA8FE">
            <wp:extent cx="5720715" cy="3155950"/>
            <wp:effectExtent l="0" t="0" r="0" b="0"/>
            <wp:docPr id="3" name="Picture 3" descr="assets/flow-chart/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flow-chart/v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0715" cy="3155950"/>
                    </a:xfrm>
                    <a:prstGeom prst="rect">
                      <a:avLst/>
                    </a:prstGeom>
                    <a:noFill/>
                    <a:ln>
                      <a:noFill/>
                    </a:ln>
                  </pic:spPr>
                </pic:pic>
              </a:graphicData>
            </a:graphic>
          </wp:inline>
        </w:drawing>
      </w:r>
    </w:p>
    <w:p w14:paraId="1E9A8616" w14:textId="0D1146E5" w:rsidR="008258FB" w:rsidRDefault="008258FB" w:rsidP="00091C4E">
      <w:pPr>
        <w:pStyle w:val="Caption"/>
      </w:pPr>
      <w:r>
        <w:t xml:space="preserve">Figure </w:t>
      </w:r>
      <w:fldSimple w:instr=" SEQ Figure \* ARABIC ">
        <w:r w:rsidR="00751B7C">
          <w:rPr>
            <w:noProof/>
          </w:rPr>
          <w:t>1</w:t>
        </w:r>
      </w:fldSimple>
      <w:r>
        <w:t xml:space="preserve">: </w:t>
      </w:r>
      <w:r w:rsidR="00091C4E">
        <w:t>Overview of the data linkage process and formation of patient-level</w:t>
      </w:r>
      <w:r w:rsidR="004129EC">
        <w:t xml:space="preserve"> dataset</w:t>
      </w:r>
      <w:r w:rsidR="00091C4E">
        <w:t>.</w:t>
      </w:r>
    </w:p>
    <w:p w14:paraId="2DF84CA4" w14:textId="1A12FD59" w:rsidR="008258FB" w:rsidRDefault="00802246" w:rsidP="005A0CAA">
      <w:pPr>
        <w:spacing w:line="360" w:lineRule="auto"/>
        <w:jc w:val="both"/>
      </w:pPr>
      <w:r>
        <w:t xml:space="preserve">The proposed framework is </w:t>
      </w:r>
      <w:r w:rsidR="008258FB">
        <w:t xml:space="preserve">illustrated in </w:t>
      </w:r>
      <w:r w:rsidR="00751B7C">
        <w:t xml:space="preserve">Figure </w:t>
      </w:r>
      <w:r w:rsidR="00083556">
        <w:t>1</w:t>
      </w:r>
      <w:r w:rsidR="00091C4E">
        <w:t>,</w:t>
      </w:r>
      <w:r w:rsidR="00083556">
        <w:t xml:space="preserve"> and is represented by the following stages: </w:t>
      </w:r>
    </w:p>
    <w:p w14:paraId="5BCDE8FA" w14:textId="18A87385" w:rsidR="008B72C9" w:rsidRDefault="008B72C9" w:rsidP="005A0CAA">
      <w:pPr>
        <w:pStyle w:val="ListParagraph"/>
        <w:numPr>
          <w:ilvl w:val="0"/>
          <w:numId w:val="8"/>
        </w:numPr>
        <w:spacing w:line="360" w:lineRule="auto"/>
        <w:jc w:val="both"/>
      </w:pPr>
      <w:r>
        <w:t xml:space="preserve">Demographic </w:t>
      </w:r>
      <w:r w:rsidR="00F476D6">
        <w:t xml:space="preserve">identifiers of Armed Forces personnel </w:t>
      </w:r>
      <w:r w:rsidR="00322158">
        <w:t>are sent</w:t>
      </w:r>
      <w:r w:rsidR="00F476D6">
        <w:t xml:space="preserve"> to each data provider;</w:t>
      </w:r>
    </w:p>
    <w:p w14:paraId="40ACAC76" w14:textId="74CF52C4" w:rsidR="00083556" w:rsidRDefault="00F476D6" w:rsidP="005A0CAA">
      <w:pPr>
        <w:pStyle w:val="ListParagraph"/>
        <w:numPr>
          <w:ilvl w:val="0"/>
          <w:numId w:val="8"/>
        </w:numPr>
        <w:spacing w:line="360" w:lineRule="auto"/>
        <w:jc w:val="both"/>
      </w:pPr>
      <w:r>
        <w:t xml:space="preserve">EHRs are </w:t>
      </w:r>
      <w:r w:rsidR="00077090">
        <w:t xml:space="preserve">extracted and </w:t>
      </w:r>
      <w:r w:rsidR="00AF4E64">
        <w:t>sent to the research team by data providers</w:t>
      </w:r>
      <w:r w:rsidR="00083556">
        <w:t>;</w:t>
      </w:r>
    </w:p>
    <w:p w14:paraId="34FFCEE9" w14:textId="37765160" w:rsidR="00083556" w:rsidRDefault="00091C4E" w:rsidP="005A0CAA">
      <w:pPr>
        <w:pStyle w:val="ListParagraph"/>
        <w:numPr>
          <w:ilvl w:val="0"/>
          <w:numId w:val="8"/>
        </w:numPr>
        <w:spacing w:line="360" w:lineRule="auto"/>
        <w:jc w:val="both"/>
      </w:pPr>
      <w:r>
        <w:t>EHRs are cleaned and validated;</w:t>
      </w:r>
    </w:p>
    <w:p w14:paraId="511C9209" w14:textId="6D3E0E5F" w:rsidR="00091C4E" w:rsidRDefault="00091C4E" w:rsidP="005A0CAA">
      <w:pPr>
        <w:pStyle w:val="ListParagraph"/>
        <w:numPr>
          <w:ilvl w:val="0"/>
          <w:numId w:val="8"/>
        </w:numPr>
        <w:spacing w:line="360" w:lineRule="auto"/>
        <w:jc w:val="both"/>
      </w:pPr>
      <w:r>
        <w:t xml:space="preserve">Variables </w:t>
      </w:r>
      <w:r w:rsidR="0014405D">
        <w:t xml:space="preserve">are </w:t>
      </w:r>
      <w:r>
        <w:t>linked using commonality;</w:t>
      </w:r>
    </w:p>
    <w:p w14:paraId="4240331C" w14:textId="7DAEB646" w:rsidR="00091C4E" w:rsidRDefault="00091C4E" w:rsidP="005A0CAA">
      <w:pPr>
        <w:pStyle w:val="ListParagraph"/>
        <w:numPr>
          <w:ilvl w:val="0"/>
          <w:numId w:val="8"/>
        </w:numPr>
        <w:spacing w:line="360" w:lineRule="auto"/>
        <w:jc w:val="both"/>
      </w:pPr>
      <w:r>
        <w:t xml:space="preserve">EHRs for each patient are </w:t>
      </w:r>
      <w:r w:rsidR="005D662C">
        <w:t>integrated</w:t>
      </w:r>
      <w:r>
        <w:t xml:space="preserve"> to generate a patient-level dataset.</w:t>
      </w:r>
    </w:p>
    <w:p w14:paraId="55279E94" w14:textId="77777777" w:rsidR="00A34C03" w:rsidRDefault="00061A11" w:rsidP="00A34C03">
      <w:pPr>
        <w:outlineLvl w:val="0"/>
        <w:rPr>
          <w:b/>
        </w:rPr>
      </w:pPr>
      <w:r>
        <w:rPr>
          <w:b/>
        </w:rPr>
        <w:t xml:space="preserve">King’s </w:t>
      </w:r>
      <w:r w:rsidR="001E6878">
        <w:rPr>
          <w:b/>
        </w:rPr>
        <w:t>Centre for</w:t>
      </w:r>
      <w:r>
        <w:rPr>
          <w:b/>
        </w:rPr>
        <w:t xml:space="preserve"> Military Health Research</w:t>
      </w:r>
      <w:r w:rsidR="007C0BC3">
        <w:rPr>
          <w:b/>
        </w:rPr>
        <w:t xml:space="preserve"> (KCMHR)</w:t>
      </w:r>
      <w:r>
        <w:rPr>
          <w:b/>
        </w:rPr>
        <w:t xml:space="preserve"> Cohort </w:t>
      </w:r>
    </w:p>
    <w:p w14:paraId="4E197C78" w14:textId="0A1A6546" w:rsidR="00724C7E" w:rsidRPr="007E1C4F" w:rsidRDefault="005F4ACD" w:rsidP="005C06B2">
      <w:pPr>
        <w:spacing w:line="360" w:lineRule="auto"/>
        <w:jc w:val="both"/>
      </w:pPr>
      <w:r>
        <w:t>UK Armed Forces</w:t>
      </w:r>
      <w:r w:rsidR="000C3592">
        <w:t xml:space="preserve"> personnel</w:t>
      </w:r>
      <w:r>
        <w:t xml:space="preserve"> </w:t>
      </w:r>
      <w:r w:rsidR="009C46B6">
        <w:t>receive</w:t>
      </w:r>
      <w:r w:rsidR="0063204A">
        <w:t xml:space="preserve"> </w:t>
      </w:r>
      <w:r w:rsidR="00957BBC">
        <w:t xml:space="preserve">all </w:t>
      </w:r>
      <w:r>
        <w:t xml:space="preserve">secondary care </w:t>
      </w:r>
      <w:r w:rsidR="008A2894">
        <w:t xml:space="preserve">from the NHS </w:t>
      </w:r>
      <w:r>
        <w:t>while in service</w:t>
      </w:r>
      <w:r w:rsidR="008A2894">
        <w:t xml:space="preserve"> </w:t>
      </w:r>
      <w:r w:rsidR="00187AEC">
        <w:t>in the UK</w:t>
      </w:r>
      <w:r>
        <w:t xml:space="preserve"> and after they have left service </w:t>
      </w:r>
      <w:r w:rsidR="0063204A">
        <w:t>from the</w:t>
      </w:r>
      <w:r w:rsidR="00C85289">
        <w:t xml:space="preserve"> NHS.</w:t>
      </w:r>
      <w:r w:rsidR="00685BB0">
        <w:t xml:space="preserve"> </w:t>
      </w:r>
      <w:r w:rsidR="00C85289">
        <w:t>This study uses the example of a</w:t>
      </w:r>
      <w:r w:rsidR="00A02175">
        <w:t>n</w:t>
      </w:r>
      <w:r w:rsidR="00C85289">
        <w:t xml:space="preserve"> Armed Forces population to integrate data from England, Scotland and Wales. The reasons fo</w:t>
      </w:r>
      <w:r w:rsidR="00F538C9">
        <w:t>r this are 1</w:t>
      </w:r>
      <w:r w:rsidR="00C85289">
        <w:t>) they frequent</w:t>
      </w:r>
      <w:r w:rsidR="00F538C9">
        <w:t xml:space="preserve">ly </w:t>
      </w:r>
      <w:r w:rsidR="00D37121">
        <w:t>move/relocate</w:t>
      </w:r>
      <w:r w:rsidR="00D129BB">
        <w:t xml:space="preserve">, </w:t>
      </w:r>
      <w:r w:rsidR="00C85289">
        <w:t xml:space="preserve">so it is important to capture EHRs from across the nations and 2) they may have different health needs due to being exposed to </w:t>
      </w:r>
      <w:r w:rsidR="00F538C9">
        <w:t xml:space="preserve">a high level of </w:t>
      </w:r>
      <w:r w:rsidR="00C85289">
        <w:t xml:space="preserve">physical and mental strain. </w:t>
      </w:r>
      <w:r w:rsidR="0074450A">
        <w:t>This</w:t>
      </w:r>
      <w:r w:rsidR="00CD0A18">
        <w:t xml:space="preserve"> study used the KCMHR cohort, which is a longitudinal cohort of the UK Armed Forces</w:t>
      </w:r>
      <w:r w:rsidR="00DA443F">
        <w:t xml:space="preserve"> (</w:t>
      </w:r>
      <w:r w:rsidR="0094328A">
        <w:t>full details of the methods and sample description were previously reported in</w:t>
      </w:r>
      <w:r w:rsidR="00CD0A18">
        <w:t xml:space="preserve"> </w:t>
      </w:r>
      <w:r w:rsidR="00061A11">
        <w:fldChar w:fldCharType="begin" w:fldLock="1"/>
      </w:r>
      <w:r w:rsidR="00CC0FBC">
        <w:instrText>ADDIN CSL_CITATION { "citationItems" : [ { "id" : "ITEM-1", "itemData" : { "author" : [ { "dropping-particle" : "", "family" : "Hotopf", "given" : "Matthew", "non-dropping-particle" : "", "parse-names" : false, "suffix" : "" }, { "dropping-particle" : "", "family" : "Hull", "given" : "Lisa", "non-dropping-particle" : "", "parse-names" : false, "suffix" : "" }, { "dropping-particle" : "", "family" : "Fear", "given" : "Nicola T", "non-dropping-particle" : "", "parse-names" : false, "suffix" : "" }, { "dropping-particle" : "", "family" : "Browne", "given" : "Tess", "non-dropping-particle" : "", "parse-names" : false, "suffix" : "" }, { "dropping-particle" : "", "family" : "Horn", "given" : "Oded", "non-dropping-particle" : "", "parse-names" : false, "suffix" : "" }, { "dropping-particle" : "", "family" : "Iversen", "given" : "Amy", "non-dropping-particle" : "", "parse-names" : false, "suffix" : "" }, { "dropping-particle" : "", "family" : "Jones", "given" : "Margaret", "non-dropping-particle" : "", "parse-names" : false, "suffix" : "" }, { "dropping-particle" : "", "family" : "Murphy", "given" : "Dominic", "non-dropping-particle" : "", "parse-names" : false, "suffix" : "" }, { "dropping-particle" : "", "family" : "Bland", "given" : "Duncan", "non-dropping-particle" : "", "parse-names" : false, "suffix" : "" }, { "dropping-particle" : "", "family" : "Earnshaw", "given" : "Mark", "non-dropping-particle" : "", "parse-names" : false, "suffix" : "" }, { "dropping-particle" : "", "family" : "Greenberg", "given" : "Neil", "non-dropping-particle" : "", "parse-names" : false, "suffix" : "" }, { "dropping-particle" : "", "family" : "Hughes", "given" : "Jamie Hacker", "non-dropping-particle" : "", "parse-names" : false, "suffix" : "" }, { "dropping-particle" : "", "family" : "Tate", "given" : "A Rosemary", "non-dropping-particle" : "", "parse-names" : false, "suffix" : "" }, { "dropping-particle" : "", "family" : "Dandeker", "given" : "Christopher", "non-dropping-particle" : "", "parse-names" : false, "suffix" : "" }, { "dropping-particle" : "", "family" : "Rona", "given" : "Roberto", "non-dropping-particle" : "", "parse-names" : false, "suffix" : "" }, { "dropping-particle" : "", "family" : "Wessely", "given" : "Simon", "non-dropping-particle" : "", "parse-names" : false, "suffix" : "" } ], "container-title" : "The Lancet", "id" : "ITEM-1", "issue" : "9524", "issued" : { "date-parts" : [ [ "2006" ] ] }, "page" : "1731-1741", "title" : "The health of {UK} military personnel who deployed to the 2003 Iraq war: a cohort study", "type" : "article-journal", "volume" : "367" }, "uris" : [ "http://www.mendeley.com/documents/?uuid=857d8614-bc70-4fdc-bc4f-57fe21bad3c9" ] }, { "id" : "ITEM-2", "itemData" : { "author" : [ { "dropping-particle" : "", "family" : "Fear", "given" : "Nicola T", "non-dropping-particle" : "", "parse-names" : false, "suffix" : "" }, { "dropping-particle" : "", "family" : "Jones", "given" : "Margaret", "non-dropping-particle" : "", "parse-names" : false, "suffix" : "" }, { "dropping-particle" : "", "family" : "Murphy", "given" : "Dominic", "non-dropping-particle" : "", "parse-names" : false, "suffix" : "" }, { "dropping-particle" : "", "family" : "Hull", "given" : "Lisa", "non-dropping-particle" : "", "parse-names" : false, "suffix" : "" }, { "dropping-particle" : "", "family" : "Iversen", "given" : "Amy C", "non-dropping-particle" : "", "parse-names" : false, "suffix" : "" }, { "dropping-particle" : "", "family" : "Coker", "given" : "Bolaji", "non-dropping-particle" : "", "parse-names" : false, "suffix" : "" }, { "dropping-particle" : "", "family" : "Machell", "given" : "Louise", "non-dropping-particle" : "", "parse-names" : false, "suffix" : "" }, { "dropping-particle" : "", "family" : "Sundin", "given" : "Josefin", "non-dropping-particle" : "", "parse-names" : false, "suffix" : "" }, { "dropping-particle" : "", "family" : "Woodhead", "given" : "Charlotte", "non-dropping-particle" : "", "parse-names" : false, "suffix" : "" }, { "dropping-particle" : "", "family" : "Jones", "given" : "Norman", "non-dropping-particle" : "", "parse-names" : false, "suffix" : "" }, { "dropping-particle" : "", "family" : "Greenberg", "given" : "Neil", "non-dropping-particle" : "", "parse-names" : false, "suffix" : "" }, { "dropping-particle" : "", "family" : "Landau", "given" : "Sabine", "non-dropping-particle" : "", "parse-names" : false, "suffix" : "" }, { "dropping-particle" : "", "family" : "Dandeker", "given" : "Christopher", "non-dropping-particle" : "", "parse-names" : false, "suffix" : "" }, { "dropping-particle" : "", "family" : "Rona", "given" : "Roberto J", "non-dropping-particle" : "", "parse-names" : false, "suffix" : "" }, { "dropping-particle" : "", "family" : "Hotopf", "given" : "Matthew", "non-dropping-particle" : "", "parse-names" : false, "suffix" : "" }, { "dropping-particle" : "", "family" : "Wessely", "given" : "Simon", "non-dropping-particle" : "", "parse-names" : false, "suffix" : "" } ], "container-title" : "The Lancet", "id" : "ITEM-2", "issue" : "9728", "issued" : { "date-parts" : [ [ "2010" ] ] }, "page" : "1783-1797", "title" : "What are the consequences of deployment to Iraq and Afghanistan on the mental health of the {UK} armed forces? A cohort study", "type" : "article-journal", "volume" : "375" }, "uris" : [ "http://www.mendeley.com/documents/?uuid=4a9809bb-4557-43a8-873f-d7064ab569c4" ] } ], "mendeley" : { "formattedCitation" : "[25], [26]", "plainTextFormattedCitation" : "[25], [26]", "previouslyFormattedCitation" : "[25], [26]" }, "properties" : { "noteIndex" : 0 }, "schema" : "https://github.com/citation-style-language/schema/raw/master/csl-citation.json" }</w:instrText>
      </w:r>
      <w:r w:rsidR="00061A11">
        <w:fldChar w:fldCharType="separate"/>
      </w:r>
      <w:r w:rsidR="00ED31E0" w:rsidRPr="00ED31E0">
        <w:rPr>
          <w:noProof/>
        </w:rPr>
        <w:t>[25], [26]</w:t>
      </w:r>
      <w:r w:rsidR="00061A11">
        <w:fldChar w:fldCharType="end"/>
      </w:r>
      <w:r w:rsidR="00DA443F">
        <w:t>)</w:t>
      </w:r>
      <w:r w:rsidR="0074450A">
        <w:t>, to develop methodologies to integrate EHR data</w:t>
      </w:r>
      <w:r w:rsidR="00061A11">
        <w:t xml:space="preserve">. </w:t>
      </w:r>
      <w:r w:rsidR="00A8421C">
        <w:t>Briefly, d</w:t>
      </w:r>
      <w:r w:rsidR="00061A11" w:rsidRPr="00901A86">
        <w:rPr>
          <w:rFonts w:ascii="Calibri" w:hAnsi="Calibri"/>
        </w:rPr>
        <w:t xml:space="preserve">ata </w:t>
      </w:r>
      <w:r w:rsidR="007472D4">
        <w:rPr>
          <w:rFonts w:ascii="Calibri" w:hAnsi="Calibri"/>
        </w:rPr>
        <w:t>was</w:t>
      </w:r>
      <w:r w:rsidR="00061A11" w:rsidRPr="00901A86">
        <w:rPr>
          <w:rFonts w:ascii="Calibri" w:hAnsi="Calibri"/>
        </w:rPr>
        <w:t xml:space="preserve"> collected in 2004-2006</w:t>
      </w:r>
      <w:r w:rsidR="003A34F3">
        <w:rPr>
          <w:rFonts w:ascii="Calibri" w:hAnsi="Calibri"/>
        </w:rPr>
        <w:t xml:space="preserve"> </w:t>
      </w:r>
      <w:r w:rsidR="00DC433B">
        <w:rPr>
          <w:rFonts w:ascii="Calibri" w:hAnsi="Calibri"/>
        </w:rPr>
        <w:t xml:space="preserve">from </w:t>
      </w:r>
      <w:r w:rsidR="00BB1A50">
        <w:rPr>
          <w:rFonts w:ascii="Calibri" w:hAnsi="Calibri"/>
        </w:rPr>
        <w:t xml:space="preserve">a sample of personnel </w:t>
      </w:r>
      <w:r w:rsidR="003A34F3">
        <w:rPr>
          <w:rFonts w:ascii="Calibri" w:hAnsi="Calibri"/>
        </w:rPr>
        <w:t xml:space="preserve">deployed to </w:t>
      </w:r>
      <w:r w:rsidR="00BB1A50">
        <w:rPr>
          <w:rFonts w:ascii="Calibri" w:hAnsi="Calibri"/>
        </w:rPr>
        <w:t xml:space="preserve">the </w:t>
      </w:r>
      <w:r w:rsidR="00DC433B">
        <w:rPr>
          <w:rFonts w:ascii="Calibri" w:hAnsi="Calibri"/>
        </w:rPr>
        <w:t xml:space="preserve">Iraq </w:t>
      </w:r>
      <w:r w:rsidR="00BB1A50">
        <w:rPr>
          <w:rFonts w:ascii="Calibri" w:hAnsi="Calibri"/>
        </w:rPr>
        <w:t xml:space="preserve">war during 2003 </w:t>
      </w:r>
      <w:r w:rsidR="003A34F3">
        <w:rPr>
          <w:rFonts w:ascii="Calibri" w:hAnsi="Calibri"/>
        </w:rPr>
        <w:t xml:space="preserve">and </w:t>
      </w:r>
      <w:r w:rsidR="00BB1A50">
        <w:rPr>
          <w:rFonts w:ascii="Calibri" w:hAnsi="Calibri"/>
        </w:rPr>
        <w:t xml:space="preserve">from a sample </w:t>
      </w:r>
      <w:r w:rsidR="009B5BDE">
        <w:rPr>
          <w:rFonts w:ascii="Calibri" w:hAnsi="Calibri"/>
        </w:rPr>
        <w:t xml:space="preserve">of personnel </w:t>
      </w:r>
      <w:r w:rsidR="00BB1A50">
        <w:rPr>
          <w:rFonts w:ascii="Calibri" w:hAnsi="Calibri"/>
        </w:rPr>
        <w:t>serving in</w:t>
      </w:r>
      <w:r w:rsidR="003A34F3">
        <w:rPr>
          <w:rFonts w:ascii="Calibri" w:hAnsi="Calibri"/>
        </w:rPr>
        <w:t xml:space="preserve"> the UK </w:t>
      </w:r>
      <w:r w:rsidR="00BE4444">
        <w:rPr>
          <w:rFonts w:ascii="Calibri" w:hAnsi="Calibri"/>
        </w:rPr>
        <w:t>Armed Forces</w:t>
      </w:r>
      <w:r w:rsidR="009B5BDE">
        <w:rPr>
          <w:rFonts w:ascii="Calibri" w:hAnsi="Calibri"/>
        </w:rPr>
        <w:t xml:space="preserve"> but</w:t>
      </w:r>
      <w:r w:rsidR="00BB1A50">
        <w:rPr>
          <w:rFonts w:ascii="Calibri" w:hAnsi="Calibri"/>
        </w:rPr>
        <w:t xml:space="preserve"> who did not deploy at that time</w:t>
      </w:r>
      <w:r w:rsidR="00061A11" w:rsidRPr="00901A86">
        <w:rPr>
          <w:rFonts w:ascii="Calibri" w:hAnsi="Calibri"/>
        </w:rPr>
        <w:t xml:space="preserve"> (phase 1)</w:t>
      </w:r>
      <w:r w:rsidR="00BB1A50">
        <w:rPr>
          <w:rFonts w:ascii="Calibri" w:hAnsi="Calibri"/>
        </w:rPr>
        <w:t>.</w:t>
      </w:r>
      <w:r w:rsidR="00061A11" w:rsidRPr="00901A86">
        <w:rPr>
          <w:rFonts w:ascii="Calibri" w:hAnsi="Calibri"/>
        </w:rPr>
        <w:t xml:space="preserve"> </w:t>
      </w:r>
      <w:r w:rsidR="009825F8">
        <w:rPr>
          <w:rFonts w:ascii="Calibri" w:hAnsi="Calibri"/>
        </w:rPr>
        <w:t>P</w:t>
      </w:r>
      <w:r w:rsidR="00BB1A50">
        <w:rPr>
          <w:rFonts w:ascii="Calibri" w:hAnsi="Calibri"/>
        </w:rPr>
        <w:t>hase 1 participants</w:t>
      </w:r>
      <w:r w:rsidR="00061A11" w:rsidRPr="00901A86">
        <w:rPr>
          <w:rFonts w:ascii="Calibri" w:hAnsi="Calibri"/>
        </w:rPr>
        <w:t xml:space="preserve"> </w:t>
      </w:r>
      <w:r w:rsidR="009825F8">
        <w:rPr>
          <w:rFonts w:ascii="Calibri" w:hAnsi="Calibri"/>
        </w:rPr>
        <w:t xml:space="preserve">were </w:t>
      </w:r>
      <w:r w:rsidR="00393E68">
        <w:rPr>
          <w:rFonts w:ascii="Calibri" w:hAnsi="Calibri"/>
        </w:rPr>
        <w:t xml:space="preserve">then </w:t>
      </w:r>
      <w:r w:rsidR="009825F8">
        <w:rPr>
          <w:rFonts w:ascii="Calibri" w:hAnsi="Calibri"/>
        </w:rPr>
        <w:t xml:space="preserve">followed up </w:t>
      </w:r>
      <w:r w:rsidR="00061A11" w:rsidRPr="00901A86">
        <w:rPr>
          <w:rFonts w:ascii="Calibri" w:hAnsi="Calibri"/>
        </w:rPr>
        <w:t>in 2007-2009</w:t>
      </w:r>
      <w:r w:rsidR="00555FD7">
        <w:rPr>
          <w:rFonts w:ascii="Calibri" w:hAnsi="Calibri"/>
        </w:rPr>
        <w:t>, where two new samples were introduced to represent the demographics of the Armed Forces at that time point</w:t>
      </w:r>
      <w:r w:rsidR="00842195">
        <w:rPr>
          <w:rFonts w:ascii="Calibri" w:hAnsi="Calibri"/>
        </w:rPr>
        <w:t xml:space="preserve"> </w:t>
      </w:r>
      <w:r w:rsidR="00445C6B">
        <w:rPr>
          <w:rFonts w:ascii="Calibri" w:hAnsi="Calibri"/>
        </w:rPr>
        <w:t>(</w:t>
      </w:r>
      <w:r w:rsidR="005A2C49">
        <w:rPr>
          <w:rFonts w:ascii="Calibri" w:hAnsi="Calibri"/>
        </w:rPr>
        <w:t>phase 2</w:t>
      </w:r>
      <w:r w:rsidR="00555FD7">
        <w:rPr>
          <w:rFonts w:ascii="Calibri" w:hAnsi="Calibri"/>
        </w:rPr>
        <w:t>).</w:t>
      </w:r>
      <w:r w:rsidR="00061A11" w:rsidRPr="00901A86">
        <w:rPr>
          <w:rFonts w:ascii="Calibri" w:hAnsi="Calibri"/>
        </w:rPr>
        <w:t xml:space="preserve"> </w:t>
      </w:r>
      <w:r w:rsidR="001B7BC6">
        <w:rPr>
          <w:rFonts w:ascii="Calibri" w:hAnsi="Calibri"/>
        </w:rPr>
        <w:t>Individuals who took part in</w:t>
      </w:r>
      <w:r w:rsidR="00061A11" w:rsidRPr="00983A4E">
        <w:rPr>
          <w:rFonts w:ascii="Calibri" w:hAnsi="Calibri"/>
        </w:rPr>
        <w:t xml:space="preserve"> phase 1 only </w:t>
      </w:r>
      <w:r w:rsidR="000C0847">
        <w:rPr>
          <w:rFonts w:ascii="Calibri" w:hAnsi="Calibri"/>
        </w:rPr>
        <w:t>we</w:t>
      </w:r>
      <w:r w:rsidR="00061A11" w:rsidRPr="00983A4E">
        <w:rPr>
          <w:rFonts w:ascii="Calibri" w:hAnsi="Calibri"/>
        </w:rPr>
        <w:t xml:space="preserve">re not included in the </w:t>
      </w:r>
      <w:r w:rsidR="00CA0A59">
        <w:rPr>
          <w:rFonts w:ascii="Calibri" w:hAnsi="Calibri"/>
        </w:rPr>
        <w:t>study</w:t>
      </w:r>
      <w:r w:rsidR="00061A11" w:rsidRPr="00983A4E">
        <w:rPr>
          <w:rFonts w:ascii="Calibri" w:hAnsi="Calibri"/>
        </w:rPr>
        <w:t xml:space="preserve"> </w:t>
      </w:r>
      <w:r w:rsidR="00C03DE8">
        <w:rPr>
          <w:rFonts w:ascii="Calibri" w:hAnsi="Calibri"/>
        </w:rPr>
        <w:t>as they had not been asked for consent to access their medical records.</w:t>
      </w:r>
      <w:r w:rsidR="00CA0A59">
        <w:rPr>
          <w:rFonts w:ascii="Calibri" w:hAnsi="Calibri"/>
        </w:rPr>
        <w:t xml:space="preserve"> </w:t>
      </w:r>
      <w:r w:rsidR="00DC3D01">
        <w:rPr>
          <w:rFonts w:ascii="Calibri" w:hAnsi="Calibri"/>
        </w:rPr>
        <w:t xml:space="preserve">In total, </w:t>
      </w:r>
      <w:r w:rsidR="00120017">
        <w:rPr>
          <w:rFonts w:ascii="Calibri" w:hAnsi="Calibri"/>
        </w:rPr>
        <w:t>86.11</w:t>
      </w:r>
      <w:r w:rsidR="00061A11" w:rsidRPr="00983A4E">
        <w:rPr>
          <w:rFonts w:ascii="Calibri" w:hAnsi="Calibri"/>
        </w:rPr>
        <w:t xml:space="preserve">% of </w:t>
      </w:r>
      <w:r w:rsidR="00061A11" w:rsidRPr="000D474E">
        <w:rPr>
          <w:rFonts w:ascii="Calibri" w:hAnsi="Calibri"/>
        </w:rPr>
        <w:t xml:space="preserve">phase 2 </w:t>
      </w:r>
      <w:r w:rsidR="00E9321E">
        <w:rPr>
          <w:rFonts w:ascii="Calibri" w:hAnsi="Calibri"/>
        </w:rPr>
        <w:t>respondents</w:t>
      </w:r>
      <w:r w:rsidR="00061A11" w:rsidRPr="000D474E">
        <w:rPr>
          <w:rFonts w:ascii="Calibri" w:hAnsi="Calibri"/>
        </w:rPr>
        <w:t xml:space="preserve"> provided </w:t>
      </w:r>
      <w:r w:rsidR="00CA0A59">
        <w:rPr>
          <w:rFonts w:ascii="Calibri" w:hAnsi="Calibri"/>
        </w:rPr>
        <w:t xml:space="preserve">informed </w:t>
      </w:r>
      <w:r w:rsidR="00061A11" w:rsidRPr="000D474E">
        <w:rPr>
          <w:rFonts w:ascii="Calibri" w:hAnsi="Calibri"/>
        </w:rPr>
        <w:t xml:space="preserve">consent </w:t>
      </w:r>
      <w:r w:rsidR="009825F8">
        <w:rPr>
          <w:rFonts w:ascii="Calibri" w:hAnsi="Calibri"/>
        </w:rPr>
        <w:t>to</w:t>
      </w:r>
      <w:r w:rsidR="009825F8" w:rsidRPr="000D474E">
        <w:rPr>
          <w:rFonts w:ascii="Calibri" w:hAnsi="Calibri"/>
        </w:rPr>
        <w:t xml:space="preserve"> </w:t>
      </w:r>
      <w:r w:rsidR="009825F8">
        <w:rPr>
          <w:rFonts w:ascii="Calibri" w:hAnsi="Calibri"/>
        </w:rPr>
        <w:t>access</w:t>
      </w:r>
      <w:r w:rsidR="009825F8" w:rsidRPr="000D474E">
        <w:rPr>
          <w:rFonts w:ascii="Calibri" w:hAnsi="Calibri"/>
        </w:rPr>
        <w:t xml:space="preserve"> </w:t>
      </w:r>
      <w:r w:rsidR="009825F8">
        <w:rPr>
          <w:rFonts w:ascii="Calibri" w:hAnsi="Calibri"/>
        </w:rPr>
        <w:t>their</w:t>
      </w:r>
      <w:r w:rsidR="009825F8" w:rsidRPr="000D474E">
        <w:rPr>
          <w:rFonts w:ascii="Calibri" w:hAnsi="Calibri"/>
        </w:rPr>
        <w:t xml:space="preserve"> </w:t>
      </w:r>
      <w:r w:rsidR="00061A11" w:rsidRPr="000D474E">
        <w:rPr>
          <w:rFonts w:ascii="Calibri" w:hAnsi="Calibri"/>
        </w:rPr>
        <w:t>healthcare records</w:t>
      </w:r>
      <w:r w:rsidR="00E109BA">
        <w:rPr>
          <w:rFonts w:ascii="Calibri" w:hAnsi="Calibri"/>
        </w:rPr>
        <w:t>,</w:t>
      </w:r>
      <w:r w:rsidR="00D74A4C">
        <w:rPr>
          <w:rFonts w:ascii="Calibri" w:hAnsi="Calibri"/>
        </w:rPr>
        <w:t xml:space="preserve"> resulti</w:t>
      </w:r>
      <w:r w:rsidR="00B32A0E">
        <w:rPr>
          <w:rFonts w:ascii="Calibri" w:hAnsi="Calibri"/>
        </w:rPr>
        <w:t xml:space="preserve">ng in a final cohort of </w:t>
      </w:r>
      <w:r w:rsidR="00957FB2">
        <w:rPr>
          <w:rFonts w:ascii="Calibri" w:hAnsi="Calibri"/>
        </w:rPr>
        <w:t xml:space="preserve">8,602. </w:t>
      </w:r>
      <w:r w:rsidR="00871F32">
        <w:rPr>
          <w:rFonts w:ascii="Calibri" w:hAnsi="Calibri"/>
        </w:rPr>
        <w:t xml:space="preserve">The consenting cohort available for </w:t>
      </w:r>
      <w:r w:rsidR="00B251D0">
        <w:rPr>
          <w:rFonts w:ascii="Calibri" w:hAnsi="Calibri"/>
        </w:rPr>
        <w:t>data extraction and integration</w:t>
      </w:r>
      <w:r w:rsidR="00871F32">
        <w:rPr>
          <w:rFonts w:ascii="Calibri" w:hAnsi="Calibri"/>
        </w:rPr>
        <w:t xml:space="preserve"> </w:t>
      </w:r>
      <w:r w:rsidR="00223471">
        <w:rPr>
          <w:rFonts w:ascii="Calibri" w:hAnsi="Calibri"/>
        </w:rPr>
        <w:t>comprised</w:t>
      </w:r>
      <w:r w:rsidR="000F5A1A">
        <w:rPr>
          <w:rFonts w:ascii="Calibri" w:hAnsi="Calibri"/>
        </w:rPr>
        <w:t xml:space="preserve"> 7,661 (89</w:t>
      </w:r>
      <w:r w:rsidR="003566AC">
        <w:rPr>
          <w:rFonts w:ascii="Calibri" w:hAnsi="Calibri"/>
        </w:rPr>
        <w:t>.06%) male</w:t>
      </w:r>
      <w:r w:rsidR="00437CEC">
        <w:rPr>
          <w:rFonts w:ascii="Calibri" w:hAnsi="Calibri"/>
        </w:rPr>
        <w:t>s</w:t>
      </w:r>
      <w:r w:rsidR="003566AC">
        <w:rPr>
          <w:rFonts w:ascii="Calibri" w:hAnsi="Calibri"/>
        </w:rPr>
        <w:t xml:space="preserve"> and 941 (10.94%</w:t>
      </w:r>
      <w:r w:rsidR="000F5A1A">
        <w:rPr>
          <w:rFonts w:ascii="Calibri" w:hAnsi="Calibri"/>
        </w:rPr>
        <w:t>) female</w:t>
      </w:r>
      <w:r w:rsidR="00437CEC">
        <w:rPr>
          <w:rFonts w:ascii="Calibri" w:hAnsi="Calibri"/>
        </w:rPr>
        <w:t>s</w:t>
      </w:r>
      <w:r w:rsidR="003566AC">
        <w:rPr>
          <w:rFonts w:ascii="Calibri" w:hAnsi="Calibri"/>
        </w:rPr>
        <w:t>, which is in line with the demographics of the UK Armed Forces</w:t>
      </w:r>
      <w:r w:rsidR="000F5A1A">
        <w:rPr>
          <w:rFonts w:ascii="Calibri" w:hAnsi="Calibri"/>
        </w:rPr>
        <w:t>.</w:t>
      </w:r>
      <w:r w:rsidR="00871F32">
        <w:rPr>
          <w:rFonts w:ascii="Calibri" w:hAnsi="Calibri"/>
        </w:rPr>
        <w:t xml:space="preserve"> </w:t>
      </w:r>
    </w:p>
    <w:p w14:paraId="4A12E806" w14:textId="353A44CB" w:rsidR="004D3879" w:rsidRPr="006F49CF" w:rsidRDefault="003206D1" w:rsidP="00A23430">
      <w:pPr>
        <w:outlineLvl w:val="0"/>
      </w:pPr>
      <w:r w:rsidRPr="006F49CF">
        <w:rPr>
          <w:b/>
        </w:rPr>
        <w:t xml:space="preserve">Data </w:t>
      </w:r>
      <w:r w:rsidR="00107E21">
        <w:rPr>
          <w:b/>
        </w:rPr>
        <w:t>Providers</w:t>
      </w:r>
    </w:p>
    <w:p w14:paraId="45A2CDE6" w14:textId="11AD6EEC" w:rsidR="00C93B8E" w:rsidRDefault="00C93B8E" w:rsidP="00C93B8E">
      <w:pPr>
        <w:pStyle w:val="Caption"/>
        <w:keepNext/>
      </w:pPr>
      <w:bookmarkStart w:id="1" w:name="_Ref326999309"/>
      <w:r>
        <w:t xml:space="preserve">Table </w:t>
      </w:r>
      <w:fldSimple w:instr=" SEQ Table \* ARABIC ">
        <w:r w:rsidR="004A4CBA">
          <w:rPr>
            <w:noProof/>
          </w:rPr>
          <w:t>1</w:t>
        </w:r>
      </w:fldSimple>
      <w:bookmarkEnd w:id="1"/>
      <w:r>
        <w:rPr>
          <w:noProof/>
        </w:rPr>
        <w:t>:</w:t>
      </w:r>
      <w:r>
        <w:t xml:space="preserve"> Defines the terminology </w:t>
      </w:r>
      <w:r w:rsidR="00911173">
        <w:t xml:space="preserve">used by data </w:t>
      </w:r>
      <w:r w:rsidR="007716F5">
        <w:t>providers,</w:t>
      </w:r>
      <w:r w:rsidR="00911173">
        <w:t xml:space="preserve"> data periods of interest and number of variables</w:t>
      </w:r>
      <w:r w:rsidR="0054323F">
        <w:t xml:space="preserve"> requested</w:t>
      </w:r>
      <w:r w:rsidR="00F63256">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592"/>
        <w:gridCol w:w="1576"/>
        <w:gridCol w:w="1968"/>
        <w:gridCol w:w="2089"/>
        <w:gridCol w:w="1801"/>
      </w:tblGrid>
      <w:tr w:rsidR="00320C16" w14:paraId="0AF9262E" w14:textId="77777777" w:rsidTr="00320C16">
        <w:tc>
          <w:tcPr>
            <w:tcW w:w="3168" w:type="dxa"/>
            <w:gridSpan w:val="2"/>
          </w:tcPr>
          <w:p w14:paraId="11C1CD3E" w14:textId="6E0CB7C4" w:rsidR="00C93B8E" w:rsidRPr="0006446C" w:rsidRDefault="00C93B8E" w:rsidP="00C017BE">
            <w:pPr>
              <w:jc w:val="center"/>
              <w:rPr>
                <w:b/>
              </w:rPr>
            </w:pPr>
            <w:r w:rsidRPr="0006446C">
              <w:rPr>
                <w:b/>
              </w:rPr>
              <w:t xml:space="preserve">Terminology </w:t>
            </w:r>
          </w:p>
        </w:tc>
        <w:tc>
          <w:tcPr>
            <w:tcW w:w="1968" w:type="dxa"/>
          </w:tcPr>
          <w:p w14:paraId="52EB9173" w14:textId="20A5EC50" w:rsidR="00C93B8E" w:rsidRPr="0006446C" w:rsidRDefault="00787D20" w:rsidP="00C017BE">
            <w:pPr>
              <w:jc w:val="center"/>
              <w:rPr>
                <w:b/>
              </w:rPr>
            </w:pPr>
            <w:r>
              <w:rPr>
                <w:b/>
              </w:rPr>
              <w:t>NHS Digital</w:t>
            </w:r>
          </w:p>
        </w:tc>
        <w:tc>
          <w:tcPr>
            <w:tcW w:w="2089" w:type="dxa"/>
          </w:tcPr>
          <w:p w14:paraId="3237BF05" w14:textId="5519A8D2" w:rsidR="00C93B8E" w:rsidRPr="0006446C" w:rsidRDefault="00A57C1C" w:rsidP="00C017BE">
            <w:pPr>
              <w:jc w:val="center"/>
              <w:rPr>
                <w:b/>
              </w:rPr>
            </w:pPr>
            <w:r>
              <w:rPr>
                <w:b/>
              </w:rPr>
              <w:t>Secure Anonymised Information Linkage</w:t>
            </w:r>
            <w:r w:rsidR="009C41B1">
              <w:rPr>
                <w:b/>
              </w:rPr>
              <w:t xml:space="preserve"> (SAIL)</w:t>
            </w:r>
          </w:p>
        </w:tc>
        <w:tc>
          <w:tcPr>
            <w:tcW w:w="1801" w:type="dxa"/>
          </w:tcPr>
          <w:p w14:paraId="1FA7FF48" w14:textId="2AEE79DB" w:rsidR="00C93B8E" w:rsidRPr="0006446C" w:rsidRDefault="00A57C1C" w:rsidP="00C017BE">
            <w:pPr>
              <w:jc w:val="center"/>
              <w:rPr>
                <w:b/>
              </w:rPr>
            </w:pPr>
            <w:r>
              <w:rPr>
                <w:b/>
              </w:rPr>
              <w:t>Information Services Division</w:t>
            </w:r>
            <w:r w:rsidR="009C41B1">
              <w:rPr>
                <w:b/>
              </w:rPr>
              <w:t xml:space="preserve"> (ISD)</w:t>
            </w:r>
          </w:p>
        </w:tc>
      </w:tr>
      <w:tr w:rsidR="00320C16" w14:paraId="48D4637F" w14:textId="77777777" w:rsidTr="00320C16">
        <w:trPr>
          <w:trHeight w:val="311"/>
        </w:trPr>
        <w:tc>
          <w:tcPr>
            <w:tcW w:w="1592" w:type="dxa"/>
            <w:vMerge w:val="restart"/>
          </w:tcPr>
          <w:p w14:paraId="133A6EF5" w14:textId="4D0921D7" w:rsidR="00C93B8E" w:rsidRPr="0006446C" w:rsidRDefault="00C93B8E" w:rsidP="00C017BE">
            <w:pPr>
              <w:jc w:val="center"/>
              <w:rPr>
                <w:b/>
              </w:rPr>
            </w:pPr>
            <w:r w:rsidRPr="0006446C">
              <w:rPr>
                <w:b/>
              </w:rPr>
              <w:t>Accident and Emergency</w:t>
            </w:r>
            <w:r w:rsidR="009C41B1">
              <w:rPr>
                <w:b/>
              </w:rPr>
              <w:t xml:space="preserve"> (A&amp;E)</w:t>
            </w:r>
          </w:p>
        </w:tc>
        <w:tc>
          <w:tcPr>
            <w:tcW w:w="1576" w:type="dxa"/>
            <w:vAlign w:val="center"/>
          </w:tcPr>
          <w:p w14:paraId="43BF61FA" w14:textId="77777777" w:rsidR="00C93B8E" w:rsidRDefault="00C93B8E" w:rsidP="00501831">
            <w:pPr>
              <w:jc w:val="center"/>
              <w:rPr>
                <w:b/>
              </w:rPr>
            </w:pPr>
            <w:r>
              <w:rPr>
                <w:b/>
              </w:rPr>
              <w:t>Year range</w:t>
            </w:r>
          </w:p>
        </w:tc>
        <w:tc>
          <w:tcPr>
            <w:tcW w:w="1968" w:type="dxa"/>
            <w:vAlign w:val="center"/>
          </w:tcPr>
          <w:p w14:paraId="201E9DC5" w14:textId="23A7DA3D" w:rsidR="00C93B8E" w:rsidRPr="004B55D1" w:rsidRDefault="00966194" w:rsidP="00501831">
            <w:pPr>
              <w:jc w:val="center"/>
            </w:pPr>
            <w:r>
              <w:t>2007/08 – 2013/14</w:t>
            </w:r>
          </w:p>
        </w:tc>
        <w:tc>
          <w:tcPr>
            <w:tcW w:w="2089" w:type="dxa"/>
            <w:vAlign w:val="center"/>
          </w:tcPr>
          <w:p w14:paraId="51976243" w14:textId="3CD40A5F" w:rsidR="00C93B8E" w:rsidRPr="004B55D1" w:rsidRDefault="00966194" w:rsidP="00501831">
            <w:pPr>
              <w:jc w:val="center"/>
            </w:pPr>
            <w:r>
              <w:t>2009/10 – 2013/14</w:t>
            </w:r>
          </w:p>
        </w:tc>
        <w:tc>
          <w:tcPr>
            <w:tcW w:w="1801" w:type="dxa"/>
            <w:vAlign w:val="center"/>
          </w:tcPr>
          <w:p w14:paraId="37A17A0F" w14:textId="399DCE33" w:rsidR="00C93B8E" w:rsidRPr="004B55D1" w:rsidRDefault="00966194" w:rsidP="00501831">
            <w:pPr>
              <w:jc w:val="center"/>
            </w:pPr>
            <w:r w:rsidRPr="004B55D1">
              <w:t>2003</w:t>
            </w:r>
            <w:r>
              <w:t>/04 – 2013/14</w:t>
            </w:r>
          </w:p>
        </w:tc>
      </w:tr>
      <w:tr w:rsidR="00320C16" w14:paraId="14C19269" w14:textId="77777777" w:rsidTr="00320C16">
        <w:trPr>
          <w:trHeight w:val="311"/>
        </w:trPr>
        <w:tc>
          <w:tcPr>
            <w:tcW w:w="1592" w:type="dxa"/>
            <w:vMerge/>
          </w:tcPr>
          <w:p w14:paraId="16F9D502" w14:textId="77777777" w:rsidR="00C93B8E" w:rsidRPr="0006446C" w:rsidRDefault="00C93B8E" w:rsidP="00C017BE">
            <w:pPr>
              <w:jc w:val="center"/>
              <w:rPr>
                <w:b/>
              </w:rPr>
            </w:pPr>
          </w:p>
        </w:tc>
        <w:tc>
          <w:tcPr>
            <w:tcW w:w="1576" w:type="dxa"/>
            <w:vAlign w:val="center"/>
          </w:tcPr>
          <w:p w14:paraId="096D675A" w14:textId="4FDF61F3" w:rsidR="00C93B8E" w:rsidRDefault="003B3120" w:rsidP="00501831">
            <w:pPr>
              <w:jc w:val="center"/>
              <w:rPr>
                <w:b/>
              </w:rPr>
            </w:pPr>
            <w:r>
              <w:rPr>
                <w:b/>
              </w:rPr>
              <w:t>Dataset</w:t>
            </w:r>
          </w:p>
        </w:tc>
        <w:tc>
          <w:tcPr>
            <w:tcW w:w="1968" w:type="dxa"/>
            <w:vAlign w:val="center"/>
          </w:tcPr>
          <w:p w14:paraId="45228EF5" w14:textId="362EBA40" w:rsidR="00C93B8E" w:rsidRPr="004B55D1" w:rsidRDefault="00C93B8E" w:rsidP="00501831">
            <w:pPr>
              <w:jc w:val="center"/>
            </w:pPr>
            <w:r w:rsidRPr="004B55D1">
              <w:t>Accident and Emergency</w:t>
            </w:r>
          </w:p>
        </w:tc>
        <w:tc>
          <w:tcPr>
            <w:tcW w:w="2089" w:type="dxa"/>
            <w:vAlign w:val="center"/>
          </w:tcPr>
          <w:p w14:paraId="59D32DBC" w14:textId="77777777" w:rsidR="00C93B8E" w:rsidRPr="004B55D1" w:rsidRDefault="00C93B8E" w:rsidP="00501831">
            <w:pPr>
              <w:jc w:val="center"/>
            </w:pPr>
            <w:r w:rsidRPr="004B55D1">
              <w:t>Emergency Department Data Set</w:t>
            </w:r>
          </w:p>
        </w:tc>
        <w:tc>
          <w:tcPr>
            <w:tcW w:w="1801" w:type="dxa"/>
            <w:vAlign w:val="center"/>
          </w:tcPr>
          <w:p w14:paraId="158E723F" w14:textId="77777777" w:rsidR="00C93B8E" w:rsidRPr="004B55D1" w:rsidRDefault="00C93B8E" w:rsidP="00501831">
            <w:pPr>
              <w:jc w:val="center"/>
            </w:pPr>
            <w:r w:rsidRPr="004B55D1">
              <w:t>Accident and Emergency</w:t>
            </w:r>
          </w:p>
        </w:tc>
      </w:tr>
      <w:tr w:rsidR="00320C16" w14:paraId="7F1707AA" w14:textId="77777777" w:rsidTr="00320C16">
        <w:trPr>
          <w:trHeight w:val="311"/>
        </w:trPr>
        <w:tc>
          <w:tcPr>
            <w:tcW w:w="1592" w:type="dxa"/>
            <w:vMerge/>
          </w:tcPr>
          <w:p w14:paraId="611A9079" w14:textId="77777777" w:rsidR="00C93B8E" w:rsidRPr="0006446C" w:rsidRDefault="00C93B8E" w:rsidP="00C017BE">
            <w:pPr>
              <w:jc w:val="center"/>
              <w:rPr>
                <w:b/>
              </w:rPr>
            </w:pPr>
          </w:p>
        </w:tc>
        <w:tc>
          <w:tcPr>
            <w:tcW w:w="1576" w:type="dxa"/>
            <w:vAlign w:val="center"/>
          </w:tcPr>
          <w:p w14:paraId="532552FD" w14:textId="39ABF886" w:rsidR="00C93B8E" w:rsidRDefault="00C93B8E" w:rsidP="00501831">
            <w:pPr>
              <w:jc w:val="center"/>
              <w:rPr>
                <w:b/>
              </w:rPr>
            </w:pPr>
            <w:r>
              <w:rPr>
                <w:b/>
              </w:rPr>
              <w:t>Variable Count</w:t>
            </w:r>
          </w:p>
        </w:tc>
        <w:tc>
          <w:tcPr>
            <w:tcW w:w="1968" w:type="dxa"/>
            <w:vAlign w:val="center"/>
          </w:tcPr>
          <w:p w14:paraId="59ED965D" w14:textId="77777777" w:rsidR="00C93B8E" w:rsidRPr="004B55D1" w:rsidRDefault="00C93B8E" w:rsidP="00501831">
            <w:pPr>
              <w:jc w:val="center"/>
            </w:pPr>
            <w:r>
              <w:t>142</w:t>
            </w:r>
          </w:p>
        </w:tc>
        <w:tc>
          <w:tcPr>
            <w:tcW w:w="2089" w:type="dxa"/>
            <w:vAlign w:val="center"/>
          </w:tcPr>
          <w:p w14:paraId="0AAE618E" w14:textId="77777777" w:rsidR="00C93B8E" w:rsidRPr="004B55D1" w:rsidRDefault="00C93B8E" w:rsidP="00501831">
            <w:pPr>
              <w:jc w:val="center"/>
            </w:pPr>
            <w:r>
              <w:t>69</w:t>
            </w:r>
          </w:p>
        </w:tc>
        <w:tc>
          <w:tcPr>
            <w:tcW w:w="1801" w:type="dxa"/>
            <w:vAlign w:val="center"/>
          </w:tcPr>
          <w:p w14:paraId="5EE12A0C" w14:textId="77777777" w:rsidR="00C93B8E" w:rsidRPr="004B55D1" w:rsidRDefault="00C93B8E" w:rsidP="00501831">
            <w:pPr>
              <w:jc w:val="center"/>
            </w:pPr>
            <w:r>
              <w:t>42</w:t>
            </w:r>
          </w:p>
        </w:tc>
      </w:tr>
      <w:tr w:rsidR="00320C16" w14:paraId="66436619" w14:textId="77777777" w:rsidTr="00320C16">
        <w:trPr>
          <w:trHeight w:val="311"/>
        </w:trPr>
        <w:tc>
          <w:tcPr>
            <w:tcW w:w="1592" w:type="dxa"/>
            <w:vMerge w:val="restart"/>
          </w:tcPr>
          <w:p w14:paraId="318E07E2" w14:textId="0305D272" w:rsidR="00C93B8E" w:rsidRPr="0006446C" w:rsidRDefault="00C93B8E" w:rsidP="00C017BE">
            <w:pPr>
              <w:jc w:val="center"/>
              <w:rPr>
                <w:b/>
              </w:rPr>
            </w:pPr>
            <w:r w:rsidRPr="0006446C">
              <w:rPr>
                <w:b/>
              </w:rPr>
              <w:t>Admitted Patient Care</w:t>
            </w:r>
            <w:r w:rsidR="009C41B1">
              <w:rPr>
                <w:b/>
              </w:rPr>
              <w:t xml:space="preserve"> (APC)</w:t>
            </w:r>
          </w:p>
        </w:tc>
        <w:tc>
          <w:tcPr>
            <w:tcW w:w="1576" w:type="dxa"/>
            <w:vAlign w:val="center"/>
          </w:tcPr>
          <w:p w14:paraId="30D13DFF" w14:textId="156A0D44" w:rsidR="00C93B8E" w:rsidRDefault="00C93B8E" w:rsidP="00501831">
            <w:pPr>
              <w:jc w:val="center"/>
              <w:rPr>
                <w:b/>
              </w:rPr>
            </w:pPr>
            <w:r>
              <w:rPr>
                <w:b/>
              </w:rPr>
              <w:t>Year range</w:t>
            </w:r>
          </w:p>
        </w:tc>
        <w:tc>
          <w:tcPr>
            <w:tcW w:w="1968" w:type="dxa"/>
            <w:vAlign w:val="center"/>
          </w:tcPr>
          <w:p w14:paraId="664431C2" w14:textId="40869F6E" w:rsidR="00C93B8E" w:rsidRPr="004B55D1" w:rsidRDefault="00C93B8E" w:rsidP="00501831">
            <w:pPr>
              <w:jc w:val="center"/>
            </w:pPr>
            <w:r w:rsidRPr="004B55D1">
              <w:t>2003</w:t>
            </w:r>
            <w:r w:rsidR="00966194">
              <w:t>/04 – 2013/14</w:t>
            </w:r>
          </w:p>
        </w:tc>
        <w:tc>
          <w:tcPr>
            <w:tcW w:w="2089" w:type="dxa"/>
            <w:vAlign w:val="center"/>
          </w:tcPr>
          <w:p w14:paraId="6135BC50" w14:textId="731A2213" w:rsidR="00C93B8E" w:rsidRPr="004B55D1" w:rsidRDefault="00966194" w:rsidP="00501831">
            <w:pPr>
              <w:jc w:val="center"/>
            </w:pPr>
            <w:r w:rsidRPr="004B55D1">
              <w:t>2003</w:t>
            </w:r>
            <w:r>
              <w:t>/04 – 2013/14</w:t>
            </w:r>
          </w:p>
        </w:tc>
        <w:tc>
          <w:tcPr>
            <w:tcW w:w="1801" w:type="dxa"/>
            <w:vAlign w:val="center"/>
          </w:tcPr>
          <w:p w14:paraId="658624EC" w14:textId="4E26B87D" w:rsidR="00C93B8E" w:rsidRPr="004B55D1" w:rsidRDefault="00966194" w:rsidP="00501831">
            <w:pPr>
              <w:jc w:val="center"/>
            </w:pPr>
            <w:r w:rsidRPr="004B55D1">
              <w:t>2003</w:t>
            </w:r>
            <w:r>
              <w:t>/04 – 2013/14</w:t>
            </w:r>
          </w:p>
        </w:tc>
      </w:tr>
      <w:tr w:rsidR="00320C16" w14:paraId="6FDD9047" w14:textId="77777777" w:rsidTr="00320C16">
        <w:trPr>
          <w:trHeight w:val="311"/>
        </w:trPr>
        <w:tc>
          <w:tcPr>
            <w:tcW w:w="1592" w:type="dxa"/>
            <w:vMerge/>
          </w:tcPr>
          <w:p w14:paraId="42B0AA4B" w14:textId="77777777" w:rsidR="00C93B8E" w:rsidRPr="0006446C" w:rsidRDefault="00C93B8E" w:rsidP="00C017BE">
            <w:pPr>
              <w:jc w:val="center"/>
              <w:rPr>
                <w:b/>
              </w:rPr>
            </w:pPr>
          </w:p>
        </w:tc>
        <w:tc>
          <w:tcPr>
            <w:tcW w:w="1576" w:type="dxa"/>
            <w:vAlign w:val="center"/>
          </w:tcPr>
          <w:p w14:paraId="0E81D797" w14:textId="301D7D44" w:rsidR="00C93B8E" w:rsidRDefault="003B3120" w:rsidP="00501831">
            <w:pPr>
              <w:jc w:val="center"/>
              <w:rPr>
                <w:b/>
              </w:rPr>
            </w:pPr>
            <w:r>
              <w:rPr>
                <w:b/>
              </w:rPr>
              <w:t>Dataset</w:t>
            </w:r>
          </w:p>
        </w:tc>
        <w:tc>
          <w:tcPr>
            <w:tcW w:w="1968" w:type="dxa"/>
            <w:vAlign w:val="center"/>
          </w:tcPr>
          <w:p w14:paraId="26387541" w14:textId="77777777" w:rsidR="00C93B8E" w:rsidRPr="004B55D1" w:rsidRDefault="00C93B8E" w:rsidP="00501831">
            <w:pPr>
              <w:jc w:val="center"/>
            </w:pPr>
            <w:r w:rsidRPr="004B55D1">
              <w:t>Admitted Patient Care</w:t>
            </w:r>
          </w:p>
        </w:tc>
        <w:tc>
          <w:tcPr>
            <w:tcW w:w="2089" w:type="dxa"/>
            <w:vAlign w:val="center"/>
          </w:tcPr>
          <w:p w14:paraId="5EF6F755" w14:textId="77777777" w:rsidR="00C93B8E" w:rsidRPr="00124022" w:rsidRDefault="00C93B8E" w:rsidP="00501831">
            <w:pPr>
              <w:jc w:val="center"/>
              <w:rPr>
                <w:lang w:val="da-DK"/>
              </w:rPr>
            </w:pPr>
            <w:r w:rsidRPr="00124022">
              <w:rPr>
                <w:lang w:val="da-DK"/>
              </w:rPr>
              <w:t>Patient Episode Database for Wales</w:t>
            </w:r>
          </w:p>
        </w:tc>
        <w:tc>
          <w:tcPr>
            <w:tcW w:w="1801" w:type="dxa"/>
            <w:vAlign w:val="center"/>
          </w:tcPr>
          <w:p w14:paraId="437B64FA" w14:textId="77777777" w:rsidR="00C93B8E" w:rsidRPr="004B55D1" w:rsidRDefault="00C93B8E" w:rsidP="00501831">
            <w:pPr>
              <w:jc w:val="center"/>
            </w:pPr>
            <w:r>
              <w:t>Scottish Morbidity Records 01</w:t>
            </w:r>
          </w:p>
        </w:tc>
      </w:tr>
      <w:tr w:rsidR="00320C16" w14:paraId="200242BD" w14:textId="77777777" w:rsidTr="00320C16">
        <w:trPr>
          <w:trHeight w:val="311"/>
        </w:trPr>
        <w:tc>
          <w:tcPr>
            <w:tcW w:w="1592" w:type="dxa"/>
            <w:vMerge/>
          </w:tcPr>
          <w:p w14:paraId="21F4DC3F" w14:textId="77777777" w:rsidR="00C93B8E" w:rsidRPr="0006446C" w:rsidRDefault="00C93B8E" w:rsidP="00C017BE">
            <w:pPr>
              <w:jc w:val="center"/>
              <w:rPr>
                <w:b/>
              </w:rPr>
            </w:pPr>
          </w:p>
        </w:tc>
        <w:tc>
          <w:tcPr>
            <w:tcW w:w="1576" w:type="dxa"/>
            <w:vAlign w:val="center"/>
          </w:tcPr>
          <w:p w14:paraId="49B2184E" w14:textId="208BA25A" w:rsidR="00C93B8E" w:rsidRDefault="00C93B8E" w:rsidP="00501831">
            <w:pPr>
              <w:jc w:val="center"/>
              <w:rPr>
                <w:b/>
              </w:rPr>
            </w:pPr>
            <w:r>
              <w:rPr>
                <w:b/>
              </w:rPr>
              <w:t>Variable Count</w:t>
            </w:r>
          </w:p>
        </w:tc>
        <w:tc>
          <w:tcPr>
            <w:tcW w:w="1968" w:type="dxa"/>
            <w:vAlign w:val="center"/>
          </w:tcPr>
          <w:p w14:paraId="505B43BF" w14:textId="77777777" w:rsidR="00C93B8E" w:rsidRPr="004B55D1" w:rsidRDefault="00C93B8E" w:rsidP="00501831">
            <w:pPr>
              <w:jc w:val="center"/>
            </w:pPr>
            <w:r>
              <w:t>265</w:t>
            </w:r>
          </w:p>
        </w:tc>
        <w:tc>
          <w:tcPr>
            <w:tcW w:w="2089" w:type="dxa"/>
            <w:vAlign w:val="center"/>
          </w:tcPr>
          <w:p w14:paraId="5842E74D" w14:textId="77777777" w:rsidR="00C93B8E" w:rsidRPr="004B55D1" w:rsidRDefault="00C93B8E" w:rsidP="00501831">
            <w:pPr>
              <w:jc w:val="center"/>
            </w:pPr>
            <w:r>
              <w:t>115</w:t>
            </w:r>
          </w:p>
        </w:tc>
        <w:tc>
          <w:tcPr>
            <w:tcW w:w="1801" w:type="dxa"/>
            <w:vAlign w:val="center"/>
          </w:tcPr>
          <w:p w14:paraId="19B06AEA" w14:textId="77777777" w:rsidR="00C93B8E" w:rsidRDefault="00C93B8E" w:rsidP="00501831">
            <w:pPr>
              <w:jc w:val="center"/>
            </w:pPr>
            <w:r>
              <w:t>36</w:t>
            </w:r>
          </w:p>
        </w:tc>
      </w:tr>
      <w:tr w:rsidR="00320C16" w14:paraId="09AF2E23" w14:textId="77777777" w:rsidTr="00320C16">
        <w:trPr>
          <w:trHeight w:val="339"/>
        </w:trPr>
        <w:tc>
          <w:tcPr>
            <w:tcW w:w="1592" w:type="dxa"/>
            <w:vMerge w:val="restart"/>
          </w:tcPr>
          <w:p w14:paraId="11C71B30" w14:textId="77777777" w:rsidR="00403F72" w:rsidRPr="00403F72" w:rsidRDefault="00403F72" w:rsidP="00C017BE">
            <w:pPr>
              <w:jc w:val="center"/>
              <w:rPr>
                <w:b/>
              </w:rPr>
            </w:pPr>
            <w:r w:rsidRPr="00403F72">
              <w:rPr>
                <w:b/>
              </w:rPr>
              <w:t>Outpatient</w:t>
            </w:r>
          </w:p>
        </w:tc>
        <w:tc>
          <w:tcPr>
            <w:tcW w:w="1576" w:type="dxa"/>
            <w:vAlign w:val="center"/>
          </w:tcPr>
          <w:p w14:paraId="1E6AC1B4" w14:textId="77777777" w:rsidR="00403F72" w:rsidRDefault="00403F72" w:rsidP="00501831">
            <w:pPr>
              <w:jc w:val="center"/>
              <w:rPr>
                <w:b/>
              </w:rPr>
            </w:pPr>
            <w:r>
              <w:rPr>
                <w:b/>
              </w:rPr>
              <w:t>Year Range</w:t>
            </w:r>
          </w:p>
        </w:tc>
        <w:tc>
          <w:tcPr>
            <w:tcW w:w="1968" w:type="dxa"/>
            <w:vAlign w:val="center"/>
          </w:tcPr>
          <w:p w14:paraId="0095D1E3" w14:textId="62618599" w:rsidR="00403F72" w:rsidRPr="004B55D1" w:rsidRDefault="00966194" w:rsidP="00501831">
            <w:pPr>
              <w:jc w:val="center"/>
            </w:pPr>
            <w:r w:rsidRPr="004B55D1">
              <w:t>2003</w:t>
            </w:r>
            <w:r>
              <w:t>/04 – 2013/14</w:t>
            </w:r>
          </w:p>
        </w:tc>
        <w:tc>
          <w:tcPr>
            <w:tcW w:w="2089" w:type="dxa"/>
            <w:vAlign w:val="center"/>
          </w:tcPr>
          <w:p w14:paraId="0EA1AD7C" w14:textId="3298D1D1" w:rsidR="00403F72" w:rsidRPr="004B55D1" w:rsidRDefault="00966194" w:rsidP="00501831">
            <w:pPr>
              <w:jc w:val="center"/>
            </w:pPr>
            <w:r>
              <w:t>2004/05 – 2013/14</w:t>
            </w:r>
          </w:p>
        </w:tc>
        <w:tc>
          <w:tcPr>
            <w:tcW w:w="1801" w:type="dxa"/>
            <w:vAlign w:val="center"/>
          </w:tcPr>
          <w:p w14:paraId="6B89347A" w14:textId="0279990B" w:rsidR="00403F72" w:rsidRPr="004B55D1" w:rsidRDefault="00966194" w:rsidP="00501831">
            <w:pPr>
              <w:jc w:val="center"/>
            </w:pPr>
            <w:r w:rsidRPr="004B55D1">
              <w:t>2003</w:t>
            </w:r>
            <w:r>
              <w:t>/04 – 2013/14</w:t>
            </w:r>
          </w:p>
        </w:tc>
      </w:tr>
      <w:tr w:rsidR="00320C16" w14:paraId="454232C5" w14:textId="77777777" w:rsidTr="00320C16">
        <w:trPr>
          <w:trHeight w:val="339"/>
        </w:trPr>
        <w:tc>
          <w:tcPr>
            <w:tcW w:w="1592" w:type="dxa"/>
            <w:vMerge/>
          </w:tcPr>
          <w:p w14:paraId="10971DBF" w14:textId="77777777" w:rsidR="00403F72" w:rsidRPr="0006446C" w:rsidRDefault="00403F72" w:rsidP="00C017BE">
            <w:pPr>
              <w:jc w:val="center"/>
              <w:rPr>
                <w:b/>
              </w:rPr>
            </w:pPr>
          </w:p>
        </w:tc>
        <w:tc>
          <w:tcPr>
            <w:tcW w:w="1576" w:type="dxa"/>
            <w:vAlign w:val="center"/>
          </w:tcPr>
          <w:p w14:paraId="105CD6EC" w14:textId="2C97B6BD" w:rsidR="00403F72" w:rsidRDefault="003B3120" w:rsidP="00501831">
            <w:pPr>
              <w:jc w:val="center"/>
              <w:rPr>
                <w:b/>
              </w:rPr>
            </w:pPr>
            <w:r>
              <w:rPr>
                <w:b/>
              </w:rPr>
              <w:t>Dataset</w:t>
            </w:r>
          </w:p>
        </w:tc>
        <w:tc>
          <w:tcPr>
            <w:tcW w:w="1968" w:type="dxa"/>
            <w:vAlign w:val="center"/>
          </w:tcPr>
          <w:p w14:paraId="54ADC77E" w14:textId="292F2C24" w:rsidR="00403F72" w:rsidRPr="004B55D1" w:rsidRDefault="009E2337" w:rsidP="00501831">
            <w:pPr>
              <w:jc w:val="center"/>
            </w:pPr>
            <w:r>
              <w:t>Outpatient</w:t>
            </w:r>
          </w:p>
        </w:tc>
        <w:tc>
          <w:tcPr>
            <w:tcW w:w="2089" w:type="dxa"/>
            <w:vAlign w:val="center"/>
          </w:tcPr>
          <w:p w14:paraId="29CB099C" w14:textId="1FC166A1" w:rsidR="00403F72" w:rsidRPr="004B55D1" w:rsidRDefault="009E2337" w:rsidP="00501831">
            <w:pPr>
              <w:jc w:val="center"/>
            </w:pPr>
            <w:r>
              <w:t>Outpatient</w:t>
            </w:r>
          </w:p>
        </w:tc>
        <w:tc>
          <w:tcPr>
            <w:tcW w:w="1801" w:type="dxa"/>
            <w:vAlign w:val="center"/>
          </w:tcPr>
          <w:p w14:paraId="6D3C8188" w14:textId="11BD21AB" w:rsidR="00403F72" w:rsidRPr="004B55D1" w:rsidRDefault="009E2337" w:rsidP="00501831">
            <w:pPr>
              <w:jc w:val="center"/>
            </w:pPr>
            <w:r>
              <w:t>Outpatient</w:t>
            </w:r>
          </w:p>
        </w:tc>
      </w:tr>
      <w:tr w:rsidR="00320C16" w14:paraId="39E99DB7" w14:textId="77777777" w:rsidTr="00320C16">
        <w:trPr>
          <w:trHeight w:val="311"/>
        </w:trPr>
        <w:tc>
          <w:tcPr>
            <w:tcW w:w="1592" w:type="dxa"/>
            <w:vMerge/>
          </w:tcPr>
          <w:p w14:paraId="6ACD8FFB" w14:textId="77777777" w:rsidR="00403F72" w:rsidRPr="0006446C" w:rsidRDefault="00403F72" w:rsidP="00C017BE">
            <w:pPr>
              <w:jc w:val="center"/>
              <w:rPr>
                <w:b/>
              </w:rPr>
            </w:pPr>
          </w:p>
        </w:tc>
        <w:tc>
          <w:tcPr>
            <w:tcW w:w="1576" w:type="dxa"/>
            <w:vAlign w:val="center"/>
          </w:tcPr>
          <w:p w14:paraId="6B1988E4" w14:textId="633C9109" w:rsidR="00403F72" w:rsidRDefault="00403F72" w:rsidP="00501831">
            <w:pPr>
              <w:jc w:val="center"/>
              <w:rPr>
                <w:b/>
              </w:rPr>
            </w:pPr>
            <w:r>
              <w:rPr>
                <w:b/>
              </w:rPr>
              <w:t>Variable Count</w:t>
            </w:r>
          </w:p>
        </w:tc>
        <w:tc>
          <w:tcPr>
            <w:tcW w:w="1968" w:type="dxa"/>
            <w:vAlign w:val="center"/>
          </w:tcPr>
          <w:p w14:paraId="4DA584A5" w14:textId="098080C0" w:rsidR="00403F72" w:rsidRPr="004B55D1" w:rsidRDefault="00EB00F2" w:rsidP="00501831">
            <w:pPr>
              <w:jc w:val="center"/>
            </w:pPr>
            <w:r>
              <w:t>96</w:t>
            </w:r>
          </w:p>
        </w:tc>
        <w:tc>
          <w:tcPr>
            <w:tcW w:w="2089" w:type="dxa"/>
            <w:vAlign w:val="center"/>
          </w:tcPr>
          <w:p w14:paraId="61DE847B" w14:textId="779A7F8E" w:rsidR="00403F72" w:rsidRPr="004B55D1" w:rsidRDefault="00EB00F2" w:rsidP="00501831">
            <w:pPr>
              <w:jc w:val="center"/>
            </w:pPr>
            <w:r>
              <w:t>46</w:t>
            </w:r>
          </w:p>
        </w:tc>
        <w:tc>
          <w:tcPr>
            <w:tcW w:w="1801" w:type="dxa"/>
            <w:vAlign w:val="center"/>
          </w:tcPr>
          <w:p w14:paraId="308D5B05" w14:textId="21D8073D" w:rsidR="00403F72" w:rsidRPr="004B55D1" w:rsidRDefault="00EB00F2" w:rsidP="00501831">
            <w:pPr>
              <w:jc w:val="center"/>
            </w:pPr>
            <w:r>
              <w:t>32</w:t>
            </w:r>
          </w:p>
        </w:tc>
      </w:tr>
    </w:tbl>
    <w:p w14:paraId="1EF7CFC7" w14:textId="77777777" w:rsidR="009C41B1" w:rsidRDefault="009C41B1" w:rsidP="0045193E">
      <w:pPr>
        <w:spacing w:line="360" w:lineRule="auto"/>
        <w:outlineLvl w:val="0"/>
      </w:pPr>
    </w:p>
    <w:p w14:paraId="750485C4" w14:textId="3D3A170B" w:rsidR="002C7400" w:rsidRDefault="009C41B1" w:rsidP="0069370F">
      <w:pPr>
        <w:spacing w:line="360" w:lineRule="auto"/>
        <w:jc w:val="both"/>
        <w:outlineLvl w:val="0"/>
      </w:pPr>
      <w:r>
        <w:t>EHRs are managed by NHS Digital in England</w:t>
      </w:r>
      <w:r w:rsidR="00CA1192">
        <w:t xml:space="preserve"> </w:t>
      </w:r>
      <w:r w:rsidR="002142DB">
        <w:fldChar w:fldCharType="begin" w:fldLock="1"/>
      </w:r>
      <w:r w:rsidR="002142DB">
        <w:instrText>ADDIN CSL_CITATION { "citationItems" : [ { "id" : "ITEM-1", "itemData" : { "author" : [ { "dropping-particle" : "", "family" : "NHS Information Centre for Health and Social Care", "given" : "", "non-dropping-particle" : "", "parse-names" : false, "suffix" : "" } ], "id" : "ITEM-1", "issued" : { "date-parts" : [ [ "2010" ] ] }, "title" : "Hospital episode statistics (HES). NHS Information Centre", "type" : "article-journal" }, "uris" : [ "http://www.mendeley.com/documents/?uuid=a5d85bb4-6d82-4eb8-baff-57dbfa9278fa" ] } ], "mendeley" : { "formattedCitation" : "[20]", "plainTextFormattedCitation" : "[20]", "previouslyFormattedCitation" : "[20]" }, "properties" : { "noteIndex" : 0 }, "schema" : "https://github.com/citation-style-language/schema/raw/master/csl-citation.json" }</w:instrText>
      </w:r>
      <w:r w:rsidR="002142DB">
        <w:fldChar w:fldCharType="separate"/>
      </w:r>
      <w:r w:rsidR="002142DB" w:rsidRPr="002142DB">
        <w:rPr>
          <w:noProof/>
        </w:rPr>
        <w:t>[20]</w:t>
      </w:r>
      <w:r w:rsidR="002142DB">
        <w:fldChar w:fldCharType="end"/>
      </w:r>
      <w:r>
        <w:t>, Secure Anonymised Information Linkage (SAIL)</w:t>
      </w:r>
      <w:r w:rsidR="002246D8">
        <w:t xml:space="preserve"> in Wales</w:t>
      </w:r>
      <w:r>
        <w:t xml:space="preserve"> </w:t>
      </w:r>
      <w:r w:rsidR="002142DB">
        <w:fldChar w:fldCharType="begin" w:fldLock="1"/>
      </w:r>
      <w:r w:rsidR="002142DB">
        <w:instrText>ADDIN CSL_CITATION { "citationItems" : [ { "id" : "ITEM-1", "itemData" : { "DOI" : "10.1186/1472-6963-9-157", "ISSN" : "1472-6963", "abstract" : "Vast quantities of electronic data are collected about patients and service users as they pass through health service and other public sector organisations, and these data present enormous potential for research and policy evaluation. The Health Information Research Unit (HIRU) aims to realise the potential of electronically-held, person-based, routinely-collected data to conduct and support health-related studies. However, there are considerable challenges that must be addressed before such data can be used for these purposes, to ensure compliance with the legislation and guidelines generally known as Information Governance.", "author" : [ { "dropping-particle" : "V", "family" : "Ford", "given" : "David", "non-dropping-particle" : "", "parse-names" : false, "suffix" : "" }, { "dropping-particle" : "", "family" : "Jones", "given" : "Kerina H", "non-dropping-particle" : "", "parse-names" : false, "suffix" : "" }, { "dropping-particle" : "", "family" : "Verplancke", "given" : "Jean-Philippe", "non-dropping-particle" : "", "parse-names" : false, "suffix" : "" }, { "dropping-particle" : "", "family" : "Lyons", "given" : "Ronan A", "non-dropping-particle" : "", "parse-names" : false, "suffix" : "" }, { "dropping-particle" : "", "family" : "John", "given" : "Gareth", "non-dropping-particle" : "", "parse-names" : false, "suffix" : "" }, { "dropping-particle" : "", "family" : "Brown", "given" : "Ginevra", "non-dropping-particle" : "", "parse-names" : false, "suffix" : "" }, { "dropping-particle" : "", "family" : "Brooks", "given" : "Caroline J", "non-dropping-particle" : "", "parse-names" : false, "suffix" : "" }, { "dropping-particle" : "", "family" : "Thompson", "given" : "Simon", "non-dropping-particle" : "", "parse-names" : false, "suffix" : "" }, { "dropping-particle" : "", "family" : "Bodger", "given" : "Owen", "non-dropping-particle" : "", "parse-names" : false, "suffix" : "" }, { "dropping-particle" : "", "family" : "Couch", "given" : "Tony", "non-dropping-particle" : "", "parse-names" : false, "suffix" : "" }, { "dropping-particle" : "", "family" : "Leake", "given" : "Ken", "non-dropping-particle" : "", "parse-names" : false, "suffix" : "" } ], "container-title" : "BMC Health Services Research", "id" : "ITEM-1", "issue" : "1", "issued" : { "date-parts" : [ [ "2009" ] ] }, "page" : "1-12", "title" : "The SAIL Databank: building a national architecture for e-health research and evaluation", "type" : "article-journal", "volume" : "9" }, "uris" : [ "http://www.mendeley.com/documents/?uuid=444d5ecd-b9ce-48b8-afde-b8ce0b16c641" ] }, { "id" : "ITEM-2", "itemData" : { "DOI" : "10.1186/1472-6947-9-3", "ISSN" : "1472-6947", "abstract" : "Vast amounts of data are collected about patients and service users in the course of health and social care service delivery. Electronic data systems for patient records have the potential to revolutionise service delivery and research. But in order to achieve this, it is essential that the ability to link the data at the individual record level be retained whilst adhering to the principles of information governance. The SAIL (Secure Anonymised Information Linkage) databank has been established using disparate datasets, and over 500 million records from multiple health and social care service providers have been loaded to date, with further growth in progress.", "author" : [ { "dropping-particle" : "", "family" : "Lyons", "given" : "Ronan A", "non-dropping-particle" : "", "parse-names" : false, "suffix" : "" }, { "dropping-particle" : "", "family" : "Jones", "given" : "Kerina H", "non-dropping-particle" : "", "parse-names" : false, "suffix" : "" }, { "dropping-particle" : "", "family" : "John", "given" : "Gareth", "non-dropping-particle" : "", "parse-names" : false, "suffix" : "" }, { "dropping-particle" : "", "family" : "Brooks", "given" : "Caroline J", "non-dropping-particle" : "", "parse-names" : false, "suffix" : "" }, { "dropping-particle" : "", "family" : "Verplancke", "given" : "Jean-Philippe", "non-dropping-particle" : "", "parse-names" : false, "suffix" : "" }, { "dropping-particle" : "V", "family" : "Ford", "given" : "David", "non-dropping-particle" : "", "parse-names" : false, "suffix" : "" }, { "dropping-particle" : "", "family" : "Brown", "given" : "Ginevra", "non-dropping-particle" : "", "parse-names" : false, "suffix" : "" }, { "dropping-particle" : "", "family" : "Leake", "given" : "Ken", "non-dropping-particle" : "", "parse-names" : false, "suffix" : "" } ], "container-title" : "BMC Medical Informatics and Decision Making", "id" : "ITEM-2", "issue" : "1", "issued" : { "date-parts" : [ [ "2009" ] ] }, "page" : "1-8", "title" : "The SAIL databank: linking multiple health and social care datasets", "type" : "article-journal", "volume" : "9" }, "uris" : [ "http://www.mendeley.com/documents/?uuid=8a4a890f-b1c8-4c47-9da4-3194cde3d2d9" ] } ], "mendeley" : { "formattedCitation" : "[4], [17]", "plainTextFormattedCitation" : "[4], [17]", "previouslyFormattedCitation" : "[4], [17]" }, "properties" : { "noteIndex" : 0 }, "schema" : "https://github.com/citation-style-language/schema/raw/master/csl-citation.json" }</w:instrText>
      </w:r>
      <w:r w:rsidR="002142DB">
        <w:fldChar w:fldCharType="separate"/>
      </w:r>
      <w:r w:rsidR="002142DB" w:rsidRPr="002142DB">
        <w:rPr>
          <w:noProof/>
        </w:rPr>
        <w:t>[4], [17]</w:t>
      </w:r>
      <w:r w:rsidR="002142DB">
        <w:fldChar w:fldCharType="end"/>
      </w:r>
      <w:r w:rsidR="002142DB">
        <w:t xml:space="preserve"> </w:t>
      </w:r>
      <w:r>
        <w:t>and Information Service Division (ISD)</w:t>
      </w:r>
      <w:r w:rsidR="002246D8">
        <w:t xml:space="preserve"> in Scotland</w:t>
      </w:r>
      <w:r w:rsidR="00314627">
        <w:t xml:space="preserve"> </w:t>
      </w:r>
      <w:r w:rsidR="00314627">
        <w:fldChar w:fldCharType="begin" w:fldLock="1"/>
      </w:r>
      <w:r w:rsidR="004829B8">
        <w:instrText>ADDIN CSL_CITATION { "citationItems" : [ { "id" : "ITEM-1", "itemData" : { "URL" : "http://www.isdscotland.org", "author" : [ { "dropping-particle" : "", "family" : "NHS Information Services Division", "given" : "", "non-dropping-particle" : "", "parse-names" : false, "suffix" : "" } ], "id" : "ITEM-1", "issued" : { "date-parts" : [ [ "0" ] ] }, "title" : "Scottish Morbidity Records (SMRs). NHS Information Services Division", "type" : "webpage" }, "uris" : [ "http://www.mendeley.com/documents/?uuid=fa199042-d008-42d9-9d93-b836e4d7a30f" ] } ], "mendeley" : { "formattedCitation" : "[21]", "plainTextFormattedCitation" : "[21]", "previouslyFormattedCitation" : "[21]" }, "properties" : { "noteIndex" : 0 }, "schema" : "https://github.com/citation-style-language/schema/raw/master/csl-citation.json" }</w:instrText>
      </w:r>
      <w:r w:rsidR="00314627">
        <w:fldChar w:fldCharType="separate"/>
      </w:r>
      <w:r w:rsidR="00314627" w:rsidRPr="002142DB">
        <w:rPr>
          <w:noProof/>
        </w:rPr>
        <w:t>[21]</w:t>
      </w:r>
      <w:r w:rsidR="00314627">
        <w:fldChar w:fldCharType="end"/>
      </w:r>
      <w:r w:rsidR="003B3120">
        <w:t xml:space="preserve">. </w:t>
      </w:r>
      <w:r w:rsidR="003B3120">
        <w:fldChar w:fldCharType="begin"/>
      </w:r>
      <w:r w:rsidR="003B3120">
        <w:instrText xml:space="preserve"> REF _Ref326999309 \h  \* MERGEFORMAT </w:instrText>
      </w:r>
      <w:r w:rsidR="003B3120">
        <w:fldChar w:fldCharType="separate"/>
      </w:r>
      <w:r w:rsidR="003B3120">
        <w:t xml:space="preserve">Table </w:t>
      </w:r>
      <w:r w:rsidR="003B3120">
        <w:rPr>
          <w:noProof/>
        </w:rPr>
        <w:t>1</w:t>
      </w:r>
      <w:r w:rsidR="003B3120">
        <w:fldChar w:fldCharType="end"/>
      </w:r>
      <w:r w:rsidR="003B3120">
        <w:t xml:space="preserve"> illustrates the datasets, </w:t>
      </w:r>
      <w:r w:rsidR="0054323F">
        <w:t>period</w:t>
      </w:r>
      <w:r w:rsidR="00C91270">
        <w:t>s of interest</w:t>
      </w:r>
      <w:r w:rsidR="0054323F">
        <w:t xml:space="preserve"> and requested </w:t>
      </w:r>
      <w:r w:rsidR="00B06A42">
        <w:t xml:space="preserve">number of </w:t>
      </w:r>
      <w:r w:rsidR="0054323F">
        <w:t>variables</w:t>
      </w:r>
      <w:r w:rsidR="003B3120">
        <w:t xml:space="preserve">. </w:t>
      </w:r>
      <w:r w:rsidR="00E366AB">
        <w:t xml:space="preserve">Variables </w:t>
      </w:r>
      <w:r w:rsidR="008B30E0">
        <w:t>that</w:t>
      </w:r>
      <w:r w:rsidR="00021406">
        <w:t xml:space="preserve"> were </w:t>
      </w:r>
      <w:r w:rsidR="007A1F1C">
        <w:t>comparable</w:t>
      </w:r>
      <w:r w:rsidR="00B91C35">
        <w:t xml:space="preserve"> (</w:t>
      </w:r>
      <w:r w:rsidR="00B91C35" w:rsidRPr="006F7886">
        <w:rPr>
          <w:i/>
          <w:iCs/>
        </w:rPr>
        <w:t>e.g.</w:t>
      </w:r>
      <w:r w:rsidR="00B91C35">
        <w:t xml:space="preserve"> similar in content and type)</w:t>
      </w:r>
      <w:r w:rsidR="00021406">
        <w:t xml:space="preserve"> </w:t>
      </w:r>
      <w:r w:rsidR="00B91C35">
        <w:t xml:space="preserve">between data providers </w:t>
      </w:r>
      <w:r w:rsidR="00E366AB">
        <w:t>were requested</w:t>
      </w:r>
      <w:r w:rsidR="00021406">
        <w:t>.</w:t>
      </w:r>
      <w:r w:rsidR="00B06D07">
        <w:t xml:space="preserve"> </w:t>
      </w:r>
      <w:r w:rsidR="009931A9">
        <w:t xml:space="preserve">Where available, data </w:t>
      </w:r>
      <w:r w:rsidR="00501831">
        <w:t>was</w:t>
      </w:r>
      <w:r w:rsidR="00C93D41" w:rsidRPr="00B724F8">
        <w:t xml:space="preserve"> </w:t>
      </w:r>
      <w:r w:rsidR="009931A9" w:rsidRPr="00B724F8">
        <w:t>requested for the fi</w:t>
      </w:r>
      <w:r w:rsidR="002E6759">
        <w:t>nancial years 2003/04 to 2013/</w:t>
      </w:r>
      <w:r w:rsidR="009931A9" w:rsidRPr="00B724F8">
        <w:t>14</w:t>
      </w:r>
      <w:r w:rsidR="00DA3CD0">
        <w:t xml:space="preserve"> or closest available</w:t>
      </w:r>
      <w:r w:rsidR="00926DD5">
        <w:t xml:space="preserve">. </w:t>
      </w:r>
    </w:p>
    <w:p w14:paraId="6635D6C0" w14:textId="6F79F189" w:rsidR="00D36BD4" w:rsidRDefault="005042DC" w:rsidP="00A23430">
      <w:pPr>
        <w:outlineLvl w:val="0"/>
        <w:rPr>
          <w:b/>
        </w:rPr>
      </w:pPr>
      <w:r>
        <w:rPr>
          <w:b/>
        </w:rPr>
        <w:t>Extracting</w:t>
      </w:r>
      <w:r w:rsidR="00113C3B">
        <w:rPr>
          <w:b/>
        </w:rPr>
        <w:t xml:space="preserve"> Electronic H</w:t>
      </w:r>
      <w:r w:rsidR="00AA49C0">
        <w:rPr>
          <w:b/>
        </w:rPr>
        <w:t>ealth</w:t>
      </w:r>
      <w:r w:rsidR="00113C3B">
        <w:rPr>
          <w:b/>
        </w:rPr>
        <w:t>care R</w:t>
      </w:r>
      <w:r w:rsidR="006922E4">
        <w:rPr>
          <w:b/>
        </w:rPr>
        <w:t>ecords</w:t>
      </w:r>
    </w:p>
    <w:p w14:paraId="10CBB17B" w14:textId="4D88F56A" w:rsidR="00BE195C" w:rsidRDefault="00BE195C" w:rsidP="0069370F">
      <w:pPr>
        <w:spacing w:line="360" w:lineRule="auto"/>
        <w:jc w:val="both"/>
      </w:pPr>
      <w:r>
        <w:t xml:space="preserve">Data extraction was performed </w:t>
      </w:r>
      <w:r w:rsidR="00CB569F">
        <w:t>independently</w:t>
      </w:r>
      <w:r>
        <w:t xml:space="preserve"> of the </w:t>
      </w:r>
      <w:r w:rsidR="009E0BE2">
        <w:t>authors</w:t>
      </w:r>
      <w:r w:rsidR="00107E21">
        <w:t xml:space="preserve"> </w:t>
      </w:r>
      <w:r w:rsidR="00631278">
        <w:t>through</w:t>
      </w:r>
      <w:r w:rsidR="00C94C3B">
        <w:t xml:space="preserve"> the</w:t>
      </w:r>
      <w:r w:rsidR="00107E21">
        <w:t xml:space="preserve"> </w:t>
      </w:r>
      <w:r w:rsidR="00CB569F">
        <w:t>data providers</w:t>
      </w:r>
      <w:r w:rsidR="002246D8">
        <w:t xml:space="preserve"> in order </w:t>
      </w:r>
      <w:r w:rsidR="00DB2D66">
        <w:t>to preserve privacy</w:t>
      </w:r>
      <w:r w:rsidR="005042DC">
        <w:t xml:space="preserve">. </w:t>
      </w:r>
      <w:r w:rsidR="00E11D10">
        <w:t>P</w:t>
      </w:r>
      <w:r w:rsidR="005042DC">
        <w:t xml:space="preserve">roviders were supplied </w:t>
      </w:r>
      <w:r w:rsidR="00151B9E">
        <w:t>a s</w:t>
      </w:r>
      <w:r w:rsidR="005042DC">
        <w:t>et of demographic variables</w:t>
      </w:r>
      <w:r w:rsidR="00B5556C">
        <w:t>;</w:t>
      </w:r>
      <w:r w:rsidR="00151B9E">
        <w:t xml:space="preserve"> </w:t>
      </w:r>
      <w:r>
        <w:t>10-digit NHS number</w:t>
      </w:r>
      <w:r w:rsidR="00151B9E">
        <w:t xml:space="preserve"> (where available)</w:t>
      </w:r>
      <w:r>
        <w:t>, first name, middle name, surname</w:t>
      </w:r>
      <w:r w:rsidR="00433242">
        <w:t>, gender</w:t>
      </w:r>
      <w:r w:rsidR="00C41A22">
        <w:t xml:space="preserve"> and date of birth (DOB). </w:t>
      </w:r>
      <w:r w:rsidR="00D71885">
        <w:t>When providing extracted data, providers remove</w:t>
      </w:r>
      <w:r w:rsidR="003F5280">
        <w:t>d</w:t>
      </w:r>
      <w:r w:rsidR="00D71885">
        <w:t xml:space="preserve"> all demographic identifiers (</w:t>
      </w:r>
      <w:r w:rsidR="00D71885" w:rsidRPr="00D71885">
        <w:rPr>
          <w:i/>
        </w:rPr>
        <w:t>e.g.</w:t>
      </w:r>
      <w:r w:rsidR="00D71885">
        <w:t xml:space="preserve"> first name, last name)</w:t>
      </w:r>
      <w:r w:rsidR="00B5556C">
        <w:t>;</w:t>
      </w:r>
      <w:r w:rsidR="00D71885">
        <w:t xml:space="preserve"> </w:t>
      </w:r>
      <w:r w:rsidR="00B5556C">
        <w:t xml:space="preserve">to enable identification the </w:t>
      </w:r>
      <w:r w:rsidR="004E2C1A">
        <w:t>authors</w:t>
      </w:r>
      <w:r w:rsidR="00B5556C">
        <w:t xml:space="preserve"> supplied </w:t>
      </w:r>
      <w:r w:rsidR="003E2100">
        <w:t>a unique identifier</w:t>
      </w:r>
      <w:r w:rsidR="00B5556C">
        <w:t xml:space="preserve"> </w:t>
      </w:r>
      <w:r w:rsidR="00D71885">
        <w:t>to represent</w:t>
      </w:r>
      <w:r w:rsidR="003E2100">
        <w:t xml:space="preserve"> each participant. </w:t>
      </w:r>
      <w:r w:rsidR="00D912F5">
        <w:t xml:space="preserve">For clarity, the extraction process is described hereafter, data extraction had </w:t>
      </w:r>
      <w:r w:rsidR="00D912F5" w:rsidRPr="00A80678">
        <w:rPr>
          <w:b/>
        </w:rPr>
        <w:t>no impact</w:t>
      </w:r>
      <w:r w:rsidR="00D912F5">
        <w:t xml:space="preserve"> on the creation of the framework or </w:t>
      </w:r>
      <w:r w:rsidR="008A0205">
        <w:t>integrated</w:t>
      </w:r>
      <w:r w:rsidR="00D912F5">
        <w:t xml:space="preserve"> datasets. </w:t>
      </w:r>
    </w:p>
    <w:p w14:paraId="18627D53" w14:textId="1B44348E" w:rsidR="00AA49C0" w:rsidRDefault="007A1F1C" w:rsidP="0069370F">
      <w:pPr>
        <w:spacing w:line="360" w:lineRule="auto"/>
        <w:jc w:val="both"/>
      </w:pPr>
      <w:r>
        <w:t>NHS Digital</w:t>
      </w:r>
      <w:r w:rsidR="00394158">
        <w:t xml:space="preserve"> </w:t>
      </w:r>
      <w:r w:rsidR="001B7BC6">
        <w:t xml:space="preserve">required a valid NHS number </w:t>
      </w:r>
      <w:r w:rsidR="00AA49C0">
        <w:t xml:space="preserve">to </w:t>
      </w:r>
      <w:r w:rsidR="00745509">
        <w:t>identify</w:t>
      </w:r>
      <w:r w:rsidR="00A65621">
        <w:t xml:space="preserve"> an</w:t>
      </w:r>
      <w:r w:rsidR="00380B74">
        <w:t>y</w:t>
      </w:r>
      <w:r w:rsidR="00A65621">
        <w:t xml:space="preserve"> individual</w:t>
      </w:r>
      <w:r w:rsidR="00745509">
        <w:t xml:space="preserve"> and extract</w:t>
      </w:r>
      <w:r w:rsidR="00AA49C0" w:rsidRPr="00A9470A">
        <w:t xml:space="preserve"> </w:t>
      </w:r>
      <w:r w:rsidR="007716F5">
        <w:t>Health Episode Statistics (HES) EHR</w:t>
      </w:r>
      <w:r w:rsidR="00AA49C0" w:rsidRPr="00A9470A">
        <w:t xml:space="preserve"> d</w:t>
      </w:r>
      <w:r w:rsidR="00AA49C0">
        <w:t>ata</w:t>
      </w:r>
      <w:r w:rsidR="00AA49C0" w:rsidRPr="00A9470A">
        <w:t xml:space="preserve">. </w:t>
      </w:r>
      <w:r w:rsidR="00FF64BA">
        <w:t xml:space="preserve">Valid </w:t>
      </w:r>
      <w:r w:rsidR="00AA49C0" w:rsidRPr="00A9470A">
        <w:t>NHS number</w:t>
      </w:r>
      <w:r w:rsidR="001B7BC6">
        <w:t>s</w:t>
      </w:r>
      <w:r w:rsidR="00AA49C0" w:rsidRPr="00A9470A">
        <w:t xml:space="preserve"> </w:t>
      </w:r>
      <w:r w:rsidR="001B7BC6">
        <w:t>were</w:t>
      </w:r>
      <w:r w:rsidR="00AA49C0" w:rsidRPr="00A9470A">
        <w:t xml:space="preserve"> </w:t>
      </w:r>
      <w:r w:rsidR="00E649A3">
        <w:t>mapped</w:t>
      </w:r>
      <w:r w:rsidR="00AA49C0" w:rsidRPr="00A9470A">
        <w:t xml:space="preserve"> with an internal identifier, the HES ID</w:t>
      </w:r>
      <w:r w:rsidR="008C6A4C">
        <w:t xml:space="preserve">. </w:t>
      </w:r>
      <w:r w:rsidR="00E649A3">
        <w:t>EHRs were extracted if any of the following conditions were met</w:t>
      </w:r>
      <w:r w:rsidR="00AA49C0" w:rsidRPr="00A9470A">
        <w:t xml:space="preserve">: (1) match on NHS number, </w:t>
      </w:r>
      <w:r w:rsidR="00AA49C0">
        <w:t>gender</w:t>
      </w:r>
      <w:r w:rsidR="00FF1014">
        <w:t xml:space="preserve"> and</w:t>
      </w:r>
      <w:r w:rsidR="00AA49C0" w:rsidRPr="00A9470A">
        <w:t xml:space="preserve"> </w:t>
      </w:r>
      <w:r w:rsidR="000853E8">
        <w:t>DOB</w:t>
      </w:r>
      <w:r w:rsidR="00AA49C0" w:rsidRPr="00A9470A">
        <w:t xml:space="preserve">; (2) match on NHS number, partial match for </w:t>
      </w:r>
      <w:r w:rsidR="00AA49C0">
        <w:t>gender</w:t>
      </w:r>
      <w:r w:rsidR="00AA49C0" w:rsidRPr="00A9470A">
        <w:t xml:space="preserve"> or </w:t>
      </w:r>
      <w:r w:rsidR="00AA49C0">
        <w:t>DOB</w:t>
      </w:r>
      <w:r w:rsidR="00AA49C0" w:rsidRPr="00A9470A">
        <w:t xml:space="preserve">; (3) match on NHS number only. </w:t>
      </w:r>
    </w:p>
    <w:p w14:paraId="2DA8417B" w14:textId="7980CD40" w:rsidR="00396F36" w:rsidRDefault="001B7BC6" w:rsidP="0069370F">
      <w:pPr>
        <w:spacing w:line="360" w:lineRule="auto"/>
        <w:jc w:val="both"/>
      </w:pPr>
      <w:r>
        <w:t xml:space="preserve">SAIL </w:t>
      </w:r>
      <w:r w:rsidR="00396F36">
        <w:t>operated a two-stage extraction process</w:t>
      </w:r>
      <w:r w:rsidR="00533AC0">
        <w:t xml:space="preserve"> to preserve privacy</w:t>
      </w:r>
      <w:r w:rsidR="00750748">
        <w:t>. First</w:t>
      </w:r>
      <w:r w:rsidR="00396F36">
        <w:t>, demographic variables were supplied to NHS Wales Informatics Service</w:t>
      </w:r>
      <w:r w:rsidR="004829B8">
        <w:t xml:space="preserve"> </w:t>
      </w:r>
      <w:r w:rsidR="004829B8">
        <w:fldChar w:fldCharType="begin" w:fldLock="1"/>
      </w:r>
      <w:r w:rsidR="0008649F">
        <w:instrText>ADDIN CSL_CITATION { "citationItems" : [ { "id" : "ITEM-1", "itemData" : { "author" : [ { "dropping-particle" : "", "family" : "Service", "given" : "NHS Wales Informatics", "non-dropping-particle" : "", "parse-names" : false, "suffix" : "" } ], "id" : "ITEM-1", "issued" : { "date-parts" : [ [ "0" ] ] }, "publisher" : "NHS Wales Informatics Service", "title" : "NHS Wales Informatics Service - an Official NHS Wales website", "type" : "article-journal" }, "uris" : [ "http://www.mendeley.com/documents/?uuid=4c2e0fec-212e-350f-bcd1-5cd71ac6c1ea" ] } ], "mendeley" : { "formattedCitation" : "[27]", "plainTextFormattedCitation" : "[27]", "previouslyFormattedCitation" : "[27]" }, "properties" : { "noteIndex" : 0 }, "schema" : "https://github.com/citation-style-language/schema/raw/master/csl-citation.json" }</w:instrText>
      </w:r>
      <w:r w:rsidR="004829B8">
        <w:fldChar w:fldCharType="separate"/>
      </w:r>
      <w:r w:rsidR="004829B8" w:rsidRPr="004829B8">
        <w:rPr>
          <w:noProof/>
        </w:rPr>
        <w:t>[27]</w:t>
      </w:r>
      <w:r w:rsidR="004829B8">
        <w:fldChar w:fldCharType="end"/>
      </w:r>
      <w:r w:rsidR="00396F36">
        <w:t xml:space="preserve"> where they were</w:t>
      </w:r>
      <w:r w:rsidR="00396F36" w:rsidRPr="00A9470A">
        <w:t xml:space="preserve"> cross-referenced using a fuzzy matching procedure to identify the</w:t>
      </w:r>
      <w:r w:rsidR="00396F36">
        <w:t xml:space="preserve"> Anonymised Linkage Field (a unique</w:t>
      </w:r>
      <w:r w:rsidR="006C32BC">
        <w:t xml:space="preserve"> SAIL databank</w:t>
      </w:r>
      <w:r w:rsidR="00396F36">
        <w:t xml:space="preserve"> </w:t>
      </w:r>
      <w:r w:rsidR="00701CD7">
        <w:t>identifier). Second</w:t>
      </w:r>
      <w:r w:rsidR="00396F36">
        <w:t xml:space="preserve">, NHS Wales Informatics Service supplied the Anonymised Linkage Field to the SAIL databank to perform </w:t>
      </w:r>
      <w:r w:rsidR="00701CD7">
        <w:t>EHR</w:t>
      </w:r>
      <w:r w:rsidR="00396F36">
        <w:t xml:space="preserve"> extraction. </w:t>
      </w:r>
    </w:p>
    <w:p w14:paraId="1A92288F" w14:textId="2B0FF25A" w:rsidR="00AA49C0" w:rsidRDefault="00AA49C0" w:rsidP="0069370F">
      <w:pPr>
        <w:spacing w:line="360" w:lineRule="auto"/>
        <w:jc w:val="both"/>
        <w:rPr>
          <w:rFonts w:ascii="Calibri" w:hAnsi="Calibri"/>
        </w:rPr>
      </w:pPr>
      <w:r w:rsidRPr="00A9470A">
        <w:t xml:space="preserve">ISD </w:t>
      </w:r>
      <w:r w:rsidR="00EE6BF0">
        <w:t>did</w:t>
      </w:r>
      <w:r w:rsidRPr="00A9470A">
        <w:t xml:space="preserve"> not require a NHS</w:t>
      </w:r>
      <w:r>
        <w:t>/CHI</w:t>
      </w:r>
      <w:r w:rsidRPr="00A9470A">
        <w:t xml:space="preserve"> number for matching. Participant demographics</w:t>
      </w:r>
      <w:r>
        <w:t xml:space="preserve"> </w:t>
      </w:r>
      <w:r w:rsidRPr="00A9470A">
        <w:t>were cross-matched</w:t>
      </w:r>
      <w:r>
        <w:t xml:space="preserve"> using</w:t>
      </w:r>
      <w:r w:rsidRPr="00A9470A">
        <w:t xml:space="preserve"> probabilistic </w:t>
      </w:r>
      <w:r w:rsidR="002703F9">
        <w:t>linking to identify a)</w:t>
      </w:r>
      <w:r>
        <w:t xml:space="preserve"> valid NHS/CHI</w:t>
      </w:r>
      <w:r w:rsidRPr="00A9470A">
        <w:t xml:space="preserve"> number</w:t>
      </w:r>
      <w:r w:rsidR="00AA6B23">
        <w:t>;</w:t>
      </w:r>
      <w:r>
        <w:t xml:space="preserve"> b) to confirm the NHS/CHI number is valid</w:t>
      </w:r>
      <w:r w:rsidRPr="00A9470A">
        <w:t>.</w:t>
      </w:r>
      <w:r>
        <w:t xml:space="preserve"> EHRs </w:t>
      </w:r>
      <w:r w:rsidR="00EE6BF0">
        <w:t>which</w:t>
      </w:r>
      <w:r>
        <w:t xml:space="preserve"> belong</w:t>
      </w:r>
      <w:r w:rsidR="00EE6BF0">
        <w:t>ed</w:t>
      </w:r>
      <w:r>
        <w:t xml:space="preserve"> to a valid CHI number </w:t>
      </w:r>
      <w:r w:rsidR="00EE6BF0">
        <w:t>were</w:t>
      </w:r>
      <w:r>
        <w:t xml:space="preserve"> identified and extracted. </w:t>
      </w:r>
      <w:r w:rsidRPr="00164000">
        <w:t xml:space="preserve"> </w:t>
      </w:r>
      <w:r>
        <w:rPr>
          <w:rFonts w:ascii="Calibri" w:hAnsi="Calibri"/>
        </w:rPr>
        <w:t xml:space="preserve"> </w:t>
      </w:r>
    </w:p>
    <w:p w14:paraId="4DF60412" w14:textId="664F37A7" w:rsidR="00AA49C0" w:rsidRPr="00797D01" w:rsidRDefault="00AA49C0" w:rsidP="0069370F">
      <w:pPr>
        <w:spacing w:line="360" w:lineRule="auto"/>
        <w:jc w:val="both"/>
      </w:pPr>
      <w:r>
        <w:rPr>
          <w:rFonts w:ascii="Calibri" w:hAnsi="Calibri"/>
        </w:rPr>
        <w:t xml:space="preserve">Data from each </w:t>
      </w:r>
      <w:r w:rsidR="00822130">
        <w:rPr>
          <w:rFonts w:ascii="Calibri" w:hAnsi="Calibri"/>
        </w:rPr>
        <w:t>provider</w:t>
      </w:r>
      <w:r>
        <w:rPr>
          <w:rFonts w:ascii="Calibri" w:hAnsi="Calibri"/>
        </w:rPr>
        <w:t xml:space="preserve"> </w:t>
      </w:r>
      <w:r w:rsidR="003B4D7A">
        <w:rPr>
          <w:rFonts w:ascii="Calibri" w:hAnsi="Calibri"/>
        </w:rPr>
        <w:t>wa</w:t>
      </w:r>
      <w:r>
        <w:rPr>
          <w:rFonts w:ascii="Calibri" w:hAnsi="Calibri"/>
        </w:rPr>
        <w:t xml:space="preserve">s </w:t>
      </w:r>
      <w:r w:rsidR="00822130">
        <w:rPr>
          <w:rFonts w:ascii="Calibri" w:hAnsi="Calibri"/>
        </w:rPr>
        <w:t>supplied</w:t>
      </w:r>
      <w:r>
        <w:rPr>
          <w:rFonts w:ascii="Calibri" w:hAnsi="Calibri"/>
        </w:rPr>
        <w:t xml:space="preserve"> in financial ye</w:t>
      </w:r>
      <w:r w:rsidR="007509EA">
        <w:rPr>
          <w:rFonts w:ascii="Calibri" w:hAnsi="Calibri"/>
        </w:rPr>
        <w:t>ar</w:t>
      </w:r>
      <w:r w:rsidR="00DA273C">
        <w:rPr>
          <w:rFonts w:ascii="Calibri" w:hAnsi="Calibri"/>
        </w:rPr>
        <w:t xml:space="preserve"> using a comma separate file</w:t>
      </w:r>
      <w:r w:rsidR="00297071">
        <w:rPr>
          <w:rFonts w:ascii="Calibri" w:hAnsi="Calibri"/>
        </w:rPr>
        <w:t xml:space="preserve"> format</w:t>
      </w:r>
      <w:r>
        <w:rPr>
          <w:rFonts w:ascii="Calibri" w:hAnsi="Calibri"/>
        </w:rPr>
        <w:t xml:space="preserve">. </w:t>
      </w:r>
    </w:p>
    <w:p w14:paraId="2251CE96" w14:textId="527485AF" w:rsidR="0063191D" w:rsidRDefault="0063191D" w:rsidP="00A23430">
      <w:pPr>
        <w:outlineLvl w:val="0"/>
        <w:rPr>
          <w:b/>
        </w:rPr>
      </w:pPr>
      <w:r>
        <w:rPr>
          <w:b/>
        </w:rPr>
        <w:t xml:space="preserve">Developing the </w:t>
      </w:r>
      <w:r w:rsidR="00E55A51">
        <w:rPr>
          <w:b/>
        </w:rPr>
        <w:t>Integrated</w:t>
      </w:r>
      <w:r w:rsidRPr="00CD3C0B">
        <w:rPr>
          <w:b/>
        </w:rPr>
        <w:t xml:space="preserve"> Dataset</w:t>
      </w:r>
      <w:r w:rsidR="00113C3B">
        <w:rPr>
          <w:b/>
        </w:rPr>
        <w:t xml:space="preserve"> using Variable C</w:t>
      </w:r>
      <w:r>
        <w:rPr>
          <w:b/>
        </w:rPr>
        <w:t xml:space="preserve">ommonality </w:t>
      </w:r>
    </w:p>
    <w:p w14:paraId="376F234A" w14:textId="5D7C0C81" w:rsidR="0063191D" w:rsidRDefault="0063191D" w:rsidP="00A23430">
      <w:pPr>
        <w:pStyle w:val="Caption"/>
        <w:keepNext/>
        <w:outlineLvl w:val="0"/>
      </w:pPr>
      <w:bookmarkStart w:id="2" w:name="_Ref453580821"/>
      <w:r>
        <w:t xml:space="preserve">Table </w:t>
      </w:r>
      <w:fldSimple w:instr=" SEQ Table \* ARABIC ">
        <w:r w:rsidR="004A4CBA">
          <w:rPr>
            <w:noProof/>
          </w:rPr>
          <w:t>2</w:t>
        </w:r>
      </w:fldSimple>
      <w:bookmarkEnd w:id="2"/>
      <w:r>
        <w:t xml:space="preserve">: Stipulates the </w:t>
      </w:r>
      <w:r w:rsidR="004F30F7">
        <w:t>definition</w:t>
      </w:r>
      <w:r>
        <w:t xml:space="preserve"> </w:t>
      </w:r>
      <w:r w:rsidR="004F30F7">
        <w:t>used for associating variables to a commonality category</w:t>
      </w:r>
      <w: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414"/>
        <w:gridCol w:w="5828"/>
      </w:tblGrid>
      <w:tr w:rsidR="0063191D" w14:paraId="6E750433" w14:textId="77777777" w:rsidTr="002C3132">
        <w:tc>
          <w:tcPr>
            <w:tcW w:w="3414" w:type="dxa"/>
          </w:tcPr>
          <w:p w14:paraId="3DA99CB5" w14:textId="30877759" w:rsidR="0063191D" w:rsidRPr="00AA5298" w:rsidRDefault="0063191D" w:rsidP="00C017BE">
            <w:pPr>
              <w:pStyle w:val="NoSpacing"/>
              <w:jc w:val="center"/>
              <w:rPr>
                <w:b/>
              </w:rPr>
            </w:pPr>
            <w:r>
              <w:rPr>
                <w:b/>
              </w:rPr>
              <w:t>Category</w:t>
            </w:r>
          </w:p>
        </w:tc>
        <w:tc>
          <w:tcPr>
            <w:tcW w:w="5828" w:type="dxa"/>
          </w:tcPr>
          <w:p w14:paraId="2EEDA8E4" w14:textId="3B245CB0" w:rsidR="0063191D" w:rsidRPr="00AA5298" w:rsidRDefault="0063191D" w:rsidP="00C017BE">
            <w:pPr>
              <w:pStyle w:val="NoSpacing"/>
              <w:jc w:val="center"/>
              <w:rPr>
                <w:b/>
              </w:rPr>
            </w:pPr>
            <w:r>
              <w:rPr>
                <w:b/>
              </w:rPr>
              <w:t>Criteria</w:t>
            </w:r>
          </w:p>
        </w:tc>
      </w:tr>
      <w:tr w:rsidR="0063191D" w14:paraId="70A08BE5" w14:textId="77777777" w:rsidTr="002C3132">
        <w:tc>
          <w:tcPr>
            <w:tcW w:w="3414" w:type="dxa"/>
            <w:vAlign w:val="center"/>
          </w:tcPr>
          <w:p w14:paraId="1A2EFC69" w14:textId="77777777" w:rsidR="0063191D" w:rsidRPr="007E1391" w:rsidRDefault="0063191D" w:rsidP="00AF283B">
            <w:pPr>
              <w:pStyle w:val="NoSpacing"/>
              <w:jc w:val="center"/>
            </w:pPr>
            <w:r>
              <w:t>Admittance/Discharge</w:t>
            </w:r>
          </w:p>
        </w:tc>
        <w:tc>
          <w:tcPr>
            <w:tcW w:w="5828" w:type="dxa"/>
            <w:vAlign w:val="center"/>
          </w:tcPr>
          <w:p w14:paraId="17960091" w14:textId="07059AF1" w:rsidR="0063191D" w:rsidRPr="007E1391" w:rsidRDefault="0063191D" w:rsidP="00D42B7A">
            <w:pPr>
              <w:pStyle w:val="NoSpacing"/>
            </w:pPr>
            <w:r>
              <w:t>Variables that provide information on the admission and discharge of a patient. This includes admission and discharge date, episode information, time of admission, source of admission and destination of patient upon discharge.</w:t>
            </w:r>
          </w:p>
        </w:tc>
      </w:tr>
      <w:tr w:rsidR="0063191D" w14:paraId="1ADE1ABC" w14:textId="77777777" w:rsidTr="002C3132">
        <w:tc>
          <w:tcPr>
            <w:tcW w:w="3414" w:type="dxa"/>
            <w:vAlign w:val="center"/>
          </w:tcPr>
          <w:p w14:paraId="5A23CC7F" w14:textId="6E563055" w:rsidR="0063191D" w:rsidRPr="007E1391" w:rsidRDefault="00E62DB7" w:rsidP="00AF283B">
            <w:pPr>
              <w:pStyle w:val="NoSpacing"/>
              <w:jc w:val="center"/>
            </w:pPr>
            <w:r>
              <w:t>Diagnosis</w:t>
            </w:r>
            <w:r w:rsidR="0063191D">
              <w:t>/Classification</w:t>
            </w:r>
          </w:p>
        </w:tc>
        <w:tc>
          <w:tcPr>
            <w:tcW w:w="5828" w:type="dxa"/>
            <w:vAlign w:val="center"/>
          </w:tcPr>
          <w:p w14:paraId="2A690B2A" w14:textId="7D15BAB5" w:rsidR="0063191D" w:rsidRPr="007E1391" w:rsidRDefault="0063191D" w:rsidP="00D42B7A">
            <w:pPr>
              <w:pStyle w:val="NoSpacing"/>
            </w:pPr>
            <w:r>
              <w:t>Variables that provide information on the diagnos</w:t>
            </w:r>
            <w:r w:rsidR="008248CA">
              <w:t>i</w:t>
            </w:r>
            <w:r>
              <w:t>s of the patient, including ICD-10 coding and date of diagnos</w:t>
            </w:r>
            <w:r w:rsidR="008248CA">
              <w:t>i</w:t>
            </w:r>
            <w:r>
              <w:t>s, A&amp;E coding or local diagnoses coding system.</w:t>
            </w:r>
          </w:p>
        </w:tc>
      </w:tr>
      <w:tr w:rsidR="0063191D" w14:paraId="390F4EBE" w14:textId="77777777" w:rsidTr="002C3132">
        <w:trPr>
          <w:trHeight w:val="1107"/>
        </w:trPr>
        <w:tc>
          <w:tcPr>
            <w:tcW w:w="3414" w:type="dxa"/>
            <w:vAlign w:val="center"/>
          </w:tcPr>
          <w:p w14:paraId="55B454EB" w14:textId="7781BC94" w:rsidR="0063191D" w:rsidRPr="007E1391" w:rsidRDefault="0063191D" w:rsidP="00AF283B">
            <w:pPr>
              <w:pStyle w:val="NoSpacing"/>
              <w:jc w:val="center"/>
            </w:pPr>
            <w:r>
              <w:t>Treatment/Procedure</w:t>
            </w:r>
            <w:r w:rsidR="00C22CA9">
              <w:t>/Investigation</w:t>
            </w:r>
          </w:p>
        </w:tc>
        <w:tc>
          <w:tcPr>
            <w:tcW w:w="5828" w:type="dxa"/>
            <w:vAlign w:val="center"/>
          </w:tcPr>
          <w:p w14:paraId="022AA52D" w14:textId="78B3AB44" w:rsidR="0063191D" w:rsidRPr="007E1391" w:rsidRDefault="0063191D" w:rsidP="00D42B7A">
            <w:pPr>
              <w:pStyle w:val="NoSpacing"/>
            </w:pPr>
            <w:r>
              <w:t>Variables that provide information on the treatment/p</w:t>
            </w:r>
            <w:r w:rsidR="00376159">
              <w:t xml:space="preserve">rocedures undertaken, including </w:t>
            </w:r>
            <w:r>
              <w:t>OPCS</w:t>
            </w:r>
            <w:r w:rsidR="00376159">
              <w:t xml:space="preserve"> Classification of Interventions and Procedures version 4 </w:t>
            </w:r>
            <w:r>
              <w:t>coding, or local diagnoses coding system.</w:t>
            </w:r>
          </w:p>
        </w:tc>
      </w:tr>
      <w:tr w:rsidR="0063191D" w14:paraId="602683AD" w14:textId="77777777" w:rsidTr="002C3132">
        <w:tc>
          <w:tcPr>
            <w:tcW w:w="3414" w:type="dxa"/>
            <w:vAlign w:val="center"/>
          </w:tcPr>
          <w:p w14:paraId="1B4CACFD" w14:textId="77777777" w:rsidR="0063191D" w:rsidRPr="007E1391" w:rsidRDefault="0063191D" w:rsidP="00AF283B">
            <w:pPr>
              <w:pStyle w:val="NoSpacing"/>
              <w:jc w:val="center"/>
            </w:pPr>
            <w:r>
              <w:t>Care Provider</w:t>
            </w:r>
          </w:p>
        </w:tc>
        <w:tc>
          <w:tcPr>
            <w:tcW w:w="5828" w:type="dxa"/>
            <w:vAlign w:val="center"/>
          </w:tcPr>
          <w:p w14:paraId="679527D8" w14:textId="45A8A392" w:rsidR="0063191D" w:rsidRPr="007E1391" w:rsidRDefault="0063191D" w:rsidP="00D42B7A">
            <w:pPr>
              <w:pStyle w:val="NoSpacing"/>
            </w:pPr>
            <w:r>
              <w:t>Variables that provide information on the provider of care, including geographical location and provider type.</w:t>
            </w:r>
          </w:p>
        </w:tc>
      </w:tr>
      <w:tr w:rsidR="0063191D" w14:paraId="53673BBD" w14:textId="77777777" w:rsidTr="002C3132">
        <w:tc>
          <w:tcPr>
            <w:tcW w:w="3414" w:type="dxa"/>
            <w:vAlign w:val="center"/>
          </w:tcPr>
          <w:p w14:paraId="40966781" w14:textId="7197EE94" w:rsidR="0063191D" w:rsidRPr="007E1391" w:rsidRDefault="0063191D" w:rsidP="00AF283B">
            <w:pPr>
              <w:pStyle w:val="NoSpacing"/>
              <w:jc w:val="center"/>
            </w:pPr>
            <w:r>
              <w:t>Care Speciality</w:t>
            </w:r>
          </w:p>
        </w:tc>
        <w:tc>
          <w:tcPr>
            <w:tcW w:w="5828" w:type="dxa"/>
            <w:vAlign w:val="center"/>
          </w:tcPr>
          <w:p w14:paraId="650D89AA" w14:textId="6CA89C19" w:rsidR="0063191D" w:rsidRPr="007E1391" w:rsidRDefault="0063191D" w:rsidP="00D42B7A">
            <w:pPr>
              <w:pStyle w:val="NoSpacing"/>
            </w:pPr>
            <w:r>
              <w:t>Variables that provide information on the speciality of care, including consultant association, department of care and clinical staff role.</w:t>
            </w:r>
          </w:p>
        </w:tc>
      </w:tr>
      <w:tr w:rsidR="0063191D" w14:paraId="7F522DAF" w14:textId="77777777" w:rsidTr="002C3132">
        <w:tc>
          <w:tcPr>
            <w:tcW w:w="3414" w:type="dxa"/>
            <w:vAlign w:val="center"/>
          </w:tcPr>
          <w:p w14:paraId="3A6B9A9A" w14:textId="472C6E21" w:rsidR="0063191D" w:rsidRPr="007E1391" w:rsidRDefault="0063191D" w:rsidP="00AF283B">
            <w:pPr>
              <w:pStyle w:val="NoSpacing"/>
              <w:jc w:val="center"/>
            </w:pPr>
            <w:r>
              <w:t>Costing</w:t>
            </w:r>
            <w:r w:rsidR="00C22CA9">
              <w:t>/Resources</w:t>
            </w:r>
          </w:p>
        </w:tc>
        <w:tc>
          <w:tcPr>
            <w:tcW w:w="5828" w:type="dxa"/>
            <w:vAlign w:val="center"/>
          </w:tcPr>
          <w:p w14:paraId="4D16D0B9" w14:textId="1B79607F" w:rsidR="0063191D" w:rsidRPr="007E1391" w:rsidRDefault="0063191D" w:rsidP="00D42B7A">
            <w:pPr>
              <w:pStyle w:val="NoSpacing"/>
            </w:pPr>
            <w:r>
              <w:t>Variables that provide information on the cost of care, including cost of treatment, staffing costs and direct costs incurred by the care provider.</w:t>
            </w:r>
          </w:p>
        </w:tc>
      </w:tr>
    </w:tbl>
    <w:p w14:paraId="0EAF82AC" w14:textId="77777777" w:rsidR="0063191D" w:rsidRDefault="0063191D" w:rsidP="0063191D">
      <w:pPr>
        <w:rPr>
          <w:highlight w:val="yellow"/>
        </w:rPr>
      </w:pPr>
    </w:p>
    <w:p w14:paraId="25CD05B8" w14:textId="351F0B4B" w:rsidR="006858E6" w:rsidRDefault="004018D4" w:rsidP="0081025A">
      <w:pPr>
        <w:spacing w:line="360" w:lineRule="auto"/>
        <w:jc w:val="both"/>
      </w:pPr>
      <w:r>
        <w:t>The datasets contain</w:t>
      </w:r>
      <w:r w:rsidR="00FC3034">
        <w:t xml:space="preserve"> </w:t>
      </w:r>
      <w:r w:rsidR="00274B8C">
        <w:t>a</w:t>
      </w:r>
      <w:r w:rsidR="0063191D">
        <w:t xml:space="preserve"> large number of variables (</w:t>
      </w:r>
      <w:r w:rsidR="0063191D">
        <w:fldChar w:fldCharType="begin"/>
      </w:r>
      <w:r w:rsidR="0063191D">
        <w:instrText xml:space="preserve"> REF _Ref326999309 \h </w:instrText>
      </w:r>
      <w:r w:rsidR="0045193E">
        <w:instrText xml:space="preserve"> \* MERGEFORMAT </w:instrText>
      </w:r>
      <w:r w:rsidR="0063191D">
        <w:fldChar w:fldCharType="separate"/>
      </w:r>
      <w:r w:rsidR="00FC6FA3">
        <w:t xml:space="preserve">Table </w:t>
      </w:r>
      <w:r w:rsidR="00FC6FA3">
        <w:rPr>
          <w:noProof/>
        </w:rPr>
        <w:t>1</w:t>
      </w:r>
      <w:r w:rsidR="0063191D">
        <w:fldChar w:fldCharType="end"/>
      </w:r>
      <w:r w:rsidR="003430B8">
        <w:t>);</w:t>
      </w:r>
      <w:r w:rsidR="0063191D">
        <w:t xml:space="preserve"> however</w:t>
      </w:r>
      <w:r w:rsidR="003430B8">
        <w:t>,</w:t>
      </w:r>
      <w:r w:rsidR="0063191D">
        <w:t xml:space="preserve"> it is not </w:t>
      </w:r>
      <w:r w:rsidR="003430B8">
        <w:t>practical</w:t>
      </w:r>
      <w:r w:rsidR="0063191D">
        <w:t xml:space="preserve"> to directly link,</w:t>
      </w:r>
      <w:r w:rsidR="002F38FB">
        <w:t xml:space="preserve"> integrate,</w:t>
      </w:r>
      <w:r w:rsidR="0063191D">
        <w:t xml:space="preserve"> or </w:t>
      </w:r>
      <w:r w:rsidR="003430B8">
        <w:t>combine</w:t>
      </w:r>
      <w:r w:rsidR="0063191D">
        <w:t xml:space="preserve"> </w:t>
      </w:r>
      <w:r w:rsidR="003430B8">
        <w:t>variables</w:t>
      </w:r>
      <w:r w:rsidR="00D63B2C">
        <w:t xml:space="preserve"> which may be named or categorised </w:t>
      </w:r>
      <w:r w:rsidR="00B412DD">
        <w:t>differently.</w:t>
      </w:r>
      <w:r w:rsidR="0063191D">
        <w:t xml:space="preserve"> To overcome this, w</w:t>
      </w:r>
      <w:r w:rsidR="00855C80">
        <w:t>e assessed variable commonality; defined as</w:t>
      </w:r>
      <w:r w:rsidR="002B05DC">
        <w:t xml:space="preserve"> those</w:t>
      </w:r>
      <w:r w:rsidR="00855C80">
        <w:t xml:space="preserve"> variables which represent </w:t>
      </w:r>
      <w:r w:rsidR="002349D7">
        <w:t>similar</w:t>
      </w:r>
      <w:r w:rsidR="00855C80">
        <w:t xml:space="preserve"> data</w:t>
      </w:r>
      <w:r w:rsidR="002349D7">
        <w:t xml:space="preserve"> mediums</w:t>
      </w:r>
      <w:r w:rsidR="00855C80">
        <w:t xml:space="preserve"> but categorised </w:t>
      </w:r>
      <w:r w:rsidR="0089184B">
        <w:t>in a different manner</w:t>
      </w:r>
      <w:r w:rsidR="00855C80">
        <w:t>. The framework</w:t>
      </w:r>
      <w:r w:rsidR="0063191D">
        <w:t xml:space="preserve"> </w:t>
      </w:r>
      <w:r w:rsidR="001C5E6B">
        <w:t>solely categorised</w:t>
      </w:r>
      <w:r w:rsidR="0063191D">
        <w:t xml:space="preserve"> variables</w:t>
      </w:r>
      <w:r w:rsidR="008A39A0">
        <w:t xml:space="preserve"> based on the </w:t>
      </w:r>
      <w:r w:rsidR="006C6F39">
        <w:t>data</w:t>
      </w:r>
      <w:r w:rsidR="008A39A0">
        <w:t xml:space="preserve"> they hold</w:t>
      </w:r>
      <w:r w:rsidR="00E435CF">
        <w:t xml:space="preserve">. For example, each dataset contained a variable which identified speciality; </w:t>
      </w:r>
      <w:r w:rsidR="00904E11">
        <w:t>however,</w:t>
      </w:r>
      <w:r w:rsidR="00E435CF">
        <w:t xml:space="preserve"> the codi</w:t>
      </w:r>
      <w:r w:rsidR="006B6BAD">
        <w:t xml:space="preserve">ng schemes </w:t>
      </w:r>
      <w:r w:rsidR="00CC01E2">
        <w:t>were</w:t>
      </w:r>
      <w:r w:rsidR="006B6BAD">
        <w:t xml:space="preserve"> different, therefore a new coding scheme was developed to be usable across all data providers.</w:t>
      </w:r>
      <w:r w:rsidR="008A0205">
        <w:t xml:space="preserve"> </w:t>
      </w:r>
      <w:r w:rsidR="0063191D">
        <w:fldChar w:fldCharType="begin"/>
      </w:r>
      <w:r w:rsidR="0063191D">
        <w:instrText xml:space="preserve"> REF _Ref453580821 \h </w:instrText>
      </w:r>
      <w:r w:rsidR="0045193E">
        <w:instrText xml:space="preserve"> \* MERGEFORMAT </w:instrText>
      </w:r>
      <w:r w:rsidR="0063191D">
        <w:fldChar w:fldCharType="separate"/>
      </w:r>
      <w:r w:rsidR="0063191D">
        <w:t xml:space="preserve">Table </w:t>
      </w:r>
      <w:r w:rsidR="0063191D">
        <w:rPr>
          <w:noProof/>
        </w:rPr>
        <w:t>2</w:t>
      </w:r>
      <w:r w:rsidR="0063191D">
        <w:fldChar w:fldCharType="end"/>
      </w:r>
      <w:r w:rsidR="0067359E">
        <w:t xml:space="preserve"> defines the variable categories of</w:t>
      </w:r>
      <w:r w:rsidR="004E2C1A">
        <w:t xml:space="preserve"> interest</w:t>
      </w:r>
      <w:r w:rsidR="0067336F">
        <w:t>.</w:t>
      </w:r>
      <w:r w:rsidR="00EF70D1">
        <w:t xml:space="preserve"> V</w:t>
      </w:r>
      <w:r w:rsidR="003430B8">
        <w:t>ariables which did not match</w:t>
      </w:r>
      <w:r w:rsidR="008A39A0">
        <w:t xml:space="preserve"> the definition, or were only available for one data source were not selected</w:t>
      </w:r>
      <w:r w:rsidR="00365DD0">
        <w:t xml:space="preserve"> unless they contributed </w:t>
      </w:r>
      <w:r w:rsidR="009B12EF">
        <w:t>and</w:t>
      </w:r>
      <w:r w:rsidR="00365DD0">
        <w:t xml:space="preserve"> provided valuable insight</w:t>
      </w:r>
      <w:r w:rsidR="005E0606">
        <w:t xml:space="preserve"> (</w:t>
      </w:r>
      <w:r w:rsidR="005E0606" w:rsidRPr="005E0606">
        <w:rPr>
          <w:i/>
        </w:rPr>
        <w:t>e.g.</w:t>
      </w:r>
      <w:r w:rsidR="005E0606">
        <w:t xml:space="preserve"> method of admission)</w:t>
      </w:r>
      <w:r w:rsidR="008A39A0">
        <w:t>.</w:t>
      </w:r>
      <w:r w:rsidR="006858E6">
        <w:t xml:space="preserve"> Discussions were held within the research team to discuss variable</w:t>
      </w:r>
      <w:r w:rsidR="00CB1128">
        <w:t xml:space="preserve"> categorisation,</w:t>
      </w:r>
      <w:r w:rsidR="006858E6">
        <w:t xml:space="preserve"> </w:t>
      </w:r>
      <w:r w:rsidR="00CB1128">
        <w:t>matching</w:t>
      </w:r>
      <w:r w:rsidR="006858E6">
        <w:t xml:space="preserve"> and development of coding schemes.</w:t>
      </w:r>
    </w:p>
    <w:p w14:paraId="2DC32CC0" w14:textId="2FC66D04" w:rsidR="008A39A0" w:rsidRDefault="00545183" w:rsidP="0081025A">
      <w:pPr>
        <w:spacing w:line="360" w:lineRule="auto"/>
        <w:jc w:val="both"/>
      </w:pPr>
      <w:r>
        <w:t>NHS Digital (</w:t>
      </w:r>
      <w:r w:rsidR="002B61A3">
        <w:t>HES</w:t>
      </w:r>
      <w:r>
        <w:t xml:space="preserve"> datasets)</w:t>
      </w:r>
      <w:r w:rsidR="008A39A0">
        <w:t xml:space="preserve">, the largest data </w:t>
      </w:r>
      <w:r w:rsidR="00FA482C">
        <w:t>provider of EHRs in the UK</w:t>
      </w:r>
      <w:r w:rsidR="008A39A0">
        <w:t xml:space="preserve">, </w:t>
      </w:r>
      <w:r w:rsidR="00E052F5">
        <w:t>w</w:t>
      </w:r>
      <w:r w:rsidR="008A39A0">
        <w:t xml:space="preserve">as </w:t>
      </w:r>
      <w:r w:rsidR="00E052F5">
        <w:t xml:space="preserve">selected as </w:t>
      </w:r>
      <w:r w:rsidR="008A39A0">
        <w:t xml:space="preserve">the </w:t>
      </w:r>
      <w:r w:rsidR="00394CCB">
        <w:t>anchor</w:t>
      </w:r>
      <w:r w:rsidR="008A39A0">
        <w:t xml:space="preserve"> for comparison to other datasets.</w:t>
      </w:r>
      <w:r w:rsidR="000156D7">
        <w:t xml:space="preserve"> </w:t>
      </w:r>
    </w:p>
    <w:p w14:paraId="5AF7E0DD" w14:textId="1017AE10" w:rsidR="00363934" w:rsidRDefault="00363934" w:rsidP="008C53DB">
      <w:pPr>
        <w:spacing w:line="360" w:lineRule="auto"/>
        <w:jc w:val="both"/>
      </w:pPr>
      <w:r>
        <w:t xml:space="preserve">Variable commonality was undertaken in three stages. First, </w:t>
      </w:r>
      <w:r w:rsidRPr="00C61E39">
        <w:rPr>
          <w:b/>
        </w:rPr>
        <w:t>individually</w:t>
      </w:r>
      <w:r>
        <w:t xml:space="preserve"> for each data </w:t>
      </w:r>
      <w:r w:rsidR="005C06B2">
        <w:t>provider</w:t>
      </w:r>
      <w:r w:rsidR="00922C40">
        <w:t>;</w:t>
      </w:r>
      <w:r>
        <w:t xml:space="preserve"> A&amp;E, APC and Outpatient variables were grouped using the categories defined in </w:t>
      </w:r>
      <w:r>
        <w:fldChar w:fldCharType="begin"/>
      </w:r>
      <w:r>
        <w:instrText xml:space="preserve"> REF _Ref453580821 \h </w:instrText>
      </w:r>
      <w:r w:rsidR="00897C08">
        <w:instrText xml:space="preserve"> \* MERGEFORMAT </w:instrText>
      </w:r>
      <w:r>
        <w:fldChar w:fldCharType="separate"/>
      </w:r>
      <w:r w:rsidR="00FC6FA3">
        <w:t xml:space="preserve">Table </w:t>
      </w:r>
      <w:r w:rsidR="00FC6FA3">
        <w:rPr>
          <w:noProof/>
        </w:rPr>
        <w:t>2</w:t>
      </w:r>
      <w:r>
        <w:fldChar w:fldCharType="end"/>
      </w:r>
      <w:r>
        <w:t xml:space="preserve">. Second, variables that matched across the </w:t>
      </w:r>
      <w:r w:rsidR="008C53DB">
        <w:t>datasets</w:t>
      </w:r>
      <w:r>
        <w:t xml:space="preserve"> were identified (</w:t>
      </w:r>
      <w:r w:rsidRPr="00B653BA">
        <w:rPr>
          <w:i/>
        </w:rPr>
        <w:t>e.g.</w:t>
      </w:r>
      <w:r>
        <w:t xml:space="preserve"> admission date, discharge date, diagnoses and treatment). Finally, variables that were similar in nature were identified and a </w:t>
      </w:r>
      <w:r w:rsidR="009A3B34">
        <w:t>common</w:t>
      </w:r>
      <w:r>
        <w:t xml:space="preserve"> coding </w:t>
      </w:r>
      <w:r w:rsidR="009A3B34">
        <w:t>scheme</w:t>
      </w:r>
      <w:r>
        <w:t xml:space="preserve"> was developed</w:t>
      </w:r>
      <w:r w:rsidR="00E93D69">
        <w:t xml:space="preserve"> to reflect coding schemes used by data providers</w:t>
      </w:r>
      <w:r>
        <w:t xml:space="preserve"> (</w:t>
      </w:r>
      <w:r w:rsidRPr="00B653BA">
        <w:rPr>
          <w:i/>
        </w:rPr>
        <w:t>e.g.</w:t>
      </w:r>
      <w:r>
        <w:t xml:space="preserve"> source of admission, source of discharge and source of injury)</w:t>
      </w:r>
      <w:r w:rsidR="00B22694">
        <w:t xml:space="preserve"> with the objective of having a single coding scheme</w:t>
      </w:r>
      <w:r>
        <w:t xml:space="preserve">. </w:t>
      </w:r>
      <w:r w:rsidR="00EB7433">
        <w:t>Supplement</w:t>
      </w:r>
      <w:r>
        <w:t xml:space="preserve"> 1 outlines variables</w:t>
      </w:r>
      <w:r w:rsidR="00B22694">
        <w:t xml:space="preserve"> linked for each dataset and data provider.</w:t>
      </w:r>
    </w:p>
    <w:p w14:paraId="5334360B" w14:textId="0D8D3347" w:rsidR="0063191D" w:rsidRDefault="006D00C9" w:rsidP="00897C08">
      <w:pPr>
        <w:spacing w:line="360" w:lineRule="auto"/>
        <w:jc w:val="both"/>
      </w:pPr>
      <w:r w:rsidRPr="00736E65">
        <w:rPr>
          <w:u w:val="single"/>
        </w:rPr>
        <w:t>A</w:t>
      </w:r>
      <w:r>
        <w:rPr>
          <w:u w:val="single"/>
        </w:rPr>
        <w:t xml:space="preserve">dmitted </w:t>
      </w:r>
      <w:r w:rsidRPr="00736E65">
        <w:rPr>
          <w:u w:val="single"/>
        </w:rPr>
        <w:t>P</w:t>
      </w:r>
      <w:r>
        <w:rPr>
          <w:u w:val="single"/>
        </w:rPr>
        <w:t xml:space="preserve">atient </w:t>
      </w:r>
      <w:r w:rsidRPr="00736E65">
        <w:rPr>
          <w:u w:val="single"/>
        </w:rPr>
        <w:t>C</w:t>
      </w:r>
      <w:r>
        <w:rPr>
          <w:u w:val="single"/>
        </w:rPr>
        <w:t>are</w:t>
      </w:r>
      <w:r>
        <w:t xml:space="preserve"> EHRs a</w:t>
      </w:r>
      <w:r w:rsidR="0063191D">
        <w:t xml:space="preserve">cross the data </w:t>
      </w:r>
      <w:r w:rsidR="00107E21">
        <w:t>providers</w:t>
      </w:r>
      <w:r w:rsidR="0063191D">
        <w:t>, include details of the patient, when they were treated, whe</w:t>
      </w:r>
      <w:r w:rsidR="00955EE4">
        <w:t>re</w:t>
      </w:r>
      <w:r w:rsidR="0063191D">
        <w:t xml:space="preserve"> they were treated and what they were treated for. As illustrated in </w:t>
      </w:r>
      <w:r w:rsidR="0063191D">
        <w:fldChar w:fldCharType="begin"/>
      </w:r>
      <w:r w:rsidR="0063191D">
        <w:instrText xml:space="preserve"> REF _Ref326999309 \h </w:instrText>
      </w:r>
      <w:r w:rsidR="00897C08">
        <w:instrText xml:space="preserve"> \* MERGEFORMAT </w:instrText>
      </w:r>
      <w:r w:rsidR="0063191D">
        <w:fldChar w:fldCharType="separate"/>
      </w:r>
      <w:r w:rsidR="00FC6FA3">
        <w:t xml:space="preserve">Table </w:t>
      </w:r>
      <w:r w:rsidR="00FC6FA3">
        <w:rPr>
          <w:noProof/>
        </w:rPr>
        <w:t>1</w:t>
      </w:r>
      <w:r w:rsidR="0063191D">
        <w:fldChar w:fldCharType="end"/>
      </w:r>
      <w:r w:rsidR="0063191D">
        <w:t xml:space="preserve">, APC records contain the largest number of variables compared to other departments. Variables identified include </w:t>
      </w:r>
      <w:r w:rsidR="001B7BC6" w:rsidRPr="001B7BC6">
        <w:rPr>
          <w:i/>
        </w:rPr>
        <w:t>e.g.</w:t>
      </w:r>
      <w:r w:rsidR="0063191D">
        <w:t xml:space="preserve"> admission/discharge date, care provider, speciality and costing codes. For variables such as consultant speciality and admission/discharge source </w:t>
      </w:r>
      <w:r w:rsidR="00E26BE7">
        <w:t xml:space="preserve">a national coding scheme was used. We developed </w:t>
      </w:r>
      <w:r w:rsidR="0063191D">
        <w:t xml:space="preserve">a common coding scheme </w:t>
      </w:r>
      <w:r w:rsidR="00E26BE7">
        <w:t xml:space="preserve">which was </w:t>
      </w:r>
      <w:r w:rsidR="0063191D">
        <w:t xml:space="preserve">inclusive </w:t>
      </w:r>
      <w:r w:rsidR="00C51DE3">
        <w:t xml:space="preserve">and representative </w:t>
      </w:r>
      <w:r w:rsidR="00E26BE7">
        <w:t xml:space="preserve">of national </w:t>
      </w:r>
      <w:r w:rsidR="0063191D">
        <w:t>coding schem</w:t>
      </w:r>
      <w:r w:rsidR="00E26BE7">
        <w:t xml:space="preserve">es. </w:t>
      </w:r>
      <w:r w:rsidR="00061BA1">
        <w:t xml:space="preserve">Codes which were </w:t>
      </w:r>
      <w:r w:rsidR="00CC591E">
        <w:t>ambiguous</w:t>
      </w:r>
      <w:r w:rsidR="00061BA1">
        <w:t xml:space="preserve"> or not an identical match to other </w:t>
      </w:r>
      <w:r w:rsidR="008E5C1E">
        <w:t>nations</w:t>
      </w:r>
      <w:r w:rsidR="00061BA1">
        <w:t xml:space="preserve"> were retained. </w:t>
      </w:r>
      <w:r w:rsidR="0063191D">
        <w:t xml:space="preserve"> Primarily, d</w:t>
      </w:r>
      <w:r w:rsidR="0063191D" w:rsidRPr="003D286D">
        <w:t xml:space="preserve">iagnoses </w:t>
      </w:r>
      <w:r w:rsidR="0063191D" w:rsidRPr="00C95986">
        <w:t>were coded using the International Classification of Diseases, 10</w:t>
      </w:r>
      <w:r w:rsidR="0063191D" w:rsidRPr="00C95986">
        <w:rPr>
          <w:vertAlign w:val="superscript"/>
        </w:rPr>
        <w:t>th</w:t>
      </w:r>
      <w:r w:rsidR="0063191D">
        <w:t xml:space="preserve"> revision (ICD-10) and interventions and procedures are coded using OPCS Classification of Interventions and Procedures version 3 </w:t>
      </w:r>
      <w:r w:rsidR="00FC6FA3">
        <w:t>or</w:t>
      </w:r>
      <w:r w:rsidR="0063191D">
        <w:t xml:space="preserve"> 4</w:t>
      </w:r>
      <w:r w:rsidR="002B61A3">
        <w:t xml:space="preserve"> (OPCS-4)</w:t>
      </w:r>
      <w:r w:rsidR="002127AA">
        <w:t xml:space="preserve">. </w:t>
      </w:r>
    </w:p>
    <w:p w14:paraId="150A1393" w14:textId="3417C518" w:rsidR="0063191D" w:rsidRDefault="0063191D" w:rsidP="00897C08">
      <w:pPr>
        <w:spacing w:line="360" w:lineRule="auto"/>
        <w:jc w:val="both"/>
      </w:pPr>
      <w:r w:rsidRPr="006A159C">
        <w:rPr>
          <w:u w:val="single"/>
        </w:rPr>
        <w:t>Outpatient</w:t>
      </w:r>
      <w:r>
        <w:t xml:space="preserve"> </w:t>
      </w:r>
      <w:r w:rsidR="004D4257">
        <w:t>appointments</w:t>
      </w:r>
      <w:r>
        <w:t xml:space="preserve"> were recorded across the data </w:t>
      </w:r>
      <w:r w:rsidR="00107E21">
        <w:t>providers</w:t>
      </w:r>
      <w:r>
        <w:t>, including appointment</w:t>
      </w:r>
      <w:r w:rsidR="00F015EB">
        <w:t xml:space="preserve"> date</w:t>
      </w:r>
      <w:r>
        <w:t xml:space="preserve">, </w:t>
      </w:r>
      <w:r w:rsidR="00F015EB">
        <w:t>appointment treatment,</w:t>
      </w:r>
      <w:r w:rsidR="00670ECA">
        <w:t xml:space="preserve"> care provider and outcomes</w:t>
      </w:r>
      <w:r>
        <w:t xml:space="preserve">. Variables differed widely across the data </w:t>
      </w:r>
      <w:r w:rsidR="00107E21">
        <w:t xml:space="preserve">providers </w:t>
      </w:r>
      <w:r>
        <w:t>due to service provision</w:t>
      </w:r>
      <w:r w:rsidR="007E5A39">
        <w:t xml:space="preserve"> and method of recording the visit</w:t>
      </w:r>
      <w:r>
        <w:t>. Variables identified</w:t>
      </w:r>
      <w:r w:rsidR="007E5A39">
        <w:t xml:space="preserve"> for joining</w:t>
      </w:r>
      <w:r>
        <w:t xml:space="preserve"> include</w:t>
      </w:r>
      <w:r w:rsidR="003C091C">
        <w:t>d</w:t>
      </w:r>
      <w:r>
        <w:t xml:space="preserve"> </w:t>
      </w:r>
      <w:r w:rsidR="007E5A39">
        <w:t>appointment date</w:t>
      </w:r>
      <w:r>
        <w:t xml:space="preserve">, </w:t>
      </w:r>
      <w:r w:rsidR="007E5A39">
        <w:t>status of appointment attendance</w:t>
      </w:r>
      <w:r>
        <w:t>, diagnosis and speciality. For variables such as attendance type and appointment source, a common c</w:t>
      </w:r>
      <w:r w:rsidR="004C670F">
        <w:t xml:space="preserve">oding scheme was developed bringing together individual nation coding schemes. Codes which were ambiguous </w:t>
      </w:r>
      <w:r w:rsidR="002C1C36">
        <w:t>(without a suitable definition) or not an identical</w:t>
      </w:r>
      <w:r w:rsidR="00FC3034">
        <w:t xml:space="preserve"> match</w:t>
      </w:r>
      <w:r w:rsidR="002C1C36">
        <w:t xml:space="preserve"> were retained </w:t>
      </w:r>
      <w:r w:rsidR="00195F8A">
        <w:t>separately</w:t>
      </w:r>
      <w:r w:rsidR="004C670F">
        <w:t xml:space="preserve">. </w:t>
      </w:r>
      <w:r w:rsidR="00FC3034">
        <w:t>Diagnoses</w:t>
      </w:r>
      <w:r>
        <w:t xml:space="preserve">, interventions and procedures were coded using ICD-10 and OPCS across the data </w:t>
      </w:r>
      <w:r w:rsidR="00107E21">
        <w:t>providers</w:t>
      </w:r>
      <w:r>
        <w:t xml:space="preserve">. </w:t>
      </w:r>
    </w:p>
    <w:p w14:paraId="3E9D9E22" w14:textId="42CB0800" w:rsidR="0063191D" w:rsidRDefault="0063191D" w:rsidP="00897C08">
      <w:pPr>
        <w:spacing w:line="360" w:lineRule="auto"/>
        <w:jc w:val="both"/>
      </w:pPr>
      <w:r w:rsidRPr="00EE49B5">
        <w:rPr>
          <w:u w:val="single"/>
        </w:rPr>
        <w:t>Accident and Emergency</w:t>
      </w:r>
      <w:r>
        <w:t xml:space="preserve"> </w:t>
      </w:r>
      <w:r w:rsidR="00D77652">
        <w:t>attendance</w:t>
      </w:r>
      <w:r>
        <w:t xml:space="preserve"> </w:t>
      </w:r>
      <w:r w:rsidR="005D49A8">
        <w:t>was</w:t>
      </w:r>
      <w:r w:rsidR="00006DD0">
        <w:t xml:space="preserve"> </w:t>
      </w:r>
      <w:r>
        <w:t>recorded different</w:t>
      </w:r>
      <w:r w:rsidR="00006DD0">
        <w:t>ly</w:t>
      </w:r>
      <w:r>
        <w:t xml:space="preserve"> across the data </w:t>
      </w:r>
      <w:r w:rsidR="00107E21">
        <w:t>providers</w:t>
      </w:r>
      <w:r>
        <w:t xml:space="preserve">, and for </w:t>
      </w:r>
      <w:r w:rsidR="005A0CAA">
        <w:t xml:space="preserve">NHS Digital </w:t>
      </w:r>
      <w:r w:rsidR="00006DD0">
        <w:t xml:space="preserve">HES data were </w:t>
      </w:r>
      <w:r>
        <w:t xml:space="preserve">different </w:t>
      </w:r>
      <w:r w:rsidR="00A6436F">
        <w:t>between</w:t>
      </w:r>
      <w:r>
        <w:t xml:space="preserve"> hospital trusts. Variables such as admission date, treatment time, conclusion time and discharge time/location were linked based on commonality.  Major differences </w:t>
      </w:r>
      <w:r w:rsidR="00C97021">
        <w:t>were observed when coding the reason for the visit to A&amp;E</w:t>
      </w:r>
      <w:r w:rsidR="00DB5C28">
        <w:t>;</w:t>
      </w:r>
      <w:r>
        <w:t xml:space="preserve"> unlike APC, which utilise</w:t>
      </w:r>
      <w:r w:rsidR="002C1245">
        <w:t>s</w:t>
      </w:r>
      <w:r w:rsidR="00680E01">
        <w:t xml:space="preserve"> the</w:t>
      </w:r>
      <w:r>
        <w:t xml:space="preserve"> ICD-10</w:t>
      </w:r>
      <w:r w:rsidR="00C113FB">
        <w:t xml:space="preserve"> coding system</w:t>
      </w:r>
      <w:r>
        <w:t xml:space="preserve"> across the </w:t>
      </w:r>
      <w:r w:rsidR="008D27AA">
        <w:t>combined dataset</w:t>
      </w:r>
      <w:r w:rsidR="00DB5C28">
        <w:t xml:space="preserve">, </w:t>
      </w:r>
      <w:r>
        <w:t>A&amp;E does not use a national standar</w:t>
      </w:r>
      <w:r w:rsidR="00394158">
        <w:t>d. For example, within England</w:t>
      </w:r>
      <w:r w:rsidR="00FC3034">
        <w:t>,</w:t>
      </w:r>
      <w:r>
        <w:t xml:space="preserve"> care providers utilise a local coding system, ICD-10 coding or a NHS England coding standard </w:t>
      </w:r>
      <w:r w:rsidR="00222001">
        <w:fldChar w:fldCharType="begin" w:fldLock="1"/>
      </w:r>
      <w:r w:rsidR="0008649F">
        <w:instrText>ADDIN CSL_CITATION { "citationItems" : [ { "id" : "ITEM-1", "itemData" : { "author" : [ { "dropping-particle" : "", "family" : "Greenhalgh", "given" : "Trisha", "non-dropping-particle" : "", "parse-names" : false, "suffix" : "" }, { "dropping-particle" : "", "family" : "Morris", "given" : "Libby", "non-dropping-particle" : "", "parse-names" : false, "suffix" : "" }, { "dropping-particle" : "", "family" : "Wyatt", "given" : "Jeremy C", "non-dropping-particle" : "", "parse-names" : false, "suffix" : "" }, { "dropping-particle" : "", "family" : "Thomas", "given" : "Gwyn", "non-dropping-particle" : "", "parse-names" : false, "suffix" : "" }, { "dropping-particle" : "", "family" : "Gunning", "given" : "Katey", "non-dropping-particle" : "", "parse-names" : false, "suffix" : "" } ], "container-title" : "International Journal of Medical Informatics", "id" : "ITEM-1", "issue" : "5", "issued" : { "date-parts" : [ [ "2013" ] ] }, "page" : "e125-e138", "title" : "Introducing a nationally shared electronic patient record: Case study comparison of Scotland, England, Wales and Northern Ireland", "type" : "article-journal", "volume" : "82" }, "uris" : [ "http://www.mendeley.com/documents/?uuid=3727dfb9-7bad-4a7d-bc23-a523af4375a8" ] }, { "id" : "ITEM-2", "itemData" : { "author" : [ { "dropping-particle" : "", "family" : "Bridgman", "given" : "S A", "non-dropping-particle" : "", "parse-names" : false, "suffix" : "" }, { "dropping-particle" : "", "family" : "Clement", "given" : "D", "non-dropping-particle" : "", "parse-names" : false, "suffix" : "" }, { "dropping-particle" : "", "family" : "Downing", "given" : "A", "non-dropping-particle" : "", "parse-names" : false, "suffix" : "" }, { "dropping-particle" : "", "family" : "Walley", "given" : "G", "non-dropping-particle" : "", "parse-names" : false, "suffix" : "" }, { "dropping-particle" : "", "family" : "Phair", "given" : "I", "non-dropping-particle" : "", "parse-names" : false, "suffix" : "" }, { "dropping-particle" : "", "family" : "Maffulli", "given" : "N", "non-dropping-particle" : "", "parse-names" : false, "suffix" : "" } ], "container-title" : "Emergency Medicine Journal", "id" : "ITEM-2", "issue" : "6", "issued" : { "date-parts" : [ [ "2003" ] ] }, "page" : "508-510", "title" : "Population based epidemiology of ankle sprains attending accident and emergency units in the West Midlands of England, and a survey of UK practice for severe ankle sprains", "type" : "article-journal", "volume" : "20" }, "uris" : [ "http://www.mendeley.com/documents/?uuid=7cc296da-eb03-4d95-932b-310b86057d8b" ] } ], "mendeley" : { "formattedCitation" : "[28], [29]", "plainTextFormattedCitation" : "[28], [29]", "previouslyFormattedCitation" : "[28], [29]" }, "properties" : { "noteIndex" : 0 }, "schema" : "https://github.com/citation-style-language/schema/raw/master/csl-citation.json" }</w:instrText>
      </w:r>
      <w:r w:rsidR="00222001">
        <w:fldChar w:fldCharType="separate"/>
      </w:r>
      <w:r w:rsidR="004829B8" w:rsidRPr="004829B8">
        <w:rPr>
          <w:noProof/>
        </w:rPr>
        <w:t>[28], [29]</w:t>
      </w:r>
      <w:r w:rsidR="00222001">
        <w:fldChar w:fldCharType="end"/>
      </w:r>
      <w:r>
        <w:t xml:space="preserve">. </w:t>
      </w:r>
    </w:p>
    <w:p w14:paraId="3FC84CE0" w14:textId="387427D1" w:rsidR="0063191D" w:rsidRPr="007E44C3" w:rsidRDefault="005A0C02" w:rsidP="00A23430">
      <w:pPr>
        <w:outlineLvl w:val="0"/>
        <w:rPr>
          <w:b/>
        </w:rPr>
      </w:pPr>
      <w:r>
        <w:rPr>
          <w:b/>
        </w:rPr>
        <w:t>Integrated</w:t>
      </w:r>
      <w:r w:rsidR="0063191D" w:rsidRPr="007E44C3">
        <w:rPr>
          <w:b/>
        </w:rPr>
        <w:t xml:space="preserve"> Patient Record </w:t>
      </w:r>
      <w:r w:rsidR="0063191D">
        <w:rPr>
          <w:b/>
        </w:rPr>
        <w:t>and Data Cleaning</w:t>
      </w:r>
    </w:p>
    <w:p w14:paraId="777A296D" w14:textId="226E3D42" w:rsidR="00AE72FF" w:rsidRDefault="00707024" w:rsidP="00862D70">
      <w:pPr>
        <w:spacing w:line="360" w:lineRule="auto"/>
        <w:jc w:val="both"/>
      </w:pPr>
      <w:r>
        <w:t>A</w:t>
      </w:r>
      <w:r w:rsidR="00AE72FF">
        <w:t xml:space="preserve"> patient-level EHR </w:t>
      </w:r>
      <w:r w:rsidR="00B62F95">
        <w:t>dataset</w:t>
      </w:r>
      <w:r w:rsidR="00AE72FF">
        <w:t xml:space="preserve"> was </w:t>
      </w:r>
      <w:r w:rsidR="00DB5C28">
        <w:t xml:space="preserve">constructed </w:t>
      </w:r>
      <w:r w:rsidR="00AE72FF">
        <w:t xml:space="preserve">using a </w:t>
      </w:r>
      <w:r w:rsidR="00421D22">
        <w:t>five</w:t>
      </w:r>
      <w:r w:rsidR="00AE72FF">
        <w:t xml:space="preserve">-stage </w:t>
      </w:r>
      <w:r w:rsidR="00992AEC">
        <w:t>integration</w:t>
      </w:r>
      <w:r w:rsidR="00AE72FF">
        <w:t xml:space="preserve"> process. </w:t>
      </w:r>
      <w:r w:rsidR="00AE72FF" w:rsidRPr="007E44C3">
        <w:rPr>
          <w:u w:val="single"/>
        </w:rPr>
        <w:t>First</w:t>
      </w:r>
      <w:r w:rsidR="00020A6C">
        <w:t xml:space="preserve">, Continuous Inpatient </w:t>
      </w:r>
      <w:r w:rsidR="00AE72FF">
        <w:t xml:space="preserve">spells were computed for APC in HES, ISD and SAIL separately. A </w:t>
      </w:r>
      <w:r w:rsidR="00020A6C">
        <w:t xml:space="preserve">Continuous Inpatient </w:t>
      </w:r>
      <w:r w:rsidR="00AE72FF">
        <w:t>spell is considered as a continuous period of care within</w:t>
      </w:r>
      <w:r w:rsidR="00DB5C28">
        <w:t xml:space="preserve"> the</w:t>
      </w:r>
      <w:r w:rsidR="00AE72FF">
        <w:t xml:space="preserve"> NHS, regardless of any transfers between care providers that may take place </w:t>
      </w:r>
      <w:r w:rsidR="00DB5C28">
        <w:fldChar w:fldCharType="begin" w:fldLock="1"/>
      </w:r>
      <w:r w:rsidR="0008649F">
        <w:instrText>ADDIN CSL_CITATION { "citationItems" : [ { "id" : "ITEM-1", "itemData" : { "author" : [ { "dropping-particle" : "", "family" : "Health and Social Care Information Centre", "given" : "", "non-dropping-particle" : "", "parse-names" : false, "suffix" : "" } ], "id" : "ITEM-1", "issued" : { "date-parts" : [ [ "2014" ] ] }, "title" : "Methodology to create provider and CIP spells from HES APC Data", "type" : "article" }, "uris" : [ "http://www.mendeley.com/documents/?uuid=c8f25175-ca1a-4baf-9651-f20a1287fdfb" ] } ], "mendeley" : { "formattedCitation" : "[30]", "plainTextFormattedCitation" : "[30]", "previouslyFormattedCitation" : "[30]" }, "properties" : { "noteIndex" : 0 }, "schema" : "https://github.com/citation-style-language/schema/raw/master/csl-citation.json" }</w:instrText>
      </w:r>
      <w:r w:rsidR="00DB5C28">
        <w:fldChar w:fldCharType="separate"/>
      </w:r>
      <w:r w:rsidR="004829B8" w:rsidRPr="004829B8">
        <w:rPr>
          <w:noProof/>
        </w:rPr>
        <w:t>[30]</w:t>
      </w:r>
      <w:r w:rsidR="00DB5C28">
        <w:fldChar w:fldCharType="end"/>
      </w:r>
      <w:r w:rsidR="00DB5C28">
        <w:t>;</w:t>
      </w:r>
      <w:r w:rsidR="00D51ED4">
        <w:t xml:space="preserve"> </w:t>
      </w:r>
      <w:r w:rsidR="00AE72FF">
        <w:t>it can comprise one or more provider</w:t>
      </w:r>
      <w:r w:rsidR="009E34D0">
        <w:t>s</w:t>
      </w:r>
      <w:r w:rsidR="00AE72FF">
        <w:t xml:space="preserve"> but starts when a decision has been made to admit the patient (admission date), and ends when the patient dies or is discharged from hospital (discharge date). APC records are treated differently to other EHR</w:t>
      </w:r>
      <w:r w:rsidR="002C1245">
        <w:t>s</w:t>
      </w:r>
      <w:r w:rsidR="00AE72FF">
        <w:t xml:space="preserve"> (</w:t>
      </w:r>
      <w:r w:rsidR="00AE72FF" w:rsidRPr="00815E14">
        <w:rPr>
          <w:i/>
        </w:rPr>
        <w:t>e.g.</w:t>
      </w:r>
      <w:r w:rsidR="00AE72FF">
        <w:t xml:space="preserve"> A&amp;E, Outpatient) as a patient can have multiple episodes of care relating to a single admission into hospital. </w:t>
      </w:r>
      <w:r w:rsidR="008B01A8" w:rsidRPr="008B01A8">
        <w:rPr>
          <w:u w:val="single"/>
        </w:rPr>
        <w:t>Second</w:t>
      </w:r>
      <w:r w:rsidR="004D1468">
        <w:t>, admission and discharge date</w:t>
      </w:r>
      <w:r w:rsidR="008B01A8">
        <w:t xml:space="preserve"> (A&amp;E, Outpatient and APC</w:t>
      </w:r>
      <w:r w:rsidR="004D1468">
        <w:t>)</w:t>
      </w:r>
      <w:r w:rsidR="004D1468" w:rsidRPr="00CC5F5A">
        <w:t xml:space="preserve"> </w:t>
      </w:r>
      <w:r w:rsidR="004D1468">
        <w:t>were checked to ensure consistency</w:t>
      </w:r>
      <w:r w:rsidR="00C77981">
        <w:t xml:space="preserve"> and</w:t>
      </w:r>
      <w:r w:rsidR="00DB5C28">
        <w:t xml:space="preserve"> that</w:t>
      </w:r>
      <w:r w:rsidR="00C77981">
        <w:t xml:space="preserve"> a valid date was present</w:t>
      </w:r>
      <w:r w:rsidR="004D1468">
        <w:t xml:space="preserve">. </w:t>
      </w:r>
      <w:r w:rsidR="004D1468" w:rsidRPr="004D1468">
        <w:rPr>
          <w:u w:val="single"/>
        </w:rPr>
        <w:t>Third</w:t>
      </w:r>
      <w:r w:rsidR="004D1468">
        <w:t>, duplicate records (A&amp;E, Outpatient and APC) relating to the same period of care</w:t>
      </w:r>
      <w:r w:rsidR="00DD6AE0">
        <w:t xml:space="preserve"> or admission</w:t>
      </w:r>
      <w:r w:rsidR="004D1468">
        <w:t xml:space="preserve"> were identified and </w:t>
      </w:r>
      <w:r w:rsidR="00007C61">
        <w:t>excluded</w:t>
      </w:r>
      <w:r w:rsidR="004D1468">
        <w:t xml:space="preserve">. </w:t>
      </w:r>
      <w:r w:rsidR="004D1468">
        <w:rPr>
          <w:u w:val="single"/>
        </w:rPr>
        <w:t>Fourth</w:t>
      </w:r>
      <w:r w:rsidR="00AE72FF" w:rsidRPr="00CC5F5A">
        <w:t xml:space="preserve">, </w:t>
      </w:r>
      <w:r w:rsidR="00AE72FF">
        <w:t>EHR</w:t>
      </w:r>
      <w:r w:rsidR="00AE72FF" w:rsidRPr="00CC5F5A">
        <w:t xml:space="preserve"> </w:t>
      </w:r>
      <w:r w:rsidR="00AE72FF">
        <w:t>(A&amp;E, Outpatient and APC)</w:t>
      </w:r>
      <w:r w:rsidR="00AE72FF" w:rsidRPr="00CC5F5A">
        <w:t xml:space="preserve"> for the same individual were brought together within HES, SAIL and ISD to create a personal admission history for England, Wales and Scotland respectively</w:t>
      </w:r>
      <w:r w:rsidR="00AE72FF">
        <w:t xml:space="preserve"> using the </w:t>
      </w:r>
      <w:r w:rsidR="003269BD">
        <w:t>unique</w:t>
      </w:r>
      <w:r w:rsidR="00AE72FF">
        <w:t xml:space="preserve"> identifier</w:t>
      </w:r>
      <w:r w:rsidR="00AE72FF" w:rsidRPr="00CC5F5A">
        <w:t xml:space="preserve">. </w:t>
      </w:r>
      <w:r w:rsidR="004D1468">
        <w:rPr>
          <w:u w:val="single"/>
        </w:rPr>
        <w:t>Finally</w:t>
      </w:r>
      <w:r w:rsidR="00AE72FF">
        <w:t>, admission history</w:t>
      </w:r>
      <w:r w:rsidR="00AE72FF" w:rsidRPr="00CC5F5A">
        <w:t xml:space="preserve"> across th</w:t>
      </w:r>
      <w:r w:rsidR="00AE72FF">
        <w:t xml:space="preserve">e </w:t>
      </w:r>
      <w:r w:rsidR="00BD3045">
        <w:t>nations</w:t>
      </w:r>
      <w:r w:rsidR="00AE72FF">
        <w:t xml:space="preserve"> was</w:t>
      </w:r>
      <w:r w:rsidR="00AE72FF" w:rsidRPr="00CC5F5A">
        <w:t xml:space="preserve"> merged to</w:t>
      </w:r>
      <w:r w:rsidR="00AE72FF">
        <w:t xml:space="preserve"> the KCMHR </w:t>
      </w:r>
      <w:r w:rsidR="00BE4444">
        <w:t>Armed Forces</w:t>
      </w:r>
      <w:r w:rsidR="00AE72FF">
        <w:t xml:space="preserve"> cohort to create a </w:t>
      </w:r>
      <w:r w:rsidR="00CD2981">
        <w:t>patient-level</w:t>
      </w:r>
      <w:r w:rsidR="00AE72FF" w:rsidRPr="00CC5F5A">
        <w:t xml:space="preserve"> history </w:t>
      </w:r>
      <w:r w:rsidR="00AE72FF">
        <w:t>for A&amp;E, APC and Outpatient</w:t>
      </w:r>
      <w:r w:rsidR="008875F9">
        <w:t xml:space="preserve"> care</w:t>
      </w:r>
      <w:r w:rsidR="00AE72FF" w:rsidRPr="00CC5F5A">
        <w:t xml:space="preserve">. </w:t>
      </w:r>
    </w:p>
    <w:p w14:paraId="094482DC" w14:textId="1A16F70C" w:rsidR="0063191D" w:rsidRDefault="0049487C" w:rsidP="00A23430">
      <w:pPr>
        <w:outlineLvl w:val="0"/>
        <w:rPr>
          <w:b/>
        </w:rPr>
      </w:pPr>
      <w:r>
        <w:rPr>
          <w:b/>
        </w:rPr>
        <w:t xml:space="preserve">Data Analysis </w:t>
      </w:r>
    </w:p>
    <w:p w14:paraId="20470EC6" w14:textId="0C7295A6" w:rsidR="00BB3B6A" w:rsidRDefault="00BB3B6A" w:rsidP="005A0CAA">
      <w:pPr>
        <w:spacing w:line="360" w:lineRule="auto"/>
        <w:jc w:val="both"/>
        <w:outlineLvl w:val="0"/>
      </w:pPr>
      <w:r>
        <w:t xml:space="preserve">This </w:t>
      </w:r>
      <w:r w:rsidR="004E2C1A">
        <w:t>work</w:t>
      </w:r>
      <w:r>
        <w:t xml:space="preserve"> </w:t>
      </w:r>
      <w:r w:rsidR="00E84266">
        <w:t>compared the</w:t>
      </w:r>
      <w:r>
        <w:t xml:space="preserve"> </w:t>
      </w:r>
      <w:r w:rsidR="006961F2">
        <w:t>matched</w:t>
      </w:r>
      <w:r>
        <w:t xml:space="preserve"> sample </w:t>
      </w:r>
      <w:r w:rsidR="00906E45">
        <w:t>(n=6,</w:t>
      </w:r>
      <w:r w:rsidR="00CA4257">
        <w:t xml:space="preserve">336) </w:t>
      </w:r>
      <w:r w:rsidR="00335C71">
        <w:t>with the non-matc</w:t>
      </w:r>
      <w:r w:rsidR="0072714B">
        <w:t>h</w:t>
      </w:r>
      <w:r w:rsidR="00335C71">
        <w:t>ed sample (n=2,2</w:t>
      </w:r>
      <w:r w:rsidR="0054455D">
        <w:t>6</w:t>
      </w:r>
      <w:r w:rsidR="00335C71">
        <w:t>6) to assess differences</w:t>
      </w:r>
      <w:r w:rsidR="00CA4257">
        <w:t xml:space="preserve"> on a range of demographic factors. Analyses</w:t>
      </w:r>
      <w:r w:rsidR="00E84266">
        <w:t xml:space="preserve"> including median</w:t>
      </w:r>
      <w:r w:rsidR="005B17A8">
        <w:t xml:space="preserve"> </w:t>
      </w:r>
      <w:r w:rsidR="00E84266">
        <w:t>and frequencies were</w:t>
      </w:r>
      <w:r w:rsidR="00CA4257">
        <w:t xml:space="preserve"> </w:t>
      </w:r>
      <w:r w:rsidR="00E84266">
        <w:t>computed</w:t>
      </w:r>
      <w:r w:rsidR="00CA4257">
        <w:t xml:space="preserve"> in </w:t>
      </w:r>
      <w:r w:rsidR="00C5025A">
        <w:t xml:space="preserve">Stata 12 </w:t>
      </w:r>
      <w:r w:rsidR="00C5025A">
        <w:fldChar w:fldCharType="begin" w:fldLock="1"/>
      </w:r>
      <w:r w:rsidR="0008649F">
        <w:instrText>ADDIN CSL_CITATION { "citationItems" : [ { "id" : "ITEM-1", "itemData" : { "author" : [ { "dropping-particle" : "", "family" : "StataCorp", "given" : "", "non-dropping-particle" : "", "parse-names" : false, "suffix" : "" } ], "id" : "ITEM-1", "issued" : { "date-parts" : [ [ "2011" ] ] }, "title" : "Stata: Release 12. Statistical Software", "type" : "article" }, "uris" : [ "http://www.mendeley.com/documents/?uuid=2de8072b-6489-4cec-a693-277356056724" ] } ], "mendeley" : { "formattedCitation" : "[31]", "plainTextFormattedCitation" : "[31]", "previouslyFormattedCitation" : "[31]" }, "properties" : { "noteIndex" : 0 }, "schema" : "https://github.com/citation-style-language/schema/raw/master/csl-citation.json" }</w:instrText>
      </w:r>
      <w:r w:rsidR="00C5025A">
        <w:fldChar w:fldCharType="separate"/>
      </w:r>
      <w:r w:rsidR="004829B8" w:rsidRPr="004829B8">
        <w:rPr>
          <w:noProof/>
        </w:rPr>
        <w:t>[31]</w:t>
      </w:r>
      <w:r w:rsidR="00C5025A">
        <w:fldChar w:fldCharType="end"/>
      </w:r>
      <w:r w:rsidR="00C5025A">
        <w:t>.</w:t>
      </w:r>
      <w:r>
        <w:t xml:space="preserve"> </w:t>
      </w:r>
      <w:r w:rsidR="0072714B">
        <w:t xml:space="preserve">In </w:t>
      </w:r>
      <w:r w:rsidR="00BA1361">
        <w:t>addition,</w:t>
      </w:r>
      <w:r w:rsidR="0072714B">
        <w:t xml:space="preserve"> the following </w:t>
      </w:r>
      <w:r w:rsidR="00BA1361">
        <w:t>descriptive analyses</w:t>
      </w:r>
      <w:r w:rsidR="00687DD5">
        <w:t xml:space="preserve"> were</w:t>
      </w:r>
      <w:r>
        <w:t xml:space="preserve"> performed:</w:t>
      </w:r>
    </w:p>
    <w:p w14:paraId="5C8972ED" w14:textId="567A8DB9" w:rsidR="00BB3B6A" w:rsidRDefault="00C5025A" w:rsidP="005A0CAA">
      <w:pPr>
        <w:pStyle w:val="ListParagraph"/>
        <w:numPr>
          <w:ilvl w:val="0"/>
          <w:numId w:val="5"/>
        </w:numPr>
        <w:spacing w:line="360" w:lineRule="auto"/>
        <w:jc w:val="both"/>
        <w:outlineLvl w:val="0"/>
      </w:pPr>
      <w:r>
        <w:rPr>
          <w:b/>
        </w:rPr>
        <w:t>L</w:t>
      </w:r>
      <w:r w:rsidR="008276B2" w:rsidRPr="008276B2">
        <w:rPr>
          <w:b/>
        </w:rPr>
        <w:t>inkage</w:t>
      </w:r>
      <w:r w:rsidR="00811810" w:rsidRPr="008276B2">
        <w:rPr>
          <w:b/>
        </w:rPr>
        <w:t xml:space="preserve"> rate</w:t>
      </w:r>
      <w:r w:rsidR="00811810">
        <w:t xml:space="preserve"> overall and by </w:t>
      </w:r>
      <w:r w:rsidR="008276B2">
        <w:t>nation</w:t>
      </w:r>
      <w:r w:rsidR="00811810">
        <w:t xml:space="preserve"> we</w:t>
      </w:r>
      <w:r w:rsidR="008276B2">
        <w:t xml:space="preserve">re computed using </w:t>
      </w:r>
      <w:r w:rsidR="00751416">
        <w:t>record matching</w:t>
      </w:r>
      <w:r w:rsidR="008276B2">
        <w:t xml:space="preserve"> information supplied</w:t>
      </w:r>
      <w:r w:rsidR="00811810">
        <w:t xml:space="preserve"> by national data </w:t>
      </w:r>
      <w:r w:rsidR="00107E21">
        <w:t>providers</w:t>
      </w:r>
      <w:r w:rsidR="00811810">
        <w:t xml:space="preserve">. </w:t>
      </w:r>
      <w:r w:rsidR="006961F2">
        <w:t xml:space="preserve">The analyses </w:t>
      </w:r>
      <w:r w:rsidR="007C0FD2">
        <w:t>were</w:t>
      </w:r>
      <w:r w:rsidR="006961F2">
        <w:t xml:space="preserve"> undertaken using those who </w:t>
      </w:r>
      <w:r w:rsidR="006D0934">
        <w:t>gave consent for their medical records to be accessed</w:t>
      </w:r>
      <w:r w:rsidR="006961F2">
        <w:t xml:space="preserve"> (n=8</w:t>
      </w:r>
      <w:r w:rsidR="00AE66DA">
        <w:t>,</w:t>
      </w:r>
      <w:r w:rsidR="006961F2">
        <w:t>602).</w:t>
      </w:r>
      <w:r w:rsidR="00835C1C">
        <w:t xml:space="preserve"> Results were presented as frequency and percentage values. </w:t>
      </w:r>
      <w:r w:rsidR="00BA1361">
        <w:t xml:space="preserve">Students t-test was performed to identify significance in the matching. </w:t>
      </w:r>
    </w:p>
    <w:p w14:paraId="50EA35E3" w14:textId="755E4914" w:rsidR="00B23E3E" w:rsidRDefault="00335C71" w:rsidP="005A0CAA">
      <w:pPr>
        <w:pStyle w:val="ListParagraph"/>
        <w:numPr>
          <w:ilvl w:val="0"/>
          <w:numId w:val="5"/>
        </w:numPr>
        <w:spacing w:line="360" w:lineRule="auto"/>
        <w:jc w:val="both"/>
        <w:outlineLvl w:val="0"/>
      </w:pPr>
      <w:r w:rsidRPr="0054455D">
        <w:t>Departmental utilisation</w:t>
      </w:r>
      <w:r>
        <w:rPr>
          <w:b/>
        </w:rPr>
        <w:t xml:space="preserve"> </w:t>
      </w:r>
      <w:r w:rsidRPr="007B7751">
        <w:t>was calculat</w:t>
      </w:r>
      <w:r w:rsidR="007B7751">
        <w:t xml:space="preserve">ed based on </w:t>
      </w:r>
      <w:r w:rsidR="00276CD2">
        <w:t xml:space="preserve">the </w:t>
      </w:r>
      <w:r w:rsidR="007B7751">
        <w:t xml:space="preserve">number of visits a patient </w:t>
      </w:r>
      <w:r w:rsidR="007C2035">
        <w:t xml:space="preserve">made </w:t>
      </w:r>
      <w:r w:rsidR="007B7751">
        <w:t>to the department.</w:t>
      </w:r>
      <w:r>
        <w:rPr>
          <w:b/>
        </w:rPr>
        <w:t xml:space="preserve"> </w:t>
      </w:r>
      <w:r w:rsidR="00C5025A" w:rsidRPr="0054455D">
        <w:t>G</w:t>
      </w:r>
      <w:r w:rsidR="002D3533" w:rsidRPr="0054455D">
        <w:t>ender</w:t>
      </w:r>
      <w:r w:rsidR="002D3533">
        <w:rPr>
          <w:b/>
        </w:rPr>
        <w:t xml:space="preserve"> </w:t>
      </w:r>
      <w:r w:rsidR="00CA4257">
        <w:t>frequenc</w:t>
      </w:r>
      <w:r>
        <w:t>ies</w:t>
      </w:r>
      <w:r w:rsidR="00CA4257">
        <w:t xml:space="preserve"> and percentages were computed to </w:t>
      </w:r>
      <w:r w:rsidR="005C4F90">
        <w:t xml:space="preserve">provide a breakdown of departmental </w:t>
      </w:r>
      <w:r w:rsidR="00944ED1">
        <w:t>admissions</w:t>
      </w:r>
      <w:r w:rsidR="005C4F90">
        <w:t xml:space="preserve">. </w:t>
      </w:r>
    </w:p>
    <w:p w14:paraId="4971867C" w14:textId="4ADB01BE" w:rsidR="00BD1506" w:rsidRDefault="00BD1506" w:rsidP="005A0CAA">
      <w:pPr>
        <w:pStyle w:val="ListParagraph"/>
        <w:numPr>
          <w:ilvl w:val="0"/>
          <w:numId w:val="5"/>
        </w:numPr>
        <w:spacing w:line="360" w:lineRule="auto"/>
        <w:jc w:val="both"/>
        <w:outlineLvl w:val="0"/>
      </w:pPr>
      <w:r>
        <w:rPr>
          <w:b/>
        </w:rPr>
        <w:t>Common conditions</w:t>
      </w:r>
      <w:r w:rsidR="00274148">
        <w:rPr>
          <w:b/>
        </w:rPr>
        <w:t xml:space="preserve"> </w:t>
      </w:r>
      <w:r w:rsidR="00274148">
        <w:t xml:space="preserve">were calculated </w:t>
      </w:r>
      <w:r w:rsidR="006765E2">
        <w:t>by summing the number of events for each 3 digit ICD</w:t>
      </w:r>
      <w:r w:rsidR="00D803F6">
        <w:t>-1</w:t>
      </w:r>
      <w:r w:rsidR="006765E2">
        <w:t xml:space="preserve">0 code and represented as a </w:t>
      </w:r>
      <w:r w:rsidR="00BD71E0">
        <w:t>frequency</w:t>
      </w:r>
      <w:r w:rsidR="006765E2">
        <w:t xml:space="preserve">. </w:t>
      </w:r>
      <w:r w:rsidR="005C4F90">
        <w:t>Gender</w:t>
      </w:r>
      <w:r w:rsidR="00C11DAA">
        <w:t xml:space="preserve"> frequencies and percentages were computed for each common condition. </w:t>
      </w:r>
    </w:p>
    <w:p w14:paraId="512B55DD" w14:textId="4EFED283" w:rsidR="000A3F03" w:rsidRDefault="00411C61" w:rsidP="005A0CAA">
      <w:pPr>
        <w:pStyle w:val="ListParagraph"/>
        <w:numPr>
          <w:ilvl w:val="0"/>
          <w:numId w:val="5"/>
        </w:numPr>
        <w:spacing w:line="360" w:lineRule="auto"/>
        <w:jc w:val="both"/>
        <w:outlineLvl w:val="0"/>
      </w:pPr>
      <w:r>
        <w:t xml:space="preserve">The total numbers of hospital visits </w:t>
      </w:r>
      <w:r w:rsidR="00125E20">
        <w:t>was</w:t>
      </w:r>
      <w:r w:rsidR="000A3F03">
        <w:t xml:space="preserve"> calculated by summing the number of events per participant</w:t>
      </w:r>
      <w:r w:rsidR="00695F1D">
        <w:t xml:space="preserve"> matched for each department</w:t>
      </w:r>
      <w:r w:rsidR="000A3F03">
        <w:t>. The frequency,</w:t>
      </w:r>
      <w:r w:rsidR="00C84CCC">
        <w:t xml:space="preserve"> median</w:t>
      </w:r>
      <w:r w:rsidR="008A3C48">
        <w:t xml:space="preserve"> and </w:t>
      </w:r>
      <w:r w:rsidR="000A3F03">
        <w:t>inter-quartile range (IQR)</w:t>
      </w:r>
      <w:r w:rsidR="00C5025A">
        <w:t xml:space="preserve"> </w:t>
      </w:r>
      <w:r w:rsidR="000A3F03">
        <w:t>were computed at the patient-level</w:t>
      </w:r>
      <w:r w:rsidR="003D38A8">
        <w:t xml:space="preserve"> as the data was not normally distributed.  </w:t>
      </w:r>
    </w:p>
    <w:p w14:paraId="7314C73A" w14:textId="2D2E99DE" w:rsidR="00E53DA7" w:rsidRDefault="00E53DA7" w:rsidP="005A0CAA">
      <w:pPr>
        <w:pStyle w:val="ListParagraph"/>
        <w:numPr>
          <w:ilvl w:val="0"/>
          <w:numId w:val="5"/>
        </w:numPr>
        <w:spacing w:line="360" w:lineRule="auto"/>
        <w:jc w:val="both"/>
        <w:outlineLvl w:val="0"/>
      </w:pPr>
      <w:r>
        <w:t xml:space="preserve">Variable completeness </w:t>
      </w:r>
      <w:r w:rsidR="00EF1E11">
        <w:t>was</w:t>
      </w:r>
      <w:r>
        <w:t xml:space="preserve"> calculated as the number of valid variable entries compared to missing or null entries</w:t>
      </w:r>
      <w:r w:rsidR="00835C1C">
        <w:t xml:space="preserve"> (where 0 is treated as a valid entry)</w:t>
      </w:r>
      <w:r>
        <w:t xml:space="preserve">. Valid variable entries </w:t>
      </w:r>
      <w:r w:rsidR="007C0FD2">
        <w:t>were</w:t>
      </w:r>
      <w:r>
        <w:t xml:space="preserve"> represented by records which have a value which is not null or missing. </w:t>
      </w:r>
      <w:r w:rsidR="003E01D2">
        <w:t xml:space="preserve">Results were presented as percentages. </w:t>
      </w:r>
    </w:p>
    <w:p w14:paraId="3F6CDF5D" w14:textId="20EDB6BB" w:rsidR="00BB3B6A" w:rsidRPr="009561EB" w:rsidRDefault="000A3F03" w:rsidP="005A0CAA">
      <w:pPr>
        <w:jc w:val="both"/>
      </w:pPr>
      <w:r>
        <w:t xml:space="preserve">It </w:t>
      </w:r>
      <w:r w:rsidR="00B23E3E">
        <w:t xml:space="preserve">should be noted that </w:t>
      </w:r>
      <w:r w:rsidR="001C36EC">
        <w:t xml:space="preserve">the </w:t>
      </w:r>
      <w:r w:rsidR="00B23E3E">
        <w:t xml:space="preserve">unit of </w:t>
      </w:r>
      <w:r w:rsidR="002D3533">
        <w:t xml:space="preserve">analysis </w:t>
      </w:r>
      <w:r w:rsidR="00B23E3E">
        <w:t xml:space="preserve">is the patient, rather than </w:t>
      </w:r>
      <w:r w:rsidR="00413005">
        <w:t xml:space="preserve">hospital, </w:t>
      </w:r>
      <w:r w:rsidR="001C36EC">
        <w:t xml:space="preserve">geographical </w:t>
      </w:r>
      <w:r w:rsidR="00413005">
        <w:t xml:space="preserve">region or nation. </w:t>
      </w:r>
    </w:p>
    <w:p w14:paraId="5A7585B8" w14:textId="77777777" w:rsidR="000C1AEB" w:rsidRDefault="000C1AEB">
      <w:pPr>
        <w:rPr>
          <w:b/>
          <w:u w:val="single"/>
        </w:rPr>
      </w:pPr>
      <w:r>
        <w:rPr>
          <w:b/>
          <w:u w:val="single"/>
        </w:rPr>
        <w:br w:type="page"/>
      </w:r>
    </w:p>
    <w:p w14:paraId="398B3919" w14:textId="379E998D" w:rsidR="0013225D" w:rsidRDefault="00AA49C0" w:rsidP="00A23430">
      <w:pPr>
        <w:outlineLvl w:val="0"/>
        <w:rPr>
          <w:b/>
          <w:u w:val="single"/>
        </w:rPr>
      </w:pPr>
      <w:r w:rsidRPr="00AA49C0">
        <w:rPr>
          <w:b/>
          <w:u w:val="single"/>
        </w:rPr>
        <w:t>Results</w:t>
      </w:r>
    </w:p>
    <w:p w14:paraId="37E5CD00" w14:textId="77777777" w:rsidR="002106E3" w:rsidRPr="002106E3" w:rsidRDefault="002106E3" w:rsidP="00A23430">
      <w:pPr>
        <w:spacing w:after="80" w:line="360" w:lineRule="auto"/>
        <w:jc w:val="both"/>
        <w:outlineLvl w:val="0"/>
        <w:rPr>
          <w:b/>
        </w:rPr>
      </w:pPr>
      <w:r w:rsidRPr="002106E3">
        <w:rPr>
          <w:b/>
        </w:rPr>
        <w:t>Overview of the data linkage</w:t>
      </w:r>
    </w:p>
    <w:p w14:paraId="655BF8D7" w14:textId="2BCF8D74" w:rsidR="00DD62EF" w:rsidRDefault="00DD62EF" w:rsidP="0079459D">
      <w:pPr>
        <w:pStyle w:val="Caption"/>
        <w:keepNext/>
      </w:pPr>
      <w:bookmarkStart w:id="3" w:name="_Ref456859623"/>
      <w:r>
        <w:t xml:space="preserve">Table </w:t>
      </w:r>
      <w:fldSimple w:instr=" SEQ Table \* ARABIC ">
        <w:r w:rsidR="004A4CBA">
          <w:rPr>
            <w:noProof/>
          </w:rPr>
          <w:t>3</w:t>
        </w:r>
      </w:fldSimple>
      <w:bookmarkEnd w:id="3"/>
      <w:r>
        <w:t xml:space="preserve">: </w:t>
      </w:r>
      <w:r w:rsidR="0079459D">
        <w:t>C</w:t>
      </w:r>
      <w:r w:rsidRPr="00BC0B1A">
        <w:t xml:space="preserve">ompleteness </w:t>
      </w:r>
      <w:r w:rsidR="0079459D">
        <w:t>of KCMHR</w:t>
      </w:r>
      <w:r w:rsidRPr="00BC0B1A">
        <w:t xml:space="preserve"> demographics (n=8602).  </w:t>
      </w:r>
      <w:r w:rsidRPr="001F0F37">
        <w:rPr>
          <w:vertAlign w:val="superscript"/>
        </w:rPr>
        <w:t>1</w:t>
      </w:r>
      <w:r w:rsidRPr="00BC0B1A">
        <w:t xml:space="preserve">NHS/CHI number is complete if length is greater than 8. </w:t>
      </w:r>
      <w:r w:rsidR="001F0F37">
        <w:t xml:space="preserve">CHI number serves the same purpose as NHS number for Scotland. </w:t>
      </w:r>
      <w:r w:rsidR="001F0F37" w:rsidRPr="001F6FAA">
        <w:rPr>
          <w:vertAlign w:val="superscript"/>
        </w:rPr>
        <w:t>2</w:t>
      </w:r>
      <w:r w:rsidR="001F0F37" w:rsidRPr="001F6FAA">
        <w:t>V</w:t>
      </w:r>
      <w:r w:rsidR="001F6FAA">
        <w:t>alid</w:t>
      </w:r>
      <w:r w:rsidR="001F0F37">
        <w:t xml:space="preserve"> if length </w:t>
      </w:r>
      <w:r w:rsidR="00EB6D34">
        <w:t>1 or greater</w:t>
      </w:r>
      <w:r w:rsidR="001F0F37">
        <w:t xml:space="preserve">. </w:t>
      </w:r>
      <w:r w:rsidR="001F0F37" w:rsidRPr="001F6FAA">
        <w:rPr>
          <w:vertAlign w:val="superscript"/>
        </w:rPr>
        <w:t>3</w:t>
      </w:r>
      <w:r w:rsidR="001F6FAA">
        <w:t>Valid</w:t>
      </w:r>
      <w:r w:rsidR="001F0F37">
        <w:t xml:space="preserve"> if date of birth is present e.g. DD/MM/YY or DD/MM/YYYY.</w:t>
      </w:r>
      <w:r w:rsidR="00816522">
        <w:t xml:space="preserve"> </w:t>
      </w:r>
      <w:r w:rsidR="00C675DA">
        <w:t xml:space="preserve">% </w:t>
      </w:r>
      <w:r w:rsidR="001F6FAA">
        <w:t>represents</w:t>
      </w:r>
      <w:r w:rsidR="00C675DA">
        <w:t xml:space="preserve"> </w:t>
      </w:r>
      <w:r w:rsidR="001437B0">
        <w:t>row</w:t>
      </w:r>
      <w:r w:rsidR="00C675DA">
        <w:t xml:space="preserve"> percentages</w:t>
      </w:r>
      <w:r w:rsidR="002C7905">
        <w:t xml:space="preserve">. </w:t>
      </w:r>
      <w:r w:rsidR="00816522">
        <w:t xml:space="preserve"> </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628"/>
        <w:gridCol w:w="1514"/>
        <w:gridCol w:w="1113"/>
        <w:gridCol w:w="1327"/>
        <w:gridCol w:w="1266"/>
        <w:gridCol w:w="1211"/>
        <w:gridCol w:w="1183"/>
      </w:tblGrid>
      <w:tr w:rsidR="00DD62EF" w:rsidRPr="003B2E5E" w14:paraId="5495A037" w14:textId="77777777" w:rsidTr="001437B0">
        <w:trPr>
          <w:jc w:val="center"/>
        </w:trPr>
        <w:tc>
          <w:tcPr>
            <w:tcW w:w="1628" w:type="dxa"/>
          </w:tcPr>
          <w:p w14:paraId="5654C421" w14:textId="77777777" w:rsidR="00DD62EF" w:rsidRPr="003B2E5E" w:rsidRDefault="00DD62EF" w:rsidP="00C017BE">
            <w:pPr>
              <w:spacing w:after="80" w:line="360" w:lineRule="auto"/>
              <w:jc w:val="both"/>
            </w:pPr>
          </w:p>
        </w:tc>
        <w:tc>
          <w:tcPr>
            <w:tcW w:w="1514" w:type="dxa"/>
          </w:tcPr>
          <w:p w14:paraId="0CF50D8B" w14:textId="77777777" w:rsidR="00DD62EF" w:rsidRPr="007B2435" w:rsidRDefault="00DD62EF" w:rsidP="00C017BE">
            <w:pPr>
              <w:pStyle w:val="NoSpacing"/>
              <w:jc w:val="center"/>
              <w:rPr>
                <w:b/>
              </w:rPr>
            </w:pPr>
            <w:r w:rsidRPr="007B2435">
              <w:rPr>
                <w:b/>
              </w:rPr>
              <w:t>NHS Number/CHI Number</w:t>
            </w:r>
            <w:r w:rsidRPr="007B2435">
              <w:rPr>
                <w:b/>
                <w:vertAlign w:val="superscript"/>
              </w:rPr>
              <w:t>1</w:t>
            </w:r>
          </w:p>
        </w:tc>
        <w:tc>
          <w:tcPr>
            <w:tcW w:w="1113" w:type="dxa"/>
          </w:tcPr>
          <w:p w14:paraId="30154206" w14:textId="77777777" w:rsidR="00DD62EF" w:rsidRPr="007B2435" w:rsidRDefault="00DD62EF" w:rsidP="00C017BE">
            <w:pPr>
              <w:pStyle w:val="NoSpacing"/>
              <w:jc w:val="center"/>
              <w:rPr>
                <w:b/>
              </w:rPr>
            </w:pPr>
            <w:r w:rsidRPr="007B2435">
              <w:rPr>
                <w:b/>
              </w:rPr>
              <w:t>Initial</w:t>
            </w:r>
          </w:p>
        </w:tc>
        <w:tc>
          <w:tcPr>
            <w:tcW w:w="1327" w:type="dxa"/>
          </w:tcPr>
          <w:p w14:paraId="3A92A052" w14:textId="77777777" w:rsidR="00DD62EF" w:rsidRPr="007B2435" w:rsidRDefault="00DD62EF" w:rsidP="00C017BE">
            <w:pPr>
              <w:pStyle w:val="NoSpacing"/>
              <w:jc w:val="center"/>
              <w:rPr>
                <w:b/>
              </w:rPr>
            </w:pPr>
            <w:r w:rsidRPr="007B2435">
              <w:rPr>
                <w:b/>
              </w:rPr>
              <w:t>Forename</w:t>
            </w:r>
            <w:r w:rsidRPr="007B2435">
              <w:rPr>
                <w:b/>
                <w:vertAlign w:val="superscript"/>
              </w:rPr>
              <w:t>2</w:t>
            </w:r>
          </w:p>
        </w:tc>
        <w:tc>
          <w:tcPr>
            <w:tcW w:w="1266" w:type="dxa"/>
          </w:tcPr>
          <w:p w14:paraId="261D2FD9" w14:textId="77777777" w:rsidR="00DD62EF" w:rsidRPr="007B2435" w:rsidRDefault="00DD62EF" w:rsidP="00C017BE">
            <w:pPr>
              <w:pStyle w:val="NoSpacing"/>
              <w:jc w:val="center"/>
              <w:rPr>
                <w:b/>
              </w:rPr>
            </w:pPr>
            <w:r w:rsidRPr="007B2435">
              <w:rPr>
                <w:b/>
              </w:rPr>
              <w:t>Surname</w:t>
            </w:r>
            <w:r w:rsidRPr="007B2435">
              <w:rPr>
                <w:b/>
                <w:vertAlign w:val="superscript"/>
              </w:rPr>
              <w:t>2</w:t>
            </w:r>
          </w:p>
        </w:tc>
        <w:tc>
          <w:tcPr>
            <w:tcW w:w="1211" w:type="dxa"/>
          </w:tcPr>
          <w:p w14:paraId="48C16B4D" w14:textId="77777777" w:rsidR="00DD62EF" w:rsidRPr="007B2435" w:rsidRDefault="00DD62EF" w:rsidP="00C017BE">
            <w:pPr>
              <w:pStyle w:val="NoSpacing"/>
              <w:jc w:val="center"/>
              <w:rPr>
                <w:b/>
              </w:rPr>
            </w:pPr>
            <w:r w:rsidRPr="007B2435">
              <w:rPr>
                <w:b/>
              </w:rPr>
              <w:t>Gender</w:t>
            </w:r>
          </w:p>
        </w:tc>
        <w:tc>
          <w:tcPr>
            <w:tcW w:w="1183" w:type="dxa"/>
          </w:tcPr>
          <w:p w14:paraId="3F3E5026" w14:textId="40B34376" w:rsidR="00DD62EF" w:rsidRPr="007B2435" w:rsidRDefault="00AE66DA" w:rsidP="00AE66DA">
            <w:pPr>
              <w:pStyle w:val="NoSpacing"/>
              <w:jc w:val="center"/>
              <w:rPr>
                <w:b/>
                <w:vertAlign w:val="superscript"/>
              </w:rPr>
            </w:pPr>
            <w:r>
              <w:rPr>
                <w:b/>
              </w:rPr>
              <w:t>Date of Birth</w:t>
            </w:r>
            <w:r w:rsidR="00DD62EF" w:rsidRPr="007B2435">
              <w:rPr>
                <w:b/>
                <w:vertAlign w:val="superscript"/>
              </w:rPr>
              <w:t>3</w:t>
            </w:r>
          </w:p>
        </w:tc>
      </w:tr>
      <w:tr w:rsidR="00DD62EF" w:rsidRPr="003B2E5E" w14:paraId="40F4A0DD" w14:textId="77777777" w:rsidTr="001437B0">
        <w:trPr>
          <w:jc w:val="center"/>
        </w:trPr>
        <w:tc>
          <w:tcPr>
            <w:tcW w:w="1628" w:type="dxa"/>
            <w:vAlign w:val="center"/>
          </w:tcPr>
          <w:p w14:paraId="0B3032BA" w14:textId="77777777" w:rsidR="00DD62EF" w:rsidRPr="00F14FBF" w:rsidRDefault="00DD62EF" w:rsidP="009B12EF">
            <w:pPr>
              <w:pStyle w:val="NoSpacing"/>
              <w:jc w:val="center"/>
              <w:rPr>
                <w:b/>
              </w:rPr>
            </w:pPr>
            <w:r w:rsidRPr="00F14FBF">
              <w:rPr>
                <w:b/>
              </w:rPr>
              <w:t>Variable Completeness</w:t>
            </w:r>
          </w:p>
        </w:tc>
        <w:tc>
          <w:tcPr>
            <w:tcW w:w="1514" w:type="dxa"/>
            <w:vAlign w:val="center"/>
          </w:tcPr>
          <w:p w14:paraId="5316CDC1" w14:textId="72C0F0AA" w:rsidR="00DD62EF" w:rsidRPr="003B2E5E" w:rsidRDefault="00432E2A" w:rsidP="009B12EF">
            <w:pPr>
              <w:pStyle w:val="NoSpacing"/>
              <w:jc w:val="center"/>
            </w:pPr>
            <w:r>
              <w:t>6,877 (79.95</w:t>
            </w:r>
            <w:r w:rsidR="00DD62EF" w:rsidRPr="003B2E5E">
              <w:t>%)</w:t>
            </w:r>
          </w:p>
        </w:tc>
        <w:tc>
          <w:tcPr>
            <w:tcW w:w="1113" w:type="dxa"/>
            <w:vAlign w:val="center"/>
          </w:tcPr>
          <w:p w14:paraId="2CE04A31" w14:textId="77777777" w:rsidR="00DD62EF" w:rsidRPr="003B2E5E" w:rsidRDefault="00DD62EF" w:rsidP="009B12EF">
            <w:pPr>
              <w:pStyle w:val="NoSpacing"/>
              <w:jc w:val="center"/>
            </w:pPr>
            <w:r w:rsidRPr="003B2E5E">
              <w:t>8,179 (95.08%)</w:t>
            </w:r>
          </w:p>
        </w:tc>
        <w:tc>
          <w:tcPr>
            <w:tcW w:w="1327" w:type="dxa"/>
            <w:vAlign w:val="center"/>
          </w:tcPr>
          <w:p w14:paraId="338B14EA" w14:textId="77777777" w:rsidR="00DD62EF" w:rsidRPr="003B2E5E" w:rsidRDefault="00DD62EF" w:rsidP="009B12EF">
            <w:pPr>
              <w:pStyle w:val="NoSpacing"/>
              <w:jc w:val="center"/>
            </w:pPr>
            <w:r w:rsidRPr="003B2E5E">
              <w:t>8,413 (97.8%)</w:t>
            </w:r>
          </w:p>
        </w:tc>
        <w:tc>
          <w:tcPr>
            <w:tcW w:w="1266" w:type="dxa"/>
            <w:vAlign w:val="center"/>
          </w:tcPr>
          <w:p w14:paraId="79AE2A0C" w14:textId="77777777" w:rsidR="00DD62EF" w:rsidRPr="003B2E5E" w:rsidRDefault="00DD62EF" w:rsidP="009B12EF">
            <w:pPr>
              <w:pStyle w:val="NoSpacing"/>
              <w:jc w:val="center"/>
            </w:pPr>
            <w:r w:rsidRPr="003B2E5E">
              <w:t>8602 (100%)</w:t>
            </w:r>
          </w:p>
        </w:tc>
        <w:tc>
          <w:tcPr>
            <w:tcW w:w="1211" w:type="dxa"/>
            <w:vAlign w:val="center"/>
          </w:tcPr>
          <w:p w14:paraId="299014C8" w14:textId="77777777" w:rsidR="00DD62EF" w:rsidRPr="003B2E5E" w:rsidRDefault="00DD62EF" w:rsidP="009B12EF">
            <w:pPr>
              <w:pStyle w:val="NoSpacing"/>
              <w:jc w:val="center"/>
            </w:pPr>
            <w:r w:rsidRPr="003B2E5E">
              <w:t>8,602 (100%)</w:t>
            </w:r>
          </w:p>
        </w:tc>
        <w:tc>
          <w:tcPr>
            <w:tcW w:w="1183" w:type="dxa"/>
            <w:vAlign w:val="center"/>
          </w:tcPr>
          <w:p w14:paraId="177A1141" w14:textId="4BA420D8" w:rsidR="00DD62EF" w:rsidRPr="003B2E5E" w:rsidRDefault="00DD62EF" w:rsidP="009B12EF">
            <w:pPr>
              <w:pStyle w:val="NoSpacing"/>
              <w:jc w:val="center"/>
            </w:pPr>
            <w:r w:rsidRPr="003B2E5E">
              <w:t>8597 (99.94</w:t>
            </w:r>
            <w:r w:rsidR="00D74550">
              <w:t>%</w:t>
            </w:r>
            <w:r w:rsidRPr="003B2E5E">
              <w:t>)</w:t>
            </w:r>
          </w:p>
        </w:tc>
      </w:tr>
      <w:tr w:rsidR="00DD62EF" w:rsidRPr="003B2E5E" w14:paraId="5FF8394C" w14:textId="77777777" w:rsidTr="001437B0">
        <w:trPr>
          <w:jc w:val="center"/>
        </w:trPr>
        <w:tc>
          <w:tcPr>
            <w:tcW w:w="1628" w:type="dxa"/>
            <w:vAlign w:val="center"/>
          </w:tcPr>
          <w:p w14:paraId="03CC053F" w14:textId="77777777" w:rsidR="00DD62EF" w:rsidRPr="00F14FBF" w:rsidRDefault="00DD62EF" w:rsidP="009B12EF">
            <w:pPr>
              <w:pStyle w:val="NoSpacing"/>
              <w:jc w:val="center"/>
              <w:rPr>
                <w:b/>
              </w:rPr>
            </w:pPr>
            <w:r w:rsidRPr="00F14FBF">
              <w:rPr>
                <w:b/>
              </w:rPr>
              <w:t>Missing Values</w:t>
            </w:r>
          </w:p>
        </w:tc>
        <w:tc>
          <w:tcPr>
            <w:tcW w:w="1514" w:type="dxa"/>
            <w:vAlign w:val="center"/>
          </w:tcPr>
          <w:p w14:paraId="44F1F5E3" w14:textId="3019AEE8" w:rsidR="00DD62EF" w:rsidRPr="003B2E5E" w:rsidRDefault="00432E2A" w:rsidP="009B12EF">
            <w:pPr>
              <w:pStyle w:val="NoSpacing"/>
              <w:jc w:val="center"/>
            </w:pPr>
            <w:r>
              <w:t>1,725 (20.05</w:t>
            </w:r>
            <w:r w:rsidR="00DD62EF" w:rsidRPr="003B2E5E">
              <w:t>%)</w:t>
            </w:r>
          </w:p>
        </w:tc>
        <w:tc>
          <w:tcPr>
            <w:tcW w:w="1113" w:type="dxa"/>
            <w:vAlign w:val="center"/>
          </w:tcPr>
          <w:p w14:paraId="1172E18E" w14:textId="77777777" w:rsidR="00DD62EF" w:rsidRPr="003B2E5E" w:rsidRDefault="00DD62EF" w:rsidP="009B12EF">
            <w:pPr>
              <w:pStyle w:val="NoSpacing"/>
              <w:jc w:val="center"/>
            </w:pPr>
            <w:r w:rsidRPr="003B2E5E">
              <w:t>423 (4.92%)</w:t>
            </w:r>
          </w:p>
        </w:tc>
        <w:tc>
          <w:tcPr>
            <w:tcW w:w="1327" w:type="dxa"/>
            <w:vAlign w:val="center"/>
          </w:tcPr>
          <w:p w14:paraId="7F43C120" w14:textId="77777777" w:rsidR="00DD62EF" w:rsidRPr="003B2E5E" w:rsidRDefault="00DD62EF" w:rsidP="009B12EF">
            <w:pPr>
              <w:pStyle w:val="NoSpacing"/>
              <w:jc w:val="center"/>
            </w:pPr>
            <w:r w:rsidRPr="003B2E5E">
              <w:t>189 (2.2%)</w:t>
            </w:r>
          </w:p>
        </w:tc>
        <w:tc>
          <w:tcPr>
            <w:tcW w:w="1266" w:type="dxa"/>
            <w:vAlign w:val="center"/>
          </w:tcPr>
          <w:p w14:paraId="6554DFD5" w14:textId="77777777" w:rsidR="00DD62EF" w:rsidRPr="003B2E5E" w:rsidRDefault="00DD62EF" w:rsidP="009B12EF">
            <w:pPr>
              <w:pStyle w:val="NoSpacing"/>
              <w:jc w:val="center"/>
            </w:pPr>
            <w:r w:rsidRPr="003B2E5E">
              <w:t>0</w:t>
            </w:r>
          </w:p>
        </w:tc>
        <w:tc>
          <w:tcPr>
            <w:tcW w:w="1211" w:type="dxa"/>
            <w:vAlign w:val="center"/>
          </w:tcPr>
          <w:p w14:paraId="041BEE49" w14:textId="77777777" w:rsidR="00DD62EF" w:rsidRPr="003B2E5E" w:rsidRDefault="00DD62EF" w:rsidP="009B12EF">
            <w:pPr>
              <w:pStyle w:val="NoSpacing"/>
              <w:jc w:val="center"/>
            </w:pPr>
            <w:r w:rsidRPr="003B2E5E">
              <w:t>0</w:t>
            </w:r>
          </w:p>
        </w:tc>
        <w:tc>
          <w:tcPr>
            <w:tcW w:w="1183" w:type="dxa"/>
            <w:vAlign w:val="center"/>
          </w:tcPr>
          <w:p w14:paraId="3E911C52" w14:textId="728CE8F0" w:rsidR="00DD62EF" w:rsidRPr="003B2E5E" w:rsidRDefault="00DD62EF" w:rsidP="009B12EF">
            <w:pPr>
              <w:pStyle w:val="NoSpacing"/>
              <w:jc w:val="center"/>
            </w:pPr>
            <w:r w:rsidRPr="003B2E5E">
              <w:t>5 (0.06</w:t>
            </w:r>
            <w:r w:rsidR="00D74550">
              <w:t>%</w:t>
            </w:r>
            <w:r w:rsidRPr="003B2E5E">
              <w:t>)</w:t>
            </w:r>
          </w:p>
        </w:tc>
      </w:tr>
    </w:tbl>
    <w:p w14:paraId="77446B55" w14:textId="77777777" w:rsidR="00DD62EF" w:rsidRDefault="00DD62EF" w:rsidP="002106E3">
      <w:pPr>
        <w:spacing w:after="80" w:line="360" w:lineRule="auto"/>
      </w:pPr>
    </w:p>
    <w:p w14:paraId="34920B2E" w14:textId="661FA139" w:rsidR="002170D3" w:rsidRPr="002106E3" w:rsidRDefault="00864164" w:rsidP="00027FD9">
      <w:pPr>
        <w:spacing w:after="80" w:line="360" w:lineRule="auto"/>
        <w:jc w:val="both"/>
      </w:pPr>
      <w:r>
        <w:t>The c</w:t>
      </w:r>
      <w:r w:rsidR="001F0F37">
        <w:t xml:space="preserve">ompleteness </w:t>
      </w:r>
      <w:r>
        <w:t>of demographic variables</w:t>
      </w:r>
      <w:r w:rsidR="004101A7">
        <w:t>, which may impact data extraction,</w:t>
      </w:r>
      <w:r>
        <w:t xml:space="preserve"> contained within the KCMHR </w:t>
      </w:r>
      <w:r w:rsidR="0008649F">
        <w:t xml:space="preserve">Armed Forces </w:t>
      </w:r>
      <w:r>
        <w:t xml:space="preserve">cohort </w:t>
      </w:r>
      <w:r w:rsidR="001F0F37">
        <w:t xml:space="preserve">is presented in </w:t>
      </w:r>
      <w:r w:rsidR="001F0F37">
        <w:fldChar w:fldCharType="begin"/>
      </w:r>
      <w:r w:rsidR="001F0F37">
        <w:instrText xml:space="preserve"> REF _Ref456859623 \h </w:instrText>
      </w:r>
      <w:r w:rsidR="001B739B">
        <w:instrText xml:space="preserve"> \* MERGEFORMAT </w:instrText>
      </w:r>
      <w:r w:rsidR="001F0F37">
        <w:fldChar w:fldCharType="separate"/>
      </w:r>
      <w:r w:rsidR="007F471B">
        <w:t xml:space="preserve">Table </w:t>
      </w:r>
      <w:r w:rsidR="007F471B">
        <w:rPr>
          <w:noProof/>
        </w:rPr>
        <w:t>3</w:t>
      </w:r>
      <w:r w:rsidR="001F0F37">
        <w:fldChar w:fldCharType="end"/>
      </w:r>
      <w:r w:rsidR="001F0F37">
        <w:t xml:space="preserve">. </w:t>
      </w:r>
      <w:r w:rsidR="002106E3" w:rsidRPr="002106E3">
        <w:t>The number of participants matched was 6</w:t>
      </w:r>
      <w:r w:rsidR="00FC6FA3">
        <w:t>,</w:t>
      </w:r>
      <w:r w:rsidR="00480BF9">
        <w:t>336 (74</w:t>
      </w:r>
      <w:r w:rsidR="002106E3" w:rsidRPr="002106E3">
        <w:t xml:space="preserve">%) </w:t>
      </w:r>
      <w:r>
        <w:t xml:space="preserve">as illustrated in </w:t>
      </w:r>
      <w:r w:rsidR="00DD62EF">
        <w:fldChar w:fldCharType="begin"/>
      </w:r>
      <w:r w:rsidR="00DD62EF">
        <w:instrText xml:space="preserve"> REF _Ref456859398 \h </w:instrText>
      </w:r>
      <w:r w:rsidR="001B739B">
        <w:instrText xml:space="preserve"> \* MERGEFORMAT </w:instrText>
      </w:r>
      <w:r w:rsidR="00DD62EF">
        <w:fldChar w:fldCharType="separate"/>
      </w:r>
      <w:r w:rsidR="007F471B">
        <w:t xml:space="preserve">Figure </w:t>
      </w:r>
      <w:r w:rsidR="007F471B">
        <w:rPr>
          <w:noProof/>
        </w:rPr>
        <w:t>2</w:t>
      </w:r>
      <w:r w:rsidR="00DD62EF">
        <w:fldChar w:fldCharType="end"/>
      </w:r>
      <w:r w:rsidR="002106E3" w:rsidRPr="002106E3">
        <w:t>. The proportion matched was greater in those with a NHS</w:t>
      </w:r>
      <w:r w:rsidR="00DD62EF">
        <w:t>/CH</w:t>
      </w:r>
      <w:r w:rsidR="00B756E1">
        <w:t>I</w:t>
      </w:r>
      <w:r w:rsidR="002106E3" w:rsidRPr="002106E3">
        <w:t xml:space="preserve"> number </w:t>
      </w:r>
      <w:r w:rsidR="00DD62EF">
        <w:t xml:space="preserve">compared to those without, </w:t>
      </w:r>
      <w:r w:rsidR="00B756E1">
        <w:t xml:space="preserve">with the latter </w:t>
      </w:r>
      <w:r w:rsidR="002106E3" w:rsidRPr="002106E3">
        <w:t>restricted to matching in Wales and Scotland.</w:t>
      </w:r>
      <w:r w:rsidR="00B756E1">
        <w:t xml:space="preserve"> This was due to </w:t>
      </w:r>
      <w:r w:rsidR="00FF5D1F">
        <w:t xml:space="preserve">the </w:t>
      </w:r>
      <w:r w:rsidR="007A1F1C">
        <w:t>NHS Digital</w:t>
      </w:r>
      <w:r w:rsidR="00394158">
        <w:t xml:space="preserve"> </w:t>
      </w:r>
      <w:r w:rsidR="00B756E1">
        <w:t>in England requiring a valid NHS number for matching</w:t>
      </w:r>
      <w:r w:rsidR="002F619F">
        <w:t xml:space="preserve"> (blocking variable)</w:t>
      </w:r>
      <w:r w:rsidR="00B756E1">
        <w:t xml:space="preserve">. </w:t>
      </w:r>
      <w:r w:rsidR="002106E3" w:rsidRPr="002106E3">
        <w:t xml:space="preserve"> Of individuals matched, 4</w:t>
      </w:r>
      <w:r w:rsidR="00FC6FA3">
        <w:t>,</w:t>
      </w:r>
      <w:r w:rsidR="002106E3" w:rsidRPr="002106E3">
        <w:t xml:space="preserve">460 were matched in England only (71%), 257 were matched in Wales only (4%), 826 in Scotland only (13%) and 793 were matched in more than one </w:t>
      </w:r>
      <w:r w:rsidR="008E5C1E">
        <w:t>nation</w:t>
      </w:r>
      <w:r w:rsidR="002106E3" w:rsidRPr="002106E3">
        <w:t xml:space="preserve"> (12%). </w:t>
      </w:r>
      <w:r w:rsidR="006A4193">
        <w:t>5</w:t>
      </w:r>
      <w:r w:rsidR="00FC6FA3">
        <w:t>,</w:t>
      </w:r>
      <w:r w:rsidR="006A4193">
        <w:t xml:space="preserve">460 participants had a hospital contact during the period of interest. </w:t>
      </w:r>
    </w:p>
    <w:p w14:paraId="56D6601C" w14:textId="5A5AEA03" w:rsidR="00721694" w:rsidRDefault="001F59CD" w:rsidP="00721694">
      <w:pPr>
        <w:keepNext/>
        <w:jc w:val="center"/>
      </w:pPr>
      <w:r>
        <w:rPr>
          <w:noProof/>
          <w:lang w:eastAsia="en-GB"/>
        </w:rPr>
        <w:drawing>
          <wp:inline distT="0" distB="0" distL="0" distR="0" wp14:anchorId="263E06DF" wp14:editId="52533CEF">
            <wp:extent cx="5276675" cy="4118994"/>
            <wp:effectExtent l="0" t="0" r="635" b="0"/>
            <wp:docPr id="2" name="Picture 2" descr="E:\Dropbox\Research\ResearchProjects\ESRC_KCL\dataset_linkage_journal\assets\matching_rate_admission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Research\ResearchProjects\ESRC_KCL\dataset_linkage_journal\assets\matching_rate_admissions_v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303" t="1" r="2253" b="1796"/>
                    <a:stretch/>
                  </pic:blipFill>
                  <pic:spPr bwMode="auto">
                    <a:xfrm>
                      <a:off x="0" y="0"/>
                      <a:ext cx="5276935" cy="4119197"/>
                    </a:xfrm>
                    <a:prstGeom prst="rect">
                      <a:avLst/>
                    </a:prstGeom>
                    <a:noFill/>
                    <a:ln>
                      <a:noFill/>
                    </a:ln>
                    <a:extLst>
                      <a:ext uri="{53640926-AAD7-44D8-BBD7-CCE9431645EC}">
                        <a14:shadowObscured xmlns:a14="http://schemas.microsoft.com/office/drawing/2010/main"/>
                      </a:ext>
                    </a:extLst>
                  </pic:spPr>
                </pic:pic>
              </a:graphicData>
            </a:graphic>
          </wp:inline>
        </w:drawing>
      </w:r>
    </w:p>
    <w:p w14:paraId="0A93748E" w14:textId="16F6006F" w:rsidR="00721694" w:rsidRDefault="00721694" w:rsidP="00EF1824">
      <w:pPr>
        <w:pStyle w:val="Caption"/>
      </w:pPr>
      <w:bookmarkStart w:id="4" w:name="_Ref456859398"/>
      <w:r>
        <w:t xml:space="preserve">Figure </w:t>
      </w:r>
      <w:fldSimple w:instr=" SEQ Figure \* ARABIC ">
        <w:r>
          <w:rPr>
            <w:noProof/>
          </w:rPr>
          <w:t>2</w:t>
        </w:r>
      </w:fldSimple>
      <w:bookmarkEnd w:id="4"/>
      <w:r>
        <w:t xml:space="preserve">: </w:t>
      </w:r>
      <w:r w:rsidRPr="006255F3">
        <w:t xml:space="preserve">Data </w:t>
      </w:r>
      <w:r w:rsidR="00C2768F">
        <w:t>extraction</w:t>
      </w:r>
      <w:r w:rsidRPr="006255F3">
        <w:t>, number of participants matched and the total number of EHR for each data source divided by those with and without an NHS/CHI number.</w:t>
      </w:r>
      <w:r w:rsidR="004576C3">
        <w:t xml:space="preserve"> </w:t>
      </w:r>
      <w:r w:rsidR="00725835">
        <w:t xml:space="preserve">Note: </w:t>
      </w:r>
      <w:r w:rsidR="004576C3">
        <w:t xml:space="preserve">A participant can appear in multiple nation data </w:t>
      </w:r>
      <w:r w:rsidR="00107E21">
        <w:t>providers</w:t>
      </w:r>
      <w:r w:rsidR="004576C3">
        <w:t xml:space="preserve">. </w:t>
      </w:r>
      <w:r w:rsidR="00955183">
        <w:t xml:space="preserve">Percentage figures are cascading, where the percentage is out of the preceding </w:t>
      </w:r>
      <w:r w:rsidR="009912EC">
        <w:t>value</w:t>
      </w:r>
      <w:r w:rsidR="00955183">
        <w:t xml:space="preserve">.  </w:t>
      </w:r>
    </w:p>
    <w:p w14:paraId="109B06F3" w14:textId="77777777" w:rsidR="00244B9F" w:rsidRDefault="0093523A" w:rsidP="00244B9F">
      <w:pPr>
        <w:spacing w:after="80" w:line="360" w:lineRule="auto"/>
        <w:jc w:val="both"/>
        <w:outlineLvl w:val="0"/>
        <w:rPr>
          <w:b/>
        </w:rPr>
      </w:pPr>
      <w:r w:rsidRPr="00421AB2">
        <w:rPr>
          <w:b/>
        </w:rPr>
        <w:t>Overview of H</w:t>
      </w:r>
      <w:r w:rsidR="003F51C9" w:rsidRPr="00421AB2">
        <w:rPr>
          <w:b/>
        </w:rPr>
        <w:t xml:space="preserve">ealthcare </w:t>
      </w:r>
      <w:r w:rsidRPr="00421AB2">
        <w:rPr>
          <w:b/>
        </w:rPr>
        <w:t>U</w:t>
      </w:r>
      <w:r w:rsidR="008352D9" w:rsidRPr="00421AB2">
        <w:rPr>
          <w:b/>
        </w:rPr>
        <w:t>tilisation</w:t>
      </w:r>
    </w:p>
    <w:p w14:paraId="61DD22ED" w14:textId="4872EDDB" w:rsidR="002B24A5" w:rsidRPr="00244B9F" w:rsidRDefault="00315E2D" w:rsidP="000632B6">
      <w:pPr>
        <w:spacing w:after="80" w:line="360" w:lineRule="auto"/>
        <w:jc w:val="both"/>
        <w:outlineLvl w:val="0"/>
        <w:rPr>
          <w:b/>
        </w:rPr>
      </w:pPr>
      <w:r>
        <w:t xml:space="preserve">The highest proportion of hospital visits recorded </w:t>
      </w:r>
      <w:r w:rsidR="001F5CBF">
        <w:t>for</w:t>
      </w:r>
      <w:r>
        <w:t xml:space="preserve"> England </w:t>
      </w:r>
      <w:r w:rsidR="004B552D">
        <w:t>was</w:t>
      </w:r>
      <w:r>
        <w:t xml:space="preserve"> 5</w:t>
      </w:r>
      <w:r w:rsidR="00AE66DA">
        <w:t>,</w:t>
      </w:r>
      <w:r>
        <w:t xml:space="preserve">221 participants </w:t>
      </w:r>
      <w:r w:rsidR="00861CF9">
        <w:t>compared to</w:t>
      </w:r>
      <w:r w:rsidR="00EE670C">
        <w:t xml:space="preserve"> Scotland</w:t>
      </w:r>
      <w:r w:rsidR="004C0B6F">
        <w:t xml:space="preserve"> with 1</w:t>
      </w:r>
      <w:r w:rsidR="00AE66DA">
        <w:t>,</w:t>
      </w:r>
      <w:r w:rsidR="004C0B6F">
        <w:t>233 participants</w:t>
      </w:r>
      <w:r w:rsidR="00EE670C">
        <w:t xml:space="preserve"> or Wales</w:t>
      </w:r>
      <w:r w:rsidR="00C73BCA">
        <w:t xml:space="preserve"> </w:t>
      </w:r>
      <w:r w:rsidR="00837D5E">
        <w:t>with</w:t>
      </w:r>
      <w:r w:rsidR="00C73BCA">
        <w:t xml:space="preserve"> </w:t>
      </w:r>
      <w:r w:rsidR="004C0B6F">
        <w:t>699</w:t>
      </w:r>
      <w:r w:rsidR="00A7111F">
        <w:t xml:space="preserve"> participants</w:t>
      </w:r>
      <w:r w:rsidR="00244B9F">
        <w:t xml:space="preserve"> (</w:t>
      </w:r>
      <w:r w:rsidR="00244B9F">
        <w:fldChar w:fldCharType="begin"/>
      </w:r>
      <w:r w:rsidR="00244B9F">
        <w:instrText xml:space="preserve"> REF _Ref456859398 \h </w:instrText>
      </w:r>
      <w:r w:rsidR="00244B9F">
        <w:fldChar w:fldCharType="separate"/>
      </w:r>
      <w:r w:rsidR="00244B9F">
        <w:t xml:space="preserve">Figure </w:t>
      </w:r>
      <w:r w:rsidR="00244B9F">
        <w:rPr>
          <w:noProof/>
        </w:rPr>
        <w:t>2</w:t>
      </w:r>
      <w:r w:rsidR="00244B9F">
        <w:fldChar w:fldCharType="end"/>
      </w:r>
      <w:r w:rsidR="00244B9F">
        <w:t>)</w:t>
      </w:r>
      <w:r w:rsidR="00EE670C">
        <w:t>.</w:t>
      </w:r>
      <w:r w:rsidR="00A15E5C">
        <w:t xml:space="preserve"> The overall number of hospital episodes for each nation and department is presented in </w:t>
      </w:r>
      <w:r w:rsidR="00A15E5C">
        <w:fldChar w:fldCharType="begin"/>
      </w:r>
      <w:r w:rsidR="00A15E5C">
        <w:instrText xml:space="preserve"> REF _Ref456860688 \h </w:instrText>
      </w:r>
      <w:r w:rsidR="00A15E5C">
        <w:fldChar w:fldCharType="separate"/>
      </w:r>
      <w:r w:rsidR="000632B6">
        <w:t xml:space="preserve">Table </w:t>
      </w:r>
      <w:r w:rsidR="000632B6">
        <w:rPr>
          <w:noProof/>
        </w:rPr>
        <w:t>4</w:t>
      </w:r>
      <w:r w:rsidR="00A15E5C">
        <w:fldChar w:fldCharType="end"/>
      </w:r>
      <w:r w:rsidR="00A15E5C">
        <w:t>.</w:t>
      </w:r>
      <w:r w:rsidR="00EE670C">
        <w:t xml:space="preserve"> </w:t>
      </w:r>
      <w:r w:rsidR="00515020">
        <w:t xml:space="preserve">In summary, </w:t>
      </w:r>
      <w:r w:rsidR="00FF453F">
        <w:t>A</w:t>
      </w:r>
      <w:r w:rsidR="004E627E">
        <w:t>&amp;</w:t>
      </w:r>
      <w:r w:rsidR="00FF453F">
        <w:t xml:space="preserve">E had </w:t>
      </w:r>
      <w:r w:rsidR="00A15E5C">
        <w:t xml:space="preserve">a </w:t>
      </w:r>
      <w:r w:rsidR="00C9005F">
        <w:t>median of 2</w:t>
      </w:r>
      <w:r w:rsidR="00851FDC">
        <w:t xml:space="preserve"> </w:t>
      </w:r>
      <w:r w:rsidR="00041572">
        <w:t>(</w:t>
      </w:r>
      <w:r w:rsidR="009D26B6">
        <w:t>interquartile range [</w:t>
      </w:r>
      <w:r w:rsidR="00FF453F">
        <w:t>IQR</w:t>
      </w:r>
      <w:r w:rsidR="009D26B6">
        <w:t>]</w:t>
      </w:r>
      <w:r w:rsidR="00FF453F">
        <w:t xml:space="preserve"> 2</w:t>
      </w:r>
      <w:r w:rsidR="002B24A5">
        <w:t>)</w:t>
      </w:r>
      <w:r w:rsidR="00851FDC">
        <w:t xml:space="preserve"> </w:t>
      </w:r>
      <w:r w:rsidR="003E2DD0">
        <w:t>admissions</w:t>
      </w:r>
      <w:r w:rsidR="00851FDC">
        <w:t xml:space="preserve"> </w:t>
      </w:r>
      <w:r w:rsidR="00A24FEC">
        <w:t>per participant</w:t>
      </w:r>
      <w:r w:rsidR="00915982">
        <w:t>, APC</w:t>
      </w:r>
      <w:r w:rsidR="002B24A5">
        <w:t xml:space="preserve"> had </w:t>
      </w:r>
      <w:r w:rsidR="00A15E5C">
        <w:t xml:space="preserve">a </w:t>
      </w:r>
      <w:r w:rsidR="00C9005F">
        <w:t>median of 2 (</w:t>
      </w:r>
      <w:r w:rsidR="00041572">
        <w:t xml:space="preserve">IQR: </w:t>
      </w:r>
      <w:r w:rsidR="00915982">
        <w:t>2</w:t>
      </w:r>
      <w:r w:rsidR="002B24A5">
        <w:t>)</w:t>
      </w:r>
      <w:r w:rsidR="00851FDC">
        <w:t xml:space="preserve"> episodes per participant</w:t>
      </w:r>
      <w:r w:rsidR="002B24A5">
        <w:t xml:space="preserve"> </w:t>
      </w:r>
      <w:r w:rsidR="00915982">
        <w:t xml:space="preserve">and Outpatient had </w:t>
      </w:r>
      <w:r w:rsidR="00A15E5C">
        <w:t xml:space="preserve">a </w:t>
      </w:r>
      <w:r w:rsidR="00C3729B">
        <w:t>median of 5 (IQR: 8</w:t>
      </w:r>
      <w:r w:rsidR="00915982">
        <w:t xml:space="preserve">) </w:t>
      </w:r>
      <w:r w:rsidR="003E2DD0">
        <w:t>appointments</w:t>
      </w:r>
      <w:r w:rsidR="00915982">
        <w:t xml:space="preserve"> per participant.</w:t>
      </w:r>
    </w:p>
    <w:p w14:paraId="0B47429C" w14:textId="3ECEE3D9" w:rsidR="00C16F94" w:rsidRDefault="00C16F94" w:rsidP="00A23430">
      <w:pPr>
        <w:pStyle w:val="Caption"/>
        <w:keepNext/>
        <w:outlineLvl w:val="0"/>
      </w:pPr>
      <w:bookmarkStart w:id="5" w:name="_Ref456860688"/>
      <w:r>
        <w:t xml:space="preserve">Table </w:t>
      </w:r>
      <w:fldSimple w:instr=" SEQ Table \* ARABIC ">
        <w:r w:rsidR="000632B6">
          <w:rPr>
            <w:noProof/>
          </w:rPr>
          <w:t>4</w:t>
        </w:r>
      </w:fldSimple>
      <w:bookmarkEnd w:id="5"/>
      <w:r>
        <w:t>: R</w:t>
      </w:r>
      <w:r w:rsidRPr="00811103">
        <w:t xml:space="preserve">epresents the number of </w:t>
      </w:r>
      <w:r w:rsidR="00EE670C">
        <w:t>episodes</w:t>
      </w:r>
      <w:r w:rsidRPr="00811103">
        <w:t xml:space="preserve"> and participant numbers for each department and </w:t>
      </w:r>
      <w:r w:rsidR="008E5C1E">
        <w:t>nation</w:t>
      </w:r>
      <w:r w:rsidRPr="00811103">
        <w:t>.</w:t>
      </w:r>
      <w:r w:rsidR="00837D5E">
        <w:t xml:space="preserve"> </w:t>
      </w:r>
      <w:r w:rsidR="00845254">
        <w:t xml:space="preserve">Percent values represent the percentage of the matched sample (n=6,336). </w:t>
      </w:r>
    </w:p>
    <w:tbl>
      <w:tblPr>
        <w:tblStyle w:val="LightShading"/>
        <w:tblW w:w="9214" w:type="dxa"/>
        <w:tblLook w:val="04A0" w:firstRow="1" w:lastRow="0" w:firstColumn="1" w:lastColumn="0" w:noHBand="0" w:noVBand="1"/>
      </w:tblPr>
      <w:tblGrid>
        <w:gridCol w:w="1955"/>
        <w:gridCol w:w="1687"/>
        <w:gridCol w:w="1629"/>
        <w:gridCol w:w="2100"/>
        <w:gridCol w:w="1843"/>
      </w:tblGrid>
      <w:tr w:rsidR="00D070A9" w14:paraId="5F61290B" w14:textId="77777777" w:rsidTr="00D0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2" w:type="dxa"/>
            <w:gridSpan w:val="2"/>
            <w:tcBorders>
              <w:bottom w:val="single" w:sz="4" w:space="0" w:color="auto"/>
            </w:tcBorders>
          </w:tcPr>
          <w:p w14:paraId="5A99DA5D" w14:textId="77777777" w:rsidR="00EE189A" w:rsidRPr="0006446C" w:rsidRDefault="00EE189A" w:rsidP="00C017BE">
            <w:pPr>
              <w:jc w:val="center"/>
              <w:rPr>
                <w:b w:val="0"/>
              </w:rPr>
            </w:pPr>
            <w:r>
              <w:t>Department</w:t>
            </w:r>
            <w:r w:rsidRPr="0006446C">
              <w:t xml:space="preserve"> </w:t>
            </w:r>
          </w:p>
        </w:tc>
        <w:tc>
          <w:tcPr>
            <w:tcW w:w="1629" w:type="dxa"/>
            <w:tcBorders>
              <w:bottom w:val="single" w:sz="4" w:space="0" w:color="auto"/>
            </w:tcBorders>
          </w:tcPr>
          <w:p w14:paraId="5B5B1480" w14:textId="460CB978" w:rsidR="00EE189A" w:rsidRPr="0006446C" w:rsidRDefault="005A0CAA" w:rsidP="00D070A9">
            <w:pPr>
              <w:jc w:val="center"/>
              <w:cnfStyle w:val="100000000000" w:firstRow="1" w:lastRow="0" w:firstColumn="0" w:lastColumn="0" w:oddVBand="0" w:evenVBand="0" w:oddHBand="0" w:evenHBand="0" w:firstRowFirstColumn="0" w:firstRowLastColumn="0" w:lastRowFirstColumn="0" w:lastRowLastColumn="0"/>
              <w:rPr>
                <w:b w:val="0"/>
              </w:rPr>
            </w:pPr>
            <w:r>
              <w:t>NHS Digital</w:t>
            </w:r>
          </w:p>
        </w:tc>
        <w:tc>
          <w:tcPr>
            <w:tcW w:w="2100" w:type="dxa"/>
            <w:tcBorders>
              <w:bottom w:val="single" w:sz="4" w:space="0" w:color="auto"/>
            </w:tcBorders>
          </w:tcPr>
          <w:p w14:paraId="502E4FDC" w14:textId="6FD1A544" w:rsidR="00EE189A" w:rsidRPr="0006446C" w:rsidRDefault="00D070A9" w:rsidP="00C017BE">
            <w:pPr>
              <w:jc w:val="center"/>
              <w:cnfStyle w:val="100000000000" w:firstRow="1" w:lastRow="0" w:firstColumn="0" w:lastColumn="0" w:oddVBand="0" w:evenVBand="0" w:oddHBand="0" w:evenHBand="0" w:firstRowFirstColumn="0" w:firstRowLastColumn="0" w:lastRowFirstColumn="0" w:lastRowLastColumn="0"/>
              <w:rPr>
                <w:b w:val="0"/>
              </w:rPr>
            </w:pPr>
            <w:r>
              <w:t>Secure Anonymised Information Linkage</w:t>
            </w:r>
          </w:p>
        </w:tc>
        <w:tc>
          <w:tcPr>
            <w:tcW w:w="1843" w:type="dxa"/>
            <w:tcBorders>
              <w:bottom w:val="single" w:sz="4" w:space="0" w:color="auto"/>
            </w:tcBorders>
          </w:tcPr>
          <w:p w14:paraId="1BBA9134" w14:textId="0EC34EA7" w:rsidR="00EE189A" w:rsidRPr="0006446C" w:rsidRDefault="00D070A9" w:rsidP="00C017BE">
            <w:pPr>
              <w:jc w:val="center"/>
              <w:cnfStyle w:val="100000000000" w:firstRow="1" w:lastRow="0" w:firstColumn="0" w:lastColumn="0" w:oddVBand="0" w:evenVBand="0" w:oddHBand="0" w:evenHBand="0" w:firstRowFirstColumn="0" w:firstRowLastColumn="0" w:lastRowFirstColumn="0" w:lastRowLastColumn="0"/>
              <w:rPr>
                <w:b w:val="0"/>
              </w:rPr>
            </w:pPr>
            <w:r>
              <w:t>Information Services Division</w:t>
            </w:r>
          </w:p>
        </w:tc>
      </w:tr>
      <w:tr w:rsidR="00D070A9" w14:paraId="77DF5FA2" w14:textId="77777777" w:rsidTr="00D070A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55" w:type="dxa"/>
            <w:vMerge w:val="restart"/>
            <w:tcBorders>
              <w:top w:val="single" w:sz="4" w:space="0" w:color="auto"/>
              <w:bottom w:val="nil"/>
            </w:tcBorders>
            <w:shd w:val="clear" w:color="auto" w:fill="FFFFFF" w:themeFill="background1"/>
            <w:vAlign w:val="center"/>
          </w:tcPr>
          <w:p w14:paraId="2D706AD5" w14:textId="2B1606F5" w:rsidR="00EE189A" w:rsidRPr="00715523" w:rsidRDefault="00774FF4" w:rsidP="009B12EF">
            <w:pPr>
              <w:jc w:val="center"/>
            </w:pPr>
            <w:r>
              <w:t>Accident and Emergency</w:t>
            </w:r>
          </w:p>
        </w:tc>
        <w:tc>
          <w:tcPr>
            <w:tcW w:w="1687" w:type="dxa"/>
            <w:tcBorders>
              <w:top w:val="single" w:sz="4" w:space="0" w:color="auto"/>
              <w:bottom w:val="nil"/>
            </w:tcBorders>
            <w:shd w:val="clear" w:color="auto" w:fill="FFFFFF" w:themeFill="background1"/>
            <w:vAlign w:val="center"/>
          </w:tcPr>
          <w:p w14:paraId="4CBF2D11" w14:textId="4F9C7376" w:rsidR="00EE189A" w:rsidRPr="00715523" w:rsidRDefault="00D4220B" w:rsidP="009B12EF">
            <w:pPr>
              <w:jc w:val="center"/>
              <w:cnfStyle w:val="000000100000" w:firstRow="0" w:lastRow="0" w:firstColumn="0" w:lastColumn="0" w:oddVBand="0" w:evenVBand="0" w:oddHBand="1" w:evenHBand="0" w:firstRowFirstColumn="0" w:firstRowLastColumn="0" w:lastRowFirstColumn="0" w:lastRowLastColumn="0"/>
              <w:rPr>
                <w:b/>
              </w:rPr>
            </w:pPr>
            <w:r>
              <w:rPr>
                <w:b/>
              </w:rPr>
              <w:t>Episodes</w:t>
            </w:r>
          </w:p>
        </w:tc>
        <w:tc>
          <w:tcPr>
            <w:tcW w:w="1629" w:type="dxa"/>
            <w:tcBorders>
              <w:top w:val="single" w:sz="4" w:space="0" w:color="auto"/>
              <w:bottom w:val="nil"/>
            </w:tcBorders>
            <w:shd w:val="clear" w:color="auto" w:fill="FFFFFF" w:themeFill="background1"/>
            <w:vAlign w:val="center"/>
          </w:tcPr>
          <w:p w14:paraId="5D30CE26" w14:textId="77777777" w:rsidR="00EE189A" w:rsidRPr="004B55D1" w:rsidRDefault="00EE189A" w:rsidP="009B12EF">
            <w:pPr>
              <w:jc w:val="center"/>
              <w:cnfStyle w:val="000000100000" w:firstRow="0" w:lastRow="0" w:firstColumn="0" w:lastColumn="0" w:oddVBand="0" w:evenVBand="0" w:oddHBand="1" w:evenHBand="0" w:firstRowFirstColumn="0" w:firstRowLastColumn="0" w:lastRowFirstColumn="0" w:lastRowLastColumn="0"/>
            </w:pPr>
            <w:r>
              <w:t>6,775</w:t>
            </w:r>
          </w:p>
        </w:tc>
        <w:tc>
          <w:tcPr>
            <w:tcW w:w="2100" w:type="dxa"/>
            <w:tcBorders>
              <w:top w:val="single" w:sz="4" w:space="0" w:color="auto"/>
              <w:bottom w:val="nil"/>
            </w:tcBorders>
            <w:shd w:val="clear" w:color="auto" w:fill="FFFFFF" w:themeFill="background1"/>
            <w:vAlign w:val="center"/>
          </w:tcPr>
          <w:p w14:paraId="34617401" w14:textId="77777777" w:rsidR="00EE189A" w:rsidRPr="004B55D1" w:rsidRDefault="00EE189A" w:rsidP="009B12EF">
            <w:pPr>
              <w:jc w:val="center"/>
              <w:cnfStyle w:val="000000100000" w:firstRow="0" w:lastRow="0" w:firstColumn="0" w:lastColumn="0" w:oddVBand="0" w:evenVBand="0" w:oddHBand="1" w:evenHBand="0" w:firstRowFirstColumn="0" w:firstRowLastColumn="0" w:lastRowFirstColumn="0" w:lastRowLastColumn="0"/>
            </w:pPr>
            <w:r>
              <w:t>392</w:t>
            </w:r>
          </w:p>
        </w:tc>
        <w:tc>
          <w:tcPr>
            <w:tcW w:w="1843" w:type="dxa"/>
            <w:tcBorders>
              <w:top w:val="single" w:sz="4" w:space="0" w:color="auto"/>
              <w:bottom w:val="nil"/>
            </w:tcBorders>
            <w:shd w:val="clear" w:color="auto" w:fill="FFFFFF" w:themeFill="background1"/>
            <w:vAlign w:val="center"/>
          </w:tcPr>
          <w:p w14:paraId="19AC08EE" w14:textId="77777777" w:rsidR="00EE189A" w:rsidRPr="004B55D1" w:rsidRDefault="00EE189A" w:rsidP="009B12EF">
            <w:pPr>
              <w:jc w:val="center"/>
              <w:cnfStyle w:val="000000100000" w:firstRow="0" w:lastRow="0" w:firstColumn="0" w:lastColumn="0" w:oddVBand="0" w:evenVBand="0" w:oddHBand="1" w:evenHBand="0" w:firstRowFirstColumn="0" w:firstRowLastColumn="0" w:lastRowFirstColumn="0" w:lastRowLastColumn="0"/>
            </w:pPr>
            <w:r>
              <w:t>343</w:t>
            </w:r>
          </w:p>
        </w:tc>
      </w:tr>
      <w:tr w:rsidR="00D070A9" w14:paraId="4E9508E7" w14:textId="77777777" w:rsidTr="00D070A9">
        <w:trPr>
          <w:trHeight w:val="311"/>
        </w:trPr>
        <w:tc>
          <w:tcPr>
            <w:cnfStyle w:val="001000000000" w:firstRow="0" w:lastRow="0" w:firstColumn="1" w:lastColumn="0" w:oddVBand="0" w:evenVBand="0" w:oddHBand="0" w:evenHBand="0" w:firstRowFirstColumn="0" w:firstRowLastColumn="0" w:lastRowFirstColumn="0" w:lastRowLastColumn="0"/>
            <w:tcW w:w="1955" w:type="dxa"/>
            <w:vMerge/>
            <w:tcBorders>
              <w:top w:val="nil"/>
              <w:bottom w:val="single" w:sz="4" w:space="0" w:color="auto"/>
            </w:tcBorders>
            <w:shd w:val="clear" w:color="auto" w:fill="FFFFFF" w:themeFill="background1"/>
            <w:vAlign w:val="center"/>
          </w:tcPr>
          <w:p w14:paraId="4F64CD80" w14:textId="77777777" w:rsidR="00EE189A" w:rsidRPr="00715523" w:rsidRDefault="00EE189A" w:rsidP="009B12EF">
            <w:pPr>
              <w:jc w:val="center"/>
            </w:pPr>
          </w:p>
        </w:tc>
        <w:tc>
          <w:tcPr>
            <w:tcW w:w="1687" w:type="dxa"/>
            <w:tcBorders>
              <w:top w:val="nil"/>
              <w:bottom w:val="single" w:sz="4" w:space="0" w:color="auto"/>
            </w:tcBorders>
            <w:shd w:val="clear" w:color="auto" w:fill="FFFFFF" w:themeFill="background1"/>
            <w:vAlign w:val="center"/>
          </w:tcPr>
          <w:p w14:paraId="692C86E2" w14:textId="62FC5B50" w:rsidR="00EE189A" w:rsidRPr="00715523" w:rsidRDefault="00EE189A" w:rsidP="009B12EF">
            <w:pPr>
              <w:jc w:val="center"/>
              <w:cnfStyle w:val="000000000000" w:firstRow="0" w:lastRow="0" w:firstColumn="0" w:lastColumn="0" w:oddVBand="0" w:evenVBand="0" w:oddHBand="0" w:evenHBand="0" w:firstRowFirstColumn="0" w:firstRowLastColumn="0" w:lastRowFirstColumn="0" w:lastRowLastColumn="0"/>
              <w:rPr>
                <w:b/>
              </w:rPr>
            </w:pPr>
            <w:r w:rsidRPr="00715523">
              <w:rPr>
                <w:b/>
              </w:rPr>
              <w:t>Participant</w:t>
            </w:r>
          </w:p>
        </w:tc>
        <w:tc>
          <w:tcPr>
            <w:tcW w:w="1629" w:type="dxa"/>
            <w:tcBorders>
              <w:top w:val="nil"/>
              <w:bottom w:val="single" w:sz="4" w:space="0" w:color="auto"/>
            </w:tcBorders>
            <w:shd w:val="clear" w:color="auto" w:fill="FFFFFF" w:themeFill="background1"/>
            <w:vAlign w:val="center"/>
          </w:tcPr>
          <w:p w14:paraId="6C3F6EB4" w14:textId="171AE0C1" w:rsidR="00EE189A" w:rsidRPr="004B55D1" w:rsidRDefault="00EE189A" w:rsidP="009B12EF">
            <w:pPr>
              <w:jc w:val="center"/>
              <w:cnfStyle w:val="000000000000" w:firstRow="0" w:lastRow="0" w:firstColumn="0" w:lastColumn="0" w:oddVBand="0" w:evenVBand="0" w:oddHBand="0" w:evenHBand="0" w:firstRowFirstColumn="0" w:firstRowLastColumn="0" w:lastRowFirstColumn="0" w:lastRowLastColumn="0"/>
            </w:pPr>
            <w:r>
              <w:t>2,873</w:t>
            </w:r>
            <w:r w:rsidR="003B0331">
              <w:t xml:space="preserve"> (45.44</w:t>
            </w:r>
            <w:r w:rsidR="006D0DEB">
              <w:t>%)</w:t>
            </w:r>
          </w:p>
        </w:tc>
        <w:tc>
          <w:tcPr>
            <w:tcW w:w="2100" w:type="dxa"/>
            <w:tcBorders>
              <w:top w:val="nil"/>
              <w:bottom w:val="single" w:sz="4" w:space="0" w:color="auto"/>
            </w:tcBorders>
            <w:shd w:val="clear" w:color="auto" w:fill="FFFFFF" w:themeFill="background1"/>
            <w:vAlign w:val="center"/>
          </w:tcPr>
          <w:p w14:paraId="5886F117" w14:textId="3116542E" w:rsidR="00EE189A" w:rsidRPr="004B55D1" w:rsidRDefault="00C33BC0" w:rsidP="009B12EF">
            <w:pPr>
              <w:jc w:val="center"/>
              <w:cnfStyle w:val="000000000000" w:firstRow="0" w:lastRow="0" w:firstColumn="0" w:lastColumn="0" w:oddVBand="0" w:evenVBand="0" w:oddHBand="0" w:evenHBand="0" w:firstRowFirstColumn="0" w:firstRowLastColumn="0" w:lastRowFirstColumn="0" w:lastRowLastColumn="0"/>
            </w:pPr>
            <w:r>
              <w:t>163 (2</w:t>
            </w:r>
            <w:r w:rsidR="00D94771">
              <w:t>.77</w:t>
            </w:r>
            <w:r w:rsidR="00E22113">
              <w:t>%)</w:t>
            </w:r>
          </w:p>
        </w:tc>
        <w:tc>
          <w:tcPr>
            <w:tcW w:w="1843" w:type="dxa"/>
            <w:tcBorders>
              <w:top w:val="nil"/>
              <w:bottom w:val="single" w:sz="4" w:space="0" w:color="auto"/>
            </w:tcBorders>
            <w:shd w:val="clear" w:color="auto" w:fill="FFFFFF" w:themeFill="background1"/>
            <w:vAlign w:val="center"/>
          </w:tcPr>
          <w:p w14:paraId="4BDBE961" w14:textId="12079F9E" w:rsidR="00EE189A" w:rsidRPr="004B55D1" w:rsidRDefault="00EE189A" w:rsidP="009B12EF">
            <w:pPr>
              <w:jc w:val="center"/>
              <w:cnfStyle w:val="000000000000" w:firstRow="0" w:lastRow="0" w:firstColumn="0" w:lastColumn="0" w:oddVBand="0" w:evenVBand="0" w:oddHBand="0" w:evenHBand="0" w:firstRowFirstColumn="0" w:firstRowLastColumn="0" w:lastRowFirstColumn="0" w:lastRowLastColumn="0"/>
            </w:pPr>
            <w:r>
              <w:t>206</w:t>
            </w:r>
            <w:r w:rsidR="00D94771">
              <w:t xml:space="preserve"> (3.25</w:t>
            </w:r>
            <w:r w:rsidR="00CE4F1F">
              <w:t>%)</w:t>
            </w:r>
          </w:p>
        </w:tc>
      </w:tr>
      <w:tr w:rsidR="00D070A9" w14:paraId="5B3953F9" w14:textId="77777777" w:rsidTr="00D070A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55" w:type="dxa"/>
            <w:vMerge w:val="restart"/>
            <w:tcBorders>
              <w:top w:val="single" w:sz="4" w:space="0" w:color="auto"/>
              <w:bottom w:val="nil"/>
            </w:tcBorders>
            <w:shd w:val="clear" w:color="auto" w:fill="FFFFFF" w:themeFill="background1"/>
            <w:vAlign w:val="center"/>
          </w:tcPr>
          <w:p w14:paraId="46835784" w14:textId="6769E019" w:rsidR="00EE189A" w:rsidRPr="00715523" w:rsidRDefault="00774FF4" w:rsidP="009B12EF">
            <w:pPr>
              <w:jc w:val="center"/>
            </w:pPr>
            <w:r>
              <w:t>Admitted Patient Care</w:t>
            </w:r>
          </w:p>
        </w:tc>
        <w:tc>
          <w:tcPr>
            <w:tcW w:w="1687" w:type="dxa"/>
            <w:tcBorders>
              <w:top w:val="single" w:sz="4" w:space="0" w:color="auto"/>
              <w:bottom w:val="nil"/>
            </w:tcBorders>
            <w:shd w:val="clear" w:color="auto" w:fill="FFFFFF" w:themeFill="background1"/>
            <w:vAlign w:val="center"/>
          </w:tcPr>
          <w:p w14:paraId="37C13560" w14:textId="523B39A6" w:rsidR="00EE189A" w:rsidRPr="00715523" w:rsidRDefault="00D4220B" w:rsidP="009B12EF">
            <w:pPr>
              <w:jc w:val="center"/>
              <w:cnfStyle w:val="000000100000" w:firstRow="0" w:lastRow="0" w:firstColumn="0" w:lastColumn="0" w:oddVBand="0" w:evenVBand="0" w:oddHBand="1" w:evenHBand="0" w:firstRowFirstColumn="0" w:firstRowLastColumn="0" w:lastRowFirstColumn="0" w:lastRowLastColumn="0"/>
              <w:rPr>
                <w:b/>
              </w:rPr>
            </w:pPr>
            <w:r>
              <w:rPr>
                <w:b/>
              </w:rPr>
              <w:t>Episodes</w:t>
            </w:r>
          </w:p>
        </w:tc>
        <w:tc>
          <w:tcPr>
            <w:tcW w:w="1629" w:type="dxa"/>
            <w:tcBorders>
              <w:top w:val="single" w:sz="4" w:space="0" w:color="auto"/>
              <w:bottom w:val="nil"/>
            </w:tcBorders>
            <w:shd w:val="clear" w:color="auto" w:fill="FFFFFF" w:themeFill="background1"/>
            <w:vAlign w:val="center"/>
          </w:tcPr>
          <w:p w14:paraId="0A29763A" w14:textId="77777777" w:rsidR="00EE189A" w:rsidRPr="004B55D1" w:rsidRDefault="00EE189A" w:rsidP="009B12EF">
            <w:pPr>
              <w:jc w:val="center"/>
              <w:cnfStyle w:val="000000100000" w:firstRow="0" w:lastRow="0" w:firstColumn="0" w:lastColumn="0" w:oddVBand="0" w:evenVBand="0" w:oddHBand="1" w:evenHBand="0" w:firstRowFirstColumn="0" w:firstRowLastColumn="0" w:lastRowFirstColumn="0" w:lastRowLastColumn="0"/>
            </w:pPr>
            <w:r>
              <w:t>7,516</w:t>
            </w:r>
          </w:p>
        </w:tc>
        <w:tc>
          <w:tcPr>
            <w:tcW w:w="2100" w:type="dxa"/>
            <w:tcBorders>
              <w:top w:val="single" w:sz="4" w:space="0" w:color="auto"/>
              <w:bottom w:val="nil"/>
            </w:tcBorders>
            <w:shd w:val="clear" w:color="auto" w:fill="FFFFFF" w:themeFill="background1"/>
            <w:vAlign w:val="center"/>
          </w:tcPr>
          <w:p w14:paraId="73A93415" w14:textId="5C3770C0" w:rsidR="00EE189A" w:rsidRPr="004B55D1" w:rsidRDefault="0092057F" w:rsidP="009B12EF">
            <w:pPr>
              <w:jc w:val="center"/>
              <w:cnfStyle w:val="000000100000" w:firstRow="0" w:lastRow="0" w:firstColumn="0" w:lastColumn="0" w:oddVBand="0" w:evenVBand="0" w:oddHBand="1" w:evenHBand="0" w:firstRowFirstColumn="0" w:firstRowLastColumn="0" w:lastRowFirstColumn="0" w:lastRowLastColumn="0"/>
            </w:pPr>
            <w:r>
              <w:t>444</w:t>
            </w:r>
          </w:p>
        </w:tc>
        <w:tc>
          <w:tcPr>
            <w:tcW w:w="1843" w:type="dxa"/>
            <w:tcBorders>
              <w:top w:val="single" w:sz="4" w:space="0" w:color="auto"/>
              <w:bottom w:val="nil"/>
            </w:tcBorders>
            <w:shd w:val="clear" w:color="auto" w:fill="FFFFFF" w:themeFill="background1"/>
            <w:vAlign w:val="center"/>
          </w:tcPr>
          <w:p w14:paraId="3D3FFF7E" w14:textId="77777777" w:rsidR="00EE189A" w:rsidRPr="004B55D1" w:rsidRDefault="00EE189A" w:rsidP="009B12EF">
            <w:pPr>
              <w:jc w:val="center"/>
              <w:cnfStyle w:val="000000100000" w:firstRow="0" w:lastRow="0" w:firstColumn="0" w:lastColumn="0" w:oddVBand="0" w:evenVBand="0" w:oddHBand="1" w:evenHBand="0" w:firstRowFirstColumn="0" w:firstRowLastColumn="0" w:lastRowFirstColumn="0" w:lastRowLastColumn="0"/>
            </w:pPr>
            <w:r>
              <w:t>577</w:t>
            </w:r>
          </w:p>
        </w:tc>
      </w:tr>
      <w:tr w:rsidR="00D070A9" w14:paraId="2F5E1F84" w14:textId="77777777" w:rsidTr="00D070A9">
        <w:trPr>
          <w:trHeight w:val="311"/>
        </w:trPr>
        <w:tc>
          <w:tcPr>
            <w:cnfStyle w:val="001000000000" w:firstRow="0" w:lastRow="0" w:firstColumn="1" w:lastColumn="0" w:oddVBand="0" w:evenVBand="0" w:oddHBand="0" w:evenHBand="0" w:firstRowFirstColumn="0" w:firstRowLastColumn="0" w:lastRowFirstColumn="0" w:lastRowLastColumn="0"/>
            <w:tcW w:w="1955" w:type="dxa"/>
            <w:vMerge/>
            <w:tcBorders>
              <w:top w:val="nil"/>
              <w:bottom w:val="single" w:sz="4" w:space="0" w:color="auto"/>
            </w:tcBorders>
            <w:shd w:val="clear" w:color="auto" w:fill="FFFFFF" w:themeFill="background1"/>
            <w:vAlign w:val="center"/>
          </w:tcPr>
          <w:p w14:paraId="41575112" w14:textId="77777777" w:rsidR="00EE189A" w:rsidRPr="00715523" w:rsidRDefault="00EE189A" w:rsidP="009B12EF">
            <w:pPr>
              <w:jc w:val="center"/>
            </w:pPr>
          </w:p>
        </w:tc>
        <w:tc>
          <w:tcPr>
            <w:tcW w:w="1687" w:type="dxa"/>
            <w:tcBorders>
              <w:top w:val="nil"/>
              <w:bottom w:val="single" w:sz="4" w:space="0" w:color="auto"/>
            </w:tcBorders>
            <w:shd w:val="clear" w:color="auto" w:fill="FFFFFF" w:themeFill="background1"/>
            <w:vAlign w:val="center"/>
          </w:tcPr>
          <w:p w14:paraId="4DCE02AB" w14:textId="148AE910" w:rsidR="004219D7" w:rsidRPr="00715523" w:rsidRDefault="00EE189A" w:rsidP="00845254">
            <w:pPr>
              <w:jc w:val="center"/>
              <w:cnfStyle w:val="000000000000" w:firstRow="0" w:lastRow="0" w:firstColumn="0" w:lastColumn="0" w:oddVBand="0" w:evenVBand="0" w:oddHBand="0" w:evenHBand="0" w:firstRowFirstColumn="0" w:firstRowLastColumn="0" w:lastRowFirstColumn="0" w:lastRowLastColumn="0"/>
              <w:rPr>
                <w:b/>
              </w:rPr>
            </w:pPr>
            <w:r w:rsidRPr="00715523">
              <w:rPr>
                <w:b/>
              </w:rPr>
              <w:t>Participant</w:t>
            </w:r>
          </w:p>
        </w:tc>
        <w:tc>
          <w:tcPr>
            <w:tcW w:w="1629" w:type="dxa"/>
            <w:tcBorders>
              <w:top w:val="nil"/>
              <w:bottom w:val="single" w:sz="4" w:space="0" w:color="auto"/>
            </w:tcBorders>
            <w:shd w:val="clear" w:color="auto" w:fill="FFFFFF" w:themeFill="background1"/>
            <w:vAlign w:val="center"/>
          </w:tcPr>
          <w:p w14:paraId="73493FDF" w14:textId="1BC68674" w:rsidR="00EE189A" w:rsidRPr="004B55D1" w:rsidRDefault="00EE189A" w:rsidP="009B12EF">
            <w:pPr>
              <w:jc w:val="center"/>
              <w:cnfStyle w:val="000000000000" w:firstRow="0" w:lastRow="0" w:firstColumn="0" w:lastColumn="0" w:oddVBand="0" w:evenVBand="0" w:oddHBand="0" w:evenHBand="0" w:firstRowFirstColumn="0" w:firstRowLastColumn="0" w:lastRowFirstColumn="0" w:lastRowLastColumn="0"/>
            </w:pPr>
            <w:r>
              <w:t>2,970</w:t>
            </w:r>
            <w:r w:rsidR="00D94771">
              <w:t xml:space="preserve"> (46.77</w:t>
            </w:r>
            <w:r w:rsidR="00953C20">
              <w:t>%)</w:t>
            </w:r>
          </w:p>
        </w:tc>
        <w:tc>
          <w:tcPr>
            <w:tcW w:w="2100" w:type="dxa"/>
            <w:tcBorders>
              <w:top w:val="nil"/>
              <w:bottom w:val="single" w:sz="4" w:space="0" w:color="auto"/>
            </w:tcBorders>
            <w:shd w:val="clear" w:color="auto" w:fill="FFFFFF" w:themeFill="background1"/>
            <w:vAlign w:val="center"/>
          </w:tcPr>
          <w:p w14:paraId="5C24417A" w14:textId="6DC0303E" w:rsidR="00EE189A" w:rsidRPr="004B55D1" w:rsidRDefault="00080168" w:rsidP="009B12EF">
            <w:pPr>
              <w:jc w:val="center"/>
              <w:cnfStyle w:val="000000000000" w:firstRow="0" w:lastRow="0" w:firstColumn="0" w:lastColumn="0" w:oddVBand="0" w:evenVBand="0" w:oddHBand="0" w:evenHBand="0" w:firstRowFirstColumn="0" w:firstRowLastColumn="0" w:lastRowFirstColumn="0" w:lastRowLastColumn="0"/>
            </w:pPr>
            <w:r>
              <w:t>176</w:t>
            </w:r>
            <w:r w:rsidR="00D94771">
              <w:t xml:space="preserve"> (19.3</w:t>
            </w:r>
            <w:r w:rsidR="00325604">
              <w:t>%)</w:t>
            </w:r>
          </w:p>
        </w:tc>
        <w:tc>
          <w:tcPr>
            <w:tcW w:w="1843" w:type="dxa"/>
            <w:tcBorders>
              <w:top w:val="nil"/>
              <w:bottom w:val="single" w:sz="4" w:space="0" w:color="auto"/>
            </w:tcBorders>
            <w:shd w:val="clear" w:color="auto" w:fill="FFFFFF" w:themeFill="background1"/>
            <w:vAlign w:val="center"/>
          </w:tcPr>
          <w:p w14:paraId="75F0BBB6" w14:textId="6559644F" w:rsidR="00EE189A" w:rsidRPr="004B55D1" w:rsidRDefault="00EE189A" w:rsidP="009B12EF">
            <w:pPr>
              <w:jc w:val="center"/>
              <w:cnfStyle w:val="000000000000" w:firstRow="0" w:lastRow="0" w:firstColumn="0" w:lastColumn="0" w:oddVBand="0" w:evenVBand="0" w:oddHBand="0" w:evenHBand="0" w:firstRowFirstColumn="0" w:firstRowLastColumn="0" w:lastRowFirstColumn="0" w:lastRowLastColumn="0"/>
            </w:pPr>
            <w:r>
              <w:t>251</w:t>
            </w:r>
            <w:r w:rsidR="00D94771">
              <w:t xml:space="preserve"> (3.96</w:t>
            </w:r>
            <w:r w:rsidR="00A44C75">
              <w:t>%)</w:t>
            </w:r>
          </w:p>
        </w:tc>
      </w:tr>
      <w:tr w:rsidR="00D070A9" w14:paraId="7A5C704E" w14:textId="77777777" w:rsidTr="00D070A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55" w:type="dxa"/>
            <w:vMerge w:val="restart"/>
            <w:tcBorders>
              <w:top w:val="single" w:sz="4" w:space="0" w:color="auto"/>
            </w:tcBorders>
            <w:shd w:val="clear" w:color="auto" w:fill="FFFFFF" w:themeFill="background1"/>
            <w:vAlign w:val="center"/>
          </w:tcPr>
          <w:p w14:paraId="48EBE218" w14:textId="77777777" w:rsidR="00EE189A" w:rsidRPr="00715523" w:rsidRDefault="00EE189A" w:rsidP="009B12EF">
            <w:pPr>
              <w:jc w:val="center"/>
            </w:pPr>
            <w:r w:rsidRPr="00715523">
              <w:t>Outpatient</w:t>
            </w:r>
          </w:p>
        </w:tc>
        <w:tc>
          <w:tcPr>
            <w:tcW w:w="1687" w:type="dxa"/>
            <w:tcBorders>
              <w:top w:val="single" w:sz="4" w:space="0" w:color="auto"/>
            </w:tcBorders>
            <w:shd w:val="clear" w:color="auto" w:fill="FFFFFF" w:themeFill="background1"/>
            <w:vAlign w:val="center"/>
          </w:tcPr>
          <w:p w14:paraId="1C4D9613" w14:textId="6153D77C" w:rsidR="00EE189A" w:rsidRPr="00715523" w:rsidRDefault="00D4220B" w:rsidP="009B12EF">
            <w:pPr>
              <w:jc w:val="center"/>
              <w:cnfStyle w:val="000000100000" w:firstRow="0" w:lastRow="0" w:firstColumn="0" w:lastColumn="0" w:oddVBand="0" w:evenVBand="0" w:oddHBand="1" w:evenHBand="0" w:firstRowFirstColumn="0" w:firstRowLastColumn="0" w:lastRowFirstColumn="0" w:lastRowLastColumn="0"/>
              <w:rPr>
                <w:b/>
              </w:rPr>
            </w:pPr>
            <w:r>
              <w:rPr>
                <w:b/>
              </w:rPr>
              <w:t>Episodes</w:t>
            </w:r>
          </w:p>
        </w:tc>
        <w:tc>
          <w:tcPr>
            <w:tcW w:w="1629" w:type="dxa"/>
            <w:tcBorders>
              <w:top w:val="single" w:sz="4" w:space="0" w:color="auto"/>
            </w:tcBorders>
            <w:shd w:val="clear" w:color="auto" w:fill="FFFFFF" w:themeFill="background1"/>
            <w:vAlign w:val="center"/>
          </w:tcPr>
          <w:p w14:paraId="67832B32" w14:textId="77777777" w:rsidR="00EE189A" w:rsidRPr="004B55D1" w:rsidRDefault="00EE189A" w:rsidP="009B12EF">
            <w:pPr>
              <w:jc w:val="center"/>
              <w:cnfStyle w:val="000000100000" w:firstRow="0" w:lastRow="0" w:firstColumn="0" w:lastColumn="0" w:oddVBand="0" w:evenVBand="0" w:oddHBand="1" w:evenHBand="0" w:firstRowFirstColumn="0" w:firstRowLastColumn="0" w:lastRowFirstColumn="0" w:lastRowLastColumn="0"/>
            </w:pPr>
            <w:r>
              <w:t>41,026</w:t>
            </w:r>
          </w:p>
        </w:tc>
        <w:tc>
          <w:tcPr>
            <w:tcW w:w="2100" w:type="dxa"/>
            <w:tcBorders>
              <w:top w:val="single" w:sz="4" w:space="0" w:color="auto"/>
            </w:tcBorders>
            <w:shd w:val="clear" w:color="auto" w:fill="FFFFFF" w:themeFill="background1"/>
            <w:vAlign w:val="center"/>
          </w:tcPr>
          <w:p w14:paraId="2E1D0444" w14:textId="77777777" w:rsidR="00EE189A" w:rsidRPr="004B55D1" w:rsidRDefault="00EE189A" w:rsidP="009B12EF">
            <w:pPr>
              <w:jc w:val="center"/>
              <w:cnfStyle w:val="000000100000" w:firstRow="0" w:lastRow="0" w:firstColumn="0" w:lastColumn="0" w:oddVBand="0" w:evenVBand="0" w:oddHBand="1" w:evenHBand="0" w:firstRowFirstColumn="0" w:firstRowLastColumn="0" w:lastRowFirstColumn="0" w:lastRowLastColumn="0"/>
            </w:pPr>
            <w:r>
              <w:t>1,703</w:t>
            </w:r>
          </w:p>
        </w:tc>
        <w:tc>
          <w:tcPr>
            <w:tcW w:w="1843" w:type="dxa"/>
            <w:tcBorders>
              <w:top w:val="single" w:sz="4" w:space="0" w:color="auto"/>
            </w:tcBorders>
            <w:shd w:val="clear" w:color="auto" w:fill="FFFFFF" w:themeFill="background1"/>
            <w:vAlign w:val="center"/>
          </w:tcPr>
          <w:p w14:paraId="2A397C25" w14:textId="77777777" w:rsidR="00EE189A" w:rsidRPr="004B55D1" w:rsidRDefault="00EE189A" w:rsidP="009B12EF">
            <w:pPr>
              <w:jc w:val="center"/>
              <w:cnfStyle w:val="000000100000" w:firstRow="0" w:lastRow="0" w:firstColumn="0" w:lastColumn="0" w:oddVBand="0" w:evenVBand="0" w:oddHBand="1" w:evenHBand="0" w:firstRowFirstColumn="0" w:firstRowLastColumn="0" w:lastRowFirstColumn="0" w:lastRowLastColumn="0"/>
            </w:pPr>
            <w:r>
              <w:t>2,276</w:t>
            </w:r>
          </w:p>
        </w:tc>
      </w:tr>
      <w:tr w:rsidR="00D070A9" w14:paraId="3BDFADA3" w14:textId="77777777" w:rsidTr="00D070A9">
        <w:trPr>
          <w:trHeight w:val="311"/>
        </w:trPr>
        <w:tc>
          <w:tcPr>
            <w:cnfStyle w:val="001000000000" w:firstRow="0" w:lastRow="0" w:firstColumn="1" w:lastColumn="0" w:oddVBand="0" w:evenVBand="0" w:oddHBand="0" w:evenHBand="0" w:firstRowFirstColumn="0" w:firstRowLastColumn="0" w:lastRowFirstColumn="0" w:lastRowLastColumn="0"/>
            <w:tcW w:w="1955" w:type="dxa"/>
            <w:vMerge/>
            <w:shd w:val="clear" w:color="auto" w:fill="FFFFFF" w:themeFill="background1"/>
            <w:vAlign w:val="center"/>
          </w:tcPr>
          <w:p w14:paraId="474D4A82" w14:textId="77777777" w:rsidR="00EE189A" w:rsidRPr="00715523" w:rsidRDefault="00EE189A" w:rsidP="009B12EF">
            <w:pPr>
              <w:jc w:val="center"/>
            </w:pPr>
          </w:p>
        </w:tc>
        <w:tc>
          <w:tcPr>
            <w:tcW w:w="1687" w:type="dxa"/>
            <w:shd w:val="clear" w:color="auto" w:fill="FFFFFF" w:themeFill="background1"/>
            <w:vAlign w:val="center"/>
          </w:tcPr>
          <w:p w14:paraId="7B3045E6" w14:textId="1925B11E" w:rsidR="004219D7" w:rsidRPr="00715523" w:rsidRDefault="00EE189A" w:rsidP="00845254">
            <w:pPr>
              <w:jc w:val="center"/>
              <w:cnfStyle w:val="000000000000" w:firstRow="0" w:lastRow="0" w:firstColumn="0" w:lastColumn="0" w:oddVBand="0" w:evenVBand="0" w:oddHBand="0" w:evenHBand="0" w:firstRowFirstColumn="0" w:firstRowLastColumn="0" w:lastRowFirstColumn="0" w:lastRowLastColumn="0"/>
              <w:rPr>
                <w:b/>
              </w:rPr>
            </w:pPr>
            <w:r w:rsidRPr="00715523">
              <w:rPr>
                <w:b/>
              </w:rPr>
              <w:t>Participant</w:t>
            </w:r>
          </w:p>
        </w:tc>
        <w:tc>
          <w:tcPr>
            <w:tcW w:w="1629" w:type="dxa"/>
            <w:shd w:val="clear" w:color="auto" w:fill="FFFFFF" w:themeFill="background1"/>
            <w:vAlign w:val="center"/>
          </w:tcPr>
          <w:p w14:paraId="05F67F3F" w14:textId="1CAAA950" w:rsidR="00EE189A" w:rsidRPr="004B55D1" w:rsidRDefault="00EE189A" w:rsidP="009B12EF">
            <w:pPr>
              <w:jc w:val="center"/>
              <w:cnfStyle w:val="000000000000" w:firstRow="0" w:lastRow="0" w:firstColumn="0" w:lastColumn="0" w:oddVBand="0" w:evenVBand="0" w:oddHBand="0" w:evenHBand="0" w:firstRowFirstColumn="0" w:firstRowLastColumn="0" w:lastRowFirstColumn="0" w:lastRowLastColumn="0"/>
            </w:pPr>
            <w:r>
              <w:t>4,300</w:t>
            </w:r>
            <w:r w:rsidR="00D94771">
              <w:t xml:space="preserve"> (67.87</w:t>
            </w:r>
            <w:r w:rsidR="00D27F63">
              <w:t>%)</w:t>
            </w:r>
          </w:p>
        </w:tc>
        <w:tc>
          <w:tcPr>
            <w:tcW w:w="2100" w:type="dxa"/>
            <w:shd w:val="clear" w:color="auto" w:fill="FFFFFF" w:themeFill="background1"/>
            <w:vAlign w:val="center"/>
          </w:tcPr>
          <w:p w14:paraId="5C7C3C92" w14:textId="4FD5E5E4" w:rsidR="00EE189A" w:rsidRPr="004B55D1" w:rsidRDefault="00D94771" w:rsidP="009B12EF">
            <w:pPr>
              <w:jc w:val="center"/>
              <w:cnfStyle w:val="000000000000" w:firstRow="0" w:lastRow="0" w:firstColumn="0" w:lastColumn="0" w:oddVBand="0" w:evenVBand="0" w:oddHBand="0" w:evenHBand="0" w:firstRowFirstColumn="0" w:firstRowLastColumn="0" w:lastRowFirstColumn="0" w:lastRowLastColumn="0"/>
            </w:pPr>
            <w:r>
              <w:t>240 (3.79</w:t>
            </w:r>
            <w:r w:rsidR="00CA5EB5">
              <w:t>%)</w:t>
            </w:r>
          </w:p>
        </w:tc>
        <w:tc>
          <w:tcPr>
            <w:tcW w:w="1843" w:type="dxa"/>
            <w:shd w:val="clear" w:color="auto" w:fill="FFFFFF" w:themeFill="background1"/>
            <w:vAlign w:val="center"/>
          </w:tcPr>
          <w:p w14:paraId="252C9F15" w14:textId="0078E6D8" w:rsidR="00EE189A" w:rsidRPr="004B55D1" w:rsidRDefault="00EE189A" w:rsidP="009B12EF">
            <w:pPr>
              <w:jc w:val="center"/>
              <w:cnfStyle w:val="000000000000" w:firstRow="0" w:lastRow="0" w:firstColumn="0" w:lastColumn="0" w:oddVBand="0" w:evenVBand="0" w:oddHBand="0" w:evenHBand="0" w:firstRowFirstColumn="0" w:firstRowLastColumn="0" w:lastRowFirstColumn="0" w:lastRowLastColumn="0"/>
            </w:pPr>
            <w:r>
              <w:t>435</w:t>
            </w:r>
            <w:r w:rsidR="00D94771">
              <w:t xml:space="preserve"> (6.87</w:t>
            </w:r>
            <w:r w:rsidR="001458AD">
              <w:t>%)</w:t>
            </w:r>
          </w:p>
        </w:tc>
      </w:tr>
    </w:tbl>
    <w:p w14:paraId="0F152B39" w14:textId="77777777" w:rsidR="00EE189A" w:rsidRDefault="00EE189A" w:rsidP="00EE189A"/>
    <w:p w14:paraId="07177CA0" w14:textId="7303FA95" w:rsidR="004A4CBA" w:rsidRDefault="004A4CBA" w:rsidP="004A4CBA">
      <w:pPr>
        <w:pStyle w:val="Caption"/>
        <w:keepNext/>
      </w:pPr>
      <w:bookmarkStart w:id="6" w:name="_Ref468792238"/>
      <w:r>
        <w:t xml:space="preserve">Table </w:t>
      </w:r>
      <w:fldSimple w:instr=" SEQ Table \* ARABIC ">
        <w:r w:rsidR="000632B6">
          <w:rPr>
            <w:noProof/>
          </w:rPr>
          <w:t>5</w:t>
        </w:r>
      </w:fldSimple>
      <w:bookmarkEnd w:id="6"/>
      <w:r>
        <w:t xml:space="preserve">: Variable completeness for a </w:t>
      </w:r>
      <w:r w:rsidR="00162C0D">
        <w:t>sample</w:t>
      </w:r>
      <w:r>
        <w:t xml:space="preserve"> of </w:t>
      </w:r>
      <w:r w:rsidR="005716B8">
        <w:t xml:space="preserve">common </w:t>
      </w:r>
      <w:r>
        <w:t xml:space="preserve">variables </w:t>
      </w:r>
      <w:r w:rsidR="005716B8">
        <w:t xml:space="preserve">formed </w:t>
      </w:r>
      <w:r>
        <w:t>in En</w:t>
      </w:r>
      <w:r w:rsidR="006A0828">
        <w:t>gland, Scotland and Wales</w:t>
      </w:r>
      <w:r>
        <w:t xml:space="preserve">. </w:t>
      </w:r>
    </w:p>
    <w:tbl>
      <w:tblPr>
        <w:tblStyle w:val="TableGrid"/>
        <w:tblW w:w="0" w:type="auto"/>
        <w:tblLook w:val="04A0" w:firstRow="1" w:lastRow="0" w:firstColumn="1" w:lastColumn="0" w:noHBand="0" w:noVBand="1"/>
      </w:tblPr>
      <w:tblGrid>
        <w:gridCol w:w="1254"/>
        <w:gridCol w:w="3703"/>
        <w:gridCol w:w="1275"/>
        <w:gridCol w:w="1317"/>
        <w:gridCol w:w="1467"/>
      </w:tblGrid>
      <w:tr w:rsidR="00D070A9" w14:paraId="21624912" w14:textId="77777777" w:rsidTr="00D070A9">
        <w:tc>
          <w:tcPr>
            <w:tcW w:w="1254" w:type="dxa"/>
          </w:tcPr>
          <w:p w14:paraId="6B08E92E" w14:textId="0F33F35C" w:rsidR="004A4CBA" w:rsidRDefault="004A4CBA" w:rsidP="00D070A9">
            <w:pPr>
              <w:spacing w:after="80"/>
              <w:jc w:val="both"/>
              <w:outlineLvl w:val="0"/>
              <w:rPr>
                <w:b/>
              </w:rPr>
            </w:pPr>
            <w:r>
              <w:rPr>
                <w:b/>
              </w:rPr>
              <w:t xml:space="preserve">Data Source </w:t>
            </w:r>
          </w:p>
        </w:tc>
        <w:tc>
          <w:tcPr>
            <w:tcW w:w="3703" w:type="dxa"/>
          </w:tcPr>
          <w:p w14:paraId="2A3B3DA7" w14:textId="77777777" w:rsidR="004A4CBA" w:rsidRPr="009B12EF" w:rsidRDefault="004A4CBA" w:rsidP="00D070A9">
            <w:pPr>
              <w:pStyle w:val="NoSpacing"/>
              <w:jc w:val="center"/>
              <w:rPr>
                <w:b/>
              </w:rPr>
            </w:pPr>
            <w:r w:rsidRPr="009B12EF">
              <w:rPr>
                <w:b/>
              </w:rPr>
              <w:t>Common Variable</w:t>
            </w:r>
          </w:p>
          <w:p w14:paraId="4FE67E00" w14:textId="3DB905C3" w:rsidR="004A4CBA" w:rsidRDefault="004A4CBA" w:rsidP="00D070A9">
            <w:pPr>
              <w:spacing w:after="80"/>
              <w:jc w:val="center"/>
              <w:outlineLvl w:val="0"/>
              <w:rPr>
                <w:b/>
              </w:rPr>
            </w:pPr>
            <w:r w:rsidRPr="009B12EF">
              <w:rPr>
                <w:b/>
              </w:rPr>
              <w:t>(national assigned variable name)</w:t>
            </w:r>
          </w:p>
        </w:tc>
        <w:tc>
          <w:tcPr>
            <w:tcW w:w="1275" w:type="dxa"/>
          </w:tcPr>
          <w:p w14:paraId="587C9C3E" w14:textId="1B2B1034" w:rsidR="004A4CBA" w:rsidRDefault="005A0CAA" w:rsidP="00D070A9">
            <w:pPr>
              <w:spacing w:after="80"/>
              <w:jc w:val="center"/>
              <w:outlineLvl w:val="0"/>
              <w:rPr>
                <w:b/>
              </w:rPr>
            </w:pPr>
            <w:r>
              <w:rPr>
                <w:b/>
              </w:rPr>
              <w:t>NHS Digital</w:t>
            </w:r>
          </w:p>
        </w:tc>
        <w:tc>
          <w:tcPr>
            <w:tcW w:w="1317" w:type="dxa"/>
          </w:tcPr>
          <w:p w14:paraId="3F82D2FC" w14:textId="5A99AD04" w:rsidR="004A4CBA" w:rsidRDefault="00D070A9" w:rsidP="00D070A9">
            <w:pPr>
              <w:spacing w:after="80"/>
              <w:jc w:val="center"/>
              <w:outlineLvl w:val="0"/>
              <w:rPr>
                <w:b/>
              </w:rPr>
            </w:pPr>
            <w:r>
              <w:rPr>
                <w:b/>
              </w:rPr>
              <w:t>Information Services Division</w:t>
            </w:r>
          </w:p>
        </w:tc>
        <w:tc>
          <w:tcPr>
            <w:tcW w:w="1467" w:type="dxa"/>
          </w:tcPr>
          <w:p w14:paraId="18E4ECEF" w14:textId="1A2C36E0" w:rsidR="004A4CBA" w:rsidRDefault="00D070A9" w:rsidP="00D070A9">
            <w:pPr>
              <w:spacing w:after="80"/>
              <w:jc w:val="center"/>
              <w:outlineLvl w:val="0"/>
              <w:rPr>
                <w:b/>
              </w:rPr>
            </w:pPr>
            <w:r>
              <w:rPr>
                <w:b/>
              </w:rPr>
              <w:t>Secure Anonymised Information Linkage</w:t>
            </w:r>
          </w:p>
        </w:tc>
      </w:tr>
      <w:tr w:rsidR="00D070A9" w14:paraId="356D1BBA" w14:textId="77777777" w:rsidTr="00D070A9">
        <w:tc>
          <w:tcPr>
            <w:tcW w:w="1254" w:type="dxa"/>
            <w:vMerge w:val="restart"/>
            <w:textDirection w:val="btLr"/>
          </w:tcPr>
          <w:p w14:paraId="5299EC83" w14:textId="5537518F" w:rsidR="00A158E0" w:rsidRDefault="00A158E0" w:rsidP="00A158E0">
            <w:pPr>
              <w:spacing w:after="80" w:line="360" w:lineRule="auto"/>
              <w:ind w:left="113" w:right="113"/>
              <w:jc w:val="center"/>
              <w:outlineLvl w:val="0"/>
              <w:rPr>
                <w:b/>
              </w:rPr>
            </w:pPr>
            <w:r>
              <w:rPr>
                <w:b/>
              </w:rPr>
              <w:t>Accident &amp; Emergency</w:t>
            </w:r>
          </w:p>
        </w:tc>
        <w:tc>
          <w:tcPr>
            <w:tcW w:w="3703" w:type="dxa"/>
            <w:vAlign w:val="center"/>
          </w:tcPr>
          <w:p w14:paraId="76134789" w14:textId="6C7D58D1" w:rsidR="00A158E0" w:rsidRDefault="00393E68" w:rsidP="0059040C">
            <w:pPr>
              <w:spacing w:after="80" w:line="360" w:lineRule="auto"/>
              <w:outlineLvl w:val="0"/>
              <w:rPr>
                <w:b/>
              </w:rPr>
            </w:pPr>
            <w:r>
              <w:t>Reason for Admission</w:t>
            </w:r>
            <w:r w:rsidRPr="00393E68">
              <w:rPr>
                <w:vertAlign w:val="superscript"/>
              </w:rPr>
              <w:t>1</w:t>
            </w:r>
          </w:p>
        </w:tc>
        <w:tc>
          <w:tcPr>
            <w:tcW w:w="1275" w:type="dxa"/>
            <w:vAlign w:val="center"/>
          </w:tcPr>
          <w:p w14:paraId="5CAC4CD4" w14:textId="0C7C3E3C" w:rsidR="00A158E0" w:rsidRDefault="00A158E0" w:rsidP="00077904">
            <w:pPr>
              <w:spacing w:after="80" w:line="360" w:lineRule="auto"/>
              <w:jc w:val="center"/>
              <w:outlineLvl w:val="0"/>
              <w:rPr>
                <w:b/>
              </w:rPr>
            </w:pPr>
            <w:r>
              <w:t>42.44%</w:t>
            </w:r>
          </w:p>
        </w:tc>
        <w:tc>
          <w:tcPr>
            <w:tcW w:w="1317" w:type="dxa"/>
            <w:vAlign w:val="center"/>
          </w:tcPr>
          <w:p w14:paraId="590C36CF" w14:textId="156C3135" w:rsidR="00A158E0" w:rsidRDefault="00A158E0" w:rsidP="00077904">
            <w:pPr>
              <w:spacing w:after="80" w:line="360" w:lineRule="auto"/>
              <w:jc w:val="center"/>
              <w:outlineLvl w:val="0"/>
              <w:rPr>
                <w:b/>
              </w:rPr>
            </w:pPr>
            <w:r>
              <w:t>67.93%</w:t>
            </w:r>
          </w:p>
        </w:tc>
        <w:tc>
          <w:tcPr>
            <w:tcW w:w="1467" w:type="dxa"/>
            <w:vAlign w:val="center"/>
          </w:tcPr>
          <w:p w14:paraId="449F7C37" w14:textId="72A87493" w:rsidR="00A158E0" w:rsidRDefault="00A158E0" w:rsidP="00077904">
            <w:pPr>
              <w:spacing w:after="80" w:line="360" w:lineRule="auto"/>
              <w:jc w:val="center"/>
              <w:outlineLvl w:val="0"/>
              <w:rPr>
                <w:b/>
              </w:rPr>
            </w:pPr>
            <w:r>
              <w:t>58.93%</w:t>
            </w:r>
          </w:p>
        </w:tc>
      </w:tr>
      <w:tr w:rsidR="00D070A9" w14:paraId="17EF173A" w14:textId="77777777" w:rsidTr="00D070A9">
        <w:tc>
          <w:tcPr>
            <w:tcW w:w="1254" w:type="dxa"/>
            <w:vMerge/>
          </w:tcPr>
          <w:p w14:paraId="35CD8EEE" w14:textId="7B6D5FE2" w:rsidR="00A158E0" w:rsidRDefault="00A158E0" w:rsidP="00A158E0">
            <w:pPr>
              <w:spacing w:after="80" w:line="360" w:lineRule="auto"/>
              <w:jc w:val="center"/>
              <w:outlineLvl w:val="0"/>
              <w:rPr>
                <w:b/>
              </w:rPr>
            </w:pPr>
          </w:p>
        </w:tc>
        <w:tc>
          <w:tcPr>
            <w:tcW w:w="3703" w:type="dxa"/>
            <w:vAlign w:val="center"/>
          </w:tcPr>
          <w:p w14:paraId="29F10A91" w14:textId="4349C9D5" w:rsidR="00A158E0" w:rsidRDefault="00A158E0" w:rsidP="000B511C">
            <w:pPr>
              <w:spacing w:after="80" w:line="360" w:lineRule="auto"/>
              <w:jc w:val="both"/>
              <w:outlineLvl w:val="0"/>
              <w:rPr>
                <w:b/>
              </w:rPr>
            </w:pPr>
            <w:r>
              <w:t xml:space="preserve">Attendance </w:t>
            </w:r>
            <w:r w:rsidR="000B511C">
              <w:t>Category (</w:t>
            </w:r>
            <w:proofErr w:type="spellStart"/>
            <w:r w:rsidR="000B511C">
              <w:t>attendance_cat</w:t>
            </w:r>
            <w:proofErr w:type="spellEnd"/>
            <w:r>
              <w:t>)</w:t>
            </w:r>
          </w:p>
        </w:tc>
        <w:tc>
          <w:tcPr>
            <w:tcW w:w="1275" w:type="dxa"/>
            <w:vAlign w:val="center"/>
          </w:tcPr>
          <w:p w14:paraId="1F2F28CE" w14:textId="18059F8C" w:rsidR="00A158E0" w:rsidRDefault="00A158E0" w:rsidP="00077904">
            <w:pPr>
              <w:spacing w:after="80" w:line="360" w:lineRule="auto"/>
              <w:jc w:val="center"/>
              <w:outlineLvl w:val="0"/>
              <w:rPr>
                <w:b/>
              </w:rPr>
            </w:pPr>
            <w:r>
              <w:t>100%</w:t>
            </w:r>
          </w:p>
        </w:tc>
        <w:tc>
          <w:tcPr>
            <w:tcW w:w="1317" w:type="dxa"/>
            <w:vAlign w:val="center"/>
          </w:tcPr>
          <w:p w14:paraId="6F3D2F4A" w14:textId="2AC673F6" w:rsidR="00A158E0" w:rsidRDefault="00A158E0" w:rsidP="00077904">
            <w:pPr>
              <w:spacing w:after="80" w:line="360" w:lineRule="auto"/>
              <w:jc w:val="center"/>
              <w:outlineLvl w:val="0"/>
              <w:rPr>
                <w:b/>
              </w:rPr>
            </w:pPr>
            <w:r>
              <w:t>100%</w:t>
            </w:r>
          </w:p>
        </w:tc>
        <w:tc>
          <w:tcPr>
            <w:tcW w:w="1467" w:type="dxa"/>
            <w:vAlign w:val="center"/>
          </w:tcPr>
          <w:p w14:paraId="194C1C87" w14:textId="3E6490C6" w:rsidR="00A158E0" w:rsidRDefault="00574FB9" w:rsidP="00077904">
            <w:pPr>
              <w:spacing w:after="80" w:line="360" w:lineRule="auto"/>
              <w:jc w:val="center"/>
              <w:outlineLvl w:val="0"/>
              <w:rPr>
                <w:b/>
              </w:rPr>
            </w:pPr>
            <w:r>
              <w:t>100</w:t>
            </w:r>
            <w:r w:rsidR="00A158E0">
              <w:t>%</w:t>
            </w:r>
          </w:p>
        </w:tc>
      </w:tr>
      <w:tr w:rsidR="00D070A9" w14:paraId="6340A870" w14:textId="77777777" w:rsidTr="00D070A9">
        <w:tc>
          <w:tcPr>
            <w:tcW w:w="1254" w:type="dxa"/>
            <w:vMerge/>
          </w:tcPr>
          <w:p w14:paraId="4A5AB7AE" w14:textId="269DE46D" w:rsidR="00A158E0" w:rsidRDefault="00A158E0" w:rsidP="00A158E0">
            <w:pPr>
              <w:spacing w:after="80" w:line="360" w:lineRule="auto"/>
              <w:jc w:val="center"/>
              <w:outlineLvl w:val="0"/>
              <w:rPr>
                <w:b/>
              </w:rPr>
            </w:pPr>
          </w:p>
        </w:tc>
        <w:tc>
          <w:tcPr>
            <w:tcW w:w="3703" w:type="dxa"/>
            <w:vAlign w:val="center"/>
          </w:tcPr>
          <w:p w14:paraId="15455D1D" w14:textId="539EFD6D" w:rsidR="00A158E0" w:rsidRDefault="00A158E0" w:rsidP="000B511C">
            <w:pPr>
              <w:spacing w:after="80" w:line="360" w:lineRule="auto"/>
              <w:jc w:val="both"/>
              <w:outlineLvl w:val="0"/>
              <w:rPr>
                <w:b/>
              </w:rPr>
            </w:pPr>
            <w:r>
              <w:t>Admission Time (</w:t>
            </w:r>
            <w:proofErr w:type="spellStart"/>
            <w:r>
              <w:t>time</w:t>
            </w:r>
            <w:r w:rsidR="000B511C">
              <w:t>_arrival</w:t>
            </w:r>
            <w:proofErr w:type="spellEnd"/>
            <w:r>
              <w:t>)</w:t>
            </w:r>
          </w:p>
        </w:tc>
        <w:tc>
          <w:tcPr>
            <w:tcW w:w="1275" w:type="dxa"/>
            <w:vAlign w:val="center"/>
          </w:tcPr>
          <w:p w14:paraId="2111DF47" w14:textId="19E99961" w:rsidR="00A158E0" w:rsidRDefault="00A158E0" w:rsidP="00077904">
            <w:pPr>
              <w:spacing w:after="80" w:line="360" w:lineRule="auto"/>
              <w:jc w:val="center"/>
              <w:outlineLvl w:val="0"/>
              <w:rPr>
                <w:b/>
              </w:rPr>
            </w:pPr>
            <w:r>
              <w:t>87.13%</w:t>
            </w:r>
          </w:p>
        </w:tc>
        <w:tc>
          <w:tcPr>
            <w:tcW w:w="1317" w:type="dxa"/>
            <w:vAlign w:val="center"/>
          </w:tcPr>
          <w:p w14:paraId="45AF740B" w14:textId="31ADE1D3" w:rsidR="00A158E0" w:rsidRDefault="00A158E0" w:rsidP="00077904">
            <w:pPr>
              <w:spacing w:after="80" w:line="360" w:lineRule="auto"/>
              <w:jc w:val="center"/>
              <w:outlineLvl w:val="0"/>
              <w:rPr>
                <w:b/>
              </w:rPr>
            </w:pPr>
            <w:r>
              <w:t>93.76%</w:t>
            </w:r>
          </w:p>
        </w:tc>
        <w:tc>
          <w:tcPr>
            <w:tcW w:w="1467" w:type="dxa"/>
            <w:vAlign w:val="center"/>
          </w:tcPr>
          <w:p w14:paraId="7703AE3F" w14:textId="76BD2F58" w:rsidR="00A158E0" w:rsidRDefault="00A158E0" w:rsidP="00077904">
            <w:pPr>
              <w:spacing w:after="80" w:line="360" w:lineRule="auto"/>
              <w:jc w:val="center"/>
              <w:outlineLvl w:val="0"/>
              <w:rPr>
                <w:b/>
              </w:rPr>
            </w:pPr>
            <w:r>
              <w:t>90.51%</w:t>
            </w:r>
          </w:p>
        </w:tc>
      </w:tr>
      <w:tr w:rsidR="00D070A9" w14:paraId="77B4CF2D" w14:textId="77777777" w:rsidTr="00D070A9">
        <w:tc>
          <w:tcPr>
            <w:tcW w:w="1254" w:type="dxa"/>
            <w:vMerge/>
          </w:tcPr>
          <w:p w14:paraId="428AACC6" w14:textId="5BBF1CF4" w:rsidR="00A158E0" w:rsidRDefault="00A158E0" w:rsidP="00A158E0">
            <w:pPr>
              <w:spacing w:after="80" w:line="360" w:lineRule="auto"/>
              <w:jc w:val="center"/>
              <w:outlineLvl w:val="0"/>
              <w:rPr>
                <w:b/>
              </w:rPr>
            </w:pPr>
          </w:p>
        </w:tc>
        <w:tc>
          <w:tcPr>
            <w:tcW w:w="3703" w:type="dxa"/>
            <w:vAlign w:val="center"/>
          </w:tcPr>
          <w:p w14:paraId="5D130AD5" w14:textId="52CE3F0D" w:rsidR="00A158E0" w:rsidRDefault="00A158E0" w:rsidP="00A23430">
            <w:pPr>
              <w:spacing w:after="80" w:line="360" w:lineRule="auto"/>
              <w:jc w:val="both"/>
              <w:outlineLvl w:val="0"/>
              <w:rPr>
                <w:b/>
              </w:rPr>
            </w:pPr>
            <w:r>
              <w:t>Arrival Mode (</w:t>
            </w:r>
            <w:proofErr w:type="spellStart"/>
            <w:r>
              <w:t>arrival_mode</w:t>
            </w:r>
            <w:proofErr w:type="spellEnd"/>
            <w:r>
              <w:t>)</w:t>
            </w:r>
          </w:p>
        </w:tc>
        <w:tc>
          <w:tcPr>
            <w:tcW w:w="1275" w:type="dxa"/>
            <w:vAlign w:val="center"/>
          </w:tcPr>
          <w:p w14:paraId="3E938497" w14:textId="4D55A7C5" w:rsidR="00A158E0" w:rsidRDefault="00A158E0" w:rsidP="00077904">
            <w:pPr>
              <w:spacing w:after="80" w:line="360" w:lineRule="auto"/>
              <w:jc w:val="center"/>
              <w:outlineLvl w:val="0"/>
              <w:rPr>
                <w:b/>
              </w:rPr>
            </w:pPr>
            <w:r>
              <w:t>100%</w:t>
            </w:r>
          </w:p>
        </w:tc>
        <w:tc>
          <w:tcPr>
            <w:tcW w:w="1317" w:type="dxa"/>
            <w:vAlign w:val="center"/>
          </w:tcPr>
          <w:p w14:paraId="3C526E52" w14:textId="6A12066F" w:rsidR="00A158E0" w:rsidRDefault="00A158E0" w:rsidP="00077904">
            <w:pPr>
              <w:spacing w:after="80" w:line="360" w:lineRule="auto"/>
              <w:jc w:val="center"/>
              <w:outlineLvl w:val="0"/>
              <w:rPr>
                <w:b/>
              </w:rPr>
            </w:pPr>
            <w:r>
              <w:t>97.96%</w:t>
            </w:r>
          </w:p>
        </w:tc>
        <w:tc>
          <w:tcPr>
            <w:tcW w:w="1467" w:type="dxa"/>
            <w:vAlign w:val="center"/>
          </w:tcPr>
          <w:p w14:paraId="415F14FC" w14:textId="508DB04F" w:rsidR="00A158E0" w:rsidRDefault="00A158E0" w:rsidP="00077904">
            <w:pPr>
              <w:spacing w:after="80" w:line="360" w:lineRule="auto"/>
              <w:jc w:val="center"/>
              <w:outlineLvl w:val="0"/>
              <w:rPr>
                <w:b/>
              </w:rPr>
            </w:pPr>
            <w:r>
              <w:t>100%</w:t>
            </w:r>
          </w:p>
        </w:tc>
      </w:tr>
      <w:tr w:rsidR="00D070A9" w14:paraId="05473D08" w14:textId="77777777" w:rsidTr="00D070A9">
        <w:tc>
          <w:tcPr>
            <w:tcW w:w="1254" w:type="dxa"/>
            <w:vMerge/>
          </w:tcPr>
          <w:p w14:paraId="6E7CE40F" w14:textId="7A5964C0" w:rsidR="00A158E0" w:rsidRDefault="00A158E0" w:rsidP="00A158E0">
            <w:pPr>
              <w:spacing w:after="80" w:line="360" w:lineRule="auto"/>
              <w:jc w:val="center"/>
              <w:outlineLvl w:val="0"/>
              <w:rPr>
                <w:b/>
              </w:rPr>
            </w:pPr>
          </w:p>
        </w:tc>
        <w:tc>
          <w:tcPr>
            <w:tcW w:w="3703" w:type="dxa"/>
            <w:vAlign w:val="center"/>
          </w:tcPr>
          <w:p w14:paraId="4846173F" w14:textId="136ED7D6" w:rsidR="00A158E0" w:rsidRDefault="00A158E0" w:rsidP="00E41CAF">
            <w:pPr>
              <w:spacing w:after="80" w:line="360" w:lineRule="auto"/>
              <w:jc w:val="both"/>
              <w:outlineLvl w:val="0"/>
              <w:rPr>
                <w:b/>
              </w:rPr>
            </w:pPr>
            <w:r>
              <w:t>Provider Code (</w:t>
            </w:r>
            <w:proofErr w:type="spellStart"/>
            <w:r w:rsidR="00E41CAF">
              <w:t>provider_code</w:t>
            </w:r>
            <w:proofErr w:type="spellEnd"/>
            <w:r>
              <w:t>)</w:t>
            </w:r>
          </w:p>
        </w:tc>
        <w:tc>
          <w:tcPr>
            <w:tcW w:w="1275" w:type="dxa"/>
            <w:vAlign w:val="center"/>
          </w:tcPr>
          <w:p w14:paraId="43F6B935" w14:textId="459414E2" w:rsidR="00A158E0" w:rsidRDefault="00A158E0" w:rsidP="00077904">
            <w:pPr>
              <w:spacing w:after="80" w:line="360" w:lineRule="auto"/>
              <w:jc w:val="center"/>
              <w:outlineLvl w:val="0"/>
              <w:rPr>
                <w:b/>
              </w:rPr>
            </w:pPr>
            <w:r>
              <w:t>100%</w:t>
            </w:r>
          </w:p>
        </w:tc>
        <w:tc>
          <w:tcPr>
            <w:tcW w:w="1317" w:type="dxa"/>
            <w:vAlign w:val="center"/>
          </w:tcPr>
          <w:p w14:paraId="6B2C009D" w14:textId="5CF20F0C" w:rsidR="00A158E0" w:rsidRDefault="00A158E0" w:rsidP="00077904">
            <w:pPr>
              <w:spacing w:after="80" w:line="360" w:lineRule="auto"/>
              <w:jc w:val="center"/>
              <w:outlineLvl w:val="0"/>
              <w:rPr>
                <w:b/>
              </w:rPr>
            </w:pPr>
            <w:r>
              <w:t>100%</w:t>
            </w:r>
          </w:p>
        </w:tc>
        <w:tc>
          <w:tcPr>
            <w:tcW w:w="1467" w:type="dxa"/>
            <w:vAlign w:val="center"/>
          </w:tcPr>
          <w:p w14:paraId="1220897D" w14:textId="4D381D3E" w:rsidR="00A158E0" w:rsidRDefault="00A158E0" w:rsidP="00077904">
            <w:pPr>
              <w:spacing w:after="80" w:line="360" w:lineRule="auto"/>
              <w:jc w:val="center"/>
              <w:outlineLvl w:val="0"/>
              <w:rPr>
                <w:b/>
              </w:rPr>
            </w:pPr>
            <w:r>
              <w:t>100%</w:t>
            </w:r>
          </w:p>
        </w:tc>
      </w:tr>
      <w:tr w:rsidR="00D070A9" w14:paraId="0AC21C43" w14:textId="77777777" w:rsidTr="00D070A9">
        <w:tc>
          <w:tcPr>
            <w:tcW w:w="1254" w:type="dxa"/>
            <w:vMerge w:val="restart"/>
            <w:textDirection w:val="btLr"/>
          </w:tcPr>
          <w:p w14:paraId="18FD0D5D" w14:textId="50FC5DAA" w:rsidR="00A158E0" w:rsidRDefault="00A158E0" w:rsidP="00A158E0">
            <w:pPr>
              <w:spacing w:after="80" w:line="360" w:lineRule="auto"/>
              <w:ind w:left="113" w:right="113"/>
              <w:jc w:val="center"/>
              <w:outlineLvl w:val="0"/>
              <w:rPr>
                <w:b/>
              </w:rPr>
            </w:pPr>
            <w:r>
              <w:rPr>
                <w:b/>
              </w:rPr>
              <w:t>Admitted Patient Care</w:t>
            </w:r>
          </w:p>
        </w:tc>
        <w:tc>
          <w:tcPr>
            <w:tcW w:w="3703" w:type="dxa"/>
            <w:vAlign w:val="center"/>
          </w:tcPr>
          <w:p w14:paraId="3EF657C4" w14:textId="51A996AE" w:rsidR="00A158E0" w:rsidRDefault="005132A6" w:rsidP="00A23430">
            <w:pPr>
              <w:spacing w:after="80" w:line="360" w:lineRule="auto"/>
              <w:jc w:val="both"/>
              <w:outlineLvl w:val="0"/>
              <w:rPr>
                <w:b/>
              </w:rPr>
            </w:pPr>
            <w:r>
              <w:t>Primary</w:t>
            </w:r>
            <w:r w:rsidR="00024580">
              <w:t xml:space="preserve"> (1</w:t>
            </w:r>
            <w:r w:rsidR="00024580" w:rsidRPr="00024580">
              <w:rPr>
                <w:vertAlign w:val="superscript"/>
              </w:rPr>
              <w:t>st</w:t>
            </w:r>
            <w:r w:rsidR="00024580">
              <w:t xml:space="preserve">) </w:t>
            </w:r>
            <w:r w:rsidR="00A158E0">
              <w:t>Diagnosis (diag_01)</w:t>
            </w:r>
          </w:p>
        </w:tc>
        <w:tc>
          <w:tcPr>
            <w:tcW w:w="1275" w:type="dxa"/>
            <w:vAlign w:val="center"/>
          </w:tcPr>
          <w:p w14:paraId="0B91CFC6" w14:textId="1326AC3F" w:rsidR="00A158E0" w:rsidRDefault="00A158E0" w:rsidP="00077904">
            <w:pPr>
              <w:spacing w:after="80" w:line="360" w:lineRule="auto"/>
              <w:jc w:val="center"/>
              <w:outlineLvl w:val="0"/>
              <w:rPr>
                <w:b/>
              </w:rPr>
            </w:pPr>
            <w:r>
              <w:t>100%</w:t>
            </w:r>
          </w:p>
        </w:tc>
        <w:tc>
          <w:tcPr>
            <w:tcW w:w="1317" w:type="dxa"/>
            <w:vAlign w:val="center"/>
          </w:tcPr>
          <w:p w14:paraId="73DCA309" w14:textId="4DAA9679" w:rsidR="00A158E0" w:rsidRDefault="00A158E0" w:rsidP="00077904">
            <w:pPr>
              <w:spacing w:after="80" w:line="360" w:lineRule="auto"/>
              <w:jc w:val="center"/>
              <w:outlineLvl w:val="0"/>
              <w:rPr>
                <w:b/>
              </w:rPr>
            </w:pPr>
            <w:r>
              <w:t>100%</w:t>
            </w:r>
          </w:p>
        </w:tc>
        <w:tc>
          <w:tcPr>
            <w:tcW w:w="1467" w:type="dxa"/>
            <w:vAlign w:val="center"/>
          </w:tcPr>
          <w:p w14:paraId="726794BD" w14:textId="245B7288" w:rsidR="00A158E0" w:rsidRDefault="00A158E0" w:rsidP="00077904">
            <w:pPr>
              <w:spacing w:after="80" w:line="360" w:lineRule="auto"/>
              <w:jc w:val="center"/>
              <w:outlineLvl w:val="0"/>
              <w:rPr>
                <w:b/>
              </w:rPr>
            </w:pPr>
            <w:r>
              <w:t>100%</w:t>
            </w:r>
          </w:p>
        </w:tc>
      </w:tr>
      <w:tr w:rsidR="00D070A9" w14:paraId="3CAE8BBF" w14:textId="77777777" w:rsidTr="00D070A9">
        <w:tc>
          <w:tcPr>
            <w:tcW w:w="1254" w:type="dxa"/>
            <w:vMerge/>
          </w:tcPr>
          <w:p w14:paraId="53C2E4B8" w14:textId="3E84DA47" w:rsidR="00A158E0" w:rsidRDefault="00A158E0" w:rsidP="00A158E0">
            <w:pPr>
              <w:spacing w:after="80" w:line="360" w:lineRule="auto"/>
              <w:jc w:val="center"/>
              <w:outlineLvl w:val="0"/>
              <w:rPr>
                <w:b/>
              </w:rPr>
            </w:pPr>
          </w:p>
        </w:tc>
        <w:tc>
          <w:tcPr>
            <w:tcW w:w="3703" w:type="dxa"/>
            <w:vAlign w:val="center"/>
          </w:tcPr>
          <w:p w14:paraId="76CD5164" w14:textId="7865F52B" w:rsidR="00A158E0" w:rsidRDefault="00A158E0" w:rsidP="00E00838">
            <w:pPr>
              <w:spacing w:after="80" w:line="360" w:lineRule="auto"/>
              <w:jc w:val="both"/>
              <w:outlineLvl w:val="0"/>
              <w:rPr>
                <w:b/>
              </w:rPr>
            </w:pPr>
            <w:r>
              <w:t>Admission Source (</w:t>
            </w:r>
            <w:proofErr w:type="spellStart"/>
            <w:r w:rsidR="00E00838">
              <w:t>admin_source</w:t>
            </w:r>
            <w:proofErr w:type="spellEnd"/>
            <w:r>
              <w:t>)</w:t>
            </w:r>
          </w:p>
        </w:tc>
        <w:tc>
          <w:tcPr>
            <w:tcW w:w="1275" w:type="dxa"/>
            <w:vAlign w:val="center"/>
          </w:tcPr>
          <w:p w14:paraId="3DB84E68" w14:textId="7D18AAA6" w:rsidR="00A158E0" w:rsidRDefault="00A158E0" w:rsidP="00077904">
            <w:pPr>
              <w:spacing w:after="80" w:line="360" w:lineRule="auto"/>
              <w:jc w:val="center"/>
              <w:outlineLvl w:val="0"/>
              <w:rPr>
                <w:b/>
              </w:rPr>
            </w:pPr>
            <w:r>
              <w:t>98.59%</w:t>
            </w:r>
          </w:p>
        </w:tc>
        <w:tc>
          <w:tcPr>
            <w:tcW w:w="1317" w:type="dxa"/>
            <w:vAlign w:val="center"/>
          </w:tcPr>
          <w:p w14:paraId="62A4C6F8" w14:textId="365798EB" w:rsidR="00A158E0" w:rsidRDefault="00A158E0" w:rsidP="00077904">
            <w:pPr>
              <w:spacing w:after="80" w:line="360" w:lineRule="auto"/>
              <w:jc w:val="center"/>
              <w:outlineLvl w:val="0"/>
              <w:rPr>
                <w:b/>
              </w:rPr>
            </w:pPr>
            <w:r>
              <w:t>100%</w:t>
            </w:r>
          </w:p>
        </w:tc>
        <w:tc>
          <w:tcPr>
            <w:tcW w:w="1467" w:type="dxa"/>
            <w:vAlign w:val="center"/>
          </w:tcPr>
          <w:p w14:paraId="6671F41B" w14:textId="59923787" w:rsidR="00A158E0" w:rsidRDefault="00A158E0" w:rsidP="00077904">
            <w:pPr>
              <w:spacing w:after="80" w:line="360" w:lineRule="auto"/>
              <w:jc w:val="center"/>
              <w:outlineLvl w:val="0"/>
              <w:rPr>
                <w:b/>
              </w:rPr>
            </w:pPr>
            <w:r>
              <w:t>100%</w:t>
            </w:r>
          </w:p>
        </w:tc>
      </w:tr>
      <w:tr w:rsidR="00D070A9" w14:paraId="6AD664A9" w14:textId="77777777" w:rsidTr="00D070A9">
        <w:tc>
          <w:tcPr>
            <w:tcW w:w="1254" w:type="dxa"/>
            <w:vMerge/>
          </w:tcPr>
          <w:p w14:paraId="1A640CBA" w14:textId="2A1C1933" w:rsidR="00A158E0" w:rsidRDefault="00A158E0" w:rsidP="00A158E0">
            <w:pPr>
              <w:spacing w:after="80" w:line="360" w:lineRule="auto"/>
              <w:jc w:val="center"/>
              <w:outlineLvl w:val="0"/>
              <w:rPr>
                <w:b/>
              </w:rPr>
            </w:pPr>
          </w:p>
        </w:tc>
        <w:tc>
          <w:tcPr>
            <w:tcW w:w="3703" w:type="dxa"/>
            <w:vAlign w:val="center"/>
          </w:tcPr>
          <w:p w14:paraId="0B48FE1C" w14:textId="24BAEA61" w:rsidR="00A158E0" w:rsidRDefault="00A158E0" w:rsidP="006E3D67">
            <w:pPr>
              <w:spacing w:after="80" w:line="360" w:lineRule="auto"/>
              <w:jc w:val="both"/>
              <w:outlineLvl w:val="0"/>
              <w:rPr>
                <w:b/>
              </w:rPr>
            </w:pPr>
            <w:r>
              <w:t>Main Speciality (</w:t>
            </w:r>
            <w:proofErr w:type="spellStart"/>
            <w:r>
              <w:t>main_</w:t>
            </w:r>
            <w:r w:rsidR="006E3D67">
              <w:t>speciality</w:t>
            </w:r>
            <w:proofErr w:type="spellEnd"/>
            <w:r>
              <w:t>)</w:t>
            </w:r>
          </w:p>
        </w:tc>
        <w:tc>
          <w:tcPr>
            <w:tcW w:w="1275" w:type="dxa"/>
            <w:vAlign w:val="center"/>
          </w:tcPr>
          <w:p w14:paraId="0A49370A" w14:textId="2E1D4814" w:rsidR="00A158E0" w:rsidRDefault="00A158E0" w:rsidP="00077904">
            <w:pPr>
              <w:spacing w:after="80" w:line="360" w:lineRule="auto"/>
              <w:jc w:val="center"/>
              <w:outlineLvl w:val="0"/>
              <w:rPr>
                <w:b/>
              </w:rPr>
            </w:pPr>
            <w:r>
              <w:t>100%</w:t>
            </w:r>
          </w:p>
        </w:tc>
        <w:tc>
          <w:tcPr>
            <w:tcW w:w="1317" w:type="dxa"/>
            <w:vAlign w:val="center"/>
          </w:tcPr>
          <w:p w14:paraId="35D13D52" w14:textId="3462E9CE" w:rsidR="00A158E0" w:rsidRDefault="00A158E0" w:rsidP="00077904">
            <w:pPr>
              <w:spacing w:after="80" w:line="360" w:lineRule="auto"/>
              <w:jc w:val="center"/>
              <w:outlineLvl w:val="0"/>
              <w:rPr>
                <w:b/>
              </w:rPr>
            </w:pPr>
            <w:r>
              <w:t>97.13%</w:t>
            </w:r>
          </w:p>
        </w:tc>
        <w:tc>
          <w:tcPr>
            <w:tcW w:w="1467" w:type="dxa"/>
            <w:vAlign w:val="center"/>
          </w:tcPr>
          <w:p w14:paraId="372A3F97" w14:textId="51B042B3" w:rsidR="00A158E0" w:rsidRDefault="00A158E0" w:rsidP="00077904">
            <w:pPr>
              <w:spacing w:after="80" w:line="360" w:lineRule="auto"/>
              <w:jc w:val="center"/>
              <w:outlineLvl w:val="0"/>
              <w:rPr>
                <w:b/>
              </w:rPr>
            </w:pPr>
            <w:r>
              <w:t>98.08</w:t>
            </w:r>
          </w:p>
        </w:tc>
      </w:tr>
      <w:tr w:rsidR="00D070A9" w14:paraId="66144824" w14:textId="77777777" w:rsidTr="00D070A9">
        <w:tc>
          <w:tcPr>
            <w:tcW w:w="1254" w:type="dxa"/>
            <w:vMerge/>
          </w:tcPr>
          <w:p w14:paraId="3DE09B4F" w14:textId="39C7195C" w:rsidR="00A158E0" w:rsidRDefault="00A158E0" w:rsidP="00A158E0">
            <w:pPr>
              <w:spacing w:after="80" w:line="360" w:lineRule="auto"/>
              <w:jc w:val="center"/>
              <w:outlineLvl w:val="0"/>
              <w:rPr>
                <w:b/>
              </w:rPr>
            </w:pPr>
          </w:p>
        </w:tc>
        <w:tc>
          <w:tcPr>
            <w:tcW w:w="3703" w:type="dxa"/>
            <w:vAlign w:val="center"/>
          </w:tcPr>
          <w:p w14:paraId="6CB2FF89" w14:textId="5DDDDA17" w:rsidR="00A158E0" w:rsidRDefault="00AC2586" w:rsidP="00A23430">
            <w:pPr>
              <w:spacing w:after="80" w:line="360" w:lineRule="auto"/>
              <w:jc w:val="both"/>
              <w:outlineLvl w:val="0"/>
              <w:rPr>
                <w:b/>
              </w:rPr>
            </w:pPr>
            <w:r>
              <w:t>Operation (o</w:t>
            </w:r>
            <w:r w:rsidR="00FE39BE">
              <w:t>per</w:t>
            </w:r>
            <w:r w:rsidR="00A158E0">
              <w:t>_01)</w:t>
            </w:r>
          </w:p>
        </w:tc>
        <w:tc>
          <w:tcPr>
            <w:tcW w:w="1275" w:type="dxa"/>
            <w:vAlign w:val="center"/>
          </w:tcPr>
          <w:p w14:paraId="2A0222CE" w14:textId="6084EA11" w:rsidR="00A158E0" w:rsidRDefault="00A158E0" w:rsidP="00077904">
            <w:pPr>
              <w:spacing w:after="80" w:line="360" w:lineRule="auto"/>
              <w:jc w:val="center"/>
              <w:outlineLvl w:val="0"/>
              <w:rPr>
                <w:b/>
              </w:rPr>
            </w:pPr>
            <w:r>
              <w:t>100%</w:t>
            </w:r>
          </w:p>
        </w:tc>
        <w:tc>
          <w:tcPr>
            <w:tcW w:w="1317" w:type="dxa"/>
            <w:vAlign w:val="center"/>
          </w:tcPr>
          <w:p w14:paraId="2EFE1260" w14:textId="66146F0E" w:rsidR="00A158E0" w:rsidRDefault="00A158E0" w:rsidP="00077904">
            <w:pPr>
              <w:spacing w:after="80" w:line="360" w:lineRule="auto"/>
              <w:jc w:val="center"/>
              <w:outlineLvl w:val="0"/>
              <w:rPr>
                <w:b/>
              </w:rPr>
            </w:pPr>
            <w:r>
              <w:t>72.62%</w:t>
            </w:r>
          </w:p>
        </w:tc>
        <w:tc>
          <w:tcPr>
            <w:tcW w:w="1467" w:type="dxa"/>
            <w:vAlign w:val="center"/>
          </w:tcPr>
          <w:p w14:paraId="6413C909" w14:textId="38F566F8" w:rsidR="00A158E0" w:rsidRDefault="00A158E0" w:rsidP="00077904">
            <w:pPr>
              <w:spacing w:after="80" w:line="360" w:lineRule="auto"/>
              <w:jc w:val="center"/>
              <w:outlineLvl w:val="0"/>
              <w:rPr>
                <w:b/>
              </w:rPr>
            </w:pPr>
            <w:r>
              <w:t>68.52%</w:t>
            </w:r>
          </w:p>
        </w:tc>
      </w:tr>
      <w:tr w:rsidR="00D070A9" w14:paraId="6D056FFC" w14:textId="77777777" w:rsidTr="00D070A9">
        <w:tc>
          <w:tcPr>
            <w:tcW w:w="1254" w:type="dxa"/>
            <w:vMerge/>
          </w:tcPr>
          <w:p w14:paraId="3320802B" w14:textId="1293A09F" w:rsidR="00A158E0" w:rsidRDefault="00A158E0" w:rsidP="00A158E0">
            <w:pPr>
              <w:spacing w:after="80" w:line="360" w:lineRule="auto"/>
              <w:jc w:val="center"/>
              <w:outlineLvl w:val="0"/>
              <w:rPr>
                <w:b/>
              </w:rPr>
            </w:pPr>
          </w:p>
        </w:tc>
        <w:tc>
          <w:tcPr>
            <w:tcW w:w="3703" w:type="dxa"/>
            <w:vAlign w:val="center"/>
          </w:tcPr>
          <w:p w14:paraId="00E1CB77" w14:textId="7BD10148" w:rsidR="00A158E0" w:rsidRDefault="00A158E0" w:rsidP="00CD381E">
            <w:pPr>
              <w:spacing w:after="80" w:line="360" w:lineRule="auto"/>
              <w:jc w:val="both"/>
              <w:outlineLvl w:val="0"/>
              <w:rPr>
                <w:b/>
              </w:rPr>
            </w:pPr>
            <w:r>
              <w:t xml:space="preserve">Discharge </w:t>
            </w:r>
            <w:r w:rsidR="00C81022">
              <w:t>Method (</w:t>
            </w:r>
            <w:proofErr w:type="spellStart"/>
            <w:r w:rsidR="00C81022">
              <w:t>dist_meth</w:t>
            </w:r>
            <w:proofErr w:type="spellEnd"/>
            <w:r>
              <w:t>)</w:t>
            </w:r>
          </w:p>
        </w:tc>
        <w:tc>
          <w:tcPr>
            <w:tcW w:w="1275" w:type="dxa"/>
            <w:vAlign w:val="center"/>
          </w:tcPr>
          <w:p w14:paraId="71473F89" w14:textId="6727D6BC" w:rsidR="00A158E0" w:rsidRDefault="00A158E0" w:rsidP="00077904">
            <w:pPr>
              <w:spacing w:after="80" w:line="360" w:lineRule="auto"/>
              <w:jc w:val="center"/>
              <w:outlineLvl w:val="0"/>
              <w:rPr>
                <w:b/>
              </w:rPr>
            </w:pPr>
            <w:r>
              <w:t>100%</w:t>
            </w:r>
          </w:p>
        </w:tc>
        <w:tc>
          <w:tcPr>
            <w:tcW w:w="1317" w:type="dxa"/>
            <w:vAlign w:val="center"/>
          </w:tcPr>
          <w:p w14:paraId="555D6A86" w14:textId="7E65EAA5" w:rsidR="00A158E0" w:rsidRDefault="00A158E0" w:rsidP="00077904">
            <w:pPr>
              <w:spacing w:after="80" w:line="360" w:lineRule="auto"/>
              <w:jc w:val="center"/>
              <w:outlineLvl w:val="0"/>
              <w:rPr>
                <w:b/>
              </w:rPr>
            </w:pPr>
            <w:r>
              <w:t>77.34%</w:t>
            </w:r>
          </w:p>
        </w:tc>
        <w:tc>
          <w:tcPr>
            <w:tcW w:w="1467" w:type="dxa"/>
            <w:vAlign w:val="center"/>
          </w:tcPr>
          <w:p w14:paraId="7BCC7084" w14:textId="26E7C1EA" w:rsidR="00A158E0" w:rsidRDefault="00A158E0" w:rsidP="00077904">
            <w:pPr>
              <w:spacing w:after="80" w:line="360" w:lineRule="auto"/>
              <w:jc w:val="center"/>
              <w:outlineLvl w:val="0"/>
              <w:rPr>
                <w:b/>
              </w:rPr>
            </w:pPr>
            <w:r>
              <w:t>79.09%</w:t>
            </w:r>
          </w:p>
        </w:tc>
      </w:tr>
      <w:tr w:rsidR="00D070A9" w14:paraId="1BE8A448" w14:textId="77777777" w:rsidTr="00D070A9">
        <w:tc>
          <w:tcPr>
            <w:tcW w:w="1254" w:type="dxa"/>
            <w:vMerge w:val="restart"/>
            <w:textDirection w:val="btLr"/>
          </w:tcPr>
          <w:p w14:paraId="04A61674" w14:textId="09A3F1DF" w:rsidR="00A158E0" w:rsidRDefault="00A158E0" w:rsidP="00A158E0">
            <w:pPr>
              <w:spacing w:after="80" w:line="360" w:lineRule="auto"/>
              <w:ind w:left="113" w:right="113"/>
              <w:jc w:val="center"/>
              <w:outlineLvl w:val="0"/>
              <w:rPr>
                <w:b/>
              </w:rPr>
            </w:pPr>
            <w:r>
              <w:rPr>
                <w:b/>
              </w:rPr>
              <w:t>Outpatient</w:t>
            </w:r>
          </w:p>
        </w:tc>
        <w:tc>
          <w:tcPr>
            <w:tcW w:w="3703" w:type="dxa"/>
            <w:vAlign w:val="center"/>
          </w:tcPr>
          <w:p w14:paraId="72B81603" w14:textId="67EBED30" w:rsidR="00A158E0" w:rsidRDefault="00A158E0" w:rsidP="00A23430">
            <w:pPr>
              <w:spacing w:after="80" w:line="360" w:lineRule="auto"/>
              <w:jc w:val="both"/>
              <w:outlineLvl w:val="0"/>
              <w:rPr>
                <w:b/>
              </w:rPr>
            </w:pPr>
            <w:r>
              <w:t>Attend (attended)</w:t>
            </w:r>
          </w:p>
        </w:tc>
        <w:tc>
          <w:tcPr>
            <w:tcW w:w="1275" w:type="dxa"/>
            <w:vAlign w:val="center"/>
          </w:tcPr>
          <w:p w14:paraId="1B3161EF" w14:textId="60F73954" w:rsidR="00A158E0" w:rsidRDefault="00A158E0" w:rsidP="00077904">
            <w:pPr>
              <w:spacing w:after="80" w:line="360" w:lineRule="auto"/>
              <w:jc w:val="center"/>
              <w:outlineLvl w:val="0"/>
              <w:rPr>
                <w:b/>
              </w:rPr>
            </w:pPr>
            <w:r>
              <w:t>100%</w:t>
            </w:r>
          </w:p>
        </w:tc>
        <w:tc>
          <w:tcPr>
            <w:tcW w:w="1317" w:type="dxa"/>
            <w:vAlign w:val="center"/>
          </w:tcPr>
          <w:p w14:paraId="5086D694" w14:textId="075F4521" w:rsidR="00A158E0" w:rsidRDefault="00A158E0" w:rsidP="00077904">
            <w:pPr>
              <w:spacing w:after="80" w:line="360" w:lineRule="auto"/>
              <w:jc w:val="center"/>
              <w:outlineLvl w:val="0"/>
              <w:rPr>
                <w:b/>
              </w:rPr>
            </w:pPr>
            <w:r>
              <w:t>77.07%</w:t>
            </w:r>
          </w:p>
        </w:tc>
        <w:tc>
          <w:tcPr>
            <w:tcW w:w="1467" w:type="dxa"/>
            <w:vAlign w:val="center"/>
          </w:tcPr>
          <w:p w14:paraId="5FE2D3EA" w14:textId="6CEBAEE5" w:rsidR="00A158E0" w:rsidRDefault="00A158E0" w:rsidP="00077904">
            <w:pPr>
              <w:spacing w:after="80" w:line="360" w:lineRule="auto"/>
              <w:jc w:val="center"/>
              <w:outlineLvl w:val="0"/>
              <w:rPr>
                <w:b/>
              </w:rPr>
            </w:pPr>
            <w:r>
              <w:t>80.28%</w:t>
            </w:r>
          </w:p>
        </w:tc>
      </w:tr>
      <w:tr w:rsidR="00D070A9" w14:paraId="30441037" w14:textId="77777777" w:rsidTr="00D070A9">
        <w:tc>
          <w:tcPr>
            <w:tcW w:w="1254" w:type="dxa"/>
            <w:vMerge/>
          </w:tcPr>
          <w:p w14:paraId="46F323B1" w14:textId="3F33B625" w:rsidR="00A158E0" w:rsidRDefault="00A158E0" w:rsidP="00A23430">
            <w:pPr>
              <w:spacing w:after="80" w:line="360" w:lineRule="auto"/>
              <w:jc w:val="both"/>
              <w:outlineLvl w:val="0"/>
              <w:rPr>
                <w:b/>
              </w:rPr>
            </w:pPr>
          </w:p>
        </w:tc>
        <w:tc>
          <w:tcPr>
            <w:tcW w:w="3703" w:type="dxa"/>
            <w:vAlign w:val="center"/>
          </w:tcPr>
          <w:p w14:paraId="78AD065A" w14:textId="492FD733" w:rsidR="00A158E0" w:rsidRDefault="00A94D34" w:rsidP="00A23430">
            <w:pPr>
              <w:spacing w:after="80" w:line="360" w:lineRule="auto"/>
              <w:jc w:val="both"/>
              <w:outlineLvl w:val="0"/>
              <w:rPr>
                <w:b/>
              </w:rPr>
            </w:pPr>
            <w:r>
              <w:t>Attended Type (</w:t>
            </w:r>
            <w:proofErr w:type="spellStart"/>
            <w:r>
              <w:t>attend</w:t>
            </w:r>
            <w:r w:rsidR="00A158E0">
              <w:t>_type</w:t>
            </w:r>
            <w:proofErr w:type="spellEnd"/>
            <w:r w:rsidR="00A158E0">
              <w:t>)</w:t>
            </w:r>
          </w:p>
        </w:tc>
        <w:tc>
          <w:tcPr>
            <w:tcW w:w="1275" w:type="dxa"/>
            <w:vAlign w:val="center"/>
          </w:tcPr>
          <w:p w14:paraId="20D9AEB9" w14:textId="549DE46D" w:rsidR="00A158E0" w:rsidRDefault="00A158E0" w:rsidP="00077904">
            <w:pPr>
              <w:spacing w:after="80" w:line="360" w:lineRule="auto"/>
              <w:jc w:val="center"/>
              <w:outlineLvl w:val="0"/>
              <w:rPr>
                <w:b/>
              </w:rPr>
            </w:pPr>
            <w:r>
              <w:t>100%</w:t>
            </w:r>
          </w:p>
        </w:tc>
        <w:tc>
          <w:tcPr>
            <w:tcW w:w="1317" w:type="dxa"/>
            <w:vAlign w:val="center"/>
          </w:tcPr>
          <w:p w14:paraId="5A10A4C8" w14:textId="4850FF51" w:rsidR="00A158E0" w:rsidRDefault="00A158E0" w:rsidP="00077904">
            <w:pPr>
              <w:spacing w:after="80" w:line="360" w:lineRule="auto"/>
              <w:jc w:val="center"/>
              <w:outlineLvl w:val="0"/>
              <w:rPr>
                <w:b/>
              </w:rPr>
            </w:pPr>
            <w:r>
              <w:t>100%</w:t>
            </w:r>
          </w:p>
        </w:tc>
        <w:tc>
          <w:tcPr>
            <w:tcW w:w="1467" w:type="dxa"/>
            <w:vAlign w:val="center"/>
          </w:tcPr>
          <w:p w14:paraId="4B8E61A0" w14:textId="665F9878" w:rsidR="00A158E0" w:rsidRDefault="00A158E0" w:rsidP="00077904">
            <w:pPr>
              <w:spacing w:after="80" w:line="360" w:lineRule="auto"/>
              <w:jc w:val="center"/>
              <w:outlineLvl w:val="0"/>
              <w:rPr>
                <w:b/>
              </w:rPr>
            </w:pPr>
            <w:r>
              <w:t>100%</w:t>
            </w:r>
          </w:p>
        </w:tc>
      </w:tr>
      <w:tr w:rsidR="00D070A9" w14:paraId="05C4DED3" w14:textId="77777777" w:rsidTr="00D070A9">
        <w:tc>
          <w:tcPr>
            <w:tcW w:w="1254" w:type="dxa"/>
            <w:vMerge/>
          </w:tcPr>
          <w:p w14:paraId="3E2EE6B2" w14:textId="7A97A019" w:rsidR="00A158E0" w:rsidRDefault="00A158E0" w:rsidP="00A23430">
            <w:pPr>
              <w:spacing w:after="80" w:line="360" w:lineRule="auto"/>
              <w:jc w:val="both"/>
              <w:outlineLvl w:val="0"/>
              <w:rPr>
                <w:b/>
              </w:rPr>
            </w:pPr>
          </w:p>
        </w:tc>
        <w:tc>
          <w:tcPr>
            <w:tcW w:w="3703" w:type="dxa"/>
            <w:vAlign w:val="center"/>
          </w:tcPr>
          <w:p w14:paraId="285516E7" w14:textId="3639CA53" w:rsidR="00A158E0" w:rsidRDefault="00A158E0" w:rsidP="00A23430">
            <w:pPr>
              <w:spacing w:after="80" w:line="360" w:lineRule="auto"/>
              <w:jc w:val="both"/>
              <w:outlineLvl w:val="0"/>
              <w:rPr>
                <w:b/>
              </w:rPr>
            </w:pPr>
            <w:r>
              <w:t>Main Speciality (main_</w:t>
            </w:r>
            <w:r w:rsidR="00A94D34">
              <w:t xml:space="preserve"> speciality</w:t>
            </w:r>
            <w:r>
              <w:t>)</w:t>
            </w:r>
          </w:p>
        </w:tc>
        <w:tc>
          <w:tcPr>
            <w:tcW w:w="1275" w:type="dxa"/>
            <w:vAlign w:val="center"/>
          </w:tcPr>
          <w:p w14:paraId="635C6665" w14:textId="6A5C91A2" w:rsidR="00A158E0" w:rsidRDefault="00A158E0" w:rsidP="00077904">
            <w:pPr>
              <w:spacing w:after="80" w:line="360" w:lineRule="auto"/>
              <w:jc w:val="center"/>
              <w:outlineLvl w:val="0"/>
              <w:rPr>
                <w:b/>
              </w:rPr>
            </w:pPr>
            <w:r>
              <w:t>100%</w:t>
            </w:r>
          </w:p>
        </w:tc>
        <w:tc>
          <w:tcPr>
            <w:tcW w:w="1317" w:type="dxa"/>
            <w:vAlign w:val="center"/>
          </w:tcPr>
          <w:p w14:paraId="6AD11FA8" w14:textId="7C4BE7EA" w:rsidR="00A158E0" w:rsidRDefault="00A158E0" w:rsidP="00077904">
            <w:pPr>
              <w:spacing w:after="80" w:line="360" w:lineRule="auto"/>
              <w:jc w:val="center"/>
              <w:outlineLvl w:val="0"/>
              <w:rPr>
                <w:b/>
              </w:rPr>
            </w:pPr>
            <w:r>
              <w:t>100%</w:t>
            </w:r>
          </w:p>
        </w:tc>
        <w:tc>
          <w:tcPr>
            <w:tcW w:w="1467" w:type="dxa"/>
            <w:vAlign w:val="center"/>
          </w:tcPr>
          <w:p w14:paraId="73B8709B" w14:textId="070CE3B6" w:rsidR="00A158E0" w:rsidRDefault="00A158E0" w:rsidP="00077904">
            <w:pPr>
              <w:spacing w:after="80" w:line="360" w:lineRule="auto"/>
              <w:jc w:val="center"/>
              <w:outlineLvl w:val="0"/>
              <w:rPr>
                <w:b/>
              </w:rPr>
            </w:pPr>
            <w:r>
              <w:t>100%</w:t>
            </w:r>
          </w:p>
        </w:tc>
      </w:tr>
      <w:tr w:rsidR="00D070A9" w14:paraId="73A49C85" w14:textId="77777777" w:rsidTr="00D070A9">
        <w:tc>
          <w:tcPr>
            <w:tcW w:w="1254" w:type="dxa"/>
            <w:vMerge/>
          </w:tcPr>
          <w:p w14:paraId="21313C6F" w14:textId="14C91AFC" w:rsidR="00A158E0" w:rsidRDefault="00A158E0" w:rsidP="00A23430">
            <w:pPr>
              <w:spacing w:after="80" w:line="360" w:lineRule="auto"/>
              <w:jc w:val="both"/>
              <w:outlineLvl w:val="0"/>
              <w:rPr>
                <w:b/>
              </w:rPr>
            </w:pPr>
          </w:p>
        </w:tc>
        <w:tc>
          <w:tcPr>
            <w:tcW w:w="3703" w:type="dxa"/>
            <w:vAlign w:val="center"/>
          </w:tcPr>
          <w:p w14:paraId="78E84490" w14:textId="14887F95" w:rsidR="00A158E0" w:rsidRDefault="00A158E0" w:rsidP="00A23430">
            <w:pPr>
              <w:spacing w:after="80" w:line="360" w:lineRule="auto"/>
              <w:jc w:val="both"/>
              <w:outlineLvl w:val="0"/>
              <w:rPr>
                <w:b/>
              </w:rPr>
            </w:pPr>
            <w:r>
              <w:t>Referral Source (</w:t>
            </w:r>
            <w:proofErr w:type="spellStart"/>
            <w:r>
              <w:t>ref_source</w:t>
            </w:r>
            <w:proofErr w:type="spellEnd"/>
            <w:r>
              <w:t>)</w:t>
            </w:r>
          </w:p>
        </w:tc>
        <w:tc>
          <w:tcPr>
            <w:tcW w:w="1275" w:type="dxa"/>
            <w:vAlign w:val="center"/>
          </w:tcPr>
          <w:p w14:paraId="019B4B24" w14:textId="53932F06" w:rsidR="00A158E0" w:rsidRDefault="00A158E0" w:rsidP="00077904">
            <w:pPr>
              <w:spacing w:after="80" w:line="360" w:lineRule="auto"/>
              <w:jc w:val="center"/>
              <w:outlineLvl w:val="0"/>
              <w:rPr>
                <w:b/>
              </w:rPr>
            </w:pPr>
            <w:r>
              <w:t>100%</w:t>
            </w:r>
          </w:p>
        </w:tc>
        <w:tc>
          <w:tcPr>
            <w:tcW w:w="1317" w:type="dxa"/>
            <w:vAlign w:val="center"/>
          </w:tcPr>
          <w:p w14:paraId="3D9E5D40" w14:textId="507FE659" w:rsidR="00A158E0" w:rsidRDefault="00A158E0" w:rsidP="00077904">
            <w:pPr>
              <w:spacing w:after="80" w:line="360" w:lineRule="auto"/>
              <w:jc w:val="center"/>
              <w:outlineLvl w:val="0"/>
              <w:rPr>
                <w:b/>
              </w:rPr>
            </w:pPr>
            <w:r>
              <w:t>78.60%</w:t>
            </w:r>
          </w:p>
        </w:tc>
        <w:tc>
          <w:tcPr>
            <w:tcW w:w="1467" w:type="dxa"/>
            <w:vAlign w:val="center"/>
          </w:tcPr>
          <w:p w14:paraId="7F6C2A6D" w14:textId="55B4D71F" w:rsidR="00A158E0" w:rsidRDefault="00A158E0" w:rsidP="00077904">
            <w:pPr>
              <w:spacing w:after="80" w:line="360" w:lineRule="auto"/>
              <w:jc w:val="center"/>
              <w:outlineLvl w:val="0"/>
              <w:rPr>
                <w:b/>
              </w:rPr>
            </w:pPr>
            <w:r>
              <w:t>100%</w:t>
            </w:r>
          </w:p>
        </w:tc>
      </w:tr>
      <w:tr w:rsidR="00D070A9" w14:paraId="4D46122D" w14:textId="77777777" w:rsidTr="00D070A9">
        <w:tc>
          <w:tcPr>
            <w:tcW w:w="1254" w:type="dxa"/>
            <w:vMerge/>
          </w:tcPr>
          <w:p w14:paraId="0D157D26" w14:textId="01021534" w:rsidR="00A158E0" w:rsidRDefault="00A158E0" w:rsidP="00A23430">
            <w:pPr>
              <w:spacing w:after="80" w:line="360" w:lineRule="auto"/>
              <w:jc w:val="both"/>
              <w:outlineLvl w:val="0"/>
              <w:rPr>
                <w:b/>
              </w:rPr>
            </w:pPr>
          </w:p>
        </w:tc>
        <w:tc>
          <w:tcPr>
            <w:tcW w:w="3703" w:type="dxa"/>
            <w:vAlign w:val="center"/>
          </w:tcPr>
          <w:p w14:paraId="0C6EE4C3" w14:textId="215104F4" w:rsidR="00A158E0" w:rsidRDefault="00A158E0" w:rsidP="00A23430">
            <w:pPr>
              <w:spacing w:after="80" w:line="360" w:lineRule="auto"/>
              <w:jc w:val="both"/>
              <w:outlineLvl w:val="0"/>
              <w:rPr>
                <w:b/>
              </w:rPr>
            </w:pPr>
            <w:r>
              <w:t>Diagnos</w:t>
            </w:r>
            <w:r w:rsidR="00D15B41">
              <w:t>i</w:t>
            </w:r>
            <w:r>
              <w:t>s (diag</w:t>
            </w:r>
            <w:r w:rsidR="00C70508">
              <w:t>_01</w:t>
            </w:r>
            <w:r>
              <w:t>)</w:t>
            </w:r>
            <w:r w:rsidR="00FB3CDC" w:rsidRPr="00FB3CDC">
              <w:rPr>
                <w:vertAlign w:val="superscript"/>
              </w:rPr>
              <w:t>2</w:t>
            </w:r>
          </w:p>
        </w:tc>
        <w:tc>
          <w:tcPr>
            <w:tcW w:w="1275" w:type="dxa"/>
            <w:vAlign w:val="center"/>
          </w:tcPr>
          <w:p w14:paraId="154ACB09" w14:textId="41901703" w:rsidR="00A158E0" w:rsidRDefault="00A158E0" w:rsidP="00077904">
            <w:pPr>
              <w:spacing w:after="80" w:line="360" w:lineRule="auto"/>
              <w:jc w:val="center"/>
              <w:outlineLvl w:val="0"/>
              <w:rPr>
                <w:b/>
              </w:rPr>
            </w:pPr>
            <w:r>
              <w:t>97.98%</w:t>
            </w:r>
          </w:p>
        </w:tc>
        <w:tc>
          <w:tcPr>
            <w:tcW w:w="1317" w:type="dxa"/>
            <w:vAlign w:val="center"/>
          </w:tcPr>
          <w:p w14:paraId="715BC29A" w14:textId="4FCFA5FB" w:rsidR="00A158E0" w:rsidRDefault="00A158E0" w:rsidP="00077904">
            <w:pPr>
              <w:spacing w:after="80" w:line="360" w:lineRule="auto"/>
              <w:jc w:val="center"/>
              <w:outlineLvl w:val="0"/>
              <w:rPr>
                <w:b/>
              </w:rPr>
            </w:pPr>
            <w:r>
              <w:t>100%</w:t>
            </w:r>
          </w:p>
        </w:tc>
        <w:tc>
          <w:tcPr>
            <w:tcW w:w="1467" w:type="dxa"/>
            <w:vAlign w:val="center"/>
          </w:tcPr>
          <w:p w14:paraId="68457FD6" w14:textId="6C1F6A7E" w:rsidR="00A158E0" w:rsidRDefault="00A158E0" w:rsidP="00077904">
            <w:pPr>
              <w:spacing w:after="80" w:line="360" w:lineRule="auto"/>
              <w:jc w:val="center"/>
              <w:outlineLvl w:val="0"/>
              <w:rPr>
                <w:b/>
              </w:rPr>
            </w:pPr>
            <w:r>
              <w:t>100%</w:t>
            </w:r>
          </w:p>
        </w:tc>
      </w:tr>
    </w:tbl>
    <w:p w14:paraId="22840998" w14:textId="7C93041E" w:rsidR="00FB3CDC" w:rsidRDefault="00393E68" w:rsidP="00FB3CDC">
      <w:pPr>
        <w:pStyle w:val="NoSpacing"/>
      </w:pPr>
      <w:r w:rsidRPr="00393E68">
        <w:rPr>
          <w:b/>
          <w:vertAlign w:val="superscript"/>
        </w:rPr>
        <w:t>1</w:t>
      </w:r>
      <w:r w:rsidR="00FB3CDC">
        <w:t xml:space="preserve">Represents a group of variables which describe the anatomical area, side body and </w:t>
      </w:r>
      <w:r w:rsidR="00C93F0B">
        <w:t>presenting diagnosis</w:t>
      </w:r>
      <w:r w:rsidR="00FB3CDC">
        <w:t>.</w:t>
      </w:r>
    </w:p>
    <w:p w14:paraId="59FEFE58" w14:textId="3E70CE4F" w:rsidR="004A4CBA" w:rsidRDefault="00FB3CDC" w:rsidP="00FB3CDC">
      <w:pPr>
        <w:pStyle w:val="NoSpacing"/>
      </w:pPr>
      <w:r w:rsidRPr="00FB3CDC">
        <w:rPr>
          <w:vertAlign w:val="superscript"/>
        </w:rPr>
        <w:t>2</w:t>
      </w:r>
      <w:r w:rsidR="00135BB5">
        <w:t>“</w:t>
      </w:r>
      <w:r w:rsidR="00135BB5" w:rsidRPr="00051D7C">
        <w:rPr>
          <w:i/>
        </w:rPr>
        <w:t>Unknown and unspecified causes of morbidity</w:t>
      </w:r>
      <w:r w:rsidR="00135BB5">
        <w:t xml:space="preserve">” assigned to 87.57% of all appointments. </w:t>
      </w:r>
    </w:p>
    <w:p w14:paraId="08A77F20" w14:textId="77777777" w:rsidR="00FB3CDC" w:rsidRPr="00FB3CDC" w:rsidRDefault="00FB3CDC" w:rsidP="00FB3CDC">
      <w:pPr>
        <w:pStyle w:val="NoSpacing"/>
      </w:pPr>
    </w:p>
    <w:p w14:paraId="6B876EAF" w14:textId="4EF9F6CA" w:rsidR="005F009C" w:rsidRDefault="0093523A" w:rsidP="00A23430">
      <w:pPr>
        <w:spacing w:after="80" w:line="360" w:lineRule="auto"/>
        <w:jc w:val="both"/>
        <w:outlineLvl w:val="0"/>
        <w:rPr>
          <w:b/>
        </w:rPr>
      </w:pPr>
      <w:r>
        <w:rPr>
          <w:b/>
        </w:rPr>
        <w:t xml:space="preserve">Healthcare </w:t>
      </w:r>
      <w:r w:rsidR="007571B1">
        <w:rPr>
          <w:b/>
        </w:rPr>
        <w:t xml:space="preserve">Utilisation </w:t>
      </w:r>
      <w:r>
        <w:rPr>
          <w:b/>
        </w:rPr>
        <w:t>and D</w:t>
      </w:r>
      <w:r w:rsidR="005F009C">
        <w:rPr>
          <w:b/>
        </w:rPr>
        <w:t xml:space="preserve">iagnoses in Accident and Emergency </w:t>
      </w:r>
    </w:p>
    <w:p w14:paraId="7323C4AE" w14:textId="38358D3B" w:rsidR="00A81B3B" w:rsidRDefault="00B7007A" w:rsidP="005A0CAA">
      <w:pPr>
        <w:spacing w:after="80" w:line="360" w:lineRule="auto"/>
        <w:jc w:val="both"/>
      </w:pPr>
      <w:r>
        <w:t xml:space="preserve">A total of </w:t>
      </w:r>
      <w:r w:rsidR="0084225F">
        <w:t>3</w:t>
      </w:r>
      <w:r w:rsidR="005E7E87">
        <w:t>,</w:t>
      </w:r>
      <w:r w:rsidR="0084225F">
        <w:t>192</w:t>
      </w:r>
      <w:r w:rsidR="008A72EE">
        <w:t xml:space="preserve"> participant</w:t>
      </w:r>
      <w:r>
        <w:t xml:space="preserve">s </w:t>
      </w:r>
      <w:r w:rsidR="00151479">
        <w:t>h</w:t>
      </w:r>
      <w:r>
        <w:t xml:space="preserve">ad </w:t>
      </w:r>
      <w:r w:rsidR="00D83286">
        <w:t>7</w:t>
      </w:r>
      <w:r w:rsidR="005E7E87">
        <w:t>,</w:t>
      </w:r>
      <w:r w:rsidR="00D83286">
        <w:t>510</w:t>
      </w:r>
      <w:r>
        <w:t xml:space="preserve"> </w:t>
      </w:r>
      <w:r w:rsidR="00BA3B31">
        <w:t>admissions to A&amp;E</w:t>
      </w:r>
      <w:r w:rsidR="00942869">
        <w:t xml:space="preserve"> </w:t>
      </w:r>
      <w:r w:rsidR="00BA3B31">
        <w:t>(</w:t>
      </w:r>
      <w:r w:rsidR="00942869">
        <w:t>2</w:t>
      </w:r>
      <w:r w:rsidR="00D17BBF">
        <w:t>,</w:t>
      </w:r>
      <w:r w:rsidR="00942869">
        <w:t>813 (88.13%)</w:t>
      </w:r>
      <w:r w:rsidR="00D3197C">
        <w:t xml:space="preserve"> male</w:t>
      </w:r>
      <w:r w:rsidR="00BA3B31">
        <w:t>s</w:t>
      </w:r>
      <w:r w:rsidR="00D3197C">
        <w:t xml:space="preserve"> and 379 (11.87%</w:t>
      </w:r>
      <w:r>
        <w:t>) female</w:t>
      </w:r>
      <w:r w:rsidR="00BA3B31">
        <w:t>s)</w:t>
      </w:r>
      <w:r>
        <w:t>.</w:t>
      </w:r>
      <w:r w:rsidR="00A61B47" w:rsidRPr="00A61B47">
        <w:t xml:space="preserve"> </w:t>
      </w:r>
      <w:r w:rsidR="00A61B47">
        <w:t>253 variab</w:t>
      </w:r>
      <w:r w:rsidR="00803414">
        <w:t>les were available for linkage</w:t>
      </w:r>
      <w:r w:rsidR="00BA3B31">
        <w:t>,</w:t>
      </w:r>
      <w:r w:rsidR="00A61B47">
        <w:t xml:space="preserve"> we deri</w:t>
      </w:r>
      <w:r w:rsidR="00BA3B31">
        <w:t>ved 102 common variables</w:t>
      </w:r>
      <w:r w:rsidR="00A61B47">
        <w:t xml:space="preserve">. </w:t>
      </w:r>
      <w:r w:rsidR="00AB6546">
        <w:t xml:space="preserve"> </w:t>
      </w:r>
      <w:r w:rsidR="00BA3B31">
        <w:t>Out</w:t>
      </w:r>
      <w:r w:rsidR="008B4177">
        <w:t xml:space="preserve"> </w:t>
      </w:r>
      <w:r w:rsidR="00D17BBF">
        <w:t>of the</w:t>
      </w:r>
      <w:r w:rsidR="00C50EF7">
        <w:t xml:space="preserve"> admission</w:t>
      </w:r>
      <w:r w:rsidR="009A6119">
        <w:t>s</w:t>
      </w:r>
      <w:r w:rsidR="00C50EF7">
        <w:t xml:space="preserve"> to A&amp;E, 90.</w:t>
      </w:r>
      <w:r w:rsidR="00482C51">
        <w:t>32</w:t>
      </w:r>
      <w:r w:rsidR="00D17BBF">
        <w:t>%</w:t>
      </w:r>
      <w:r w:rsidR="008B4177">
        <w:t xml:space="preserve"> were discharged or transferred </w:t>
      </w:r>
      <w:r w:rsidR="00BA3B31">
        <w:t xml:space="preserve">to a ward </w:t>
      </w:r>
      <w:r w:rsidR="008B4177">
        <w:t>on the day of admission</w:t>
      </w:r>
      <w:r w:rsidR="00BA3B31">
        <w:t>,</w:t>
      </w:r>
      <w:r w:rsidR="008B4177">
        <w:t xml:space="preserve"> with 9.</w:t>
      </w:r>
      <w:r w:rsidR="00482C51">
        <w:t>62</w:t>
      </w:r>
      <w:r w:rsidR="008B4177">
        <w:t xml:space="preserve">% spending at least 24 hours within A&amp;E. </w:t>
      </w:r>
      <w:r w:rsidR="00C41A0B">
        <w:t xml:space="preserve">There were five methods </w:t>
      </w:r>
      <w:r w:rsidR="00B60C63">
        <w:t xml:space="preserve">identified </w:t>
      </w:r>
      <w:r w:rsidR="00F92401">
        <w:t>for recording reason</w:t>
      </w:r>
      <w:r w:rsidR="00542E3A">
        <w:t xml:space="preserve"> for </w:t>
      </w:r>
      <w:r w:rsidR="00E80D30">
        <w:t xml:space="preserve">an </w:t>
      </w:r>
      <w:r w:rsidR="00542E3A">
        <w:t xml:space="preserve">admission; </w:t>
      </w:r>
      <w:r w:rsidR="004F73A0">
        <w:t>for</w:t>
      </w:r>
      <w:r w:rsidR="00542E3A">
        <w:t xml:space="preserve"> England:</w:t>
      </w:r>
      <w:r w:rsidR="00C41A0B">
        <w:t xml:space="preserve"> ICD-10, local coding and regional codi</w:t>
      </w:r>
      <w:r w:rsidR="00542E3A">
        <w:t>ng schemes, Wales:</w:t>
      </w:r>
      <w:r w:rsidR="00C41A0B">
        <w:t xml:space="preserve"> ICD-10 and regional coding </w:t>
      </w:r>
      <w:r w:rsidR="00542E3A">
        <w:t>schemes, finally</w:t>
      </w:r>
      <w:r w:rsidR="00D17BBF">
        <w:t xml:space="preserve"> Scotland: </w:t>
      </w:r>
      <w:r w:rsidR="002756EA">
        <w:t xml:space="preserve">ICD-10 and free-text input. </w:t>
      </w:r>
      <w:r w:rsidR="00AB6546">
        <w:t xml:space="preserve">The most common </w:t>
      </w:r>
      <w:r w:rsidR="00BA3B31">
        <w:t>mode of attendance</w:t>
      </w:r>
      <w:r w:rsidR="00AB6546">
        <w:t xml:space="preserve"> was self-presentation (75.50%) followed-by road ambulance </w:t>
      </w:r>
      <w:r w:rsidR="002B6E65">
        <w:t>(7.</w:t>
      </w:r>
      <w:r w:rsidR="00803414">
        <w:t>49%) and then hospital transfer</w:t>
      </w:r>
      <w:r w:rsidR="002B6E65">
        <w:t xml:space="preserve"> (6.52%). </w:t>
      </w:r>
    </w:p>
    <w:p w14:paraId="2FFFE3FD" w14:textId="31E2409F" w:rsidR="003D6767" w:rsidRDefault="00AC34B7" w:rsidP="005A0CAA">
      <w:pPr>
        <w:spacing w:after="80" w:line="360" w:lineRule="auto"/>
        <w:jc w:val="both"/>
      </w:pPr>
      <w:r>
        <w:t>V</w:t>
      </w:r>
      <w:r w:rsidR="002208FC">
        <w:t>ariable completeness</w:t>
      </w:r>
      <w:r>
        <w:t xml:space="preserve"> of the original data </w:t>
      </w:r>
      <w:r w:rsidR="00107E21">
        <w:t xml:space="preserve">providers </w:t>
      </w:r>
      <w:r>
        <w:t>(</w:t>
      </w:r>
      <w:r>
        <w:fldChar w:fldCharType="begin"/>
      </w:r>
      <w:r>
        <w:instrText xml:space="preserve"> REF _Ref326999309 \h </w:instrText>
      </w:r>
      <w:r w:rsidR="005A0CAA">
        <w:instrText xml:space="preserve"> \* MERGEFORMAT </w:instrText>
      </w:r>
      <w:r>
        <w:fldChar w:fldCharType="separate"/>
      </w:r>
      <w:r w:rsidR="000632B6">
        <w:t xml:space="preserve">Table </w:t>
      </w:r>
      <w:r w:rsidR="000632B6">
        <w:rPr>
          <w:noProof/>
        </w:rPr>
        <w:t>1</w:t>
      </w:r>
      <w:r>
        <w:fldChar w:fldCharType="end"/>
      </w:r>
      <w:r>
        <w:t>)</w:t>
      </w:r>
      <w:r w:rsidR="002208FC">
        <w:t xml:space="preserve">, </w:t>
      </w:r>
      <w:r>
        <w:t>measured as a</w:t>
      </w:r>
      <w:r w:rsidR="002208FC">
        <w:t xml:space="preserve"> valid</w:t>
      </w:r>
      <w:r w:rsidR="009B7FC7">
        <w:t xml:space="preserve"> value being present was 47.12%</w:t>
      </w:r>
      <w:r w:rsidR="002208FC">
        <w:t xml:space="preserve"> </w:t>
      </w:r>
      <w:r w:rsidR="009B7FC7">
        <w:t>(</w:t>
      </w:r>
      <w:r w:rsidR="004C6525">
        <w:fldChar w:fldCharType="begin"/>
      </w:r>
      <w:r w:rsidR="004C6525">
        <w:instrText xml:space="preserve"> REF _Ref468792238 \h </w:instrText>
      </w:r>
      <w:r w:rsidR="005A0CAA">
        <w:instrText xml:space="preserve"> \* MERGEFORMAT </w:instrText>
      </w:r>
      <w:r w:rsidR="004C6525">
        <w:fldChar w:fldCharType="separate"/>
      </w:r>
      <w:r w:rsidR="000632B6">
        <w:t xml:space="preserve">Table </w:t>
      </w:r>
      <w:r w:rsidR="000632B6">
        <w:rPr>
          <w:noProof/>
        </w:rPr>
        <w:t>5</w:t>
      </w:r>
      <w:r w:rsidR="004C6525">
        <w:fldChar w:fldCharType="end"/>
      </w:r>
      <w:r w:rsidR="009B7FC7">
        <w:t>)</w:t>
      </w:r>
      <w:r w:rsidR="002208FC">
        <w:t>.</w:t>
      </w:r>
      <w:r w:rsidR="0058562A">
        <w:t xml:space="preserve"> This reflects</w:t>
      </w:r>
      <w:r w:rsidR="00235472">
        <w:t xml:space="preserve"> a </w:t>
      </w:r>
      <w:r w:rsidR="00415E1D">
        <w:t xml:space="preserve">code </w:t>
      </w:r>
      <w:r w:rsidR="00803414">
        <w:t>presence</w:t>
      </w:r>
      <w:r w:rsidR="00415E1D">
        <w:t xml:space="preserve"> </w:t>
      </w:r>
      <w:r w:rsidR="0058562A">
        <w:t>of</w:t>
      </w:r>
      <w:r w:rsidR="00803414">
        <w:t xml:space="preserve"> less than 60%</w:t>
      </w:r>
      <w:r w:rsidR="00415E1D">
        <w:t xml:space="preserve"> for</w:t>
      </w:r>
      <w:r w:rsidR="0058562A">
        <w:t xml:space="preserve"> A&amp;E admissions</w:t>
      </w:r>
      <w:r w:rsidR="001B415F">
        <w:t xml:space="preserve"> with Reason for Admission, Treatment and Investigation</w:t>
      </w:r>
      <w:r w:rsidR="0058562A">
        <w:t xml:space="preserve">. </w:t>
      </w:r>
      <w:r w:rsidR="002208FC">
        <w:t xml:space="preserve"> </w:t>
      </w:r>
      <w:r w:rsidR="00EA679A">
        <w:t>It is important to note that Reason for Admission relates to the presenting complaint(s) of the patient upon admission</w:t>
      </w:r>
      <w:r w:rsidR="00CB722D">
        <w:t xml:space="preserve">, in England up to 12 can be recorded. </w:t>
      </w:r>
      <w:r w:rsidR="00F82C38">
        <w:t>As illustrated in</w:t>
      </w:r>
      <w:r w:rsidR="004C6525">
        <w:t xml:space="preserve"> </w:t>
      </w:r>
      <w:r w:rsidR="004C6525">
        <w:fldChar w:fldCharType="begin"/>
      </w:r>
      <w:r w:rsidR="004C6525">
        <w:instrText xml:space="preserve"> REF _Ref468792238 \h </w:instrText>
      </w:r>
      <w:r w:rsidR="005A0CAA">
        <w:instrText xml:space="preserve"> \* MERGEFORMAT </w:instrText>
      </w:r>
      <w:r w:rsidR="004C6525">
        <w:fldChar w:fldCharType="separate"/>
      </w:r>
      <w:r w:rsidR="000632B6">
        <w:t xml:space="preserve">Table </w:t>
      </w:r>
      <w:r w:rsidR="000632B6">
        <w:rPr>
          <w:noProof/>
        </w:rPr>
        <w:t>5</w:t>
      </w:r>
      <w:r w:rsidR="004C6525">
        <w:fldChar w:fldCharType="end"/>
      </w:r>
      <w:r w:rsidR="00F82C38">
        <w:t xml:space="preserve">, completeness for Reason for Admission was </w:t>
      </w:r>
      <w:r w:rsidR="0058562A">
        <w:t>56.43</w:t>
      </w:r>
      <w:r w:rsidR="00F82C38">
        <w:t>%</w:t>
      </w:r>
      <w:r w:rsidR="00E67B3C">
        <w:t xml:space="preserve">, meaning that </w:t>
      </w:r>
      <w:r w:rsidR="00C33AEE">
        <w:t>almost half of all</w:t>
      </w:r>
      <w:r w:rsidR="00BD0537">
        <w:t xml:space="preserve"> </w:t>
      </w:r>
      <w:r w:rsidR="006E7FB8">
        <w:t>admission</w:t>
      </w:r>
      <w:r w:rsidR="00C33AEE">
        <w:t>s</w:t>
      </w:r>
      <w:r w:rsidR="006E7FB8">
        <w:t xml:space="preserve"> did not have any presenting complaint or assigned diagnoses. </w:t>
      </w:r>
      <w:r w:rsidR="00A05AFF">
        <w:t xml:space="preserve">Conversely, variables related to the patient admission, care provider and cost were </w:t>
      </w:r>
      <w:r w:rsidR="00803414">
        <w:t>consistently</w:t>
      </w:r>
      <w:r w:rsidR="00A05AFF">
        <w:t xml:space="preserve"> coded (&gt;90%).  </w:t>
      </w:r>
    </w:p>
    <w:p w14:paraId="52E9C533" w14:textId="1E86C834" w:rsidR="005F009C" w:rsidRDefault="0093523A" w:rsidP="00A23430">
      <w:pPr>
        <w:spacing w:after="80" w:line="360" w:lineRule="auto"/>
        <w:jc w:val="both"/>
        <w:outlineLvl w:val="0"/>
        <w:rPr>
          <w:b/>
        </w:rPr>
      </w:pPr>
      <w:r>
        <w:rPr>
          <w:b/>
        </w:rPr>
        <w:t xml:space="preserve">Healthcare </w:t>
      </w:r>
      <w:r w:rsidR="007571B1">
        <w:rPr>
          <w:b/>
        </w:rPr>
        <w:t>Utilisation</w:t>
      </w:r>
      <w:r>
        <w:rPr>
          <w:b/>
        </w:rPr>
        <w:t xml:space="preserve"> and D</w:t>
      </w:r>
      <w:r w:rsidR="00370208">
        <w:rPr>
          <w:b/>
        </w:rPr>
        <w:t xml:space="preserve">iagnoses in </w:t>
      </w:r>
      <w:r w:rsidR="005F009C">
        <w:rPr>
          <w:b/>
        </w:rPr>
        <w:t>Admitted Patient Care</w:t>
      </w:r>
    </w:p>
    <w:p w14:paraId="59D7E372" w14:textId="3A4C66E8" w:rsidR="00A15D5F" w:rsidRDefault="005043AA" w:rsidP="005A0CAA">
      <w:pPr>
        <w:spacing w:after="80" w:line="360" w:lineRule="auto"/>
        <w:jc w:val="both"/>
      </w:pPr>
      <w:r>
        <w:t>A total of 3</w:t>
      </w:r>
      <w:r w:rsidR="005E7E87">
        <w:t>,</w:t>
      </w:r>
      <w:r>
        <w:t>324 participants had 9</w:t>
      </w:r>
      <w:r w:rsidR="005E7E87">
        <w:t>,</w:t>
      </w:r>
      <w:r>
        <w:t>316 episodes</w:t>
      </w:r>
      <w:r w:rsidR="00D303BF">
        <w:t>,</w:t>
      </w:r>
      <w:r>
        <w:t xml:space="preserve"> 2</w:t>
      </w:r>
      <w:r w:rsidR="005E7E87">
        <w:t xml:space="preserve">,842 </w:t>
      </w:r>
      <w:r w:rsidR="00D303BF">
        <w:t>were male</w:t>
      </w:r>
      <w:r w:rsidR="005E7E87">
        <w:t xml:space="preserve"> (85.50%) and 482 </w:t>
      </w:r>
      <w:r w:rsidR="00D303BF">
        <w:t xml:space="preserve">were </w:t>
      </w:r>
      <w:r w:rsidR="008F1546">
        <w:t xml:space="preserve">female </w:t>
      </w:r>
      <w:r w:rsidR="005E7E87">
        <w:t>(14.50</w:t>
      </w:r>
      <w:r>
        <w:t>%)</w:t>
      </w:r>
      <w:r w:rsidR="007C2035">
        <w:t>;</w:t>
      </w:r>
      <w:r w:rsidR="008F1546">
        <w:t xml:space="preserve"> </w:t>
      </w:r>
      <w:r>
        <w:t>416</w:t>
      </w:r>
      <w:r w:rsidR="00D303BF">
        <w:t xml:space="preserve"> variables were present from the nations</w:t>
      </w:r>
      <w:r w:rsidR="00803414">
        <w:t xml:space="preserve">, </w:t>
      </w:r>
      <w:r w:rsidR="00D303BF">
        <w:t>with</w:t>
      </w:r>
      <w:r w:rsidR="00823735">
        <w:t xml:space="preserve"> </w:t>
      </w:r>
      <w:r w:rsidR="00A15D5F">
        <w:t xml:space="preserve">89 common variables </w:t>
      </w:r>
      <w:r w:rsidR="00D303BF">
        <w:t xml:space="preserve">identified </w:t>
      </w:r>
      <w:r w:rsidR="00A15D5F">
        <w:t>to represent a single episode. Overall, variable completeness</w:t>
      </w:r>
      <w:r w:rsidR="00C81345">
        <w:t xml:space="preserve"> across the derived dataset</w:t>
      </w:r>
      <w:r w:rsidR="00A15D5F">
        <w:t xml:space="preserve">, in terms of a value being present was 78.06% </w:t>
      </w:r>
      <w:r w:rsidR="00FB6948">
        <w:t>(</w:t>
      </w:r>
      <w:r w:rsidR="00A7421C">
        <w:fldChar w:fldCharType="begin"/>
      </w:r>
      <w:r w:rsidR="00A7421C">
        <w:instrText xml:space="preserve"> REF _Ref468792238 \h </w:instrText>
      </w:r>
      <w:r w:rsidR="005A0CAA">
        <w:instrText xml:space="preserve"> \* MERGEFORMAT </w:instrText>
      </w:r>
      <w:r w:rsidR="00A7421C">
        <w:fldChar w:fldCharType="separate"/>
      </w:r>
      <w:r w:rsidR="000632B6">
        <w:t xml:space="preserve">Table </w:t>
      </w:r>
      <w:r w:rsidR="000632B6">
        <w:rPr>
          <w:noProof/>
        </w:rPr>
        <w:t>5</w:t>
      </w:r>
      <w:r w:rsidR="00A7421C">
        <w:fldChar w:fldCharType="end"/>
      </w:r>
      <w:r w:rsidR="00FB6948">
        <w:t>)</w:t>
      </w:r>
      <w:r w:rsidR="00A15D5F">
        <w:t xml:space="preserve">. All episodes were recorded with at least one </w:t>
      </w:r>
      <w:r w:rsidR="00D10036">
        <w:t>diagnosis</w:t>
      </w:r>
      <w:r w:rsidR="00A15D5F">
        <w:t xml:space="preserve"> using ICD-10 coding scheme with full completeness across all three nations. There was </w:t>
      </w:r>
      <w:r w:rsidR="00803414">
        <w:t>high</w:t>
      </w:r>
      <w:r w:rsidR="00A15D5F">
        <w:t xml:space="preserve"> variable completeness amongst Admittance, Diagnos</w:t>
      </w:r>
      <w:r w:rsidR="00542F73">
        <w:t>i</w:t>
      </w:r>
      <w:r w:rsidR="00A15D5F">
        <w:t xml:space="preserve">s/Classification and Care Speciality variable groups (&gt;85%).  Conversely, variables related to the patient discharge, episode order and cost were </w:t>
      </w:r>
      <w:r w:rsidR="0025713E">
        <w:t xml:space="preserve">more likely to be </w:t>
      </w:r>
      <w:r w:rsidR="00A15D5F">
        <w:t xml:space="preserve">missing </w:t>
      </w:r>
      <w:r w:rsidR="00542F73">
        <w:t>data</w:t>
      </w:r>
      <w:r w:rsidR="00A15D5F">
        <w:t xml:space="preserve"> (&lt;80%).  </w:t>
      </w:r>
    </w:p>
    <w:p w14:paraId="7D2A0C02" w14:textId="41968699" w:rsidR="00F16CCB" w:rsidRDefault="00C8051C" w:rsidP="005A0CAA">
      <w:pPr>
        <w:spacing w:after="80" w:line="360" w:lineRule="auto"/>
        <w:jc w:val="both"/>
      </w:pPr>
      <w:r>
        <w:t xml:space="preserve">Unlike A&amp;E or Outpatient EHR, each record was accompanied by a </w:t>
      </w:r>
      <w:r w:rsidR="00DE6B1E">
        <w:t>diagnosis;</w:t>
      </w:r>
      <w:r>
        <w:t xml:space="preserve"> </w:t>
      </w:r>
      <w:r w:rsidR="00803414">
        <w:t>completeness</w:t>
      </w:r>
      <w:r w:rsidR="00DE6B1E">
        <w:t xml:space="preserve"> was 100%. In this population, </w:t>
      </w:r>
      <w:r w:rsidR="00DC212E">
        <w:t xml:space="preserve">17,541 </w:t>
      </w:r>
      <w:r w:rsidR="006F25B3">
        <w:t xml:space="preserve">individual </w:t>
      </w:r>
      <w:r w:rsidR="00DC212E">
        <w:t>ICD-10 diagnoses</w:t>
      </w:r>
      <w:r w:rsidR="0020774C">
        <w:t>,</w:t>
      </w:r>
      <w:r w:rsidR="00DC212E">
        <w:t xml:space="preserve"> representing </w:t>
      </w:r>
      <w:r w:rsidR="0020774C">
        <w:t xml:space="preserve">963 ICD-10 </w:t>
      </w:r>
      <w:r w:rsidR="006F25B3">
        <w:t xml:space="preserve">(3-digit) </w:t>
      </w:r>
      <w:r w:rsidR="00E35CC1">
        <w:t>disease</w:t>
      </w:r>
      <w:r w:rsidR="0020774C">
        <w:t xml:space="preserve"> groups</w:t>
      </w:r>
      <w:r w:rsidR="00DE51B3">
        <w:t xml:space="preserve"> </w:t>
      </w:r>
      <w:r w:rsidR="00742DFC">
        <w:t>including</w:t>
      </w:r>
      <w:r w:rsidR="00A012D3">
        <w:t xml:space="preserve"> </w:t>
      </w:r>
      <w:r w:rsidR="00742DFC">
        <w:t>primary and secondary diagnoses</w:t>
      </w:r>
      <w:r w:rsidR="00CA5C82">
        <w:t xml:space="preserve"> </w:t>
      </w:r>
      <w:r w:rsidR="00DE6B1E">
        <w:t>were recorde</w:t>
      </w:r>
      <w:r w:rsidR="007D29EE">
        <w:t xml:space="preserve">d. Aggregating the ICD-10 </w:t>
      </w:r>
      <w:r w:rsidR="00CA5C82">
        <w:t xml:space="preserve">code </w:t>
      </w:r>
      <w:r w:rsidR="00CA5C82" w:rsidRPr="00F04836">
        <w:rPr>
          <w:i/>
        </w:rPr>
        <w:t>Z51</w:t>
      </w:r>
      <w:r w:rsidR="00CA5C82">
        <w:t xml:space="preserve"> representing </w:t>
      </w:r>
      <w:r w:rsidR="00585233">
        <w:t>“</w:t>
      </w:r>
      <w:r w:rsidR="00585233" w:rsidRPr="009B12EF">
        <w:rPr>
          <w:i/>
        </w:rPr>
        <w:t>Other medical car</w:t>
      </w:r>
      <w:r w:rsidR="00A156B2" w:rsidRPr="009B12EF">
        <w:rPr>
          <w:i/>
        </w:rPr>
        <w:t>e</w:t>
      </w:r>
      <w:r w:rsidR="00585233">
        <w:t>”</w:t>
      </w:r>
      <w:r w:rsidR="00F04836">
        <w:t>’</w:t>
      </w:r>
      <w:r w:rsidR="007D29EE">
        <w:t xml:space="preserve"> was the most common</w:t>
      </w:r>
      <w:r w:rsidR="00CA5C82">
        <w:t xml:space="preserve"> (</w:t>
      </w:r>
      <w:r w:rsidR="00CA5C82">
        <w:fldChar w:fldCharType="begin"/>
      </w:r>
      <w:r w:rsidR="00CA5C82">
        <w:instrText xml:space="preserve"> REF _Ref456891404 \h </w:instrText>
      </w:r>
      <w:r w:rsidR="00A67987">
        <w:instrText xml:space="preserve"> \* MERGEFORMAT </w:instrText>
      </w:r>
      <w:r w:rsidR="00CA5C82">
        <w:fldChar w:fldCharType="separate"/>
      </w:r>
      <w:r w:rsidR="000632B6">
        <w:t xml:space="preserve">Table </w:t>
      </w:r>
      <w:r w:rsidR="000632B6">
        <w:rPr>
          <w:noProof/>
        </w:rPr>
        <w:t>6</w:t>
      </w:r>
      <w:r w:rsidR="00CA5C82">
        <w:fldChar w:fldCharType="end"/>
      </w:r>
      <w:r w:rsidR="00CA5C82">
        <w:t>)</w:t>
      </w:r>
      <w:r w:rsidR="0020774C">
        <w:t>.</w:t>
      </w:r>
      <w:r w:rsidR="00A01506">
        <w:t xml:space="preserve"> Predominately, males across all codes are more likely to be admitted </w:t>
      </w:r>
      <w:r w:rsidR="00F254C4">
        <w:t xml:space="preserve">than females </w:t>
      </w:r>
      <w:r w:rsidR="00A86EE6">
        <w:t>(</w:t>
      </w:r>
      <w:r w:rsidR="00A01506">
        <w:t>except in the event of “</w:t>
      </w:r>
      <w:r w:rsidR="00A01506" w:rsidRPr="00A01506">
        <w:rPr>
          <w:i/>
        </w:rPr>
        <w:t>Outcome of Delivery</w:t>
      </w:r>
      <w:r w:rsidR="00A86EE6">
        <w:t>” which relates to child birth);</w:t>
      </w:r>
      <w:r w:rsidR="00F254C4">
        <w:t xml:space="preserve"> this is not unexpected, </w:t>
      </w:r>
      <w:r w:rsidR="00A86EE6">
        <w:t xml:space="preserve">as </w:t>
      </w:r>
      <w:r w:rsidR="00F254C4">
        <w:t xml:space="preserve">the cohort is </w:t>
      </w:r>
      <w:r w:rsidR="00B124CE">
        <w:t>largely</w:t>
      </w:r>
      <w:r w:rsidR="00F254C4">
        <w:t xml:space="preserve"> male.</w:t>
      </w:r>
      <w:r w:rsidR="00A01506">
        <w:t xml:space="preserve"> </w:t>
      </w:r>
      <w:r w:rsidR="0020774C">
        <w:t xml:space="preserve"> </w:t>
      </w:r>
      <w:r w:rsidR="00600B95">
        <w:t xml:space="preserve">The most common source of an admission </w:t>
      </w:r>
      <w:r w:rsidR="0002292A">
        <w:t>was the residential home of the patient (90.07%)</w:t>
      </w:r>
      <w:r w:rsidR="00542F73">
        <w:t xml:space="preserve"> and</w:t>
      </w:r>
      <w:r w:rsidR="0002292A">
        <w:t xml:space="preserve"> other NHS hospitals was the second most common source (8.08%). </w:t>
      </w:r>
      <w:r w:rsidR="00E3576F">
        <w:t>Five</w:t>
      </w:r>
      <w:r w:rsidR="00DE76C3">
        <w:t xml:space="preserve"> participants died during </w:t>
      </w:r>
      <w:r w:rsidR="00E540C9">
        <w:t>a hospital</w:t>
      </w:r>
      <w:r w:rsidR="00584C48">
        <w:t xml:space="preserve"> episode</w:t>
      </w:r>
      <w:r w:rsidR="00DE76C3">
        <w:t xml:space="preserve">. </w:t>
      </w:r>
    </w:p>
    <w:p w14:paraId="7AAB9318" w14:textId="3DCAB4F6" w:rsidR="00E72228" w:rsidRDefault="00E72228" w:rsidP="00A23430">
      <w:pPr>
        <w:pStyle w:val="Caption"/>
        <w:keepNext/>
        <w:outlineLvl w:val="0"/>
      </w:pPr>
      <w:bookmarkStart w:id="7" w:name="_Ref456891404"/>
      <w:r>
        <w:t xml:space="preserve">Table </w:t>
      </w:r>
      <w:fldSimple w:instr=" SEQ Table \* ARABIC ">
        <w:r w:rsidR="000632B6">
          <w:rPr>
            <w:noProof/>
          </w:rPr>
          <w:t>6</w:t>
        </w:r>
      </w:fldSimple>
      <w:bookmarkEnd w:id="7"/>
      <w:r>
        <w:t>: Most common ICD-10 codes assigned dur</w:t>
      </w:r>
      <w:r w:rsidR="009D2EB5">
        <w:t xml:space="preserve">ing Admitted Patient Care visit with gender comparison. </w:t>
      </w:r>
    </w:p>
    <w:tbl>
      <w:tblPr>
        <w:tblStyle w:val="TableGrid"/>
        <w:tblW w:w="9009" w:type="dxa"/>
        <w:tblLook w:val="04A0" w:firstRow="1" w:lastRow="0" w:firstColumn="1" w:lastColumn="0" w:noHBand="0" w:noVBand="1"/>
      </w:tblPr>
      <w:tblGrid>
        <w:gridCol w:w="440"/>
        <w:gridCol w:w="872"/>
        <w:gridCol w:w="2765"/>
        <w:gridCol w:w="1701"/>
        <w:gridCol w:w="1560"/>
        <w:gridCol w:w="1671"/>
      </w:tblGrid>
      <w:tr w:rsidR="00167C2A" w14:paraId="475F1679" w14:textId="151B3448" w:rsidTr="000C4C65">
        <w:trPr>
          <w:trHeight w:val="513"/>
        </w:trPr>
        <w:tc>
          <w:tcPr>
            <w:tcW w:w="440" w:type="dxa"/>
          </w:tcPr>
          <w:p w14:paraId="4B0A1B81" w14:textId="77777777" w:rsidR="004F053E" w:rsidRDefault="004F053E" w:rsidP="00F73EA9">
            <w:pPr>
              <w:spacing w:after="80" w:line="360" w:lineRule="auto"/>
              <w:jc w:val="both"/>
            </w:pPr>
          </w:p>
        </w:tc>
        <w:tc>
          <w:tcPr>
            <w:tcW w:w="872" w:type="dxa"/>
          </w:tcPr>
          <w:p w14:paraId="4D299956" w14:textId="378A2DC1" w:rsidR="004F053E" w:rsidRPr="00953A44" w:rsidRDefault="004F053E" w:rsidP="00953A44">
            <w:pPr>
              <w:spacing w:after="80" w:line="360" w:lineRule="auto"/>
              <w:jc w:val="center"/>
              <w:rPr>
                <w:b/>
              </w:rPr>
            </w:pPr>
            <w:r w:rsidRPr="00953A44">
              <w:rPr>
                <w:b/>
              </w:rPr>
              <w:t>ICD-10 Code</w:t>
            </w:r>
          </w:p>
        </w:tc>
        <w:tc>
          <w:tcPr>
            <w:tcW w:w="2765" w:type="dxa"/>
          </w:tcPr>
          <w:p w14:paraId="4FEC5201" w14:textId="387E3D79" w:rsidR="004F053E" w:rsidRPr="00953A44" w:rsidRDefault="004F053E" w:rsidP="00953A44">
            <w:pPr>
              <w:spacing w:after="80" w:line="360" w:lineRule="auto"/>
              <w:jc w:val="center"/>
              <w:rPr>
                <w:b/>
              </w:rPr>
            </w:pPr>
            <w:r w:rsidRPr="00953A44">
              <w:rPr>
                <w:b/>
              </w:rPr>
              <w:t>Description</w:t>
            </w:r>
          </w:p>
        </w:tc>
        <w:tc>
          <w:tcPr>
            <w:tcW w:w="1701" w:type="dxa"/>
          </w:tcPr>
          <w:p w14:paraId="3812E16E" w14:textId="36F3162D" w:rsidR="004F053E" w:rsidRPr="00953A44" w:rsidRDefault="004F053E" w:rsidP="00953A44">
            <w:pPr>
              <w:spacing w:after="80" w:line="360" w:lineRule="auto"/>
              <w:jc w:val="center"/>
              <w:rPr>
                <w:b/>
              </w:rPr>
            </w:pPr>
            <w:r w:rsidRPr="00953A44">
              <w:rPr>
                <w:b/>
              </w:rPr>
              <w:t>Occurrence (n=participants)</w:t>
            </w:r>
          </w:p>
        </w:tc>
        <w:tc>
          <w:tcPr>
            <w:tcW w:w="1560" w:type="dxa"/>
          </w:tcPr>
          <w:p w14:paraId="0F489231" w14:textId="5D42FEE5" w:rsidR="004F053E" w:rsidRPr="005320BE" w:rsidRDefault="004F053E" w:rsidP="00197B52">
            <w:pPr>
              <w:spacing w:after="80" w:line="360" w:lineRule="auto"/>
              <w:jc w:val="center"/>
              <w:rPr>
                <w:b/>
              </w:rPr>
            </w:pPr>
            <w:r w:rsidRPr="005320BE">
              <w:rPr>
                <w:b/>
              </w:rPr>
              <w:t>Male</w:t>
            </w:r>
            <w:r w:rsidR="00484171" w:rsidRPr="005320BE">
              <w:rPr>
                <w:b/>
              </w:rPr>
              <w:t xml:space="preserve"> (n</w:t>
            </w:r>
            <w:r w:rsidR="005320BE" w:rsidRPr="005320BE">
              <w:rPr>
                <w:b/>
              </w:rPr>
              <w:t>=</w:t>
            </w:r>
            <w:r w:rsidR="00197B52">
              <w:rPr>
                <w:b/>
              </w:rPr>
              <w:t>874</w:t>
            </w:r>
            <w:r w:rsidR="00484171" w:rsidRPr="005320BE">
              <w:rPr>
                <w:b/>
              </w:rPr>
              <w:t>)</w:t>
            </w:r>
          </w:p>
        </w:tc>
        <w:tc>
          <w:tcPr>
            <w:tcW w:w="1671" w:type="dxa"/>
          </w:tcPr>
          <w:p w14:paraId="4FB1720A" w14:textId="4C0DE059" w:rsidR="004F053E" w:rsidRPr="005320BE" w:rsidRDefault="004F053E" w:rsidP="00197B52">
            <w:pPr>
              <w:spacing w:after="80" w:line="360" w:lineRule="auto"/>
              <w:jc w:val="center"/>
              <w:rPr>
                <w:b/>
              </w:rPr>
            </w:pPr>
            <w:r w:rsidRPr="005320BE">
              <w:rPr>
                <w:b/>
              </w:rPr>
              <w:t>Female</w:t>
            </w:r>
            <w:r w:rsidR="00484171" w:rsidRPr="005320BE">
              <w:rPr>
                <w:b/>
              </w:rPr>
              <w:t xml:space="preserve"> (n</w:t>
            </w:r>
            <w:r w:rsidR="005320BE" w:rsidRPr="005320BE">
              <w:rPr>
                <w:b/>
              </w:rPr>
              <w:t>=</w:t>
            </w:r>
            <w:r w:rsidR="00197B52">
              <w:rPr>
                <w:b/>
              </w:rPr>
              <w:t>109</w:t>
            </w:r>
            <w:r w:rsidR="00484171" w:rsidRPr="005320BE">
              <w:rPr>
                <w:b/>
              </w:rPr>
              <w:t>)</w:t>
            </w:r>
          </w:p>
        </w:tc>
      </w:tr>
      <w:tr w:rsidR="00167C2A" w14:paraId="626C5C24" w14:textId="6570D933" w:rsidTr="000C4C65">
        <w:trPr>
          <w:trHeight w:val="481"/>
        </w:trPr>
        <w:tc>
          <w:tcPr>
            <w:tcW w:w="440" w:type="dxa"/>
          </w:tcPr>
          <w:p w14:paraId="4505F77B" w14:textId="738C0E73" w:rsidR="004F053E" w:rsidRDefault="004F053E" w:rsidP="002A629A">
            <w:pPr>
              <w:spacing w:after="80" w:line="360" w:lineRule="auto"/>
              <w:jc w:val="center"/>
            </w:pPr>
            <w:r>
              <w:t>1</w:t>
            </w:r>
          </w:p>
        </w:tc>
        <w:tc>
          <w:tcPr>
            <w:tcW w:w="872" w:type="dxa"/>
            <w:vAlign w:val="center"/>
          </w:tcPr>
          <w:p w14:paraId="25EDEDCF" w14:textId="5DCE0E43" w:rsidR="004F053E" w:rsidRDefault="004F053E" w:rsidP="004347CC">
            <w:pPr>
              <w:spacing w:after="80"/>
              <w:jc w:val="center"/>
            </w:pPr>
            <w:r>
              <w:t>Z51</w:t>
            </w:r>
          </w:p>
        </w:tc>
        <w:tc>
          <w:tcPr>
            <w:tcW w:w="2765" w:type="dxa"/>
            <w:vAlign w:val="center"/>
          </w:tcPr>
          <w:p w14:paraId="33C8ED79" w14:textId="580A0367" w:rsidR="004F053E" w:rsidRDefault="004F053E" w:rsidP="004347CC">
            <w:pPr>
              <w:pStyle w:val="NoSpacing"/>
              <w:jc w:val="center"/>
            </w:pPr>
            <w:r>
              <w:t>Other medical care</w:t>
            </w:r>
          </w:p>
        </w:tc>
        <w:tc>
          <w:tcPr>
            <w:tcW w:w="1701" w:type="dxa"/>
            <w:vAlign w:val="center"/>
          </w:tcPr>
          <w:p w14:paraId="3E4B1B8A" w14:textId="678D371C" w:rsidR="004F053E" w:rsidRDefault="004F053E" w:rsidP="009B12EF">
            <w:pPr>
              <w:spacing w:after="80" w:line="360" w:lineRule="auto"/>
              <w:jc w:val="center"/>
            </w:pPr>
            <w:r>
              <w:t>490 (n=116)</w:t>
            </w:r>
          </w:p>
        </w:tc>
        <w:tc>
          <w:tcPr>
            <w:tcW w:w="1560" w:type="dxa"/>
            <w:vAlign w:val="center"/>
          </w:tcPr>
          <w:p w14:paraId="6DF3E8E2" w14:textId="0DCC010B" w:rsidR="004F053E" w:rsidRDefault="00484171" w:rsidP="009B12EF">
            <w:pPr>
              <w:spacing w:after="80" w:line="360" w:lineRule="auto"/>
              <w:jc w:val="center"/>
            </w:pPr>
            <w:r>
              <w:t>99 (85.34%)</w:t>
            </w:r>
          </w:p>
        </w:tc>
        <w:tc>
          <w:tcPr>
            <w:tcW w:w="1671" w:type="dxa"/>
            <w:vAlign w:val="center"/>
          </w:tcPr>
          <w:p w14:paraId="35496520" w14:textId="418930B9" w:rsidR="004F053E" w:rsidRDefault="00484171" w:rsidP="009B12EF">
            <w:pPr>
              <w:spacing w:after="80" w:line="360" w:lineRule="auto"/>
              <w:jc w:val="center"/>
            </w:pPr>
            <w:r>
              <w:t>17 (14.66%)</w:t>
            </w:r>
          </w:p>
        </w:tc>
      </w:tr>
      <w:tr w:rsidR="00167C2A" w14:paraId="0EBF8B72" w14:textId="5BB9502B" w:rsidTr="000C4C65">
        <w:trPr>
          <w:trHeight w:val="481"/>
        </w:trPr>
        <w:tc>
          <w:tcPr>
            <w:tcW w:w="440" w:type="dxa"/>
          </w:tcPr>
          <w:p w14:paraId="7DA50CEC" w14:textId="5F134311" w:rsidR="004F053E" w:rsidRDefault="004F053E" w:rsidP="002A629A">
            <w:pPr>
              <w:spacing w:after="80" w:line="360" w:lineRule="auto"/>
              <w:jc w:val="center"/>
            </w:pPr>
            <w:r>
              <w:t>2</w:t>
            </w:r>
          </w:p>
        </w:tc>
        <w:tc>
          <w:tcPr>
            <w:tcW w:w="872" w:type="dxa"/>
            <w:vAlign w:val="center"/>
          </w:tcPr>
          <w:p w14:paraId="7217B734" w14:textId="10F40D0B" w:rsidR="004F053E" w:rsidRDefault="004F053E" w:rsidP="004347CC">
            <w:pPr>
              <w:spacing w:after="80"/>
              <w:jc w:val="center"/>
            </w:pPr>
            <w:r>
              <w:t>Z86</w:t>
            </w:r>
          </w:p>
        </w:tc>
        <w:tc>
          <w:tcPr>
            <w:tcW w:w="2765" w:type="dxa"/>
            <w:vAlign w:val="center"/>
          </w:tcPr>
          <w:p w14:paraId="12DC35D6" w14:textId="693DCA86" w:rsidR="004F053E" w:rsidRDefault="004F053E" w:rsidP="004347CC">
            <w:pPr>
              <w:pStyle w:val="NoSpacing"/>
              <w:jc w:val="center"/>
            </w:pPr>
            <w:r>
              <w:t>Personal history of certain other diseases</w:t>
            </w:r>
          </w:p>
        </w:tc>
        <w:tc>
          <w:tcPr>
            <w:tcW w:w="1701" w:type="dxa"/>
            <w:vAlign w:val="center"/>
          </w:tcPr>
          <w:p w14:paraId="250A1475" w14:textId="2B1542EA" w:rsidR="004F053E" w:rsidRDefault="004F053E" w:rsidP="009B12EF">
            <w:pPr>
              <w:spacing w:after="80" w:line="360" w:lineRule="auto"/>
              <w:jc w:val="center"/>
            </w:pPr>
            <w:r>
              <w:t>336 (n=190)</w:t>
            </w:r>
          </w:p>
        </w:tc>
        <w:tc>
          <w:tcPr>
            <w:tcW w:w="1560" w:type="dxa"/>
            <w:vAlign w:val="center"/>
          </w:tcPr>
          <w:p w14:paraId="6D32E338" w14:textId="0D208563" w:rsidR="004F053E" w:rsidRDefault="00484171" w:rsidP="009B12EF">
            <w:pPr>
              <w:spacing w:after="80" w:line="360" w:lineRule="auto"/>
              <w:jc w:val="center"/>
            </w:pPr>
            <w:r>
              <w:t>159 (83.68%)</w:t>
            </w:r>
          </w:p>
        </w:tc>
        <w:tc>
          <w:tcPr>
            <w:tcW w:w="1671" w:type="dxa"/>
            <w:vAlign w:val="center"/>
          </w:tcPr>
          <w:p w14:paraId="6F456FC3" w14:textId="33A9DA11" w:rsidR="004F053E" w:rsidRDefault="00484171" w:rsidP="009B12EF">
            <w:pPr>
              <w:spacing w:after="80" w:line="360" w:lineRule="auto"/>
              <w:jc w:val="center"/>
            </w:pPr>
            <w:r>
              <w:t>31 (16.32%)</w:t>
            </w:r>
          </w:p>
        </w:tc>
      </w:tr>
      <w:tr w:rsidR="00167C2A" w14:paraId="322A7F13" w14:textId="55DD8C7E" w:rsidTr="000C4C65">
        <w:trPr>
          <w:trHeight w:val="481"/>
        </w:trPr>
        <w:tc>
          <w:tcPr>
            <w:tcW w:w="440" w:type="dxa"/>
          </w:tcPr>
          <w:p w14:paraId="1FFFC6F9" w14:textId="0100D598" w:rsidR="004F053E" w:rsidRDefault="004F053E" w:rsidP="002A629A">
            <w:pPr>
              <w:spacing w:after="80" w:line="360" w:lineRule="auto"/>
              <w:jc w:val="center"/>
            </w:pPr>
            <w:r>
              <w:t>3</w:t>
            </w:r>
          </w:p>
        </w:tc>
        <w:tc>
          <w:tcPr>
            <w:tcW w:w="872" w:type="dxa"/>
            <w:vAlign w:val="center"/>
          </w:tcPr>
          <w:p w14:paraId="65555E11" w14:textId="3FEDC733" w:rsidR="004F053E" w:rsidRDefault="004F053E" w:rsidP="004347CC">
            <w:pPr>
              <w:spacing w:after="80"/>
              <w:jc w:val="center"/>
            </w:pPr>
            <w:r>
              <w:t>I10</w:t>
            </w:r>
          </w:p>
        </w:tc>
        <w:tc>
          <w:tcPr>
            <w:tcW w:w="2765" w:type="dxa"/>
            <w:vAlign w:val="center"/>
          </w:tcPr>
          <w:p w14:paraId="1706A139" w14:textId="53609E54" w:rsidR="004F053E" w:rsidRDefault="004F053E" w:rsidP="004347CC">
            <w:pPr>
              <w:pStyle w:val="NoSpacing"/>
              <w:jc w:val="center"/>
            </w:pPr>
            <w:r>
              <w:t>Essential (primary) hypertension</w:t>
            </w:r>
          </w:p>
        </w:tc>
        <w:tc>
          <w:tcPr>
            <w:tcW w:w="1701" w:type="dxa"/>
            <w:vAlign w:val="center"/>
          </w:tcPr>
          <w:p w14:paraId="7463C286" w14:textId="5BDF92DF" w:rsidR="004F053E" w:rsidRDefault="004F053E" w:rsidP="009B12EF">
            <w:pPr>
              <w:spacing w:after="80" w:line="360" w:lineRule="auto"/>
              <w:jc w:val="center"/>
            </w:pPr>
            <w:r>
              <w:t>295 (n=151)</w:t>
            </w:r>
          </w:p>
        </w:tc>
        <w:tc>
          <w:tcPr>
            <w:tcW w:w="1560" w:type="dxa"/>
            <w:vAlign w:val="center"/>
          </w:tcPr>
          <w:p w14:paraId="4AAEF701" w14:textId="0AC48CA3" w:rsidR="004F053E" w:rsidRDefault="00484171" w:rsidP="009B12EF">
            <w:pPr>
              <w:spacing w:after="80" w:line="360" w:lineRule="auto"/>
              <w:jc w:val="center"/>
            </w:pPr>
            <w:r>
              <w:t>140 (92.72%)</w:t>
            </w:r>
          </w:p>
        </w:tc>
        <w:tc>
          <w:tcPr>
            <w:tcW w:w="1671" w:type="dxa"/>
            <w:vAlign w:val="center"/>
          </w:tcPr>
          <w:p w14:paraId="2F6392F8" w14:textId="2DD4DD16" w:rsidR="004F053E" w:rsidRDefault="00484171" w:rsidP="009B12EF">
            <w:pPr>
              <w:spacing w:after="80" w:line="360" w:lineRule="auto"/>
              <w:jc w:val="center"/>
            </w:pPr>
            <w:r>
              <w:t>11 (7.28%)</w:t>
            </w:r>
          </w:p>
        </w:tc>
      </w:tr>
      <w:tr w:rsidR="00167C2A" w14:paraId="3B3E6059" w14:textId="1A09FBBA" w:rsidTr="000C4C65">
        <w:trPr>
          <w:trHeight w:val="481"/>
        </w:trPr>
        <w:tc>
          <w:tcPr>
            <w:tcW w:w="440" w:type="dxa"/>
          </w:tcPr>
          <w:p w14:paraId="17A8D12E" w14:textId="180EE9B5" w:rsidR="004F053E" w:rsidRDefault="004F053E" w:rsidP="002A629A">
            <w:pPr>
              <w:spacing w:after="80" w:line="360" w:lineRule="auto"/>
              <w:jc w:val="center"/>
            </w:pPr>
            <w:r>
              <w:t>4</w:t>
            </w:r>
          </w:p>
        </w:tc>
        <w:tc>
          <w:tcPr>
            <w:tcW w:w="872" w:type="dxa"/>
            <w:vAlign w:val="center"/>
          </w:tcPr>
          <w:p w14:paraId="2359C110" w14:textId="3280F0F6" w:rsidR="004F053E" w:rsidRDefault="004F053E" w:rsidP="004347CC">
            <w:pPr>
              <w:spacing w:after="80"/>
              <w:jc w:val="center"/>
            </w:pPr>
            <w:r>
              <w:t>Z37</w:t>
            </w:r>
          </w:p>
        </w:tc>
        <w:tc>
          <w:tcPr>
            <w:tcW w:w="2765" w:type="dxa"/>
            <w:vAlign w:val="center"/>
          </w:tcPr>
          <w:p w14:paraId="45504F64" w14:textId="27A4165F" w:rsidR="004F053E" w:rsidRDefault="004F053E" w:rsidP="004347CC">
            <w:pPr>
              <w:pStyle w:val="NoSpacing"/>
              <w:jc w:val="center"/>
            </w:pPr>
            <w:r>
              <w:t>Outcome of delivery</w:t>
            </w:r>
          </w:p>
        </w:tc>
        <w:tc>
          <w:tcPr>
            <w:tcW w:w="1701" w:type="dxa"/>
            <w:vAlign w:val="center"/>
          </w:tcPr>
          <w:p w14:paraId="35027B3B" w14:textId="2B124A5B" w:rsidR="004F053E" w:rsidRDefault="004F053E" w:rsidP="009B12EF">
            <w:pPr>
              <w:spacing w:after="80" w:line="360" w:lineRule="auto"/>
              <w:jc w:val="center"/>
            </w:pPr>
            <w:r>
              <w:t>281 (n=198)</w:t>
            </w:r>
          </w:p>
        </w:tc>
        <w:tc>
          <w:tcPr>
            <w:tcW w:w="1560" w:type="dxa"/>
            <w:vAlign w:val="center"/>
          </w:tcPr>
          <w:p w14:paraId="76D8DC6E" w14:textId="01D3524F" w:rsidR="004F053E" w:rsidRDefault="00430302" w:rsidP="009B12EF">
            <w:pPr>
              <w:spacing w:after="80" w:line="360" w:lineRule="auto"/>
              <w:jc w:val="center"/>
            </w:pPr>
            <w:r>
              <w:t>0</w:t>
            </w:r>
          </w:p>
        </w:tc>
        <w:tc>
          <w:tcPr>
            <w:tcW w:w="1671" w:type="dxa"/>
            <w:vAlign w:val="center"/>
          </w:tcPr>
          <w:p w14:paraId="0C0ADAED" w14:textId="62A50080" w:rsidR="004F053E" w:rsidRDefault="00484171" w:rsidP="009B12EF">
            <w:pPr>
              <w:spacing w:after="80" w:line="360" w:lineRule="auto"/>
              <w:jc w:val="center"/>
            </w:pPr>
            <w:r>
              <w:t>198 (100%)</w:t>
            </w:r>
          </w:p>
        </w:tc>
      </w:tr>
      <w:tr w:rsidR="00167C2A" w14:paraId="595DE937" w14:textId="177D6D19" w:rsidTr="000C4C65">
        <w:trPr>
          <w:trHeight w:val="496"/>
        </w:trPr>
        <w:tc>
          <w:tcPr>
            <w:tcW w:w="440" w:type="dxa"/>
          </w:tcPr>
          <w:p w14:paraId="00D19AA3" w14:textId="0F289528" w:rsidR="004F053E" w:rsidRDefault="004F053E" w:rsidP="002A629A">
            <w:pPr>
              <w:spacing w:after="80" w:line="360" w:lineRule="auto"/>
              <w:jc w:val="center"/>
            </w:pPr>
            <w:r>
              <w:t>5</w:t>
            </w:r>
          </w:p>
        </w:tc>
        <w:tc>
          <w:tcPr>
            <w:tcW w:w="872" w:type="dxa"/>
            <w:vAlign w:val="center"/>
          </w:tcPr>
          <w:p w14:paraId="63030EF8" w14:textId="426D93F3" w:rsidR="004F053E" w:rsidRDefault="004F053E" w:rsidP="004347CC">
            <w:pPr>
              <w:spacing w:after="80"/>
              <w:jc w:val="center"/>
            </w:pPr>
            <w:r>
              <w:t>Z30</w:t>
            </w:r>
          </w:p>
        </w:tc>
        <w:tc>
          <w:tcPr>
            <w:tcW w:w="2765" w:type="dxa"/>
            <w:vAlign w:val="center"/>
          </w:tcPr>
          <w:p w14:paraId="07623BBB" w14:textId="5CFAFBEC" w:rsidR="004F053E" w:rsidRDefault="004F053E" w:rsidP="004347CC">
            <w:pPr>
              <w:pStyle w:val="NoSpacing"/>
              <w:jc w:val="center"/>
            </w:pPr>
            <w:r>
              <w:t>Contraceptive management</w:t>
            </w:r>
          </w:p>
        </w:tc>
        <w:tc>
          <w:tcPr>
            <w:tcW w:w="1701" w:type="dxa"/>
            <w:vAlign w:val="center"/>
          </w:tcPr>
          <w:p w14:paraId="5E9A1D2B" w14:textId="69909699" w:rsidR="004F053E" w:rsidRDefault="004F053E" w:rsidP="009B12EF">
            <w:pPr>
              <w:spacing w:after="80" w:line="360" w:lineRule="auto"/>
              <w:jc w:val="center"/>
            </w:pPr>
            <w:r>
              <w:t>272 (n=262)</w:t>
            </w:r>
          </w:p>
        </w:tc>
        <w:tc>
          <w:tcPr>
            <w:tcW w:w="1560" w:type="dxa"/>
            <w:vAlign w:val="center"/>
          </w:tcPr>
          <w:p w14:paraId="608C2B56" w14:textId="7DBE6926" w:rsidR="004F053E" w:rsidRDefault="00484171" w:rsidP="009B12EF">
            <w:pPr>
              <w:spacing w:after="80" w:line="360" w:lineRule="auto"/>
              <w:jc w:val="center"/>
            </w:pPr>
            <w:r>
              <w:t>247 (94.27%)</w:t>
            </w:r>
          </w:p>
        </w:tc>
        <w:tc>
          <w:tcPr>
            <w:tcW w:w="1671" w:type="dxa"/>
            <w:vAlign w:val="center"/>
          </w:tcPr>
          <w:p w14:paraId="41CF17FF" w14:textId="5DF2A655" w:rsidR="004F053E" w:rsidRDefault="00484171" w:rsidP="009B12EF">
            <w:pPr>
              <w:spacing w:after="80" w:line="360" w:lineRule="auto"/>
              <w:jc w:val="center"/>
            </w:pPr>
            <w:r>
              <w:t>15 (5.73%)</w:t>
            </w:r>
          </w:p>
        </w:tc>
      </w:tr>
      <w:tr w:rsidR="00167C2A" w14:paraId="5C335D3F" w14:textId="40D86927" w:rsidTr="000C4C65">
        <w:trPr>
          <w:trHeight w:val="481"/>
        </w:trPr>
        <w:tc>
          <w:tcPr>
            <w:tcW w:w="440" w:type="dxa"/>
          </w:tcPr>
          <w:p w14:paraId="42A80D7C" w14:textId="22EEDAB0" w:rsidR="004F053E" w:rsidRDefault="004F053E" w:rsidP="002A629A">
            <w:pPr>
              <w:spacing w:after="80" w:line="360" w:lineRule="auto"/>
              <w:jc w:val="center"/>
            </w:pPr>
            <w:r>
              <w:t>6</w:t>
            </w:r>
          </w:p>
        </w:tc>
        <w:tc>
          <w:tcPr>
            <w:tcW w:w="872" w:type="dxa"/>
            <w:vAlign w:val="center"/>
          </w:tcPr>
          <w:p w14:paraId="02C8C0B8" w14:textId="04260C07" w:rsidR="004F053E" w:rsidRDefault="004F053E" w:rsidP="004347CC">
            <w:pPr>
              <w:spacing w:after="80"/>
              <w:jc w:val="center"/>
            </w:pPr>
            <w:r>
              <w:t>R10</w:t>
            </w:r>
          </w:p>
        </w:tc>
        <w:tc>
          <w:tcPr>
            <w:tcW w:w="2765" w:type="dxa"/>
            <w:vAlign w:val="center"/>
          </w:tcPr>
          <w:p w14:paraId="6A960F3C" w14:textId="25A37237" w:rsidR="004F053E" w:rsidRDefault="004F053E" w:rsidP="004347CC">
            <w:pPr>
              <w:pStyle w:val="NoSpacing"/>
              <w:jc w:val="center"/>
            </w:pPr>
            <w:r>
              <w:t>Abdominal and pelvic pain</w:t>
            </w:r>
          </w:p>
        </w:tc>
        <w:tc>
          <w:tcPr>
            <w:tcW w:w="1701" w:type="dxa"/>
            <w:vAlign w:val="center"/>
          </w:tcPr>
          <w:p w14:paraId="19D35A13" w14:textId="6AEE49C4" w:rsidR="004F053E" w:rsidRDefault="004F053E" w:rsidP="009B12EF">
            <w:pPr>
              <w:spacing w:after="80" w:line="360" w:lineRule="auto"/>
              <w:jc w:val="center"/>
            </w:pPr>
            <w:r>
              <w:t>266 (n=221)</w:t>
            </w:r>
          </w:p>
        </w:tc>
        <w:tc>
          <w:tcPr>
            <w:tcW w:w="1560" w:type="dxa"/>
            <w:vAlign w:val="center"/>
          </w:tcPr>
          <w:p w14:paraId="2968E812" w14:textId="0359C68B" w:rsidR="004F053E" w:rsidRDefault="00484171" w:rsidP="009B12EF">
            <w:pPr>
              <w:spacing w:after="80" w:line="360" w:lineRule="auto"/>
              <w:jc w:val="center"/>
            </w:pPr>
            <w:r>
              <w:t>155 (70.14%)</w:t>
            </w:r>
          </w:p>
        </w:tc>
        <w:tc>
          <w:tcPr>
            <w:tcW w:w="1671" w:type="dxa"/>
            <w:vAlign w:val="center"/>
          </w:tcPr>
          <w:p w14:paraId="4946DD00" w14:textId="1367FF62" w:rsidR="004F053E" w:rsidRDefault="00484171" w:rsidP="009B12EF">
            <w:pPr>
              <w:spacing w:after="80" w:line="360" w:lineRule="auto"/>
              <w:jc w:val="center"/>
            </w:pPr>
            <w:r>
              <w:t>66 (29.86%)</w:t>
            </w:r>
          </w:p>
        </w:tc>
      </w:tr>
      <w:tr w:rsidR="00167C2A" w14:paraId="43BDDEEA" w14:textId="3E992F0E" w:rsidTr="000C4C65">
        <w:trPr>
          <w:trHeight w:val="481"/>
        </w:trPr>
        <w:tc>
          <w:tcPr>
            <w:tcW w:w="440" w:type="dxa"/>
          </w:tcPr>
          <w:p w14:paraId="399A3B33" w14:textId="40486825" w:rsidR="004F053E" w:rsidRDefault="004F053E" w:rsidP="002A629A">
            <w:pPr>
              <w:spacing w:after="80" w:line="360" w:lineRule="auto"/>
              <w:jc w:val="center"/>
            </w:pPr>
            <w:r>
              <w:t>7</w:t>
            </w:r>
          </w:p>
        </w:tc>
        <w:tc>
          <w:tcPr>
            <w:tcW w:w="872" w:type="dxa"/>
            <w:vAlign w:val="center"/>
          </w:tcPr>
          <w:p w14:paraId="398D2BA1" w14:textId="441A2214" w:rsidR="004F053E" w:rsidRDefault="004F053E" w:rsidP="004347CC">
            <w:pPr>
              <w:spacing w:after="80"/>
              <w:jc w:val="center"/>
            </w:pPr>
            <w:r>
              <w:t>M23</w:t>
            </w:r>
          </w:p>
        </w:tc>
        <w:tc>
          <w:tcPr>
            <w:tcW w:w="2765" w:type="dxa"/>
            <w:vAlign w:val="center"/>
          </w:tcPr>
          <w:p w14:paraId="77CF8EFC" w14:textId="2C5B39E8" w:rsidR="004F053E" w:rsidRDefault="004F053E" w:rsidP="004347CC">
            <w:pPr>
              <w:pStyle w:val="NoSpacing"/>
              <w:jc w:val="center"/>
            </w:pPr>
            <w:r>
              <w:t>Internal derangement of knee</w:t>
            </w:r>
          </w:p>
        </w:tc>
        <w:tc>
          <w:tcPr>
            <w:tcW w:w="1701" w:type="dxa"/>
            <w:vAlign w:val="center"/>
          </w:tcPr>
          <w:p w14:paraId="70AD4F08" w14:textId="48E42758" w:rsidR="004F053E" w:rsidRDefault="004F053E" w:rsidP="009B12EF">
            <w:pPr>
              <w:spacing w:after="80" w:line="360" w:lineRule="auto"/>
              <w:jc w:val="center"/>
            </w:pPr>
            <w:r>
              <w:t>265 (n=</w:t>
            </w:r>
            <w:r w:rsidR="00484171">
              <w:t>2</w:t>
            </w:r>
            <w:r>
              <w:t>17)</w:t>
            </w:r>
          </w:p>
        </w:tc>
        <w:tc>
          <w:tcPr>
            <w:tcW w:w="1560" w:type="dxa"/>
            <w:vAlign w:val="center"/>
          </w:tcPr>
          <w:p w14:paraId="4BF8ECE0" w14:textId="15B99CD0" w:rsidR="004F053E" w:rsidRDefault="00484171" w:rsidP="009B12EF">
            <w:pPr>
              <w:spacing w:after="80" w:line="360" w:lineRule="auto"/>
              <w:jc w:val="center"/>
            </w:pPr>
            <w:r>
              <w:t>208 (95.85%)</w:t>
            </w:r>
          </w:p>
        </w:tc>
        <w:tc>
          <w:tcPr>
            <w:tcW w:w="1671" w:type="dxa"/>
            <w:vAlign w:val="center"/>
          </w:tcPr>
          <w:p w14:paraId="15AEEEB3" w14:textId="7B752878" w:rsidR="004F053E" w:rsidRDefault="00484171" w:rsidP="009B12EF">
            <w:pPr>
              <w:spacing w:after="80" w:line="360" w:lineRule="auto"/>
              <w:jc w:val="center"/>
            </w:pPr>
            <w:r>
              <w:t>9 (4.15%)</w:t>
            </w:r>
          </w:p>
        </w:tc>
      </w:tr>
      <w:tr w:rsidR="00167C2A" w14:paraId="61BA993D" w14:textId="73080EDC" w:rsidTr="000C4C65">
        <w:trPr>
          <w:trHeight w:val="883"/>
        </w:trPr>
        <w:tc>
          <w:tcPr>
            <w:tcW w:w="440" w:type="dxa"/>
          </w:tcPr>
          <w:p w14:paraId="157B4845" w14:textId="34D0193D" w:rsidR="004F053E" w:rsidRDefault="004F053E" w:rsidP="002A629A">
            <w:pPr>
              <w:spacing w:after="80" w:line="360" w:lineRule="auto"/>
              <w:jc w:val="center"/>
            </w:pPr>
            <w:r>
              <w:t>8</w:t>
            </w:r>
          </w:p>
        </w:tc>
        <w:tc>
          <w:tcPr>
            <w:tcW w:w="872" w:type="dxa"/>
            <w:vAlign w:val="center"/>
          </w:tcPr>
          <w:p w14:paraId="4E6DFC56" w14:textId="6CDDD683" w:rsidR="004F053E" w:rsidRDefault="004F053E" w:rsidP="004347CC">
            <w:pPr>
              <w:spacing w:after="80"/>
              <w:jc w:val="center"/>
            </w:pPr>
            <w:r>
              <w:t>F17</w:t>
            </w:r>
          </w:p>
        </w:tc>
        <w:tc>
          <w:tcPr>
            <w:tcW w:w="2765" w:type="dxa"/>
            <w:vAlign w:val="center"/>
          </w:tcPr>
          <w:p w14:paraId="6C764D46" w14:textId="7E8CF3D8" w:rsidR="004F053E" w:rsidRDefault="004F053E" w:rsidP="004347CC">
            <w:pPr>
              <w:pStyle w:val="NoSpacing"/>
              <w:jc w:val="center"/>
            </w:pPr>
            <w:r>
              <w:t>Mental and behavioural disorders due to use of tobacco</w:t>
            </w:r>
          </w:p>
        </w:tc>
        <w:tc>
          <w:tcPr>
            <w:tcW w:w="1701" w:type="dxa"/>
            <w:vAlign w:val="center"/>
          </w:tcPr>
          <w:p w14:paraId="117F7510" w14:textId="1A5F2279" w:rsidR="004F053E" w:rsidRDefault="004F053E" w:rsidP="009B12EF">
            <w:pPr>
              <w:spacing w:after="80" w:line="360" w:lineRule="auto"/>
              <w:jc w:val="center"/>
            </w:pPr>
            <w:r>
              <w:t>259 (n=190)</w:t>
            </w:r>
          </w:p>
        </w:tc>
        <w:tc>
          <w:tcPr>
            <w:tcW w:w="1560" w:type="dxa"/>
            <w:vAlign w:val="center"/>
          </w:tcPr>
          <w:p w14:paraId="62E55398" w14:textId="2CA3C2E8" w:rsidR="004F053E" w:rsidRDefault="00153A81" w:rsidP="009B12EF">
            <w:pPr>
              <w:spacing w:after="80" w:line="360" w:lineRule="auto"/>
              <w:jc w:val="center"/>
            </w:pPr>
            <w:r>
              <w:t>168 (88.42%)</w:t>
            </w:r>
          </w:p>
        </w:tc>
        <w:tc>
          <w:tcPr>
            <w:tcW w:w="1671" w:type="dxa"/>
            <w:vAlign w:val="center"/>
          </w:tcPr>
          <w:p w14:paraId="172EF2DA" w14:textId="7446182A" w:rsidR="004F053E" w:rsidRDefault="00153A81" w:rsidP="009B12EF">
            <w:pPr>
              <w:spacing w:after="80" w:line="360" w:lineRule="auto"/>
              <w:jc w:val="center"/>
            </w:pPr>
            <w:r>
              <w:t>22 (11.58%)</w:t>
            </w:r>
          </w:p>
        </w:tc>
      </w:tr>
      <w:tr w:rsidR="00167C2A" w14:paraId="7F3443F1" w14:textId="7F276271" w:rsidTr="000C4C65">
        <w:trPr>
          <w:trHeight w:val="496"/>
        </w:trPr>
        <w:tc>
          <w:tcPr>
            <w:tcW w:w="440" w:type="dxa"/>
          </w:tcPr>
          <w:p w14:paraId="7685A076" w14:textId="2E650776" w:rsidR="004F053E" w:rsidRDefault="004F053E" w:rsidP="002A629A">
            <w:pPr>
              <w:spacing w:after="80" w:line="360" w:lineRule="auto"/>
              <w:jc w:val="center"/>
            </w:pPr>
            <w:r>
              <w:t>9</w:t>
            </w:r>
          </w:p>
        </w:tc>
        <w:tc>
          <w:tcPr>
            <w:tcW w:w="872" w:type="dxa"/>
            <w:vAlign w:val="center"/>
          </w:tcPr>
          <w:p w14:paraId="4E959C5D" w14:textId="3590291A" w:rsidR="004F053E" w:rsidRDefault="004F053E" w:rsidP="004347CC">
            <w:pPr>
              <w:spacing w:after="80"/>
              <w:jc w:val="center"/>
            </w:pPr>
            <w:r>
              <w:t>Z72</w:t>
            </w:r>
          </w:p>
        </w:tc>
        <w:tc>
          <w:tcPr>
            <w:tcW w:w="2765" w:type="dxa"/>
            <w:vAlign w:val="center"/>
          </w:tcPr>
          <w:p w14:paraId="5C9C8881" w14:textId="196DC9EE" w:rsidR="004F053E" w:rsidRDefault="004F053E" w:rsidP="004347CC">
            <w:pPr>
              <w:pStyle w:val="NoSpacing"/>
              <w:jc w:val="center"/>
            </w:pPr>
            <w:r>
              <w:t>Problems related to lifestyle</w:t>
            </w:r>
          </w:p>
        </w:tc>
        <w:tc>
          <w:tcPr>
            <w:tcW w:w="1701" w:type="dxa"/>
            <w:vAlign w:val="center"/>
          </w:tcPr>
          <w:p w14:paraId="7C2DAC34" w14:textId="4EBA3B45" w:rsidR="004F053E" w:rsidRDefault="004F053E" w:rsidP="009B12EF">
            <w:pPr>
              <w:spacing w:after="80" w:line="360" w:lineRule="auto"/>
              <w:jc w:val="center"/>
            </w:pPr>
            <w:r>
              <w:t>253 (n=197)</w:t>
            </w:r>
          </w:p>
        </w:tc>
        <w:tc>
          <w:tcPr>
            <w:tcW w:w="1560" w:type="dxa"/>
            <w:vAlign w:val="center"/>
          </w:tcPr>
          <w:p w14:paraId="256094E9" w14:textId="6F143B5F" w:rsidR="004F053E" w:rsidRDefault="001F2113" w:rsidP="009B12EF">
            <w:pPr>
              <w:spacing w:after="80" w:line="360" w:lineRule="auto"/>
              <w:jc w:val="center"/>
            </w:pPr>
            <w:r>
              <w:t>183 (92.89%)</w:t>
            </w:r>
          </w:p>
        </w:tc>
        <w:tc>
          <w:tcPr>
            <w:tcW w:w="1671" w:type="dxa"/>
            <w:vAlign w:val="center"/>
          </w:tcPr>
          <w:p w14:paraId="24F893AC" w14:textId="2A29FFDF" w:rsidR="004F053E" w:rsidRDefault="001F2113" w:rsidP="009B12EF">
            <w:pPr>
              <w:spacing w:after="80" w:line="360" w:lineRule="auto"/>
              <w:jc w:val="center"/>
            </w:pPr>
            <w:r>
              <w:t>14 (7.11%)</w:t>
            </w:r>
          </w:p>
        </w:tc>
      </w:tr>
      <w:tr w:rsidR="00167C2A" w14:paraId="42130EAA" w14:textId="6F45E24E" w:rsidTr="000C4C65">
        <w:trPr>
          <w:trHeight w:val="481"/>
        </w:trPr>
        <w:tc>
          <w:tcPr>
            <w:tcW w:w="440" w:type="dxa"/>
          </w:tcPr>
          <w:p w14:paraId="167C56D8" w14:textId="74DC0C96" w:rsidR="004F053E" w:rsidRDefault="004F053E" w:rsidP="002A629A">
            <w:pPr>
              <w:spacing w:after="80" w:line="360" w:lineRule="auto"/>
              <w:jc w:val="center"/>
            </w:pPr>
            <w:r>
              <w:t>10</w:t>
            </w:r>
          </w:p>
        </w:tc>
        <w:tc>
          <w:tcPr>
            <w:tcW w:w="872" w:type="dxa"/>
            <w:vAlign w:val="center"/>
          </w:tcPr>
          <w:p w14:paraId="0CCC65E4" w14:textId="7F69BCC9" w:rsidR="004F053E" w:rsidRDefault="004F053E" w:rsidP="004347CC">
            <w:pPr>
              <w:spacing w:after="80"/>
              <w:jc w:val="center"/>
            </w:pPr>
            <w:r>
              <w:t>M54</w:t>
            </w:r>
          </w:p>
        </w:tc>
        <w:tc>
          <w:tcPr>
            <w:tcW w:w="2765" w:type="dxa"/>
            <w:vAlign w:val="center"/>
          </w:tcPr>
          <w:p w14:paraId="186D93BA" w14:textId="239F7C88" w:rsidR="004F053E" w:rsidRDefault="004F053E" w:rsidP="004347CC">
            <w:pPr>
              <w:pStyle w:val="NoSpacing"/>
              <w:jc w:val="center"/>
            </w:pPr>
            <w:proofErr w:type="spellStart"/>
            <w:r>
              <w:t>Dorsalgia</w:t>
            </w:r>
            <w:proofErr w:type="spellEnd"/>
          </w:p>
        </w:tc>
        <w:tc>
          <w:tcPr>
            <w:tcW w:w="1701" w:type="dxa"/>
            <w:vAlign w:val="center"/>
          </w:tcPr>
          <w:p w14:paraId="3EC90D61" w14:textId="5980B290" w:rsidR="004F053E" w:rsidRDefault="004F053E" w:rsidP="009B12EF">
            <w:pPr>
              <w:spacing w:after="80" w:line="360" w:lineRule="auto"/>
              <w:jc w:val="center"/>
            </w:pPr>
            <w:r>
              <w:t>222 (n=123)</w:t>
            </w:r>
          </w:p>
        </w:tc>
        <w:tc>
          <w:tcPr>
            <w:tcW w:w="1560" w:type="dxa"/>
            <w:vAlign w:val="center"/>
          </w:tcPr>
          <w:p w14:paraId="242594AB" w14:textId="31FAD9CA" w:rsidR="004F053E" w:rsidRDefault="001F2113" w:rsidP="009B12EF">
            <w:pPr>
              <w:spacing w:after="80" w:line="360" w:lineRule="auto"/>
              <w:jc w:val="center"/>
            </w:pPr>
            <w:r>
              <w:t>102 (82.93%)</w:t>
            </w:r>
          </w:p>
        </w:tc>
        <w:tc>
          <w:tcPr>
            <w:tcW w:w="1671" w:type="dxa"/>
            <w:vAlign w:val="center"/>
          </w:tcPr>
          <w:p w14:paraId="6707CCB6" w14:textId="345E2497" w:rsidR="004F053E" w:rsidRDefault="001F2113" w:rsidP="009B12EF">
            <w:pPr>
              <w:spacing w:after="80" w:line="360" w:lineRule="auto"/>
              <w:jc w:val="center"/>
            </w:pPr>
            <w:r>
              <w:t>21 (17.07%)</w:t>
            </w:r>
          </w:p>
        </w:tc>
      </w:tr>
    </w:tbl>
    <w:p w14:paraId="3CC00B92" w14:textId="77777777" w:rsidR="00845855" w:rsidRDefault="00845855" w:rsidP="005F009C">
      <w:pPr>
        <w:spacing w:after="80" w:line="360" w:lineRule="auto"/>
        <w:jc w:val="both"/>
        <w:rPr>
          <w:b/>
        </w:rPr>
      </w:pPr>
    </w:p>
    <w:p w14:paraId="222F826A" w14:textId="5D014CD4" w:rsidR="00153681" w:rsidRDefault="0093523A" w:rsidP="00A23430">
      <w:pPr>
        <w:spacing w:after="80" w:line="360" w:lineRule="auto"/>
        <w:jc w:val="both"/>
        <w:outlineLvl w:val="0"/>
        <w:rPr>
          <w:b/>
        </w:rPr>
      </w:pPr>
      <w:r>
        <w:rPr>
          <w:b/>
        </w:rPr>
        <w:t xml:space="preserve">Healthcare </w:t>
      </w:r>
      <w:r w:rsidR="007571B1">
        <w:rPr>
          <w:b/>
        </w:rPr>
        <w:t xml:space="preserve">Utilisation </w:t>
      </w:r>
      <w:r>
        <w:rPr>
          <w:b/>
        </w:rPr>
        <w:t>and D</w:t>
      </w:r>
      <w:r w:rsidR="00370208">
        <w:rPr>
          <w:b/>
        </w:rPr>
        <w:t xml:space="preserve">iagnoses in </w:t>
      </w:r>
      <w:r w:rsidR="005F009C">
        <w:rPr>
          <w:b/>
        </w:rPr>
        <w:t>Outpatient</w:t>
      </w:r>
      <w:r w:rsidR="00542F73">
        <w:rPr>
          <w:b/>
        </w:rPr>
        <w:t xml:space="preserve"> Services</w:t>
      </w:r>
    </w:p>
    <w:p w14:paraId="40D74905" w14:textId="61681F62" w:rsidR="00EE189A" w:rsidRDefault="00866953" w:rsidP="005A0CAA">
      <w:pPr>
        <w:spacing w:after="80" w:line="360" w:lineRule="auto"/>
        <w:jc w:val="both"/>
      </w:pPr>
      <w:r>
        <w:t xml:space="preserve">A total of </w:t>
      </w:r>
      <w:r w:rsidR="008B4ABB">
        <w:t>4</w:t>
      </w:r>
      <w:r w:rsidR="000F5E13">
        <w:t>,</w:t>
      </w:r>
      <w:r w:rsidR="008B4ABB">
        <w:t>810 participants had 45</w:t>
      </w:r>
      <w:r w:rsidR="000F5E13">
        <w:t>,</w:t>
      </w:r>
      <w:r w:rsidR="008B4ABB">
        <w:t xml:space="preserve">005 </w:t>
      </w:r>
      <w:r w:rsidR="00D82751">
        <w:t>appointments</w:t>
      </w:r>
      <w:r w:rsidR="00280C7E">
        <w:t>, with</w:t>
      </w:r>
      <w:r w:rsidR="008348E4">
        <w:t xml:space="preserve"> 4</w:t>
      </w:r>
      <w:r w:rsidR="000F5E13">
        <w:t>,178 (86.86%) male and 632 (13.14</w:t>
      </w:r>
      <w:r w:rsidR="008348E4">
        <w:t xml:space="preserve">%) female. </w:t>
      </w:r>
      <w:r w:rsidR="00CE6F9C">
        <w:t>Multiple coding systems were employed to encode diagnoses of an outpatient visit,</w:t>
      </w:r>
      <w:r w:rsidR="008073C0">
        <w:t xml:space="preserve"> including ICD-10 and free text</w:t>
      </w:r>
      <w:r w:rsidR="00CE6F9C">
        <w:t>. The most common ICD-10 code is R69, defined as “</w:t>
      </w:r>
      <w:r w:rsidR="00CE6F9C" w:rsidRPr="00051D7C">
        <w:rPr>
          <w:i/>
        </w:rPr>
        <w:t>Unknown and unspecified causes of morbidity</w:t>
      </w:r>
      <w:r w:rsidR="00CE6F9C">
        <w:t>”</w:t>
      </w:r>
      <w:r w:rsidR="003B6B01">
        <w:t xml:space="preserve"> </w:t>
      </w:r>
      <w:r w:rsidR="003E0BB9">
        <w:t>assigned to</w:t>
      </w:r>
      <w:r w:rsidR="003B6B01">
        <w:t xml:space="preserve"> 87.57</w:t>
      </w:r>
      <w:r w:rsidR="00CE6F9C">
        <w:t xml:space="preserve">% of </w:t>
      </w:r>
      <w:r w:rsidR="00A96F1F">
        <w:t xml:space="preserve">all </w:t>
      </w:r>
      <w:r w:rsidR="003E0BB9">
        <w:t>appointments</w:t>
      </w:r>
      <w:r w:rsidR="002013A1">
        <w:t>.</w:t>
      </w:r>
      <w:r w:rsidR="008544D7">
        <w:t xml:space="preserve"> </w:t>
      </w:r>
      <w:r w:rsidR="00803414">
        <w:t>O</w:t>
      </w:r>
      <w:r w:rsidR="009C5BB0">
        <w:t>nly 5.16</w:t>
      </w:r>
      <w:r w:rsidR="00DD6DB0">
        <w:t>%</w:t>
      </w:r>
      <w:r w:rsidR="00803414">
        <w:t xml:space="preserve"> of appointments</w:t>
      </w:r>
      <w:r w:rsidR="00DD6DB0">
        <w:t xml:space="preserve"> </w:t>
      </w:r>
      <w:r w:rsidR="00CA69DF">
        <w:t>were</w:t>
      </w:r>
      <w:r w:rsidR="00DD6DB0">
        <w:t xml:space="preserve"> not coded </w:t>
      </w:r>
      <w:r w:rsidR="00A05D6B">
        <w:t xml:space="preserve">with any type of </w:t>
      </w:r>
      <w:r w:rsidR="00CA69DF">
        <w:t>diagnos</w:t>
      </w:r>
      <w:r w:rsidR="00542F73">
        <w:t>i</w:t>
      </w:r>
      <w:r w:rsidR="00CA69DF">
        <w:t>s</w:t>
      </w:r>
      <w:r w:rsidR="00DD6DB0">
        <w:t xml:space="preserve">. </w:t>
      </w:r>
      <w:r w:rsidR="002013A1">
        <w:t xml:space="preserve"> </w:t>
      </w:r>
      <w:r w:rsidR="003B6B01">
        <w:t xml:space="preserve">England </w:t>
      </w:r>
      <w:r w:rsidR="00FA54E0">
        <w:t xml:space="preserve">had the largest number of visits with a proportion of 91.34% compared to Scotland 4.72% and </w:t>
      </w:r>
      <w:r w:rsidR="00B67A6A">
        <w:t>Wales</w:t>
      </w:r>
      <w:r w:rsidR="00FA54E0">
        <w:t xml:space="preserve"> 3.94%. </w:t>
      </w:r>
    </w:p>
    <w:p w14:paraId="30C2994E" w14:textId="27AC8060" w:rsidR="00952733" w:rsidRDefault="005B5976" w:rsidP="005A0CAA">
      <w:pPr>
        <w:spacing w:after="80" w:line="360" w:lineRule="auto"/>
        <w:jc w:val="both"/>
      </w:pPr>
      <w:r>
        <w:t xml:space="preserve">In total, </w:t>
      </w:r>
      <w:r w:rsidR="009E5066">
        <w:t xml:space="preserve">174 variables, which represent all three nations, were grouped </w:t>
      </w:r>
      <w:r w:rsidR="00C425B2">
        <w:t>resulting</w:t>
      </w:r>
      <w:r w:rsidR="009E5066">
        <w:t xml:space="preserve"> in 46 common variables being defined.</w:t>
      </w:r>
      <w:r w:rsidR="002C684A">
        <w:t xml:space="preserve"> </w:t>
      </w:r>
      <w:r w:rsidR="004F1AAD">
        <w:t xml:space="preserve">Overall </w:t>
      </w:r>
      <w:r w:rsidR="008B0F34">
        <w:t>completeness</w:t>
      </w:r>
      <w:r w:rsidR="004F1AAD">
        <w:t xml:space="preserve"> of the derived variables</w:t>
      </w:r>
      <w:r w:rsidR="008B0F34">
        <w:t>, in terms of a value being present was</w:t>
      </w:r>
      <w:r w:rsidR="00277CD0">
        <w:t xml:space="preserve"> </w:t>
      </w:r>
      <w:r w:rsidR="004F1AAD">
        <w:t xml:space="preserve">an average of </w:t>
      </w:r>
      <w:r w:rsidR="00277CD0">
        <w:t>57.11</w:t>
      </w:r>
      <w:r w:rsidR="009B7FC7">
        <w:t>% (</w:t>
      </w:r>
      <w:r w:rsidR="006E258D">
        <w:fldChar w:fldCharType="begin"/>
      </w:r>
      <w:r w:rsidR="006E258D">
        <w:instrText xml:space="preserve"> REF _Ref468792238 \h </w:instrText>
      </w:r>
      <w:r w:rsidR="005A0CAA">
        <w:instrText xml:space="preserve"> \* MERGEFORMAT </w:instrText>
      </w:r>
      <w:r w:rsidR="006E258D">
        <w:fldChar w:fldCharType="separate"/>
      </w:r>
      <w:r w:rsidR="000632B6">
        <w:t xml:space="preserve">Table </w:t>
      </w:r>
      <w:r w:rsidR="000632B6">
        <w:rPr>
          <w:noProof/>
        </w:rPr>
        <w:t>5</w:t>
      </w:r>
      <w:r w:rsidR="006E258D">
        <w:fldChar w:fldCharType="end"/>
      </w:r>
      <w:r w:rsidR="009B7FC7">
        <w:t>)</w:t>
      </w:r>
      <w:r w:rsidR="008B0F34">
        <w:t xml:space="preserve">. </w:t>
      </w:r>
      <w:r w:rsidR="007A7141">
        <w:t>A</w:t>
      </w:r>
      <w:r w:rsidR="00E85F54">
        <w:t>ppointments</w:t>
      </w:r>
      <w:r w:rsidR="005D357A">
        <w:t xml:space="preserve"> were coded with an appointment date, with the reason for attendance fully coded.</w:t>
      </w:r>
      <w:r w:rsidR="004C72B3">
        <w:t xml:space="preserve"> </w:t>
      </w:r>
      <w:r w:rsidR="00F815AA">
        <w:t xml:space="preserve">Conversely, </w:t>
      </w:r>
      <w:r w:rsidR="004C72B3">
        <w:t xml:space="preserve">there was poor coding for appointment waiting time, priority status, diagnoses and speciality (&lt;70%). </w:t>
      </w:r>
    </w:p>
    <w:p w14:paraId="5619411A" w14:textId="77777777" w:rsidR="00077358" w:rsidRDefault="00077358">
      <w:pPr>
        <w:rPr>
          <w:b/>
          <w:u w:val="single"/>
        </w:rPr>
      </w:pPr>
      <w:r>
        <w:rPr>
          <w:b/>
          <w:u w:val="single"/>
        </w:rPr>
        <w:br w:type="page"/>
      </w:r>
    </w:p>
    <w:p w14:paraId="3DA2C89C" w14:textId="40D2126A" w:rsidR="009D652D" w:rsidRDefault="009D652D" w:rsidP="00A23430">
      <w:pPr>
        <w:outlineLvl w:val="0"/>
        <w:rPr>
          <w:b/>
          <w:u w:val="single"/>
        </w:rPr>
      </w:pPr>
      <w:r w:rsidRPr="00CD3C0B">
        <w:rPr>
          <w:b/>
          <w:u w:val="single"/>
        </w:rPr>
        <w:t xml:space="preserve">Discussion </w:t>
      </w:r>
    </w:p>
    <w:p w14:paraId="3AA7A2FF" w14:textId="365E2BEA" w:rsidR="00F8536A" w:rsidRPr="00AE33E2" w:rsidRDefault="00224CB5" w:rsidP="005A0CAA">
      <w:pPr>
        <w:spacing w:line="360" w:lineRule="auto"/>
        <w:jc w:val="both"/>
        <w:outlineLvl w:val="0"/>
      </w:pPr>
      <w:r w:rsidRPr="00AE33E2">
        <w:t>Our work</w:t>
      </w:r>
      <w:r w:rsidR="00A6774C" w:rsidRPr="00AE33E2">
        <w:t xml:space="preserve"> </w:t>
      </w:r>
      <w:r w:rsidRPr="00AE33E2">
        <w:t>introduces</w:t>
      </w:r>
      <w:r w:rsidR="006D64E0">
        <w:t xml:space="preserve"> a framework </w:t>
      </w:r>
      <w:r w:rsidR="00E36C8F" w:rsidRPr="00AE33E2">
        <w:t xml:space="preserve">to </w:t>
      </w:r>
      <w:r w:rsidR="00FC3380">
        <w:t>integrate</w:t>
      </w:r>
      <w:r w:rsidR="00E36C8F" w:rsidRPr="00AE33E2">
        <w:t xml:space="preserve"> </w:t>
      </w:r>
      <w:r w:rsidR="005F12B3">
        <w:t xml:space="preserve">data from </w:t>
      </w:r>
      <w:r w:rsidR="00E36C8F" w:rsidRPr="00AE33E2">
        <w:t xml:space="preserve">national </w:t>
      </w:r>
      <w:r w:rsidR="00107E21">
        <w:t>providers</w:t>
      </w:r>
      <w:r w:rsidR="00107E21" w:rsidRPr="00AE33E2">
        <w:t xml:space="preserve"> </w:t>
      </w:r>
      <w:r w:rsidR="00CD7CB6" w:rsidRPr="00AE33E2">
        <w:t xml:space="preserve">to </w:t>
      </w:r>
      <w:r w:rsidR="004C5417" w:rsidRPr="00AE33E2">
        <w:t>produce</w:t>
      </w:r>
      <w:r w:rsidR="00CD7CB6" w:rsidRPr="00AE33E2">
        <w:t xml:space="preserve"> a </w:t>
      </w:r>
      <w:r w:rsidR="008D27AA">
        <w:t xml:space="preserve">combined </w:t>
      </w:r>
      <w:r w:rsidR="00CD7CB6" w:rsidRPr="00AE33E2">
        <w:t xml:space="preserve">dataset of secondary health </w:t>
      </w:r>
      <w:r w:rsidR="007B069F" w:rsidRPr="00AE33E2">
        <w:t>for</w:t>
      </w:r>
      <w:r w:rsidR="00A40EBD" w:rsidRPr="00AE33E2">
        <w:t xml:space="preserve"> serving and ex-serving Armed Forces personnel</w:t>
      </w:r>
      <w:r w:rsidR="00CD7CB6" w:rsidRPr="00AE33E2">
        <w:t>.</w:t>
      </w:r>
      <w:r w:rsidR="00D92EC4">
        <w:t xml:space="preserve"> </w:t>
      </w:r>
      <w:r w:rsidR="002D2832">
        <w:t>T</w:t>
      </w:r>
      <w:r w:rsidR="00D92EC4">
        <w:t>his work can also be applied to other set</w:t>
      </w:r>
      <w:r w:rsidR="00AE3701">
        <w:t>tings</w:t>
      </w:r>
      <w:r w:rsidR="00C74A45">
        <w:t xml:space="preserve"> and populations</w:t>
      </w:r>
      <w:r w:rsidR="00AE3701">
        <w:t>.</w:t>
      </w:r>
      <w:r w:rsidR="00CD7CB6" w:rsidRPr="00AE33E2">
        <w:t xml:space="preserve"> </w:t>
      </w:r>
      <w:r w:rsidR="00EF222E">
        <w:t>We have</w:t>
      </w:r>
      <w:r w:rsidR="00542F73" w:rsidRPr="00AE33E2">
        <w:t xml:space="preserve"> shown </w:t>
      </w:r>
      <w:r w:rsidR="00A77D9D" w:rsidRPr="00AE33E2">
        <w:t>that a linked dataset containing national</w:t>
      </w:r>
      <w:r w:rsidR="00A8719C">
        <w:t xml:space="preserve"> EHR</w:t>
      </w:r>
      <w:r w:rsidR="00FF3E8B">
        <w:t>s</w:t>
      </w:r>
      <w:r w:rsidR="00A77D9D" w:rsidRPr="00AE33E2">
        <w:t xml:space="preserve"> can be</w:t>
      </w:r>
      <w:r w:rsidR="00AC2266">
        <w:t xml:space="preserve"> created</w:t>
      </w:r>
      <w:r w:rsidR="00A77D9D" w:rsidRPr="00AE33E2">
        <w:t xml:space="preserve"> </w:t>
      </w:r>
      <w:r w:rsidR="001455EA">
        <w:t>and used</w:t>
      </w:r>
      <w:r w:rsidR="00915BFC">
        <w:t xml:space="preserve"> </w:t>
      </w:r>
      <w:r w:rsidR="00A77D9D" w:rsidRPr="00AE33E2">
        <w:t xml:space="preserve">to </w:t>
      </w:r>
      <w:r w:rsidR="00EE5580">
        <w:t>evaluate</w:t>
      </w:r>
      <w:r w:rsidR="00074319">
        <w:t xml:space="preserve"> healthcare utilisation across </w:t>
      </w:r>
      <w:r w:rsidR="00A77D9D" w:rsidRPr="00AE33E2">
        <w:t xml:space="preserve">England, Scotland and Wales. </w:t>
      </w:r>
      <w:r w:rsidR="00AC2266">
        <w:t>However, it is important to acknowledge that we do not know how many persons with an admission were not detected due to the matching</w:t>
      </w:r>
      <w:r w:rsidR="00D855A8">
        <w:t xml:space="preserve"> and extraction</w:t>
      </w:r>
      <w:r w:rsidR="00AC2266">
        <w:t xml:space="preserve"> </w:t>
      </w:r>
      <w:r w:rsidR="00FF76AA">
        <w:t>methodology</w:t>
      </w:r>
      <w:r w:rsidR="00A8719C">
        <w:t xml:space="preserve"> employed</w:t>
      </w:r>
      <w:r w:rsidR="00AC2266">
        <w:t xml:space="preserve"> by data providers. </w:t>
      </w:r>
      <w:r w:rsidR="00C565F4" w:rsidRPr="00AE33E2">
        <w:t>Using linked EHR</w:t>
      </w:r>
      <w:r w:rsidR="00325019" w:rsidRPr="00AE33E2">
        <w:t>s</w:t>
      </w:r>
      <w:r w:rsidR="00FE2350">
        <w:t xml:space="preserve">, </w:t>
      </w:r>
      <w:r w:rsidR="008E56C8">
        <w:t>clinicians</w:t>
      </w:r>
      <w:r w:rsidR="00FE2350">
        <w:t xml:space="preserve"> and researchers are </w:t>
      </w:r>
      <w:r w:rsidR="00C565F4" w:rsidRPr="00AE33E2">
        <w:t>able to monitor and improve admission</w:t>
      </w:r>
      <w:r w:rsidR="008E56C8">
        <w:t>s</w:t>
      </w:r>
      <w:r w:rsidR="00C565F4" w:rsidRPr="00AE33E2">
        <w:t>, quality of care</w:t>
      </w:r>
      <w:r w:rsidR="005B17A8">
        <w:t>,</w:t>
      </w:r>
      <w:r w:rsidR="005B17A8" w:rsidRPr="00AE33E2">
        <w:t xml:space="preserve"> </w:t>
      </w:r>
      <w:r w:rsidR="005B17A8">
        <w:t>improve</w:t>
      </w:r>
      <w:r w:rsidR="005A154D">
        <w:t xml:space="preserve"> clinical decision making, and to influence patient outcomes and care. </w:t>
      </w:r>
      <w:r w:rsidR="00C565F4" w:rsidRPr="00AE33E2">
        <w:t xml:space="preserve">We have been able to use the data to show </w:t>
      </w:r>
      <w:r w:rsidR="00325019" w:rsidRPr="00AE33E2">
        <w:t xml:space="preserve">the frequency </w:t>
      </w:r>
      <w:r w:rsidR="00C565F4" w:rsidRPr="00AE33E2">
        <w:t xml:space="preserve">of </w:t>
      </w:r>
      <w:r w:rsidR="007B069F" w:rsidRPr="00AE33E2">
        <w:t>APC, O</w:t>
      </w:r>
      <w:r w:rsidR="00C565F4" w:rsidRPr="00AE33E2">
        <w:t>utpatient and</w:t>
      </w:r>
      <w:r w:rsidR="0012277B" w:rsidRPr="00AE33E2">
        <w:t xml:space="preserve"> A&amp;E visits,</w:t>
      </w:r>
      <w:r w:rsidR="00FF76AA">
        <w:t xml:space="preserve"> diagnosis and arrival mode for Armed Forces personnel</w:t>
      </w:r>
      <w:r w:rsidR="0012277B" w:rsidRPr="00AE33E2">
        <w:t xml:space="preserve">. Conversely, we have identified disparities between data </w:t>
      </w:r>
      <w:r w:rsidR="00107E21">
        <w:t>providers</w:t>
      </w:r>
      <w:r w:rsidR="00107E21" w:rsidRPr="00AE33E2">
        <w:t xml:space="preserve"> </w:t>
      </w:r>
      <w:r w:rsidR="007B069F" w:rsidRPr="00AE33E2">
        <w:t xml:space="preserve">and their </w:t>
      </w:r>
      <w:r w:rsidR="00E66CF8" w:rsidRPr="00AE33E2">
        <w:t>methods of recording</w:t>
      </w:r>
      <w:r w:rsidR="00190F3A">
        <w:t>, validating</w:t>
      </w:r>
      <w:r w:rsidR="00E66CF8" w:rsidRPr="00AE33E2">
        <w:t xml:space="preserve"> and </w:t>
      </w:r>
      <w:r w:rsidR="00190F3A">
        <w:t>storing of data</w:t>
      </w:r>
      <w:r w:rsidR="00E66CF8" w:rsidRPr="00AE33E2">
        <w:t xml:space="preserve"> </w:t>
      </w:r>
      <w:r w:rsidR="008D1B7C">
        <w:t>which</w:t>
      </w:r>
      <w:r w:rsidR="007B069F" w:rsidRPr="00AE33E2">
        <w:t xml:space="preserve"> </w:t>
      </w:r>
      <w:r w:rsidR="00190F3A">
        <w:t xml:space="preserve">has been shown to </w:t>
      </w:r>
      <w:r w:rsidR="007B069F" w:rsidRPr="00AE33E2">
        <w:t xml:space="preserve">impact </w:t>
      </w:r>
      <w:r w:rsidR="00E66CF8" w:rsidRPr="00AE33E2">
        <w:t xml:space="preserve">data quality and reliability. Similarly, </w:t>
      </w:r>
      <w:r w:rsidR="0011121E" w:rsidRPr="00AE33E2">
        <w:t>data completenes</w:t>
      </w:r>
      <w:r w:rsidR="00C1359E">
        <w:t>s and accuracy in assigning presentation or diagnoses code values</w:t>
      </w:r>
      <w:r w:rsidR="0011121E" w:rsidRPr="00AE33E2">
        <w:t xml:space="preserve"> are </w:t>
      </w:r>
      <w:r w:rsidR="00C1359E">
        <w:t>of concern in</w:t>
      </w:r>
      <w:r w:rsidR="0011121E" w:rsidRPr="00AE33E2">
        <w:t xml:space="preserve"> A&amp;E and Outpatient data across the nations.</w:t>
      </w:r>
      <w:r w:rsidR="00E9116F">
        <w:t xml:space="preserve"> </w:t>
      </w:r>
      <w:r w:rsidR="007D7AF4">
        <w:t>For Outpatient EHRs</w:t>
      </w:r>
      <w:r w:rsidR="00EF6F9F">
        <w:t>,</w:t>
      </w:r>
      <w:r w:rsidR="007D7AF4">
        <w:t xml:space="preserve"> diagnoses and main procedure </w:t>
      </w:r>
      <w:r w:rsidR="00EF6F9F">
        <w:t xml:space="preserve">variables were not a mandatory requirement, however recording is increasing over time </w:t>
      </w:r>
      <w:r w:rsidR="00E9116F">
        <w:fldChar w:fldCharType="begin" w:fldLock="1"/>
      </w:r>
      <w:r w:rsidR="0033414F">
        <w:instrText>ADDIN CSL_CITATION { "citationItems" : [ { "id" : "ITEM-1", "itemData" : { "container-title" : "Hospital Outpatient Activity", "id" : "ITEM-1", "issued" : { "date-parts" : [ [ "2016" ] ] }, "number-of-pages" : "2015-16", "title" : "Hospital Outpatient Activity", "type" : "report" }, "uris" : [ "http://www.mendeley.com/documents/?uuid=05e85a4b-3c65-3736-beb0-b5484bafe5af" ] } ], "mendeley" : { "formattedCitation" : "[32]", "plainTextFormattedCitation" : "[32]", "previouslyFormattedCitation" : "[32]" }, "properties" : { "noteIndex" : 0 }, "schema" : "https://github.com/citation-style-language/schema/raw/master/csl-citation.json" }</w:instrText>
      </w:r>
      <w:r w:rsidR="00E9116F">
        <w:fldChar w:fldCharType="separate"/>
      </w:r>
      <w:r w:rsidR="00E9116F" w:rsidRPr="00E9116F">
        <w:rPr>
          <w:noProof/>
        </w:rPr>
        <w:t>[32]</w:t>
      </w:r>
      <w:r w:rsidR="00E9116F">
        <w:fldChar w:fldCharType="end"/>
      </w:r>
      <w:r w:rsidR="00E9116F">
        <w:t xml:space="preserve">. </w:t>
      </w:r>
      <w:r w:rsidR="005A55A1">
        <w:t>Nevertheless</w:t>
      </w:r>
      <w:r w:rsidR="00C36FF7">
        <w:t xml:space="preserve">, APC has been shown to </w:t>
      </w:r>
      <w:r w:rsidR="001D5C27">
        <w:t>consist</w:t>
      </w:r>
      <w:r w:rsidR="00C36FF7">
        <w:t xml:space="preserve"> of valid data points including diagnoses, treatments and operations</w:t>
      </w:r>
      <w:r w:rsidR="001D5C27">
        <w:t>,</w:t>
      </w:r>
      <w:r w:rsidR="00C36FF7">
        <w:t xml:space="preserve"> and admission/discharge dates. </w:t>
      </w:r>
      <w:r w:rsidR="003311E7" w:rsidRPr="00AE33E2">
        <w:t>To our knowledge</w:t>
      </w:r>
      <w:r w:rsidR="00CD6475" w:rsidRPr="00AE33E2">
        <w:t xml:space="preserve">, this is the first </w:t>
      </w:r>
      <w:r w:rsidR="0011121E" w:rsidRPr="00AE33E2">
        <w:t>to</w:t>
      </w:r>
      <w:r w:rsidR="00930F87">
        <w:t xml:space="preserve"> both</w:t>
      </w:r>
      <w:r w:rsidR="0011121E" w:rsidRPr="00AE33E2">
        <w:t xml:space="preserve"> link </w:t>
      </w:r>
      <w:r w:rsidR="00CD6475" w:rsidRPr="00AE33E2">
        <w:t xml:space="preserve">secondary care </w:t>
      </w:r>
      <w:r w:rsidR="000337AD" w:rsidRPr="00AE33E2">
        <w:t>datasets across England, Scotland and Wales</w:t>
      </w:r>
      <w:r w:rsidR="00930F87">
        <w:t xml:space="preserve"> and </w:t>
      </w:r>
      <w:r w:rsidR="00795F9C">
        <w:t>to analyse</w:t>
      </w:r>
      <w:r w:rsidR="00930F87">
        <w:t xml:space="preserve"> Armed Forces personnel </w:t>
      </w:r>
      <w:r w:rsidR="004266FE">
        <w:t xml:space="preserve">EHR </w:t>
      </w:r>
      <w:r w:rsidR="00930F87">
        <w:t>data</w:t>
      </w:r>
      <w:r w:rsidR="00DF28E8" w:rsidRPr="00AE33E2">
        <w:t xml:space="preserve">. </w:t>
      </w:r>
      <w:r w:rsidR="00EC7AAA" w:rsidRPr="00AE33E2">
        <w:t xml:space="preserve"> </w:t>
      </w:r>
    </w:p>
    <w:p w14:paraId="62074A9D" w14:textId="640C1234" w:rsidR="00B81F70" w:rsidRDefault="009C3345" w:rsidP="005A0CAA">
      <w:pPr>
        <w:spacing w:line="360" w:lineRule="auto"/>
        <w:jc w:val="both"/>
        <w:outlineLvl w:val="0"/>
      </w:pPr>
      <w:r>
        <w:t>The ability to obtain EHR from multiple nation</w:t>
      </w:r>
      <w:r w:rsidR="00004838">
        <w:t>al</w:t>
      </w:r>
      <w:r>
        <w:t xml:space="preserve"> providers</w:t>
      </w:r>
      <w:r w:rsidR="007F56EC">
        <w:t xml:space="preserve"> and </w:t>
      </w:r>
      <w:r w:rsidR="00F671ED">
        <w:t>integrate</w:t>
      </w:r>
      <w:r w:rsidR="007F56EC">
        <w:t xml:space="preserve"> to an existing cohort</w:t>
      </w:r>
      <w:r>
        <w:t xml:space="preserve"> </w:t>
      </w:r>
      <w:r w:rsidR="00325019">
        <w:t>allows</w:t>
      </w:r>
      <w:r w:rsidR="002C6B37">
        <w:t xml:space="preserve"> greater insight into patient admission patterns and history</w:t>
      </w:r>
      <w:r>
        <w:t xml:space="preserve">  </w:t>
      </w:r>
      <w:r>
        <w:fldChar w:fldCharType="begin" w:fldLock="1"/>
      </w:r>
      <w:r w:rsidR="0033414F">
        <w:instrText>ADDIN CSL_CITATION { "citationItems" : [ { "id" : "ITEM-1", "itemData" : { "author" : [ { "dropping-particle" : "", "family" : "Canavan", "given" : "Caroline", "non-dropping-particle" : "", "parse-names" : false, "suffix" : "" }, { "dropping-particle" : "", "family" : "West", "given" : "Joe", "non-dropping-particle" : "", "parse-names" : false, "suffix" : "" }, { "dropping-particle" : "", "family" : "Card", "given" : "Timothy", "non-dropping-particle" : "", "parse-names" : false, "suffix" : "" } ], "container-title" : "PharmacoEconomics", "id" : "ITEM-1", "issue" : "2", "issued" : { "date-parts" : [ [ "2016" ] ] }, "page" : "181-194", "title" : "Calculating Total Health Service Utilisation and Costs from Routinely Collected Electronic Health Records Using the Example of Patients with Irritable Bowel Syndrome Before and After Their First Gastroenterology Appointment", "type" : "article-journal", "volume" : "34" }, "uris" : [ "http://www.mendeley.com/documents/?uuid=f0f7aabd-838f-48b7-a642-d7c2be664a70" ] }, { "id" : "ITEM-2", "itemData" : { "author" : [ { "dropping-particle" : "", "family" : "Payne", "given" : "Rupert A", "non-dropping-particle" : "", "parse-names" : false, "suffix" : "" }, { "dropping-particle" : "", "family" : "Abel", "given" : "Gary A", "non-dropping-particle" : "", "parse-names" : false, "suffix" : "" }, { "dropping-particle" : "", "family" : "Guthrie", "given" : "Bruce", "non-dropping-particle" : "", "parse-names" : false, "suffix" : "" }, { "dropping-particle" : "", "family" : "Mercer", "given" : "Stewart W", "non-dropping-particle" : "", "parse-names" : false, "suffix" : "" } ], "container-title" : "Canadian Medical Association Journal", "id" : "ITEM-2", "issue" : "5", "issued" : { "date-parts" : [ [ "2013" ] ] }, "page" : "E221-E228", "title" : "The effect of physical multimorbidity, mental health conditions and socioeconomic deprivation on unplanned admissions to hospital: a retrospective cohort study", "type" : "article-journal", "volume" : "185" }, "uris" : [ "http://www.mendeley.com/documents/?uuid=c73244a5-a649-419f-846e-fb0f6b2822ed" ] }, { "id" : "ITEM-3", "itemData" : { "author" : [ { "dropping-particle" : "", "family" : "John", "given" : "Ann", "non-dropping-particle" : "", "parse-names" : false, "suffix" : "" }, { "dropping-particle" : "", "family" : "Dennis", "given" : "M", "non-dropping-particle" : "", "parse-names" : false, "suffix" : "" }, { "dropping-particle" : "", "family" : "Kosnes", "given" : "L", "non-dropping-particle" : "", "parse-names" : false, "suffix" : "" }, { "dropping-particle" : "", "family" : "Gunnell", "given" : "D", "non-dropping-particle" : "", "parse-names" : false, "suffix" : "" }, { "dropping-particle" : "", "family" : "Scourfield", "given" : "J", "non-dropping-particle" : "", "parse-names" : false, "suffix" : "" }, { "dropping-particle" : "V", "family" : "Ford", "given" : "D", "non-dropping-particle" : "", "parse-names" : false, "suffix" : "" }, { "dropping-particle" : "", "family" : "Lloyd", "given" : "K", "non-dropping-particle" : "", "parse-names" : false, "suffix" : "" } ], "container-title" : "BMJ Open", "id" : "ITEM-3", "issue" : "11", "issued" : { "date-parts" : [ [ "2014" ] ] }, "title" : "Suicide Information Database-Cymru: a protocol for a population-based, routinely collected data linkage study to explore risks and patterns of healthcare contact prior to suicide to identify opportunities for intervention", "type" : "article-journal", "volume" : "4" }, "uris" : [ "http://www.mendeley.com/documents/?uuid=c77ed780-66b1-46d3-9269-50418e343273" ] } ], "mendeley" : { "formattedCitation" : "[2], [33], [34]", "plainTextFormattedCitation" : "[2], [33], [34]", "previouslyFormattedCitation" : "[2], [33], [34]" }, "properties" : { "noteIndex" : 0 }, "schema" : "https://github.com/citation-style-language/schema/raw/master/csl-citation.json" }</w:instrText>
      </w:r>
      <w:r>
        <w:fldChar w:fldCharType="separate"/>
      </w:r>
      <w:r w:rsidR="00E9116F" w:rsidRPr="00E9116F">
        <w:rPr>
          <w:noProof/>
        </w:rPr>
        <w:t>[2], [33], [34]</w:t>
      </w:r>
      <w:r>
        <w:fldChar w:fldCharType="end"/>
      </w:r>
      <w:r>
        <w:t xml:space="preserve">. </w:t>
      </w:r>
      <w:r w:rsidR="00B81F70">
        <w:t>However, EHR</w:t>
      </w:r>
      <w:r w:rsidR="005943C9">
        <w:t>s</w:t>
      </w:r>
      <w:r w:rsidR="00B81F70">
        <w:t xml:space="preserve"> alone do not provide </w:t>
      </w:r>
      <w:r w:rsidR="00D85D7A">
        <w:t>sufficient</w:t>
      </w:r>
      <w:r w:rsidR="00B81F70">
        <w:t xml:space="preserve"> context to enable </w:t>
      </w:r>
      <w:r w:rsidR="002C5846">
        <w:t>detailed</w:t>
      </w:r>
      <w:r w:rsidR="00D85D7A">
        <w:t xml:space="preserve"> evaluation of the data</w:t>
      </w:r>
      <w:r w:rsidR="007B4CB2">
        <w:t xml:space="preserve"> and therefore additional data </w:t>
      </w:r>
      <w:r w:rsidR="00107E21">
        <w:t>providers</w:t>
      </w:r>
      <w:r w:rsidR="006B2E37">
        <w:t xml:space="preserve"> and cohorts</w:t>
      </w:r>
      <w:r w:rsidR="00107E21">
        <w:t xml:space="preserve"> </w:t>
      </w:r>
      <w:r w:rsidR="007B4CB2">
        <w:t>(</w:t>
      </w:r>
      <w:r w:rsidR="007B4CB2" w:rsidRPr="009C3345">
        <w:rPr>
          <w:i/>
        </w:rPr>
        <w:t>e.g.</w:t>
      </w:r>
      <w:r w:rsidR="007B4CB2">
        <w:t xml:space="preserve"> National Joint Registry </w:t>
      </w:r>
      <w:r w:rsidR="007B4CB2">
        <w:fldChar w:fldCharType="begin" w:fldLock="1"/>
      </w:r>
      <w:r w:rsidR="0033414F">
        <w:instrText>ADDIN CSL_CITATION { "citationItems" : [ { "id" : "ITEM-1", "itemData" : { "author" : [ { "dropping-particle" : "", "family" : "Liddle", "given" : "Alexander D", "non-dropping-particle" : "", "parse-names" : false, "suffix" : "" }, { "dropping-particle" : "", "family" : "Pandit", "given" : "Hemant", "non-dropping-particle" : "", "parse-names" : false, "suffix" : "" }, { "dropping-particle" : "", "family" : "Judge", "given" : "Andrew", "non-dropping-particle" : "", "parse-names" : false, "suffix" : "" }, { "dropping-particle" : "", "family" : "Murray", "given" : "David W", "non-dropping-particle" : "", "parse-names" : false, "suffix" : "" } ], "container-title" : "The Journal of Bone &amp; Joint Surgery", "id" : "ITEM-1", "issue" : "1", "issued" : { "date-parts" : [ [ "2016" ] ] }, "page" : "1-8", "title" : "Effect of Surgical Caseload on Revision Rate Following Total and Unicompartmental Knee Replacement", "type" : "article-journal", "volume" : "98" }, "uris" : [ "http://www.mendeley.com/documents/?uuid=f3da0e8b-5da7-4095-be80-307664aede93" ] } ], "mendeley" : { "formattedCitation" : "[35]", "plainTextFormattedCitation" : "[35]", "previouslyFormattedCitation" : "[35]" }, "properties" : { "noteIndex" : 0 }, "schema" : "https://github.com/citation-style-language/schema/raw/master/csl-citation.json" }</w:instrText>
      </w:r>
      <w:r w:rsidR="007B4CB2">
        <w:fldChar w:fldCharType="separate"/>
      </w:r>
      <w:r w:rsidR="00E9116F" w:rsidRPr="00E9116F">
        <w:rPr>
          <w:noProof/>
        </w:rPr>
        <w:t>[35]</w:t>
      </w:r>
      <w:r w:rsidR="007B4CB2">
        <w:fldChar w:fldCharType="end"/>
      </w:r>
      <w:r w:rsidR="007B4CB2">
        <w:t xml:space="preserve">, Cancer Registry </w:t>
      </w:r>
      <w:r w:rsidR="007B4CB2">
        <w:fldChar w:fldCharType="begin" w:fldLock="1"/>
      </w:r>
      <w:r w:rsidR="0033414F">
        <w:instrText>ADDIN CSL_CITATION { "citationItems" : [ { "id" : "ITEM-1", "itemData" : { "DOI" : "http://dx.doi.org/10.1038/bjc.2013.129", "author" : [ { "dropping-particle" : "", "family" : "Brewster", "given" : "D H", "non-dropping-particle" : "", "parse-names" : false, "suffix" : "" }, { "dropping-particle" : "", "family" : "Stockton", "given" : "D L", "non-dropping-particle" : "", "parse-names" : false, "suffix" : "" }, { "dropping-particle" : "", "family" : "Reekie", "given" : "A", "non-dropping-particle" : "", "parse-names" : false, "suffix" : "" }, { "dropping-particle" : "", "family" : "Ashcroft", "given" : "G P", "non-dropping-particle" : "", "parse-names" : false, "suffix" : "" }, { "dropping-particle" : "", "family" : "Howie", "given" : "C R", "non-dropping-particle" : "", "parse-names" : false, "suffix" : "" }, { "dropping-particle" : "", "family" : "Porter", "given" : "D E", "non-dropping-particle" : "", "parse-names" : false, "suffix" : "" }, { "dropping-particle" : "", "family" : "Black", "given" : "R J", "non-dropping-particle" : "", "parse-names" : false, "suffix" : "" } ], "container-title" : "British Journal of Cancer", "id" : "ITEM-1", "issue" : "9", "issued" : { "date-parts" : [ [ "2013" ] ] }, "page" : "1883-1890", "title" : "Risk of cancer following primary total hip replacement or primary resurfacing arthroplasty of the hip: a retrospective cohort study in Scotland", "type" : "article-journal", "volume" : "108" }, "uris" : [ "http://www.mendeley.com/documents/?uuid=3b1a2faf-341a-4f78-bf68-18ecca039eb3" ] } ], "mendeley" : { "formattedCitation" : "[36]", "plainTextFormattedCitation" : "[36]", "previouslyFormattedCitation" : "[36]" }, "properties" : { "noteIndex" : 0 }, "schema" : "https://github.com/citation-style-language/schema/raw/master/csl-citation.json" }</w:instrText>
      </w:r>
      <w:r w:rsidR="007B4CB2">
        <w:fldChar w:fldCharType="separate"/>
      </w:r>
      <w:r w:rsidR="00E9116F" w:rsidRPr="00E9116F">
        <w:rPr>
          <w:noProof/>
        </w:rPr>
        <w:t>[36]</w:t>
      </w:r>
      <w:r w:rsidR="007B4CB2">
        <w:fldChar w:fldCharType="end"/>
      </w:r>
      <w:r w:rsidR="007B4CB2">
        <w:t>) are used</w:t>
      </w:r>
      <w:r w:rsidR="001455EA">
        <w:t xml:space="preserve"> to provide personal identifiers</w:t>
      </w:r>
      <w:r w:rsidR="007B4CB2">
        <w:t xml:space="preserve">. </w:t>
      </w:r>
      <w:r w:rsidR="00B81F70">
        <w:t xml:space="preserve">The Hertfordshire Cohort Study </w:t>
      </w:r>
      <w:r w:rsidR="00B81F70">
        <w:fldChar w:fldCharType="begin" w:fldLock="1"/>
      </w:r>
      <w:r w:rsidR="004A0009">
        <w:instrText>ADDIN CSL_CITATION { "citationItems" : [ { "id" : "ITEM-1", "itemData" : { "author" : [ { "dropping-particle" : "", "family" : "Simmonds", "given" : "Shirley J", "non-dropping-particle" : "", "parse-names" : false, "suffix" : "" }, { "dropping-particle" : "", "family" : "Syddall", "given" : "Holly E", "non-dropping-particle" : "", "parse-names" : false, "suffix" : "" }, { "dropping-particle" : "", "family" : "Walsh", "given" : "Bronagh", "non-dropping-particle" : "", "parse-names" : false, "suffix" : "" }, { "dropping-particle" : "", "family" : "Evandrou", "given" : "Maria", "non-dropping-particle" : "", "parse-names" : false, "suffix" : "" }, { "dropping-particle" : "", "family" : "Dennison", "given" : "Elaine M", "non-dropping-particle" : "", "parse-names" : false, "suffix" : "" }, { "dropping-particle" : "", "family" : "Cooper", "given" : "Cyrus", "non-dropping-particle" : "", "parse-names" : false, "suffix" : "" }, { "dropping-particle" : "", "family" : "Aihie Sayer", "given" : "Avan", "non-dropping-particle" : "", "parse-names" : false, "suffix" : "" } ], "container-title" : "Age and Ageing", "id" : "ITEM-1", "issue" : "5", "issued" : { "date-parts" : [ [ "2014" ] ] }, "page" : "653-660", "title" : "Understanding NHS hospital admissions in England: linkage of Hospital Episode Statistics to the Hertfordshire Cohort Study", "type" : "article-journal", "volume" : "43" }, "uris" : [ "http://www.mendeley.com/documents/?uuid=a6b051c1-e3a7-457c-a194-6329dd7e608b" ] } ], "mendeley" : { "formattedCitation" : "[3]", "plainTextFormattedCitation" : "[3]", "previouslyFormattedCitation" : "[3]" }, "properties" : { "noteIndex" : 0 }, "schema" : "https://github.com/citation-style-language/schema/raw/master/csl-citation.json" }</w:instrText>
      </w:r>
      <w:r w:rsidR="00B81F70">
        <w:fldChar w:fldCharType="separate"/>
      </w:r>
      <w:r w:rsidR="008E6C5A" w:rsidRPr="008E6C5A">
        <w:rPr>
          <w:noProof/>
        </w:rPr>
        <w:t>[3]</w:t>
      </w:r>
      <w:r w:rsidR="00B81F70">
        <w:fldChar w:fldCharType="end"/>
      </w:r>
      <w:r w:rsidR="00B81F70">
        <w:t xml:space="preserve"> linked hospital admissions to an existing cohort, the study was limited to a single English county</w:t>
      </w:r>
      <w:r w:rsidR="007474E6">
        <w:t xml:space="preserve"> </w:t>
      </w:r>
      <w:r w:rsidR="00B81F70">
        <w:t xml:space="preserve">(Hertfordshire county). </w:t>
      </w:r>
      <w:r w:rsidR="00881057">
        <w:t xml:space="preserve">The authors had difficulty </w:t>
      </w:r>
      <w:r w:rsidR="008D4BA3">
        <w:t>obtaining EHR</w:t>
      </w:r>
      <w:r w:rsidR="008326B3">
        <w:t>s</w:t>
      </w:r>
      <w:r w:rsidR="008D4BA3">
        <w:t xml:space="preserve"> for the cohort</w:t>
      </w:r>
      <w:r w:rsidR="00FF3228">
        <w:t xml:space="preserve">, similar to our own difficulties </w:t>
      </w:r>
      <w:r w:rsidR="008D4BA3">
        <w:t xml:space="preserve">with national data providers performing data linkage using different algorithms. </w:t>
      </w:r>
      <w:r w:rsidR="00FF3228">
        <w:t xml:space="preserve"> </w:t>
      </w:r>
      <w:r w:rsidR="00B81F70">
        <w:t xml:space="preserve">In Scotland, the Scottish Health Surveys Cohort </w:t>
      </w:r>
      <w:r w:rsidR="00B81F70">
        <w:fldChar w:fldCharType="begin" w:fldLock="1"/>
      </w:r>
      <w:r w:rsidR="004A0009">
        <w:instrText>ADDIN CSL_CITATION { "citationItems" : [ { "id" : "ITEM-1", "itemData" : { "DOI" : "10.1093/ije/dyp155", "author" : [ { "dropping-particle" : "", "family" : "Gray", "given" : "Linsay", "non-dropping-particle" : "", "parse-names" : false, "suffix" : "" }, { "dropping-particle" : "", "family" : "Batty", "given" : "G David", "non-dropping-particle" : "", "parse-names" : false, "suffix" : "" }, { "dropping-particle" : "", "family" : "Craig", "given" : "Peter", "non-dropping-particle" : "", "parse-names" : false, "suffix" : "" }, { "dropping-particle" : "", "family" : "Stewart", "given" : "Catherine", "non-dropping-particle" : "", "parse-names" : false, "suffix" : "" }, { "dropping-particle" : "", "family" : "Whyte", "given" : "Bruce", "non-dropping-particle" : "", "parse-names" : false, "suffix" : "" }, { "dropping-particle" : "", "family" : "Finlayson", "given" : "Alan", "non-dropping-particle" : "", "parse-names" : false, "suffix" : "" }, { "dropping-particle" : "", "family" : "Leyland", "given" : "Alastair H", "non-dropping-particle" : "", "parse-names" : false, "suffix" : "" } ], "container-title" : "International Journal of Epidemiology", "id" : "ITEM-1", "issue" : "2", "issued" : { "date-parts" : [ [ "2010" ] ] }, "page" : "345-350", "title" : "Cohort Profile: The Scottish Health Surveys Cohort: linkage of study participants to routinely collected records for mortality, hospital discharge, cancer and offspring birth characteristics in three nationwide studies", "type" : "article-journal", "volume" : "39" }, "uris" : [ "http://www.mendeley.com/documents/?uuid=98ea59d3-ce62-4d8f-b367-1834c0b22153" ] } ], "mendeley" : { "formattedCitation" : "[5]", "plainTextFormattedCitation" : "[5]", "previouslyFormattedCitation" : "[5]" }, "properties" : { "noteIndex" : 0 }, "schema" : "https://github.com/citation-style-language/schema/raw/master/csl-citation.json" }</w:instrText>
      </w:r>
      <w:r w:rsidR="00B81F70">
        <w:fldChar w:fldCharType="separate"/>
      </w:r>
      <w:r w:rsidR="008E6C5A" w:rsidRPr="008E6C5A">
        <w:rPr>
          <w:noProof/>
        </w:rPr>
        <w:t>[5]</w:t>
      </w:r>
      <w:r w:rsidR="00B81F70">
        <w:fldChar w:fldCharType="end"/>
      </w:r>
      <w:r w:rsidR="00B81F70">
        <w:t xml:space="preserve"> is an example of a data linkage between a cohort and health and social care in secondary care. The study linked Outpatient, </w:t>
      </w:r>
      <w:r w:rsidR="0088436C">
        <w:t>APC</w:t>
      </w:r>
      <w:r w:rsidR="00B81F70">
        <w:t>, Mental Health and Outpatient records at the patient-level to provid</w:t>
      </w:r>
      <w:r w:rsidR="00EA34A7">
        <w:t xml:space="preserve">e detailed healthcare patterns. </w:t>
      </w:r>
    </w:p>
    <w:p w14:paraId="1B084F7C" w14:textId="167C5A3D" w:rsidR="006822D8" w:rsidRDefault="006822D8" w:rsidP="006822D8">
      <w:pPr>
        <w:outlineLvl w:val="0"/>
        <w:rPr>
          <w:b/>
        </w:rPr>
      </w:pPr>
      <w:r>
        <w:rPr>
          <w:b/>
        </w:rPr>
        <w:t xml:space="preserve">Limitations </w:t>
      </w:r>
      <w:r w:rsidR="00F069A4">
        <w:rPr>
          <w:b/>
        </w:rPr>
        <w:t xml:space="preserve">and challenges for sustainability </w:t>
      </w:r>
    </w:p>
    <w:p w14:paraId="22326D89" w14:textId="28CD88EC" w:rsidR="001F10E6" w:rsidRDefault="00502A0A" w:rsidP="005A0CAA">
      <w:pPr>
        <w:spacing w:line="360" w:lineRule="auto"/>
        <w:jc w:val="both"/>
        <w:outlineLvl w:val="0"/>
      </w:pPr>
      <w:r>
        <w:t xml:space="preserve">In order for our methodology to be </w:t>
      </w:r>
      <w:r w:rsidR="00DA0688">
        <w:t xml:space="preserve">a </w:t>
      </w:r>
      <w:r>
        <w:t xml:space="preserve">functional resource it is important to be aware of the limits </w:t>
      </w:r>
      <w:r w:rsidR="001C22B2">
        <w:t xml:space="preserve">of health data and </w:t>
      </w:r>
      <w:r w:rsidR="00F671ED">
        <w:t>integration</w:t>
      </w:r>
      <w:r w:rsidR="001C22B2">
        <w:t>. P</w:t>
      </w:r>
      <w:r w:rsidR="006822D8">
        <w:t xml:space="preserve">ersonal identifiers were obtained via the KCMHR cohort study </w:t>
      </w:r>
      <w:r w:rsidR="00D95D40">
        <w:t>and included participants’</w:t>
      </w:r>
      <w:r w:rsidR="006822D8">
        <w:t xml:space="preserve"> first name, last name, date of birth gender, and National </w:t>
      </w:r>
      <w:r w:rsidR="00D95D40">
        <w:t xml:space="preserve">Health </w:t>
      </w:r>
      <w:r w:rsidR="006822D8">
        <w:t>Number</w:t>
      </w:r>
      <w:r w:rsidR="00540DE1">
        <w:t xml:space="preserve"> which can be difficult to obtain and record correctly</w:t>
      </w:r>
      <w:r w:rsidR="006822D8">
        <w:t xml:space="preserve">. </w:t>
      </w:r>
      <w:r w:rsidR="00D95D40">
        <w:t xml:space="preserve">NHS number was not available for </w:t>
      </w:r>
      <w:r w:rsidR="006822D8">
        <w:t xml:space="preserve">20.05% of </w:t>
      </w:r>
      <w:r w:rsidR="00FC6FA3">
        <w:t>participants.</w:t>
      </w:r>
      <w:r w:rsidR="006822D8">
        <w:t xml:space="preserve"> The matching process undertaken by </w:t>
      </w:r>
      <w:r w:rsidR="007A1F1C">
        <w:t xml:space="preserve">NHS </w:t>
      </w:r>
      <w:r w:rsidR="00EA2ABA">
        <w:t xml:space="preserve">Digital set </w:t>
      </w:r>
      <w:r w:rsidR="00E264BB">
        <w:t>NHS</w:t>
      </w:r>
      <w:r w:rsidR="006822D8">
        <w:t xml:space="preserve"> number as a </w:t>
      </w:r>
      <w:r w:rsidR="00C27985">
        <w:t>mandatory</w:t>
      </w:r>
      <w:r w:rsidR="006822D8">
        <w:t xml:space="preserve"> variable, resulting in a lower success rate. However, ISD in Scotland and SAIL in Wales did not place this same requirement.  </w:t>
      </w:r>
      <w:r w:rsidR="001F10E6">
        <w:t>W</w:t>
      </w:r>
      <w:r w:rsidR="002565B3">
        <w:t>e did not req</w:t>
      </w:r>
      <w:r w:rsidR="00825AB8">
        <w:t>uest data from Northern Ireland</w:t>
      </w:r>
      <w:r w:rsidR="002565B3">
        <w:t xml:space="preserve">. This was because of the complex structures surrounding EHRs in </w:t>
      </w:r>
      <w:r w:rsidR="00825AB8">
        <w:t>Northern Ireland</w:t>
      </w:r>
      <w:r w:rsidR="002565B3">
        <w:t xml:space="preserve">. No central organisation is responsible, instead it is delegated to the local trust. In addition, there are security </w:t>
      </w:r>
      <w:r w:rsidR="00326643">
        <w:t>concerns</w:t>
      </w:r>
      <w:r w:rsidR="002565B3">
        <w:t xml:space="preserve"> </w:t>
      </w:r>
      <w:r w:rsidR="00326643">
        <w:t>surrounding</w:t>
      </w:r>
      <w:r w:rsidR="002565B3">
        <w:t xml:space="preserve"> former </w:t>
      </w:r>
      <w:r w:rsidR="00BE4444">
        <w:t>Armed Forces</w:t>
      </w:r>
      <w:r w:rsidR="002565B3">
        <w:t xml:space="preserve"> personnel. </w:t>
      </w:r>
    </w:p>
    <w:p w14:paraId="555664B1" w14:textId="133158EF" w:rsidR="00340570" w:rsidRDefault="006822D8" w:rsidP="005A0CAA">
      <w:pPr>
        <w:spacing w:line="360" w:lineRule="auto"/>
        <w:jc w:val="both"/>
        <w:outlineLvl w:val="0"/>
      </w:pPr>
      <w:r>
        <w:t xml:space="preserve">There are a number of problems with using national EHR datasets such as HES, ISD or SAIL when </w:t>
      </w:r>
      <w:r w:rsidR="00F671ED">
        <w:t>integrating</w:t>
      </w:r>
      <w:r>
        <w:t xml:space="preserve"> these datasets. The complexity of gathering data at data centres and the large number of organisations and institutions which can provide submissions can </w:t>
      </w:r>
      <w:r w:rsidR="00F54B78">
        <w:t xml:space="preserve">give </w:t>
      </w:r>
      <w:r>
        <w:t>rise to reduced accuracy of the EHR including diagnoses, outcomes and patient management</w:t>
      </w:r>
      <w:r w:rsidR="00B86E2D">
        <w:t xml:space="preserve"> </w:t>
      </w:r>
      <w:r w:rsidR="005724F8">
        <w:fldChar w:fldCharType="begin" w:fldLock="1"/>
      </w:r>
      <w:r w:rsidR="0033414F">
        <w:instrText>ADDIN CSL_CITATION { "citationItems" : [ { "id" : "ITEM-1", "itemData" : { "author" : [ { "dropping-particle" : "", "family" : "Sinha", "given" : "Sidhartha", "non-dropping-particle" : "", "parse-names" : false, "suffix" : "" }, { "dropping-particle" : "", "family" : "Peach", "given" : "George", "non-dropping-particle" : "", "parse-names" : false, "suffix" : "" }, { "dropping-particle" : "", "family" : "Poloniecki", "given" : "Jan D", "non-dropping-particle" : "", "parse-names" : false, "suffix" : "" }, { "dropping-particle" : "", "family" : "Thompson", "given" : "Matt M", "non-dropping-particle" : "", "parse-names" : false, "suffix" : "" }, { "dropping-particle" : "", "family" : "Holt", "given" : "Peter J", "non-dropping-particle" : "", "parse-names" : false, "suffix" : "" } ], "container-title" : "The European Journal of Public Health", "id" : "ITEM-1", "issue" : "1", "issued" : { "date-parts" : [ [ "2013" ] ] }, "page" : "86-92", "title" : "Studies using English administrative data (Hospital Episode Statistics) to assess health-care outcomes: systematic review and recommendations for reporting", "type" : "article-journal", "volume" : "23" }, "uris" : [ "http://www.mendeley.com/documents/?uuid=5e70aff6-760a-44d6-a6de-5dbcb8c1f161" ] }, { "id" : "ITEM-2", "itemData" : { "author" : [ { "dropping-particle" : "", "family" : "Burns", "given" : "E M", "non-dropping-particle" : "", "parse-names" : false, "suffix" : "" }, { "dropping-particle" : "", "family" : "Rigby", "given" : "E", "non-dropping-particle" : "", "parse-names" : false, "suffix" : "" }, { "dropping-particle" : "", "family" : "Mamidanna", "given" : "R", "non-dropping-particle" : "", "parse-names" : false, "suffix" : "" }, { "dropping-particle" : "", "family" : "Bottle", "given" : "A", "non-dropping-particle" : "", "parse-names" : false, "suffix" : "" }, { "dropping-particle" : "", "family" : "Aylin", "given" : "P", "non-dropping-particle" : "", "parse-names" : false, "suffix" : "" }, { "dropping-particle" : "", "family" : "Ziprin", "given" : "P", "non-dropping-particle" : "", "parse-names" : false, "suffix" : "" }, { "dropping-particle" : "", "family" : "Faiz", "given" : "O D", "non-dropping-particle" : "", "parse-names" : false, "suffix" : "" } ], "container-title" : "Journal of Public Health", "id" : "ITEM-2", "issue" : "1", "issued" : { "date-parts" : [ [ "2011" ] ] }, "page" : "138-148", "title" : "Systematic review of discharge coding accuracy", "type" : "article-journal", "volume" : "34" }, "uris" : [ "http://www.mendeley.com/documents/?uuid=403dbeb0-e68f-462a-bf46-9003e9abcb3f" ] } ], "mendeley" : { "formattedCitation" : "[37], [38]", "plainTextFormattedCitation" : "[37], [38]", "previouslyFormattedCitation" : "[37], [38]" }, "properties" : { "noteIndex" : 0 }, "schema" : "https://github.com/citation-style-language/schema/raw/master/csl-citation.json" }</w:instrText>
      </w:r>
      <w:r w:rsidR="005724F8">
        <w:fldChar w:fldCharType="separate"/>
      </w:r>
      <w:r w:rsidR="00E9116F" w:rsidRPr="00E9116F">
        <w:rPr>
          <w:noProof/>
        </w:rPr>
        <w:t>[37], [38]</w:t>
      </w:r>
      <w:r w:rsidR="005724F8">
        <w:fldChar w:fldCharType="end"/>
      </w:r>
      <w:r w:rsidR="00946CE5">
        <w:t xml:space="preserve">. </w:t>
      </w:r>
      <w:r>
        <w:t xml:space="preserve">Further, completeness of records </w:t>
      </w:r>
      <w:r w:rsidR="00F54B78">
        <w:t xml:space="preserve">is </w:t>
      </w:r>
      <w:r>
        <w:t>poor, particularly in Outpatient and A&amp;E EHRs, giving rise to difficult</w:t>
      </w:r>
      <w:r w:rsidR="00F54B78">
        <w:t>y</w:t>
      </w:r>
      <w:r>
        <w:t xml:space="preserve"> in linking variables and making any statistical analyses troublesome</w:t>
      </w:r>
      <w:r w:rsidR="00C133A6">
        <w:t xml:space="preserve"> </w:t>
      </w:r>
      <w:r w:rsidR="00C133A6">
        <w:fldChar w:fldCharType="begin" w:fldLock="1"/>
      </w:r>
      <w:r w:rsidR="00CC0FBC">
        <w:instrText>ADDIN CSL_CITATION { "citationItems" : [ { "id" : "ITEM-1", "itemData" : { "author" : [ { "dropping-particle" : "", "family" : "Samad", "given" : "Lamiya", "non-dropping-particle" : "", "parse-names" : false, "suffix" : "" }, { "dropping-particle" : "", "family" : "Cortina-Borja", "given" : "Mario", "non-dropping-particle" : "", "parse-names" : false, "suffix" : "" }, { "dropping-particle" : "", "family" : "Sutcliffe", "given" : "Alastair G", "non-dropping-particle" : "", "parse-names" : false, "suffix" : "" }, { "dropping-particle" : "", "family" : "Marven", "given" : "Sean", "non-dropping-particle" : "", "parse-names" : false, "suffix" : "" }, { "dropping-particle" : "", "family" : "Cameron", "given" : "J Claire", "non-dropping-particle" : "", "parse-names" : false, "suffix" : "" }, { "dropping-particle" : "El", "family" : "Bashir", "given" : "Haitham", "non-dropping-particle" : "", "parse-names" : false, "suffix" : "" }, { "dropping-particle" : "", "family" : "Lynn", "given" : "Richard", "non-dropping-particle" : "", "parse-names" : false, "suffix" : "" }, { "dropping-particle" : "", "family" : "Taylor", "given" : "Brent", "non-dropping-particle" : "", "parse-names" : false, "suffix" : "" } ], "container-title" : "Vaccine", "id" : "ITEM-1", "issue" : "3", "issued" : { "date-parts" : [ [ "2016" ] ] }, "page" : "373-379", "title" : "National hospital data for intussusception: Data linkage and retrospective analysis to assess quality and use in vaccine safety surveillance", "type" : "article-journal", "volume" : "34" }, "uris" : [ "http://www.mendeley.com/documents/?uuid=793a6a34-f558-4833-bd6b-81ccce233295" ] }, { "id" : "ITEM-2", "itemData" : { "author" : [ { "dropping-particle" : "", "family" : "Simmonds", "given" : "Shirley J", "non-dropping-particle" : "", "parse-names" : false, "suffix" : "" }, { "dropping-particle" : "", "family" : "Syddall", "given" : "Holly E", "non-dropping-particle" : "", "parse-names" : false, "suffix" : "" }, { "dropping-particle" : "", "family" : "Walsh", "given" : "Bronagh", "non-dropping-particle" : "", "parse-names" : false, "suffix" : "" }, { "dropping-particle" : "", "family" : "Evandrou", "given" : "Maria", "non-dropping-particle" : "", "parse-names" : false, "suffix" : "" }, { "dropping-particle" : "", "family" : "Dennison", "given" : "Elaine M", "non-dropping-particle" : "", "parse-names" : false, "suffix" : "" }, { "dropping-particle" : "", "family" : "Cooper", "given" : "Cyrus", "non-dropping-particle" : "", "parse-names" : false, "suffix" : "" }, { "dropping-particle" : "", "family" : "Aihie Sayer", "given" : "Avan", "non-dropping-particle" : "", "parse-names" : false, "suffix" : "" } ], "container-title" : "Age and Ageing", "id" : "ITEM-2", "issue" : "5", "issued" : { "date-parts" : [ [ "2014" ] ] }, "page" : "653-660", "title" : "Understanding NHS hospital admissions in England: linkage of Hospital Episode Statistics to the Hertfordshire Cohort Study", "type" : "article-journal", "volume" : "43" }, "uris" : [ "http://www.mendeley.com/documents/?uuid=a6b051c1-e3a7-457c-a194-6329dd7e608b" ] }, { "id" : "ITEM-3", "itemData" : { "DOI" : "10.1093/ije/dyp155", "author" : [ { "dropping-particle" : "", "family" : "Gray", "given" : "Linsay", "non-dropping-particle" : "", "parse-names" : false, "suffix" : "" }, { "dropping-particle" : "", "family" : "Batty", "given" : "G David", "non-dropping-particle" : "", "parse-names" : false, "suffix" : "" }, { "dropping-particle" : "", "family" : "Craig", "given" : "Peter", "non-dropping-particle" : "", "parse-names" : false, "suffix" : "" }, { "dropping-particle" : "", "family" : "Stewart", "given" : "Catherine", "non-dropping-particle" : "", "parse-names" : false, "suffix" : "" }, { "dropping-particle" : "", "family" : "Whyte", "given" : "Bruce", "non-dropping-particle" : "", "parse-names" : false, "suffix" : "" }, { "dropping-particle" : "", "family" : "Finlayson", "given" : "Alan", "non-dropping-particle" : "", "parse-names" : false, "suffix" : "" }, { "dropping-particle" : "", "family" : "Leyland", "given" : "Alastair H", "non-dropping-particle" : "", "parse-names" : false, "suffix" : "" } ], "container-title" : "International Journal of Epidemiology", "id" : "ITEM-3", "issue" : "2", "issued" : { "date-parts" : [ [ "2010" ] ] }, "page" : "345-350", "title" : "Cohort Profile: The Scottish Health Surveys Cohort: linkage of study participants to routinely collected records for mortality, hospital discharge, cancer and offspring birth characteristics in three nationwide studies", "type" : "article-journal", "volume" : "39" }, "uris" : [ "http://www.mendeley.com/documents/?uuid=98ea59d3-ce62-4d8f-b367-1834c0b22153" ] } ], "mendeley" : { "formattedCitation" : "[3], [5], [24]", "plainTextFormattedCitation" : "[3], [5], [24]", "previouslyFormattedCitation" : "[3], [5], [24]" }, "properties" : { "noteIndex" : 0 }, "schema" : "https://github.com/citation-style-language/schema/raw/master/csl-citation.json" }</w:instrText>
      </w:r>
      <w:r w:rsidR="00C133A6">
        <w:fldChar w:fldCharType="separate"/>
      </w:r>
      <w:r w:rsidR="00ED31E0" w:rsidRPr="00ED31E0">
        <w:rPr>
          <w:noProof/>
        </w:rPr>
        <w:t>[3], [5], [24]</w:t>
      </w:r>
      <w:r w:rsidR="00C133A6">
        <w:fldChar w:fldCharType="end"/>
      </w:r>
      <w:r>
        <w:t xml:space="preserve">.   </w:t>
      </w:r>
    </w:p>
    <w:p w14:paraId="5D7EA0E1" w14:textId="71B15297" w:rsidR="00D16859" w:rsidRDefault="00D16859" w:rsidP="005A0CAA">
      <w:pPr>
        <w:spacing w:line="360" w:lineRule="auto"/>
        <w:jc w:val="both"/>
        <w:outlineLvl w:val="0"/>
      </w:pPr>
      <w:r>
        <w:t xml:space="preserve">We were limited to the variables requested and provided by national data </w:t>
      </w:r>
      <w:r w:rsidR="00107E21">
        <w:t>providers</w:t>
      </w:r>
      <w:r>
        <w:t>, to enable linkage</w:t>
      </w:r>
      <w:r w:rsidR="0069061E">
        <w:t>. W</w:t>
      </w:r>
      <w:r>
        <w:t>e undertook a pragmatic approach to matching variables based on commonality</w:t>
      </w:r>
      <w:r w:rsidR="00965660">
        <w:t xml:space="preserve"> using variable d</w:t>
      </w:r>
      <w:r w:rsidR="009F75AB">
        <w:t>efinitions provided by the data providers</w:t>
      </w:r>
      <w:r>
        <w:t>.</w:t>
      </w:r>
      <w:r w:rsidR="00386693">
        <w:t xml:space="preserve"> T</w:t>
      </w:r>
      <w:r w:rsidR="000E5898">
        <w:t xml:space="preserve">his is a </w:t>
      </w:r>
      <w:r w:rsidR="009F75AB">
        <w:t>time-consuming</w:t>
      </w:r>
      <w:r w:rsidR="000E5898">
        <w:t xml:space="preserve"> exercise, and might prove an obstacle in even larger datasets. </w:t>
      </w:r>
      <w:r w:rsidR="00386693">
        <w:t xml:space="preserve">Further, </w:t>
      </w:r>
      <w:r w:rsidR="00965660">
        <w:t xml:space="preserve">national coding schemes, may have been interpreted </w:t>
      </w:r>
      <w:r w:rsidR="0069061E">
        <w:t>differently by</w:t>
      </w:r>
      <w:r w:rsidR="00965660">
        <w:t xml:space="preserve"> </w:t>
      </w:r>
      <w:r w:rsidR="00E3305B">
        <w:t xml:space="preserve">hospital </w:t>
      </w:r>
      <w:r w:rsidR="00965660">
        <w:t xml:space="preserve">trust and coder </w:t>
      </w:r>
      <w:r w:rsidR="009B44AA">
        <w:t>lead</w:t>
      </w:r>
      <w:r w:rsidR="00A14BEB">
        <w:t>ing</w:t>
      </w:r>
      <w:r w:rsidR="009B44AA">
        <w:t xml:space="preserve"> to additional confusion and coding bias.</w:t>
      </w:r>
      <w:r w:rsidR="005A3140">
        <w:t xml:space="preserve"> I</w:t>
      </w:r>
      <w:r w:rsidR="00225A2A">
        <w:t>t is important to be aware that though EHRs are widely used in research, offering a broad range of information about treatment, diagnoses and care, there are issues relating to determining data quality, completeness of data and drawing conclusions from the data</w:t>
      </w:r>
      <w:r w:rsidR="00FE202E">
        <w:t xml:space="preserve"> </w:t>
      </w:r>
      <w:r w:rsidR="006F5B8C">
        <w:fldChar w:fldCharType="begin" w:fldLock="1"/>
      </w:r>
      <w:r w:rsidR="0033414F">
        <w:instrText>ADDIN CSL_CITATION { "citationItems" : [ { "id" : "ITEM-1", "itemData" : { "DOI" : "10.1093/fampra/cmn047", "author" : [ { "dropping-particle" : "", "family" : "Majeeda", "given" : "Azeem", "non-dropping-particle" : "", "parse-names" : false, "suffix" : "" }, { "dropping-particle" : "", "family" : "Cara", "given" : "Josip", "non-dropping-particle" : "", "parse-names" : false, "suffix" : "" }, { "dropping-particle" : "", "family" : "Sheikhb", "given" : "Aziz", "non-dropping-particle" : "", "parse-names" : false, "suffix" : "" } ], "container-title" : "Journal of Family Practise", "id" : "ITEM-1", "issue" : "4", "issued" : { "date-parts" : [ [ "2008" ] ] }, "page" : "213-214", "title" : "Accuracy and completeness of electronic patient records in primary care", "type" : "article-journal", "volume" : "25" }, "uris" : [ "http://www.mendeley.com/documents/?uuid=51432367-4342-47a4-a4ed-17b853b250f6" ] }, { "id" : "ITEM-2", "itemData" : { "DOI" : "dx.doi.org/10.1136/bmj.326.7398.1070", "author" : [ { "dropping-particle" : "", "family" : "Thiru", "given" : "Krish", "non-dropping-particle" : "", "parse-names" : false, "suffix" : "" }, { "dropping-particle" : "", "family" : "Hassey", "given" : "Alan", "non-dropping-particle" : "", "parse-names" : false, "suffix" : "" }, { "dropping-particle" : "", "family" : "Sullivan", "given" : "Frank", "non-dropping-particle" : "", "parse-names" : false, "suffix" : "" } ], "container-title" : "BMJ", "id" : "ITEM-2", "issue" : "1070", "issued" : { "date-parts" : [ [ "2003" ] ] }, "title" : "Primary Care Systematic review of scope and quality of electronic patient record data in primary care", "type" : "article-journal", "volume" : "326" }, "uris" : [ "http://www.mendeley.com/documents/?uuid=2aadba0e-e52e-4374-a6e7-b17ad52f32dd" ] }, { "id" : "ITEM-3", "itemData" : { "DOI" : "10.1097/MLR.0b013e31829b1dbd", "author" : [ { "dropping-particle" : "", "family" : "Hersh", "given" : "William R", "non-dropping-particle" : "", "parse-names" : false, "suffix" : "" }, { "dropping-particle" : "", "family" : "Weiner", "given" : "Mark G", "non-dropping-particle" : "", "parse-names" : false, "suffix" : "" }, { "dropping-particle" : "", "family" : "Embi", "given" : "Peter J", "non-dropping-particle" : "", "parse-names" : false, "suffix" : "" }, { "dropping-particle" : "", "family" : "Logan", "given" : "Judith R", "non-dropping-particle" : "", "parse-names" : false, "suffix" : "" }, { "dropping-particle" : "", "family" : "Payne", "given" : "Philip R O", "non-dropping-particle" : "", "parse-names" : false, "suffix" : "" }, { "dropping-particle" : "V", "family" : "Bernstam", "given" : "Elmer", "non-dropping-particle" : "", "parse-names" : false, "suffix" : "" }, { "dropping-particle" : "", "family" : "Lehmann", "given" : "Harold P", "non-dropping-particle" : "", "parse-names" : false, "suffix" : "" }, { "dropping-particle" : "", "family" : "Hripcsak", "given" : "George", "non-dropping-particle" : "", "parse-names" : false, "suffix" : "" }, { "dropping-particle" : "", "family" : "Hartzog", "given" : "Timothy H", "non-dropping-particle" : "", "parse-names" : false, "suffix" : "" }, { "dropping-particle" : "", "family" : "Cimino", "given" : "James J", "non-dropping-particle" : "", "parse-names" : false, "suffix" : "" }, { "dropping-particle" : "", "family" : "Saltz", "given" : "Joel H", "non-dropping-particle" : "", "parse-names" : false, "suffix" : "" } ], "container-title" : "Medical care", "id" : "ITEM-3", "issue" : "8 0 3", "issued" : { "date-parts" : [ [ "2013" ] ] }, "title" : "Caveats for the Use of Operational Electronic Health Record Data in Comparative Effectiveness Research", "type" : "article-journal", "volume" : "51" }, "uris" : [ "http://www.mendeley.com/documents/?uuid=8e3147e3-ce68-426a-a52b-4dcfaabca75a" ] } ], "mendeley" : { "formattedCitation" : "[39]\u2013[41]", "plainTextFormattedCitation" : "[39]\u2013[41]", "previouslyFormattedCitation" : "[39]\u2013[41]" }, "properties" : { "noteIndex" : 0 }, "schema" : "https://github.com/citation-style-language/schema/raw/master/csl-citation.json" }</w:instrText>
      </w:r>
      <w:r w:rsidR="006F5B8C">
        <w:fldChar w:fldCharType="separate"/>
      </w:r>
      <w:r w:rsidR="00E9116F" w:rsidRPr="00E9116F">
        <w:rPr>
          <w:noProof/>
        </w:rPr>
        <w:t>[39]–[41]</w:t>
      </w:r>
      <w:r w:rsidR="006F5B8C">
        <w:fldChar w:fldCharType="end"/>
      </w:r>
      <w:r w:rsidR="00225A2A">
        <w:t xml:space="preserve">. </w:t>
      </w:r>
    </w:p>
    <w:p w14:paraId="119E7644" w14:textId="621A5B76" w:rsidR="009D652D" w:rsidRPr="00394B8E" w:rsidRDefault="00586E2C" w:rsidP="00F2683C">
      <w:pPr>
        <w:spacing w:line="360" w:lineRule="auto"/>
        <w:rPr>
          <w:b/>
        </w:rPr>
      </w:pPr>
      <w:r>
        <w:rPr>
          <w:b/>
        </w:rPr>
        <w:t>Unanswered questions and f</w:t>
      </w:r>
      <w:r w:rsidR="007417BE">
        <w:rPr>
          <w:b/>
        </w:rPr>
        <w:t>uture developments</w:t>
      </w:r>
    </w:p>
    <w:p w14:paraId="44AC04F6" w14:textId="02DCCB87" w:rsidR="00394B8E" w:rsidRDefault="00394B8E" w:rsidP="005A0CAA">
      <w:pPr>
        <w:spacing w:line="360" w:lineRule="auto"/>
        <w:jc w:val="both"/>
      </w:pPr>
      <w:r>
        <w:t>Our initial examination of the dataset has proved useful in identifying the most common diagnoses, types of A&amp;E admissions and number of Outpatient appointments</w:t>
      </w:r>
      <w:r w:rsidR="00EB2C8F">
        <w:t xml:space="preserve"> for Armed Forces personnel</w:t>
      </w:r>
      <w:r>
        <w:t xml:space="preserve">. </w:t>
      </w:r>
      <w:r w:rsidR="0016538D">
        <w:t xml:space="preserve">Further analysis of the </w:t>
      </w:r>
      <w:r w:rsidR="00177D11">
        <w:t xml:space="preserve">dataset is required to evaluate clinical </w:t>
      </w:r>
      <w:r w:rsidR="00A347D2">
        <w:t>practices</w:t>
      </w:r>
      <w:r w:rsidR="00177D11">
        <w:t xml:space="preserve">, common diagnoses stratified by patient characteristics </w:t>
      </w:r>
      <w:r w:rsidR="00C12D01">
        <w:t xml:space="preserve">and </w:t>
      </w:r>
      <w:r w:rsidR="00F45960">
        <w:t xml:space="preserve">variable coding accuracy to </w:t>
      </w:r>
      <w:r w:rsidR="009B3A94">
        <w:t>improve dataset</w:t>
      </w:r>
      <w:r w:rsidR="00F45960">
        <w:t xml:space="preserve"> recording and retention. </w:t>
      </w:r>
      <w:r w:rsidR="00952FD2">
        <w:t>This could include assessing A&amp;E trends in admission, prevalence of A&amp;E admissions resulting in an APC episode and</w:t>
      </w:r>
      <w:r w:rsidR="00261FFB">
        <w:t xml:space="preserve"> waiting times. </w:t>
      </w:r>
      <w:r w:rsidR="00952FD2">
        <w:t xml:space="preserve"> </w:t>
      </w:r>
      <w:r w:rsidR="009B3A94">
        <w:t xml:space="preserve">Alternately, further data linkage to primary healthcare records </w:t>
      </w:r>
      <w:r w:rsidR="003502F5">
        <w:t xml:space="preserve">might make it possible to identify pre and post follow-up health of individuals who have </w:t>
      </w:r>
      <w:r w:rsidR="00BE234A">
        <w:t xml:space="preserve">had a </w:t>
      </w:r>
      <w:r w:rsidR="003502F5">
        <w:t xml:space="preserve">contact with secondary care. </w:t>
      </w:r>
      <w:r w:rsidR="007734E7">
        <w:t xml:space="preserve">This could improve the quality of analysis and enable refinement of queries used on the dataset to improve the quality of the dataset. </w:t>
      </w:r>
    </w:p>
    <w:p w14:paraId="072BB6CB" w14:textId="612132C4" w:rsidR="009D652D" w:rsidRDefault="00B71D77" w:rsidP="005A0CAA">
      <w:pPr>
        <w:spacing w:line="360" w:lineRule="auto"/>
        <w:jc w:val="both"/>
      </w:pPr>
      <w:r>
        <w:t xml:space="preserve">In the </w:t>
      </w:r>
      <w:r w:rsidR="00593974">
        <w:t>future,</w:t>
      </w:r>
      <w:r>
        <w:t xml:space="preserve"> there is potential to develop </w:t>
      </w:r>
      <w:r w:rsidR="00593974">
        <w:t>a more responsive, real-time and useful linked dataset</w:t>
      </w:r>
      <w:r w:rsidR="003A3DDF">
        <w:t xml:space="preserve"> </w:t>
      </w:r>
      <w:r>
        <w:t>based on the framework and methodologies presented in this work. This would req</w:t>
      </w:r>
      <w:r w:rsidR="009E6D11">
        <w:t>uire more regular and frequent</w:t>
      </w:r>
      <w:r>
        <w:t xml:space="preserve"> updates from data </w:t>
      </w:r>
      <w:r w:rsidR="00107E21">
        <w:t>providers</w:t>
      </w:r>
      <w:r w:rsidR="003462F3">
        <w:t xml:space="preserve">, including more efficient data linkage of cohort users. </w:t>
      </w:r>
    </w:p>
    <w:p w14:paraId="4941CE19" w14:textId="77777777" w:rsidR="0089710D" w:rsidRDefault="0089710D">
      <w:pPr>
        <w:rPr>
          <w:b/>
          <w:u w:val="single"/>
        </w:rPr>
      </w:pPr>
      <w:r>
        <w:rPr>
          <w:b/>
          <w:u w:val="single"/>
        </w:rPr>
        <w:br w:type="page"/>
      </w:r>
    </w:p>
    <w:p w14:paraId="5CF3A2AF" w14:textId="3CDB6F18" w:rsidR="005F25C7" w:rsidRDefault="005F25C7" w:rsidP="00F2683C">
      <w:pPr>
        <w:spacing w:line="360" w:lineRule="auto"/>
        <w:outlineLvl w:val="0"/>
        <w:rPr>
          <w:b/>
          <w:u w:val="single"/>
        </w:rPr>
      </w:pPr>
      <w:r>
        <w:rPr>
          <w:b/>
          <w:u w:val="single"/>
        </w:rPr>
        <w:t>Conclusions</w:t>
      </w:r>
    </w:p>
    <w:p w14:paraId="33EDDC9C" w14:textId="6097FF0D" w:rsidR="005F25C7" w:rsidRDefault="00781B02" w:rsidP="005A0CAA">
      <w:pPr>
        <w:spacing w:line="360" w:lineRule="auto"/>
        <w:jc w:val="both"/>
      </w:pPr>
      <w:r>
        <w:t xml:space="preserve">It was </w:t>
      </w:r>
      <w:r w:rsidR="00382CCF">
        <w:t>possible</w:t>
      </w:r>
      <w:r>
        <w:t xml:space="preserve"> to </w:t>
      </w:r>
      <w:r w:rsidR="0073299E">
        <w:t>integrate</w:t>
      </w:r>
      <w:r>
        <w:t xml:space="preserve"> </w:t>
      </w:r>
      <w:r w:rsidR="00382CCF">
        <w:t xml:space="preserve">secondary health records to create a </w:t>
      </w:r>
      <w:r w:rsidR="008B0667">
        <w:t xml:space="preserve">combined </w:t>
      </w:r>
      <w:r w:rsidR="00382CCF">
        <w:t>dataset of attendances to NHS hospitals</w:t>
      </w:r>
      <w:r w:rsidR="002C036D">
        <w:t xml:space="preserve"> in England, Scotland </w:t>
      </w:r>
      <w:r w:rsidR="007B10C7">
        <w:t xml:space="preserve">and Wales. </w:t>
      </w:r>
      <w:r w:rsidR="00593974">
        <w:t>This is the first to combine and present analyses of EHRs from Armed Forces personnel</w:t>
      </w:r>
      <w:r w:rsidR="00F42C4B">
        <w:t xml:space="preserve"> in the UK</w:t>
      </w:r>
      <w:r w:rsidR="00A04555">
        <w:t xml:space="preserve"> (excluding Northern Ireland)</w:t>
      </w:r>
      <w:r w:rsidR="00593974">
        <w:t xml:space="preserve">. </w:t>
      </w:r>
      <w:r w:rsidR="007B10C7">
        <w:t xml:space="preserve">The dataset </w:t>
      </w:r>
      <w:r w:rsidR="00695488">
        <w:t xml:space="preserve">was developed using </w:t>
      </w:r>
      <w:r w:rsidR="0080292C">
        <w:t xml:space="preserve">variable </w:t>
      </w:r>
      <w:r w:rsidR="00695488">
        <w:t xml:space="preserve">commonality and </w:t>
      </w:r>
      <w:r w:rsidR="00BE39B1">
        <w:t>included both</w:t>
      </w:r>
      <w:r w:rsidR="007B10C7">
        <w:t xml:space="preserve"> serving and ex-serving </w:t>
      </w:r>
      <w:r w:rsidR="00BE4444">
        <w:t>Armed Forces</w:t>
      </w:r>
      <w:r w:rsidR="00C52E90">
        <w:t xml:space="preserve"> personnel, </w:t>
      </w:r>
      <w:r w:rsidR="000D7D62">
        <w:t>enabling evaluation of</w:t>
      </w:r>
      <w:r w:rsidR="00C52E90">
        <w:t xml:space="preserve"> </w:t>
      </w:r>
      <w:r w:rsidR="007B10C7">
        <w:t xml:space="preserve">healthcare </w:t>
      </w:r>
      <w:r w:rsidR="00C52E90">
        <w:t>utilisation</w:t>
      </w:r>
      <w:r w:rsidR="007B10C7">
        <w:t xml:space="preserve">. </w:t>
      </w:r>
      <w:r w:rsidR="009740D2">
        <w:t xml:space="preserve">The </w:t>
      </w:r>
      <w:r w:rsidR="000D7D62">
        <w:t>NHS</w:t>
      </w:r>
      <w:r w:rsidR="009740D2">
        <w:t xml:space="preserve"> of </w:t>
      </w:r>
      <w:r w:rsidR="003119E3" w:rsidRPr="00294901">
        <w:t xml:space="preserve">England, Scotland and Wales </w:t>
      </w:r>
      <w:r w:rsidR="003119E3">
        <w:t>obtain</w:t>
      </w:r>
      <w:r w:rsidR="003119E3" w:rsidRPr="00294901">
        <w:t xml:space="preserve">, store and process </w:t>
      </w:r>
      <w:r w:rsidR="003119E3">
        <w:t>EHRs</w:t>
      </w:r>
      <w:r w:rsidR="003119E3" w:rsidRPr="00294901">
        <w:t xml:space="preserve"> using different methodologies. Scotland and Wales utilise participant demographics without the need of a NHS number whereas matching in England requires an NHS number. </w:t>
      </w:r>
      <w:r w:rsidR="003119E3">
        <w:t xml:space="preserve">Future work should seek to harmonise the protocols for national linkage and seek a uniform UK-wide policy on EHRs for research. </w:t>
      </w:r>
      <w:r w:rsidR="002C036D">
        <w:t xml:space="preserve">The increasing shift towards the use of EHR by health trusts presents an opportunity to monitor admissions, diagnoses and outcomes to inform public health policy and service provision. </w:t>
      </w:r>
    </w:p>
    <w:p w14:paraId="11ABAFDD" w14:textId="77777777" w:rsidR="00CB0EDC" w:rsidRDefault="00CB0EDC">
      <w:pPr>
        <w:rPr>
          <w:b/>
          <w:u w:val="single"/>
        </w:rPr>
      </w:pPr>
      <w:r>
        <w:rPr>
          <w:b/>
          <w:u w:val="single"/>
        </w:rPr>
        <w:br w:type="page"/>
      </w:r>
    </w:p>
    <w:p w14:paraId="7E3C2CF6" w14:textId="5182600D" w:rsidR="008B57C2" w:rsidRDefault="008B57C2" w:rsidP="008B57C2">
      <w:pPr>
        <w:outlineLvl w:val="0"/>
        <w:rPr>
          <w:b/>
          <w:u w:val="single"/>
        </w:rPr>
      </w:pPr>
      <w:r>
        <w:rPr>
          <w:b/>
          <w:u w:val="single"/>
        </w:rPr>
        <w:t xml:space="preserve">Declarations </w:t>
      </w:r>
    </w:p>
    <w:p w14:paraId="73B589EB" w14:textId="74B72D83" w:rsidR="00AC6C2A" w:rsidRDefault="00C34100" w:rsidP="00A23FD8">
      <w:pPr>
        <w:rPr>
          <w:b/>
        </w:rPr>
      </w:pPr>
      <w:r>
        <w:rPr>
          <w:b/>
        </w:rPr>
        <w:t>Ethical appr</w:t>
      </w:r>
      <w:r w:rsidR="00A23FD8">
        <w:rPr>
          <w:b/>
        </w:rPr>
        <w:t>o</w:t>
      </w:r>
      <w:r w:rsidR="00AC6C2A">
        <w:rPr>
          <w:b/>
        </w:rPr>
        <w:t>val and consent to participate</w:t>
      </w:r>
    </w:p>
    <w:p w14:paraId="1D0BBFD7" w14:textId="5F11D1A0" w:rsidR="006F61EA" w:rsidRPr="006F61EA" w:rsidRDefault="004E2C1A" w:rsidP="005A0CAA">
      <w:pPr>
        <w:jc w:val="both"/>
        <w:rPr>
          <w:rFonts w:cs="Arial"/>
          <w:bCs/>
        </w:rPr>
      </w:pPr>
      <w:r>
        <w:t>E</w:t>
      </w:r>
      <w:r w:rsidR="00A23FD8" w:rsidRPr="00B32A0E">
        <w:t xml:space="preserve">thical approval </w:t>
      </w:r>
      <w:r>
        <w:t xml:space="preserve">was obtained </w:t>
      </w:r>
      <w:r w:rsidR="00A23FD8" w:rsidRPr="00B32A0E">
        <w:t xml:space="preserve">from the London-Dulwich NHS Research Ethics Committee in November 2014 (REC no: </w:t>
      </w:r>
      <w:r w:rsidR="00A23FD8" w:rsidRPr="00B32A0E">
        <w:rPr>
          <w:rFonts w:cs="Arial"/>
          <w:bCs/>
        </w:rPr>
        <w:t>07/Q0703/36).</w:t>
      </w:r>
      <w:r w:rsidR="00146EA2">
        <w:rPr>
          <w:rFonts w:cs="Arial"/>
          <w:bCs/>
        </w:rPr>
        <w:t xml:space="preserve"> </w:t>
      </w:r>
      <w:r w:rsidR="006F61EA">
        <w:rPr>
          <w:rFonts w:cs="Arial"/>
          <w:bCs/>
        </w:rPr>
        <w:t>Further, a Section 251 of the NHS Act 2006 (Ref no: 15/CAG/0136) was obtained.</w:t>
      </w:r>
    </w:p>
    <w:p w14:paraId="017BFE3A" w14:textId="7D169306" w:rsidR="00C34100" w:rsidRDefault="00C34100" w:rsidP="008B57C2">
      <w:pPr>
        <w:outlineLvl w:val="0"/>
        <w:rPr>
          <w:b/>
        </w:rPr>
      </w:pPr>
      <w:r>
        <w:rPr>
          <w:b/>
        </w:rPr>
        <w:t>Consent for publication</w:t>
      </w:r>
    </w:p>
    <w:p w14:paraId="14C14A73" w14:textId="5651E81B" w:rsidR="003355F3" w:rsidRPr="003355F3" w:rsidRDefault="003355F3" w:rsidP="008B57C2">
      <w:pPr>
        <w:outlineLvl w:val="0"/>
      </w:pPr>
      <w:r>
        <w:t xml:space="preserve">None required. </w:t>
      </w:r>
    </w:p>
    <w:p w14:paraId="53E7C251" w14:textId="0B2835F9" w:rsidR="00C34100" w:rsidRDefault="00C34100" w:rsidP="008B57C2">
      <w:pPr>
        <w:outlineLvl w:val="0"/>
        <w:rPr>
          <w:b/>
        </w:rPr>
      </w:pPr>
      <w:r>
        <w:rPr>
          <w:b/>
        </w:rPr>
        <w:t>Availability of data and materials</w:t>
      </w:r>
    </w:p>
    <w:p w14:paraId="7A53A9FA" w14:textId="29B0BEA2" w:rsidR="00021152" w:rsidRDefault="00021152" w:rsidP="005A0CAA">
      <w:pPr>
        <w:jc w:val="both"/>
        <w:outlineLvl w:val="0"/>
        <w:rPr>
          <w:b/>
        </w:rPr>
      </w:pPr>
      <w:r>
        <w:t>Coding schemes</w:t>
      </w:r>
      <w:r w:rsidR="00777D14">
        <w:t xml:space="preserve"> and STATA syntax used to perform </w:t>
      </w:r>
      <w:r w:rsidR="00282AA8">
        <w:t>data</w:t>
      </w:r>
      <w:r w:rsidR="00777D14">
        <w:t xml:space="preserve"> linkage</w:t>
      </w:r>
      <w:r>
        <w:t xml:space="preserve"> </w:t>
      </w:r>
      <w:r w:rsidR="00777D14">
        <w:t xml:space="preserve">are </w:t>
      </w:r>
      <w:r>
        <w:t xml:space="preserve">available upon request from the </w:t>
      </w:r>
      <w:r w:rsidR="009A3FB7">
        <w:t>corresponding author</w:t>
      </w:r>
      <w:r w:rsidR="00777D14">
        <w:t>.</w:t>
      </w:r>
      <w:r>
        <w:t xml:space="preserve"> </w:t>
      </w:r>
    </w:p>
    <w:p w14:paraId="20576677" w14:textId="02FB148C" w:rsidR="00E1728E" w:rsidRDefault="00C34100" w:rsidP="008B57C2">
      <w:pPr>
        <w:outlineLvl w:val="0"/>
        <w:rPr>
          <w:b/>
        </w:rPr>
      </w:pPr>
      <w:r>
        <w:rPr>
          <w:b/>
        </w:rPr>
        <w:t>Funding</w:t>
      </w:r>
    </w:p>
    <w:p w14:paraId="6D3F076A" w14:textId="5CC6312C" w:rsidR="00734CF0" w:rsidRPr="00734CF0" w:rsidRDefault="00982D89" w:rsidP="005A0CAA">
      <w:pPr>
        <w:jc w:val="both"/>
        <w:outlineLvl w:val="0"/>
      </w:pPr>
      <w:r>
        <w:t xml:space="preserve">This </w:t>
      </w:r>
      <w:r w:rsidR="004E2C1A">
        <w:t>work</w:t>
      </w:r>
      <w:r>
        <w:t xml:space="preserve"> is funded by the</w:t>
      </w:r>
      <w:r w:rsidR="005C7F59">
        <w:t xml:space="preserve"> </w:t>
      </w:r>
      <w:r w:rsidR="00E5618C">
        <w:t>Economic</w:t>
      </w:r>
      <w:r w:rsidR="002A6370">
        <w:t xml:space="preserve"> </w:t>
      </w:r>
      <w:r w:rsidR="003C0828">
        <w:t xml:space="preserve">and </w:t>
      </w:r>
      <w:r w:rsidR="002A6370">
        <w:t>Social Research Council (grant number</w:t>
      </w:r>
      <w:r w:rsidR="007060BE">
        <w:t xml:space="preserve"> ES</w:t>
      </w:r>
      <w:r w:rsidR="00842C8D">
        <w:t>/L014521/1</w:t>
      </w:r>
      <w:r w:rsidR="00646196">
        <w:t>)</w:t>
      </w:r>
      <w:r w:rsidR="00F91793">
        <w:t>, DL and ZC were funded by the grant</w:t>
      </w:r>
      <w:r w:rsidR="00646196">
        <w:t>.</w:t>
      </w:r>
      <w:r w:rsidR="00DE3249">
        <w:t xml:space="preserve"> </w:t>
      </w:r>
      <w:r w:rsidR="00BD7C5B">
        <w:rPr>
          <w:color w:val="000000"/>
        </w:rPr>
        <w:t xml:space="preserve">Over the course of this </w:t>
      </w:r>
      <w:r w:rsidR="004E2C1A">
        <w:rPr>
          <w:color w:val="000000"/>
        </w:rPr>
        <w:t>work</w:t>
      </w:r>
      <w:r w:rsidR="00BD7C5B">
        <w:rPr>
          <w:color w:val="000000"/>
        </w:rPr>
        <w:t xml:space="preserve"> </w:t>
      </w:r>
      <w:r w:rsidR="00BD7C5B" w:rsidRPr="00311BBA">
        <w:rPr>
          <w:color w:val="000000"/>
        </w:rPr>
        <w:t>RDH was funded by a Medical Research Council (MRC) Population Health Scientist Fellowship (grant number MR/J01219X/1)</w:t>
      </w:r>
      <w:r w:rsidR="00F318F1">
        <w:rPr>
          <w:bCs/>
          <w:color w:val="000000"/>
        </w:rPr>
        <w:t>. RDH and SL have</w:t>
      </w:r>
      <w:r w:rsidR="00BD7C5B">
        <w:rPr>
          <w:bCs/>
          <w:color w:val="000000"/>
        </w:rPr>
        <w:t xml:space="preserve"> </w:t>
      </w:r>
      <w:r w:rsidR="00BD7C5B" w:rsidRPr="00311BBA">
        <w:t>receive</w:t>
      </w:r>
      <w:r w:rsidR="00BD7C5B">
        <w:t>d</w:t>
      </w:r>
      <w:r w:rsidR="00BD7C5B" w:rsidRPr="00311BBA">
        <w:t xml:space="preserve"> salary support from the National Institute for Health Research (NIHR) Mental Health Biomedical Research Centre at South London and </w:t>
      </w:r>
      <w:proofErr w:type="spellStart"/>
      <w:r w:rsidR="00BD7C5B" w:rsidRPr="00311BBA">
        <w:t>Maudsley</w:t>
      </w:r>
      <w:proofErr w:type="spellEnd"/>
      <w:r w:rsidR="00BD7C5B" w:rsidRPr="00311BBA">
        <w:t xml:space="preserve"> NHS Foundation Trust and King's College London.</w:t>
      </w:r>
      <w:r w:rsidR="00734CF0">
        <w:t xml:space="preserve"> The views expressed are those of the author(s) and not necessarily those of the NHS, the NIHR or the Department of Health.</w:t>
      </w:r>
    </w:p>
    <w:p w14:paraId="2C232A78" w14:textId="77777777" w:rsidR="00A85AE6" w:rsidRDefault="00C34100" w:rsidP="00A85AE6">
      <w:pPr>
        <w:outlineLvl w:val="0"/>
        <w:rPr>
          <w:b/>
        </w:rPr>
      </w:pPr>
      <w:r>
        <w:rPr>
          <w:b/>
        </w:rPr>
        <w:t xml:space="preserve">Acknowledgments </w:t>
      </w:r>
    </w:p>
    <w:p w14:paraId="2D5157A4" w14:textId="229849ED" w:rsidR="00F22689" w:rsidRPr="00A85AE6" w:rsidRDefault="00A85AE6" w:rsidP="005A0CAA">
      <w:pPr>
        <w:jc w:val="both"/>
        <w:outlineLvl w:val="0"/>
        <w:rPr>
          <w:b/>
        </w:rPr>
      </w:pPr>
      <w:r>
        <w:t>We are grateful to NHS Digital, Information Service Division and Secure Anonymised Information Linkage for supplying the datasets and support</w:t>
      </w:r>
      <w:r w:rsidR="00264C93">
        <w:t>ing</w:t>
      </w:r>
      <w:r>
        <w:t xml:space="preserve"> this </w:t>
      </w:r>
      <w:r w:rsidR="004E2C1A">
        <w:t>work</w:t>
      </w:r>
      <w:r>
        <w:t xml:space="preserve">. </w:t>
      </w:r>
      <w:r w:rsidR="00F22689">
        <w:rPr>
          <w:b/>
          <w:u w:val="single"/>
        </w:rPr>
        <w:br w:type="page"/>
      </w:r>
    </w:p>
    <w:p w14:paraId="0AD1C15F" w14:textId="167F50F4" w:rsidR="00636DE7" w:rsidRPr="00636DE7" w:rsidRDefault="00636DE7" w:rsidP="00A23430">
      <w:pPr>
        <w:outlineLvl w:val="0"/>
        <w:rPr>
          <w:b/>
          <w:u w:val="single"/>
        </w:rPr>
      </w:pPr>
      <w:r w:rsidRPr="00636DE7">
        <w:rPr>
          <w:b/>
          <w:u w:val="single"/>
        </w:rPr>
        <w:t>References</w:t>
      </w:r>
    </w:p>
    <w:p w14:paraId="04AF4590" w14:textId="057068A9" w:rsidR="000F333D" w:rsidRPr="000F333D" w:rsidRDefault="00636DE7" w:rsidP="000F333D">
      <w:pPr>
        <w:widowControl w:val="0"/>
        <w:autoSpaceDE w:val="0"/>
        <w:autoSpaceDN w:val="0"/>
        <w:adjustRightInd w:val="0"/>
        <w:spacing w:after="140" w:line="24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0F333D" w:rsidRPr="000F333D">
        <w:rPr>
          <w:rFonts w:ascii="Calibri" w:hAnsi="Calibri" w:cs="Times New Roman"/>
          <w:noProof/>
          <w:szCs w:val="24"/>
        </w:rPr>
        <w:t>[1]</w:t>
      </w:r>
      <w:r w:rsidR="000F333D" w:rsidRPr="000F333D">
        <w:rPr>
          <w:rFonts w:ascii="Calibri" w:hAnsi="Calibri" w:cs="Times New Roman"/>
          <w:noProof/>
          <w:szCs w:val="24"/>
        </w:rPr>
        <w:tab/>
        <w:t xml:space="preserve">G. S. Perera, C.-K. Chang, M. Broadbent, F. Callard, J. M. Downs, R. Dutta, A. C. Fernandes, R. D. Hayes, M. J. Henderson, R. G. Jackson, A. Jewell, G. Kadra, R. Little, M. R. Pritchard, H. Shetty, A. D. Tulloch, and R. J. Stewart, “Cohort profile of the South London and Maudsley NHS Foundation Trust Biomedical Research Centre (SLaM BRC) Case Register: current status and recent enhancement of an Electronic Mental Health Record-derived data resource,” </w:t>
      </w:r>
      <w:r w:rsidR="000F333D" w:rsidRPr="000F333D">
        <w:rPr>
          <w:rFonts w:ascii="Calibri" w:hAnsi="Calibri" w:cs="Times New Roman"/>
          <w:i/>
          <w:iCs/>
          <w:noProof/>
          <w:szCs w:val="24"/>
        </w:rPr>
        <w:t>BMJ Open</w:t>
      </w:r>
      <w:r w:rsidR="000F333D" w:rsidRPr="000F333D">
        <w:rPr>
          <w:rFonts w:ascii="Calibri" w:hAnsi="Calibri" w:cs="Times New Roman"/>
          <w:noProof/>
          <w:szCs w:val="24"/>
        </w:rPr>
        <w:t>, vol. 6, no. 3, pp. 1–22, 2016.</w:t>
      </w:r>
    </w:p>
    <w:p w14:paraId="530C5D22"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w:t>
      </w:r>
      <w:r w:rsidRPr="000F333D">
        <w:rPr>
          <w:rFonts w:ascii="Calibri" w:hAnsi="Calibri" w:cs="Times New Roman"/>
          <w:noProof/>
          <w:szCs w:val="24"/>
        </w:rPr>
        <w:tab/>
        <w:t xml:space="preserve">R. A. Payne, G. A. Abel, B. Guthrie, and S. W. Mercer, “The effect of physical multimorbidity, mental health conditions and socioeconomic deprivation on unplanned admissions to hospital: a retrospective cohort study,” </w:t>
      </w:r>
      <w:r w:rsidRPr="000F333D">
        <w:rPr>
          <w:rFonts w:ascii="Calibri" w:hAnsi="Calibri" w:cs="Times New Roman"/>
          <w:i/>
          <w:iCs/>
          <w:noProof/>
          <w:szCs w:val="24"/>
        </w:rPr>
        <w:t>Can. Med. Assoc. J.</w:t>
      </w:r>
      <w:r w:rsidRPr="000F333D">
        <w:rPr>
          <w:rFonts w:ascii="Calibri" w:hAnsi="Calibri" w:cs="Times New Roman"/>
          <w:noProof/>
          <w:szCs w:val="24"/>
        </w:rPr>
        <w:t>, vol. 185, no. 5, pp. E221–E228, 2013.</w:t>
      </w:r>
    </w:p>
    <w:p w14:paraId="1C5DC78E"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w:t>
      </w:r>
      <w:r w:rsidRPr="000F333D">
        <w:rPr>
          <w:rFonts w:ascii="Calibri" w:hAnsi="Calibri" w:cs="Times New Roman"/>
          <w:noProof/>
          <w:szCs w:val="24"/>
        </w:rPr>
        <w:tab/>
        <w:t xml:space="preserve">S. J. Simmonds, H. E. Syddall, B. Walsh, M. Evandrou, E. M. Dennison, C. Cooper, and A. Aihie Sayer, “Understanding NHS hospital admissions in England: linkage of Hospital Episode Statistics to the Hertfordshire Cohort Study,” </w:t>
      </w:r>
      <w:r w:rsidRPr="000F333D">
        <w:rPr>
          <w:rFonts w:ascii="Calibri" w:hAnsi="Calibri" w:cs="Times New Roman"/>
          <w:i/>
          <w:iCs/>
          <w:noProof/>
          <w:szCs w:val="24"/>
        </w:rPr>
        <w:t>Age Ageing</w:t>
      </w:r>
      <w:r w:rsidRPr="000F333D">
        <w:rPr>
          <w:rFonts w:ascii="Calibri" w:hAnsi="Calibri" w:cs="Times New Roman"/>
          <w:noProof/>
          <w:szCs w:val="24"/>
        </w:rPr>
        <w:t>, vol. 43, no. 5, pp. 653–660, 2014.</w:t>
      </w:r>
    </w:p>
    <w:p w14:paraId="54BD6322"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[4]</w:t>
      </w:r>
      <w:r w:rsidRPr="000F333D">
        <w:rPr>
          <w:rFonts w:ascii="Calibri" w:hAnsi="Calibri" w:cs="Times New Roman"/>
          <w:noProof/>
          <w:szCs w:val="24"/>
        </w:rPr>
        <w:tab/>
        <w:t xml:space="preserve">D. V Ford, K. H. Jones, J.-P. Verplancke, R. A. Lyons, G. John, G. Brown, C. J. Brooks, S. Thompson, O. Bodger, T. Couch, and K. Leake, “The SAIL Databank: building a national architecture for e-health research and evaluation,” </w:t>
      </w:r>
      <w:r w:rsidRPr="000F333D">
        <w:rPr>
          <w:rFonts w:ascii="Calibri" w:hAnsi="Calibri" w:cs="Times New Roman"/>
          <w:i/>
          <w:iCs/>
          <w:noProof/>
          <w:szCs w:val="24"/>
        </w:rPr>
        <w:t>BMC Health Serv. Res.</w:t>
      </w:r>
      <w:r w:rsidRPr="000F333D">
        <w:rPr>
          <w:rFonts w:ascii="Calibri" w:hAnsi="Calibri" w:cs="Times New Roman"/>
          <w:noProof/>
          <w:szCs w:val="24"/>
        </w:rPr>
        <w:t>, vol. 9, no. 1, pp. 1–12, 2009.</w:t>
      </w:r>
    </w:p>
    <w:p w14:paraId="0090F34F"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[5]</w:t>
      </w:r>
      <w:r w:rsidRPr="000F333D">
        <w:rPr>
          <w:rFonts w:ascii="Calibri" w:hAnsi="Calibri" w:cs="Times New Roman"/>
          <w:noProof/>
          <w:szCs w:val="24"/>
        </w:rPr>
        <w:tab/>
        <w:t xml:space="preserve">L. Gray, G. D. Batty, P. Craig, C. Stewart, B. Whyte, A. Finlayson, and A. H. Leyland, “Cohort Profile: The Scottish Health Surveys Cohort: linkage of study participants to routinely collected records for mortality, hospital discharge, cancer and offspring birth characteristics in three nationwide studies,” </w:t>
      </w:r>
      <w:r w:rsidRPr="000F333D">
        <w:rPr>
          <w:rFonts w:ascii="Calibri" w:hAnsi="Calibri" w:cs="Times New Roman"/>
          <w:i/>
          <w:iCs/>
          <w:noProof/>
          <w:szCs w:val="24"/>
        </w:rPr>
        <w:t>Int. J. Epidemiol.</w:t>
      </w:r>
      <w:r w:rsidRPr="000F333D">
        <w:rPr>
          <w:rFonts w:ascii="Calibri" w:hAnsi="Calibri" w:cs="Times New Roman"/>
          <w:noProof/>
          <w:szCs w:val="24"/>
        </w:rPr>
        <w:t>, vol. 39, no. 2, pp. 345–350, 2010.</w:t>
      </w:r>
    </w:p>
    <w:p w14:paraId="53D2DD03"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[6]</w:t>
      </w:r>
      <w:r w:rsidRPr="000F333D">
        <w:rPr>
          <w:rFonts w:ascii="Calibri" w:hAnsi="Calibri" w:cs="Times New Roman"/>
          <w:noProof/>
          <w:szCs w:val="24"/>
        </w:rPr>
        <w:tab/>
        <w:t xml:space="preserve">V. Mayer-Schnberger, </w:t>
      </w:r>
      <w:r w:rsidRPr="000F333D">
        <w:rPr>
          <w:rFonts w:ascii="Calibri" w:hAnsi="Calibri" w:cs="Times New Roman"/>
          <w:i/>
          <w:iCs/>
          <w:noProof/>
          <w:szCs w:val="24"/>
        </w:rPr>
        <w:t>Big Data: A Revolution That Will Transform How We Live, Work and Think. Viktor Mayer-Schnberger and Kenneth Cukier</w:t>
      </w:r>
      <w:r w:rsidRPr="000F333D">
        <w:rPr>
          <w:rFonts w:ascii="Calibri" w:hAnsi="Calibri" w:cs="Times New Roman"/>
          <w:noProof/>
          <w:szCs w:val="24"/>
        </w:rPr>
        <w:t>. UK: John Murray Publishers, 2013.</w:t>
      </w:r>
    </w:p>
    <w:p w14:paraId="5B75A896"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[7]</w:t>
      </w:r>
      <w:r w:rsidRPr="000F333D">
        <w:rPr>
          <w:rFonts w:ascii="Calibri" w:hAnsi="Calibri" w:cs="Times New Roman"/>
          <w:noProof/>
          <w:szCs w:val="24"/>
        </w:rPr>
        <w:tab/>
        <w:t xml:space="preserve">J. Andreu-Perez, C. C. Y. Poon, R. D. Merrifield, S. T. C. Wong, and G. Z. Yang, “Big Data for Health,” </w:t>
      </w:r>
      <w:r w:rsidRPr="000F333D">
        <w:rPr>
          <w:rFonts w:ascii="Calibri" w:hAnsi="Calibri" w:cs="Times New Roman"/>
          <w:i/>
          <w:iCs/>
          <w:noProof/>
          <w:szCs w:val="24"/>
        </w:rPr>
        <w:t>IEEE J. Biomed. Heal. Informatics</w:t>
      </w:r>
      <w:r w:rsidRPr="000F333D">
        <w:rPr>
          <w:rFonts w:ascii="Calibri" w:hAnsi="Calibri" w:cs="Times New Roman"/>
          <w:noProof/>
          <w:szCs w:val="24"/>
        </w:rPr>
        <w:t>, vol. 19, no. 4, pp. 1193–1208, Jul. 2015.</w:t>
      </w:r>
    </w:p>
    <w:p w14:paraId="4BD16865"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[8]</w:t>
      </w:r>
      <w:r w:rsidRPr="000F333D">
        <w:rPr>
          <w:rFonts w:ascii="Calibri" w:hAnsi="Calibri" w:cs="Times New Roman"/>
          <w:noProof/>
          <w:szCs w:val="24"/>
        </w:rPr>
        <w:tab/>
        <w:t xml:space="preserve">S. Schneeweiss, “Learning from Big Health Care Data,” </w:t>
      </w:r>
      <w:r w:rsidRPr="000F333D">
        <w:rPr>
          <w:rFonts w:ascii="Calibri" w:hAnsi="Calibri" w:cs="Times New Roman"/>
          <w:i/>
          <w:iCs/>
          <w:noProof/>
          <w:szCs w:val="24"/>
        </w:rPr>
        <w:t>N. Engl. J. Med.</w:t>
      </w:r>
      <w:r w:rsidRPr="000F333D">
        <w:rPr>
          <w:rFonts w:ascii="Calibri" w:hAnsi="Calibri" w:cs="Times New Roman"/>
          <w:noProof/>
          <w:szCs w:val="24"/>
        </w:rPr>
        <w:t>, vol. 370, no. 23, pp. 2161–2163, 2014.</w:t>
      </w:r>
    </w:p>
    <w:p w14:paraId="3B9EC5BB"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[9]</w:t>
      </w:r>
      <w:r w:rsidRPr="000F333D">
        <w:rPr>
          <w:rFonts w:ascii="Calibri" w:hAnsi="Calibri" w:cs="Times New Roman"/>
          <w:noProof/>
          <w:szCs w:val="24"/>
        </w:rPr>
        <w:tab/>
        <w:t xml:space="preserve">W. Raghupathi and V. Raghupathi, “Big data analytics in healthcare: promise and potential,” </w:t>
      </w:r>
      <w:r w:rsidRPr="000F333D">
        <w:rPr>
          <w:rFonts w:ascii="Calibri" w:hAnsi="Calibri" w:cs="Times New Roman"/>
          <w:i/>
          <w:iCs/>
          <w:noProof/>
          <w:szCs w:val="24"/>
        </w:rPr>
        <w:t>Heal. Inf. Sci. Syst.</w:t>
      </w:r>
      <w:r w:rsidRPr="000F333D">
        <w:rPr>
          <w:rFonts w:ascii="Calibri" w:hAnsi="Calibri" w:cs="Times New Roman"/>
          <w:noProof/>
          <w:szCs w:val="24"/>
        </w:rPr>
        <w:t>, vol. 2, no. 1, pp. 1–10, 2014.</w:t>
      </w:r>
    </w:p>
    <w:p w14:paraId="55146502"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[10]</w:t>
      </w:r>
      <w:r w:rsidRPr="000F333D">
        <w:rPr>
          <w:rFonts w:ascii="Calibri" w:hAnsi="Calibri" w:cs="Times New Roman"/>
          <w:noProof/>
          <w:szCs w:val="24"/>
        </w:rPr>
        <w:tab/>
        <w:t xml:space="preserve">D. Leightley, J. S. McPhee, and M. H. Yap, “Automated Analysis and Quantification of Human Mobility Using a Depth Sensor,” </w:t>
      </w:r>
      <w:r w:rsidRPr="000F333D">
        <w:rPr>
          <w:rFonts w:ascii="Calibri" w:hAnsi="Calibri" w:cs="Times New Roman"/>
          <w:i/>
          <w:iCs/>
          <w:noProof/>
          <w:szCs w:val="24"/>
        </w:rPr>
        <w:t>IEEE J. Biomed. Heal. Informatics</w:t>
      </w:r>
      <w:r w:rsidRPr="000F333D">
        <w:rPr>
          <w:rFonts w:ascii="Calibri" w:hAnsi="Calibri" w:cs="Times New Roman"/>
          <w:noProof/>
          <w:szCs w:val="24"/>
        </w:rPr>
        <w:t>, vol. 21, no. 4, pp. 939–948, 2017.</w:t>
      </w:r>
    </w:p>
    <w:p w14:paraId="0A73E1E9"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[11]</w:t>
      </w:r>
      <w:r w:rsidRPr="000F333D">
        <w:rPr>
          <w:rFonts w:ascii="Calibri" w:hAnsi="Calibri" w:cs="Times New Roman"/>
          <w:noProof/>
          <w:szCs w:val="24"/>
        </w:rPr>
        <w:tab/>
        <w:t xml:space="preserve">P. B. Jensen, L. J. Jensen, and S. Brunak, “Mining electronic health records: towards better research applications and clinical care,” </w:t>
      </w:r>
      <w:r w:rsidRPr="000F333D">
        <w:rPr>
          <w:rFonts w:ascii="Calibri" w:hAnsi="Calibri" w:cs="Times New Roman"/>
          <w:i/>
          <w:iCs/>
          <w:noProof/>
          <w:szCs w:val="24"/>
        </w:rPr>
        <w:t>Nat. Rev. Genet.</w:t>
      </w:r>
      <w:r w:rsidRPr="000F333D">
        <w:rPr>
          <w:rFonts w:ascii="Calibri" w:hAnsi="Calibri" w:cs="Times New Roman"/>
          <w:noProof/>
          <w:szCs w:val="24"/>
        </w:rPr>
        <w:t>, vol. 13, no. 1, pp. 395–405, 2012.</w:t>
      </w:r>
    </w:p>
    <w:p w14:paraId="1AAE5581"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[12]</w:t>
      </w:r>
      <w:r w:rsidRPr="000F333D">
        <w:rPr>
          <w:rFonts w:ascii="Calibri" w:hAnsi="Calibri" w:cs="Times New Roman"/>
          <w:noProof/>
          <w:szCs w:val="24"/>
        </w:rPr>
        <w:tab/>
        <w:t>G. Bevan, “The impacts of asymmetric devolution on health care in the four countries of the UK,” 2014.</w:t>
      </w:r>
    </w:p>
    <w:p w14:paraId="2D12EFA2"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[13]</w:t>
      </w:r>
      <w:r w:rsidRPr="000F333D">
        <w:rPr>
          <w:rFonts w:ascii="Calibri" w:hAnsi="Calibri" w:cs="Times New Roman"/>
          <w:noProof/>
          <w:szCs w:val="24"/>
        </w:rPr>
        <w:tab/>
        <w:t xml:space="preserve">P. Coorevits, M. Sundgren, G. O. Klein, A. Bahr, B. Claerhout, C. Daniel, M. Dugas, D. Dupont, A. Schmidt, P. Singleton, G. De Moor, and D. Kalra, “Electronic health records: new opportunities for clinical research,” </w:t>
      </w:r>
      <w:r w:rsidRPr="000F333D">
        <w:rPr>
          <w:rFonts w:ascii="Calibri" w:hAnsi="Calibri" w:cs="Times New Roman"/>
          <w:i/>
          <w:iCs/>
          <w:noProof/>
          <w:szCs w:val="24"/>
        </w:rPr>
        <w:t>J. Intern. Med.</w:t>
      </w:r>
      <w:r w:rsidRPr="000F333D">
        <w:rPr>
          <w:rFonts w:ascii="Calibri" w:hAnsi="Calibri" w:cs="Times New Roman"/>
          <w:noProof/>
          <w:szCs w:val="24"/>
        </w:rPr>
        <w:t>, vol. 274, no. 6, pp. 547–560, 2013.</w:t>
      </w:r>
    </w:p>
    <w:p w14:paraId="4A7FF56A"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[14]</w:t>
      </w:r>
      <w:r w:rsidRPr="000F333D">
        <w:rPr>
          <w:rFonts w:ascii="Calibri" w:hAnsi="Calibri" w:cs="Times New Roman"/>
          <w:noProof/>
          <w:szCs w:val="24"/>
        </w:rPr>
        <w:tab/>
        <w:t xml:space="preserve">Andrew Nash, “Internal Migration, England and Wales - Office for National Statistics,” </w:t>
      </w:r>
      <w:r w:rsidRPr="000F333D">
        <w:rPr>
          <w:rFonts w:ascii="Calibri" w:hAnsi="Calibri" w:cs="Times New Roman"/>
          <w:i/>
          <w:iCs/>
          <w:noProof/>
          <w:szCs w:val="24"/>
        </w:rPr>
        <w:t>Online</w:t>
      </w:r>
      <w:r w:rsidRPr="000F333D">
        <w:rPr>
          <w:rFonts w:ascii="Calibri" w:hAnsi="Calibri" w:cs="Times New Roman"/>
          <w:noProof/>
          <w:szCs w:val="24"/>
        </w:rPr>
        <w:t>, 2014. [Online]. Available: https://www.ons.gov.uk/peoplepopulationandcommunity/populationandmigration/migrationwithintheuk/bulletins/internalmigrationbylocalauthoritiesinenglandandwales/2014-06-26. [Accessed: 11-Sep-2017].</w:t>
      </w:r>
    </w:p>
    <w:p w14:paraId="29F6BC00"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[15]</w:t>
      </w:r>
      <w:r w:rsidRPr="000F333D">
        <w:rPr>
          <w:rFonts w:ascii="Calibri" w:hAnsi="Calibri" w:cs="Times New Roman"/>
          <w:noProof/>
          <w:szCs w:val="24"/>
        </w:rPr>
        <w:tab/>
        <w:t xml:space="preserve">E. Vayena, M. Salathé, L. C. Madoff, and J. S. Brownstein, “Ethical Challenges of Big Data in Public Health,” </w:t>
      </w:r>
      <w:r w:rsidRPr="000F333D">
        <w:rPr>
          <w:rFonts w:ascii="Calibri" w:hAnsi="Calibri" w:cs="Times New Roman"/>
          <w:i/>
          <w:iCs/>
          <w:noProof/>
          <w:szCs w:val="24"/>
        </w:rPr>
        <w:t>PLoS Comput Biol</w:t>
      </w:r>
      <w:r w:rsidRPr="000F333D">
        <w:rPr>
          <w:rFonts w:ascii="Calibri" w:hAnsi="Calibri" w:cs="Times New Roman"/>
          <w:noProof/>
          <w:szCs w:val="24"/>
        </w:rPr>
        <w:t>, vol. 11, no. 2, pp. 1–7, 2015.</w:t>
      </w:r>
    </w:p>
    <w:p w14:paraId="79971354"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[16]</w:t>
      </w:r>
      <w:r w:rsidRPr="000F333D">
        <w:rPr>
          <w:rFonts w:ascii="Calibri" w:hAnsi="Calibri" w:cs="Times New Roman"/>
          <w:noProof/>
          <w:szCs w:val="24"/>
        </w:rPr>
        <w:tab/>
        <w:t xml:space="preserve">K. Wing, K. Bhaskaran, L. Smeeth, T. P. van Staa, O. H. Klungel, R. F. Reynolds, and I. Douglas, “Optimising case detection within UK electronic health records: use of multiple linked databases for detecting liver injury,” </w:t>
      </w:r>
      <w:r w:rsidRPr="000F333D">
        <w:rPr>
          <w:rFonts w:ascii="Calibri" w:hAnsi="Calibri" w:cs="Times New Roman"/>
          <w:i/>
          <w:iCs/>
          <w:noProof/>
          <w:szCs w:val="24"/>
        </w:rPr>
        <w:t>BMJ Open</w:t>
      </w:r>
      <w:r w:rsidRPr="000F333D">
        <w:rPr>
          <w:rFonts w:ascii="Calibri" w:hAnsi="Calibri" w:cs="Times New Roman"/>
          <w:noProof/>
          <w:szCs w:val="24"/>
        </w:rPr>
        <w:t>, vol. 6, no. 9, 2016.</w:t>
      </w:r>
    </w:p>
    <w:p w14:paraId="33CD7AB9"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[17]</w:t>
      </w:r>
      <w:r w:rsidRPr="000F333D">
        <w:rPr>
          <w:rFonts w:ascii="Calibri" w:hAnsi="Calibri" w:cs="Times New Roman"/>
          <w:noProof/>
          <w:szCs w:val="24"/>
        </w:rPr>
        <w:tab/>
        <w:t xml:space="preserve">R. A. Lyons, K. H. Jones, G. John, C. J. Brooks, J.-P. Verplancke, D. V Ford, G. Brown, and K. Leake, “The SAIL databank: linking multiple health and social care datasets,” </w:t>
      </w:r>
      <w:r w:rsidRPr="000F333D">
        <w:rPr>
          <w:rFonts w:ascii="Calibri" w:hAnsi="Calibri" w:cs="Times New Roman"/>
          <w:i/>
          <w:iCs/>
          <w:noProof/>
          <w:szCs w:val="24"/>
        </w:rPr>
        <w:t>BMC Med. Inform. Decis. Mak.</w:t>
      </w:r>
      <w:r w:rsidRPr="000F333D">
        <w:rPr>
          <w:rFonts w:ascii="Calibri" w:hAnsi="Calibri" w:cs="Times New Roman"/>
          <w:noProof/>
          <w:szCs w:val="24"/>
        </w:rPr>
        <w:t>, vol. 9, no. 1, pp. 1–8, 2009.</w:t>
      </w:r>
    </w:p>
    <w:p w14:paraId="6CE9D2C3"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[18]</w:t>
      </w:r>
      <w:r w:rsidRPr="000F333D">
        <w:rPr>
          <w:rFonts w:ascii="Calibri" w:hAnsi="Calibri" w:cs="Times New Roman"/>
          <w:noProof/>
          <w:szCs w:val="24"/>
        </w:rPr>
        <w:tab/>
        <w:t xml:space="preserve">M. A. Bohensky, D. Jolley, V. Sundararajan, S. Evans, D. V Pilcher, I. Scott, and C. A. Brand, “Data Linkage: A powerful research tool with potential problems,” </w:t>
      </w:r>
      <w:r w:rsidRPr="000F333D">
        <w:rPr>
          <w:rFonts w:ascii="Calibri" w:hAnsi="Calibri" w:cs="Times New Roman"/>
          <w:i/>
          <w:iCs/>
          <w:noProof/>
          <w:szCs w:val="24"/>
        </w:rPr>
        <w:t>BMC Health Serv. Res.</w:t>
      </w:r>
      <w:r w:rsidRPr="000F333D">
        <w:rPr>
          <w:rFonts w:ascii="Calibri" w:hAnsi="Calibri" w:cs="Times New Roman"/>
          <w:noProof/>
          <w:szCs w:val="24"/>
        </w:rPr>
        <w:t>, vol. 10, no. 346, 2010.</w:t>
      </w:r>
    </w:p>
    <w:p w14:paraId="61476E96"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[19]</w:t>
      </w:r>
      <w:r w:rsidRPr="000F333D">
        <w:rPr>
          <w:rFonts w:ascii="Calibri" w:hAnsi="Calibri" w:cs="Times New Roman"/>
          <w:noProof/>
          <w:szCs w:val="24"/>
        </w:rPr>
        <w:tab/>
        <w:t>NHS Direct, “Your health and care records,” 2015. [Online]. Available: http://www.nhs.uk/NHSEngland/thenhs/records/nhs-number/Pages/what-is-the-nhs-number.aspx.</w:t>
      </w:r>
    </w:p>
    <w:p w14:paraId="0C6A51FA"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[20]</w:t>
      </w:r>
      <w:r w:rsidRPr="000F333D">
        <w:rPr>
          <w:rFonts w:ascii="Calibri" w:hAnsi="Calibri" w:cs="Times New Roman"/>
          <w:noProof/>
          <w:szCs w:val="24"/>
        </w:rPr>
        <w:tab/>
        <w:t>NHS Information Centre for Health and Social Care, “Hospital episode statistics (HES). NHS Information Centre,” 2010.</w:t>
      </w:r>
    </w:p>
    <w:p w14:paraId="65D7A35C"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[21]</w:t>
      </w:r>
      <w:r w:rsidRPr="000F333D">
        <w:rPr>
          <w:rFonts w:ascii="Calibri" w:hAnsi="Calibri" w:cs="Times New Roman"/>
          <w:noProof/>
          <w:szCs w:val="24"/>
        </w:rPr>
        <w:tab/>
        <w:t>NHS Information Services Division, “Scottish Morbidity Records (SMRs). NHS Information Services Division.” [Online]. Available: http://www.isdscotland.org.</w:t>
      </w:r>
    </w:p>
    <w:p w14:paraId="1CA2DB76"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[22]</w:t>
      </w:r>
      <w:r w:rsidRPr="000F333D">
        <w:rPr>
          <w:rFonts w:ascii="Calibri" w:hAnsi="Calibri" w:cs="Times New Roman"/>
          <w:noProof/>
          <w:szCs w:val="24"/>
        </w:rPr>
        <w:tab/>
        <w:t xml:space="preserve">G. Hagger-Johnson, K. Harron, T. Fleming, R. Gilbert, H. Goldstein, R. Landy, and R. C. Parslow, “Data linkage errors in hospital administrative data when applying a pseudonymisation algorithm to paediatric intensive care records,” </w:t>
      </w:r>
      <w:r w:rsidRPr="000F333D">
        <w:rPr>
          <w:rFonts w:ascii="Calibri" w:hAnsi="Calibri" w:cs="Times New Roman"/>
          <w:i/>
          <w:iCs/>
          <w:noProof/>
          <w:szCs w:val="24"/>
        </w:rPr>
        <w:t>BMJ Open</w:t>
      </w:r>
      <w:r w:rsidRPr="000F333D">
        <w:rPr>
          <w:rFonts w:ascii="Calibri" w:hAnsi="Calibri" w:cs="Times New Roman"/>
          <w:noProof/>
          <w:szCs w:val="24"/>
        </w:rPr>
        <w:t>, vol. 5, no. 8, 2015.</w:t>
      </w:r>
    </w:p>
    <w:p w14:paraId="2ECA0BF2"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[23]</w:t>
      </w:r>
      <w:r w:rsidRPr="000F333D">
        <w:rPr>
          <w:rFonts w:ascii="Calibri" w:hAnsi="Calibri" w:cs="Times New Roman"/>
          <w:noProof/>
          <w:szCs w:val="24"/>
        </w:rPr>
        <w:tab/>
        <w:t xml:space="preserve">C. Polling, A. Tulloch, S. Banerjee, S. Cross, R. Dutta, D. M. Wood, P. I. Dargan, and M. Hotopf, “Using routine clinical and administrative data to produce a dataset of attendances at Emergency Departments following self-harm,” </w:t>
      </w:r>
      <w:r w:rsidRPr="000F333D">
        <w:rPr>
          <w:rFonts w:ascii="Calibri" w:hAnsi="Calibri" w:cs="Times New Roman"/>
          <w:i/>
          <w:iCs/>
          <w:noProof/>
          <w:szCs w:val="24"/>
        </w:rPr>
        <w:t>BMC Emerg. Med.</w:t>
      </w:r>
      <w:r w:rsidRPr="000F333D">
        <w:rPr>
          <w:rFonts w:ascii="Calibri" w:hAnsi="Calibri" w:cs="Times New Roman"/>
          <w:noProof/>
          <w:szCs w:val="24"/>
        </w:rPr>
        <w:t>, vol. 15, no. 1, 2015.</w:t>
      </w:r>
    </w:p>
    <w:p w14:paraId="183900BC"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[24]</w:t>
      </w:r>
      <w:r w:rsidRPr="000F333D">
        <w:rPr>
          <w:rFonts w:ascii="Calibri" w:hAnsi="Calibri" w:cs="Times New Roman"/>
          <w:noProof/>
          <w:szCs w:val="24"/>
        </w:rPr>
        <w:tab/>
        <w:t xml:space="preserve">L. Samad, M. Cortina-Borja, A. G. Sutcliffe, S. Marven, J. C. Cameron, H. El Bashir, R. Lynn, and B. Taylor, “National hospital data for intussusception: Data linkage and retrospective analysis to assess quality and use in vaccine safety surveillance,” </w:t>
      </w:r>
      <w:r w:rsidRPr="000F333D">
        <w:rPr>
          <w:rFonts w:ascii="Calibri" w:hAnsi="Calibri" w:cs="Times New Roman"/>
          <w:i/>
          <w:iCs/>
          <w:noProof/>
          <w:szCs w:val="24"/>
        </w:rPr>
        <w:t>Vaccine</w:t>
      </w:r>
      <w:r w:rsidRPr="000F333D">
        <w:rPr>
          <w:rFonts w:ascii="Calibri" w:hAnsi="Calibri" w:cs="Times New Roman"/>
          <w:noProof/>
          <w:szCs w:val="24"/>
        </w:rPr>
        <w:t>, vol. 34, no. 3, pp. 373–379, 2016.</w:t>
      </w:r>
    </w:p>
    <w:p w14:paraId="5DDDDA27"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[25]</w:t>
      </w:r>
      <w:r w:rsidRPr="000F333D">
        <w:rPr>
          <w:rFonts w:ascii="Calibri" w:hAnsi="Calibri" w:cs="Times New Roman"/>
          <w:noProof/>
          <w:szCs w:val="24"/>
        </w:rPr>
        <w:tab/>
        <w:t xml:space="preserve">M. Hotopf, L. Hull, N. T. Fear, T. Browne, O. Horn, A. Iversen, M. Jones, D. Murphy, D. Bland, M. Earnshaw, N. Greenberg, J. H. Hughes, A. R. Tate, C. Dandeker, R. Rona, and S. Wessely, “The health of {UK} military personnel who deployed to the 2003 Iraq war: a cohort study,” </w:t>
      </w:r>
      <w:r w:rsidRPr="000F333D">
        <w:rPr>
          <w:rFonts w:ascii="Calibri" w:hAnsi="Calibri" w:cs="Times New Roman"/>
          <w:i/>
          <w:iCs/>
          <w:noProof/>
          <w:szCs w:val="24"/>
        </w:rPr>
        <w:t>Lancet</w:t>
      </w:r>
      <w:r w:rsidRPr="000F333D">
        <w:rPr>
          <w:rFonts w:ascii="Calibri" w:hAnsi="Calibri" w:cs="Times New Roman"/>
          <w:noProof/>
          <w:szCs w:val="24"/>
        </w:rPr>
        <w:t>, vol. 367, no. 9524, pp. 1731–1741, 2006.</w:t>
      </w:r>
    </w:p>
    <w:p w14:paraId="2306EA4E"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[26]</w:t>
      </w:r>
      <w:r w:rsidRPr="000F333D">
        <w:rPr>
          <w:rFonts w:ascii="Calibri" w:hAnsi="Calibri" w:cs="Times New Roman"/>
          <w:noProof/>
          <w:szCs w:val="24"/>
        </w:rPr>
        <w:tab/>
        <w:t xml:space="preserve">N. T. Fear, M. Jones, D. Murphy, L. Hull, A. C. Iversen, B. Coker, L. Machell, J. Sundin, C. Woodhead, N. Jones, N. Greenberg, S. Landau, C. Dandeker, R. J. Rona, M. Hotopf, and S. Wessely, “What are the consequences of deployment to Iraq and Afghanistan on the mental health of the {UK} armed forces? A cohort study,” </w:t>
      </w:r>
      <w:r w:rsidRPr="000F333D">
        <w:rPr>
          <w:rFonts w:ascii="Calibri" w:hAnsi="Calibri" w:cs="Times New Roman"/>
          <w:i/>
          <w:iCs/>
          <w:noProof/>
          <w:szCs w:val="24"/>
        </w:rPr>
        <w:t>Lancet</w:t>
      </w:r>
      <w:r w:rsidRPr="000F333D">
        <w:rPr>
          <w:rFonts w:ascii="Calibri" w:hAnsi="Calibri" w:cs="Times New Roman"/>
          <w:noProof/>
          <w:szCs w:val="24"/>
        </w:rPr>
        <w:t>, vol. 375, no. 9728, pp. 1783–1797, 2010.</w:t>
      </w:r>
    </w:p>
    <w:p w14:paraId="5B576789"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[27]</w:t>
      </w:r>
      <w:r w:rsidRPr="000F333D">
        <w:rPr>
          <w:rFonts w:ascii="Calibri" w:hAnsi="Calibri" w:cs="Times New Roman"/>
          <w:noProof/>
          <w:szCs w:val="24"/>
        </w:rPr>
        <w:tab/>
        <w:t>N. W. I. Service, “NHS Wales Informatics Service - an Official NHS Wales website.”</w:t>
      </w:r>
    </w:p>
    <w:p w14:paraId="432BCB43"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[28]</w:t>
      </w:r>
      <w:r w:rsidRPr="000F333D">
        <w:rPr>
          <w:rFonts w:ascii="Calibri" w:hAnsi="Calibri" w:cs="Times New Roman"/>
          <w:noProof/>
          <w:szCs w:val="24"/>
        </w:rPr>
        <w:tab/>
        <w:t xml:space="preserve">T. Greenhalgh, L. Morris, J. C. Wyatt, G. Thomas, and K. Gunning, “Introducing a nationally shared electronic patient record: Case study comparison of Scotland, England, Wales and Northern Ireland,” </w:t>
      </w:r>
      <w:r w:rsidRPr="000F333D">
        <w:rPr>
          <w:rFonts w:ascii="Calibri" w:hAnsi="Calibri" w:cs="Times New Roman"/>
          <w:i/>
          <w:iCs/>
          <w:noProof/>
          <w:szCs w:val="24"/>
        </w:rPr>
        <w:t>Int. J. Med. Inform.</w:t>
      </w:r>
      <w:r w:rsidRPr="000F333D">
        <w:rPr>
          <w:rFonts w:ascii="Calibri" w:hAnsi="Calibri" w:cs="Times New Roman"/>
          <w:noProof/>
          <w:szCs w:val="24"/>
        </w:rPr>
        <w:t>, vol. 82, no. 5, pp. e125–e138, 2013.</w:t>
      </w:r>
    </w:p>
    <w:p w14:paraId="022190AD"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[29]</w:t>
      </w:r>
      <w:r w:rsidRPr="000F333D">
        <w:rPr>
          <w:rFonts w:ascii="Calibri" w:hAnsi="Calibri" w:cs="Times New Roman"/>
          <w:noProof/>
          <w:szCs w:val="24"/>
        </w:rPr>
        <w:tab/>
        <w:t xml:space="preserve">S. A. Bridgman, D. Clement, A. Downing, G. Walley, I. Phair, and N. Maffulli, “Population based epidemiology of ankle sprains attending accident and emergency units in the West Midlands of England, and a survey of UK practice for severe ankle sprains,” </w:t>
      </w:r>
      <w:r w:rsidRPr="000F333D">
        <w:rPr>
          <w:rFonts w:ascii="Calibri" w:hAnsi="Calibri" w:cs="Times New Roman"/>
          <w:i/>
          <w:iCs/>
          <w:noProof/>
          <w:szCs w:val="24"/>
        </w:rPr>
        <w:t>Emerg. Med. J.</w:t>
      </w:r>
      <w:r w:rsidRPr="000F333D">
        <w:rPr>
          <w:rFonts w:ascii="Calibri" w:hAnsi="Calibri" w:cs="Times New Roman"/>
          <w:noProof/>
          <w:szCs w:val="24"/>
        </w:rPr>
        <w:t>, vol. 20, no. 6, pp. 508–510, 2003.</w:t>
      </w:r>
    </w:p>
    <w:p w14:paraId="5CB7ED53"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[30]</w:t>
      </w:r>
      <w:r w:rsidRPr="000F333D">
        <w:rPr>
          <w:rFonts w:ascii="Calibri" w:hAnsi="Calibri" w:cs="Times New Roman"/>
          <w:noProof/>
          <w:szCs w:val="24"/>
        </w:rPr>
        <w:tab/>
        <w:t>Health and Social Care Information Centre, “Methodology to create provider and CIP spells from HES APC Data.” 2014.</w:t>
      </w:r>
    </w:p>
    <w:p w14:paraId="17187701"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[31]</w:t>
      </w:r>
      <w:r w:rsidRPr="000F333D">
        <w:rPr>
          <w:rFonts w:ascii="Calibri" w:hAnsi="Calibri" w:cs="Times New Roman"/>
          <w:noProof/>
          <w:szCs w:val="24"/>
        </w:rPr>
        <w:tab/>
        <w:t>StataCorp, “Stata: Release 12. Statistical Software.” 2011.</w:t>
      </w:r>
    </w:p>
    <w:p w14:paraId="209A106C"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[32]</w:t>
      </w:r>
      <w:r w:rsidRPr="000F333D">
        <w:rPr>
          <w:rFonts w:ascii="Calibri" w:hAnsi="Calibri" w:cs="Times New Roman"/>
          <w:noProof/>
          <w:szCs w:val="24"/>
        </w:rPr>
        <w:tab/>
        <w:t>“Hospital Outpatient Activity,” 2016.</w:t>
      </w:r>
    </w:p>
    <w:p w14:paraId="5174B568"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[33]</w:t>
      </w:r>
      <w:r w:rsidRPr="000F333D">
        <w:rPr>
          <w:rFonts w:ascii="Calibri" w:hAnsi="Calibri" w:cs="Times New Roman"/>
          <w:noProof/>
          <w:szCs w:val="24"/>
        </w:rPr>
        <w:tab/>
        <w:t xml:space="preserve">C. Canavan, J. West, and T. Card, “Calculating Total Health Service Utilisation and Costs from Routinely Collected Electronic Health Records Using the Example of Patients with Irritable Bowel Syndrome Before and After Their First Gastroenterology Appointment,” </w:t>
      </w:r>
      <w:r w:rsidRPr="000F333D">
        <w:rPr>
          <w:rFonts w:ascii="Calibri" w:hAnsi="Calibri" w:cs="Times New Roman"/>
          <w:i/>
          <w:iCs/>
          <w:noProof/>
          <w:szCs w:val="24"/>
        </w:rPr>
        <w:t>Pharmacoeconomics</w:t>
      </w:r>
      <w:r w:rsidRPr="000F333D">
        <w:rPr>
          <w:rFonts w:ascii="Calibri" w:hAnsi="Calibri" w:cs="Times New Roman"/>
          <w:noProof/>
          <w:szCs w:val="24"/>
        </w:rPr>
        <w:t>, vol. 34, no. 2, pp. 181–194, 2016.</w:t>
      </w:r>
    </w:p>
    <w:p w14:paraId="05603D23"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[34]</w:t>
      </w:r>
      <w:r w:rsidRPr="000F333D">
        <w:rPr>
          <w:rFonts w:ascii="Calibri" w:hAnsi="Calibri" w:cs="Times New Roman"/>
          <w:noProof/>
          <w:szCs w:val="24"/>
        </w:rPr>
        <w:tab/>
        <w:t xml:space="preserve">A. John, M. Dennis, L. Kosnes, D. Gunnell, J. Scourfield, D. V Ford, and K. Lloyd, “Suicide Information Database-Cymru: a protocol for a population-based, routinely collected data linkage study to explore risks and patterns of healthcare contact prior to suicide to identify opportunities for intervention,” </w:t>
      </w:r>
      <w:r w:rsidRPr="000F333D">
        <w:rPr>
          <w:rFonts w:ascii="Calibri" w:hAnsi="Calibri" w:cs="Times New Roman"/>
          <w:i/>
          <w:iCs/>
          <w:noProof/>
          <w:szCs w:val="24"/>
        </w:rPr>
        <w:t>BMJ Open</w:t>
      </w:r>
      <w:r w:rsidRPr="000F333D">
        <w:rPr>
          <w:rFonts w:ascii="Calibri" w:hAnsi="Calibri" w:cs="Times New Roman"/>
          <w:noProof/>
          <w:szCs w:val="24"/>
        </w:rPr>
        <w:t>, vol. 4, no. 11, 2014.</w:t>
      </w:r>
    </w:p>
    <w:p w14:paraId="58161FD6"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[35]</w:t>
      </w:r>
      <w:r w:rsidRPr="000F333D">
        <w:rPr>
          <w:rFonts w:ascii="Calibri" w:hAnsi="Calibri" w:cs="Times New Roman"/>
          <w:noProof/>
          <w:szCs w:val="24"/>
        </w:rPr>
        <w:tab/>
        <w:t xml:space="preserve">A. D. Liddle, H. Pandit, A. Judge, and D. W. Murray, “Effect of Surgical Caseload on Revision Rate Following Total and Unicompartmental Knee Replacement,” </w:t>
      </w:r>
      <w:r w:rsidRPr="000F333D">
        <w:rPr>
          <w:rFonts w:ascii="Calibri" w:hAnsi="Calibri" w:cs="Times New Roman"/>
          <w:i/>
          <w:iCs/>
          <w:noProof/>
          <w:szCs w:val="24"/>
        </w:rPr>
        <w:t>J. Bone Jt. Surg.</w:t>
      </w:r>
      <w:r w:rsidRPr="000F333D">
        <w:rPr>
          <w:rFonts w:ascii="Calibri" w:hAnsi="Calibri" w:cs="Times New Roman"/>
          <w:noProof/>
          <w:szCs w:val="24"/>
        </w:rPr>
        <w:t>, vol. 98, no. 1, pp. 1–8, 2016.</w:t>
      </w:r>
    </w:p>
    <w:p w14:paraId="63D03074"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[36]</w:t>
      </w:r>
      <w:r w:rsidRPr="000F333D">
        <w:rPr>
          <w:rFonts w:ascii="Calibri" w:hAnsi="Calibri" w:cs="Times New Roman"/>
          <w:noProof/>
          <w:szCs w:val="24"/>
        </w:rPr>
        <w:tab/>
        <w:t xml:space="preserve">D. H. Brewster, D. L. Stockton, A. Reekie, G. P. Ashcroft, C. R. Howie, D. E. Porter, and R. J. Black, “Risk of cancer following primary total hip replacement or primary resurfacing arthroplasty of the hip: a retrospective cohort study in Scotland,” </w:t>
      </w:r>
      <w:r w:rsidRPr="000F333D">
        <w:rPr>
          <w:rFonts w:ascii="Calibri" w:hAnsi="Calibri" w:cs="Times New Roman"/>
          <w:i/>
          <w:iCs/>
          <w:noProof/>
          <w:szCs w:val="24"/>
        </w:rPr>
        <w:t>Br. J. Cancer</w:t>
      </w:r>
      <w:r w:rsidRPr="000F333D">
        <w:rPr>
          <w:rFonts w:ascii="Calibri" w:hAnsi="Calibri" w:cs="Times New Roman"/>
          <w:noProof/>
          <w:szCs w:val="24"/>
        </w:rPr>
        <w:t>, vol. 108, no. 9, pp. 1883–1890, 2013.</w:t>
      </w:r>
    </w:p>
    <w:p w14:paraId="44DFB891"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[37]</w:t>
      </w:r>
      <w:r w:rsidRPr="000F333D">
        <w:rPr>
          <w:rFonts w:ascii="Calibri" w:hAnsi="Calibri" w:cs="Times New Roman"/>
          <w:noProof/>
          <w:szCs w:val="24"/>
        </w:rPr>
        <w:tab/>
        <w:t xml:space="preserve">S. Sinha, G. Peach, J. D. Poloniecki, M. M. Thompson, and P. J. Holt, “Studies using English administrative data (Hospital Episode Statistics) to assess health-care outcomes: systematic review and recommendations for reporting,” </w:t>
      </w:r>
      <w:r w:rsidRPr="000F333D">
        <w:rPr>
          <w:rFonts w:ascii="Calibri" w:hAnsi="Calibri" w:cs="Times New Roman"/>
          <w:i/>
          <w:iCs/>
          <w:noProof/>
          <w:szCs w:val="24"/>
        </w:rPr>
        <w:t>Eur. J. Public Health</w:t>
      </w:r>
      <w:r w:rsidRPr="000F333D">
        <w:rPr>
          <w:rFonts w:ascii="Calibri" w:hAnsi="Calibri" w:cs="Times New Roman"/>
          <w:noProof/>
          <w:szCs w:val="24"/>
        </w:rPr>
        <w:t>, vol. 23, no. 1, pp. 86–92, 2013.</w:t>
      </w:r>
    </w:p>
    <w:p w14:paraId="55B87821"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[38]</w:t>
      </w:r>
      <w:r w:rsidRPr="000F333D">
        <w:rPr>
          <w:rFonts w:ascii="Calibri" w:hAnsi="Calibri" w:cs="Times New Roman"/>
          <w:noProof/>
          <w:szCs w:val="24"/>
        </w:rPr>
        <w:tab/>
        <w:t xml:space="preserve">E. M. Burns, E. Rigby, R. Mamidanna, A. Bottle, P. Aylin, P. Ziprin, and O. D. Faiz, “Systematic review of discharge coding accuracy,” </w:t>
      </w:r>
      <w:r w:rsidRPr="000F333D">
        <w:rPr>
          <w:rFonts w:ascii="Calibri" w:hAnsi="Calibri" w:cs="Times New Roman"/>
          <w:i/>
          <w:iCs/>
          <w:noProof/>
          <w:szCs w:val="24"/>
        </w:rPr>
        <w:t>J. Public Health (Bangkok).</w:t>
      </w:r>
      <w:r w:rsidRPr="000F333D">
        <w:rPr>
          <w:rFonts w:ascii="Calibri" w:hAnsi="Calibri" w:cs="Times New Roman"/>
          <w:noProof/>
          <w:szCs w:val="24"/>
        </w:rPr>
        <w:t>, vol. 34, no. 1, pp. 138–148, 2011.</w:t>
      </w:r>
    </w:p>
    <w:p w14:paraId="20E56195"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[39]</w:t>
      </w:r>
      <w:r w:rsidRPr="000F333D">
        <w:rPr>
          <w:rFonts w:ascii="Calibri" w:hAnsi="Calibri" w:cs="Times New Roman"/>
          <w:noProof/>
          <w:szCs w:val="24"/>
        </w:rPr>
        <w:tab/>
        <w:t xml:space="preserve">A. Majeeda, J. Cara, and A. Sheikhb, “Accuracy and completeness of electronic patient records in primary care,” </w:t>
      </w:r>
      <w:r w:rsidRPr="000F333D">
        <w:rPr>
          <w:rFonts w:ascii="Calibri" w:hAnsi="Calibri" w:cs="Times New Roman"/>
          <w:i/>
          <w:iCs/>
          <w:noProof/>
          <w:szCs w:val="24"/>
        </w:rPr>
        <w:t>J. Fam. Pract.</w:t>
      </w:r>
      <w:r w:rsidRPr="000F333D">
        <w:rPr>
          <w:rFonts w:ascii="Calibri" w:hAnsi="Calibri" w:cs="Times New Roman"/>
          <w:noProof/>
          <w:szCs w:val="24"/>
        </w:rPr>
        <w:t>, vol. 25, no. 4, pp. 213–214, 2008.</w:t>
      </w:r>
    </w:p>
    <w:p w14:paraId="1ADD5192"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[40]</w:t>
      </w:r>
      <w:r w:rsidRPr="000F333D">
        <w:rPr>
          <w:rFonts w:ascii="Calibri" w:hAnsi="Calibri" w:cs="Times New Roman"/>
          <w:noProof/>
          <w:szCs w:val="24"/>
        </w:rPr>
        <w:tab/>
        <w:t xml:space="preserve">K. Thiru, A. Hassey, and F. Sullivan, “Primary Care Systematic review of scope and quality of electronic patient record data in primary care,” </w:t>
      </w:r>
      <w:r w:rsidRPr="000F333D">
        <w:rPr>
          <w:rFonts w:ascii="Calibri" w:hAnsi="Calibri" w:cs="Times New Roman"/>
          <w:i/>
          <w:iCs/>
          <w:noProof/>
          <w:szCs w:val="24"/>
        </w:rPr>
        <w:t>BMJ</w:t>
      </w:r>
      <w:r w:rsidRPr="000F333D">
        <w:rPr>
          <w:rFonts w:ascii="Calibri" w:hAnsi="Calibri" w:cs="Times New Roman"/>
          <w:noProof/>
          <w:szCs w:val="24"/>
        </w:rPr>
        <w:t>, vol. 326, no. 1070, 2003.</w:t>
      </w:r>
    </w:p>
    <w:p w14:paraId="378F099C"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noProof/>
        </w:rPr>
      </w:pPr>
      <w:r w:rsidRPr="000F333D">
        <w:rPr>
          <w:rFonts w:ascii="Calibri" w:hAnsi="Calibri" w:cs="Times New Roman"/>
          <w:noProof/>
          <w:szCs w:val="24"/>
        </w:rPr>
        <w:t>[41]</w:t>
      </w:r>
      <w:r w:rsidRPr="000F333D">
        <w:rPr>
          <w:rFonts w:ascii="Calibri" w:hAnsi="Calibri" w:cs="Times New Roman"/>
          <w:noProof/>
          <w:szCs w:val="24"/>
        </w:rPr>
        <w:tab/>
        <w:t xml:space="preserve">W. R. Hersh, M. G. Weiner, P. J. Embi, J. R. Logan, P. R. O. Payne, E. V Bernstam, H. P. Lehmann, G. Hripcsak, T. H. Hartzog, J. J. Cimino, and J. H. Saltz, “Caveats for the Use of Operational Electronic Health Record Data in Comparative Effectiveness Research,” </w:t>
      </w:r>
      <w:r w:rsidRPr="000F333D">
        <w:rPr>
          <w:rFonts w:ascii="Calibri" w:hAnsi="Calibri" w:cs="Times New Roman"/>
          <w:i/>
          <w:iCs/>
          <w:noProof/>
          <w:szCs w:val="24"/>
        </w:rPr>
        <w:t>Med. Care</w:t>
      </w:r>
      <w:r w:rsidRPr="000F333D">
        <w:rPr>
          <w:rFonts w:ascii="Calibri" w:hAnsi="Calibri" w:cs="Times New Roman"/>
          <w:noProof/>
          <w:szCs w:val="24"/>
        </w:rPr>
        <w:t>, vol. 51, no. 8 0 3, 2013.</w:t>
      </w:r>
    </w:p>
    <w:p w14:paraId="78FFCBB4" w14:textId="3C13EF25" w:rsidR="0062048E" w:rsidRDefault="00636DE7" w:rsidP="000F333D">
      <w:pPr>
        <w:widowControl w:val="0"/>
        <w:autoSpaceDE w:val="0"/>
        <w:autoSpaceDN w:val="0"/>
        <w:adjustRightInd w:val="0"/>
        <w:spacing w:after="140" w:line="240" w:lineRule="auto"/>
        <w:ind w:left="640" w:hanging="640"/>
      </w:pPr>
      <w:r>
        <w:fldChar w:fldCharType="end"/>
      </w:r>
    </w:p>
    <w:p w14:paraId="7287F81B" w14:textId="23F8F5CF" w:rsidR="00262A17" w:rsidRDefault="00262A17" w:rsidP="00262A17">
      <w:pPr>
        <w:rPr>
          <w:b/>
          <w:u w:val="single"/>
        </w:rPr>
      </w:pPr>
      <w:r>
        <w:rPr>
          <w:b/>
          <w:u w:val="single"/>
        </w:rPr>
        <w:br w:type="page"/>
      </w:r>
    </w:p>
    <w:p w14:paraId="4F936FE0" w14:textId="6126D9F8" w:rsidR="00262A17" w:rsidRDefault="003D3F06" w:rsidP="00805431">
      <w:pPr>
        <w:widowControl w:val="0"/>
        <w:autoSpaceDE w:val="0"/>
        <w:autoSpaceDN w:val="0"/>
        <w:adjustRightInd w:val="0"/>
        <w:spacing w:after="140" w:line="240" w:lineRule="auto"/>
        <w:rPr>
          <w:b/>
          <w:u w:val="single"/>
        </w:rPr>
      </w:pPr>
      <w:r>
        <w:rPr>
          <w:b/>
          <w:u w:val="single"/>
        </w:rPr>
        <w:t xml:space="preserve">Supplements </w:t>
      </w:r>
      <w:r w:rsidR="00262A17">
        <w:rPr>
          <w:b/>
          <w:u w:val="single"/>
        </w:rPr>
        <w:t xml:space="preserve"> </w:t>
      </w:r>
    </w:p>
    <w:p w14:paraId="3579BDD8" w14:textId="57388049" w:rsidR="00CD46CC" w:rsidRDefault="003D3F06" w:rsidP="00805431">
      <w:pPr>
        <w:widowControl w:val="0"/>
        <w:autoSpaceDE w:val="0"/>
        <w:autoSpaceDN w:val="0"/>
        <w:adjustRightInd w:val="0"/>
        <w:spacing w:after="140" w:line="240" w:lineRule="auto"/>
        <w:rPr>
          <w:b/>
          <w:u w:val="single"/>
        </w:rPr>
      </w:pPr>
      <w:r>
        <w:rPr>
          <w:b/>
          <w:u w:val="single"/>
        </w:rPr>
        <w:t>Supplement</w:t>
      </w:r>
      <w:r w:rsidR="00CD46CC">
        <w:rPr>
          <w:b/>
          <w:u w:val="single"/>
        </w:rPr>
        <w:t xml:space="preserve"> 1 –</w:t>
      </w:r>
      <w:r w:rsidR="00AC48E5">
        <w:rPr>
          <w:b/>
          <w:u w:val="single"/>
        </w:rPr>
        <w:t xml:space="preserve"> Variable </w:t>
      </w:r>
      <w:r w:rsidR="00CD46CC">
        <w:rPr>
          <w:b/>
          <w:u w:val="single"/>
        </w:rPr>
        <w:t>Framework</w:t>
      </w:r>
    </w:p>
    <w:p w14:paraId="1A74DE63" w14:textId="10844A6B" w:rsidR="00CD46CC" w:rsidRPr="00E23C01" w:rsidRDefault="00CD46CC" w:rsidP="00805431">
      <w:pPr>
        <w:widowControl w:val="0"/>
        <w:autoSpaceDE w:val="0"/>
        <w:autoSpaceDN w:val="0"/>
        <w:adjustRightInd w:val="0"/>
        <w:spacing w:after="140" w:line="240" w:lineRule="auto"/>
        <w:rPr>
          <w:b/>
        </w:rPr>
      </w:pPr>
      <w:r w:rsidRPr="00E23C01">
        <w:rPr>
          <w:b/>
        </w:rPr>
        <w:t>Admitted Patient Care</w:t>
      </w:r>
    </w:p>
    <w:tbl>
      <w:tblPr>
        <w:tblStyle w:val="TableGrid"/>
        <w:tblW w:w="9478" w:type="dxa"/>
        <w:tblLayout w:type="fixed"/>
        <w:tblLook w:val="04A0" w:firstRow="1" w:lastRow="0" w:firstColumn="1" w:lastColumn="0" w:noHBand="0" w:noVBand="1"/>
      </w:tblPr>
      <w:tblGrid>
        <w:gridCol w:w="1101"/>
        <w:gridCol w:w="1842"/>
        <w:gridCol w:w="1276"/>
        <w:gridCol w:w="2835"/>
        <w:gridCol w:w="2424"/>
      </w:tblGrid>
      <w:tr w:rsidR="00BD27B1" w14:paraId="7C80CDE2" w14:textId="77777777" w:rsidTr="00577F8D">
        <w:tc>
          <w:tcPr>
            <w:tcW w:w="1101" w:type="dxa"/>
            <w:vAlign w:val="center"/>
          </w:tcPr>
          <w:p w14:paraId="65D32FA2" w14:textId="4DBD8689" w:rsidR="00CD46CC" w:rsidRPr="00663939" w:rsidRDefault="00CD46CC" w:rsidP="006F4877">
            <w:pPr>
              <w:widowControl w:val="0"/>
              <w:autoSpaceDE w:val="0"/>
              <w:autoSpaceDN w:val="0"/>
              <w:adjustRightInd w:val="0"/>
              <w:spacing w:after="140"/>
              <w:jc w:val="center"/>
              <w:rPr>
                <w:b/>
              </w:rPr>
            </w:pPr>
            <w:r w:rsidRPr="00663939">
              <w:rPr>
                <w:b/>
              </w:rPr>
              <w:t>Category</w:t>
            </w:r>
          </w:p>
        </w:tc>
        <w:tc>
          <w:tcPr>
            <w:tcW w:w="1842" w:type="dxa"/>
            <w:vAlign w:val="center"/>
          </w:tcPr>
          <w:p w14:paraId="71D73ABB" w14:textId="7ADF0A10" w:rsidR="00CD46CC" w:rsidRPr="00663939" w:rsidRDefault="00CD46CC" w:rsidP="006F4877">
            <w:pPr>
              <w:widowControl w:val="0"/>
              <w:autoSpaceDE w:val="0"/>
              <w:autoSpaceDN w:val="0"/>
              <w:adjustRightInd w:val="0"/>
              <w:spacing w:after="140"/>
              <w:jc w:val="center"/>
              <w:rPr>
                <w:b/>
              </w:rPr>
            </w:pPr>
            <w:r w:rsidRPr="00663939">
              <w:rPr>
                <w:b/>
              </w:rPr>
              <w:t>Common Variable Name</w:t>
            </w:r>
          </w:p>
        </w:tc>
        <w:tc>
          <w:tcPr>
            <w:tcW w:w="1276" w:type="dxa"/>
            <w:vAlign w:val="center"/>
          </w:tcPr>
          <w:p w14:paraId="68F512D0" w14:textId="0952E76C" w:rsidR="00CD46CC" w:rsidRPr="00663939" w:rsidRDefault="00CD46CC" w:rsidP="006F4877">
            <w:pPr>
              <w:widowControl w:val="0"/>
              <w:autoSpaceDE w:val="0"/>
              <w:autoSpaceDN w:val="0"/>
              <w:adjustRightInd w:val="0"/>
              <w:spacing w:after="140"/>
              <w:jc w:val="center"/>
              <w:rPr>
                <w:b/>
              </w:rPr>
            </w:pPr>
            <w:r w:rsidRPr="00663939">
              <w:rPr>
                <w:b/>
              </w:rPr>
              <w:t>England – Variable</w:t>
            </w:r>
          </w:p>
        </w:tc>
        <w:tc>
          <w:tcPr>
            <w:tcW w:w="2835" w:type="dxa"/>
            <w:vAlign w:val="center"/>
          </w:tcPr>
          <w:p w14:paraId="1CDFB192" w14:textId="5B859CE4" w:rsidR="00CD46CC" w:rsidRPr="00663939" w:rsidRDefault="00CD46CC" w:rsidP="006F4877">
            <w:pPr>
              <w:widowControl w:val="0"/>
              <w:autoSpaceDE w:val="0"/>
              <w:autoSpaceDN w:val="0"/>
              <w:adjustRightInd w:val="0"/>
              <w:spacing w:after="140"/>
              <w:jc w:val="center"/>
              <w:rPr>
                <w:b/>
              </w:rPr>
            </w:pPr>
            <w:r w:rsidRPr="00663939">
              <w:rPr>
                <w:b/>
              </w:rPr>
              <w:t>Scotland – Variable</w:t>
            </w:r>
          </w:p>
        </w:tc>
        <w:tc>
          <w:tcPr>
            <w:tcW w:w="2424" w:type="dxa"/>
            <w:vAlign w:val="center"/>
          </w:tcPr>
          <w:p w14:paraId="4CABF91E" w14:textId="4C84DECB" w:rsidR="00CD46CC" w:rsidRPr="00663939" w:rsidRDefault="00CD46CC" w:rsidP="006F4877">
            <w:pPr>
              <w:widowControl w:val="0"/>
              <w:autoSpaceDE w:val="0"/>
              <w:autoSpaceDN w:val="0"/>
              <w:adjustRightInd w:val="0"/>
              <w:spacing w:after="140"/>
              <w:jc w:val="center"/>
              <w:rPr>
                <w:b/>
              </w:rPr>
            </w:pPr>
            <w:r w:rsidRPr="00663939">
              <w:rPr>
                <w:b/>
              </w:rPr>
              <w:t>Wales – Variable</w:t>
            </w:r>
          </w:p>
        </w:tc>
      </w:tr>
      <w:tr w:rsidR="00666FDF" w14:paraId="74378049" w14:textId="77777777" w:rsidTr="00577F8D">
        <w:tc>
          <w:tcPr>
            <w:tcW w:w="1101" w:type="dxa"/>
            <w:vMerge w:val="restart"/>
            <w:textDirection w:val="tbRl"/>
            <w:vAlign w:val="center"/>
          </w:tcPr>
          <w:p w14:paraId="4962FEC4" w14:textId="77777777" w:rsidR="00666FDF" w:rsidRDefault="00666FDF" w:rsidP="00BD27B1">
            <w:pPr>
              <w:pStyle w:val="NoSpacing"/>
              <w:ind w:left="113" w:right="113"/>
              <w:jc w:val="center"/>
            </w:pPr>
            <w:r>
              <w:t>Admittance</w:t>
            </w:r>
          </w:p>
          <w:p w14:paraId="74675D12" w14:textId="75D47200" w:rsidR="00666FDF" w:rsidRDefault="00666FDF" w:rsidP="00BD27B1">
            <w:pPr>
              <w:pStyle w:val="NoSpacing"/>
              <w:ind w:left="113" w:right="113"/>
              <w:jc w:val="center"/>
              <w:rPr>
                <w:b/>
                <w:u w:val="single"/>
              </w:rPr>
            </w:pPr>
            <w:r>
              <w:t>Discharge</w:t>
            </w:r>
          </w:p>
        </w:tc>
        <w:tc>
          <w:tcPr>
            <w:tcW w:w="1842" w:type="dxa"/>
            <w:vAlign w:val="bottom"/>
          </w:tcPr>
          <w:p w14:paraId="3C6A730D" w14:textId="2AD2BB90" w:rsidR="00666FDF" w:rsidRPr="00666FDF" w:rsidRDefault="00666FDF" w:rsidP="00A23781">
            <w:pPr>
              <w:pStyle w:val="NoSpacing"/>
              <w:ind w:left="113" w:right="113"/>
              <w:jc w:val="center"/>
            </w:pPr>
            <w:r>
              <w:t>admin_date</w:t>
            </w:r>
            <w:r w:rsidR="00A23781" w:rsidRPr="0001240F">
              <w:rPr>
                <w:vertAlign w:val="superscript"/>
              </w:rPr>
              <w:t>1</w:t>
            </w:r>
          </w:p>
        </w:tc>
        <w:tc>
          <w:tcPr>
            <w:tcW w:w="1276" w:type="dxa"/>
            <w:vAlign w:val="center"/>
          </w:tcPr>
          <w:p w14:paraId="5ACC88C5" w14:textId="66F8F0EB"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admidate</w:t>
            </w:r>
            <w:proofErr w:type="spellEnd"/>
          </w:p>
        </w:tc>
        <w:tc>
          <w:tcPr>
            <w:tcW w:w="2835" w:type="dxa"/>
            <w:vAlign w:val="center"/>
          </w:tcPr>
          <w:p w14:paraId="73A7DF9B" w14:textId="02C5C4C4"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admission_date</w:t>
            </w:r>
            <w:proofErr w:type="spellEnd"/>
          </w:p>
        </w:tc>
        <w:tc>
          <w:tcPr>
            <w:tcW w:w="2424" w:type="dxa"/>
            <w:vAlign w:val="center"/>
          </w:tcPr>
          <w:p w14:paraId="0A3A28AF" w14:textId="21FC9F90"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admis_dt</w:t>
            </w:r>
            <w:proofErr w:type="spellEnd"/>
          </w:p>
        </w:tc>
      </w:tr>
      <w:tr w:rsidR="00666FDF" w14:paraId="5E447D8E" w14:textId="77777777" w:rsidTr="00577F8D">
        <w:tc>
          <w:tcPr>
            <w:tcW w:w="1101" w:type="dxa"/>
            <w:vMerge/>
            <w:textDirection w:val="tbRl"/>
            <w:vAlign w:val="center"/>
          </w:tcPr>
          <w:p w14:paraId="10417200" w14:textId="77777777" w:rsidR="00666FDF" w:rsidRDefault="00666FDF" w:rsidP="00BD27B1">
            <w:pPr>
              <w:pStyle w:val="NoSpacing"/>
              <w:ind w:left="113" w:right="113"/>
              <w:jc w:val="center"/>
              <w:rPr>
                <w:b/>
                <w:u w:val="single"/>
              </w:rPr>
            </w:pPr>
          </w:p>
        </w:tc>
        <w:tc>
          <w:tcPr>
            <w:tcW w:w="1842" w:type="dxa"/>
            <w:vAlign w:val="bottom"/>
          </w:tcPr>
          <w:p w14:paraId="39BF18AE" w14:textId="6245DF5B" w:rsidR="00666FDF" w:rsidRPr="00666FDF" w:rsidRDefault="00666FDF" w:rsidP="00A23781">
            <w:pPr>
              <w:pStyle w:val="NoSpacing"/>
              <w:ind w:left="113" w:right="113"/>
              <w:jc w:val="center"/>
            </w:pPr>
            <w:r>
              <w:t>admin_meth</w:t>
            </w:r>
            <w:r w:rsidR="00A23781" w:rsidRPr="0001240F">
              <w:rPr>
                <w:vertAlign w:val="superscript"/>
              </w:rPr>
              <w:t>2</w:t>
            </w:r>
          </w:p>
        </w:tc>
        <w:tc>
          <w:tcPr>
            <w:tcW w:w="1276" w:type="dxa"/>
            <w:vAlign w:val="center"/>
          </w:tcPr>
          <w:p w14:paraId="7322AB44" w14:textId="04289187"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admimeth</w:t>
            </w:r>
            <w:proofErr w:type="spellEnd"/>
          </w:p>
        </w:tc>
        <w:tc>
          <w:tcPr>
            <w:tcW w:w="2835" w:type="dxa"/>
            <w:shd w:val="clear" w:color="auto" w:fill="D9D9D9" w:themeFill="background1" w:themeFillShade="D9"/>
            <w:vAlign w:val="center"/>
          </w:tcPr>
          <w:p w14:paraId="14114AAA" w14:textId="77777777" w:rsidR="00666FDF" w:rsidRPr="00BD27B1" w:rsidRDefault="00666FDF" w:rsidP="00BD27B1">
            <w:pPr>
              <w:pStyle w:val="NoSpacing"/>
              <w:jc w:val="center"/>
              <w:rPr>
                <w:b/>
                <w:sz w:val="20"/>
                <w:szCs w:val="20"/>
                <w:u w:val="single"/>
              </w:rPr>
            </w:pPr>
          </w:p>
        </w:tc>
        <w:tc>
          <w:tcPr>
            <w:tcW w:w="2424" w:type="dxa"/>
            <w:vAlign w:val="center"/>
          </w:tcPr>
          <w:p w14:paraId="766A1214" w14:textId="5F91314B"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admis_mthd_cd</w:t>
            </w:r>
            <w:proofErr w:type="spellEnd"/>
          </w:p>
        </w:tc>
      </w:tr>
      <w:tr w:rsidR="00666FDF" w14:paraId="29AA9C68" w14:textId="77777777" w:rsidTr="00577F8D">
        <w:tc>
          <w:tcPr>
            <w:tcW w:w="1101" w:type="dxa"/>
            <w:vMerge/>
            <w:textDirection w:val="tbRl"/>
            <w:vAlign w:val="center"/>
          </w:tcPr>
          <w:p w14:paraId="049186D5" w14:textId="77777777" w:rsidR="00666FDF" w:rsidRDefault="00666FDF" w:rsidP="00BD27B1">
            <w:pPr>
              <w:pStyle w:val="NoSpacing"/>
              <w:ind w:left="113" w:right="113"/>
              <w:jc w:val="center"/>
              <w:rPr>
                <w:b/>
                <w:u w:val="single"/>
              </w:rPr>
            </w:pPr>
          </w:p>
        </w:tc>
        <w:tc>
          <w:tcPr>
            <w:tcW w:w="1842" w:type="dxa"/>
            <w:vAlign w:val="bottom"/>
          </w:tcPr>
          <w:p w14:paraId="5DEE4F7A" w14:textId="050845F3" w:rsidR="00666FDF" w:rsidRPr="00666FDF" w:rsidRDefault="00666FDF" w:rsidP="00A23781">
            <w:pPr>
              <w:pStyle w:val="NoSpacing"/>
              <w:ind w:left="113" w:right="113"/>
              <w:jc w:val="center"/>
            </w:pPr>
            <w:r>
              <w:t>admin_source</w:t>
            </w:r>
            <w:r w:rsidR="00A23781" w:rsidRPr="0001240F">
              <w:rPr>
                <w:vertAlign w:val="superscript"/>
              </w:rPr>
              <w:t>2</w:t>
            </w:r>
          </w:p>
        </w:tc>
        <w:tc>
          <w:tcPr>
            <w:tcW w:w="1276" w:type="dxa"/>
            <w:vAlign w:val="center"/>
          </w:tcPr>
          <w:p w14:paraId="1A6BDAB5" w14:textId="3E6EF935"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admisorc</w:t>
            </w:r>
            <w:proofErr w:type="spellEnd"/>
          </w:p>
        </w:tc>
        <w:tc>
          <w:tcPr>
            <w:tcW w:w="2835" w:type="dxa"/>
            <w:vAlign w:val="center"/>
          </w:tcPr>
          <w:p w14:paraId="36B20DFF" w14:textId="6A8898CD"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admission_transfer_from</w:t>
            </w:r>
            <w:proofErr w:type="spellEnd"/>
          </w:p>
        </w:tc>
        <w:tc>
          <w:tcPr>
            <w:tcW w:w="2424" w:type="dxa"/>
            <w:vAlign w:val="center"/>
          </w:tcPr>
          <w:p w14:paraId="67CFCAF9" w14:textId="5C68732C"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admis_source_cd</w:t>
            </w:r>
            <w:proofErr w:type="spellEnd"/>
          </w:p>
        </w:tc>
      </w:tr>
      <w:tr w:rsidR="00666FDF" w14:paraId="78C88C34" w14:textId="77777777" w:rsidTr="00577F8D">
        <w:tc>
          <w:tcPr>
            <w:tcW w:w="1101" w:type="dxa"/>
            <w:vMerge/>
            <w:textDirection w:val="tbRl"/>
            <w:vAlign w:val="center"/>
          </w:tcPr>
          <w:p w14:paraId="42635E1C" w14:textId="77777777" w:rsidR="00666FDF" w:rsidRDefault="00666FDF" w:rsidP="00BD27B1">
            <w:pPr>
              <w:pStyle w:val="NoSpacing"/>
              <w:ind w:left="113" w:right="113"/>
              <w:jc w:val="center"/>
              <w:rPr>
                <w:b/>
                <w:u w:val="single"/>
              </w:rPr>
            </w:pPr>
          </w:p>
        </w:tc>
        <w:tc>
          <w:tcPr>
            <w:tcW w:w="1842" w:type="dxa"/>
            <w:vAlign w:val="bottom"/>
          </w:tcPr>
          <w:p w14:paraId="791E1EC0" w14:textId="49B8577E" w:rsidR="00666FDF" w:rsidRPr="00666FDF" w:rsidRDefault="00A23781" w:rsidP="00A23781">
            <w:pPr>
              <w:pStyle w:val="NoSpacing"/>
              <w:ind w:left="113" w:right="113"/>
              <w:jc w:val="center"/>
            </w:pPr>
            <w:r>
              <w:t>dis_date</w:t>
            </w:r>
            <w:r w:rsidRPr="0001240F">
              <w:rPr>
                <w:vertAlign w:val="superscript"/>
              </w:rPr>
              <w:t>1</w:t>
            </w:r>
          </w:p>
        </w:tc>
        <w:tc>
          <w:tcPr>
            <w:tcW w:w="1276" w:type="dxa"/>
            <w:vAlign w:val="center"/>
          </w:tcPr>
          <w:p w14:paraId="138EB000" w14:textId="37B65321"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disdate</w:t>
            </w:r>
            <w:proofErr w:type="spellEnd"/>
          </w:p>
        </w:tc>
        <w:tc>
          <w:tcPr>
            <w:tcW w:w="2835" w:type="dxa"/>
            <w:vAlign w:val="center"/>
          </w:tcPr>
          <w:p w14:paraId="6402BA67" w14:textId="50D6CFAE"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discharge_date</w:t>
            </w:r>
            <w:proofErr w:type="spellEnd"/>
          </w:p>
        </w:tc>
        <w:tc>
          <w:tcPr>
            <w:tcW w:w="2424" w:type="dxa"/>
            <w:vAlign w:val="center"/>
          </w:tcPr>
          <w:p w14:paraId="57B5E96B" w14:textId="3F806889"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disch_dt</w:t>
            </w:r>
            <w:proofErr w:type="spellEnd"/>
          </w:p>
        </w:tc>
      </w:tr>
      <w:tr w:rsidR="00666FDF" w14:paraId="5558E106" w14:textId="77777777" w:rsidTr="00577F8D">
        <w:tc>
          <w:tcPr>
            <w:tcW w:w="1101" w:type="dxa"/>
            <w:vMerge/>
            <w:textDirection w:val="tbRl"/>
            <w:vAlign w:val="center"/>
          </w:tcPr>
          <w:p w14:paraId="40B79B08" w14:textId="77777777" w:rsidR="00666FDF" w:rsidRDefault="00666FDF" w:rsidP="00BD27B1">
            <w:pPr>
              <w:pStyle w:val="NoSpacing"/>
              <w:ind w:left="113" w:right="113"/>
              <w:jc w:val="center"/>
              <w:rPr>
                <w:b/>
                <w:u w:val="single"/>
              </w:rPr>
            </w:pPr>
          </w:p>
        </w:tc>
        <w:tc>
          <w:tcPr>
            <w:tcW w:w="1842" w:type="dxa"/>
            <w:vAlign w:val="bottom"/>
          </w:tcPr>
          <w:p w14:paraId="5EC34A5C" w14:textId="38FA673E" w:rsidR="00666FDF" w:rsidRPr="00666FDF" w:rsidRDefault="00DF205C" w:rsidP="00A23781">
            <w:pPr>
              <w:pStyle w:val="NoSpacing"/>
              <w:ind w:left="113" w:right="113"/>
              <w:jc w:val="center"/>
            </w:pPr>
            <w:r>
              <w:t>dis_dest</w:t>
            </w:r>
            <w:r w:rsidR="00A23781" w:rsidRPr="0001240F">
              <w:rPr>
                <w:vertAlign w:val="superscript"/>
              </w:rPr>
              <w:t>2</w:t>
            </w:r>
          </w:p>
        </w:tc>
        <w:tc>
          <w:tcPr>
            <w:tcW w:w="1276" w:type="dxa"/>
            <w:vAlign w:val="center"/>
          </w:tcPr>
          <w:p w14:paraId="05089E11" w14:textId="63C39D64"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disdest</w:t>
            </w:r>
            <w:proofErr w:type="spellEnd"/>
          </w:p>
        </w:tc>
        <w:tc>
          <w:tcPr>
            <w:tcW w:w="2835" w:type="dxa"/>
            <w:vAlign w:val="center"/>
          </w:tcPr>
          <w:p w14:paraId="36A4A235" w14:textId="27F6FD5E"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discharge_transfer_to</w:t>
            </w:r>
            <w:proofErr w:type="spellEnd"/>
          </w:p>
        </w:tc>
        <w:tc>
          <w:tcPr>
            <w:tcW w:w="2424" w:type="dxa"/>
            <w:vAlign w:val="center"/>
          </w:tcPr>
          <w:p w14:paraId="64EF8F49" w14:textId="6DB2D008"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disch_destination_cd</w:t>
            </w:r>
            <w:proofErr w:type="spellEnd"/>
          </w:p>
        </w:tc>
      </w:tr>
      <w:tr w:rsidR="00666FDF" w14:paraId="4396498D" w14:textId="77777777" w:rsidTr="00577F8D">
        <w:tc>
          <w:tcPr>
            <w:tcW w:w="1101" w:type="dxa"/>
            <w:vMerge/>
            <w:textDirection w:val="tbRl"/>
            <w:vAlign w:val="center"/>
          </w:tcPr>
          <w:p w14:paraId="2A473585" w14:textId="77777777" w:rsidR="00666FDF" w:rsidRDefault="00666FDF" w:rsidP="00BD27B1">
            <w:pPr>
              <w:pStyle w:val="NoSpacing"/>
              <w:ind w:left="113" w:right="113"/>
              <w:jc w:val="center"/>
              <w:rPr>
                <w:b/>
                <w:u w:val="single"/>
              </w:rPr>
            </w:pPr>
          </w:p>
        </w:tc>
        <w:tc>
          <w:tcPr>
            <w:tcW w:w="1842" w:type="dxa"/>
            <w:vAlign w:val="bottom"/>
          </w:tcPr>
          <w:p w14:paraId="08DD0078" w14:textId="29703619" w:rsidR="00666FDF" w:rsidRPr="00666FDF" w:rsidRDefault="00666FDF" w:rsidP="00A23781">
            <w:pPr>
              <w:pStyle w:val="NoSpacing"/>
              <w:ind w:left="113" w:right="113"/>
              <w:jc w:val="center"/>
            </w:pPr>
            <w:r>
              <w:t>dis_meth</w:t>
            </w:r>
            <w:r w:rsidR="00A23781" w:rsidRPr="0001240F">
              <w:rPr>
                <w:vertAlign w:val="superscript"/>
              </w:rPr>
              <w:t>2</w:t>
            </w:r>
          </w:p>
        </w:tc>
        <w:tc>
          <w:tcPr>
            <w:tcW w:w="1276" w:type="dxa"/>
            <w:vAlign w:val="center"/>
          </w:tcPr>
          <w:p w14:paraId="2167A435" w14:textId="3E3CDBE7"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dismeth</w:t>
            </w:r>
            <w:proofErr w:type="spellEnd"/>
          </w:p>
        </w:tc>
        <w:tc>
          <w:tcPr>
            <w:tcW w:w="2835" w:type="dxa"/>
            <w:vAlign w:val="center"/>
          </w:tcPr>
          <w:p w14:paraId="201349F7" w14:textId="5D933402"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discharge_type</w:t>
            </w:r>
            <w:proofErr w:type="spellEnd"/>
          </w:p>
        </w:tc>
        <w:tc>
          <w:tcPr>
            <w:tcW w:w="2424" w:type="dxa"/>
            <w:vAlign w:val="center"/>
          </w:tcPr>
          <w:p w14:paraId="1F0951DD" w14:textId="54966D92"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disch_mthd_cd</w:t>
            </w:r>
            <w:proofErr w:type="spellEnd"/>
          </w:p>
        </w:tc>
      </w:tr>
      <w:tr w:rsidR="00666FDF" w14:paraId="050B69A1" w14:textId="77777777" w:rsidTr="00577F8D">
        <w:tc>
          <w:tcPr>
            <w:tcW w:w="1101" w:type="dxa"/>
            <w:vMerge/>
            <w:textDirection w:val="tbRl"/>
            <w:vAlign w:val="center"/>
          </w:tcPr>
          <w:p w14:paraId="77907DE3" w14:textId="77777777" w:rsidR="00666FDF" w:rsidRDefault="00666FDF" w:rsidP="00BD27B1">
            <w:pPr>
              <w:pStyle w:val="NoSpacing"/>
              <w:ind w:left="113" w:right="113"/>
              <w:jc w:val="center"/>
              <w:rPr>
                <w:b/>
                <w:u w:val="single"/>
              </w:rPr>
            </w:pPr>
          </w:p>
        </w:tc>
        <w:tc>
          <w:tcPr>
            <w:tcW w:w="1842" w:type="dxa"/>
            <w:vAlign w:val="bottom"/>
          </w:tcPr>
          <w:p w14:paraId="7D3A5B3B" w14:textId="40015916" w:rsidR="00666FDF" w:rsidRPr="00666FDF" w:rsidRDefault="00666FDF" w:rsidP="00A23781">
            <w:pPr>
              <w:pStyle w:val="NoSpacing"/>
              <w:ind w:left="113" w:right="113"/>
              <w:jc w:val="center"/>
            </w:pPr>
            <w:r>
              <w:t>epi_start</w:t>
            </w:r>
            <w:r w:rsidR="00A23781" w:rsidRPr="0001240F">
              <w:rPr>
                <w:vertAlign w:val="superscript"/>
              </w:rPr>
              <w:t>1</w:t>
            </w:r>
          </w:p>
        </w:tc>
        <w:tc>
          <w:tcPr>
            <w:tcW w:w="1276" w:type="dxa"/>
            <w:vAlign w:val="center"/>
          </w:tcPr>
          <w:p w14:paraId="42CAEAAF" w14:textId="3449AC7A"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epistart</w:t>
            </w:r>
            <w:proofErr w:type="spellEnd"/>
          </w:p>
        </w:tc>
        <w:tc>
          <w:tcPr>
            <w:tcW w:w="2835" w:type="dxa"/>
            <w:shd w:val="clear" w:color="auto" w:fill="D9D9D9" w:themeFill="background1" w:themeFillShade="D9"/>
            <w:vAlign w:val="center"/>
          </w:tcPr>
          <w:p w14:paraId="7D9A05F9" w14:textId="77777777" w:rsidR="00666FDF" w:rsidRPr="00BD27B1" w:rsidRDefault="00666FDF" w:rsidP="00BD27B1">
            <w:pPr>
              <w:pStyle w:val="NoSpacing"/>
              <w:jc w:val="center"/>
              <w:rPr>
                <w:b/>
                <w:sz w:val="20"/>
                <w:szCs w:val="20"/>
                <w:u w:val="single"/>
              </w:rPr>
            </w:pPr>
          </w:p>
        </w:tc>
        <w:tc>
          <w:tcPr>
            <w:tcW w:w="2424" w:type="dxa"/>
            <w:vAlign w:val="center"/>
          </w:tcPr>
          <w:p w14:paraId="18E42FD3" w14:textId="6BF699A5"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epi_str_dt</w:t>
            </w:r>
            <w:proofErr w:type="spellEnd"/>
          </w:p>
        </w:tc>
      </w:tr>
      <w:tr w:rsidR="00666FDF" w14:paraId="1B1CD8BE" w14:textId="77777777" w:rsidTr="00577F8D">
        <w:tc>
          <w:tcPr>
            <w:tcW w:w="1101" w:type="dxa"/>
            <w:vMerge/>
            <w:textDirection w:val="tbRl"/>
            <w:vAlign w:val="center"/>
          </w:tcPr>
          <w:p w14:paraId="21DFECE7" w14:textId="77777777" w:rsidR="00666FDF" w:rsidRDefault="00666FDF" w:rsidP="00BD27B1">
            <w:pPr>
              <w:pStyle w:val="NoSpacing"/>
              <w:ind w:left="113" w:right="113"/>
              <w:jc w:val="center"/>
              <w:rPr>
                <w:b/>
                <w:u w:val="single"/>
              </w:rPr>
            </w:pPr>
          </w:p>
        </w:tc>
        <w:tc>
          <w:tcPr>
            <w:tcW w:w="1842" w:type="dxa"/>
            <w:vAlign w:val="bottom"/>
          </w:tcPr>
          <w:p w14:paraId="2690223A" w14:textId="0EC37271" w:rsidR="00666FDF" w:rsidRPr="00666FDF" w:rsidRDefault="00666FDF" w:rsidP="00A23781">
            <w:pPr>
              <w:pStyle w:val="NoSpacing"/>
              <w:ind w:left="113" w:right="113"/>
              <w:jc w:val="center"/>
            </w:pPr>
            <w:r>
              <w:t>epi_end</w:t>
            </w:r>
            <w:r w:rsidR="00A23781" w:rsidRPr="0001240F">
              <w:rPr>
                <w:vertAlign w:val="superscript"/>
              </w:rPr>
              <w:t>1</w:t>
            </w:r>
          </w:p>
        </w:tc>
        <w:tc>
          <w:tcPr>
            <w:tcW w:w="1276" w:type="dxa"/>
            <w:vAlign w:val="center"/>
          </w:tcPr>
          <w:p w14:paraId="027DC96A" w14:textId="56D5A402"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epiend</w:t>
            </w:r>
            <w:proofErr w:type="spellEnd"/>
          </w:p>
        </w:tc>
        <w:tc>
          <w:tcPr>
            <w:tcW w:w="2835" w:type="dxa"/>
            <w:shd w:val="clear" w:color="auto" w:fill="D9D9D9" w:themeFill="background1" w:themeFillShade="D9"/>
            <w:vAlign w:val="center"/>
          </w:tcPr>
          <w:p w14:paraId="2EA49FC8" w14:textId="77777777" w:rsidR="00666FDF" w:rsidRPr="00BD27B1" w:rsidRDefault="00666FDF" w:rsidP="00BD27B1">
            <w:pPr>
              <w:pStyle w:val="NoSpacing"/>
              <w:jc w:val="center"/>
              <w:rPr>
                <w:b/>
                <w:sz w:val="20"/>
                <w:szCs w:val="20"/>
                <w:u w:val="single"/>
              </w:rPr>
            </w:pPr>
          </w:p>
        </w:tc>
        <w:tc>
          <w:tcPr>
            <w:tcW w:w="2424" w:type="dxa"/>
            <w:vAlign w:val="center"/>
          </w:tcPr>
          <w:p w14:paraId="7C927EF1" w14:textId="0C6ECAC3"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epi_end_dt</w:t>
            </w:r>
            <w:proofErr w:type="spellEnd"/>
          </w:p>
        </w:tc>
      </w:tr>
      <w:tr w:rsidR="00666FDF" w14:paraId="3D0CBF63" w14:textId="77777777" w:rsidTr="00577F8D">
        <w:tc>
          <w:tcPr>
            <w:tcW w:w="1101" w:type="dxa"/>
            <w:vMerge/>
            <w:textDirection w:val="tbRl"/>
            <w:vAlign w:val="center"/>
          </w:tcPr>
          <w:p w14:paraId="3CB3A7CC" w14:textId="77777777" w:rsidR="00666FDF" w:rsidRDefault="00666FDF" w:rsidP="00BD27B1">
            <w:pPr>
              <w:pStyle w:val="NoSpacing"/>
              <w:ind w:left="113" w:right="113"/>
              <w:jc w:val="center"/>
              <w:rPr>
                <w:b/>
                <w:u w:val="single"/>
              </w:rPr>
            </w:pPr>
          </w:p>
        </w:tc>
        <w:tc>
          <w:tcPr>
            <w:tcW w:w="1842" w:type="dxa"/>
            <w:vAlign w:val="bottom"/>
          </w:tcPr>
          <w:p w14:paraId="53390E7B" w14:textId="7B0A1D88" w:rsidR="00666FDF" w:rsidRPr="00666FDF" w:rsidRDefault="00666FDF" w:rsidP="00A23781">
            <w:pPr>
              <w:pStyle w:val="NoSpacing"/>
              <w:ind w:left="113" w:right="113"/>
              <w:jc w:val="center"/>
            </w:pPr>
            <w:r>
              <w:t>epi_order</w:t>
            </w:r>
            <w:r w:rsidR="00A23781" w:rsidRPr="0001240F">
              <w:rPr>
                <w:vertAlign w:val="superscript"/>
              </w:rPr>
              <w:t>1</w:t>
            </w:r>
          </w:p>
        </w:tc>
        <w:tc>
          <w:tcPr>
            <w:tcW w:w="1276" w:type="dxa"/>
            <w:vAlign w:val="center"/>
          </w:tcPr>
          <w:p w14:paraId="4EED6890" w14:textId="2AB1CC8F"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epiorder</w:t>
            </w:r>
            <w:proofErr w:type="spellEnd"/>
          </w:p>
        </w:tc>
        <w:tc>
          <w:tcPr>
            <w:tcW w:w="2835" w:type="dxa"/>
            <w:shd w:val="clear" w:color="auto" w:fill="D9D9D9" w:themeFill="background1" w:themeFillShade="D9"/>
            <w:vAlign w:val="center"/>
          </w:tcPr>
          <w:p w14:paraId="04D13B07" w14:textId="77777777" w:rsidR="00666FDF" w:rsidRPr="00BD27B1" w:rsidRDefault="00666FDF" w:rsidP="00BD27B1">
            <w:pPr>
              <w:pStyle w:val="NoSpacing"/>
              <w:jc w:val="center"/>
              <w:rPr>
                <w:b/>
                <w:sz w:val="20"/>
                <w:szCs w:val="20"/>
                <w:u w:val="single"/>
              </w:rPr>
            </w:pPr>
          </w:p>
        </w:tc>
        <w:tc>
          <w:tcPr>
            <w:tcW w:w="2424" w:type="dxa"/>
            <w:vAlign w:val="center"/>
          </w:tcPr>
          <w:p w14:paraId="69D21F6E" w14:textId="74862199"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epi_num</w:t>
            </w:r>
            <w:proofErr w:type="spellEnd"/>
          </w:p>
        </w:tc>
      </w:tr>
      <w:tr w:rsidR="00666FDF" w14:paraId="25BA7DB4" w14:textId="77777777" w:rsidTr="00577F8D">
        <w:tc>
          <w:tcPr>
            <w:tcW w:w="1101" w:type="dxa"/>
            <w:vMerge/>
            <w:textDirection w:val="tbRl"/>
            <w:vAlign w:val="center"/>
          </w:tcPr>
          <w:p w14:paraId="2D171F8B" w14:textId="77777777" w:rsidR="00666FDF" w:rsidRDefault="00666FDF" w:rsidP="00BD27B1">
            <w:pPr>
              <w:pStyle w:val="NoSpacing"/>
              <w:ind w:left="113" w:right="113"/>
              <w:jc w:val="center"/>
              <w:rPr>
                <w:b/>
                <w:u w:val="single"/>
              </w:rPr>
            </w:pPr>
          </w:p>
        </w:tc>
        <w:tc>
          <w:tcPr>
            <w:tcW w:w="1842" w:type="dxa"/>
            <w:vAlign w:val="bottom"/>
          </w:tcPr>
          <w:p w14:paraId="6B21E485" w14:textId="50D8271C" w:rsidR="00666FDF" w:rsidRPr="00666FDF" w:rsidRDefault="00666FDF" w:rsidP="00A23781">
            <w:pPr>
              <w:pStyle w:val="NoSpacing"/>
              <w:ind w:left="113" w:right="113"/>
              <w:jc w:val="center"/>
            </w:pPr>
            <w:r>
              <w:t>epi_type</w:t>
            </w:r>
            <w:r w:rsidR="00A23781" w:rsidRPr="0001240F">
              <w:rPr>
                <w:vertAlign w:val="superscript"/>
              </w:rPr>
              <w:t>2</w:t>
            </w:r>
          </w:p>
        </w:tc>
        <w:tc>
          <w:tcPr>
            <w:tcW w:w="1276" w:type="dxa"/>
            <w:vAlign w:val="center"/>
          </w:tcPr>
          <w:p w14:paraId="0E48B808" w14:textId="083EC680"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epitype</w:t>
            </w:r>
            <w:proofErr w:type="spellEnd"/>
          </w:p>
        </w:tc>
        <w:tc>
          <w:tcPr>
            <w:tcW w:w="2835" w:type="dxa"/>
            <w:shd w:val="clear" w:color="auto" w:fill="D9D9D9" w:themeFill="background1" w:themeFillShade="D9"/>
            <w:vAlign w:val="center"/>
          </w:tcPr>
          <w:p w14:paraId="16C8CC2C" w14:textId="77777777" w:rsidR="00666FDF" w:rsidRPr="00BD27B1" w:rsidRDefault="00666FDF" w:rsidP="00BD27B1">
            <w:pPr>
              <w:pStyle w:val="NoSpacing"/>
              <w:jc w:val="center"/>
              <w:rPr>
                <w:b/>
                <w:sz w:val="20"/>
                <w:szCs w:val="20"/>
                <w:u w:val="single"/>
              </w:rPr>
            </w:pPr>
          </w:p>
        </w:tc>
        <w:tc>
          <w:tcPr>
            <w:tcW w:w="2424" w:type="dxa"/>
            <w:shd w:val="clear" w:color="auto" w:fill="D9D9D9" w:themeFill="background1" w:themeFillShade="D9"/>
            <w:vAlign w:val="center"/>
          </w:tcPr>
          <w:p w14:paraId="304D6F7B" w14:textId="77777777" w:rsidR="00666FDF" w:rsidRPr="00BD27B1" w:rsidRDefault="00666FDF" w:rsidP="00BD27B1">
            <w:pPr>
              <w:pStyle w:val="NoSpacing"/>
              <w:jc w:val="center"/>
              <w:rPr>
                <w:b/>
                <w:sz w:val="20"/>
                <w:szCs w:val="20"/>
                <w:u w:val="single"/>
              </w:rPr>
            </w:pPr>
          </w:p>
        </w:tc>
      </w:tr>
      <w:tr w:rsidR="00666FDF" w14:paraId="255714F4" w14:textId="77777777" w:rsidTr="00577F8D">
        <w:tc>
          <w:tcPr>
            <w:tcW w:w="1101" w:type="dxa"/>
            <w:vMerge/>
            <w:textDirection w:val="tbRl"/>
            <w:vAlign w:val="center"/>
          </w:tcPr>
          <w:p w14:paraId="7E7528D2" w14:textId="77777777" w:rsidR="00666FDF" w:rsidRDefault="00666FDF" w:rsidP="00BD27B1">
            <w:pPr>
              <w:pStyle w:val="NoSpacing"/>
              <w:ind w:left="113" w:right="113"/>
              <w:jc w:val="center"/>
              <w:rPr>
                <w:b/>
                <w:u w:val="single"/>
              </w:rPr>
            </w:pPr>
          </w:p>
        </w:tc>
        <w:tc>
          <w:tcPr>
            <w:tcW w:w="1842" w:type="dxa"/>
            <w:vAlign w:val="bottom"/>
          </w:tcPr>
          <w:p w14:paraId="6FABF699" w14:textId="4553C720" w:rsidR="00666FDF" w:rsidRPr="00666FDF" w:rsidRDefault="00666FDF" w:rsidP="00A23781">
            <w:pPr>
              <w:pStyle w:val="NoSpacing"/>
              <w:ind w:right="113"/>
              <w:jc w:val="center"/>
            </w:pPr>
            <w:proofErr w:type="spellStart"/>
            <w:r>
              <w:t>patient_type</w:t>
            </w:r>
            <w:proofErr w:type="spellEnd"/>
          </w:p>
        </w:tc>
        <w:tc>
          <w:tcPr>
            <w:tcW w:w="1276" w:type="dxa"/>
            <w:vAlign w:val="center"/>
          </w:tcPr>
          <w:p w14:paraId="33204498" w14:textId="6B51DB24"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classpat</w:t>
            </w:r>
            <w:proofErr w:type="spellEnd"/>
          </w:p>
        </w:tc>
        <w:tc>
          <w:tcPr>
            <w:tcW w:w="2835" w:type="dxa"/>
            <w:vAlign w:val="center"/>
          </w:tcPr>
          <w:p w14:paraId="77F43C2E" w14:textId="6D3B87F9"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admission_type</w:t>
            </w:r>
            <w:proofErr w:type="spellEnd"/>
          </w:p>
        </w:tc>
        <w:tc>
          <w:tcPr>
            <w:tcW w:w="2424" w:type="dxa"/>
            <w:vAlign w:val="center"/>
          </w:tcPr>
          <w:p w14:paraId="6FB59D0E" w14:textId="627BE250"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pat_class_cd</w:t>
            </w:r>
            <w:proofErr w:type="spellEnd"/>
          </w:p>
        </w:tc>
      </w:tr>
      <w:tr w:rsidR="00666FDF" w14:paraId="32B67773" w14:textId="77777777" w:rsidTr="00577F8D">
        <w:tc>
          <w:tcPr>
            <w:tcW w:w="1101" w:type="dxa"/>
            <w:vMerge/>
            <w:textDirection w:val="tbRl"/>
            <w:vAlign w:val="center"/>
          </w:tcPr>
          <w:p w14:paraId="05AE8094" w14:textId="77777777" w:rsidR="00666FDF" w:rsidRDefault="00666FDF" w:rsidP="00BD27B1">
            <w:pPr>
              <w:pStyle w:val="NoSpacing"/>
              <w:ind w:left="113" w:right="113"/>
              <w:jc w:val="center"/>
              <w:rPr>
                <w:b/>
                <w:u w:val="single"/>
              </w:rPr>
            </w:pPr>
          </w:p>
        </w:tc>
        <w:tc>
          <w:tcPr>
            <w:tcW w:w="1842" w:type="dxa"/>
            <w:vAlign w:val="bottom"/>
          </w:tcPr>
          <w:p w14:paraId="12875E06" w14:textId="2965CE1A" w:rsidR="00666FDF" w:rsidRPr="00666FDF" w:rsidRDefault="001E155C" w:rsidP="00A23781">
            <w:pPr>
              <w:pStyle w:val="NoSpacing"/>
              <w:jc w:val="center"/>
            </w:pPr>
            <w:proofErr w:type="spellStart"/>
            <w:r>
              <w:t>ready_date</w:t>
            </w:r>
            <w:proofErr w:type="spellEnd"/>
          </w:p>
        </w:tc>
        <w:tc>
          <w:tcPr>
            <w:tcW w:w="1276" w:type="dxa"/>
            <w:vAlign w:val="center"/>
          </w:tcPr>
          <w:p w14:paraId="6E2EBEC1" w14:textId="32FAC82F" w:rsidR="00666FDF" w:rsidRPr="00BD27B1" w:rsidRDefault="00666FDF" w:rsidP="00BD27B1">
            <w:pPr>
              <w:pStyle w:val="NoSpacing"/>
              <w:jc w:val="center"/>
              <w:rPr>
                <w:rFonts w:ascii="Calibri" w:hAnsi="Calibri"/>
                <w:color w:val="000000"/>
                <w:sz w:val="20"/>
                <w:szCs w:val="20"/>
              </w:rPr>
            </w:pPr>
            <w:proofErr w:type="spellStart"/>
            <w:r w:rsidRPr="00BD27B1">
              <w:rPr>
                <w:rFonts w:ascii="Calibri" w:hAnsi="Calibri"/>
                <w:color w:val="000000"/>
                <w:sz w:val="20"/>
                <w:szCs w:val="20"/>
              </w:rPr>
              <w:t>disreadydate</w:t>
            </w:r>
            <w:proofErr w:type="spellEnd"/>
          </w:p>
        </w:tc>
        <w:tc>
          <w:tcPr>
            <w:tcW w:w="2835" w:type="dxa"/>
            <w:vAlign w:val="center"/>
          </w:tcPr>
          <w:p w14:paraId="1258E342" w14:textId="0A70BB96" w:rsidR="00666FDF" w:rsidRPr="00BD27B1" w:rsidRDefault="00492DC0" w:rsidP="00BD27B1">
            <w:pPr>
              <w:pStyle w:val="NoSpacing"/>
              <w:jc w:val="center"/>
              <w:rPr>
                <w:rFonts w:ascii="Calibri" w:hAnsi="Calibri"/>
                <w:color w:val="000000"/>
                <w:sz w:val="20"/>
                <w:szCs w:val="20"/>
              </w:rPr>
            </w:pPr>
            <w:proofErr w:type="spellStart"/>
            <w:r w:rsidRPr="00BD27B1">
              <w:rPr>
                <w:rFonts w:ascii="Calibri" w:hAnsi="Calibri"/>
                <w:color w:val="000000"/>
                <w:sz w:val="20"/>
                <w:szCs w:val="20"/>
              </w:rPr>
              <w:t>ready_for_discharge_date</w:t>
            </w:r>
            <w:proofErr w:type="spellEnd"/>
          </w:p>
        </w:tc>
        <w:tc>
          <w:tcPr>
            <w:tcW w:w="2424" w:type="dxa"/>
            <w:shd w:val="clear" w:color="auto" w:fill="D9D9D9" w:themeFill="background1" w:themeFillShade="D9"/>
            <w:vAlign w:val="center"/>
          </w:tcPr>
          <w:p w14:paraId="77131917" w14:textId="77777777" w:rsidR="00666FDF" w:rsidRPr="00BD27B1" w:rsidRDefault="00666FDF" w:rsidP="00BD27B1">
            <w:pPr>
              <w:pStyle w:val="NoSpacing"/>
              <w:jc w:val="center"/>
              <w:rPr>
                <w:rFonts w:ascii="Calibri" w:hAnsi="Calibri"/>
                <w:color w:val="000000"/>
                <w:sz w:val="20"/>
                <w:szCs w:val="20"/>
              </w:rPr>
            </w:pPr>
          </w:p>
        </w:tc>
      </w:tr>
      <w:tr w:rsidR="00BD27B1" w14:paraId="25B430EF" w14:textId="77777777" w:rsidTr="00577F8D">
        <w:tc>
          <w:tcPr>
            <w:tcW w:w="1101" w:type="dxa"/>
            <w:vMerge w:val="restart"/>
            <w:textDirection w:val="tbRl"/>
            <w:vAlign w:val="center"/>
          </w:tcPr>
          <w:p w14:paraId="2EBA8A5A" w14:textId="77777777" w:rsidR="005A0391" w:rsidRDefault="005A0391" w:rsidP="00BD27B1">
            <w:pPr>
              <w:pStyle w:val="NoSpacing"/>
              <w:ind w:left="113" w:right="113"/>
              <w:jc w:val="center"/>
            </w:pPr>
            <w:r>
              <w:t>Diagnosis</w:t>
            </w:r>
          </w:p>
          <w:p w14:paraId="199C3FE4" w14:textId="455A6F18" w:rsidR="005A0391" w:rsidRDefault="005A0391" w:rsidP="00BD27B1">
            <w:pPr>
              <w:pStyle w:val="NoSpacing"/>
              <w:ind w:left="113" w:right="113"/>
              <w:jc w:val="center"/>
              <w:rPr>
                <w:b/>
                <w:u w:val="single"/>
              </w:rPr>
            </w:pPr>
            <w:r>
              <w:t>Classification</w:t>
            </w:r>
          </w:p>
        </w:tc>
        <w:tc>
          <w:tcPr>
            <w:tcW w:w="1842" w:type="dxa"/>
            <w:vAlign w:val="bottom"/>
          </w:tcPr>
          <w:p w14:paraId="1A4BCF9E" w14:textId="37B46984" w:rsidR="005A0391" w:rsidRPr="00666FDF" w:rsidRDefault="00D17485" w:rsidP="00A23781">
            <w:pPr>
              <w:pStyle w:val="NoSpacing"/>
              <w:jc w:val="center"/>
            </w:pPr>
            <w:r>
              <w:t>diag_01-diag_20</w:t>
            </w:r>
            <w:r w:rsidR="00A23781" w:rsidRPr="0001240F">
              <w:rPr>
                <w:vertAlign w:val="superscript"/>
              </w:rPr>
              <w:t>1</w:t>
            </w:r>
          </w:p>
        </w:tc>
        <w:tc>
          <w:tcPr>
            <w:tcW w:w="1276" w:type="dxa"/>
            <w:vAlign w:val="center"/>
          </w:tcPr>
          <w:p w14:paraId="6968A64E" w14:textId="4BDD4CF3" w:rsidR="005A0391" w:rsidRPr="00BD27B1" w:rsidRDefault="005A0391" w:rsidP="00BD27B1">
            <w:pPr>
              <w:pStyle w:val="NoSpacing"/>
              <w:jc w:val="center"/>
              <w:rPr>
                <w:b/>
                <w:sz w:val="20"/>
                <w:szCs w:val="20"/>
                <w:u w:val="single"/>
              </w:rPr>
            </w:pPr>
            <w:r w:rsidRPr="00BD27B1">
              <w:rPr>
                <w:rFonts w:ascii="Calibri" w:hAnsi="Calibri"/>
                <w:color w:val="000000"/>
                <w:sz w:val="20"/>
                <w:szCs w:val="20"/>
              </w:rPr>
              <w:t>diag_01-diag_2</w:t>
            </w:r>
            <w:r w:rsidR="00D17485">
              <w:rPr>
                <w:rFonts w:ascii="Calibri" w:hAnsi="Calibri"/>
                <w:color w:val="000000"/>
                <w:sz w:val="20"/>
                <w:szCs w:val="20"/>
              </w:rPr>
              <w:t>0</w:t>
            </w:r>
          </w:p>
        </w:tc>
        <w:tc>
          <w:tcPr>
            <w:tcW w:w="2835" w:type="dxa"/>
            <w:vAlign w:val="center"/>
          </w:tcPr>
          <w:p w14:paraId="31B2AD8B" w14:textId="1F421E66" w:rsidR="00BD27B1" w:rsidRDefault="00492DC0" w:rsidP="00BD27B1">
            <w:pPr>
              <w:pStyle w:val="NoSpacing"/>
              <w:jc w:val="center"/>
              <w:rPr>
                <w:rFonts w:ascii="Calibri" w:hAnsi="Calibri"/>
                <w:color w:val="000000"/>
                <w:sz w:val="20"/>
                <w:szCs w:val="20"/>
              </w:rPr>
            </w:pPr>
            <w:proofErr w:type="spellStart"/>
            <w:r>
              <w:rPr>
                <w:rFonts w:ascii="Calibri" w:hAnsi="Calibri"/>
                <w:color w:val="000000"/>
                <w:sz w:val="20"/>
                <w:szCs w:val="20"/>
              </w:rPr>
              <w:t>main_condition</w:t>
            </w:r>
            <w:proofErr w:type="spellEnd"/>
          </w:p>
          <w:p w14:paraId="6EC0EA3B" w14:textId="4F4A29F8" w:rsidR="005A0391" w:rsidRPr="00BD27B1" w:rsidRDefault="00492DC0" w:rsidP="00BD27B1">
            <w:pPr>
              <w:pStyle w:val="NoSpacing"/>
              <w:jc w:val="center"/>
              <w:rPr>
                <w:b/>
                <w:sz w:val="20"/>
                <w:szCs w:val="20"/>
                <w:u w:val="single"/>
              </w:rPr>
            </w:pPr>
            <w:r w:rsidRPr="00BD27B1">
              <w:rPr>
                <w:rFonts w:ascii="Calibri" w:hAnsi="Calibri"/>
                <w:color w:val="000000"/>
                <w:sz w:val="20"/>
                <w:szCs w:val="20"/>
              </w:rPr>
              <w:t>other_condition_1-other_condition_5</w:t>
            </w:r>
          </w:p>
        </w:tc>
        <w:tc>
          <w:tcPr>
            <w:tcW w:w="2424" w:type="dxa"/>
            <w:vAlign w:val="center"/>
          </w:tcPr>
          <w:p w14:paraId="79E6C8D9" w14:textId="04FBC015" w:rsidR="005A0391"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diag-diag_n</w:t>
            </w:r>
            <w:proofErr w:type="spellEnd"/>
          </w:p>
        </w:tc>
      </w:tr>
      <w:tr w:rsidR="00BD27B1" w14:paraId="194D0911" w14:textId="77777777" w:rsidTr="00577F8D">
        <w:tc>
          <w:tcPr>
            <w:tcW w:w="1101" w:type="dxa"/>
            <w:vMerge/>
            <w:textDirection w:val="tbRl"/>
            <w:vAlign w:val="center"/>
          </w:tcPr>
          <w:p w14:paraId="0CC5FD4B" w14:textId="77777777" w:rsidR="005A0391" w:rsidRDefault="005A0391" w:rsidP="00BD27B1">
            <w:pPr>
              <w:pStyle w:val="NoSpacing"/>
              <w:ind w:left="113" w:right="113"/>
              <w:jc w:val="center"/>
              <w:rPr>
                <w:b/>
                <w:u w:val="single"/>
              </w:rPr>
            </w:pPr>
          </w:p>
        </w:tc>
        <w:tc>
          <w:tcPr>
            <w:tcW w:w="1842" w:type="dxa"/>
            <w:vAlign w:val="bottom"/>
          </w:tcPr>
          <w:p w14:paraId="2292F021" w14:textId="2020F321" w:rsidR="005A0391" w:rsidRPr="00666FDF" w:rsidRDefault="001E155C" w:rsidP="00A23781">
            <w:pPr>
              <w:pStyle w:val="NoSpacing"/>
              <w:jc w:val="center"/>
            </w:pPr>
            <w:r>
              <w:t>mental_status</w:t>
            </w:r>
            <w:r w:rsidR="00A23781" w:rsidRPr="0001240F">
              <w:rPr>
                <w:vertAlign w:val="superscript"/>
              </w:rPr>
              <w:t>1</w:t>
            </w:r>
          </w:p>
        </w:tc>
        <w:tc>
          <w:tcPr>
            <w:tcW w:w="1276" w:type="dxa"/>
            <w:vAlign w:val="center"/>
          </w:tcPr>
          <w:p w14:paraId="7A12D935" w14:textId="48167CFF" w:rsidR="005A0391" w:rsidRPr="00BD27B1" w:rsidRDefault="00B50C9D" w:rsidP="00BD27B1">
            <w:pPr>
              <w:pStyle w:val="NoSpacing"/>
              <w:jc w:val="center"/>
              <w:rPr>
                <w:b/>
                <w:sz w:val="20"/>
                <w:szCs w:val="20"/>
                <w:u w:val="single"/>
              </w:rPr>
            </w:pPr>
            <w:r>
              <w:rPr>
                <w:rFonts w:ascii="Calibri" w:hAnsi="Calibri"/>
                <w:color w:val="000000"/>
                <w:sz w:val="20"/>
                <w:szCs w:val="20"/>
              </w:rPr>
              <w:t>X</w:t>
            </w:r>
          </w:p>
        </w:tc>
        <w:tc>
          <w:tcPr>
            <w:tcW w:w="2835" w:type="dxa"/>
            <w:shd w:val="clear" w:color="auto" w:fill="D9D9D9" w:themeFill="background1" w:themeFillShade="D9"/>
            <w:vAlign w:val="center"/>
          </w:tcPr>
          <w:p w14:paraId="4023C170" w14:textId="77777777" w:rsidR="005A0391" w:rsidRPr="00BD27B1" w:rsidRDefault="005A0391" w:rsidP="00BD27B1">
            <w:pPr>
              <w:pStyle w:val="NoSpacing"/>
              <w:jc w:val="center"/>
              <w:rPr>
                <w:b/>
                <w:sz w:val="20"/>
                <w:szCs w:val="20"/>
                <w:u w:val="single"/>
              </w:rPr>
            </w:pPr>
          </w:p>
        </w:tc>
        <w:tc>
          <w:tcPr>
            <w:tcW w:w="2424" w:type="dxa"/>
            <w:shd w:val="clear" w:color="auto" w:fill="D9D9D9" w:themeFill="background1" w:themeFillShade="D9"/>
            <w:vAlign w:val="center"/>
          </w:tcPr>
          <w:p w14:paraId="36C0B0D7" w14:textId="77777777" w:rsidR="005A0391" w:rsidRPr="00BD27B1" w:rsidRDefault="005A0391" w:rsidP="00BD27B1">
            <w:pPr>
              <w:pStyle w:val="NoSpacing"/>
              <w:jc w:val="center"/>
              <w:rPr>
                <w:b/>
                <w:sz w:val="20"/>
                <w:szCs w:val="20"/>
                <w:u w:val="single"/>
              </w:rPr>
            </w:pPr>
          </w:p>
        </w:tc>
      </w:tr>
      <w:tr w:rsidR="00BD27B1" w14:paraId="3D5A278D" w14:textId="77777777" w:rsidTr="00577F8D">
        <w:trPr>
          <w:trHeight w:val="408"/>
        </w:trPr>
        <w:tc>
          <w:tcPr>
            <w:tcW w:w="1101" w:type="dxa"/>
            <w:vMerge/>
            <w:textDirection w:val="tbRl"/>
            <w:vAlign w:val="center"/>
          </w:tcPr>
          <w:p w14:paraId="3B61864D" w14:textId="77777777" w:rsidR="005A0391" w:rsidRDefault="005A0391" w:rsidP="00BD27B1">
            <w:pPr>
              <w:pStyle w:val="NoSpacing"/>
              <w:ind w:left="113" w:right="113"/>
              <w:jc w:val="center"/>
              <w:rPr>
                <w:b/>
                <w:u w:val="single"/>
              </w:rPr>
            </w:pPr>
          </w:p>
        </w:tc>
        <w:tc>
          <w:tcPr>
            <w:tcW w:w="1842" w:type="dxa"/>
            <w:vAlign w:val="bottom"/>
          </w:tcPr>
          <w:p w14:paraId="276A097F" w14:textId="69D83C90" w:rsidR="005A0391" w:rsidRPr="00666FDF" w:rsidRDefault="001E155C" w:rsidP="00A23781">
            <w:pPr>
              <w:pStyle w:val="NoSpacing"/>
              <w:jc w:val="center"/>
            </w:pPr>
            <w:r>
              <w:t>cause</w:t>
            </w:r>
            <w:r w:rsidR="00A23781" w:rsidRPr="0001240F">
              <w:rPr>
                <w:vertAlign w:val="superscript"/>
              </w:rPr>
              <w:t>1</w:t>
            </w:r>
          </w:p>
        </w:tc>
        <w:tc>
          <w:tcPr>
            <w:tcW w:w="1276" w:type="dxa"/>
            <w:vAlign w:val="center"/>
          </w:tcPr>
          <w:p w14:paraId="29FB1897" w14:textId="35334948" w:rsidR="005A0391" w:rsidRPr="00BD27B1" w:rsidRDefault="005A0391" w:rsidP="00BD27B1">
            <w:pPr>
              <w:pStyle w:val="NoSpacing"/>
              <w:jc w:val="center"/>
              <w:rPr>
                <w:b/>
                <w:sz w:val="20"/>
                <w:szCs w:val="20"/>
                <w:u w:val="single"/>
              </w:rPr>
            </w:pPr>
            <w:r w:rsidRPr="00BD27B1">
              <w:rPr>
                <w:rFonts w:ascii="Calibri" w:hAnsi="Calibri"/>
                <w:color w:val="000000"/>
                <w:sz w:val="20"/>
                <w:szCs w:val="20"/>
              </w:rPr>
              <w:t>cause</w:t>
            </w:r>
          </w:p>
        </w:tc>
        <w:tc>
          <w:tcPr>
            <w:tcW w:w="2835" w:type="dxa"/>
            <w:shd w:val="clear" w:color="auto" w:fill="D9D9D9" w:themeFill="background1" w:themeFillShade="D9"/>
            <w:vAlign w:val="center"/>
          </w:tcPr>
          <w:p w14:paraId="20EB2F53" w14:textId="77777777" w:rsidR="005A0391" w:rsidRPr="00BD27B1" w:rsidRDefault="005A0391" w:rsidP="00BD27B1">
            <w:pPr>
              <w:pStyle w:val="NoSpacing"/>
              <w:jc w:val="center"/>
              <w:rPr>
                <w:b/>
                <w:sz w:val="20"/>
                <w:szCs w:val="20"/>
                <w:u w:val="single"/>
              </w:rPr>
            </w:pPr>
          </w:p>
        </w:tc>
        <w:tc>
          <w:tcPr>
            <w:tcW w:w="2424" w:type="dxa"/>
            <w:shd w:val="clear" w:color="auto" w:fill="D9D9D9" w:themeFill="background1" w:themeFillShade="D9"/>
            <w:vAlign w:val="center"/>
          </w:tcPr>
          <w:p w14:paraId="79834E27" w14:textId="77777777" w:rsidR="005A0391" w:rsidRPr="00BD27B1" w:rsidRDefault="005A0391" w:rsidP="00BD27B1">
            <w:pPr>
              <w:pStyle w:val="NoSpacing"/>
              <w:jc w:val="center"/>
              <w:rPr>
                <w:b/>
                <w:sz w:val="20"/>
                <w:szCs w:val="20"/>
                <w:u w:val="single"/>
              </w:rPr>
            </w:pPr>
          </w:p>
        </w:tc>
      </w:tr>
      <w:tr w:rsidR="00BD27B1" w14:paraId="43C8FCF7" w14:textId="77777777" w:rsidTr="00577F8D">
        <w:tc>
          <w:tcPr>
            <w:tcW w:w="1101" w:type="dxa"/>
            <w:vMerge w:val="restart"/>
            <w:textDirection w:val="tbRl"/>
            <w:vAlign w:val="center"/>
          </w:tcPr>
          <w:p w14:paraId="643AF741" w14:textId="77777777" w:rsidR="005A0391" w:rsidRDefault="005A0391" w:rsidP="00BD27B1">
            <w:pPr>
              <w:pStyle w:val="NoSpacing"/>
              <w:ind w:left="113" w:right="113"/>
              <w:jc w:val="center"/>
            </w:pPr>
            <w:r>
              <w:t>Treatment</w:t>
            </w:r>
          </w:p>
          <w:p w14:paraId="452C542D" w14:textId="77777777" w:rsidR="005A0391" w:rsidRDefault="005A0391" w:rsidP="00BD27B1">
            <w:pPr>
              <w:pStyle w:val="NoSpacing"/>
              <w:ind w:left="113" w:right="113"/>
              <w:jc w:val="center"/>
            </w:pPr>
            <w:r>
              <w:t>Procedure</w:t>
            </w:r>
          </w:p>
          <w:p w14:paraId="5D70D203" w14:textId="50A61AD6" w:rsidR="005A0391" w:rsidRDefault="005A0391" w:rsidP="00BD27B1">
            <w:pPr>
              <w:pStyle w:val="NoSpacing"/>
              <w:ind w:left="113" w:right="113"/>
              <w:jc w:val="center"/>
              <w:rPr>
                <w:b/>
                <w:u w:val="single"/>
              </w:rPr>
            </w:pPr>
            <w:r>
              <w:t>Investigation</w:t>
            </w:r>
          </w:p>
        </w:tc>
        <w:tc>
          <w:tcPr>
            <w:tcW w:w="1842" w:type="dxa"/>
            <w:vAlign w:val="bottom"/>
          </w:tcPr>
          <w:p w14:paraId="4C35AD42" w14:textId="279855F4" w:rsidR="005A0391" w:rsidRPr="00666FDF" w:rsidRDefault="008F7A08" w:rsidP="00A23781">
            <w:pPr>
              <w:pStyle w:val="NoSpacing"/>
              <w:jc w:val="center"/>
            </w:pPr>
            <w:r>
              <w:t>oper_01-oper_23</w:t>
            </w:r>
            <w:r w:rsidR="00A23781" w:rsidRPr="0001240F">
              <w:rPr>
                <w:vertAlign w:val="superscript"/>
              </w:rPr>
              <w:t>1</w:t>
            </w:r>
          </w:p>
        </w:tc>
        <w:tc>
          <w:tcPr>
            <w:tcW w:w="1276" w:type="dxa"/>
            <w:vAlign w:val="center"/>
          </w:tcPr>
          <w:p w14:paraId="42449398" w14:textId="28FB60EA" w:rsidR="005A0391" w:rsidRPr="00BD27B1" w:rsidRDefault="005A0391" w:rsidP="00BD27B1">
            <w:pPr>
              <w:pStyle w:val="NoSpacing"/>
              <w:jc w:val="center"/>
              <w:rPr>
                <w:b/>
                <w:sz w:val="20"/>
                <w:szCs w:val="20"/>
                <w:u w:val="single"/>
              </w:rPr>
            </w:pPr>
            <w:r w:rsidRPr="00BD27B1">
              <w:rPr>
                <w:rFonts w:ascii="Calibri" w:hAnsi="Calibri"/>
                <w:color w:val="000000"/>
                <w:sz w:val="20"/>
                <w:szCs w:val="20"/>
              </w:rPr>
              <w:t>opertn_01-opertn_24</w:t>
            </w:r>
          </w:p>
        </w:tc>
        <w:tc>
          <w:tcPr>
            <w:tcW w:w="2835" w:type="dxa"/>
            <w:vAlign w:val="center"/>
          </w:tcPr>
          <w:p w14:paraId="6DF763AD" w14:textId="4F0E0284" w:rsidR="00BD27B1" w:rsidRDefault="00492DC0" w:rsidP="00BD27B1">
            <w:pPr>
              <w:pStyle w:val="NoSpacing"/>
              <w:jc w:val="center"/>
              <w:rPr>
                <w:rFonts w:ascii="Calibri" w:hAnsi="Calibri"/>
                <w:color w:val="000000"/>
                <w:sz w:val="20"/>
                <w:szCs w:val="20"/>
              </w:rPr>
            </w:pPr>
            <w:proofErr w:type="spellStart"/>
            <w:r>
              <w:rPr>
                <w:rFonts w:ascii="Calibri" w:hAnsi="Calibri"/>
                <w:color w:val="000000"/>
                <w:sz w:val="20"/>
                <w:szCs w:val="20"/>
              </w:rPr>
              <w:t>main_operation</w:t>
            </w:r>
            <w:proofErr w:type="spellEnd"/>
          </w:p>
          <w:p w14:paraId="5BDF0728" w14:textId="372B77FC" w:rsidR="005A0391" w:rsidRPr="00BD27B1" w:rsidRDefault="00492DC0" w:rsidP="00BD27B1">
            <w:pPr>
              <w:pStyle w:val="NoSpacing"/>
              <w:jc w:val="center"/>
              <w:rPr>
                <w:b/>
                <w:sz w:val="20"/>
                <w:szCs w:val="20"/>
                <w:u w:val="single"/>
              </w:rPr>
            </w:pPr>
            <w:r w:rsidRPr="00BD27B1">
              <w:rPr>
                <w:rFonts w:ascii="Calibri" w:hAnsi="Calibri"/>
                <w:color w:val="000000"/>
                <w:sz w:val="20"/>
                <w:szCs w:val="20"/>
              </w:rPr>
              <w:t>other_operation_1-other_operation_3</w:t>
            </w:r>
          </w:p>
        </w:tc>
        <w:tc>
          <w:tcPr>
            <w:tcW w:w="2424" w:type="dxa"/>
            <w:vAlign w:val="center"/>
          </w:tcPr>
          <w:p w14:paraId="16227AAD" w14:textId="30DF1E9A" w:rsidR="005A0391" w:rsidRPr="00BD27B1" w:rsidRDefault="00492DC0" w:rsidP="00BD27B1">
            <w:pPr>
              <w:pStyle w:val="NoSpacing"/>
              <w:jc w:val="center"/>
              <w:rPr>
                <w:b/>
                <w:sz w:val="20"/>
                <w:szCs w:val="20"/>
                <w:u w:val="single"/>
              </w:rPr>
            </w:pPr>
            <w:r w:rsidRPr="00BD27B1">
              <w:rPr>
                <w:rFonts w:ascii="Calibri" w:hAnsi="Calibri"/>
                <w:color w:val="000000"/>
                <w:sz w:val="20"/>
                <w:szCs w:val="20"/>
              </w:rPr>
              <w:t>oper_cd_123</w:t>
            </w:r>
          </w:p>
        </w:tc>
      </w:tr>
      <w:tr w:rsidR="00BD27B1" w14:paraId="5DF7B848" w14:textId="77777777" w:rsidTr="00577F8D">
        <w:trPr>
          <w:trHeight w:val="667"/>
        </w:trPr>
        <w:tc>
          <w:tcPr>
            <w:tcW w:w="1101" w:type="dxa"/>
            <w:vMerge/>
            <w:textDirection w:val="tbRl"/>
            <w:vAlign w:val="center"/>
          </w:tcPr>
          <w:p w14:paraId="109D5977" w14:textId="77777777" w:rsidR="005A0391" w:rsidRDefault="005A0391" w:rsidP="00BD27B1">
            <w:pPr>
              <w:pStyle w:val="NoSpacing"/>
              <w:ind w:left="113" w:right="113"/>
              <w:jc w:val="center"/>
              <w:rPr>
                <w:b/>
                <w:u w:val="single"/>
              </w:rPr>
            </w:pPr>
          </w:p>
        </w:tc>
        <w:tc>
          <w:tcPr>
            <w:tcW w:w="1842" w:type="dxa"/>
            <w:vAlign w:val="bottom"/>
          </w:tcPr>
          <w:p w14:paraId="7F7DD383" w14:textId="1A262BDD" w:rsidR="005A0391" w:rsidRPr="00666FDF" w:rsidRDefault="008F7A08" w:rsidP="00A23781">
            <w:pPr>
              <w:pStyle w:val="NoSpacing"/>
              <w:jc w:val="center"/>
            </w:pPr>
            <w:r>
              <w:t>oper_date_01-oper_date_24</w:t>
            </w:r>
            <w:r w:rsidR="00A23781" w:rsidRPr="0001240F">
              <w:rPr>
                <w:vertAlign w:val="superscript"/>
              </w:rPr>
              <w:t>1</w:t>
            </w:r>
          </w:p>
        </w:tc>
        <w:tc>
          <w:tcPr>
            <w:tcW w:w="1276" w:type="dxa"/>
            <w:vAlign w:val="center"/>
          </w:tcPr>
          <w:p w14:paraId="19284C04" w14:textId="5054B28D" w:rsidR="005A0391" w:rsidRPr="00BD27B1" w:rsidRDefault="005A0391" w:rsidP="00BD27B1">
            <w:pPr>
              <w:pStyle w:val="NoSpacing"/>
              <w:jc w:val="center"/>
              <w:rPr>
                <w:b/>
                <w:sz w:val="20"/>
                <w:szCs w:val="20"/>
                <w:u w:val="single"/>
              </w:rPr>
            </w:pPr>
            <w:r w:rsidRPr="00BD27B1">
              <w:rPr>
                <w:rFonts w:ascii="Calibri" w:hAnsi="Calibri"/>
                <w:color w:val="000000"/>
                <w:sz w:val="20"/>
                <w:szCs w:val="20"/>
              </w:rPr>
              <w:t>opdate_01-opdate_24</w:t>
            </w:r>
          </w:p>
        </w:tc>
        <w:tc>
          <w:tcPr>
            <w:tcW w:w="2835" w:type="dxa"/>
            <w:vAlign w:val="center"/>
          </w:tcPr>
          <w:p w14:paraId="39F8FFDC" w14:textId="1D3713E9" w:rsidR="005A0391"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date_of_main_operation</w:t>
            </w:r>
            <w:proofErr w:type="spellEnd"/>
          </w:p>
        </w:tc>
        <w:tc>
          <w:tcPr>
            <w:tcW w:w="2424" w:type="dxa"/>
            <w:vAlign w:val="center"/>
          </w:tcPr>
          <w:p w14:paraId="207C5C90" w14:textId="77777777" w:rsidR="005A0391" w:rsidRPr="00BD27B1" w:rsidRDefault="005A0391" w:rsidP="00BD27B1">
            <w:pPr>
              <w:pStyle w:val="NoSpacing"/>
              <w:jc w:val="center"/>
              <w:rPr>
                <w:b/>
                <w:sz w:val="20"/>
                <w:szCs w:val="20"/>
                <w:u w:val="single"/>
              </w:rPr>
            </w:pPr>
          </w:p>
        </w:tc>
      </w:tr>
      <w:tr w:rsidR="008F7A08" w14:paraId="53E6C03D" w14:textId="77777777" w:rsidTr="00577F8D">
        <w:trPr>
          <w:trHeight w:val="549"/>
        </w:trPr>
        <w:tc>
          <w:tcPr>
            <w:tcW w:w="1101" w:type="dxa"/>
            <w:vMerge w:val="restart"/>
            <w:textDirection w:val="tbRl"/>
            <w:vAlign w:val="center"/>
          </w:tcPr>
          <w:p w14:paraId="0365964D" w14:textId="173D6E65" w:rsidR="008F7A08" w:rsidRDefault="008F7A08" w:rsidP="00BD27B1">
            <w:pPr>
              <w:pStyle w:val="NoSpacing"/>
              <w:ind w:left="113" w:right="113"/>
              <w:jc w:val="center"/>
              <w:rPr>
                <w:b/>
                <w:u w:val="single"/>
              </w:rPr>
            </w:pPr>
            <w:r>
              <w:t>Care Speciality</w:t>
            </w:r>
          </w:p>
        </w:tc>
        <w:tc>
          <w:tcPr>
            <w:tcW w:w="1842" w:type="dxa"/>
            <w:vAlign w:val="center"/>
          </w:tcPr>
          <w:p w14:paraId="6B43A9EA" w14:textId="47992D20" w:rsidR="008F7A08" w:rsidRPr="00666FDF" w:rsidRDefault="008F7A08" w:rsidP="00A23781">
            <w:pPr>
              <w:pStyle w:val="NoSpacing"/>
              <w:jc w:val="center"/>
            </w:pPr>
            <w:r>
              <w:t>main_speciality</w:t>
            </w:r>
            <w:r w:rsidRPr="0001240F">
              <w:rPr>
                <w:vertAlign w:val="superscript"/>
              </w:rPr>
              <w:t>2</w:t>
            </w:r>
          </w:p>
        </w:tc>
        <w:tc>
          <w:tcPr>
            <w:tcW w:w="1276" w:type="dxa"/>
            <w:vAlign w:val="center"/>
          </w:tcPr>
          <w:p w14:paraId="1DDA5AB7" w14:textId="144E496D" w:rsidR="008F7A08" w:rsidRPr="00BD27B1" w:rsidRDefault="008F7A08" w:rsidP="00BD27B1">
            <w:pPr>
              <w:pStyle w:val="NoSpacing"/>
              <w:jc w:val="center"/>
              <w:rPr>
                <w:b/>
                <w:sz w:val="20"/>
                <w:szCs w:val="20"/>
                <w:u w:val="single"/>
              </w:rPr>
            </w:pPr>
            <w:proofErr w:type="spellStart"/>
            <w:r w:rsidRPr="00BD27B1">
              <w:rPr>
                <w:rFonts w:ascii="Calibri" w:hAnsi="Calibri"/>
                <w:color w:val="000000"/>
                <w:sz w:val="20"/>
                <w:szCs w:val="20"/>
              </w:rPr>
              <w:t>mainspef</w:t>
            </w:r>
            <w:proofErr w:type="spellEnd"/>
          </w:p>
        </w:tc>
        <w:tc>
          <w:tcPr>
            <w:tcW w:w="2835" w:type="dxa"/>
            <w:vAlign w:val="center"/>
          </w:tcPr>
          <w:p w14:paraId="5CD6D6C0" w14:textId="5669A1A7" w:rsidR="008F7A08" w:rsidRPr="00BD27B1" w:rsidRDefault="00492DC0" w:rsidP="00BD27B1">
            <w:pPr>
              <w:pStyle w:val="NoSpacing"/>
              <w:jc w:val="center"/>
              <w:rPr>
                <w:b/>
                <w:sz w:val="20"/>
                <w:szCs w:val="20"/>
                <w:u w:val="single"/>
              </w:rPr>
            </w:pPr>
            <w:r w:rsidRPr="00BD27B1">
              <w:rPr>
                <w:rFonts w:ascii="Calibri" w:hAnsi="Calibri"/>
                <w:color w:val="000000"/>
                <w:sz w:val="20"/>
                <w:szCs w:val="20"/>
              </w:rPr>
              <w:t>specialty</w:t>
            </w:r>
          </w:p>
        </w:tc>
        <w:tc>
          <w:tcPr>
            <w:tcW w:w="2424" w:type="dxa"/>
            <w:vAlign w:val="center"/>
          </w:tcPr>
          <w:p w14:paraId="38F96D66" w14:textId="0C08C93A" w:rsidR="008F7A08"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con_spec_main_cd</w:t>
            </w:r>
            <w:proofErr w:type="spellEnd"/>
          </w:p>
        </w:tc>
      </w:tr>
      <w:tr w:rsidR="008F7A08" w14:paraId="52B1FA91" w14:textId="77777777" w:rsidTr="00577F8D">
        <w:trPr>
          <w:trHeight w:val="557"/>
        </w:trPr>
        <w:tc>
          <w:tcPr>
            <w:tcW w:w="1101" w:type="dxa"/>
            <w:vMerge/>
            <w:textDirection w:val="tbRl"/>
            <w:vAlign w:val="center"/>
          </w:tcPr>
          <w:p w14:paraId="5669CA5C" w14:textId="77777777" w:rsidR="008F7A08" w:rsidRDefault="008F7A08" w:rsidP="00BD27B1">
            <w:pPr>
              <w:pStyle w:val="NoSpacing"/>
              <w:ind w:left="113" w:right="113"/>
              <w:jc w:val="center"/>
              <w:rPr>
                <w:b/>
                <w:u w:val="single"/>
              </w:rPr>
            </w:pPr>
          </w:p>
        </w:tc>
        <w:tc>
          <w:tcPr>
            <w:tcW w:w="1842" w:type="dxa"/>
            <w:vAlign w:val="center"/>
          </w:tcPr>
          <w:p w14:paraId="33852256" w14:textId="5A64F612" w:rsidR="008F7A08" w:rsidRPr="00666FDF" w:rsidRDefault="008F7A08" w:rsidP="00A23781">
            <w:pPr>
              <w:pStyle w:val="NoSpacing"/>
              <w:jc w:val="center"/>
            </w:pPr>
            <w:r>
              <w:t>treat_speciality</w:t>
            </w:r>
            <w:r w:rsidRPr="0001240F">
              <w:rPr>
                <w:vertAlign w:val="superscript"/>
              </w:rPr>
              <w:t>2</w:t>
            </w:r>
          </w:p>
        </w:tc>
        <w:tc>
          <w:tcPr>
            <w:tcW w:w="1276" w:type="dxa"/>
            <w:vAlign w:val="center"/>
          </w:tcPr>
          <w:p w14:paraId="1582FAD6" w14:textId="3028B11A" w:rsidR="008F7A08" w:rsidRPr="00BD27B1" w:rsidRDefault="008F7A08" w:rsidP="00BD27B1">
            <w:pPr>
              <w:pStyle w:val="NoSpacing"/>
              <w:jc w:val="center"/>
              <w:rPr>
                <w:b/>
                <w:sz w:val="20"/>
                <w:szCs w:val="20"/>
                <w:u w:val="single"/>
              </w:rPr>
            </w:pPr>
            <w:proofErr w:type="spellStart"/>
            <w:r w:rsidRPr="00BD27B1">
              <w:rPr>
                <w:rFonts w:ascii="Calibri" w:hAnsi="Calibri"/>
                <w:color w:val="000000"/>
                <w:sz w:val="20"/>
                <w:szCs w:val="20"/>
              </w:rPr>
              <w:t>tretspef</w:t>
            </w:r>
            <w:proofErr w:type="spellEnd"/>
          </w:p>
        </w:tc>
        <w:tc>
          <w:tcPr>
            <w:tcW w:w="2835" w:type="dxa"/>
            <w:shd w:val="clear" w:color="auto" w:fill="D9D9D9" w:themeFill="background1" w:themeFillShade="D9"/>
            <w:vAlign w:val="center"/>
          </w:tcPr>
          <w:p w14:paraId="5CDDA30E" w14:textId="77777777" w:rsidR="008F7A08" w:rsidRPr="00BD27B1" w:rsidRDefault="008F7A08" w:rsidP="00BD27B1">
            <w:pPr>
              <w:pStyle w:val="NoSpacing"/>
              <w:jc w:val="center"/>
              <w:rPr>
                <w:b/>
                <w:sz w:val="20"/>
                <w:szCs w:val="20"/>
                <w:u w:val="single"/>
              </w:rPr>
            </w:pPr>
          </w:p>
        </w:tc>
        <w:tc>
          <w:tcPr>
            <w:tcW w:w="2424" w:type="dxa"/>
            <w:vAlign w:val="center"/>
          </w:tcPr>
          <w:p w14:paraId="3DC53C95" w14:textId="07B05304" w:rsidR="008F7A08"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con_spec_cd_of_treat</w:t>
            </w:r>
            <w:proofErr w:type="spellEnd"/>
          </w:p>
        </w:tc>
      </w:tr>
      <w:tr w:rsidR="00BD27B1" w14:paraId="30CBF2B4" w14:textId="77777777" w:rsidTr="00577F8D">
        <w:trPr>
          <w:trHeight w:val="423"/>
        </w:trPr>
        <w:tc>
          <w:tcPr>
            <w:tcW w:w="1101" w:type="dxa"/>
            <w:vMerge w:val="restart"/>
            <w:textDirection w:val="tbRl"/>
            <w:vAlign w:val="center"/>
          </w:tcPr>
          <w:p w14:paraId="2A3E1A6A" w14:textId="5A34115F" w:rsidR="005A0391" w:rsidRDefault="005A0391" w:rsidP="00BD27B1">
            <w:pPr>
              <w:pStyle w:val="NoSpacing"/>
              <w:ind w:left="113" w:right="113"/>
              <w:jc w:val="center"/>
            </w:pPr>
            <w:r>
              <w:t>Costing</w:t>
            </w:r>
          </w:p>
          <w:p w14:paraId="10E66FBC" w14:textId="2B882967" w:rsidR="005A0391" w:rsidRDefault="005A0391" w:rsidP="00BD27B1">
            <w:pPr>
              <w:pStyle w:val="NoSpacing"/>
              <w:ind w:left="113" w:right="113"/>
              <w:jc w:val="center"/>
              <w:rPr>
                <w:b/>
                <w:u w:val="single"/>
              </w:rPr>
            </w:pPr>
            <w:r>
              <w:t>Resources</w:t>
            </w:r>
          </w:p>
        </w:tc>
        <w:tc>
          <w:tcPr>
            <w:tcW w:w="1842" w:type="dxa"/>
            <w:vAlign w:val="bottom"/>
          </w:tcPr>
          <w:p w14:paraId="735937B7" w14:textId="4DF8DF8D" w:rsidR="005A0391" w:rsidRPr="00666FDF" w:rsidRDefault="008F7A08" w:rsidP="00A23781">
            <w:pPr>
              <w:pStyle w:val="NoSpacing"/>
              <w:jc w:val="center"/>
            </w:pPr>
            <w:r>
              <w:t>dominant_procedure</w:t>
            </w:r>
            <w:r w:rsidRPr="005F2D5F">
              <w:rPr>
                <w:vertAlign w:val="superscript"/>
              </w:rPr>
              <w:t>1</w:t>
            </w:r>
          </w:p>
        </w:tc>
        <w:tc>
          <w:tcPr>
            <w:tcW w:w="1276" w:type="dxa"/>
            <w:vAlign w:val="center"/>
          </w:tcPr>
          <w:p w14:paraId="40BB5F11" w14:textId="2D0253C8" w:rsidR="005A0391" w:rsidRPr="00BD27B1" w:rsidRDefault="005A0391" w:rsidP="00BD27B1">
            <w:pPr>
              <w:pStyle w:val="NoSpacing"/>
              <w:jc w:val="center"/>
              <w:rPr>
                <w:b/>
                <w:sz w:val="20"/>
                <w:szCs w:val="20"/>
                <w:u w:val="single"/>
              </w:rPr>
            </w:pPr>
            <w:proofErr w:type="spellStart"/>
            <w:r w:rsidRPr="00BD27B1">
              <w:rPr>
                <w:rFonts w:ascii="Calibri" w:hAnsi="Calibri"/>
                <w:color w:val="000000"/>
                <w:sz w:val="20"/>
                <w:szCs w:val="20"/>
              </w:rPr>
              <w:t>domproc</w:t>
            </w:r>
            <w:proofErr w:type="spellEnd"/>
          </w:p>
        </w:tc>
        <w:tc>
          <w:tcPr>
            <w:tcW w:w="2835" w:type="dxa"/>
            <w:shd w:val="clear" w:color="auto" w:fill="D9D9D9" w:themeFill="background1" w:themeFillShade="D9"/>
            <w:vAlign w:val="center"/>
          </w:tcPr>
          <w:p w14:paraId="6F3AE51E" w14:textId="77777777" w:rsidR="005A0391" w:rsidRPr="00BD27B1" w:rsidRDefault="005A0391" w:rsidP="00BD27B1">
            <w:pPr>
              <w:pStyle w:val="NoSpacing"/>
              <w:jc w:val="center"/>
              <w:rPr>
                <w:b/>
                <w:sz w:val="20"/>
                <w:szCs w:val="20"/>
                <w:u w:val="single"/>
              </w:rPr>
            </w:pPr>
          </w:p>
        </w:tc>
        <w:tc>
          <w:tcPr>
            <w:tcW w:w="2424" w:type="dxa"/>
            <w:shd w:val="clear" w:color="auto" w:fill="D9D9D9" w:themeFill="background1" w:themeFillShade="D9"/>
            <w:vAlign w:val="center"/>
          </w:tcPr>
          <w:p w14:paraId="417496DA" w14:textId="77777777" w:rsidR="005A0391" w:rsidRPr="00BD27B1" w:rsidRDefault="005A0391" w:rsidP="00BD27B1">
            <w:pPr>
              <w:pStyle w:val="NoSpacing"/>
              <w:jc w:val="center"/>
              <w:rPr>
                <w:b/>
                <w:sz w:val="20"/>
                <w:szCs w:val="20"/>
                <w:u w:val="single"/>
              </w:rPr>
            </w:pPr>
          </w:p>
        </w:tc>
      </w:tr>
      <w:tr w:rsidR="00D74EEC" w14:paraId="22380274" w14:textId="77777777" w:rsidTr="00577F8D">
        <w:trPr>
          <w:trHeight w:val="283"/>
        </w:trPr>
        <w:tc>
          <w:tcPr>
            <w:tcW w:w="1101" w:type="dxa"/>
            <w:vMerge/>
            <w:textDirection w:val="tbRl"/>
            <w:vAlign w:val="center"/>
          </w:tcPr>
          <w:p w14:paraId="1B2A9E23" w14:textId="77777777" w:rsidR="00D74EEC" w:rsidRDefault="00D74EEC" w:rsidP="00BD27B1">
            <w:pPr>
              <w:pStyle w:val="NoSpacing"/>
              <w:ind w:left="113" w:right="113"/>
              <w:jc w:val="center"/>
              <w:rPr>
                <w:b/>
                <w:u w:val="single"/>
              </w:rPr>
            </w:pPr>
          </w:p>
        </w:tc>
        <w:tc>
          <w:tcPr>
            <w:tcW w:w="1842" w:type="dxa"/>
            <w:vAlign w:val="bottom"/>
          </w:tcPr>
          <w:p w14:paraId="4D0167C6" w14:textId="2526118B" w:rsidR="00D74EEC" w:rsidRPr="00666FDF" w:rsidRDefault="00D74EEC" w:rsidP="00A23781">
            <w:pPr>
              <w:pStyle w:val="NoSpacing"/>
              <w:jc w:val="center"/>
            </w:pPr>
            <w:r>
              <w:t>hrg_nhs</w:t>
            </w:r>
            <w:r w:rsidRPr="005F2D5F">
              <w:rPr>
                <w:vertAlign w:val="superscript"/>
              </w:rPr>
              <w:t>1</w:t>
            </w:r>
          </w:p>
        </w:tc>
        <w:tc>
          <w:tcPr>
            <w:tcW w:w="1276" w:type="dxa"/>
            <w:vAlign w:val="center"/>
          </w:tcPr>
          <w:p w14:paraId="49F70693" w14:textId="4D54F2D3" w:rsidR="00D74EEC" w:rsidRPr="00BD27B1" w:rsidRDefault="00D74EEC" w:rsidP="00BD27B1">
            <w:pPr>
              <w:pStyle w:val="NoSpacing"/>
              <w:jc w:val="center"/>
              <w:rPr>
                <w:b/>
                <w:sz w:val="20"/>
                <w:szCs w:val="20"/>
                <w:u w:val="single"/>
              </w:rPr>
            </w:pPr>
            <w:proofErr w:type="spellStart"/>
            <w:r w:rsidRPr="00BD27B1">
              <w:rPr>
                <w:rFonts w:ascii="Calibri" w:hAnsi="Calibri"/>
                <w:color w:val="000000"/>
                <w:sz w:val="20"/>
                <w:szCs w:val="20"/>
              </w:rPr>
              <w:t>hrgnhs</w:t>
            </w:r>
            <w:proofErr w:type="spellEnd"/>
          </w:p>
        </w:tc>
        <w:tc>
          <w:tcPr>
            <w:tcW w:w="2835" w:type="dxa"/>
            <w:shd w:val="clear" w:color="auto" w:fill="D9D9D9" w:themeFill="background1" w:themeFillShade="D9"/>
            <w:vAlign w:val="center"/>
          </w:tcPr>
          <w:p w14:paraId="24C4019B" w14:textId="3A08321E" w:rsidR="00D74EEC" w:rsidRPr="00BD27B1" w:rsidRDefault="00D74EEC" w:rsidP="00BD27B1">
            <w:pPr>
              <w:pStyle w:val="NoSpacing"/>
              <w:jc w:val="center"/>
              <w:rPr>
                <w:b/>
                <w:sz w:val="20"/>
                <w:szCs w:val="20"/>
                <w:u w:val="single"/>
              </w:rPr>
            </w:pPr>
          </w:p>
        </w:tc>
        <w:tc>
          <w:tcPr>
            <w:tcW w:w="2424" w:type="dxa"/>
            <w:shd w:val="clear" w:color="auto" w:fill="FFFFFF" w:themeFill="background1"/>
            <w:vAlign w:val="center"/>
          </w:tcPr>
          <w:p w14:paraId="0E7E66BC" w14:textId="09EE9B31" w:rsidR="00D74EEC"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hrg_localpayment_cd</w:t>
            </w:r>
            <w:proofErr w:type="spellEnd"/>
          </w:p>
        </w:tc>
      </w:tr>
      <w:tr w:rsidR="00D74EEC" w14:paraId="76B74B35" w14:textId="77777777" w:rsidTr="00577F8D">
        <w:tc>
          <w:tcPr>
            <w:tcW w:w="1101" w:type="dxa"/>
            <w:vMerge/>
            <w:textDirection w:val="tbRl"/>
            <w:vAlign w:val="center"/>
          </w:tcPr>
          <w:p w14:paraId="59C2F2E8" w14:textId="77777777" w:rsidR="00D74EEC" w:rsidRDefault="00D74EEC" w:rsidP="00BD27B1">
            <w:pPr>
              <w:pStyle w:val="NoSpacing"/>
              <w:ind w:left="113" w:right="113"/>
              <w:jc w:val="center"/>
              <w:rPr>
                <w:b/>
                <w:u w:val="single"/>
              </w:rPr>
            </w:pPr>
          </w:p>
        </w:tc>
        <w:tc>
          <w:tcPr>
            <w:tcW w:w="1842" w:type="dxa"/>
            <w:vAlign w:val="bottom"/>
          </w:tcPr>
          <w:p w14:paraId="26ED9529" w14:textId="0F3D31B0" w:rsidR="00D74EEC" w:rsidRPr="00666FDF" w:rsidRDefault="00D74EEC" w:rsidP="00A23781">
            <w:pPr>
              <w:pStyle w:val="NoSpacing"/>
              <w:jc w:val="center"/>
            </w:pPr>
            <w:r>
              <w:t>hrg_nhs_svn</w:t>
            </w:r>
            <w:r w:rsidRPr="005F2D5F">
              <w:rPr>
                <w:vertAlign w:val="superscript"/>
              </w:rPr>
              <w:t>1</w:t>
            </w:r>
          </w:p>
        </w:tc>
        <w:tc>
          <w:tcPr>
            <w:tcW w:w="1276" w:type="dxa"/>
            <w:vAlign w:val="center"/>
          </w:tcPr>
          <w:p w14:paraId="0380086F" w14:textId="14056453" w:rsidR="00D74EEC" w:rsidRPr="00BD27B1" w:rsidRDefault="00D74EEC" w:rsidP="00BD27B1">
            <w:pPr>
              <w:pStyle w:val="NoSpacing"/>
              <w:jc w:val="center"/>
              <w:rPr>
                <w:b/>
                <w:sz w:val="20"/>
                <w:szCs w:val="20"/>
                <w:u w:val="single"/>
              </w:rPr>
            </w:pPr>
            <w:proofErr w:type="spellStart"/>
            <w:r w:rsidRPr="00BD27B1">
              <w:rPr>
                <w:rFonts w:ascii="Calibri" w:hAnsi="Calibri"/>
                <w:color w:val="000000"/>
                <w:sz w:val="20"/>
                <w:szCs w:val="20"/>
              </w:rPr>
              <w:t>hrgnhsvn</w:t>
            </w:r>
            <w:proofErr w:type="spellEnd"/>
          </w:p>
        </w:tc>
        <w:tc>
          <w:tcPr>
            <w:tcW w:w="2835" w:type="dxa"/>
            <w:shd w:val="clear" w:color="auto" w:fill="D9D9D9" w:themeFill="background1" w:themeFillShade="D9"/>
            <w:vAlign w:val="center"/>
          </w:tcPr>
          <w:p w14:paraId="61D04930" w14:textId="49CF8AAF" w:rsidR="00D74EEC" w:rsidRPr="00BD27B1" w:rsidRDefault="00D74EEC" w:rsidP="00BD27B1">
            <w:pPr>
              <w:pStyle w:val="NoSpacing"/>
              <w:jc w:val="center"/>
              <w:rPr>
                <w:b/>
                <w:sz w:val="20"/>
                <w:szCs w:val="20"/>
                <w:u w:val="single"/>
              </w:rPr>
            </w:pPr>
          </w:p>
        </w:tc>
        <w:tc>
          <w:tcPr>
            <w:tcW w:w="2424" w:type="dxa"/>
            <w:shd w:val="clear" w:color="auto" w:fill="FFFFFF" w:themeFill="background1"/>
            <w:vAlign w:val="center"/>
          </w:tcPr>
          <w:p w14:paraId="0E949F7E" w14:textId="6D4A73BD" w:rsidR="00D74EEC"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hrg_referencecost_cd</w:t>
            </w:r>
            <w:proofErr w:type="spellEnd"/>
          </w:p>
        </w:tc>
      </w:tr>
      <w:tr w:rsidR="00BD27B1" w14:paraId="3AD3F7EC" w14:textId="77777777" w:rsidTr="00577F8D">
        <w:tc>
          <w:tcPr>
            <w:tcW w:w="1101" w:type="dxa"/>
            <w:vMerge/>
            <w:textDirection w:val="tbRl"/>
            <w:vAlign w:val="center"/>
          </w:tcPr>
          <w:p w14:paraId="66FB07F9" w14:textId="77777777" w:rsidR="005A0391" w:rsidRDefault="005A0391" w:rsidP="00BD27B1">
            <w:pPr>
              <w:pStyle w:val="NoSpacing"/>
              <w:ind w:left="113" w:right="113"/>
              <w:jc w:val="center"/>
              <w:rPr>
                <w:b/>
                <w:u w:val="single"/>
              </w:rPr>
            </w:pPr>
          </w:p>
        </w:tc>
        <w:tc>
          <w:tcPr>
            <w:tcW w:w="1842" w:type="dxa"/>
            <w:vAlign w:val="bottom"/>
          </w:tcPr>
          <w:p w14:paraId="476DDA16" w14:textId="456D75EE" w:rsidR="005A0391" w:rsidRPr="00666FDF" w:rsidRDefault="008F7A08" w:rsidP="00A23781">
            <w:pPr>
              <w:pStyle w:val="NoSpacing"/>
              <w:jc w:val="center"/>
            </w:pPr>
            <w:r>
              <w:t>pur_val</w:t>
            </w:r>
            <w:r w:rsidR="00A23781" w:rsidRPr="0001240F">
              <w:rPr>
                <w:vertAlign w:val="superscript"/>
              </w:rPr>
              <w:t>1</w:t>
            </w:r>
          </w:p>
        </w:tc>
        <w:tc>
          <w:tcPr>
            <w:tcW w:w="1276" w:type="dxa"/>
            <w:vAlign w:val="center"/>
          </w:tcPr>
          <w:p w14:paraId="5C5456C8" w14:textId="7C8B388A" w:rsidR="005A0391" w:rsidRPr="00BD27B1" w:rsidRDefault="005A0391" w:rsidP="00BD27B1">
            <w:pPr>
              <w:pStyle w:val="NoSpacing"/>
              <w:jc w:val="center"/>
              <w:rPr>
                <w:b/>
                <w:sz w:val="20"/>
                <w:szCs w:val="20"/>
                <w:u w:val="single"/>
              </w:rPr>
            </w:pPr>
            <w:proofErr w:type="spellStart"/>
            <w:r w:rsidRPr="00BD27B1">
              <w:rPr>
                <w:rFonts w:ascii="Calibri" w:hAnsi="Calibri"/>
                <w:color w:val="000000"/>
                <w:sz w:val="20"/>
                <w:szCs w:val="20"/>
              </w:rPr>
              <w:t>purval</w:t>
            </w:r>
            <w:proofErr w:type="spellEnd"/>
          </w:p>
        </w:tc>
        <w:tc>
          <w:tcPr>
            <w:tcW w:w="2835" w:type="dxa"/>
            <w:shd w:val="clear" w:color="auto" w:fill="D9D9D9" w:themeFill="background1" w:themeFillShade="D9"/>
            <w:vAlign w:val="center"/>
          </w:tcPr>
          <w:p w14:paraId="2A9219DD" w14:textId="77777777" w:rsidR="005A0391" w:rsidRPr="00BD27B1" w:rsidRDefault="005A0391" w:rsidP="00BD27B1">
            <w:pPr>
              <w:pStyle w:val="NoSpacing"/>
              <w:jc w:val="center"/>
              <w:rPr>
                <w:b/>
                <w:sz w:val="20"/>
                <w:szCs w:val="20"/>
                <w:u w:val="single"/>
              </w:rPr>
            </w:pPr>
          </w:p>
        </w:tc>
        <w:tc>
          <w:tcPr>
            <w:tcW w:w="2424" w:type="dxa"/>
            <w:shd w:val="clear" w:color="auto" w:fill="D9D9D9" w:themeFill="background1" w:themeFillShade="D9"/>
            <w:vAlign w:val="center"/>
          </w:tcPr>
          <w:p w14:paraId="41F6F9A5" w14:textId="77777777" w:rsidR="005A0391" w:rsidRPr="00BD27B1" w:rsidRDefault="005A0391" w:rsidP="00BD27B1">
            <w:pPr>
              <w:pStyle w:val="NoSpacing"/>
              <w:jc w:val="center"/>
              <w:rPr>
                <w:b/>
                <w:sz w:val="20"/>
                <w:szCs w:val="20"/>
                <w:u w:val="single"/>
              </w:rPr>
            </w:pPr>
          </w:p>
        </w:tc>
      </w:tr>
      <w:tr w:rsidR="00BD27B1" w14:paraId="74558105" w14:textId="77777777" w:rsidTr="00577F8D">
        <w:trPr>
          <w:trHeight w:val="427"/>
        </w:trPr>
        <w:tc>
          <w:tcPr>
            <w:tcW w:w="1101" w:type="dxa"/>
            <w:vMerge w:val="restart"/>
            <w:textDirection w:val="tbRl"/>
            <w:vAlign w:val="center"/>
          </w:tcPr>
          <w:p w14:paraId="70DAEF6C" w14:textId="51C8C3BD" w:rsidR="005A0391" w:rsidRDefault="005A0391" w:rsidP="00BD27B1">
            <w:pPr>
              <w:pStyle w:val="NoSpacing"/>
              <w:ind w:left="113" w:right="113"/>
              <w:jc w:val="center"/>
              <w:rPr>
                <w:b/>
                <w:u w:val="single"/>
              </w:rPr>
            </w:pPr>
            <w:r>
              <w:t>Care Provider</w:t>
            </w:r>
          </w:p>
        </w:tc>
        <w:tc>
          <w:tcPr>
            <w:tcW w:w="1842" w:type="dxa"/>
            <w:vAlign w:val="bottom"/>
          </w:tcPr>
          <w:p w14:paraId="1A200882" w14:textId="13521197" w:rsidR="005A0391" w:rsidRPr="00666FDF" w:rsidRDefault="008F7A08" w:rsidP="00A23781">
            <w:pPr>
              <w:pStyle w:val="NoSpacing"/>
              <w:jc w:val="center"/>
            </w:pPr>
            <w:r>
              <w:t>site_treatment</w:t>
            </w:r>
            <w:r w:rsidR="00A23781" w:rsidRPr="0001240F">
              <w:rPr>
                <w:vertAlign w:val="superscript"/>
              </w:rPr>
              <w:t>1</w:t>
            </w:r>
          </w:p>
        </w:tc>
        <w:tc>
          <w:tcPr>
            <w:tcW w:w="1276" w:type="dxa"/>
            <w:vAlign w:val="center"/>
          </w:tcPr>
          <w:p w14:paraId="59F329E2" w14:textId="731A862F" w:rsidR="005A0391" w:rsidRPr="00BD27B1" w:rsidRDefault="005A0391" w:rsidP="00BD27B1">
            <w:pPr>
              <w:pStyle w:val="NoSpacing"/>
              <w:jc w:val="center"/>
              <w:rPr>
                <w:b/>
                <w:sz w:val="20"/>
                <w:szCs w:val="20"/>
                <w:u w:val="single"/>
              </w:rPr>
            </w:pPr>
            <w:proofErr w:type="spellStart"/>
            <w:r w:rsidRPr="00BD27B1">
              <w:rPr>
                <w:rFonts w:ascii="Calibri" w:hAnsi="Calibri"/>
                <w:color w:val="000000"/>
                <w:sz w:val="20"/>
                <w:szCs w:val="20"/>
              </w:rPr>
              <w:t>sitetret</w:t>
            </w:r>
            <w:proofErr w:type="spellEnd"/>
          </w:p>
        </w:tc>
        <w:tc>
          <w:tcPr>
            <w:tcW w:w="2835" w:type="dxa"/>
            <w:shd w:val="clear" w:color="auto" w:fill="D9D9D9" w:themeFill="background1" w:themeFillShade="D9"/>
            <w:vAlign w:val="center"/>
          </w:tcPr>
          <w:p w14:paraId="609AA7F4" w14:textId="77777777" w:rsidR="005A0391" w:rsidRPr="00BD27B1" w:rsidRDefault="005A0391" w:rsidP="00BD27B1">
            <w:pPr>
              <w:pStyle w:val="NoSpacing"/>
              <w:jc w:val="center"/>
              <w:rPr>
                <w:b/>
                <w:sz w:val="20"/>
                <w:szCs w:val="20"/>
                <w:u w:val="single"/>
              </w:rPr>
            </w:pPr>
          </w:p>
        </w:tc>
        <w:tc>
          <w:tcPr>
            <w:tcW w:w="2424" w:type="dxa"/>
            <w:vAlign w:val="center"/>
          </w:tcPr>
          <w:p w14:paraId="282A2837" w14:textId="2F4D7E4F" w:rsidR="005A0391"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prov_site_cd</w:t>
            </w:r>
            <w:proofErr w:type="spellEnd"/>
          </w:p>
        </w:tc>
      </w:tr>
      <w:tr w:rsidR="00BD27B1" w14:paraId="66749BA3" w14:textId="77777777" w:rsidTr="00577F8D">
        <w:trPr>
          <w:trHeight w:val="288"/>
        </w:trPr>
        <w:tc>
          <w:tcPr>
            <w:tcW w:w="1101" w:type="dxa"/>
            <w:vMerge/>
            <w:vAlign w:val="bottom"/>
          </w:tcPr>
          <w:p w14:paraId="0F43A21E" w14:textId="77777777" w:rsidR="005A0391" w:rsidRDefault="005A0391" w:rsidP="00BD27B1">
            <w:pPr>
              <w:pStyle w:val="NoSpacing"/>
              <w:rPr>
                <w:b/>
                <w:u w:val="single"/>
              </w:rPr>
            </w:pPr>
          </w:p>
        </w:tc>
        <w:tc>
          <w:tcPr>
            <w:tcW w:w="1842" w:type="dxa"/>
            <w:vAlign w:val="bottom"/>
          </w:tcPr>
          <w:p w14:paraId="30AF11C5" w14:textId="549A35CE" w:rsidR="005A0391" w:rsidRPr="00666FDF" w:rsidRDefault="008F7A08" w:rsidP="00A23781">
            <w:pPr>
              <w:pStyle w:val="NoSpacing"/>
              <w:jc w:val="center"/>
            </w:pPr>
            <w:r>
              <w:t>provider_code</w:t>
            </w:r>
            <w:r w:rsidRPr="00176165">
              <w:rPr>
                <w:vertAlign w:val="superscript"/>
              </w:rPr>
              <w:t>1</w:t>
            </w:r>
          </w:p>
        </w:tc>
        <w:tc>
          <w:tcPr>
            <w:tcW w:w="1276" w:type="dxa"/>
            <w:vAlign w:val="center"/>
          </w:tcPr>
          <w:p w14:paraId="4749873C" w14:textId="5A4124D9" w:rsidR="005A0391" w:rsidRPr="00BD27B1" w:rsidRDefault="005A0391" w:rsidP="00BD27B1">
            <w:pPr>
              <w:pStyle w:val="NoSpacing"/>
              <w:jc w:val="center"/>
              <w:rPr>
                <w:b/>
                <w:sz w:val="20"/>
                <w:szCs w:val="20"/>
                <w:u w:val="single"/>
              </w:rPr>
            </w:pPr>
            <w:proofErr w:type="spellStart"/>
            <w:r w:rsidRPr="00BD27B1">
              <w:rPr>
                <w:rFonts w:ascii="Calibri" w:hAnsi="Calibri"/>
                <w:color w:val="000000"/>
                <w:sz w:val="20"/>
                <w:szCs w:val="20"/>
              </w:rPr>
              <w:t>procode</w:t>
            </w:r>
            <w:proofErr w:type="spellEnd"/>
          </w:p>
        </w:tc>
        <w:tc>
          <w:tcPr>
            <w:tcW w:w="2835" w:type="dxa"/>
            <w:vAlign w:val="center"/>
          </w:tcPr>
          <w:p w14:paraId="6AD5EC60" w14:textId="76B31959" w:rsidR="005A0391"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provider_code</w:t>
            </w:r>
            <w:proofErr w:type="spellEnd"/>
          </w:p>
        </w:tc>
        <w:tc>
          <w:tcPr>
            <w:tcW w:w="2424" w:type="dxa"/>
            <w:shd w:val="clear" w:color="auto" w:fill="D9D9D9" w:themeFill="background1" w:themeFillShade="D9"/>
            <w:vAlign w:val="center"/>
          </w:tcPr>
          <w:p w14:paraId="2BDA0813" w14:textId="77777777" w:rsidR="005A0391" w:rsidRPr="00BD27B1" w:rsidRDefault="005A0391" w:rsidP="00BD27B1">
            <w:pPr>
              <w:pStyle w:val="NoSpacing"/>
              <w:jc w:val="center"/>
              <w:rPr>
                <w:b/>
                <w:sz w:val="20"/>
                <w:szCs w:val="20"/>
                <w:u w:val="single"/>
              </w:rPr>
            </w:pPr>
          </w:p>
        </w:tc>
      </w:tr>
      <w:tr w:rsidR="00BD27B1" w14:paraId="5D44E2D4" w14:textId="77777777" w:rsidTr="00577F8D">
        <w:tc>
          <w:tcPr>
            <w:tcW w:w="1101" w:type="dxa"/>
            <w:vMerge/>
            <w:vAlign w:val="bottom"/>
          </w:tcPr>
          <w:p w14:paraId="0F8012C1" w14:textId="77777777" w:rsidR="005A0391" w:rsidRDefault="005A0391" w:rsidP="00BD27B1">
            <w:pPr>
              <w:pStyle w:val="NoSpacing"/>
              <w:rPr>
                <w:b/>
                <w:u w:val="single"/>
              </w:rPr>
            </w:pPr>
          </w:p>
        </w:tc>
        <w:tc>
          <w:tcPr>
            <w:tcW w:w="1842" w:type="dxa"/>
            <w:vAlign w:val="bottom"/>
          </w:tcPr>
          <w:p w14:paraId="3F5C1D60" w14:textId="34CB8B35" w:rsidR="005A0391" w:rsidRPr="00666FDF" w:rsidRDefault="008F7A08" w:rsidP="00A23781">
            <w:pPr>
              <w:pStyle w:val="NoSpacing"/>
              <w:jc w:val="center"/>
            </w:pPr>
            <w:r>
              <w:t>provider_type</w:t>
            </w:r>
            <w:r w:rsidRPr="005F2D5F">
              <w:rPr>
                <w:vertAlign w:val="superscript"/>
              </w:rPr>
              <w:t>1</w:t>
            </w:r>
          </w:p>
        </w:tc>
        <w:tc>
          <w:tcPr>
            <w:tcW w:w="1276" w:type="dxa"/>
            <w:vAlign w:val="center"/>
          </w:tcPr>
          <w:p w14:paraId="4BDFCC9B" w14:textId="09DB84CE" w:rsidR="005A0391" w:rsidRPr="00BD27B1" w:rsidRDefault="005A0391" w:rsidP="00BD27B1">
            <w:pPr>
              <w:pStyle w:val="NoSpacing"/>
              <w:jc w:val="center"/>
              <w:rPr>
                <w:b/>
                <w:sz w:val="20"/>
                <w:szCs w:val="20"/>
                <w:u w:val="single"/>
              </w:rPr>
            </w:pPr>
            <w:proofErr w:type="spellStart"/>
            <w:r w:rsidRPr="00BD27B1">
              <w:rPr>
                <w:rFonts w:ascii="Calibri" w:hAnsi="Calibri"/>
                <w:color w:val="000000"/>
                <w:sz w:val="20"/>
                <w:szCs w:val="20"/>
              </w:rPr>
              <w:t>protype</w:t>
            </w:r>
            <w:proofErr w:type="spellEnd"/>
          </w:p>
        </w:tc>
        <w:tc>
          <w:tcPr>
            <w:tcW w:w="2835" w:type="dxa"/>
            <w:shd w:val="clear" w:color="auto" w:fill="D9D9D9" w:themeFill="background1" w:themeFillShade="D9"/>
            <w:vAlign w:val="center"/>
          </w:tcPr>
          <w:p w14:paraId="63B94341" w14:textId="77777777" w:rsidR="005A0391" w:rsidRPr="00BD27B1" w:rsidRDefault="005A0391" w:rsidP="00BD27B1">
            <w:pPr>
              <w:pStyle w:val="NoSpacing"/>
              <w:jc w:val="center"/>
              <w:rPr>
                <w:b/>
                <w:sz w:val="20"/>
                <w:szCs w:val="20"/>
                <w:u w:val="single"/>
              </w:rPr>
            </w:pPr>
          </w:p>
        </w:tc>
        <w:tc>
          <w:tcPr>
            <w:tcW w:w="2424" w:type="dxa"/>
            <w:vAlign w:val="center"/>
          </w:tcPr>
          <w:p w14:paraId="5555F27F" w14:textId="6EC9A11B" w:rsidR="005A0391"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curr_prov_unit_cd</w:t>
            </w:r>
            <w:proofErr w:type="spellEnd"/>
          </w:p>
        </w:tc>
      </w:tr>
    </w:tbl>
    <w:p w14:paraId="19FEAAF4" w14:textId="77777777" w:rsidR="00BD27B1" w:rsidRPr="0001240F" w:rsidRDefault="00BD27B1" w:rsidP="00BD27B1">
      <w:pPr>
        <w:widowControl w:val="0"/>
        <w:autoSpaceDE w:val="0"/>
        <w:autoSpaceDN w:val="0"/>
        <w:adjustRightInd w:val="0"/>
        <w:spacing w:after="140" w:line="240" w:lineRule="auto"/>
      </w:pPr>
      <w:r w:rsidRPr="0001240F">
        <w:rPr>
          <w:vertAlign w:val="superscript"/>
        </w:rPr>
        <w:t>1</w:t>
      </w:r>
      <w:r>
        <w:t xml:space="preserve">Variable retained without coding scheme. </w:t>
      </w:r>
      <w:r w:rsidRPr="0001240F">
        <w:rPr>
          <w:vertAlign w:val="superscript"/>
        </w:rPr>
        <w:t>2</w:t>
      </w:r>
      <w:r>
        <w:t xml:space="preserve">Variabe retained with a coding scheme. </w:t>
      </w:r>
    </w:p>
    <w:p w14:paraId="589832BF" w14:textId="77777777" w:rsidR="00CD46CC" w:rsidRDefault="00CD46CC" w:rsidP="00805431">
      <w:pPr>
        <w:widowControl w:val="0"/>
        <w:autoSpaceDE w:val="0"/>
        <w:autoSpaceDN w:val="0"/>
        <w:adjustRightInd w:val="0"/>
        <w:spacing w:after="140" w:line="240" w:lineRule="auto"/>
        <w:rPr>
          <w:b/>
          <w:u w:val="single"/>
        </w:rPr>
      </w:pPr>
    </w:p>
    <w:p w14:paraId="16668D86" w14:textId="77777777" w:rsidR="00375626" w:rsidRDefault="00375626" w:rsidP="00D17F55">
      <w:pPr>
        <w:widowControl w:val="0"/>
        <w:autoSpaceDE w:val="0"/>
        <w:autoSpaceDN w:val="0"/>
        <w:adjustRightInd w:val="0"/>
        <w:spacing w:after="140" w:line="240" w:lineRule="auto"/>
        <w:rPr>
          <w:b/>
          <w:u w:val="single"/>
        </w:rPr>
      </w:pPr>
    </w:p>
    <w:p w14:paraId="5382AA9E" w14:textId="77777777" w:rsidR="00375626" w:rsidRDefault="00375626">
      <w:pPr>
        <w:rPr>
          <w:b/>
          <w:u w:val="single"/>
        </w:rPr>
      </w:pPr>
      <w:r>
        <w:rPr>
          <w:b/>
          <w:u w:val="single"/>
        </w:rPr>
        <w:br w:type="page"/>
      </w:r>
    </w:p>
    <w:p w14:paraId="4A6A489D" w14:textId="1339FF85" w:rsidR="00D17F55" w:rsidRPr="00E23C01" w:rsidRDefault="00D17F55" w:rsidP="00D17F55">
      <w:pPr>
        <w:widowControl w:val="0"/>
        <w:autoSpaceDE w:val="0"/>
        <w:autoSpaceDN w:val="0"/>
        <w:adjustRightInd w:val="0"/>
        <w:spacing w:after="140" w:line="240" w:lineRule="auto"/>
        <w:rPr>
          <w:b/>
        </w:rPr>
      </w:pPr>
      <w:r w:rsidRPr="00E23C01">
        <w:rPr>
          <w:b/>
        </w:rPr>
        <w:t xml:space="preserve">Accident and Emergency  </w:t>
      </w:r>
    </w:p>
    <w:tbl>
      <w:tblPr>
        <w:tblStyle w:val="TableGrid"/>
        <w:tblW w:w="9803" w:type="dxa"/>
        <w:tblLook w:val="04A0" w:firstRow="1" w:lastRow="0" w:firstColumn="1" w:lastColumn="0" w:noHBand="0" w:noVBand="1"/>
      </w:tblPr>
      <w:tblGrid>
        <w:gridCol w:w="1050"/>
        <w:gridCol w:w="2273"/>
        <w:gridCol w:w="1618"/>
        <w:gridCol w:w="2485"/>
        <w:gridCol w:w="2377"/>
      </w:tblGrid>
      <w:tr w:rsidR="00B120C0" w14:paraId="39372B95" w14:textId="77777777" w:rsidTr="00577F8D">
        <w:tc>
          <w:tcPr>
            <w:tcW w:w="1051" w:type="dxa"/>
            <w:vAlign w:val="center"/>
          </w:tcPr>
          <w:p w14:paraId="6A708EF1" w14:textId="77777777" w:rsidR="00D17F55" w:rsidRPr="00663939" w:rsidRDefault="00D17F55" w:rsidP="006F4877">
            <w:pPr>
              <w:widowControl w:val="0"/>
              <w:autoSpaceDE w:val="0"/>
              <w:autoSpaceDN w:val="0"/>
              <w:adjustRightInd w:val="0"/>
              <w:spacing w:after="140"/>
              <w:jc w:val="center"/>
              <w:rPr>
                <w:b/>
              </w:rPr>
            </w:pPr>
            <w:r w:rsidRPr="00663939">
              <w:rPr>
                <w:b/>
              </w:rPr>
              <w:t>Category</w:t>
            </w:r>
          </w:p>
        </w:tc>
        <w:tc>
          <w:tcPr>
            <w:tcW w:w="2305" w:type="dxa"/>
            <w:vAlign w:val="center"/>
          </w:tcPr>
          <w:p w14:paraId="7B28A091" w14:textId="77777777" w:rsidR="00D17F55" w:rsidRPr="00663939" w:rsidRDefault="00D17F55" w:rsidP="006F4877">
            <w:pPr>
              <w:widowControl w:val="0"/>
              <w:autoSpaceDE w:val="0"/>
              <w:autoSpaceDN w:val="0"/>
              <w:adjustRightInd w:val="0"/>
              <w:spacing w:after="140"/>
              <w:jc w:val="center"/>
              <w:rPr>
                <w:b/>
              </w:rPr>
            </w:pPr>
            <w:r w:rsidRPr="00663939">
              <w:rPr>
                <w:b/>
              </w:rPr>
              <w:t>Common Variable Name</w:t>
            </w:r>
          </w:p>
        </w:tc>
        <w:tc>
          <w:tcPr>
            <w:tcW w:w="2159" w:type="dxa"/>
            <w:vAlign w:val="center"/>
          </w:tcPr>
          <w:p w14:paraId="60A4E5E4" w14:textId="77777777" w:rsidR="00D17F55" w:rsidRPr="00663939" w:rsidRDefault="00D17F55" w:rsidP="006F4877">
            <w:pPr>
              <w:widowControl w:val="0"/>
              <w:autoSpaceDE w:val="0"/>
              <w:autoSpaceDN w:val="0"/>
              <w:adjustRightInd w:val="0"/>
              <w:spacing w:after="140"/>
              <w:jc w:val="center"/>
              <w:rPr>
                <w:b/>
              </w:rPr>
            </w:pPr>
            <w:r w:rsidRPr="00663939">
              <w:rPr>
                <w:b/>
              </w:rPr>
              <w:t>England – Variable</w:t>
            </w:r>
          </w:p>
        </w:tc>
        <w:tc>
          <w:tcPr>
            <w:tcW w:w="2702" w:type="dxa"/>
            <w:vAlign w:val="center"/>
          </w:tcPr>
          <w:p w14:paraId="3114488D" w14:textId="77777777" w:rsidR="00D17F55" w:rsidRPr="00663939" w:rsidRDefault="00D17F55" w:rsidP="006F4877">
            <w:pPr>
              <w:widowControl w:val="0"/>
              <w:autoSpaceDE w:val="0"/>
              <w:autoSpaceDN w:val="0"/>
              <w:adjustRightInd w:val="0"/>
              <w:spacing w:after="140"/>
              <w:jc w:val="center"/>
              <w:rPr>
                <w:b/>
              </w:rPr>
            </w:pPr>
            <w:r w:rsidRPr="00663939">
              <w:rPr>
                <w:b/>
              </w:rPr>
              <w:t>Scotland – Variable</w:t>
            </w:r>
          </w:p>
        </w:tc>
        <w:tc>
          <w:tcPr>
            <w:tcW w:w="3289" w:type="dxa"/>
            <w:vAlign w:val="center"/>
          </w:tcPr>
          <w:p w14:paraId="72301233" w14:textId="77777777" w:rsidR="00D17F55" w:rsidRPr="00663939" w:rsidRDefault="00D17F55" w:rsidP="006F4877">
            <w:pPr>
              <w:widowControl w:val="0"/>
              <w:autoSpaceDE w:val="0"/>
              <w:autoSpaceDN w:val="0"/>
              <w:adjustRightInd w:val="0"/>
              <w:spacing w:after="140"/>
              <w:jc w:val="center"/>
              <w:rPr>
                <w:b/>
              </w:rPr>
            </w:pPr>
            <w:r w:rsidRPr="00663939">
              <w:rPr>
                <w:b/>
              </w:rPr>
              <w:t>Wales – Variable</w:t>
            </w:r>
          </w:p>
        </w:tc>
      </w:tr>
      <w:tr w:rsidR="00B120C0" w14:paraId="689AAED1" w14:textId="77777777" w:rsidTr="00577F8D">
        <w:tc>
          <w:tcPr>
            <w:tcW w:w="1051" w:type="dxa"/>
            <w:vMerge w:val="restart"/>
            <w:textDirection w:val="tbRl"/>
            <w:vAlign w:val="center"/>
          </w:tcPr>
          <w:p w14:paraId="54C44ABD" w14:textId="40D1E4F4" w:rsidR="00C91023" w:rsidRDefault="005260E5" w:rsidP="006F4877">
            <w:pPr>
              <w:pStyle w:val="NoSpacing"/>
              <w:ind w:left="113" w:right="113"/>
              <w:jc w:val="center"/>
            </w:pPr>
            <w:r>
              <w:t>admittance</w:t>
            </w:r>
          </w:p>
          <w:p w14:paraId="148FD31D" w14:textId="48A0FE56" w:rsidR="00736E05" w:rsidRDefault="005260E5" w:rsidP="006F4877">
            <w:pPr>
              <w:pStyle w:val="NoSpacing"/>
              <w:ind w:left="113" w:right="113"/>
              <w:jc w:val="center"/>
              <w:rPr>
                <w:b/>
                <w:u w:val="single"/>
              </w:rPr>
            </w:pPr>
            <w:r>
              <w:t>discharge</w:t>
            </w:r>
          </w:p>
        </w:tc>
        <w:tc>
          <w:tcPr>
            <w:tcW w:w="2305" w:type="dxa"/>
            <w:vAlign w:val="center"/>
          </w:tcPr>
          <w:p w14:paraId="6CA2CD29" w14:textId="13863ABC" w:rsidR="00736E05" w:rsidRPr="007971BF" w:rsidRDefault="005260E5" w:rsidP="00304BAF">
            <w:pPr>
              <w:pStyle w:val="NoSpacing"/>
              <w:jc w:val="center"/>
            </w:pPr>
            <w:r>
              <w:t>a</w:t>
            </w:r>
            <w:r w:rsidRPr="007971BF">
              <w:t>rrival_mode</w:t>
            </w:r>
            <w:r>
              <w:rPr>
                <w:vertAlign w:val="superscript"/>
              </w:rPr>
              <w:t>2</w:t>
            </w:r>
          </w:p>
        </w:tc>
        <w:tc>
          <w:tcPr>
            <w:tcW w:w="2159" w:type="dxa"/>
            <w:vAlign w:val="center"/>
          </w:tcPr>
          <w:p w14:paraId="3CA57EA1" w14:textId="3E3060A5" w:rsidR="00736E05" w:rsidRPr="00270C08" w:rsidRDefault="005260E5" w:rsidP="00304BAF">
            <w:pPr>
              <w:pStyle w:val="NoSpacing"/>
              <w:jc w:val="center"/>
              <w:rPr>
                <w:b/>
                <w:sz w:val="20"/>
                <w:szCs w:val="20"/>
                <w:u w:val="single"/>
              </w:rPr>
            </w:pPr>
            <w:proofErr w:type="spellStart"/>
            <w:r w:rsidRPr="00270C08">
              <w:rPr>
                <w:sz w:val="20"/>
                <w:szCs w:val="20"/>
              </w:rPr>
              <w:t>aearrivalmode</w:t>
            </w:r>
            <w:proofErr w:type="spellEnd"/>
          </w:p>
        </w:tc>
        <w:tc>
          <w:tcPr>
            <w:tcW w:w="2702" w:type="dxa"/>
            <w:vAlign w:val="center"/>
          </w:tcPr>
          <w:p w14:paraId="33F7AD26" w14:textId="34DDC415" w:rsidR="00736E05" w:rsidRPr="00270C08" w:rsidRDefault="005260E5" w:rsidP="00304BAF">
            <w:pPr>
              <w:pStyle w:val="NoSpacing"/>
              <w:jc w:val="center"/>
              <w:rPr>
                <w:b/>
                <w:sz w:val="20"/>
                <w:szCs w:val="20"/>
                <w:u w:val="single"/>
              </w:rPr>
            </w:pPr>
            <w:proofErr w:type="spellStart"/>
            <w:r w:rsidRPr="00270C08">
              <w:rPr>
                <w:sz w:val="20"/>
                <w:szCs w:val="20"/>
              </w:rPr>
              <w:t>arrivalmodecode</w:t>
            </w:r>
            <w:proofErr w:type="spellEnd"/>
          </w:p>
        </w:tc>
        <w:tc>
          <w:tcPr>
            <w:tcW w:w="3289" w:type="dxa"/>
            <w:vAlign w:val="center"/>
          </w:tcPr>
          <w:p w14:paraId="3FBA494C" w14:textId="451A511B" w:rsidR="00736E05" w:rsidRPr="00270C08" w:rsidRDefault="005260E5" w:rsidP="00304BAF">
            <w:pPr>
              <w:pStyle w:val="NoSpacing"/>
              <w:jc w:val="center"/>
              <w:rPr>
                <w:b/>
                <w:sz w:val="20"/>
                <w:szCs w:val="20"/>
                <w:u w:val="single"/>
              </w:rPr>
            </w:pPr>
            <w:proofErr w:type="spellStart"/>
            <w:r w:rsidRPr="00270C08">
              <w:rPr>
                <w:sz w:val="20"/>
                <w:szCs w:val="20"/>
              </w:rPr>
              <w:t>arrival_mode</w:t>
            </w:r>
            <w:proofErr w:type="spellEnd"/>
          </w:p>
        </w:tc>
      </w:tr>
      <w:tr w:rsidR="00B120C0" w14:paraId="536FCD02" w14:textId="77777777" w:rsidTr="00577F8D">
        <w:tc>
          <w:tcPr>
            <w:tcW w:w="1051" w:type="dxa"/>
            <w:vMerge/>
            <w:vAlign w:val="center"/>
          </w:tcPr>
          <w:p w14:paraId="11316956" w14:textId="77777777" w:rsidR="00736E05" w:rsidRDefault="00736E05" w:rsidP="006F4877">
            <w:pPr>
              <w:pStyle w:val="NoSpacing"/>
              <w:jc w:val="center"/>
              <w:rPr>
                <w:b/>
                <w:u w:val="single"/>
              </w:rPr>
            </w:pPr>
          </w:p>
        </w:tc>
        <w:tc>
          <w:tcPr>
            <w:tcW w:w="2305" w:type="dxa"/>
            <w:vAlign w:val="center"/>
          </w:tcPr>
          <w:p w14:paraId="2FA2C0D0" w14:textId="1446CC67" w:rsidR="00736E05" w:rsidRPr="007971BF" w:rsidRDefault="005260E5" w:rsidP="00304BAF">
            <w:pPr>
              <w:pStyle w:val="NoSpacing"/>
              <w:jc w:val="center"/>
            </w:pPr>
            <w:r>
              <w:t>a</w:t>
            </w:r>
            <w:r w:rsidRPr="007971BF">
              <w:t>ttendance_cat</w:t>
            </w:r>
            <w:r>
              <w:rPr>
                <w:vertAlign w:val="superscript"/>
              </w:rPr>
              <w:t>2</w:t>
            </w:r>
          </w:p>
        </w:tc>
        <w:tc>
          <w:tcPr>
            <w:tcW w:w="2159" w:type="dxa"/>
            <w:vAlign w:val="center"/>
          </w:tcPr>
          <w:p w14:paraId="11CBCAB9" w14:textId="044F9842" w:rsidR="00736E05" w:rsidRPr="00270C08" w:rsidRDefault="005260E5" w:rsidP="00304BAF">
            <w:pPr>
              <w:pStyle w:val="NoSpacing"/>
              <w:jc w:val="center"/>
              <w:rPr>
                <w:b/>
                <w:sz w:val="20"/>
                <w:szCs w:val="20"/>
                <w:u w:val="single"/>
              </w:rPr>
            </w:pPr>
            <w:proofErr w:type="spellStart"/>
            <w:r w:rsidRPr="00270C08">
              <w:rPr>
                <w:sz w:val="20"/>
                <w:szCs w:val="20"/>
              </w:rPr>
              <w:t>aeattendcat</w:t>
            </w:r>
            <w:proofErr w:type="spellEnd"/>
          </w:p>
        </w:tc>
        <w:tc>
          <w:tcPr>
            <w:tcW w:w="2702" w:type="dxa"/>
            <w:vAlign w:val="center"/>
          </w:tcPr>
          <w:p w14:paraId="522CE8E8" w14:textId="5925F5D0" w:rsidR="00736E05" w:rsidRPr="00270C08" w:rsidRDefault="005260E5" w:rsidP="00304BAF">
            <w:pPr>
              <w:pStyle w:val="NoSpacing"/>
              <w:jc w:val="center"/>
              <w:rPr>
                <w:b/>
                <w:sz w:val="20"/>
                <w:szCs w:val="20"/>
                <w:u w:val="single"/>
              </w:rPr>
            </w:pPr>
            <w:proofErr w:type="spellStart"/>
            <w:r w:rsidRPr="00270C08">
              <w:rPr>
                <w:sz w:val="20"/>
                <w:szCs w:val="20"/>
              </w:rPr>
              <w:t>attendancecategorycode</w:t>
            </w:r>
            <w:proofErr w:type="spellEnd"/>
          </w:p>
        </w:tc>
        <w:tc>
          <w:tcPr>
            <w:tcW w:w="3289" w:type="dxa"/>
            <w:vAlign w:val="center"/>
          </w:tcPr>
          <w:p w14:paraId="1FEFF3FC" w14:textId="55215116" w:rsidR="00736E05" w:rsidRPr="00270C08" w:rsidRDefault="005260E5" w:rsidP="00304BAF">
            <w:pPr>
              <w:pStyle w:val="NoSpacing"/>
              <w:jc w:val="center"/>
              <w:rPr>
                <w:b/>
                <w:sz w:val="20"/>
                <w:szCs w:val="20"/>
                <w:u w:val="single"/>
              </w:rPr>
            </w:pPr>
            <w:proofErr w:type="spellStart"/>
            <w:r w:rsidRPr="00270C08">
              <w:rPr>
                <w:sz w:val="20"/>
                <w:szCs w:val="20"/>
              </w:rPr>
              <w:t>attend_category</w:t>
            </w:r>
            <w:proofErr w:type="spellEnd"/>
          </w:p>
        </w:tc>
      </w:tr>
      <w:tr w:rsidR="00B120C0" w14:paraId="03E69229" w14:textId="77777777" w:rsidTr="00577F8D">
        <w:tc>
          <w:tcPr>
            <w:tcW w:w="1051" w:type="dxa"/>
            <w:vMerge/>
            <w:vAlign w:val="center"/>
          </w:tcPr>
          <w:p w14:paraId="0318A3FE" w14:textId="77777777" w:rsidR="00736E05" w:rsidRDefault="00736E05" w:rsidP="006F4877">
            <w:pPr>
              <w:pStyle w:val="NoSpacing"/>
              <w:jc w:val="center"/>
              <w:rPr>
                <w:b/>
                <w:u w:val="single"/>
              </w:rPr>
            </w:pPr>
          </w:p>
        </w:tc>
        <w:tc>
          <w:tcPr>
            <w:tcW w:w="2305" w:type="dxa"/>
            <w:vAlign w:val="center"/>
          </w:tcPr>
          <w:p w14:paraId="6357E7B7" w14:textId="1D8828A8" w:rsidR="00736E05" w:rsidRPr="007971BF" w:rsidRDefault="005260E5" w:rsidP="00304BAF">
            <w:pPr>
              <w:pStyle w:val="NoSpacing"/>
              <w:jc w:val="center"/>
            </w:pPr>
            <w:r>
              <w:t>discharge_dest</w:t>
            </w:r>
            <w:r>
              <w:rPr>
                <w:vertAlign w:val="superscript"/>
              </w:rPr>
              <w:t>2</w:t>
            </w:r>
          </w:p>
        </w:tc>
        <w:tc>
          <w:tcPr>
            <w:tcW w:w="2159" w:type="dxa"/>
            <w:vAlign w:val="center"/>
          </w:tcPr>
          <w:p w14:paraId="3E614A46" w14:textId="2788F2C2" w:rsidR="00736E05" w:rsidRPr="00270C08" w:rsidRDefault="005260E5" w:rsidP="00304BAF">
            <w:pPr>
              <w:pStyle w:val="NoSpacing"/>
              <w:jc w:val="center"/>
              <w:rPr>
                <w:b/>
                <w:sz w:val="20"/>
                <w:szCs w:val="20"/>
                <w:u w:val="single"/>
              </w:rPr>
            </w:pPr>
            <w:proofErr w:type="spellStart"/>
            <w:r w:rsidRPr="00270C08">
              <w:rPr>
                <w:sz w:val="20"/>
                <w:szCs w:val="20"/>
              </w:rPr>
              <w:t>aeattenddisp</w:t>
            </w:r>
            <w:proofErr w:type="spellEnd"/>
          </w:p>
        </w:tc>
        <w:tc>
          <w:tcPr>
            <w:tcW w:w="2702" w:type="dxa"/>
            <w:vAlign w:val="center"/>
          </w:tcPr>
          <w:p w14:paraId="356B3466" w14:textId="63698BAB" w:rsidR="00736E05" w:rsidRPr="00270C08" w:rsidRDefault="005260E5" w:rsidP="00304BAF">
            <w:pPr>
              <w:pStyle w:val="NoSpacing"/>
              <w:jc w:val="center"/>
              <w:rPr>
                <w:b/>
                <w:sz w:val="20"/>
                <w:szCs w:val="20"/>
                <w:u w:val="single"/>
              </w:rPr>
            </w:pPr>
            <w:proofErr w:type="spellStart"/>
            <w:r w:rsidRPr="00270C08">
              <w:rPr>
                <w:sz w:val="20"/>
                <w:szCs w:val="20"/>
              </w:rPr>
              <w:t>dischargedestinationcode</w:t>
            </w:r>
            <w:proofErr w:type="spellEnd"/>
          </w:p>
        </w:tc>
        <w:tc>
          <w:tcPr>
            <w:tcW w:w="3289" w:type="dxa"/>
            <w:shd w:val="clear" w:color="auto" w:fill="D9D9D9" w:themeFill="background1" w:themeFillShade="D9"/>
            <w:vAlign w:val="center"/>
          </w:tcPr>
          <w:p w14:paraId="6CC60624" w14:textId="77777777" w:rsidR="00736E05" w:rsidRPr="00270C08" w:rsidRDefault="00736E05" w:rsidP="00304BAF">
            <w:pPr>
              <w:pStyle w:val="NoSpacing"/>
              <w:jc w:val="center"/>
              <w:rPr>
                <w:b/>
                <w:sz w:val="20"/>
                <w:szCs w:val="20"/>
                <w:u w:val="single"/>
              </w:rPr>
            </w:pPr>
          </w:p>
        </w:tc>
      </w:tr>
      <w:tr w:rsidR="00B120C0" w14:paraId="017911DB" w14:textId="77777777" w:rsidTr="00577F8D">
        <w:tc>
          <w:tcPr>
            <w:tcW w:w="1051" w:type="dxa"/>
            <w:vMerge/>
            <w:vAlign w:val="center"/>
          </w:tcPr>
          <w:p w14:paraId="3F81E4C5" w14:textId="77777777" w:rsidR="00736E05" w:rsidRDefault="00736E05" w:rsidP="006F4877">
            <w:pPr>
              <w:pStyle w:val="NoSpacing"/>
              <w:jc w:val="center"/>
              <w:rPr>
                <w:b/>
                <w:u w:val="single"/>
              </w:rPr>
            </w:pPr>
          </w:p>
        </w:tc>
        <w:tc>
          <w:tcPr>
            <w:tcW w:w="2305" w:type="dxa"/>
            <w:vAlign w:val="center"/>
          </w:tcPr>
          <w:p w14:paraId="7532240B" w14:textId="1BDF31C6" w:rsidR="00736E05" w:rsidRPr="007971BF" w:rsidRDefault="005260E5" w:rsidP="00304BAF">
            <w:pPr>
              <w:pStyle w:val="NoSpacing"/>
              <w:jc w:val="center"/>
            </w:pPr>
            <w:r>
              <w:t>incident_location</w:t>
            </w:r>
            <w:r>
              <w:rPr>
                <w:vertAlign w:val="superscript"/>
              </w:rPr>
              <w:t>2</w:t>
            </w:r>
          </w:p>
        </w:tc>
        <w:tc>
          <w:tcPr>
            <w:tcW w:w="2159" w:type="dxa"/>
            <w:vAlign w:val="center"/>
          </w:tcPr>
          <w:p w14:paraId="1F9DA8F8" w14:textId="7B7B69A8" w:rsidR="00736E05" w:rsidRPr="00270C08" w:rsidRDefault="005260E5" w:rsidP="00304BAF">
            <w:pPr>
              <w:pStyle w:val="NoSpacing"/>
              <w:jc w:val="center"/>
              <w:rPr>
                <w:b/>
                <w:sz w:val="20"/>
                <w:szCs w:val="20"/>
                <w:u w:val="single"/>
              </w:rPr>
            </w:pPr>
            <w:proofErr w:type="spellStart"/>
            <w:r w:rsidRPr="00270C08">
              <w:rPr>
                <w:sz w:val="20"/>
                <w:szCs w:val="20"/>
              </w:rPr>
              <w:t>aeincloctype</w:t>
            </w:r>
            <w:proofErr w:type="spellEnd"/>
          </w:p>
        </w:tc>
        <w:tc>
          <w:tcPr>
            <w:tcW w:w="2702" w:type="dxa"/>
            <w:vAlign w:val="center"/>
          </w:tcPr>
          <w:p w14:paraId="7E67E604" w14:textId="430C4FAB" w:rsidR="00736E05" w:rsidRPr="00270C08" w:rsidRDefault="005260E5" w:rsidP="00304BAF">
            <w:pPr>
              <w:pStyle w:val="NoSpacing"/>
              <w:jc w:val="center"/>
              <w:rPr>
                <w:b/>
                <w:sz w:val="20"/>
                <w:szCs w:val="20"/>
                <w:u w:val="single"/>
              </w:rPr>
            </w:pPr>
            <w:proofErr w:type="spellStart"/>
            <w:r w:rsidRPr="00270C08">
              <w:rPr>
                <w:sz w:val="20"/>
                <w:szCs w:val="20"/>
              </w:rPr>
              <w:t>placeofincidentcode</w:t>
            </w:r>
            <w:proofErr w:type="spellEnd"/>
          </w:p>
        </w:tc>
        <w:tc>
          <w:tcPr>
            <w:tcW w:w="3289" w:type="dxa"/>
            <w:shd w:val="clear" w:color="auto" w:fill="D9D9D9" w:themeFill="background1" w:themeFillShade="D9"/>
            <w:vAlign w:val="center"/>
          </w:tcPr>
          <w:p w14:paraId="72F022EF" w14:textId="77777777" w:rsidR="00736E05" w:rsidRPr="00270C08" w:rsidRDefault="00736E05" w:rsidP="00304BAF">
            <w:pPr>
              <w:pStyle w:val="NoSpacing"/>
              <w:jc w:val="center"/>
              <w:rPr>
                <w:b/>
                <w:sz w:val="20"/>
                <w:szCs w:val="20"/>
                <w:u w:val="single"/>
              </w:rPr>
            </w:pPr>
          </w:p>
        </w:tc>
      </w:tr>
      <w:tr w:rsidR="00B120C0" w14:paraId="4F1990D8" w14:textId="77777777" w:rsidTr="00577F8D">
        <w:tc>
          <w:tcPr>
            <w:tcW w:w="1051" w:type="dxa"/>
            <w:vMerge/>
            <w:vAlign w:val="center"/>
          </w:tcPr>
          <w:p w14:paraId="1CAEA8BF" w14:textId="77777777" w:rsidR="00736E05" w:rsidRDefault="00736E05" w:rsidP="006F4877">
            <w:pPr>
              <w:pStyle w:val="NoSpacing"/>
              <w:jc w:val="center"/>
              <w:rPr>
                <w:b/>
                <w:u w:val="single"/>
              </w:rPr>
            </w:pPr>
          </w:p>
        </w:tc>
        <w:tc>
          <w:tcPr>
            <w:tcW w:w="2305" w:type="dxa"/>
            <w:vAlign w:val="center"/>
          </w:tcPr>
          <w:p w14:paraId="738C64FA" w14:textId="75EE760F" w:rsidR="00736E05" w:rsidRPr="007971BF" w:rsidRDefault="005260E5" w:rsidP="00304BAF">
            <w:pPr>
              <w:pStyle w:val="NoSpacing"/>
              <w:jc w:val="center"/>
            </w:pPr>
            <w:r>
              <w:t>activity_injured</w:t>
            </w:r>
            <w:r>
              <w:rPr>
                <w:vertAlign w:val="superscript"/>
              </w:rPr>
              <w:t>2</w:t>
            </w:r>
          </w:p>
        </w:tc>
        <w:tc>
          <w:tcPr>
            <w:tcW w:w="2159" w:type="dxa"/>
            <w:shd w:val="clear" w:color="auto" w:fill="D9D9D9" w:themeFill="background1" w:themeFillShade="D9"/>
            <w:vAlign w:val="center"/>
          </w:tcPr>
          <w:p w14:paraId="6C0ABBFF" w14:textId="4A02A717" w:rsidR="00736E05" w:rsidRPr="00270C08" w:rsidRDefault="00736E05" w:rsidP="00304BAF">
            <w:pPr>
              <w:pStyle w:val="NoSpacing"/>
              <w:jc w:val="center"/>
              <w:rPr>
                <w:b/>
                <w:sz w:val="20"/>
                <w:szCs w:val="20"/>
                <w:u w:val="single"/>
              </w:rPr>
            </w:pPr>
          </w:p>
        </w:tc>
        <w:tc>
          <w:tcPr>
            <w:tcW w:w="2702" w:type="dxa"/>
            <w:vAlign w:val="center"/>
          </w:tcPr>
          <w:p w14:paraId="72DB20E4" w14:textId="6381D47B" w:rsidR="00736E05" w:rsidRPr="00270C08" w:rsidRDefault="005260E5" w:rsidP="00304BAF">
            <w:pPr>
              <w:pStyle w:val="NoSpacing"/>
              <w:jc w:val="center"/>
              <w:rPr>
                <w:b/>
                <w:sz w:val="20"/>
                <w:szCs w:val="20"/>
                <w:u w:val="single"/>
              </w:rPr>
            </w:pPr>
            <w:proofErr w:type="spellStart"/>
            <w:r w:rsidRPr="00270C08">
              <w:rPr>
                <w:sz w:val="20"/>
                <w:szCs w:val="20"/>
              </w:rPr>
              <w:t>activitywheninjuredcode</w:t>
            </w:r>
            <w:proofErr w:type="spellEnd"/>
          </w:p>
        </w:tc>
        <w:tc>
          <w:tcPr>
            <w:tcW w:w="3289" w:type="dxa"/>
            <w:vAlign w:val="center"/>
          </w:tcPr>
          <w:p w14:paraId="5B89C363" w14:textId="43170608" w:rsidR="00736E05" w:rsidRPr="00270C08" w:rsidRDefault="005260E5" w:rsidP="00304BAF">
            <w:pPr>
              <w:pStyle w:val="NoSpacing"/>
              <w:jc w:val="center"/>
              <w:rPr>
                <w:b/>
                <w:sz w:val="20"/>
                <w:szCs w:val="20"/>
                <w:u w:val="single"/>
              </w:rPr>
            </w:pPr>
            <w:r w:rsidRPr="00270C08">
              <w:rPr>
                <w:sz w:val="20"/>
                <w:szCs w:val="20"/>
              </w:rPr>
              <w:t>activity</w:t>
            </w:r>
          </w:p>
        </w:tc>
      </w:tr>
      <w:tr w:rsidR="00B120C0" w14:paraId="40BB2710" w14:textId="77777777" w:rsidTr="00577F8D">
        <w:tc>
          <w:tcPr>
            <w:tcW w:w="1051" w:type="dxa"/>
            <w:vMerge/>
            <w:vAlign w:val="center"/>
          </w:tcPr>
          <w:p w14:paraId="22D68D2E" w14:textId="77777777" w:rsidR="00736E05" w:rsidRDefault="00736E05" w:rsidP="006F4877">
            <w:pPr>
              <w:pStyle w:val="NoSpacing"/>
              <w:jc w:val="center"/>
              <w:rPr>
                <w:b/>
                <w:u w:val="single"/>
              </w:rPr>
            </w:pPr>
          </w:p>
        </w:tc>
        <w:tc>
          <w:tcPr>
            <w:tcW w:w="2305" w:type="dxa"/>
            <w:vAlign w:val="center"/>
          </w:tcPr>
          <w:p w14:paraId="1BF2E7F8" w14:textId="0B117193" w:rsidR="00736E05" w:rsidRPr="007971BF" w:rsidRDefault="005260E5" w:rsidP="00304BAF">
            <w:pPr>
              <w:pStyle w:val="NoSpacing"/>
              <w:jc w:val="center"/>
            </w:pPr>
            <w:r>
              <w:t>intent_of_injury</w:t>
            </w:r>
            <w:r>
              <w:rPr>
                <w:vertAlign w:val="superscript"/>
              </w:rPr>
              <w:t>2</w:t>
            </w:r>
          </w:p>
        </w:tc>
        <w:tc>
          <w:tcPr>
            <w:tcW w:w="2159" w:type="dxa"/>
            <w:shd w:val="clear" w:color="auto" w:fill="D9D9D9" w:themeFill="background1" w:themeFillShade="D9"/>
            <w:vAlign w:val="center"/>
          </w:tcPr>
          <w:p w14:paraId="50B9C8CB" w14:textId="76220EA3" w:rsidR="00736E05" w:rsidRPr="00270C08" w:rsidRDefault="00736E05" w:rsidP="00304BAF">
            <w:pPr>
              <w:pStyle w:val="NoSpacing"/>
              <w:jc w:val="center"/>
              <w:rPr>
                <w:b/>
                <w:sz w:val="20"/>
                <w:szCs w:val="20"/>
                <w:u w:val="single"/>
              </w:rPr>
            </w:pPr>
          </w:p>
        </w:tc>
        <w:tc>
          <w:tcPr>
            <w:tcW w:w="2702" w:type="dxa"/>
            <w:vAlign w:val="center"/>
          </w:tcPr>
          <w:p w14:paraId="0258FA54" w14:textId="7DD49C6D" w:rsidR="00736E05" w:rsidRPr="00270C08" w:rsidRDefault="005260E5" w:rsidP="00304BAF">
            <w:pPr>
              <w:pStyle w:val="NoSpacing"/>
              <w:jc w:val="center"/>
              <w:rPr>
                <w:b/>
                <w:sz w:val="20"/>
                <w:szCs w:val="20"/>
                <w:u w:val="single"/>
              </w:rPr>
            </w:pPr>
            <w:proofErr w:type="spellStart"/>
            <w:r w:rsidRPr="00270C08">
              <w:rPr>
                <w:sz w:val="20"/>
                <w:szCs w:val="20"/>
              </w:rPr>
              <w:t>intentofinjurycode</w:t>
            </w:r>
            <w:proofErr w:type="spellEnd"/>
          </w:p>
        </w:tc>
        <w:tc>
          <w:tcPr>
            <w:tcW w:w="3289" w:type="dxa"/>
            <w:vAlign w:val="center"/>
          </w:tcPr>
          <w:p w14:paraId="2A880F2E" w14:textId="74867E7F" w:rsidR="00736E05" w:rsidRPr="00270C08" w:rsidRDefault="005260E5" w:rsidP="00304BAF">
            <w:pPr>
              <w:pStyle w:val="NoSpacing"/>
              <w:jc w:val="center"/>
              <w:rPr>
                <w:b/>
                <w:sz w:val="20"/>
                <w:szCs w:val="20"/>
                <w:u w:val="single"/>
              </w:rPr>
            </w:pPr>
            <w:proofErr w:type="spellStart"/>
            <w:r w:rsidRPr="00270C08">
              <w:rPr>
                <w:sz w:val="20"/>
                <w:szCs w:val="20"/>
              </w:rPr>
              <w:t>attend_group</w:t>
            </w:r>
            <w:proofErr w:type="spellEnd"/>
          </w:p>
        </w:tc>
      </w:tr>
      <w:tr w:rsidR="00B120C0" w14:paraId="6DFAD5DC" w14:textId="77777777" w:rsidTr="00577F8D">
        <w:tc>
          <w:tcPr>
            <w:tcW w:w="1051" w:type="dxa"/>
            <w:vMerge/>
            <w:vAlign w:val="center"/>
          </w:tcPr>
          <w:p w14:paraId="66DAD09F" w14:textId="77777777" w:rsidR="00C80105" w:rsidRDefault="00C80105" w:rsidP="006F4877">
            <w:pPr>
              <w:pStyle w:val="NoSpacing"/>
              <w:jc w:val="center"/>
              <w:rPr>
                <w:b/>
                <w:u w:val="single"/>
              </w:rPr>
            </w:pPr>
          </w:p>
        </w:tc>
        <w:tc>
          <w:tcPr>
            <w:tcW w:w="2305" w:type="dxa"/>
            <w:vAlign w:val="center"/>
          </w:tcPr>
          <w:p w14:paraId="73824E62" w14:textId="70A6CBEE" w:rsidR="00C80105" w:rsidRPr="007971BF" w:rsidRDefault="005260E5" w:rsidP="00304BAF">
            <w:pPr>
              <w:pStyle w:val="NoSpacing"/>
              <w:jc w:val="center"/>
            </w:pPr>
            <w:r>
              <w:t>patient_group</w:t>
            </w:r>
            <w:r w:rsidRPr="0001240F">
              <w:rPr>
                <w:vertAlign w:val="superscript"/>
              </w:rPr>
              <w:t>1</w:t>
            </w:r>
          </w:p>
        </w:tc>
        <w:tc>
          <w:tcPr>
            <w:tcW w:w="2159" w:type="dxa"/>
            <w:vAlign w:val="center"/>
          </w:tcPr>
          <w:p w14:paraId="6905F1A5" w14:textId="3C8922AF" w:rsidR="00C80105" w:rsidRPr="00270C08" w:rsidRDefault="005260E5" w:rsidP="00304BAF">
            <w:pPr>
              <w:pStyle w:val="NoSpacing"/>
              <w:jc w:val="center"/>
              <w:rPr>
                <w:b/>
                <w:sz w:val="20"/>
                <w:szCs w:val="20"/>
                <w:u w:val="single"/>
              </w:rPr>
            </w:pPr>
            <w:proofErr w:type="spellStart"/>
            <w:r w:rsidRPr="00270C08">
              <w:rPr>
                <w:sz w:val="20"/>
                <w:szCs w:val="20"/>
              </w:rPr>
              <w:t>aepatgroup</w:t>
            </w:r>
            <w:proofErr w:type="spellEnd"/>
          </w:p>
        </w:tc>
        <w:tc>
          <w:tcPr>
            <w:tcW w:w="2702" w:type="dxa"/>
            <w:shd w:val="clear" w:color="auto" w:fill="D9D9D9" w:themeFill="background1" w:themeFillShade="D9"/>
            <w:vAlign w:val="center"/>
          </w:tcPr>
          <w:p w14:paraId="24144473" w14:textId="77777777" w:rsidR="00C80105" w:rsidRPr="00270C08" w:rsidRDefault="00C80105" w:rsidP="00304BAF">
            <w:pPr>
              <w:pStyle w:val="NoSpacing"/>
              <w:jc w:val="center"/>
              <w:rPr>
                <w:b/>
                <w:sz w:val="20"/>
                <w:szCs w:val="20"/>
                <w:u w:val="single"/>
              </w:rPr>
            </w:pPr>
          </w:p>
        </w:tc>
        <w:tc>
          <w:tcPr>
            <w:tcW w:w="3289" w:type="dxa"/>
            <w:shd w:val="clear" w:color="auto" w:fill="D9D9D9" w:themeFill="background1" w:themeFillShade="D9"/>
            <w:vAlign w:val="center"/>
          </w:tcPr>
          <w:p w14:paraId="3892ACC5" w14:textId="77777777" w:rsidR="00C80105" w:rsidRPr="00270C08" w:rsidRDefault="00C80105" w:rsidP="00304BAF">
            <w:pPr>
              <w:pStyle w:val="NoSpacing"/>
              <w:jc w:val="center"/>
              <w:rPr>
                <w:b/>
                <w:sz w:val="20"/>
                <w:szCs w:val="20"/>
                <w:u w:val="single"/>
              </w:rPr>
            </w:pPr>
          </w:p>
        </w:tc>
      </w:tr>
      <w:tr w:rsidR="00B120C0" w14:paraId="049F69FA" w14:textId="77777777" w:rsidTr="00577F8D">
        <w:tc>
          <w:tcPr>
            <w:tcW w:w="1051" w:type="dxa"/>
            <w:vMerge/>
            <w:vAlign w:val="center"/>
          </w:tcPr>
          <w:p w14:paraId="4AEB4006" w14:textId="77777777" w:rsidR="00C80105" w:rsidRDefault="00C80105" w:rsidP="006F4877">
            <w:pPr>
              <w:pStyle w:val="NoSpacing"/>
              <w:jc w:val="center"/>
              <w:rPr>
                <w:b/>
                <w:u w:val="single"/>
              </w:rPr>
            </w:pPr>
          </w:p>
        </w:tc>
        <w:tc>
          <w:tcPr>
            <w:tcW w:w="2305" w:type="dxa"/>
            <w:vAlign w:val="center"/>
          </w:tcPr>
          <w:p w14:paraId="3E03FD9F" w14:textId="382AEEEE" w:rsidR="00C80105" w:rsidRPr="007971BF" w:rsidRDefault="005260E5" w:rsidP="00304BAF">
            <w:pPr>
              <w:pStyle w:val="NoSpacing"/>
              <w:jc w:val="center"/>
            </w:pPr>
            <w:r>
              <w:t>referral_source</w:t>
            </w:r>
            <w:r>
              <w:rPr>
                <w:vertAlign w:val="superscript"/>
              </w:rPr>
              <w:t>2</w:t>
            </w:r>
          </w:p>
        </w:tc>
        <w:tc>
          <w:tcPr>
            <w:tcW w:w="2159" w:type="dxa"/>
            <w:vAlign w:val="center"/>
          </w:tcPr>
          <w:p w14:paraId="3A2595A1" w14:textId="0A65488C" w:rsidR="00C80105" w:rsidRPr="00270C08" w:rsidRDefault="005260E5" w:rsidP="00304BAF">
            <w:pPr>
              <w:pStyle w:val="NoSpacing"/>
              <w:jc w:val="center"/>
              <w:rPr>
                <w:b/>
                <w:sz w:val="20"/>
                <w:szCs w:val="20"/>
                <w:u w:val="single"/>
              </w:rPr>
            </w:pPr>
            <w:proofErr w:type="spellStart"/>
            <w:r w:rsidRPr="00270C08">
              <w:rPr>
                <w:sz w:val="20"/>
                <w:szCs w:val="20"/>
              </w:rPr>
              <w:t>aerefsource</w:t>
            </w:r>
            <w:proofErr w:type="spellEnd"/>
          </w:p>
        </w:tc>
        <w:tc>
          <w:tcPr>
            <w:tcW w:w="2702" w:type="dxa"/>
            <w:vAlign w:val="center"/>
          </w:tcPr>
          <w:p w14:paraId="4EEA054C" w14:textId="1FC01CEE" w:rsidR="00C80105" w:rsidRPr="00270C08" w:rsidRDefault="005260E5" w:rsidP="00304BAF">
            <w:pPr>
              <w:pStyle w:val="NoSpacing"/>
              <w:jc w:val="center"/>
              <w:rPr>
                <w:b/>
                <w:sz w:val="20"/>
                <w:szCs w:val="20"/>
                <w:u w:val="single"/>
              </w:rPr>
            </w:pPr>
            <w:proofErr w:type="spellStart"/>
            <w:r w:rsidRPr="00270C08">
              <w:rPr>
                <w:sz w:val="20"/>
                <w:szCs w:val="20"/>
              </w:rPr>
              <w:t>referralsourcecode</w:t>
            </w:r>
            <w:proofErr w:type="spellEnd"/>
          </w:p>
        </w:tc>
        <w:tc>
          <w:tcPr>
            <w:tcW w:w="3289" w:type="dxa"/>
            <w:shd w:val="clear" w:color="auto" w:fill="D9D9D9" w:themeFill="background1" w:themeFillShade="D9"/>
            <w:vAlign w:val="center"/>
          </w:tcPr>
          <w:p w14:paraId="02DA1D37" w14:textId="77777777" w:rsidR="00C80105" w:rsidRPr="00270C08" w:rsidRDefault="00C80105" w:rsidP="00304BAF">
            <w:pPr>
              <w:pStyle w:val="NoSpacing"/>
              <w:jc w:val="center"/>
              <w:rPr>
                <w:b/>
                <w:sz w:val="20"/>
                <w:szCs w:val="20"/>
                <w:u w:val="single"/>
              </w:rPr>
            </w:pPr>
          </w:p>
        </w:tc>
      </w:tr>
      <w:tr w:rsidR="00B120C0" w14:paraId="6F431961" w14:textId="77777777" w:rsidTr="00577F8D">
        <w:tc>
          <w:tcPr>
            <w:tcW w:w="1051" w:type="dxa"/>
            <w:vMerge/>
            <w:vAlign w:val="center"/>
          </w:tcPr>
          <w:p w14:paraId="72B148A1" w14:textId="77777777" w:rsidR="00736E05" w:rsidRDefault="00736E05" w:rsidP="006F4877">
            <w:pPr>
              <w:pStyle w:val="NoSpacing"/>
              <w:jc w:val="center"/>
              <w:rPr>
                <w:b/>
                <w:u w:val="single"/>
              </w:rPr>
            </w:pPr>
          </w:p>
        </w:tc>
        <w:tc>
          <w:tcPr>
            <w:tcW w:w="2305" w:type="dxa"/>
            <w:vAlign w:val="center"/>
          </w:tcPr>
          <w:p w14:paraId="163C2ACA" w14:textId="5651F8B7" w:rsidR="00736E05" w:rsidRPr="007971BF" w:rsidRDefault="005260E5" w:rsidP="00304BAF">
            <w:pPr>
              <w:pStyle w:val="NoSpacing"/>
              <w:jc w:val="center"/>
            </w:pPr>
            <w:r>
              <w:t>date_arrival</w:t>
            </w:r>
            <w:r w:rsidRPr="0001240F">
              <w:rPr>
                <w:vertAlign w:val="superscript"/>
              </w:rPr>
              <w:t>1</w:t>
            </w:r>
          </w:p>
        </w:tc>
        <w:tc>
          <w:tcPr>
            <w:tcW w:w="2159" w:type="dxa"/>
            <w:vAlign w:val="center"/>
          </w:tcPr>
          <w:p w14:paraId="1D4237B7" w14:textId="485B2163" w:rsidR="00736E05" w:rsidRPr="00270C08" w:rsidRDefault="005260E5" w:rsidP="00304BAF">
            <w:pPr>
              <w:pStyle w:val="NoSpacing"/>
              <w:jc w:val="center"/>
              <w:rPr>
                <w:b/>
                <w:sz w:val="20"/>
                <w:szCs w:val="20"/>
                <w:u w:val="single"/>
              </w:rPr>
            </w:pPr>
            <w:proofErr w:type="spellStart"/>
            <w:r w:rsidRPr="00270C08">
              <w:rPr>
                <w:sz w:val="20"/>
                <w:szCs w:val="20"/>
              </w:rPr>
              <w:t>arrivaldate</w:t>
            </w:r>
            <w:proofErr w:type="spellEnd"/>
          </w:p>
        </w:tc>
        <w:tc>
          <w:tcPr>
            <w:tcW w:w="2702" w:type="dxa"/>
            <w:vAlign w:val="center"/>
          </w:tcPr>
          <w:p w14:paraId="10602107" w14:textId="481DD57D" w:rsidR="00736E05" w:rsidRPr="00270C08" w:rsidRDefault="005260E5" w:rsidP="00304BAF">
            <w:pPr>
              <w:pStyle w:val="NoSpacing"/>
              <w:jc w:val="center"/>
              <w:rPr>
                <w:b/>
                <w:sz w:val="20"/>
                <w:szCs w:val="20"/>
                <w:u w:val="single"/>
              </w:rPr>
            </w:pPr>
            <w:proofErr w:type="spellStart"/>
            <w:r w:rsidRPr="00270C08">
              <w:rPr>
                <w:sz w:val="20"/>
                <w:szCs w:val="20"/>
              </w:rPr>
              <w:t>arrivaldate</w:t>
            </w:r>
            <w:proofErr w:type="spellEnd"/>
          </w:p>
        </w:tc>
        <w:tc>
          <w:tcPr>
            <w:tcW w:w="3289" w:type="dxa"/>
            <w:vAlign w:val="center"/>
          </w:tcPr>
          <w:p w14:paraId="52DFD033" w14:textId="35974FB8" w:rsidR="00736E05" w:rsidRPr="00270C08" w:rsidRDefault="005260E5" w:rsidP="00304BAF">
            <w:pPr>
              <w:pStyle w:val="NoSpacing"/>
              <w:jc w:val="center"/>
              <w:rPr>
                <w:b/>
                <w:sz w:val="20"/>
                <w:szCs w:val="20"/>
                <w:u w:val="single"/>
              </w:rPr>
            </w:pPr>
            <w:proofErr w:type="spellStart"/>
            <w:r w:rsidRPr="00270C08">
              <w:rPr>
                <w:sz w:val="20"/>
                <w:szCs w:val="20"/>
              </w:rPr>
              <w:t>admin_arr_dt</w:t>
            </w:r>
            <w:proofErr w:type="spellEnd"/>
          </w:p>
        </w:tc>
      </w:tr>
      <w:tr w:rsidR="00B120C0" w14:paraId="1AB94DC8" w14:textId="77777777" w:rsidTr="00577F8D">
        <w:tc>
          <w:tcPr>
            <w:tcW w:w="1051" w:type="dxa"/>
            <w:vMerge/>
            <w:vAlign w:val="center"/>
          </w:tcPr>
          <w:p w14:paraId="7C318ACE" w14:textId="77777777" w:rsidR="00736E05" w:rsidRDefault="00736E05" w:rsidP="006F4877">
            <w:pPr>
              <w:pStyle w:val="NoSpacing"/>
              <w:jc w:val="center"/>
              <w:rPr>
                <w:b/>
                <w:u w:val="single"/>
              </w:rPr>
            </w:pPr>
          </w:p>
        </w:tc>
        <w:tc>
          <w:tcPr>
            <w:tcW w:w="2305" w:type="dxa"/>
            <w:vAlign w:val="center"/>
          </w:tcPr>
          <w:p w14:paraId="13A708AF" w14:textId="1284289F" w:rsidR="00736E05" w:rsidRPr="007971BF" w:rsidRDefault="005260E5" w:rsidP="00304BAF">
            <w:pPr>
              <w:pStyle w:val="NoSpacing"/>
              <w:jc w:val="center"/>
            </w:pPr>
            <w:r>
              <w:t>time_arrival</w:t>
            </w:r>
            <w:r w:rsidRPr="0001240F">
              <w:rPr>
                <w:vertAlign w:val="superscript"/>
              </w:rPr>
              <w:t>1</w:t>
            </w:r>
          </w:p>
        </w:tc>
        <w:tc>
          <w:tcPr>
            <w:tcW w:w="2159" w:type="dxa"/>
            <w:vAlign w:val="center"/>
          </w:tcPr>
          <w:p w14:paraId="0A04E131" w14:textId="55ECF1A0" w:rsidR="00736E05" w:rsidRPr="00270C08" w:rsidRDefault="005260E5" w:rsidP="00304BAF">
            <w:pPr>
              <w:pStyle w:val="NoSpacing"/>
              <w:jc w:val="center"/>
              <w:rPr>
                <w:b/>
                <w:sz w:val="20"/>
                <w:szCs w:val="20"/>
                <w:u w:val="single"/>
              </w:rPr>
            </w:pPr>
            <w:proofErr w:type="spellStart"/>
            <w:r w:rsidRPr="00270C08">
              <w:rPr>
                <w:sz w:val="20"/>
                <w:szCs w:val="20"/>
              </w:rPr>
              <w:t>arrivaltime</w:t>
            </w:r>
            <w:proofErr w:type="spellEnd"/>
          </w:p>
        </w:tc>
        <w:tc>
          <w:tcPr>
            <w:tcW w:w="2702" w:type="dxa"/>
            <w:vAlign w:val="center"/>
          </w:tcPr>
          <w:p w14:paraId="783FD071" w14:textId="7CD076FC" w:rsidR="00736E05" w:rsidRPr="00270C08" w:rsidRDefault="005260E5" w:rsidP="00304BAF">
            <w:pPr>
              <w:pStyle w:val="NoSpacing"/>
              <w:jc w:val="center"/>
              <w:rPr>
                <w:b/>
                <w:sz w:val="20"/>
                <w:szCs w:val="20"/>
                <w:u w:val="single"/>
              </w:rPr>
            </w:pPr>
            <w:proofErr w:type="spellStart"/>
            <w:r w:rsidRPr="00270C08">
              <w:rPr>
                <w:sz w:val="20"/>
                <w:szCs w:val="20"/>
              </w:rPr>
              <w:t>arrivaltime</w:t>
            </w:r>
            <w:proofErr w:type="spellEnd"/>
          </w:p>
        </w:tc>
        <w:tc>
          <w:tcPr>
            <w:tcW w:w="3289" w:type="dxa"/>
            <w:vAlign w:val="center"/>
          </w:tcPr>
          <w:p w14:paraId="432C6F5E" w14:textId="734377EE" w:rsidR="00736E05" w:rsidRPr="00270C08" w:rsidRDefault="005260E5" w:rsidP="00304BAF">
            <w:pPr>
              <w:pStyle w:val="NoSpacing"/>
              <w:jc w:val="center"/>
              <w:rPr>
                <w:b/>
                <w:sz w:val="20"/>
                <w:szCs w:val="20"/>
                <w:u w:val="single"/>
              </w:rPr>
            </w:pPr>
            <w:proofErr w:type="spellStart"/>
            <w:r w:rsidRPr="00270C08">
              <w:rPr>
                <w:sz w:val="20"/>
                <w:szCs w:val="20"/>
              </w:rPr>
              <w:t>admin_arr_tm</w:t>
            </w:r>
            <w:proofErr w:type="spellEnd"/>
          </w:p>
        </w:tc>
      </w:tr>
      <w:tr w:rsidR="00B120C0" w14:paraId="73753931" w14:textId="77777777" w:rsidTr="00577F8D">
        <w:tc>
          <w:tcPr>
            <w:tcW w:w="1051" w:type="dxa"/>
            <w:vMerge/>
            <w:vAlign w:val="center"/>
          </w:tcPr>
          <w:p w14:paraId="51E9A2F5" w14:textId="77777777" w:rsidR="00736E05" w:rsidRDefault="00736E05" w:rsidP="006F4877">
            <w:pPr>
              <w:pStyle w:val="NoSpacing"/>
              <w:jc w:val="center"/>
              <w:rPr>
                <w:b/>
                <w:u w:val="single"/>
              </w:rPr>
            </w:pPr>
          </w:p>
        </w:tc>
        <w:tc>
          <w:tcPr>
            <w:tcW w:w="2305" w:type="dxa"/>
            <w:vAlign w:val="center"/>
          </w:tcPr>
          <w:p w14:paraId="0B1D7EC7" w14:textId="0707CEA2" w:rsidR="00736E05" w:rsidRPr="007971BF" w:rsidRDefault="005260E5" w:rsidP="00304BAF">
            <w:pPr>
              <w:pStyle w:val="NoSpacing"/>
              <w:jc w:val="center"/>
            </w:pPr>
            <w:r>
              <w:t>time_inital</w:t>
            </w:r>
            <w:r w:rsidRPr="0001240F">
              <w:rPr>
                <w:vertAlign w:val="superscript"/>
              </w:rPr>
              <w:t>1</w:t>
            </w:r>
          </w:p>
        </w:tc>
        <w:tc>
          <w:tcPr>
            <w:tcW w:w="2159" w:type="dxa"/>
            <w:vAlign w:val="center"/>
          </w:tcPr>
          <w:p w14:paraId="05954FBE" w14:textId="6FC6AD95" w:rsidR="00736E05" w:rsidRPr="00270C08" w:rsidRDefault="005260E5" w:rsidP="00304BAF">
            <w:pPr>
              <w:pStyle w:val="NoSpacing"/>
              <w:jc w:val="center"/>
              <w:rPr>
                <w:b/>
                <w:sz w:val="20"/>
                <w:szCs w:val="20"/>
                <w:u w:val="single"/>
              </w:rPr>
            </w:pPr>
            <w:proofErr w:type="spellStart"/>
            <w:r w:rsidRPr="00270C08">
              <w:rPr>
                <w:sz w:val="20"/>
                <w:szCs w:val="20"/>
              </w:rPr>
              <w:t>inittime</w:t>
            </w:r>
            <w:proofErr w:type="spellEnd"/>
          </w:p>
        </w:tc>
        <w:tc>
          <w:tcPr>
            <w:tcW w:w="2702" w:type="dxa"/>
            <w:shd w:val="clear" w:color="auto" w:fill="D9D9D9" w:themeFill="background1" w:themeFillShade="D9"/>
            <w:vAlign w:val="center"/>
          </w:tcPr>
          <w:p w14:paraId="4C20EF62" w14:textId="77777777" w:rsidR="00736E05" w:rsidRPr="00270C08" w:rsidRDefault="00736E05" w:rsidP="00304BAF">
            <w:pPr>
              <w:pStyle w:val="NoSpacing"/>
              <w:jc w:val="center"/>
              <w:rPr>
                <w:b/>
                <w:sz w:val="20"/>
                <w:szCs w:val="20"/>
                <w:u w:val="single"/>
              </w:rPr>
            </w:pPr>
          </w:p>
        </w:tc>
        <w:tc>
          <w:tcPr>
            <w:tcW w:w="3289" w:type="dxa"/>
            <w:shd w:val="clear" w:color="auto" w:fill="D9D9D9" w:themeFill="background1" w:themeFillShade="D9"/>
            <w:vAlign w:val="center"/>
          </w:tcPr>
          <w:p w14:paraId="268C67C2" w14:textId="77777777" w:rsidR="00736E05" w:rsidRPr="00270C08" w:rsidRDefault="00736E05" w:rsidP="00304BAF">
            <w:pPr>
              <w:pStyle w:val="NoSpacing"/>
              <w:jc w:val="center"/>
              <w:rPr>
                <w:b/>
                <w:sz w:val="20"/>
                <w:szCs w:val="20"/>
                <w:u w:val="single"/>
              </w:rPr>
            </w:pPr>
          </w:p>
        </w:tc>
      </w:tr>
      <w:tr w:rsidR="00B120C0" w14:paraId="6F05F144" w14:textId="77777777" w:rsidTr="00577F8D">
        <w:tc>
          <w:tcPr>
            <w:tcW w:w="1051" w:type="dxa"/>
            <w:vMerge/>
            <w:vAlign w:val="center"/>
          </w:tcPr>
          <w:p w14:paraId="73200415" w14:textId="77777777" w:rsidR="00736E05" w:rsidRDefault="00736E05" w:rsidP="006F4877">
            <w:pPr>
              <w:pStyle w:val="NoSpacing"/>
              <w:jc w:val="center"/>
              <w:rPr>
                <w:b/>
                <w:u w:val="single"/>
              </w:rPr>
            </w:pPr>
          </w:p>
        </w:tc>
        <w:tc>
          <w:tcPr>
            <w:tcW w:w="2305" w:type="dxa"/>
            <w:vAlign w:val="center"/>
          </w:tcPr>
          <w:p w14:paraId="2E49A06D" w14:textId="4BB05AFD" w:rsidR="00736E05" w:rsidRPr="007971BF" w:rsidRDefault="005260E5" w:rsidP="00304BAF">
            <w:pPr>
              <w:pStyle w:val="NoSpacing"/>
              <w:jc w:val="center"/>
            </w:pPr>
            <w:r>
              <w:t>time_treatment</w:t>
            </w:r>
            <w:r w:rsidRPr="0001240F">
              <w:rPr>
                <w:vertAlign w:val="superscript"/>
              </w:rPr>
              <w:t>1</w:t>
            </w:r>
          </w:p>
        </w:tc>
        <w:tc>
          <w:tcPr>
            <w:tcW w:w="2159" w:type="dxa"/>
            <w:vAlign w:val="center"/>
          </w:tcPr>
          <w:p w14:paraId="599C46BE" w14:textId="4C976B5C" w:rsidR="00736E05" w:rsidRPr="00270C08" w:rsidRDefault="005260E5" w:rsidP="00304BAF">
            <w:pPr>
              <w:pStyle w:val="NoSpacing"/>
              <w:jc w:val="center"/>
              <w:rPr>
                <w:b/>
                <w:sz w:val="20"/>
                <w:szCs w:val="20"/>
                <w:u w:val="single"/>
              </w:rPr>
            </w:pPr>
            <w:proofErr w:type="spellStart"/>
            <w:r w:rsidRPr="00270C08">
              <w:rPr>
                <w:sz w:val="20"/>
                <w:szCs w:val="20"/>
              </w:rPr>
              <w:t>trettime</w:t>
            </w:r>
            <w:proofErr w:type="spellEnd"/>
          </w:p>
        </w:tc>
        <w:tc>
          <w:tcPr>
            <w:tcW w:w="2702" w:type="dxa"/>
            <w:vAlign w:val="center"/>
          </w:tcPr>
          <w:p w14:paraId="5B52DC5C" w14:textId="2AA42CD5" w:rsidR="00736E05" w:rsidRPr="00270C08" w:rsidRDefault="005260E5" w:rsidP="00304BAF">
            <w:pPr>
              <w:pStyle w:val="NoSpacing"/>
              <w:jc w:val="center"/>
              <w:rPr>
                <w:b/>
                <w:sz w:val="20"/>
                <w:szCs w:val="20"/>
                <w:u w:val="single"/>
              </w:rPr>
            </w:pPr>
            <w:proofErr w:type="spellStart"/>
            <w:r w:rsidRPr="00270C08">
              <w:rPr>
                <w:sz w:val="20"/>
                <w:szCs w:val="20"/>
              </w:rPr>
              <w:t>fcatime</w:t>
            </w:r>
            <w:proofErr w:type="spellEnd"/>
          </w:p>
        </w:tc>
        <w:tc>
          <w:tcPr>
            <w:tcW w:w="3289" w:type="dxa"/>
            <w:shd w:val="clear" w:color="auto" w:fill="D9D9D9" w:themeFill="background1" w:themeFillShade="D9"/>
            <w:vAlign w:val="center"/>
          </w:tcPr>
          <w:p w14:paraId="14DCA07F" w14:textId="77777777" w:rsidR="00736E05" w:rsidRPr="00270C08" w:rsidRDefault="00736E05" w:rsidP="00304BAF">
            <w:pPr>
              <w:pStyle w:val="NoSpacing"/>
              <w:jc w:val="center"/>
              <w:rPr>
                <w:b/>
                <w:sz w:val="20"/>
                <w:szCs w:val="20"/>
                <w:u w:val="single"/>
              </w:rPr>
            </w:pPr>
          </w:p>
        </w:tc>
      </w:tr>
      <w:tr w:rsidR="00B120C0" w14:paraId="5EA5E19D" w14:textId="77777777" w:rsidTr="00577F8D">
        <w:trPr>
          <w:trHeight w:val="297"/>
        </w:trPr>
        <w:tc>
          <w:tcPr>
            <w:tcW w:w="1051" w:type="dxa"/>
            <w:vMerge/>
            <w:vAlign w:val="center"/>
          </w:tcPr>
          <w:p w14:paraId="7373CE95" w14:textId="77777777" w:rsidR="00736E05" w:rsidRDefault="00736E05" w:rsidP="006F4877">
            <w:pPr>
              <w:pStyle w:val="NoSpacing"/>
              <w:jc w:val="center"/>
              <w:rPr>
                <w:b/>
                <w:u w:val="single"/>
              </w:rPr>
            </w:pPr>
          </w:p>
        </w:tc>
        <w:tc>
          <w:tcPr>
            <w:tcW w:w="2305" w:type="dxa"/>
            <w:vAlign w:val="center"/>
          </w:tcPr>
          <w:p w14:paraId="3CC91DF8" w14:textId="2C8D2F43" w:rsidR="00736E05" w:rsidRPr="007971BF" w:rsidRDefault="005260E5" w:rsidP="00304BAF">
            <w:pPr>
              <w:pStyle w:val="NoSpacing"/>
              <w:jc w:val="center"/>
            </w:pPr>
            <w:r>
              <w:t>time_conclusion</w:t>
            </w:r>
            <w:r w:rsidRPr="0001240F">
              <w:rPr>
                <w:vertAlign w:val="superscript"/>
              </w:rPr>
              <w:t>1</w:t>
            </w:r>
          </w:p>
        </w:tc>
        <w:tc>
          <w:tcPr>
            <w:tcW w:w="2159" w:type="dxa"/>
            <w:vAlign w:val="center"/>
          </w:tcPr>
          <w:p w14:paraId="0A8F860B" w14:textId="1D2E8F64" w:rsidR="00736E05" w:rsidRPr="00270C08" w:rsidRDefault="005260E5" w:rsidP="00304BAF">
            <w:pPr>
              <w:pStyle w:val="NoSpacing"/>
              <w:jc w:val="center"/>
              <w:rPr>
                <w:b/>
                <w:sz w:val="20"/>
                <w:szCs w:val="20"/>
                <w:u w:val="single"/>
              </w:rPr>
            </w:pPr>
            <w:proofErr w:type="spellStart"/>
            <w:r w:rsidRPr="00270C08">
              <w:rPr>
                <w:sz w:val="20"/>
                <w:szCs w:val="20"/>
              </w:rPr>
              <w:t>concltime</w:t>
            </w:r>
            <w:proofErr w:type="spellEnd"/>
          </w:p>
        </w:tc>
        <w:tc>
          <w:tcPr>
            <w:tcW w:w="2702" w:type="dxa"/>
            <w:vAlign w:val="center"/>
          </w:tcPr>
          <w:p w14:paraId="3F160A65" w14:textId="09D15076" w:rsidR="00736E05" w:rsidRPr="00270C08" w:rsidRDefault="005260E5" w:rsidP="00304BAF">
            <w:pPr>
              <w:pStyle w:val="NoSpacing"/>
              <w:jc w:val="center"/>
              <w:rPr>
                <w:b/>
                <w:sz w:val="20"/>
                <w:szCs w:val="20"/>
                <w:u w:val="single"/>
              </w:rPr>
            </w:pPr>
            <w:proofErr w:type="spellStart"/>
            <w:r w:rsidRPr="00270C08">
              <w:rPr>
                <w:sz w:val="20"/>
                <w:szCs w:val="20"/>
              </w:rPr>
              <w:t>cottime</w:t>
            </w:r>
            <w:proofErr w:type="spellEnd"/>
          </w:p>
        </w:tc>
        <w:tc>
          <w:tcPr>
            <w:tcW w:w="3289" w:type="dxa"/>
            <w:shd w:val="clear" w:color="auto" w:fill="D9D9D9" w:themeFill="background1" w:themeFillShade="D9"/>
            <w:vAlign w:val="center"/>
          </w:tcPr>
          <w:p w14:paraId="4B999996" w14:textId="77777777" w:rsidR="00736E05" w:rsidRPr="00270C08" w:rsidRDefault="00736E05" w:rsidP="00304BAF">
            <w:pPr>
              <w:pStyle w:val="NoSpacing"/>
              <w:jc w:val="center"/>
              <w:rPr>
                <w:b/>
                <w:sz w:val="20"/>
                <w:szCs w:val="20"/>
                <w:u w:val="single"/>
              </w:rPr>
            </w:pPr>
          </w:p>
        </w:tc>
      </w:tr>
      <w:tr w:rsidR="00B120C0" w14:paraId="276B91A4" w14:textId="77777777" w:rsidTr="00577F8D">
        <w:tc>
          <w:tcPr>
            <w:tcW w:w="1051" w:type="dxa"/>
            <w:vMerge/>
            <w:vAlign w:val="center"/>
          </w:tcPr>
          <w:p w14:paraId="1CCD20E0" w14:textId="77777777" w:rsidR="00736E05" w:rsidRDefault="00736E05" w:rsidP="006F4877">
            <w:pPr>
              <w:pStyle w:val="NoSpacing"/>
              <w:jc w:val="center"/>
              <w:rPr>
                <w:b/>
                <w:u w:val="single"/>
              </w:rPr>
            </w:pPr>
          </w:p>
        </w:tc>
        <w:tc>
          <w:tcPr>
            <w:tcW w:w="2305" w:type="dxa"/>
            <w:vAlign w:val="center"/>
          </w:tcPr>
          <w:p w14:paraId="0472E6E1" w14:textId="0D78F006" w:rsidR="00736E05" w:rsidRPr="007971BF" w:rsidRDefault="005260E5" w:rsidP="00304BAF">
            <w:pPr>
              <w:pStyle w:val="NoSpacing"/>
              <w:jc w:val="center"/>
            </w:pPr>
            <w:r>
              <w:t>time_depature</w:t>
            </w:r>
            <w:r w:rsidRPr="0001240F">
              <w:rPr>
                <w:vertAlign w:val="superscript"/>
              </w:rPr>
              <w:t>1</w:t>
            </w:r>
          </w:p>
        </w:tc>
        <w:tc>
          <w:tcPr>
            <w:tcW w:w="2159" w:type="dxa"/>
            <w:vAlign w:val="center"/>
          </w:tcPr>
          <w:p w14:paraId="470FED60" w14:textId="609507D7" w:rsidR="00736E05" w:rsidRPr="00270C08" w:rsidRDefault="005260E5" w:rsidP="00304BAF">
            <w:pPr>
              <w:pStyle w:val="NoSpacing"/>
              <w:jc w:val="center"/>
              <w:rPr>
                <w:b/>
                <w:sz w:val="20"/>
                <w:szCs w:val="20"/>
                <w:u w:val="single"/>
              </w:rPr>
            </w:pPr>
            <w:proofErr w:type="spellStart"/>
            <w:r w:rsidRPr="00270C08">
              <w:rPr>
                <w:sz w:val="20"/>
                <w:szCs w:val="20"/>
              </w:rPr>
              <w:t>deptime</w:t>
            </w:r>
            <w:proofErr w:type="spellEnd"/>
          </w:p>
        </w:tc>
        <w:tc>
          <w:tcPr>
            <w:tcW w:w="2702" w:type="dxa"/>
            <w:vAlign w:val="center"/>
          </w:tcPr>
          <w:p w14:paraId="49125916" w14:textId="41BC2522" w:rsidR="00736E05" w:rsidRPr="00270C08" w:rsidRDefault="005260E5" w:rsidP="00304BAF">
            <w:pPr>
              <w:pStyle w:val="NoSpacing"/>
              <w:jc w:val="center"/>
              <w:rPr>
                <w:b/>
                <w:sz w:val="20"/>
                <w:szCs w:val="20"/>
                <w:u w:val="single"/>
              </w:rPr>
            </w:pPr>
            <w:proofErr w:type="spellStart"/>
            <w:r w:rsidRPr="00270C08">
              <w:rPr>
                <w:sz w:val="20"/>
                <w:szCs w:val="20"/>
              </w:rPr>
              <w:t>dattime</w:t>
            </w:r>
            <w:proofErr w:type="spellEnd"/>
          </w:p>
        </w:tc>
        <w:tc>
          <w:tcPr>
            <w:tcW w:w="3289" w:type="dxa"/>
            <w:vAlign w:val="center"/>
          </w:tcPr>
          <w:p w14:paraId="5FF07955" w14:textId="3B9A48F0" w:rsidR="00736E05" w:rsidRPr="00270C08" w:rsidRDefault="005260E5" w:rsidP="00304BAF">
            <w:pPr>
              <w:pStyle w:val="NoSpacing"/>
              <w:jc w:val="center"/>
              <w:rPr>
                <w:b/>
                <w:sz w:val="20"/>
                <w:szCs w:val="20"/>
                <w:u w:val="single"/>
              </w:rPr>
            </w:pPr>
            <w:proofErr w:type="spellStart"/>
            <w:r w:rsidRPr="00270C08">
              <w:rPr>
                <w:sz w:val="20"/>
                <w:szCs w:val="20"/>
              </w:rPr>
              <w:t>admin_end_dt</w:t>
            </w:r>
            <w:proofErr w:type="spellEnd"/>
          </w:p>
        </w:tc>
      </w:tr>
      <w:tr w:rsidR="00B120C0" w14:paraId="18DE3929" w14:textId="77777777" w:rsidTr="00577F8D">
        <w:tc>
          <w:tcPr>
            <w:tcW w:w="1051" w:type="dxa"/>
            <w:vMerge w:val="restart"/>
            <w:textDirection w:val="tbRl"/>
            <w:vAlign w:val="center"/>
          </w:tcPr>
          <w:p w14:paraId="492524D1" w14:textId="22DE7876" w:rsidR="00A149DB" w:rsidRDefault="005260E5" w:rsidP="006F4877">
            <w:pPr>
              <w:pStyle w:val="NoSpacing"/>
              <w:ind w:left="113" w:right="113"/>
              <w:jc w:val="center"/>
            </w:pPr>
            <w:r>
              <w:t>diagnosis</w:t>
            </w:r>
          </w:p>
          <w:p w14:paraId="64BEF94C" w14:textId="24465658" w:rsidR="00A149DB" w:rsidRDefault="005260E5" w:rsidP="006F4877">
            <w:pPr>
              <w:pStyle w:val="NoSpacing"/>
              <w:ind w:left="113" w:right="113"/>
              <w:jc w:val="center"/>
              <w:rPr>
                <w:b/>
                <w:u w:val="single"/>
              </w:rPr>
            </w:pPr>
            <w:r>
              <w:t>classification</w:t>
            </w:r>
          </w:p>
        </w:tc>
        <w:tc>
          <w:tcPr>
            <w:tcW w:w="2305" w:type="dxa"/>
            <w:vAlign w:val="center"/>
          </w:tcPr>
          <w:p w14:paraId="0D6EC5B5" w14:textId="07173A21" w:rsidR="00A149DB" w:rsidRPr="007971BF" w:rsidRDefault="005260E5" w:rsidP="00304BAF">
            <w:pPr>
              <w:pStyle w:val="NoSpacing"/>
              <w:jc w:val="center"/>
            </w:pPr>
            <w:r>
              <w:t>diag_code_01-diag_code_12</w:t>
            </w:r>
            <w:r w:rsidRPr="0001240F">
              <w:rPr>
                <w:vertAlign w:val="superscript"/>
              </w:rPr>
              <w:t>1</w:t>
            </w:r>
          </w:p>
        </w:tc>
        <w:tc>
          <w:tcPr>
            <w:tcW w:w="2159" w:type="dxa"/>
            <w:vAlign w:val="center"/>
          </w:tcPr>
          <w:p w14:paraId="6DA37636" w14:textId="012AC1A8" w:rsidR="00A149DB" w:rsidRPr="00270C08" w:rsidRDefault="005260E5" w:rsidP="00304BAF">
            <w:pPr>
              <w:pStyle w:val="NoSpacing"/>
              <w:jc w:val="center"/>
              <w:rPr>
                <w:b/>
                <w:sz w:val="20"/>
                <w:szCs w:val="20"/>
                <w:u w:val="single"/>
              </w:rPr>
            </w:pPr>
            <w:r w:rsidRPr="00270C08">
              <w:rPr>
                <w:sz w:val="20"/>
                <w:szCs w:val="20"/>
              </w:rPr>
              <w:t>diag</w:t>
            </w:r>
            <w:r>
              <w:rPr>
                <w:sz w:val="20"/>
                <w:szCs w:val="20"/>
              </w:rPr>
              <w:t>2</w:t>
            </w:r>
            <w:r w:rsidRPr="00270C08">
              <w:rPr>
                <w:sz w:val="20"/>
                <w:szCs w:val="20"/>
              </w:rPr>
              <w:t>_01-diag</w:t>
            </w:r>
            <w:r>
              <w:rPr>
                <w:sz w:val="20"/>
                <w:szCs w:val="20"/>
              </w:rPr>
              <w:t>2</w:t>
            </w:r>
            <w:r w:rsidRPr="00270C08">
              <w:rPr>
                <w:sz w:val="20"/>
                <w:szCs w:val="20"/>
              </w:rPr>
              <w:t>_12</w:t>
            </w:r>
          </w:p>
        </w:tc>
        <w:tc>
          <w:tcPr>
            <w:tcW w:w="2702" w:type="dxa"/>
            <w:vAlign w:val="center"/>
          </w:tcPr>
          <w:p w14:paraId="32FADE12" w14:textId="0E1230DA" w:rsidR="00A149DB" w:rsidRPr="00270C08" w:rsidRDefault="005260E5" w:rsidP="00304BAF">
            <w:pPr>
              <w:pStyle w:val="NoSpacing"/>
              <w:jc w:val="center"/>
              <w:rPr>
                <w:b/>
                <w:sz w:val="20"/>
                <w:szCs w:val="20"/>
                <w:u w:val="single"/>
              </w:rPr>
            </w:pPr>
            <w:r w:rsidRPr="00270C08">
              <w:rPr>
                <w:sz w:val="20"/>
                <w:szCs w:val="20"/>
              </w:rPr>
              <w:t>diagnosis1code -diagnosis3code</w:t>
            </w:r>
          </w:p>
        </w:tc>
        <w:tc>
          <w:tcPr>
            <w:tcW w:w="3289" w:type="dxa"/>
            <w:vAlign w:val="center"/>
          </w:tcPr>
          <w:p w14:paraId="5D26141B" w14:textId="00F9E667" w:rsidR="00A149DB" w:rsidRPr="00270C08" w:rsidRDefault="005260E5" w:rsidP="00304BAF">
            <w:pPr>
              <w:pStyle w:val="NoSpacing"/>
              <w:jc w:val="center"/>
              <w:rPr>
                <w:b/>
                <w:sz w:val="20"/>
                <w:szCs w:val="20"/>
                <w:u w:val="single"/>
              </w:rPr>
            </w:pPr>
            <w:r w:rsidRPr="00270C08">
              <w:rPr>
                <w:sz w:val="20"/>
                <w:szCs w:val="20"/>
              </w:rPr>
              <w:t>diag_cd_1-diag_cd_6</w:t>
            </w:r>
          </w:p>
        </w:tc>
      </w:tr>
      <w:tr w:rsidR="00B120C0" w14:paraId="0C61596F" w14:textId="77777777" w:rsidTr="00577F8D">
        <w:tc>
          <w:tcPr>
            <w:tcW w:w="1051" w:type="dxa"/>
            <w:vMerge/>
            <w:vAlign w:val="center"/>
          </w:tcPr>
          <w:p w14:paraId="20439C35" w14:textId="47E61A05" w:rsidR="00A149DB" w:rsidRDefault="00A149DB" w:rsidP="006F4877">
            <w:pPr>
              <w:pStyle w:val="NoSpacing"/>
              <w:jc w:val="center"/>
              <w:rPr>
                <w:b/>
                <w:u w:val="single"/>
              </w:rPr>
            </w:pPr>
          </w:p>
        </w:tc>
        <w:tc>
          <w:tcPr>
            <w:tcW w:w="2305" w:type="dxa"/>
            <w:vAlign w:val="center"/>
          </w:tcPr>
          <w:p w14:paraId="5CCC6D93" w14:textId="60F4F8AC" w:rsidR="00A149DB" w:rsidRPr="007971BF" w:rsidRDefault="005260E5" w:rsidP="00304BAF">
            <w:pPr>
              <w:pStyle w:val="NoSpacing"/>
              <w:jc w:val="center"/>
            </w:pPr>
            <w:r>
              <w:t>presentation_freetext</w:t>
            </w:r>
            <w:r w:rsidRPr="0001240F">
              <w:rPr>
                <w:vertAlign w:val="superscript"/>
              </w:rPr>
              <w:t>1</w:t>
            </w:r>
          </w:p>
        </w:tc>
        <w:tc>
          <w:tcPr>
            <w:tcW w:w="2159" w:type="dxa"/>
            <w:shd w:val="clear" w:color="auto" w:fill="D9D9D9" w:themeFill="background1" w:themeFillShade="D9"/>
            <w:vAlign w:val="center"/>
          </w:tcPr>
          <w:p w14:paraId="299495D1" w14:textId="4C9B2469" w:rsidR="00A149DB" w:rsidRPr="00270C08" w:rsidRDefault="00A149DB" w:rsidP="00304BAF">
            <w:pPr>
              <w:pStyle w:val="NoSpacing"/>
              <w:jc w:val="center"/>
              <w:rPr>
                <w:b/>
                <w:sz w:val="20"/>
                <w:szCs w:val="20"/>
                <w:u w:val="single"/>
              </w:rPr>
            </w:pPr>
          </w:p>
        </w:tc>
        <w:tc>
          <w:tcPr>
            <w:tcW w:w="2702" w:type="dxa"/>
            <w:vAlign w:val="center"/>
          </w:tcPr>
          <w:p w14:paraId="44443E9A" w14:textId="3BCB0639" w:rsidR="00A149DB" w:rsidRPr="00270C08" w:rsidRDefault="005260E5" w:rsidP="00304BAF">
            <w:pPr>
              <w:pStyle w:val="NoSpacing"/>
              <w:jc w:val="center"/>
              <w:rPr>
                <w:b/>
                <w:sz w:val="20"/>
                <w:szCs w:val="20"/>
                <w:u w:val="single"/>
              </w:rPr>
            </w:pPr>
            <w:proofErr w:type="spellStart"/>
            <w:r w:rsidRPr="00270C08">
              <w:rPr>
                <w:sz w:val="20"/>
                <w:szCs w:val="20"/>
              </w:rPr>
              <w:t>presentingcomplainttext</w:t>
            </w:r>
            <w:proofErr w:type="spellEnd"/>
          </w:p>
        </w:tc>
        <w:tc>
          <w:tcPr>
            <w:tcW w:w="3289" w:type="dxa"/>
            <w:vAlign w:val="center"/>
          </w:tcPr>
          <w:p w14:paraId="09228552" w14:textId="6F4FAE1F" w:rsidR="00A149DB" w:rsidRPr="00270C08" w:rsidRDefault="005260E5" w:rsidP="00304BAF">
            <w:pPr>
              <w:pStyle w:val="NoSpacing"/>
              <w:jc w:val="center"/>
              <w:rPr>
                <w:b/>
                <w:sz w:val="20"/>
                <w:szCs w:val="20"/>
                <w:u w:val="single"/>
              </w:rPr>
            </w:pPr>
            <w:proofErr w:type="spellStart"/>
            <w:r w:rsidRPr="00270C08">
              <w:rPr>
                <w:sz w:val="20"/>
                <w:szCs w:val="20"/>
              </w:rPr>
              <w:t>presenting_complaint</w:t>
            </w:r>
            <w:proofErr w:type="spellEnd"/>
          </w:p>
        </w:tc>
      </w:tr>
      <w:tr w:rsidR="00B120C0" w14:paraId="6D52C3E6" w14:textId="77777777" w:rsidTr="00577F8D">
        <w:tc>
          <w:tcPr>
            <w:tcW w:w="1051" w:type="dxa"/>
            <w:vMerge/>
            <w:vAlign w:val="center"/>
          </w:tcPr>
          <w:p w14:paraId="0DB0A51C" w14:textId="62A9E281" w:rsidR="00A149DB" w:rsidRDefault="00A149DB" w:rsidP="006F4877">
            <w:pPr>
              <w:pStyle w:val="NoSpacing"/>
              <w:jc w:val="center"/>
              <w:rPr>
                <w:b/>
                <w:u w:val="single"/>
              </w:rPr>
            </w:pPr>
          </w:p>
        </w:tc>
        <w:tc>
          <w:tcPr>
            <w:tcW w:w="2305" w:type="dxa"/>
            <w:vAlign w:val="center"/>
          </w:tcPr>
          <w:p w14:paraId="4CBAD5F9" w14:textId="466627A0" w:rsidR="00A149DB" w:rsidRPr="007971BF" w:rsidRDefault="005260E5" w:rsidP="00304BAF">
            <w:pPr>
              <w:pStyle w:val="NoSpacing"/>
              <w:jc w:val="center"/>
            </w:pPr>
            <w:r>
              <w:t>type_injury</w:t>
            </w:r>
            <w:r w:rsidRPr="0001240F">
              <w:rPr>
                <w:vertAlign w:val="superscript"/>
              </w:rPr>
              <w:t>1</w:t>
            </w:r>
          </w:p>
        </w:tc>
        <w:tc>
          <w:tcPr>
            <w:tcW w:w="2159" w:type="dxa"/>
            <w:shd w:val="clear" w:color="auto" w:fill="D9D9D9" w:themeFill="background1" w:themeFillShade="D9"/>
            <w:vAlign w:val="center"/>
          </w:tcPr>
          <w:p w14:paraId="36AF9124" w14:textId="411E5342" w:rsidR="00A149DB" w:rsidRPr="00270C08" w:rsidRDefault="00A149DB" w:rsidP="00304BAF">
            <w:pPr>
              <w:pStyle w:val="NoSpacing"/>
              <w:jc w:val="center"/>
              <w:rPr>
                <w:b/>
                <w:sz w:val="20"/>
                <w:szCs w:val="20"/>
                <w:u w:val="single"/>
              </w:rPr>
            </w:pPr>
          </w:p>
        </w:tc>
        <w:tc>
          <w:tcPr>
            <w:tcW w:w="2702" w:type="dxa"/>
            <w:vAlign w:val="center"/>
          </w:tcPr>
          <w:p w14:paraId="085FEA33" w14:textId="3A7C490A" w:rsidR="00A149DB" w:rsidRPr="00270C08" w:rsidRDefault="005260E5" w:rsidP="00304BAF">
            <w:pPr>
              <w:pStyle w:val="NoSpacing"/>
              <w:jc w:val="center"/>
              <w:rPr>
                <w:b/>
                <w:sz w:val="20"/>
                <w:szCs w:val="20"/>
                <w:u w:val="single"/>
              </w:rPr>
            </w:pPr>
            <w:proofErr w:type="spellStart"/>
            <w:r w:rsidRPr="00270C08">
              <w:rPr>
                <w:sz w:val="20"/>
                <w:szCs w:val="20"/>
              </w:rPr>
              <w:t>natureofinjurycode</w:t>
            </w:r>
            <w:proofErr w:type="spellEnd"/>
          </w:p>
        </w:tc>
        <w:tc>
          <w:tcPr>
            <w:tcW w:w="3289" w:type="dxa"/>
            <w:shd w:val="clear" w:color="auto" w:fill="D9D9D9" w:themeFill="background1" w:themeFillShade="D9"/>
            <w:vAlign w:val="center"/>
          </w:tcPr>
          <w:p w14:paraId="62A84B04" w14:textId="77777777" w:rsidR="00A149DB" w:rsidRPr="00270C08" w:rsidRDefault="00A149DB" w:rsidP="00304BAF">
            <w:pPr>
              <w:pStyle w:val="NoSpacing"/>
              <w:jc w:val="center"/>
              <w:rPr>
                <w:b/>
                <w:sz w:val="20"/>
                <w:szCs w:val="20"/>
                <w:u w:val="single"/>
              </w:rPr>
            </w:pPr>
          </w:p>
        </w:tc>
      </w:tr>
      <w:tr w:rsidR="00B120C0" w14:paraId="71679D3C" w14:textId="77777777" w:rsidTr="00577F8D">
        <w:tc>
          <w:tcPr>
            <w:tcW w:w="1051" w:type="dxa"/>
            <w:vMerge/>
            <w:vAlign w:val="center"/>
          </w:tcPr>
          <w:p w14:paraId="1B323A87" w14:textId="67F7B586" w:rsidR="00A149DB" w:rsidRDefault="00A149DB" w:rsidP="006F4877">
            <w:pPr>
              <w:pStyle w:val="NoSpacing"/>
              <w:jc w:val="center"/>
              <w:rPr>
                <w:b/>
                <w:u w:val="single"/>
              </w:rPr>
            </w:pPr>
          </w:p>
        </w:tc>
        <w:tc>
          <w:tcPr>
            <w:tcW w:w="2305" w:type="dxa"/>
            <w:vAlign w:val="center"/>
          </w:tcPr>
          <w:p w14:paraId="70FC1D23" w14:textId="1E628064" w:rsidR="00A149DB" w:rsidRPr="007971BF" w:rsidRDefault="005260E5" w:rsidP="00304BAF">
            <w:pPr>
              <w:pStyle w:val="NoSpacing"/>
              <w:jc w:val="center"/>
            </w:pPr>
            <w:r>
              <w:t>anatomical_area_01- anatomical_area_12</w:t>
            </w:r>
            <w:r w:rsidRPr="004E54FC">
              <w:rPr>
                <w:vertAlign w:val="superscript"/>
              </w:rPr>
              <w:t>1</w:t>
            </w:r>
          </w:p>
        </w:tc>
        <w:tc>
          <w:tcPr>
            <w:tcW w:w="2159" w:type="dxa"/>
            <w:vAlign w:val="center"/>
          </w:tcPr>
          <w:p w14:paraId="12F6CE97" w14:textId="24B73BC0" w:rsidR="00A149DB" w:rsidRPr="00270C08" w:rsidRDefault="005260E5" w:rsidP="00304BAF">
            <w:pPr>
              <w:pStyle w:val="NoSpacing"/>
              <w:jc w:val="center"/>
              <w:rPr>
                <w:b/>
                <w:sz w:val="20"/>
                <w:szCs w:val="20"/>
                <w:u w:val="single"/>
              </w:rPr>
            </w:pPr>
            <w:r w:rsidRPr="00270C08">
              <w:rPr>
                <w:sz w:val="20"/>
                <w:szCs w:val="20"/>
              </w:rPr>
              <w:t>diaga_01-diaga_12</w:t>
            </w:r>
          </w:p>
        </w:tc>
        <w:tc>
          <w:tcPr>
            <w:tcW w:w="2702" w:type="dxa"/>
            <w:vAlign w:val="center"/>
          </w:tcPr>
          <w:p w14:paraId="21602889" w14:textId="43A7E6CA" w:rsidR="00A149DB" w:rsidRPr="00270C08" w:rsidRDefault="005260E5" w:rsidP="00304BAF">
            <w:pPr>
              <w:pStyle w:val="NoSpacing"/>
              <w:jc w:val="center"/>
              <w:rPr>
                <w:b/>
                <w:sz w:val="20"/>
                <w:szCs w:val="20"/>
                <w:u w:val="single"/>
              </w:rPr>
            </w:pPr>
            <w:proofErr w:type="spellStart"/>
            <w:r w:rsidRPr="00270C08">
              <w:rPr>
                <w:sz w:val="20"/>
                <w:szCs w:val="20"/>
              </w:rPr>
              <w:t>bodilylocationofinjurycode</w:t>
            </w:r>
            <w:proofErr w:type="spellEnd"/>
          </w:p>
        </w:tc>
        <w:tc>
          <w:tcPr>
            <w:tcW w:w="3289" w:type="dxa"/>
            <w:vAlign w:val="center"/>
          </w:tcPr>
          <w:p w14:paraId="00FFD3A9" w14:textId="0EB32D1B" w:rsidR="00A149DB" w:rsidRPr="00270C08" w:rsidRDefault="005260E5" w:rsidP="00304BAF">
            <w:pPr>
              <w:pStyle w:val="NoSpacing"/>
              <w:jc w:val="center"/>
              <w:rPr>
                <w:b/>
                <w:sz w:val="20"/>
                <w:szCs w:val="20"/>
                <w:u w:val="single"/>
              </w:rPr>
            </w:pPr>
            <w:r w:rsidRPr="00270C08">
              <w:rPr>
                <w:sz w:val="20"/>
                <w:szCs w:val="20"/>
              </w:rPr>
              <w:t>anat_area_cd_1-anat_area_cd_6</w:t>
            </w:r>
          </w:p>
        </w:tc>
      </w:tr>
      <w:tr w:rsidR="00B120C0" w14:paraId="707579C8" w14:textId="77777777" w:rsidTr="00577F8D">
        <w:tc>
          <w:tcPr>
            <w:tcW w:w="1051" w:type="dxa"/>
            <w:vMerge/>
            <w:vAlign w:val="center"/>
          </w:tcPr>
          <w:p w14:paraId="30CBF667" w14:textId="7C85178D" w:rsidR="00A149DB" w:rsidRDefault="00A149DB" w:rsidP="006F4877">
            <w:pPr>
              <w:pStyle w:val="NoSpacing"/>
              <w:jc w:val="center"/>
              <w:rPr>
                <w:b/>
                <w:u w:val="single"/>
              </w:rPr>
            </w:pPr>
          </w:p>
        </w:tc>
        <w:tc>
          <w:tcPr>
            <w:tcW w:w="2305" w:type="dxa"/>
            <w:vAlign w:val="center"/>
          </w:tcPr>
          <w:p w14:paraId="1BB8A649" w14:textId="7EC9E8C8" w:rsidR="00A149DB" w:rsidRPr="007971BF" w:rsidRDefault="005260E5" w:rsidP="00304BAF">
            <w:pPr>
              <w:pStyle w:val="NoSpacing"/>
              <w:jc w:val="center"/>
            </w:pPr>
            <w:r>
              <w:t>anatomical_side_01-anatomical_side_12</w:t>
            </w:r>
            <w:r w:rsidRPr="00BD407F">
              <w:rPr>
                <w:vertAlign w:val="superscript"/>
              </w:rPr>
              <w:t>1</w:t>
            </w:r>
          </w:p>
        </w:tc>
        <w:tc>
          <w:tcPr>
            <w:tcW w:w="2159" w:type="dxa"/>
            <w:vAlign w:val="center"/>
          </w:tcPr>
          <w:p w14:paraId="15D00255" w14:textId="1AEAEA3C" w:rsidR="00A149DB" w:rsidRPr="00270C08" w:rsidRDefault="005260E5" w:rsidP="00304BAF">
            <w:pPr>
              <w:pStyle w:val="NoSpacing"/>
              <w:jc w:val="center"/>
              <w:rPr>
                <w:b/>
                <w:sz w:val="20"/>
                <w:szCs w:val="20"/>
                <w:u w:val="single"/>
              </w:rPr>
            </w:pPr>
            <w:r w:rsidRPr="00270C08">
              <w:rPr>
                <w:sz w:val="20"/>
                <w:szCs w:val="20"/>
              </w:rPr>
              <w:t>diags_01-diags_12</w:t>
            </w:r>
          </w:p>
        </w:tc>
        <w:tc>
          <w:tcPr>
            <w:tcW w:w="2702" w:type="dxa"/>
            <w:shd w:val="clear" w:color="auto" w:fill="D9D9D9" w:themeFill="background1" w:themeFillShade="D9"/>
            <w:vAlign w:val="center"/>
          </w:tcPr>
          <w:p w14:paraId="67F6391D" w14:textId="1CBDC3BF" w:rsidR="00A149DB" w:rsidRPr="00270C08" w:rsidRDefault="00A149DB" w:rsidP="00304BAF">
            <w:pPr>
              <w:pStyle w:val="NoSpacing"/>
              <w:jc w:val="center"/>
              <w:rPr>
                <w:b/>
                <w:sz w:val="20"/>
                <w:szCs w:val="20"/>
                <w:u w:val="single"/>
              </w:rPr>
            </w:pPr>
          </w:p>
        </w:tc>
        <w:tc>
          <w:tcPr>
            <w:tcW w:w="3289" w:type="dxa"/>
            <w:vAlign w:val="center"/>
          </w:tcPr>
          <w:p w14:paraId="6BF9FD40" w14:textId="26DE374E" w:rsidR="00A149DB" w:rsidRPr="00270C08" w:rsidRDefault="005260E5" w:rsidP="00304BAF">
            <w:pPr>
              <w:pStyle w:val="NoSpacing"/>
              <w:jc w:val="center"/>
              <w:rPr>
                <w:b/>
                <w:sz w:val="20"/>
                <w:szCs w:val="20"/>
                <w:u w:val="single"/>
              </w:rPr>
            </w:pPr>
            <w:r w:rsidRPr="00270C08">
              <w:rPr>
                <w:sz w:val="20"/>
                <w:szCs w:val="20"/>
              </w:rPr>
              <w:t>side_cd_1-side_cd_</w:t>
            </w:r>
            <w:r>
              <w:rPr>
                <w:sz w:val="20"/>
                <w:szCs w:val="20"/>
              </w:rPr>
              <w:t>6</w:t>
            </w:r>
          </w:p>
        </w:tc>
      </w:tr>
      <w:tr w:rsidR="00B120C0" w14:paraId="19256303" w14:textId="77777777" w:rsidTr="00577F8D">
        <w:trPr>
          <w:trHeight w:val="731"/>
        </w:trPr>
        <w:tc>
          <w:tcPr>
            <w:tcW w:w="1051" w:type="dxa"/>
            <w:vMerge w:val="restart"/>
            <w:textDirection w:val="tbRl"/>
            <w:vAlign w:val="center"/>
          </w:tcPr>
          <w:p w14:paraId="0EC79F39" w14:textId="321551F6" w:rsidR="004047B9" w:rsidRDefault="005260E5" w:rsidP="006F4877">
            <w:pPr>
              <w:pStyle w:val="NoSpacing"/>
              <w:ind w:left="113" w:right="113"/>
              <w:jc w:val="center"/>
            </w:pPr>
            <w:r>
              <w:t>treatment</w:t>
            </w:r>
          </w:p>
          <w:p w14:paraId="2C484D2C" w14:textId="5C30F2EA" w:rsidR="004047B9" w:rsidRDefault="005260E5" w:rsidP="006F4877">
            <w:pPr>
              <w:pStyle w:val="NoSpacing"/>
              <w:ind w:left="113" w:right="113"/>
              <w:jc w:val="center"/>
            </w:pPr>
            <w:r>
              <w:t>procedure</w:t>
            </w:r>
          </w:p>
          <w:p w14:paraId="65CDDF78" w14:textId="2F34EECB" w:rsidR="004047B9" w:rsidRDefault="005260E5" w:rsidP="006F4877">
            <w:pPr>
              <w:pStyle w:val="NoSpacing"/>
              <w:ind w:left="113" w:right="113"/>
              <w:jc w:val="center"/>
              <w:rPr>
                <w:b/>
                <w:u w:val="single"/>
              </w:rPr>
            </w:pPr>
            <w:r>
              <w:t>investigation</w:t>
            </w:r>
          </w:p>
        </w:tc>
        <w:tc>
          <w:tcPr>
            <w:tcW w:w="2305" w:type="dxa"/>
            <w:vAlign w:val="center"/>
          </w:tcPr>
          <w:p w14:paraId="2602FB80" w14:textId="0819B448" w:rsidR="004047B9" w:rsidRPr="007971BF" w:rsidRDefault="005260E5" w:rsidP="00304BAF">
            <w:pPr>
              <w:pStyle w:val="NoSpacing"/>
              <w:jc w:val="center"/>
            </w:pPr>
            <w:r>
              <w:t>investigation_01-investigation_12</w:t>
            </w:r>
            <w:r w:rsidRPr="00A062FB">
              <w:rPr>
                <w:vertAlign w:val="superscript"/>
              </w:rPr>
              <w:t>1</w:t>
            </w:r>
          </w:p>
        </w:tc>
        <w:tc>
          <w:tcPr>
            <w:tcW w:w="2159" w:type="dxa"/>
            <w:vAlign w:val="center"/>
          </w:tcPr>
          <w:p w14:paraId="5B772F78" w14:textId="424A44DC" w:rsidR="004047B9" w:rsidRPr="00270C08" w:rsidRDefault="005260E5" w:rsidP="00304BAF">
            <w:pPr>
              <w:pStyle w:val="NoSpacing"/>
              <w:jc w:val="center"/>
              <w:rPr>
                <w:b/>
                <w:sz w:val="20"/>
                <w:szCs w:val="20"/>
                <w:u w:val="single"/>
              </w:rPr>
            </w:pPr>
            <w:r w:rsidRPr="00270C08">
              <w:rPr>
                <w:sz w:val="20"/>
                <w:szCs w:val="20"/>
              </w:rPr>
              <w:t>invest</w:t>
            </w:r>
            <w:r>
              <w:rPr>
                <w:sz w:val="20"/>
                <w:szCs w:val="20"/>
              </w:rPr>
              <w:t>2</w:t>
            </w:r>
            <w:r w:rsidRPr="00270C08">
              <w:rPr>
                <w:sz w:val="20"/>
                <w:szCs w:val="20"/>
              </w:rPr>
              <w:t>_01-invest</w:t>
            </w:r>
            <w:r>
              <w:rPr>
                <w:sz w:val="20"/>
                <w:szCs w:val="20"/>
              </w:rPr>
              <w:t>2</w:t>
            </w:r>
            <w:r w:rsidRPr="00270C08">
              <w:rPr>
                <w:sz w:val="20"/>
                <w:szCs w:val="20"/>
              </w:rPr>
              <w:t>_12</w:t>
            </w:r>
          </w:p>
        </w:tc>
        <w:tc>
          <w:tcPr>
            <w:tcW w:w="2702" w:type="dxa"/>
            <w:vAlign w:val="center"/>
          </w:tcPr>
          <w:p w14:paraId="066503DC" w14:textId="6327A938" w:rsidR="004047B9" w:rsidRPr="00270C08" w:rsidRDefault="005260E5" w:rsidP="00304BAF">
            <w:pPr>
              <w:pStyle w:val="NoSpacing"/>
              <w:jc w:val="center"/>
              <w:rPr>
                <w:b/>
                <w:sz w:val="20"/>
                <w:szCs w:val="20"/>
                <w:u w:val="single"/>
              </w:rPr>
            </w:pPr>
            <w:r w:rsidRPr="00270C08">
              <w:rPr>
                <w:sz w:val="20"/>
                <w:szCs w:val="20"/>
              </w:rPr>
              <w:t>investigationtype1code - investigationtype3code</w:t>
            </w:r>
          </w:p>
        </w:tc>
        <w:tc>
          <w:tcPr>
            <w:tcW w:w="3289" w:type="dxa"/>
            <w:vAlign w:val="center"/>
          </w:tcPr>
          <w:p w14:paraId="6C51CCA9" w14:textId="540FFAEA" w:rsidR="004047B9" w:rsidRPr="00270C08" w:rsidRDefault="005260E5" w:rsidP="00304BAF">
            <w:pPr>
              <w:pStyle w:val="NoSpacing"/>
              <w:jc w:val="center"/>
              <w:rPr>
                <w:b/>
                <w:sz w:val="20"/>
                <w:szCs w:val="20"/>
                <w:u w:val="single"/>
              </w:rPr>
            </w:pPr>
            <w:r w:rsidRPr="00270C08">
              <w:rPr>
                <w:sz w:val="20"/>
                <w:szCs w:val="20"/>
              </w:rPr>
              <w:t>invest_cd_1-invest_cd_6</w:t>
            </w:r>
          </w:p>
        </w:tc>
      </w:tr>
      <w:tr w:rsidR="00B120C0" w14:paraId="639C03D2" w14:textId="77777777" w:rsidTr="00577F8D">
        <w:trPr>
          <w:trHeight w:val="674"/>
        </w:trPr>
        <w:tc>
          <w:tcPr>
            <w:tcW w:w="1051" w:type="dxa"/>
            <w:vMerge/>
            <w:vAlign w:val="center"/>
          </w:tcPr>
          <w:p w14:paraId="7DC0B0E6" w14:textId="2586F655" w:rsidR="004047B9" w:rsidRDefault="004047B9" w:rsidP="006F4877">
            <w:pPr>
              <w:pStyle w:val="NoSpacing"/>
              <w:jc w:val="center"/>
              <w:rPr>
                <w:b/>
                <w:u w:val="single"/>
              </w:rPr>
            </w:pPr>
          </w:p>
        </w:tc>
        <w:tc>
          <w:tcPr>
            <w:tcW w:w="2305" w:type="dxa"/>
            <w:vAlign w:val="center"/>
          </w:tcPr>
          <w:p w14:paraId="644F5493" w14:textId="3E84B9A1" w:rsidR="004047B9" w:rsidRPr="007971BF" w:rsidRDefault="005260E5" w:rsidP="00304BAF">
            <w:pPr>
              <w:pStyle w:val="NoSpacing"/>
              <w:jc w:val="center"/>
            </w:pPr>
            <w:r>
              <w:t>treatment_01-treatment_12</w:t>
            </w:r>
            <w:r w:rsidRPr="0040322A">
              <w:rPr>
                <w:vertAlign w:val="superscript"/>
              </w:rPr>
              <w:t>1</w:t>
            </w:r>
          </w:p>
        </w:tc>
        <w:tc>
          <w:tcPr>
            <w:tcW w:w="2159" w:type="dxa"/>
            <w:vAlign w:val="center"/>
          </w:tcPr>
          <w:p w14:paraId="526C7054" w14:textId="37AA585E" w:rsidR="004047B9" w:rsidRPr="00270C08" w:rsidRDefault="005260E5" w:rsidP="00304BAF">
            <w:pPr>
              <w:pStyle w:val="NoSpacing"/>
              <w:jc w:val="center"/>
              <w:rPr>
                <w:b/>
                <w:sz w:val="20"/>
                <w:szCs w:val="20"/>
                <w:u w:val="single"/>
              </w:rPr>
            </w:pPr>
            <w:r w:rsidRPr="00270C08">
              <w:rPr>
                <w:sz w:val="20"/>
                <w:szCs w:val="20"/>
              </w:rPr>
              <w:t>treat</w:t>
            </w:r>
            <w:r>
              <w:rPr>
                <w:sz w:val="20"/>
                <w:szCs w:val="20"/>
              </w:rPr>
              <w:t>2</w:t>
            </w:r>
            <w:r w:rsidRPr="00270C08">
              <w:rPr>
                <w:sz w:val="20"/>
                <w:szCs w:val="20"/>
              </w:rPr>
              <w:t>_01-treat</w:t>
            </w:r>
            <w:r>
              <w:rPr>
                <w:sz w:val="20"/>
                <w:szCs w:val="20"/>
              </w:rPr>
              <w:t>2</w:t>
            </w:r>
            <w:r w:rsidRPr="00270C08">
              <w:rPr>
                <w:sz w:val="20"/>
                <w:szCs w:val="20"/>
              </w:rPr>
              <w:t>_12</w:t>
            </w:r>
          </w:p>
        </w:tc>
        <w:tc>
          <w:tcPr>
            <w:tcW w:w="2702" w:type="dxa"/>
            <w:vAlign w:val="center"/>
          </w:tcPr>
          <w:p w14:paraId="251E3A0F" w14:textId="14C4D438" w:rsidR="004047B9" w:rsidRPr="00270C08" w:rsidRDefault="005260E5" w:rsidP="00304BAF">
            <w:pPr>
              <w:pStyle w:val="NoSpacing"/>
              <w:jc w:val="center"/>
              <w:rPr>
                <w:b/>
                <w:sz w:val="20"/>
                <w:szCs w:val="20"/>
                <w:u w:val="single"/>
              </w:rPr>
            </w:pPr>
            <w:r w:rsidRPr="00270C08">
              <w:rPr>
                <w:sz w:val="20"/>
                <w:szCs w:val="20"/>
              </w:rPr>
              <w:t>procedure1code - procedure3code</w:t>
            </w:r>
          </w:p>
        </w:tc>
        <w:tc>
          <w:tcPr>
            <w:tcW w:w="3289" w:type="dxa"/>
            <w:vAlign w:val="center"/>
          </w:tcPr>
          <w:p w14:paraId="13A60860" w14:textId="6286E855" w:rsidR="004047B9" w:rsidRPr="00270C08" w:rsidRDefault="005260E5" w:rsidP="00304BAF">
            <w:pPr>
              <w:pStyle w:val="NoSpacing"/>
              <w:jc w:val="center"/>
              <w:rPr>
                <w:b/>
                <w:sz w:val="20"/>
                <w:szCs w:val="20"/>
                <w:u w:val="single"/>
              </w:rPr>
            </w:pPr>
            <w:r w:rsidRPr="00270C08">
              <w:rPr>
                <w:sz w:val="20"/>
                <w:szCs w:val="20"/>
              </w:rPr>
              <w:t>treat_cd_1-treat_cd_6</w:t>
            </w:r>
          </w:p>
        </w:tc>
      </w:tr>
      <w:tr w:rsidR="00B120C0" w14:paraId="3516BB93" w14:textId="77777777" w:rsidTr="00577F8D">
        <w:trPr>
          <w:trHeight w:val="297"/>
        </w:trPr>
        <w:tc>
          <w:tcPr>
            <w:tcW w:w="1051" w:type="dxa"/>
            <w:vMerge w:val="restart"/>
            <w:textDirection w:val="tbRl"/>
            <w:vAlign w:val="center"/>
          </w:tcPr>
          <w:p w14:paraId="26E7B84E" w14:textId="505BA2F1" w:rsidR="00375626" w:rsidRDefault="005260E5" w:rsidP="006F4877">
            <w:pPr>
              <w:pStyle w:val="NoSpacing"/>
              <w:ind w:left="113" w:right="113"/>
              <w:jc w:val="center"/>
            </w:pPr>
            <w:r>
              <w:t xml:space="preserve">costing </w:t>
            </w:r>
          </w:p>
          <w:p w14:paraId="2FCD36CF" w14:textId="5DC8333D" w:rsidR="00375626" w:rsidRDefault="005260E5" w:rsidP="006F4877">
            <w:pPr>
              <w:pStyle w:val="NoSpacing"/>
              <w:ind w:left="113" w:right="113"/>
              <w:jc w:val="center"/>
              <w:rPr>
                <w:b/>
                <w:u w:val="single"/>
              </w:rPr>
            </w:pPr>
            <w:r>
              <w:t>resources</w:t>
            </w:r>
          </w:p>
        </w:tc>
        <w:tc>
          <w:tcPr>
            <w:tcW w:w="2305" w:type="dxa"/>
            <w:vAlign w:val="center"/>
          </w:tcPr>
          <w:p w14:paraId="6EBC80DB" w14:textId="77E0ECF7" w:rsidR="00375626" w:rsidRPr="007971BF" w:rsidRDefault="005260E5" w:rsidP="00304BAF">
            <w:pPr>
              <w:pStyle w:val="NoSpacing"/>
              <w:jc w:val="center"/>
            </w:pPr>
            <w:r>
              <w:t>dominant_procedure</w:t>
            </w:r>
            <w:r w:rsidRPr="005F2D5F">
              <w:rPr>
                <w:vertAlign w:val="superscript"/>
              </w:rPr>
              <w:t>1</w:t>
            </w:r>
          </w:p>
        </w:tc>
        <w:tc>
          <w:tcPr>
            <w:tcW w:w="2159" w:type="dxa"/>
            <w:vAlign w:val="center"/>
          </w:tcPr>
          <w:p w14:paraId="50A853B5" w14:textId="2B49BE12" w:rsidR="00375626" w:rsidRPr="00270C08" w:rsidRDefault="005260E5" w:rsidP="00304BAF">
            <w:pPr>
              <w:pStyle w:val="NoSpacing"/>
              <w:jc w:val="center"/>
              <w:rPr>
                <w:b/>
                <w:sz w:val="20"/>
                <w:szCs w:val="20"/>
                <w:u w:val="single"/>
              </w:rPr>
            </w:pPr>
            <w:proofErr w:type="spellStart"/>
            <w:r w:rsidRPr="00270C08">
              <w:rPr>
                <w:sz w:val="20"/>
                <w:szCs w:val="20"/>
              </w:rPr>
              <w:t>domproc</w:t>
            </w:r>
            <w:proofErr w:type="spellEnd"/>
          </w:p>
        </w:tc>
        <w:tc>
          <w:tcPr>
            <w:tcW w:w="2702" w:type="dxa"/>
            <w:shd w:val="clear" w:color="auto" w:fill="auto"/>
            <w:vAlign w:val="center"/>
          </w:tcPr>
          <w:p w14:paraId="64A03439" w14:textId="6E5C48EB" w:rsidR="00375626" w:rsidRPr="00270C08" w:rsidRDefault="005260E5" w:rsidP="00304BAF">
            <w:pPr>
              <w:pStyle w:val="NoSpacing"/>
              <w:jc w:val="center"/>
              <w:rPr>
                <w:b/>
                <w:sz w:val="20"/>
                <w:szCs w:val="20"/>
                <w:u w:val="single"/>
              </w:rPr>
            </w:pPr>
            <w:proofErr w:type="spellStart"/>
            <w:r w:rsidRPr="00270C08">
              <w:rPr>
                <w:sz w:val="20"/>
                <w:szCs w:val="20"/>
              </w:rPr>
              <w:t>hbtreatmentcode</w:t>
            </w:r>
            <w:proofErr w:type="spellEnd"/>
          </w:p>
        </w:tc>
        <w:tc>
          <w:tcPr>
            <w:tcW w:w="3289" w:type="dxa"/>
            <w:shd w:val="clear" w:color="auto" w:fill="D9D9D9" w:themeFill="background1" w:themeFillShade="D9"/>
            <w:vAlign w:val="center"/>
          </w:tcPr>
          <w:p w14:paraId="71005701" w14:textId="77777777" w:rsidR="00375626" w:rsidRPr="00270C08" w:rsidRDefault="00375626" w:rsidP="00304BAF">
            <w:pPr>
              <w:pStyle w:val="NoSpacing"/>
              <w:jc w:val="center"/>
              <w:rPr>
                <w:b/>
                <w:sz w:val="20"/>
                <w:szCs w:val="20"/>
                <w:u w:val="single"/>
              </w:rPr>
            </w:pPr>
          </w:p>
        </w:tc>
      </w:tr>
      <w:tr w:rsidR="00B120C0" w14:paraId="4690F5F5" w14:textId="77777777" w:rsidTr="00577F8D">
        <w:trPr>
          <w:trHeight w:val="548"/>
        </w:trPr>
        <w:tc>
          <w:tcPr>
            <w:tcW w:w="1051" w:type="dxa"/>
            <w:vMerge/>
            <w:vAlign w:val="center"/>
          </w:tcPr>
          <w:p w14:paraId="4426B3C5" w14:textId="6A0D1026" w:rsidR="00375626" w:rsidRDefault="00375626" w:rsidP="006F4877">
            <w:pPr>
              <w:pStyle w:val="NoSpacing"/>
              <w:jc w:val="center"/>
              <w:rPr>
                <w:b/>
                <w:u w:val="single"/>
              </w:rPr>
            </w:pPr>
          </w:p>
        </w:tc>
        <w:tc>
          <w:tcPr>
            <w:tcW w:w="2305" w:type="dxa"/>
            <w:vAlign w:val="center"/>
          </w:tcPr>
          <w:p w14:paraId="1BCB5D57" w14:textId="53846E7C" w:rsidR="00375626" w:rsidRPr="007971BF" w:rsidRDefault="005260E5" w:rsidP="00304BAF">
            <w:pPr>
              <w:pStyle w:val="NoSpacing"/>
              <w:jc w:val="center"/>
            </w:pPr>
            <w:r>
              <w:t>hrg_nhs</w:t>
            </w:r>
            <w:r w:rsidRPr="005F2D5F">
              <w:rPr>
                <w:vertAlign w:val="superscript"/>
              </w:rPr>
              <w:t>1</w:t>
            </w:r>
          </w:p>
        </w:tc>
        <w:tc>
          <w:tcPr>
            <w:tcW w:w="2159" w:type="dxa"/>
            <w:vAlign w:val="center"/>
          </w:tcPr>
          <w:p w14:paraId="63C8A51A" w14:textId="0E14DC7D" w:rsidR="00375626" w:rsidRPr="00270C08" w:rsidRDefault="005260E5" w:rsidP="00304BAF">
            <w:pPr>
              <w:pStyle w:val="NoSpacing"/>
              <w:jc w:val="center"/>
              <w:rPr>
                <w:b/>
                <w:sz w:val="20"/>
                <w:szCs w:val="20"/>
                <w:u w:val="single"/>
              </w:rPr>
            </w:pPr>
            <w:proofErr w:type="spellStart"/>
            <w:r w:rsidRPr="00270C08">
              <w:rPr>
                <w:sz w:val="20"/>
                <w:szCs w:val="20"/>
              </w:rPr>
              <w:t>hrgnhs</w:t>
            </w:r>
            <w:proofErr w:type="spellEnd"/>
          </w:p>
        </w:tc>
        <w:tc>
          <w:tcPr>
            <w:tcW w:w="2702" w:type="dxa"/>
            <w:shd w:val="clear" w:color="auto" w:fill="D9D9D9" w:themeFill="background1" w:themeFillShade="D9"/>
            <w:vAlign w:val="center"/>
          </w:tcPr>
          <w:p w14:paraId="2372AFC3" w14:textId="391F239C" w:rsidR="00375626" w:rsidRPr="00270C08" w:rsidRDefault="005260E5" w:rsidP="00304BAF">
            <w:pPr>
              <w:pStyle w:val="NoSpacing"/>
              <w:jc w:val="center"/>
              <w:rPr>
                <w:b/>
                <w:sz w:val="20"/>
                <w:szCs w:val="20"/>
                <w:u w:val="single"/>
              </w:rPr>
            </w:pPr>
            <w:proofErr w:type="spellStart"/>
            <w:r w:rsidRPr="00270C08">
              <w:rPr>
                <w:sz w:val="20"/>
                <w:szCs w:val="20"/>
              </w:rPr>
              <w:t>hbtreatmentcode</w:t>
            </w:r>
            <w:proofErr w:type="spellEnd"/>
          </w:p>
        </w:tc>
        <w:tc>
          <w:tcPr>
            <w:tcW w:w="3289" w:type="dxa"/>
            <w:shd w:val="clear" w:color="auto" w:fill="D9D9D9" w:themeFill="background1" w:themeFillShade="D9"/>
            <w:vAlign w:val="center"/>
          </w:tcPr>
          <w:p w14:paraId="01CD931A" w14:textId="77777777" w:rsidR="00375626" w:rsidRPr="00270C08" w:rsidRDefault="00375626" w:rsidP="00304BAF">
            <w:pPr>
              <w:pStyle w:val="NoSpacing"/>
              <w:jc w:val="center"/>
              <w:rPr>
                <w:b/>
                <w:sz w:val="20"/>
                <w:szCs w:val="20"/>
                <w:u w:val="single"/>
              </w:rPr>
            </w:pPr>
          </w:p>
        </w:tc>
      </w:tr>
      <w:tr w:rsidR="00B120C0" w14:paraId="66A23807" w14:textId="77777777" w:rsidTr="00577F8D">
        <w:trPr>
          <w:trHeight w:val="521"/>
        </w:trPr>
        <w:tc>
          <w:tcPr>
            <w:tcW w:w="1051" w:type="dxa"/>
            <w:vMerge/>
            <w:vAlign w:val="center"/>
          </w:tcPr>
          <w:p w14:paraId="4238839C" w14:textId="432D6C27" w:rsidR="00375626" w:rsidRDefault="00375626" w:rsidP="006F4877">
            <w:pPr>
              <w:pStyle w:val="NoSpacing"/>
              <w:jc w:val="center"/>
              <w:rPr>
                <w:b/>
                <w:u w:val="single"/>
              </w:rPr>
            </w:pPr>
          </w:p>
        </w:tc>
        <w:tc>
          <w:tcPr>
            <w:tcW w:w="2305" w:type="dxa"/>
            <w:vAlign w:val="center"/>
          </w:tcPr>
          <w:p w14:paraId="0D1DCCB8" w14:textId="14F5D2C2" w:rsidR="00375626" w:rsidRPr="007971BF" w:rsidRDefault="005260E5" w:rsidP="00304BAF">
            <w:pPr>
              <w:pStyle w:val="NoSpacing"/>
              <w:jc w:val="center"/>
            </w:pPr>
            <w:r>
              <w:t>hrg_nhs_svn</w:t>
            </w:r>
            <w:r w:rsidRPr="005F2D5F">
              <w:rPr>
                <w:vertAlign w:val="superscript"/>
              </w:rPr>
              <w:t>1</w:t>
            </w:r>
          </w:p>
        </w:tc>
        <w:tc>
          <w:tcPr>
            <w:tcW w:w="2159" w:type="dxa"/>
            <w:vAlign w:val="center"/>
          </w:tcPr>
          <w:p w14:paraId="4B43688A" w14:textId="4A6BA38A" w:rsidR="00375626" w:rsidRPr="00270C08" w:rsidRDefault="005260E5" w:rsidP="00304BAF">
            <w:pPr>
              <w:pStyle w:val="NoSpacing"/>
              <w:jc w:val="center"/>
              <w:rPr>
                <w:b/>
                <w:sz w:val="20"/>
                <w:szCs w:val="20"/>
                <w:u w:val="single"/>
              </w:rPr>
            </w:pPr>
            <w:proofErr w:type="spellStart"/>
            <w:r w:rsidRPr="00270C08">
              <w:rPr>
                <w:sz w:val="20"/>
                <w:szCs w:val="20"/>
              </w:rPr>
              <w:t>hrgnhsvn</w:t>
            </w:r>
            <w:proofErr w:type="spellEnd"/>
          </w:p>
        </w:tc>
        <w:tc>
          <w:tcPr>
            <w:tcW w:w="2702" w:type="dxa"/>
            <w:shd w:val="clear" w:color="auto" w:fill="D9D9D9" w:themeFill="background1" w:themeFillShade="D9"/>
            <w:vAlign w:val="center"/>
          </w:tcPr>
          <w:p w14:paraId="740E4AB9" w14:textId="77777777" w:rsidR="00375626" w:rsidRPr="00270C08" w:rsidRDefault="00375626" w:rsidP="00304BAF">
            <w:pPr>
              <w:pStyle w:val="NoSpacing"/>
              <w:jc w:val="center"/>
              <w:rPr>
                <w:b/>
                <w:sz w:val="20"/>
                <w:szCs w:val="20"/>
                <w:u w:val="single"/>
              </w:rPr>
            </w:pPr>
          </w:p>
        </w:tc>
        <w:tc>
          <w:tcPr>
            <w:tcW w:w="3289" w:type="dxa"/>
            <w:shd w:val="clear" w:color="auto" w:fill="D9D9D9" w:themeFill="background1" w:themeFillShade="D9"/>
            <w:vAlign w:val="center"/>
          </w:tcPr>
          <w:p w14:paraId="63559E2E" w14:textId="77777777" w:rsidR="00375626" w:rsidRPr="00270C08" w:rsidRDefault="00375626" w:rsidP="00304BAF">
            <w:pPr>
              <w:pStyle w:val="NoSpacing"/>
              <w:jc w:val="center"/>
              <w:rPr>
                <w:b/>
                <w:sz w:val="20"/>
                <w:szCs w:val="20"/>
                <w:u w:val="single"/>
              </w:rPr>
            </w:pPr>
          </w:p>
        </w:tc>
      </w:tr>
      <w:tr w:rsidR="00B120C0" w14:paraId="4CFBA273" w14:textId="77777777" w:rsidTr="00577F8D">
        <w:tc>
          <w:tcPr>
            <w:tcW w:w="1051" w:type="dxa"/>
            <w:vMerge w:val="restart"/>
            <w:textDirection w:val="tbRl"/>
            <w:vAlign w:val="center"/>
          </w:tcPr>
          <w:p w14:paraId="784C6544" w14:textId="7224B50F" w:rsidR="00375626" w:rsidRDefault="005260E5" w:rsidP="006F4877">
            <w:pPr>
              <w:pStyle w:val="NoSpacing"/>
              <w:ind w:left="113" w:right="113"/>
              <w:jc w:val="center"/>
              <w:rPr>
                <w:b/>
                <w:u w:val="single"/>
              </w:rPr>
            </w:pPr>
            <w:r>
              <w:t>care provider</w:t>
            </w:r>
          </w:p>
        </w:tc>
        <w:tc>
          <w:tcPr>
            <w:tcW w:w="2305" w:type="dxa"/>
            <w:vAlign w:val="center"/>
          </w:tcPr>
          <w:p w14:paraId="25D5E428" w14:textId="4DC6E4C5" w:rsidR="00375626" w:rsidRPr="007971BF" w:rsidRDefault="005260E5" w:rsidP="00304BAF">
            <w:pPr>
              <w:pStyle w:val="NoSpacing"/>
              <w:jc w:val="center"/>
            </w:pPr>
            <w:r>
              <w:t>provider_type</w:t>
            </w:r>
            <w:r w:rsidRPr="005F2D5F">
              <w:rPr>
                <w:vertAlign w:val="superscript"/>
              </w:rPr>
              <w:t>1</w:t>
            </w:r>
          </w:p>
        </w:tc>
        <w:tc>
          <w:tcPr>
            <w:tcW w:w="2159" w:type="dxa"/>
            <w:vAlign w:val="center"/>
          </w:tcPr>
          <w:p w14:paraId="199E8F27" w14:textId="48E0F9E4" w:rsidR="00375626" w:rsidRPr="00270C08" w:rsidRDefault="005260E5" w:rsidP="00304BAF">
            <w:pPr>
              <w:pStyle w:val="NoSpacing"/>
              <w:jc w:val="center"/>
              <w:rPr>
                <w:b/>
                <w:sz w:val="20"/>
                <w:szCs w:val="20"/>
                <w:u w:val="single"/>
              </w:rPr>
            </w:pPr>
            <w:proofErr w:type="spellStart"/>
            <w:r w:rsidRPr="00270C08">
              <w:rPr>
                <w:sz w:val="20"/>
                <w:szCs w:val="20"/>
              </w:rPr>
              <w:t>protype</w:t>
            </w:r>
            <w:proofErr w:type="spellEnd"/>
          </w:p>
        </w:tc>
        <w:tc>
          <w:tcPr>
            <w:tcW w:w="2702" w:type="dxa"/>
            <w:shd w:val="clear" w:color="auto" w:fill="D9D9D9" w:themeFill="background1" w:themeFillShade="D9"/>
            <w:vAlign w:val="center"/>
          </w:tcPr>
          <w:p w14:paraId="72E67C9E" w14:textId="77777777" w:rsidR="00375626" w:rsidRPr="00270C08" w:rsidRDefault="00375626" w:rsidP="00304BAF">
            <w:pPr>
              <w:pStyle w:val="NoSpacing"/>
              <w:jc w:val="center"/>
              <w:rPr>
                <w:b/>
                <w:sz w:val="20"/>
                <w:szCs w:val="20"/>
                <w:u w:val="single"/>
              </w:rPr>
            </w:pPr>
          </w:p>
        </w:tc>
        <w:tc>
          <w:tcPr>
            <w:tcW w:w="3289" w:type="dxa"/>
            <w:vAlign w:val="center"/>
          </w:tcPr>
          <w:p w14:paraId="0F47B51C" w14:textId="0CC44CE0" w:rsidR="00375626" w:rsidRPr="00270C08" w:rsidRDefault="005260E5" w:rsidP="00304BAF">
            <w:pPr>
              <w:pStyle w:val="NoSpacing"/>
              <w:jc w:val="center"/>
              <w:rPr>
                <w:b/>
                <w:sz w:val="20"/>
                <w:szCs w:val="20"/>
                <w:u w:val="single"/>
              </w:rPr>
            </w:pPr>
            <w:proofErr w:type="spellStart"/>
            <w:r w:rsidRPr="00270C08">
              <w:rPr>
                <w:sz w:val="20"/>
                <w:szCs w:val="20"/>
              </w:rPr>
              <w:t>site_cd_of_treat</w:t>
            </w:r>
            <w:proofErr w:type="spellEnd"/>
          </w:p>
        </w:tc>
      </w:tr>
      <w:tr w:rsidR="00B120C0" w14:paraId="1ACD7616" w14:textId="77777777" w:rsidTr="00577F8D">
        <w:trPr>
          <w:trHeight w:val="380"/>
        </w:trPr>
        <w:tc>
          <w:tcPr>
            <w:tcW w:w="1051" w:type="dxa"/>
            <w:vMerge/>
            <w:vAlign w:val="center"/>
          </w:tcPr>
          <w:p w14:paraId="6C940737" w14:textId="632BF1B6" w:rsidR="00375626" w:rsidRDefault="00375626" w:rsidP="006F4877">
            <w:pPr>
              <w:pStyle w:val="NoSpacing"/>
              <w:jc w:val="center"/>
              <w:rPr>
                <w:b/>
                <w:u w:val="single"/>
              </w:rPr>
            </w:pPr>
          </w:p>
        </w:tc>
        <w:tc>
          <w:tcPr>
            <w:tcW w:w="2305" w:type="dxa"/>
            <w:vAlign w:val="center"/>
          </w:tcPr>
          <w:p w14:paraId="05E5C956" w14:textId="245933FD" w:rsidR="00375626" w:rsidRPr="007971BF" w:rsidRDefault="005260E5" w:rsidP="00304BAF">
            <w:pPr>
              <w:pStyle w:val="NoSpacing"/>
              <w:jc w:val="center"/>
            </w:pPr>
            <w:r>
              <w:t>provider_code</w:t>
            </w:r>
            <w:r w:rsidRPr="00176165">
              <w:rPr>
                <w:vertAlign w:val="superscript"/>
              </w:rPr>
              <w:t>1</w:t>
            </w:r>
          </w:p>
        </w:tc>
        <w:tc>
          <w:tcPr>
            <w:tcW w:w="2159" w:type="dxa"/>
            <w:vAlign w:val="center"/>
          </w:tcPr>
          <w:p w14:paraId="5B69A190" w14:textId="771CDAD7" w:rsidR="00375626" w:rsidRPr="00270C08" w:rsidRDefault="005260E5" w:rsidP="00304BAF">
            <w:pPr>
              <w:pStyle w:val="NoSpacing"/>
              <w:jc w:val="center"/>
              <w:rPr>
                <w:b/>
                <w:sz w:val="20"/>
                <w:szCs w:val="20"/>
                <w:u w:val="single"/>
              </w:rPr>
            </w:pPr>
            <w:proofErr w:type="spellStart"/>
            <w:r w:rsidRPr="00270C08">
              <w:rPr>
                <w:sz w:val="20"/>
                <w:szCs w:val="20"/>
              </w:rPr>
              <w:t>procode</w:t>
            </w:r>
            <w:proofErr w:type="spellEnd"/>
          </w:p>
        </w:tc>
        <w:tc>
          <w:tcPr>
            <w:tcW w:w="2702" w:type="dxa"/>
            <w:shd w:val="clear" w:color="auto" w:fill="D9D9D9" w:themeFill="background1" w:themeFillShade="D9"/>
            <w:vAlign w:val="center"/>
          </w:tcPr>
          <w:p w14:paraId="7E67E96D" w14:textId="56180181" w:rsidR="00375626" w:rsidRPr="00270C08" w:rsidRDefault="00375626" w:rsidP="00017553">
            <w:pPr>
              <w:pStyle w:val="NoSpacing"/>
              <w:jc w:val="center"/>
              <w:rPr>
                <w:b/>
                <w:sz w:val="20"/>
                <w:szCs w:val="20"/>
                <w:u w:val="single"/>
              </w:rPr>
            </w:pPr>
          </w:p>
        </w:tc>
        <w:tc>
          <w:tcPr>
            <w:tcW w:w="3289" w:type="dxa"/>
            <w:vAlign w:val="center"/>
          </w:tcPr>
          <w:p w14:paraId="7372EBD0" w14:textId="2A693F45" w:rsidR="00375626" w:rsidRPr="00270C08" w:rsidRDefault="005260E5" w:rsidP="00304BAF">
            <w:pPr>
              <w:pStyle w:val="NoSpacing"/>
              <w:jc w:val="center"/>
              <w:rPr>
                <w:b/>
                <w:sz w:val="20"/>
                <w:szCs w:val="20"/>
                <w:u w:val="single"/>
              </w:rPr>
            </w:pPr>
            <w:proofErr w:type="spellStart"/>
            <w:r w:rsidRPr="00270C08">
              <w:rPr>
                <w:sz w:val="20"/>
                <w:szCs w:val="20"/>
              </w:rPr>
              <w:t>prov_site_cd</w:t>
            </w:r>
            <w:proofErr w:type="spellEnd"/>
          </w:p>
        </w:tc>
      </w:tr>
      <w:tr w:rsidR="00B120C0" w14:paraId="287FEDAA" w14:textId="77777777" w:rsidTr="00577F8D">
        <w:trPr>
          <w:trHeight w:val="353"/>
        </w:trPr>
        <w:tc>
          <w:tcPr>
            <w:tcW w:w="1051" w:type="dxa"/>
            <w:vMerge/>
            <w:vAlign w:val="center"/>
          </w:tcPr>
          <w:p w14:paraId="5737F6A5" w14:textId="5110C1C3" w:rsidR="00375626" w:rsidRDefault="00375626" w:rsidP="006F4877">
            <w:pPr>
              <w:pStyle w:val="NoSpacing"/>
              <w:jc w:val="center"/>
              <w:rPr>
                <w:b/>
                <w:u w:val="single"/>
              </w:rPr>
            </w:pPr>
          </w:p>
        </w:tc>
        <w:tc>
          <w:tcPr>
            <w:tcW w:w="2305" w:type="dxa"/>
            <w:vAlign w:val="center"/>
          </w:tcPr>
          <w:p w14:paraId="18FDEAD1" w14:textId="0D38CFBE" w:rsidR="00375626" w:rsidRPr="007971BF" w:rsidRDefault="005260E5" w:rsidP="00304BAF">
            <w:pPr>
              <w:pStyle w:val="NoSpacing"/>
              <w:jc w:val="center"/>
            </w:pPr>
            <w:r>
              <w:t>department_type</w:t>
            </w:r>
            <w:r w:rsidRPr="00176165">
              <w:rPr>
                <w:vertAlign w:val="superscript"/>
              </w:rPr>
              <w:t>1</w:t>
            </w:r>
          </w:p>
        </w:tc>
        <w:tc>
          <w:tcPr>
            <w:tcW w:w="2159" w:type="dxa"/>
            <w:vAlign w:val="center"/>
          </w:tcPr>
          <w:p w14:paraId="6026035B" w14:textId="5B188B81" w:rsidR="00375626" w:rsidRPr="00270C08" w:rsidRDefault="005260E5" w:rsidP="00304BAF">
            <w:pPr>
              <w:pStyle w:val="NoSpacing"/>
              <w:jc w:val="center"/>
              <w:rPr>
                <w:b/>
                <w:sz w:val="20"/>
                <w:szCs w:val="20"/>
                <w:u w:val="single"/>
              </w:rPr>
            </w:pPr>
            <w:proofErr w:type="spellStart"/>
            <w:r w:rsidRPr="00270C08">
              <w:rPr>
                <w:sz w:val="20"/>
                <w:szCs w:val="20"/>
              </w:rPr>
              <w:t>aedepttype</w:t>
            </w:r>
            <w:proofErr w:type="spellEnd"/>
          </w:p>
        </w:tc>
        <w:tc>
          <w:tcPr>
            <w:tcW w:w="2702" w:type="dxa"/>
            <w:shd w:val="clear" w:color="auto" w:fill="D9D9D9" w:themeFill="background1" w:themeFillShade="D9"/>
            <w:vAlign w:val="center"/>
          </w:tcPr>
          <w:p w14:paraId="2D5B9313" w14:textId="77777777" w:rsidR="00375626" w:rsidRPr="00270C08" w:rsidRDefault="00375626" w:rsidP="00304BAF">
            <w:pPr>
              <w:pStyle w:val="NoSpacing"/>
              <w:jc w:val="center"/>
              <w:rPr>
                <w:b/>
                <w:sz w:val="20"/>
                <w:szCs w:val="20"/>
                <w:u w:val="single"/>
              </w:rPr>
            </w:pPr>
          </w:p>
        </w:tc>
        <w:tc>
          <w:tcPr>
            <w:tcW w:w="3289" w:type="dxa"/>
            <w:vAlign w:val="center"/>
          </w:tcPr>
          <w:p w14:paraId="2D2611A7" w14:textId="18766E36" w:rsidR="00375626" w:rsidRPr="00270C08" w:rsidRDefault="005260E5" w:rsidP="00304BAF">
            <w:pPr>
              <w:pStyle w:val="NoSpacing"/>
              <w:jc w:val="center"/>
              <w:rPr>
                <w:b/>
                <w:sz w:val="20"/>
                <w:szCs w:val="20"/>
                <w:u w:val="single"/>
              </w:rPr>
            </w:pPr>
            <w:proofErr w:type="spellStart"/>
            <w:r w:rsidRPr="00270C08">
              <w:rPr>
                <w:sz w:val="20"/>
                <w:szCs w:val="20"/>
              </w:rPr>
              <w:t>triage_cat</w:t>
            </w:r>
            <w:proofErr w:type="spellEnd"/>
          </w:p>
        </w:tc>
      </w:tr>
    </w:tbl>
    <w:p w14:paraId="2432C2DC" w14:textId="1F58887C" w:rsidR="00D17F55" w:rsidRPr="0001240F" w:rsidRDefault="005260E5" w:rsidP="00805431">
      <w:pPr>
        <w:widowControl w:val="0"/>
        <w:autoSpaceDE w:val="0"/>
        <w:autoSpaceDN w:val="0"/>
        <w:adjustRightInd w:val="0"/>
        <w:spacing w:after="140" w:line="240" w:lineRule="auto"/>
      </w:pPr>
      <w:r w:rsidRPr="0001240F">
        <w:rPr>
          <w:vertAlign w:val="superscript"/>
        </w:rPr>
        <w:t>1</w:t>
      </w:r>
      <w:r w:rsidR="00577F8D">
        <w:t>V</w:t>
      </w:r>
      <w:r>
        <w:t xml:space="preserve">ariable retained without coding scheme. </w:t>
      </w:r>
      <w:r w:rsidRPr="0001240F">
        <w:rPr>
          <w:vertAlign w:val="superscript"/>
        </w:rPr>
        <w:t>2</w:t>
      </w:r>
      <w:r w:rsidR="00577F8D">
        <w:t>V</w:t>
      </w:r>
      <w:r>
        <w:t xml:space="preserve">ariabe retained with a coding scheme. </w:t>
      </w:r>
    </w:p>
    <w:p w14:paraId="468A0621" w14:textId="77777777" w:rsidR="00736E05" w:rsidRDefault="00736E05" w:rsidP="00805431">
      <w:pPr>
        <w:widowControl w:val="0"/>
        <w:autoSpaceDE w:val="0"/>
        <w:autoSpaceDN w:val="0"/>
        <w:adjustRightInd w:val="0"/>
        <w:spacing w:after="140" w:line="240" w:lineRule="auto"/>
        <w:rPr>
          <w:b/>
          <w:u w:val="single"/>
        </w:rPr>
      </w:pPr>
    </w:p>
    <w:p w14:paraId="565DEA8D" w14:textId="555396FE" w:rsidR="00176165" w:rsidRDefault="005260E5">
      <w:pPr>
        <w:rPr>
          <w:b/>
          <w:u w:val="single"/>
        </w:rPr>
      </w:pPr>
      <w:r>
        <w:rPr>
          <w:b/>
          <w:u w:val="single"/>
        </w:rPr>
        <w:br w:type="page"/>
      </w:r>
    </w:p>
    <w:p w14:paraId="272DD548" w14:textId="42321973" w:rsidR="00D17F55" w:rsidRPr="00E23C01" w:rsidRDefault="005260E5" w:rsidP="00D17F55">
      <w:pPr>
        <w:widowControl w:val="0"/>
        <w:autoSpaceDE w:val="0"/>
        <w:autoSpaceDN w:val="0"/>
        <w:adjustRightInd w:val="0"/>
        <w:spacing w:after="140" w:line="240" w:lineRule="auto"/>
        <w:rPr>
          <w:b/>
        </w:rPr>
      </w:pPr>
      <w:r>
        <w:rPr>
          <w:b/>
        </w:rPr>
        <w:t>Outpatient Services</w:t>
      </w:r>
      <w:r w:rsidRPr="00E23C01">
        <w:rPr>
          <w:b/>
        </w:rPr>
        <w:t xml:space="preserve">   </w:t>
      </w:r>
    </w:p>
    <w:tbl>
      <w:tblPr>
        <w:tblStyle w:val="TableGrid"/>
        <w:tblW w:w="9258" w:type="dxa"/>
        <w:tblLayout w:type="fixed"/>
        <w:tblLook w:val="04A0" w:firstRow="1" w:lastRow="0" w:firstColumn="1" w:lastColumn="0" w:noHBand="0" w:noVBand="1"/>
      </w:tblPr>
      <w:tblGrid>
        <w:gridCol w:w="1101"/>
        <w:gridCol w:w="1701"/>
        <w:gridCol w:w="1417"/>
        <w:gridCol w:w="2552"/>
        <w:gridCol w:w="2487"/>
      </w:tblGrid>
      <w:tr w:rsidR="00270C08" w14:paraId="13AED973" w14:textId="77777777" w:rsidTr="00577F8D">
        <w:tc>
          <w:tcPr>
            <w:tcW w:w="1101" w:type="dxa"/>
            <w:vAlign w:val="center"/>
          </w:tcPr>
          <w:p w14:paraId="245BEA19" w14:textId="1A87DC51" w:rsidR="00322F49" w:rsidRPr="00663939" w:rsidRDefault="005260E5" w:rsidP="006F4877">
            <w:pPr>
              <w:widowControl w:val="0"/>
              <w:autoSpaceDE w:val="0"/>
              <w:autoSpaceDN w:val="0"/>
              <w:adjustRightInd w:val="0"/>
              <w:spacing w:after="140"/>
              <w:jc w:val="center"/>
              <w:rPr>
                <w:b/>
              </w:rPr>
            </w:pPr>
            <w:r w:rsidRPr="00663939">
              <w:rPr>
                <w:b/>
              </w:rPr>
              <w:t>category</w:t>
            </w:r>
          </w:p>
        </w:tc>
        <w:tc>
          <w:tcPr>
            <w:tcW w:w="1701" w:type="dxa"/>
            <w:vAlign w:val="center"/>
          </w:tcPr>
          <w:p w14:paraId="75308ABC" w14:textId="692508AF" w:rsidR="00322F49" w:rsidRPr="00663939" w:rsidRDefault="005260E5" w:rsidP="006F4877">
            <w:pPr>
              <w:widowControl w:val="0"/>
              <w:autoSpaceDE w:val="0"/>
              <w:autoSpaceDN w:val="0"/>
              <w:adjustRightInd w:val="0"/>
              <w:spacing w:after="140"/>
              <w:jc w:val="center"/>
              <w:rPr>
                <w:b/>
              </w:rPr>
            </w:pPr>
            <w:r w:rsidRPr="00663939">
              <w:rPr>
                <w:b/>
              </w:rPr>
              <w:t>common variable name</w:t>
            </w:r>
          </w:p>
        </w:tc>
        <w:tc>
          <w:tcPr>
            <w:tcW w:w="1417" w:type="dxa"/>
            <w:vAlign w:val="center"/>
          </w:tcPr>
          <w:p w14:paraId="62473D57" w14:textId="2377B389" w:rsidR="00322F49" w:rsidRPr="00663939" w:rsidRDefault="005260E5" w:rsidP="006F4877">
            <w:pPr>
              <w:widowControl w:val="0"/>
              <w:autoSpaceDE w:val="0"/>
              <w:autoSpaceDN w:val="0"/>
              <w:adjustRightInd w:val="0"/>
              <w:spacing w:after="140"/>
              <w:jc w:val="center"/>
              <w:rPr>
                <w:b/>
              </w:rPr>
            </w:pPr>
            <w:proofErr w:type="spellStart"/>
            <w:r w:rsidRPr="00663939">
              <w:rPr>
                <w:b/>
              </w:rPr>
              <w:t>england</w:t>
            </w:r>
            <w:proofErr w:type="spellEnd"/>
            <w:r w:rsidRPr="00663939">
              <w:rPr>
                <w:b/>
              </w:rPr>
              <w:t xml:space="preserve"> – variable</w:t>
            </w:r>
          </w:p>
        </w:tc>
        <w:tc>
          <w:tcPr>
            <w:tcW w:w="2552" w:type="dxa"/>
            <w:vAlign w:val="center"/>
          </w:tcPr>
          <w:p w14:paraId="620913F0" w14:textId="29FEDD35" w:rsidR="00322F49" w:rsidRPr="00663939" w:rsidRDefault="005260E5" w:rsidP="006F4877">
            <w:pPr>
              <w:widowControl w:val="0"/>
              <w:autoSpaceDE w:val="0"/>
              <w:autoSpaceDN w:val="0"/>
              <w:adjustRightInd w:val="0"/>
              <w:spacing w:after="140"/>
              <w:jc w:val="center"/>
              <w:rPr>
                <w:b/>
              </w:rPr>
            </w:pPr>
            <w:proofErr w:type="spellStart"/>
            <w:r w:rsidRPr="00663939">
              <w:rPr>
                <w:b/>
              </w:rPr>
              <w:t>scotland</w:t>
            </w:r>
            <w:proofErr w:type="spellEnd"/>
            <w:r w:rsidRPr="00663939">
              <w:rPr>
                <w:b/>
              </w:rPr>
              <w:t xml:space="preserve"> – variable</w:t>
            </w:r>
          </w:p>
        </w:tc>
        <w:tc>
          <w:tcPr>
            <w:tcW w:w="2487" w:type="dxa"/>
            <w:vAlign w:val="center"/>
          </w:tcPr>
          <w:p w14:paraId="114EB628" w14:textId="0A4A2DD2" w:rsidR="00322F49" w:rsidRPr="00663939" w:rsidRDefault="005260E5" w:rsidP="006F4877">
            <w:pPr>
              <w:widowControl w:val="0"/>
              <w:autoSpaceDE w:val="0"/>
              <w:autoSpaceDN w:val="0"/>
              <w:adjustRightInd w:val="0"/>
              <w:spacing w:after="140"/>
              <w:jc w:val="center"/>
              <w:rPr>
                <w:b/>
              </w:rPr>
            </w:pPr>
            <w:r w:rsidRPr="00663939">
              <w:rPr>
                <w:b/>
              </w:rPr>
              <w:t>wales – variable</w:t>
            </w:r>
          </w:p>
        </w:tc>
      </w:tr>
      <w:tr w:rsidR="00270C08" w14:paraId="5E2A6BD9" w14:textId="77777777" w:rsidTr="00577F8D">
        <w:tc>
          <w:tcPr>
            <w:tcW w:w="1101" w:type="dxa"/>
            <w:vMerge w:val="restart"/>
            <w:textDirection w:val="tbRl"/>
            <w:vAlign w:val="center"/>
          </w:tcPr>
          <w:p w14:paraId="71448D60" w14:textId="73953ECB" w:rsidR="00E1449A" w:rsidRDefault="005260E5" w:rsidP="00E1449A">
            <w:pPr>
              <w:pStyle w:val="NoSpacing"/>
              <w:ind w:left="113" w:right="113"/>
              <w:jc w:val="center"/>
            </w:pPr>
            <w:r>
              <w:t>admittance</w:t>
            </w:r>
          </w:p>
          <w:p w14:paraId="35D8DE1B" w14:textId="1C73ACF6" w:rsidR="00E1449A" w:rsidRDefault="005260E5" w:rsidP="00E1449A">
            <w:pPr>
              <w:ind w:left="113" w:right="113"/>
              <w:jc w:val="center"/>
              <w:rPr>
                <w:b/>
                <w:u w:val="single"/>
              </w:rPr>
            </w:pPr>
            <w:r>
              <w:t>discharge</w:t>
            </w:r>
          </w:p>
        </w:tc>
        <w:tc>
          <w:tcPr>
            <w:tcW w:w="1701" w:type="dxa"/>
            <w:vAlign w:val="center"/>
          </w:tcPr>
          <w:p w14:paraId="5BCD76AB" w14:textId="77904CDE" w:rsidR="00E1449A" w:rsidRPr="002F499B" w:rsidRDefault="005260E5" w:rsidP="00BD27B1">
            <w:pPr>
              <w:pStyle w:val="NoSpacing"/>
              <w:jc w:val="center"/>
            </w:pPr>
            <w:r>
              <w:t>appt_date</w:t>
            </w:r>
            <w:r w:rsidRPr="00176165">
              <w:rPr>
                <w:vertAlign w:val="superscript"/>
              </w:rPr>
              <w:t>1</w:t>
            </w:r>
          </w:p>
        </w:tc>
        <w:tc>
          <w:tcPr>
            <w:tcW w:w="1417" w:type="dxa"/>
            <w:vAlign w:val="center"/>
          </w:tcPr>
          <w:p w14:paraId="744E552F" w14:textId="7398F2AA" w:rsidR="00E1449A" w:rsidRPr="00270C08" w:rsidRDefault="005260E5" w:rsidP="00BD27B1">
            <w:pPr>
              <w:pStyle w:val="NoSpacing"/>
              <w:jc w:val="center"/>
              <w:rPr>
                <w:b/>
                <w:sz w:val="20"/>
                <w:szCs w:val="20"/>
                <w:u w:val="single"/>
              </w:rPr>
            </w:pPr>
            <w:proofErr w:type="spellStart"/>
            <w:r w:rsidRPr="00270C08">
              <w:rPr>
                <w:sz w:val="20"/>
                <w:szCs w:val="20"/>
              </w:rPr>
              <w:t>apptdate</w:t>
            </w:r>
            <w:proofErr w:type="spellEnd"/>
          </w:p>
        </w:tc>
        <w:tc>
          <w:tcPr>
            <w:tcW w:w="2552" w:type="dxa"/>
            <w:vAlign w:val="center"/>
          </w:tcPr>
          <w:p w14:paraId="7C26EED2" w14:textId="6B2397A1" w:rsidR="00E1449A" w:rsidRPr="00270C08" w:rsidRDefault="005260E5" w:rsidP="00BD27B1">
            <w:pPr>
              <w:pStyle w:val="NoSpacing"/>
              <w:jc w:val="center"/>
              <w:rPr>
                <w:b/>
                <w:sz w:val="20"/>
                <w:szCs w:val="20"/>
                <w:u w:val="single"/>
              </w:rPr>
            </w:pPr>
            <w:proofErr w:type="spellStart"/>
            <w:r w:rsidRPr="00270C08">
              <w:rPr>
                <w:sz w:val="20"/>
                <w:szCs w:val="20"/>
              </w:rPr>
              <w:t>clinic_date</w:t>
            </w:r>
            <w:proofErr w:type="spellEnd"/>
          </w:p>
        </w:tc>
        <w:tc>
          <w:tcPr>
            <w:tcW w:w="2487" w:type="dxa"/>
            <w:vAlign w:val="center"/>
          </w:tcPr>
          <w:p w14:paraId="7CA4ED24" w14:textId="03DCE029" w:rsidR="00E1449A" w:rsidRPr="00270C08" w:rsidRDefault="005260E5" w:rsidP="00BD27B1">
            <w:pPr>
              <w:pStyle w:val="NoSpacing"/>
              <w:jc w:val="center"/>
              <w:rPr>
                <w:b/>
                <w:sz w:val="20"/>
                <w:szCs w:val="20"/>
                <w:u w:val="single"/>
              </w:rPr>
            </w:pPr>
            <w:proofErr w:type="spellStart"/>
            <w:r w:rsidRPr="00270C08">
              <w:rPr>
                <w:sz w:val="20"/>
                <w:szCs w:val="20"/>
              </w:rPr>
              <w:t>attend_dt</w:t>
            </w:r>
            <w:proofErr w:type="spellEnd"/>
          </w:p>
        </w:tc>
      </w:tr>
      <w:tr w:rsidR="00270C08" w14:paraId="62717A43" w14:textId="77777777" w:rsidTr="00577F8D">
        <w:tc>
          <w:tcPr>
            <w:tcW w:w="1101" w:type="dxa"/>
            <w:vMerge/>
            <w:vAlign w:val="center"/>
          </w:tcPr>
          <w:p w14:paraId="1C7841B8" w14:textId="77777777" w:rsidR="00E1449A" w:rsidRDefault="00E1449A" w:rsidP="00304BAF">
            <w:pPr>
              <w:jc w:val="center"/>
              <w:rPr>
                <w:b/>
                <w:u w:val="single"/>
              </w:rPr>
            </w:pPr>
          </w:p>
        </w:tc>
        <w:tc>
          <w:tcPr>
            <w:tcW w:w="1701" w:type="dxa"/>
            <w:vAlign w:val="center"/>
          </w:tcPr>
          <w:p w14:paraId="4C7DFA2C" w14:textId="154D60DE" w:rsidR="00E1449A" w:rsidRPr="002F499B" w:rsidRDefault="005260E5" w:rsidP="00BD27B1">
            <w:pPr>
              <w:pStyle w:val="NoSpacing"/>
              <w:jc w:val="center"/>
            </w:pPr>
            <w:r>
              <w:t>attend_type</w:t>
            </w:r>
            <w:r w:rsidRPr="0001240F">
              <w:rPr>
                <w:vertAlign w:val="superscript"/>
              </w:rPr>
              <w:t>2</w:t>
            </w:r>
          </w:p>
        </w:tc>
        <w:tc>
          <w:tcPr>
            <w:tcW w:w="1417" w:type="dxa"/>
            <w:vAlign w:val="center"/>
          </w:tcPr>
          <w:p w14:paraId="17F34B05" w14:textId="4A850F25" w:rsidR="00E1449A" w:rsidRPr="00270C08" w:rsidRDefault="005260E5" w:rsidP="00BD27B1">
            <w:pPr>
              <w:pStyle w:val="NoSpacing"/>
              <w:jc w:val="center"/>
              <w:rPr>
                <w:b/>
                <w:sz w:val="20"/>
                <w:szCs w:val="20"/>
                <w:u w:val="single"/>
              </w:rPr>
            </w:pPr>
            <w:proofErr w:type="spellStart"/>
            <w:r w:rsidRPr="00270C08">
              <w:rPr>
                <w:sz w:val="20"/>
                <w:szCs w:val="20"/>
              </w:rPr>
              <w:t>atentype</w:t>
            </w:r>
            <w:proofErr w:type="spellEnd"/>
          </w:p>
        </w:tc>
        <w:tc>
          <w:tcPr>
            <w:tcW w:w="2552" w:type="dxa"/>
            <w:vAlign w:val="center"/>
          </w:tcPr>
          <w:p w14:paraId="6B91BAE8" w14:textId="4F4A83E6" w:rsidR="00E1449A" w:rsidRPr="00270C08" w:rsidRDefault="005260E5" w:rsidP="00BD27B1">
            <w:pPr>
              <w:pStyle w:val="NoSpacing"/>
              <w:jc w:val="center"/>
              <w:rPr>
                <w:b/>
                <w:sz w:val="20"/>
                <w:szCs w:val="20"/>
                <w:u w:val="single"/>
              </w:rPr>
            </w:pPr>
            <w:proofErr w:type="spellStart"/>
            <w:r w:rsidRPr="00270C08">
              <w:rPr>
                <w:sz w:val="20"/>
                <w:szCs w:val="20"/>
              </w:rPr>
              <w:t>referral_type</w:t>
            </w:r>
            <w:proofErr w:type="spellEnd"/>
          </w:p>
        </w:tc>
        <w:tc>
          <w:tcPr>
            <w:tcW w:w="2487" w:type="dxa"/>
            <w:shd w:val="clear" w:color="auto" w:fill="D9D9D9" w:themeFill="background1" w:themeFillShade="D9"/>
            <w:vAlign w:val="center"/>
          </w:tcPr>
          <w:p w14:paraId="50BC4A0B" w14:textId="77777777" w:rsidR="00E1449A" w:rsidRPr="00270C08" w:rsidRDefault="00E1449A" w:rsidP="00BD27B1">
            <w:pPr>
              <w:pStyle w:val="NoSpacing"/>
              <w:jc w:val="center"/>
              <w:rPr>
                <w:b/>
                <w:sz w:val="20"/>
                <w:szCs w:val="20"/>
                <w:u w:val="single"/>
              </w:rPr>
            </w:pPr>
          </w:p>
        </w:tc>
      </w:tr>
      <w:tr w:rsidR="00270C08" w14:paraId="5D8AFC47" w14:textId="77777777" w:rsidTr="00577F8D">
        <w:tc>
          <w:tcPr>
            <w:tcW w:w="1101" w:type="dxa"/>
            <w:vMerge/>
            <w:vAlign w:val="center"/>
          </w:tcPr>
          <w:p w14:paraId="366C3641" w14:textId="77777777" w:rsidR="00E1449A" w:rsidRDefault="00E1449A" w:rsidP="00304BAF">
            <w:pPr>
              <w:jc w:val="center"/>
              <w:rPr>
                <w:b/>
                <w:u w:val="single"/>
              </w:rPr>
            </w:pPr>
          </w:p>
        </w:tc>
        <w:tc>
          <w:tcPr>
            <w:tcW w:w="1701" w:type="dxa"/>
            <w:vAlign w:val="center"/>
          </w:tcPr>
          <w:p w14:paraId="706A3440" w14:textId="69CEBF73" w:rsidR="00E1449A" w:rsidRPr="002F499B" w:rsidRDefault="005260E5" w:rsidP="00BD27B1">
            <w:pPr>
              <w:pStyle w:val="NoSpacing"/>
              <w:jc w:val="center"/>
            </w:pPr>
            <w:r>
              <w:t>attended</w:t>
            </w:r>
            <w:r w:rsidRPr="0001240F">
              <w:rPr>
                <w:vertAlign w:val="superscript"/>
              </w:rPr>
              <w:t>2</w:t>
            </w:r>
          </w:p>
        </w:tc>
        <w:tc>
          <w:tcPr>
            <w:tcW w:w="1417" w:type="dxa"/>
            <w:vAlign w:val="center"/>
          </w:tcPr>
          <w:p w14:paraId="356376E2" w14:textId="2991917F" w:rsidR="00E1449A" w:rsidRPr="00270C08" w:rsidRDefault="005260E5" w:rsidP="00BD27B1">
            <w:pPr>
              <w:pStyle w:val="NoSpacing"/>
              <w:jc w:val="center"/>
              <w:rPr>
                <w:b/>
                <w:sz w:val="20"/>
                <w:szCs w:val="20"/>
                <w:u w:val="single"/>
              </w:rPr>
            </w:pPr>
            <w:r w:rsidRPr="00270C08">
              <w:rPr>
                <w:sz w:val="20"/>
                <w:szCs w:val="20"/>
              </w:rPr>
              <w:t>attended</w:t>
            </w:r>
          </w:p>
        </w:tc>
        <w:tc>
          <w:tcPr>
            <w:tcW w:w="2552" w:type="dxa"/>
            <w:vAlign w:val="center"/>
          </w:tcPr>
          <w:p w14:paraId="43D48ADA" w14:textId="76E493C5" w:rsidR="00E1449A" w:rsidRPr="00270C08" w:rsidRDefault="005260E5" w:rsidP="00BD27B1">
            <w:pPr>
              <w:pStyle w:val="NoSpacing"/>
              <w:jc w:val="center"/>
              <w:rPr>
                <w:b/>
                <w:sz w:val="20"/>
                <w:szCs w:val="20"/>
                <w:u w:val="single"/>
              </w:rPr>
            </w:pPr>
            <w:proofErr w:type="spellStart"/>
            <w:r w:rsidRPr="00270C08">
              <w:rPr>
                <w:sz w:val="20"/>
                <w:szCs w:val="20"/>
              </w:rPr>
              <w:t>attendance_status</w:t>
            </w:r>
            <w:proofErr w:type="spellEnd"/>
          </w:p>
        </w:tc>
        <w:tc>
          <w:tcPr>
            <w:tcW w:w="2487" w:type="dxa"/>
            <w:vAlign w:val="center"/>
          </w:tcPr>
          <w:p w14:paraId="4BDFA35D" w14:textId="11C34305" w:rsidR="00E1449A" w:rsidRPr="00270C08" w:rsidRDefault="005260E5" w:rsidP="00BD27B1">
            <w:pPr>
              <w:pStyle w:val="NoSpacing"/>
              <w:jc w:val="center"/>
              <w:rPr>
                <w:b/>
                <w:sz w:val="20"/>
                <w:szCs w:val="20"/>
                <w:u w:val="single"/>
              </w:rPr>
            </w:pPr>
            <w:proofErr w:type="spellStart"/>
            <w:r w:rsidRPr="00270C08">
              <w:rPr>
                <w:sz w:val="20"/>
                <w:szCs w:val="20"/>
              </w:rPr>
              <w:t>attend_cd</w:t>
            </w:r>
            <w:proofErr w:type="spellEnd"/>
          </w:p>
        </w:tc>
      </w:tr>
      <w:tr w:rsidR="00270C08" w14:paraId="32C6AB33" w14:textId="77777777" w:rsidTr="00577F8D">
        <w:tc>
          <w:tcPr>
            <w:tcW w:w="1101" w:type="dxa"/>
            <w:vMerge/>
            <w:vAlign w:val="center"/>
          </w:tcPr>
          <w:p w14:paraId="37FD134C" w14:textId="77777777" w:rsidR="00E1449A" w:rsidRDefault="00E1449A" w:rsidP="00304BAF">
            <w:pPr>
              <w:jc w:val="center"/>
              <w:rPr>
                <w:b/>
                <w:u w:val="single"/>
              </w:rPr>
            </w:pPr>
          </w:p>
        </w:tc>
        <w:tc>
          <w:tcPr>
            <w:tcW w:w="1701" w:type="dxa"/>
            <w:vAlign w:val="center"/>
          </w:tcPr>
          <w:p w14:paraId="02DA2CD8" w14:textId="0A9498F8" w:rsidR="00E1449A" w:rsidRPr="002F499B" w:rsidRDefault="005260E5" w:rsidP="00BD27B1">
            <w:pPr>
              <w:pStyle w:val="NoSpacing"/>
              <w:jc w:val="center"/>
            </w:pPr>
            <w:r>
              <w:t>first_attend</w:t>
            </w:r>
            <w:r w:rsidRPr="0001240F">
              <w:rPr>
                <w:vertAlign w:val="superscript"/>
              </w:rPr>
              <w:t>2</w:t>
            </w:r>
          </w:p>
        </w:tc>
        <w:tc>
          <w:tcPr>
            <w:tcW w:w="1417" w:type="dxa"/>
            <w:vAlign w:val="center"/>
          </w:tcPr>
          <w:p w14:paraId="06F712F8" w14:textId="4CC94108" w:rsidR="00E1449A" w:rsidRPr="00270C08" w:rsidRDefault="005260E5" w:rsidP="00BD27B1">
            <w:pPr>
              <w:pStyle w:val="NoSpacing"/>
              <w:jc w:val="center"/>
              <w:rPr>
                <w:b/>
                <w:sz w:val="20"/>
                <w:szCs w:val="20"/>
                <w:u w:val="single"/>
              </w:rPr>
            </w:pPr>
            <w:proofErr w:type="spellStart"/>
            <w:r w:rsidRPr="00270C08">
              <w:rPr>
                <w:sz w:val="20"/>
                <w:szCs w:val="20"/>
              </w:rPr>
              <w:t>firstatt</w:t>
            </w:r>
            <w:proofErr w:type="spellEnd"/>
          </w:p>
        </w:tc>
        <w:tc>
          <w:tcPr>
            <w:tcW w:w="2552" w:type="dxa"/>
            <w:vAlign w:val="center"/>
          </w:tcPr>
          <w:p w14:paraId="4F9F65EC" w14:textId="635A8991" w:rsidR="00E1449A" w:rsidRPr="00270C08" w:rsidRDefault="005260E5" w:rsidP="00BD27B1">
            <w:pPr>
              <w:pStyle w:val="NoSpacing"/>
              <w:jc w:val="center"/>
              <w:rPr>
                <w:b/>
                <w:sz w:val="20"/>
                <w:szCs w:val="20"/>
                <w:u w:val="single"/>
              </w:rPr>
            </w:pPr>
            <w:proofErr w:type="spellStart"/>
            <w:r w:rsidRPr="00270C08">
              <w:rPr>
                <w:sz w:val="20"/>
                <w:szCs w:val="20"/>
              </w:rPr>
              <w:t>attendance_follow_up</w:t>
            </w:r>
            <w:proofErr w:type="spellEnd"/>
          </w:p>
        </w:tc>
        <w:tc>
          <w:tcPr>
            <w:tcW w:w="2487" w:type="dxa"/>
            <w:vAlign w:val="center"/>
          </w:tcPr>
          <w:p w14:paraId="3115F78D" w14:textId="2DC8363E" w:rsidR="00E1449A" w:rsidRPr="00270C08" w:rsidRDefault="005260E5" w:rsidP="00BD27B1">
            <w:pPr>
              <w:pStyle w:val="NoSpacing"/>
              <w:jc w:val="center"/>
              <w:rPr>
                <w:b/>
                <w:sz w:val="20"/>
                <w:szCs w:val="20"/>
                <w:u w:val="single"/>
              </w:rPr>
            </w:pPr>
            <w:proofErr w:type="spellStart"/>
            <w:r w:rsidRPr="00270C08">
              <w:rPr>
                <w:sz w:val="20"/>
                <w:szCs w:val="20"/>
              </w:rPr>
              <w:t>first_attend_cd</w:t>
            </w:r>
            <w:proofErr w:type="spellEnd"/>
          </w:p>
        </w:tc>
      </w:tr>
      <w:tr w:rsidR="00270C08" w14:paraId="34B7106A" w14:textId="77777777" w:rsidTr="00577F8D">
        <w:tc>
          <w:tcPr>
            <w:tcW w:w="1101" w:type="dxa"/>
            <w:vMerge/>
            <w:vAlign w:val="center"/>
          </w:tcPr>
          <w:p w14:paraId="0AA2883D" w14:textId="77777777" w:rsidR="00E1449A" w:rsidRDefault="00E1449A" w:rsidP="00304BAF">
            <w:pPr>
              <w:jc w:val="center"/>
              <w:rPr>
                <w:b/>
                <w:u w:val="single"/>
              </w:rPr>
            </w:pPr>
          </w:p>
        </w:tc>
        <w:tc>
          <w:tcPr>
            <w:tcW w:w="1701" w:type="dxa"/>
            <w:vAlign w:val="center"/>
          </w:tcPr>
          <w:p w14:paraId="1851554B" w14:textId="1579B76B" w:rsidR="00E1449A" w:rsidRPr="002F499B" w:rsidRDefault="005260E5" w:rsidP="00BD27B1">
            <w:pPr>
              <w:pStyle w:val="NoSpacing"/>
              <w:jc w:val="center"/>
            </w:pPr>
            <w:r>
              <w:t>dna_date</w:t>
            </w:r>
            <w:r w:rsidRPr="00176165">
              <w:rPr>
                <w:vertAlign w:val="superscript"/>
              </w:rPr>
              <w:t>1</w:t>
            </w:r>
          </w:p>
        </w:tc>
        <w:tc>
          <w:tcPr>
            <w:tcW w:w="1417" w:type="dxa"/>
            <w:vAlign w:val="center"/>
          </w:tcPr>
          <w:p w14:paraId="0341DC84" w14:textId="7CD5C3B4" w:rsidR="00E1449A" w:rsidRPr="00270C08" w:rsidRDefault="005260E5" w:rsidP="00BD27B1">
            <w:pPr>
              <w:pStyle w:val="NoSpacing"/>
              <w:jc w:val="center"/>
              <w:rPr>
                <w:b/>
                <w:sz w:val="20"/>
                <w:szCs w:val="20"/>
                <w:u w:val="single"/>
              </w:rPr>
            </w:pPr>
            <w:proofErr w:type="spellStart"/>
            <w:r w:rsidRPr="00270C08">
              <w:rPr>
                <w:sz w:val="20"/>
                <w:szCs w:val="20"/>
              </w:rPr>
              <w:t>dnadate</w:t>
            </w:r>
            <w:proofErr w:type="spellEnd"/>
          </w:p>
        </w:tc>
        <w:tc>
          <w:tcPr>
            <w:tcW w:w="2552" w:type="dxa"/>
            <w:shd w:val="clear" w:color="auto" w:fill="D9D9D9" w:themeFill="background1" w:themeFillShade="D9"/>
            <w:vAlign w:val="center"/>
          </w:tcPr>
          <w:p w14:paraId="10B56542" w14:textId="77777777" w:rsidR="00E1449A" w:rsidRPr="00270C08" w:rsidRDefault="00E1449A" w:rsidP="00BD27B1">
            <w:pPr>
              <w:pStyle w:val="NoSpacing"/>
              <w:jc w:val="center"/>
              <w:rPr>
                <w:b/>
                <w:sz w:val="20"/>
                <w:szCs w:val="20"/>
                <w:u w:val="single"/>
              </w:rPr>
            </w:pPr>
          </w:p>
        </w:tc>
        <w:tc>
          <w:tcPr>
            <w:tcW w:w="2487" w:type="dxa"/>
            <w:vAlign w:val="center"/>
          </w:tcPr>
          <w:p w14:paraId="19FA5C63" w14:textId="3960A97C" w:rsidR="00E1449A" w:rsidRPr="00270C08" w:rsidRDefault="005260E5" w:rsidP="00BD27B1">
            <w:pPr>
              <w:pStyle w:val="NoSpacing"/>
              <w:jc w:val="center"/>
              <w:rPr>
                <w:b/>
                <w:sz w:val="20"/>
                <w:szCs w:val="20"/>
                <w:u w:val="single"/>
              </w:rPr>
            </w:pPr>
            <w:proofErr w:type="spellStart"/>
            <w:r w:rsidRPr="00270C08">
              <w:rPr>
                <w:sz w:val="20"/>
                <w:szCs w:val="20"/>
              </w:rPr>
              <w:t>last_dna_cancel_dt</w:t>
            </w:r>
            <w:proofErr w:type="spellEnd"/>
          </w:p>
        </w:tc>
      </w:tr>
      <w:tr w:rsidR="00270C08" w14:paraId="214C5817" w14:textId="77777777" w:rsidTr="00577F8D">
        <w:tc>
          <w:tcPr>
            <w:tcW w:w="1101" w:type="dxa"/>
            <w:vMerge/>
            <w:vAlign w:val="center"/>
          </w:tcPr>
          <w:p w14:paraId="6DFD932A" w14:textId="77777777" w:rsidR="00E1449A" w:rsidRDefault="00E1449A" w:rsidP="00304BAF">
            <w:pPr>
              <w:jc w:val="center"/>
              <w:rPr>
                <w:b/>
                <w:u w:val="single"/>
              </w:rPr>
            </w:pPr>
          </w:p>
        </w:tc>
        <w:tc>
          <w:tcPr>
            <w:tcW w:w="1701" w:type="dxa"/>
            <w:vAlign w:val="center"/>
          </w:tcPr>
          <w:p w14:paraId="3403983C" w14:textId="2D517D78" w:rsidR="00E1449A" w:rsidRPr="002F499B" w:rsidRDefault="005260E5" w:rsidP="00BD27B1">
            <w:pPr>
              <w:pStyle w:val="NoSpacing"/>
              <w:jc w:val="center"/>
            </w:pPr>
            <w:r>
              <w:t>appt_priority</w:t>
            </w:r>
            <w:r w:rsidRPr="0001240F">
              <w:rPr>
                <w:vertAlign w:val="superscript"/>
              </w:rPr>
              <w:t>2</w:t>
            </w:r>
          </w:p>
        </w:tc>
        <w:tc>
          <w:tcPr>
            <w:tcW w:w="1417" w:type="dxa"/>
            <w:vAlign w:val="center"/>
          </w:tcPr>
          <w:p w14:paraId="08F417E2" w14:textId="070B3E57" w:rsidR="00E1449A" w:rsidRPr="00270C08" w:rsidRDefault="005260E5" w:rsidP="00BD27B1">
            <w:pPr>
              <w:pStyle w:val="NoSpacing"/>
              <w:jc w:val="center"/>
              <w:rPr>
                <w:b/>
                <w:sz w:val="20"/>
                <w:szCs w:val="20"/>
                <w:u w:val="single"/>
              </w:rPr>
            </w:pPr>
            <w:r w:rsidRPr="00270C08">
              <w:rPr>
                <w:sz w:val="20"/>
                <w:szCs w:val="20"/>
              </w:rPr>
              <w:t>priority</w:t>
            </w:r>
          </w:p>
        </w:tc>
        <w:tc>
          <w:tcPr>
            <w:tcW w:w="2552" w:type="dxa"/>
            <w:shd w:val="clear" w:color="auto" w:fill="D9D9D9" w:themeFill="background1" w:themeFillShade="D9"/>
            <w:vAlign w:val="center"/>
          </w:tcPr>
          <w:p w14:paraId="1744E3AA" w14:textId="77777777" w:rsidR="00E1449A" w:rsidRPr="00270C08" w:rsidRDefault="00E1449A" w:rsidP="00BD27B1">
            <w:pPr>
              <w:pStyle w:val="NoSpacing"/>
              <w:jc w:val="center"/>
              <w:rPr>
                <w:b/>
                <w:sz w:val="20"/>
                <w:szCs w:val="20"/>
                <w:u w:val="single"/>
              </w:rPr>
            </w:pPr>
          </w:p>
        </w:tc>
        <w:tc>
          <w:tcPr>
            <w:tcW w:w="2487" w:type="dxa"/>
            <w:vAlign w:val="center"/>
          </w:tcPr>
          <w:p w14:paraId="48DEAAD4" w14:textId="5D1122CA" w:rsidR="00E1449A" w:rsidRPr="00270C08" w:rsidRDefault="005260E5" w:rsidP="00BD27B1">
            <w:pPr>
              <w:pStyle w:val="NoSpacing"/>
              <w:jc w:val="center"/>
              <w:rPr>
                <w:b/>
                <w:sz w:val="20"/>
                <w:szCs w:val="20"/>
                <w:u w:val="single"/>
              </w:rPr>
            </w:pPr>
            <w:proofErr w:type="spellStart"/>
            <w:r w:rsidRPr="00270C08">
              <w:rPr>
                <w:sz w:val="20"/>
                <w:szCs w:val="20"/>
              </w:rPr>
              <w:t>priority_type_cd</w:t>
            </w:r>
            <w:proofErr w:type="spellEnd"/>
          </w:p>
        </w:tc>
      </w:tr>
      <w:tr w:rsidR="00270C08" w14:paraId="7756E008" w14:textId="77777777" w:rsidTr="00577F8D">
        <w:tc>
          <w:tcPr>
            <w:tcW w:w="1101" w:type="dxa"/>
            <w:vMerge/>
            <w:vAlign w:val="center"/>
          </w:tcPr>
          <w:p w14:paraId="09D982ED" w14:textId="77777777" w:rsidR="00E1449A" w:rsidRDefault="00E1449A" w:rsidP="00304BAF">
            <w:pPr>
              <w:jc w:val="center"/>
              <w:rPr>
                <w:b/>
                <w:u w:val="single"/>
              </w:rPr>
            </w:pPr>
          </w:p>
        </w:tc>
        <w:tc>
          <w:tcPr>
            <w:tcW w:w="1701" w:type="dxa"/>
            <w:vAlign w:val="center"/>
          </w:tcPr>
          <w:p w14:paraId="78807312" w14:textId="685A9E10" w:rsidR="00E1449A" w:rsidRPr="002F499B" w:rsidRDefault="005260E5" w:rsidP="00BD27B1">
            <w:pPr>
              <w:pStyle w:val="NoSpacing"/>
              <w:jc w:val="center"/>
            </w:pPr>
            <w:r>
              <w:t>req_date</w:t>
            </w:r>
            <w:r w:rsidRPr="00176165">
              <w:rPr>
                <w:vertAlign w:val="superscript"/>
              </w:rPr>
              <w:t>1</w:t>
            </w:r>
          </w:p>
        </w:tc>
        <w:tc>
          <w:tcPr>
            <w:tcW w:w="1417" w:type="dxa"/>
            <w:vAlign w:val="center"/>
          </w:tcPr>
          <w:p w14:paraId="72CB637C" w14:textId="6E50E13F" w:rsidR="00E1449A" w:rsidRPr="00270C08" w:rsidRDefault="005260E5" w:rsidP="00BD27B1">
            <w:pPr>
              <w:pStyle w:val="NoSpacing"/>
              <w:jc w:val="center"/>
              <w:rPr>
                <w:b/>
                <w:sz w:val="20"/>
                <w:szCs w:val="20"/>
                <w:u w:val="single"/>
              </w:rPr>
            </w:pPr>
            <w:proofErr w:type="spellStart"/>
            <w:r w:rsidRPr="00270C08">
              <w:rPr>
                <w:sz w:val="20"/>
                <w:szCs w:val="20"/>
              </w:rPr>
              <w:t>reqdate</w:t>
            </w:r>
            <w:proofErr w:type="spellEnd"/>
          </w:p>
        </w:tc>
        <w:tc>
          <w:tcPr>
            <w:tcW w:w="2552" w:type="dxa"/>
            <w:vAlign w:val="center"/>
          </w:tcPr>
          <w:p w14:paraId="7FB4861A" w14:textId="77CF0ECB" w:rsidR="00E1449A" w:rsidRPr="00270C08" w:rsidRDefault="005260E5" w:rsidP="00BD27B1">
            <w:pPr>
              <w:pStyle w:val="NoSpacing"/>
              <w:jc w:val="center"/>
              <w:rPr>
                <w:b/>
                <w:sz w:val="20"/>
                <w:szCs w:val="20"/>
                <w:u w:val="single"/>
              </w:rPr>
            </w:pPr>
            <w:proofErr w:type="spellStart"/>
            <w:r w:rsidRPr="00270C08">
              <w:rPr>
                <w:sz w:val="20"/>
                <w:szCs w:val="20"/>
              </w:rPr>
              <w:t>date_referral_received</w:t>
            </w:r>
            <w:proofErr w:type="spellEnd"/>
          </w:p>
        </w:tc>
        <w:tc>
          <w:tcPr>
            <w:tcW w:w="2487" w:type="dxa"/>
            <w:vAlign w:val="center"/>
          </w:tcPr>
          <w:p w14:paraId="4B898F9A" w14:textId="490F63A6" w:rsidR="00E1449A" w:rsidRPr="00270C08" w:rsidRDefault="005260E5" w:rsidP="00BD27B1">
            <w:pPr>
              <w:pStyle w:val="NoSpacing"/>
              <w:jc w:val="center"/>
              <w:rPr>
                <w:b/>
                <w:sz w:val="20"/>
                <w:szCs w:val="20"/>
                <w:u w:val="single"/>
              </w:rPr>
            </w:pPr>
            <w:proofErr w:type="spellStart"/>
            <w:r w:rsidRPr="00270C08">
              <w:rPr>
                <w:sz w:val="20"/>
                <w:szCs w:val="20"/>
              </w:rPr>
              <w:t>clinical_ref_dt</w:t>
            </w:r>
            <w:proofErr w:type="spellEnd"/>
          </w:p>
        </w:tc>
      </w:tr>
      <w:tr w:rsidR="00270C08" w14:paraId="1149067B" w14:textId="77777777" w:rsidTr="00577F8D">
        <w:tc>
          <w:tcPr>
            <w:tcW w:w="1101" w:type="dxa"/>
            <w:vMerge/>
            <w:vAlign w:val="center"/>
          </w:tcPr>
          <w:p w14:paraId="5ADD91FC" w14:textId="77777777" w:rsidR="00E1449A" w:rsidRDefault="00E1449A" w:rsidP="00304BAF">
            <w:pPr>
              <w:jc w:val="center"/>
              <w:rPr>
                <w:b/>
                <w:u w:val="single"/>
              </w:rPr>
            </w:pPr>
          </w:p>
        </w:tc>
        <w:tc>
          <w:tcPr>
            <w:tcW w:w="1701" w:type="dxa"/>
            <w:vAlign w:val="center"/>
          </w:tcPr>
          <w:p w14:paraId="01364CCA" w14:textId="3070495C" w:rsidR="00E1449A" w:rsidRPr="002F499B" w:rsidRDefault="005260E5" w:rsidP="00BD27B1">
            <w:pPr>
              <w:pStyle w:val="NoSpacing"/>
              <w:jc w:val="center"/>
            </w:pPr>
            <w:r>
              <w:t>referral_source</w:t>
            </w:r>
            <w:r w:rsidRPr="0001240F">
              <w:rPr>
                <w:vertAlign w:val="superscript"/>
              </w:rPr>
              <w:t>2</w:t>
            </w:r>
          </w:p>
        </w:tc>
        <w:tc>
          <w:tcPr>
            <w:tcW w:w="1417" w:type="dxa"/>
            <w:vAlign w:val="center"/>
          </w:tcPr>
          <w:p w14:paraId="1B2C8580" w14:textId="4CA86826" w:rsidR="00E1449A" w:rsidRPr="00270C08" w:rsidRDefault="005260E5" w:rsidP="00BD27B1">
            <w:pPr>
              <w:pStyle w:val="NoSpacing"/>
              <w:jc w:val="center"/>
              <w:rPr>
                <w:b/>
                <w:sz w:val="20"/>
                <w:szCs w:val="20"/>
                <w:u w:val="single"/>
              </w:rPr>
            </w:pPr>
            <w:proofErr w:type="spellStart"/>
            <w:r w:rsidRPr="00270C08">
              <w:rPr>
                <w:sz w:val="20"/>
                <w:szCs w:val="20"/>
              </w:rPr>
              <w:t>refsourc</w:t>
            </w:r>
            <w:proofErr w:type="spellEnd"/>
          </w:p>
        </w:tc>
        <w:tc>
          <w:tcPr>
            <w:tcW w:w="2552" w:type="dxa"/>
            <w:vAlign w:val="center"/>
          </w:tcPr>
          <w:p w14:paraId="160A481C" w14:textId="55F31206" w:rsidR="00E1449A" w:rsidRPr="00270C08" w:rsidRDefault="005260E5" w:rsidP="00BD27B1">
            <w:pPr>
              <w:pStyle w:val="NoSpacing"/>
              <w:jc w:val="center"/>
              <w:rPr>
                <w:b/>
                <w:sz w:val="20"/>
                <w:szCs w:val="20"/>
                <w:u w:val="single"/>
              </w:rPr>
            </w:pPr>
            <w:proofErr w:type="spellStart"/>
            <w:r w:rsidRPr="00270C08">
              <w:rPr>
                <w:sz w:val="20"/>
                <w:szCs w:val="20"/>
              </w:rPr>
              <w:t>referral_source</w:t>
            </w:r>
            <w:proofErr w:type="spellEnd"/>
          </w:p>
        </w:tc>
        <w:tc>
          <w:tcPr>
            <w:tcW w:w="2487" w:type="dxa"/>
            <w:vAlign w:val="center"/>
          </w:tcPr>
          <w:p w14:paraId="237D1987" w14:textId="5B418A5C" w:rsidR="00E1449A" w:rsidRPr="00270C08" w:rsidRDefault="005260E5" w:rsidP="00BD27B1">
            <w:pPr>
              <w:pStyle w:val="NoSpacing"/>
              <w:jc w:val="center"/>
              <w:rPr>
                <w:b/>
                <w:sz w:val="20"/>
                <w:szCs w:val="20"/>
                <w:u w:val="single"/>
              </w:rPr>
            </w:pPr>
            <w:proofErr w:type="spellStart"/>
            <w:r w:rsidRPr="00270C08">
              <w:rPr>
                <w:sz w:val="20"/>
                <w:szCs w:val="20"/>
              </w:rPr>
              <w:t>source_of_ref_cd</w:t>
            </w:r>
            <w:proofErr w:type="spellEnd"/>
          </w:p>
        </w:tc>
      </w:tr>
      <w:tr w:rsidR="00270C08" w14:paraId="3E433E70" w14:textId="77777777" w:rsidTr="00577F8D">
        <w:trPr>
          <w:cantSplit/>
          <w:trHeight w:val="1134"/>
        </w:trPr>
        <w:tc>
          <w:tcPr>
            <w:tcW w:w="1101" w:type="dxa"/>
            <w:vMerge w:val="restart"/>
            <w:textDirection w:val="tbRl"/>
            <w:vAlign w:val="center"/>
          </w:tcPr>
          <w:p w14:paraId="52277C12" w14:textId="6C10362D" w:rsidR="00627570" w:rsidRDefault="005260E5" w:rsidP="00627570">
            <w:pPr>
              <w:pStyle w:val="NoSpacing"/>
              <w:ind w:left="113" w:right="113"/>
              <w:jc w:val="center"/>
            </w:pPr>
            <w:r>
              <w:t>diagnosis</w:t>
            </w:r>
          </w:p>
          <w:p w14:paraId="398A61E1" w14:textId="76EA03B2" w:rsidR="00035DAF" w:rsidRDefault="005260E5" w:rsidP="0041060A">
            <w:pPr>
              <w:ind w:left="113" w:right="113"/>
              <w:jc w:val="center"/>
              <w:rPr>
                <w:b/>
                <w:u w:val="single"/>
              </w:rPr>
            </w:pPr>
            <w:r>
              <w:t>classification</w:t>
            </w:r>
          </w:p>
        </w:tc>
        <w:tc>
          <w:tcPr>
            <w:tcW w:w="1701" w:type="dxa"/>
            <w:vAlign w:val="center"/>
          </w:tcPr>
          <w:p w14:paraId="0CD9D7FC" w14:textId="1899A144" w:rsidR="00035DAF" w:rsidRPr="002F499B" w:rsidRDefault="005260E5" w:rsidP="00BD27B1">
            <w:pPr>
              <w:pStyle w:val="NoSpacing"/>
              <w:jc w:val="center"/>
            </w:pPr>
            <w:r>
              <w:t>diag_01-diag_12</w:t>
            </w:r>
            <w:r w:rsidRPr="00176165">
              <w:rPr>
                <w:vertAlign w:val="superscript"/>
              </w:rPr>
              <w:t>1</w:t>
            </w:r>
          </w:p>
        </w:tc>
        <w:tc>
          <w:tcPr>
            <w:tcW w:w="1417" w:type="dxa"/>
            <w:vAlign w:val="center"/>
          </w:tcPr>
          <w:p w14:paraId="1C3F953F" w14:textId="3290E0B4" w:rsidR="00035DAF" w:rsidRPr="00270C08" w:rsidRDefault="005260E5" w:rsidP="00BD27B1">
            <w:pPr>
              <w:pStyle w:val="NoSpacing"/>
              <w:jc w:val="center"/>
              <w:rPr>
                <w:b/>
                <w:sz w:val="20"/>
                <w:szCs w:val="20"/>
                <w:u w:val="single"/>
              </w:rPr>
            </w:pPr>
            <w:r w:rsidRPr="00270C08">
              <w:rPr>
                <w:sz w:val="20"/>
                <w:szCs w:val="20"/>
              </w:rPr>
              <w:t>diag_01-diag_12</w:t>
            </w:r>
          </w:p>
        </w:tc>
        <w:tc>
          <w:tcPr>
            <w:tcW w:w="2552" w:type="dxa"/>
            <w:vAlign w:val="center"/>
          </w:tcPr>
          <w:p w14:paraId="4E4D5C4A" w14:textId="2B4CCC9D" w:rsidR="00035DAF" w:rsidRPr="00270C08" w:rsidRDefault="005260E5" w:rsidP="00BD27B1">
            <w:pPr>
              <w:pStyle w:val="NoSpacing"/>
              <w:jc w:val="center"/>
              <w:rPr>
                <w:b/>
                <w:sz w:val="20"/>
                <w:szCs w:val="20"/>
                <w:u w:val="single"/>
              </w:rPr>
            </w:pPr>
            <w:proofErr w:type="spellStart"/>
            <w:r w:rsidRPr="00270C08">
              <w:rPr>
                <w:sz w:val="20"/>
                <w:szCs w:val="20"/>
              </w:rPr>
              <w:t>main_condition</w:t>
            </w:r>
            <w:proofErr w:type="spellEnd"/>
            <w:r w:rsidRPr="00270C08">
              <w:rPr>
                <w:sz w:val="20"/>
                <w:szCs w:val="20"/>
              </w:rPr>
              <w:t xml:space="preserve"> other_condition_1-other_condition_5</w:t>
            </w:r>
          </w:p>
        </w:tc>
        <w:tc>
          <w:tcPr>
            <w:tcW w:w="2487" w:type="dxa"/>
            <w:vAlign w:val="center"/>
          </w:tcPr>
          <w:p w14:paraId="08DA6AE3" w14:textId="79AF154D" w:rsidR="00035DAF" w:rsidRPr="00270C08" w:rsidRDefault="005260E5" w:rsidP="00BD27B1">
            <w:pPr>
              <w:pStyle w:val="NoSpacing"/>
              <w:jc w:val="center"/>
              <w:rPr>
                <w:sz w:val="20"/>
                <w:szCs w:val="20"/>
              </w:rPr>
            </w:pPr>
            <w:proofErr w:type="spellStart"/>
            <w:r>
              <w:rPr>
                <w:sz w:val="20"/>
                <w:szCs w:val="20"/>
              </w:rPr>
              <w:t>c</w:t>
            </w:r>
            <w:r w:rsidRPr="00270C08">
              <w:rPr>
                <w:sz w:val="20"/>
                <w:szCs w:val="20"/>
              </w:rPr>
              <w:t>linical_purpose_cd</w:t>
            </w:r>
            <w:proofErr w:type="spellEnd"/>
          </w:p>
        </w:tc>
      </w:tr>
      <w:tr w:rsidR="00270C08" w14:paraId="5E898A0C" w14:textId="77777777" w:rsidTr="00577F8D">
        <w:trPr>
          <w:trHeight w:val="409"/>
        </w:trPr>
        <w:tc>
          <w:tcPr>
            <w:tcW w:w="1101" w:type="dxa"/>
            <w:vMerge/>
            <w:textDirection w:val="tbRl"/>
            <w:vAlign w:val="center"/>
          </w:tcPr>
          <w:p w14:paraId="34BF1C77" w14:textId="26FD6B9A" w:rsidR="00035DAF" w:rsidRDefault="00035DAF" w:rsidP="0041060A">
            <w:pPr>
              <w:ind w:left="113" w:right="113"/>
              <w:jc w:val="center"/>
              <w:rPr>
                <w:b/>
                <w:u w:val="single"/>
              </w:rPr>
            </w:pPr>
          </w:p>
        </w:tc>
        <w:tc>
          <w:tcPr>
            <w:tcW w:w="1701" w:type="dxa"/>
            <w:vAlign w:val="center"/>
          </w:tcPr>
          <w:p w14:paraId="22B3C98A" w14:textId="02EDA88B" w:rsidR="00035DAF" w:rsidRPr="002F499B" w:rsidRDefault="005260E5" w:rsidP="00BD27B1">
            <w:pPr>
              <w:pStyle w:val="NoSpacing"/>
              <w:jc w:val="center"/>
            </w:pPr>
            <w:r>
              <w:t>outcome</w:t>
            </w:r>
            <w:r w:rsidRPr="00176165">
              <w:rPr>
                <w:vertAlign w:val="superscript"/>
              </w:rPr>
              <w:t>1</w:t>
            </w:r>
          </w:p>
        </w:tc>
        <w:tc>
          <w:tcPr>
            <w:tcW w:w="1417" w:type="dxa"/>
            <w:vAlign w:val="center"/>
          </w:tcPr>
          <w:p w14:paraId="66477179" w14:textId="0B1948FA" w:rsidR="00035DAF" w:rsidRPr="00270C08" w:rsidRDefault="005260E5" w:rsidP="00BD27B1">
            <w:pPr>
              <w:pStyle w:val="NoSpacing"/>
              <w:jc w:val="center"/>
              <w:rPr>
                <w:b/>
                <w:sz w:val="20"/>
                <w:szCs w:val="20"/>
                <w:u w:val="single"/>
              </w:rPr>
            </w:pPr>
            <w:r w:rsidRPr="00270C08">
              <w:rPr>
                <w:sz w:val="20"/>
                <w:szCs w:val="20"/>
              </w:rPr>
              <w:t>outcome</w:t>
            </w:r>
          </w:p>
        </w:tc>
        <w:tc>
          <w:tcPr>
            <w:tcW w:w="2552" w:type="dxa"/>
            <w:shd w:val="clear" w:color="auto" w:fill="D9D9D9" w:themeFill="background1" w:themeFillShade="D9"/>
            <w:vAlign w:val="center"/>
          </w:tcPr>
          <w:p w14:paraId="5DD90D97" w14:textId="77777777" w:rsidR="00035DAF" w:rsidRPr="00270C08" w:rsidRDefault="00035DAF" w:rsidP="00BD27B1">
            <w:pPr>
              <w:pStyle w:val="NoSpacing"/>
              <w:jc w:val="center"/>
              <w:rPr>
                <w:b/>
                <w:sz w:val="20"/>
                <w:szCs w:val="20"/>
                <w:u w:val="single"/>
              </w:rPr>
            </w:pPr>
          </w:p>
        </w:tc>
        <w:tc>
          <w:tcPr>
            <w:tcW w:w="2487" w:type="dxa"/>
            <w:vAlign w:val="center"/>
          </w:tcPr>
          <w:p w14:paraId="6AEB4381" w14:textId="0A635EB2" w:rsidR="00035DAF" w:rsidRPr="00270C08" w:rsidRDefault="005260E5" w:rsidP="00BD27B1">
            <w:pPr>
              <w:pStyle w:val="NoSpacing"/>
              <w:jc w:val="center"/>
              <w:rPr>
                <w:b/>
                <w:sz w:val="20"/>
                <w:szCs w:val="20"/>
                <w:u w:val="single"/>
              </w:rPr>
            </w:pPr>
            <w:proofErr w:type="spellStart"/>
            <w:r w:rsidRPr="00270C08">
              <w:rPr>
                <w:sz w:val="20"/>
                <w:szCs w:val="20"/>
              </w:rPr>
              <w:t>outcome_cd</w:t>
            </w:r>
            <w:proofErr w:type="spellEnd"/>
          </w:p>
        </w:tc>
      </w:tr>
      <w:tr w:rsidR="00270C08" w14:paraId="358122B1" w14:textId="77777777" w:rsidTr="00577F8D">
        <w:trPr>
          <w:cantSplit/>
          <w:trHeight w:val="1423"/>
        </w:trPr>
        <w:tc>
          <w:tcPr>
            <w:tcW w:w="1101" w:type="dxa"/>
            <w:textDirection w:val="tbRl"/>
            <w:vAlign w:val="center"/>
          </w:tcPr>
          <w:p w14:paraId="366228BB" w14:textId="76922A2E" w:rsidR="00627570" w:rsidRDefault="005260E5" w:rsidP="00627570">
            <w:pPr>
              <w:pStyle w:val="NoSpacing"/>
              <w:ind w:left="113" w:right="113"/>
              <w:jc w:val="center"/>
            </w:pPr>
            <w:r>
              <w:t>treatment</w:t>
            </w:r>
          </w:p>
          <w:p w14:paraId="6EC14ED2" w14:textId="3A26D1DD" w:rsidR="00627570" w:rsidRDefault="005260E5" w:rsidP="00627570">
            <w:pPr>
              <w:pStyle w:val="NoSpacing"/>
              <w:ind w:left="113" w:right="113"/>
              <w:jc w:val="center"/>
            </w:pPr>
            <w:r>
              <w:t>procedure</w:t>
            </w:r>
          </w:p>
          <w:p w14:paraId="5D81D4A3" w14:textId="0B760428" w:rsidR="000E4998" w:rsidRDefault="005260E5" w:rsidP="0041060A">
            <w:pPr>
              <w:ind w:left="113" w:right="113"/>
              <w:jc w:val="center"/>
              <w:rPr>
                <w:b/>
                <w:u w:val="single"/>
              </w:rPr>
            </w:pPr>
            <w:r>
              <w:t>investigation</w:t>
            </w:r>
          </w:p>
        </w:tc>
        <w:tc>
          <w:tcPr>
            <w:tcW w:w="1701" w:type="dxa"/>
            <w:vAlign w:val="center"/>
          </w:tcPr>
          <w:p w14:paraId="58C748BB" w14:textId="1346B8A6" w:rsidR="000E4998" w:rsidRPr="002F499B" w:rsidRDefault="005260E5" w:rsidP="00BD27B1">
            <w:pPr>
              <w:pStyle w:val="NoSpacing"/>
              <w:jc w:val="center"/>
            </w:pPr>
            <w:r>
              <w:t>operation_01- operation_12</w:t>
            </w:r>
            <w:r w:rsidRPr="00176165">
              <w:rPr>
                <w:vertAlign w:val="superscript"/>
              </w:rPr>
              <w:t>1</w:t>
            </w:r>
          </w:p>
        </w:tc>
        <w:tc>
          <w:tcPr>
            <w:tcW w:w="1417" w:type="dxa"/>
            <w:vAlign w:val="center"/>
          </w:tcPr>
          <w:p w14:paraId="703E0DC4" w14:textId="2B15F3EF" w:rsidR="000E4998" w:rsidRPr="00270C08" w:rsidRDefault="005260E5" w:rsidP="00BD27B1">
            <w:pPr>
              <w:pStyle w:val="NoSpacing"/>
              <w:jc w:val="center"/>
              <w:rPr>
                <w:b/>
                <w:sz w:val="20"/>
                <w:szCs w:val="20"/>
                <w:u w:val="single"/>
              </w:rPr>
            </w:pPr>
            <w:r w:rsidRPr="00270C08">
              <w:rPr>
                <w:sz w:val="20"/>
                <w:szCs w:val="20"/>
              </w:rPr>
              <w:t>opertn_01-opertn_12</w:t>
            </w:r>
          </w:p>
        </w:tc>
        <w:tc>
          <w:tcPr>
            <w:tcW w:w="2552" w:type="dxa"/>
            <w:vAlign w:val="center"/>
          </w:tcPr>
          <w:p w14:paraId="6A49FCDB" w14:textId="0987E5E2" w:rsidR="006B010D" w:rsidRPr="00270C08" w:rsidRDefault="005260E5" w:rsidP="00BD27B1">
            <w:pPr>
              <w:pStyle w:val="NoSpacing"/>
              <w:jc w:val="center"/>
              <w:rPr>
                <w:sz w:val="20"/>
                <w:szCs w:val="20"/>
              </w:rPr>
            </w:pPr>
            <w:proofErr w:type="spellStart"/>
            <w:r w:rsidRPr="00270C08">
              <w:rPr>
                <w:sz w:val="20"/>
                <w:szCs w:val="20"/>
              </w:rPr>
              <w:t>main_operation</w:t>
            </w:r>
            <w:proofErr w:type="spellEnd"/>
          </w:p>
          <w:p w14:paraId="17A2FE42" w14:textId="10432ED6" w:rsidR="000E4998" w:rsidRPr="00270C08" w:rsidRDefault="005260E5" w:rsidP="00BD27B1">
            <w:pPr>
              <w:pStyle w:val="NoSpacing"/>
              <w:jc w:val="center"/>
              <w:rPr>
                <w:b/>
                <w:sz w:val="20"/>
                <w:szCs w:val="20"/>
                <w:u w:val="single"/>
              </w:rPr>
            </w:pPr>
            <w:r w:rsidRPr="00270C08">
              <w:rPr>
                <w:sz w:val="20"/>
                <w:szCs w:val="20"/>
              </w:rPr>
              <w:t>other_operation_1-other_operation_5</w:t>
            </w:r>
          </w:p>
        </w:tc>
        <w:tc>
          <w:tcPr>
            <w:tcW w:w="2487" w:type="dxa"/>
            <w:vAlign w:val="center"/>
          </w:tcPr>
          <w:p w14:paraId="6300EC96" w14:textId="5054591E" w:rsidR="000E4998" w:rsidRPr="00270C08" w:rsidRDefault="005260E5" w:rsidP="00BD27B1">
            <w:pPr>
              <w:pStyle w:val="NoSpacing"/>
              <w:jc w:val="center"/>
              <w:rPr>
                <w:b/>
                <w:sz w:val="20"/>
                <w:szCs w:val="20"/>
                <w:u w:val="single"/>
              </w:rPr>
            </w:pPr>
            <w:r w:rsidRPr="00270C08">
              <w:rPr>
                <w:sz w:val="20"/>
                <w:szCs w:val="20"/>
              </w:rPr>
              <w:t>oper_cd_123</w:t>
            </w:r>
          </w:p>
        </w:tc>
      </w:tr>
      <w:tr w:rsidR="00270C08" w14:paraId="492A0EAF" w14:textId="77777777" w:rsidTr="00577F8D">
        <w:trPr>
          <w:trHeight w:val="408"/>
        </w:trPr>
        <w:tc>
          <w:tcPr>
            <w:tcW w:w="1101" w:type="dxa"/>
            <w:vMerge w:val="restart"/>
            <w:textDirection w:val="tbRl"/>
            <w:vAlign w:val="center"/>
          </w:tcPr>
          <w:p w14:paraId="361C9EDE" w14:textId="4315F617" w:rsidR="00035DAF" w:rsidRDefault="005260E5" w:rsidP="0041060A">
            <w:pPr>
              <w:ind w:left="113" w:right="113"/>
              <w:jc w:val="center"/>
              <w:rPr>
                <w:b/>
                <w:u w:val="single"/>
              </w:rPr>
            </w:pPr>
            <w:r>
              <w:t>care speciality</w:t>
            </w:r>
          </w:p>
        </w:tc>
        <w:tc>
          <w:tcPr>
            <w:tcW w:w="1701" w:type="dxa"/>
            <w:vAlign w:val="center"/>
          </w:tcPr>
          <w:p w14:paraId="030777D4" w14:textId="6AF73BBC" w:rsidR="00035DAF" w:rsidRPr="002F499B" w:rsidRDefault="005260E5" w:rsidP="00BD27B1">
            <w:pPr>
              <w:pStyle w:val="NoSpacing"/>
              <w:jc w:val="center"/>
            </w:pPr>
            <w:r>
              <w:t>staff_type</w:t>
            </w:r>
            <w:r w:rsidRPr="0001240F">
              <w:rPr>
                <w:vertAlign w:val="superscript"/>
              </w:rPr>
              <w:t>2</w:t>
            </w:r>
          </w:p>
        </w:tc>
        <w:tc>
          <w:tcPr>
            <w:tcW w:w="1417" w:type="dxa"/>
            <w:vAlign w:val="center"/>
          </w:tcPr>
          <w:p w14:paraId="508CB6F0" w14:textId="1CD094AE" w:rsidR="00035DAF" w:rsidRPr="00270C08" w:rsidRDefault="005260E5" w:rsidP="00BD27B1">
            <w:pPr>
              <w:pStyle w:val="NoSpacing"/>
              <w:jc w:val="center"/>
              <w:rPr>
                <w:b/>
                <w:sz w:val="20"/>
                <w:szCs w:val="20"/>
                <w:u w:val="single"/>
              </w:rPr>
            </w:pPr>
            <w:proofErr w:type="spellStart"/>
            <w:r w:rsidRPr="00270C08">
              <w:rPr>
                <w:sz w:val="20"/>
                <w:szCs w:val="20"/>
              </w:rPr>
              <w:t>stafftyp</w:t>
            </w:r>
            <w:proofErr w:type="spellEnd"/>
          </w:p>
        </w:tc>
        <w:tc>
          <w:tcPr>
            <w:tcW w:w="2552" w:type="dxa"/>
            <w:shd w:val="clear" w:color="auto" w:fill="D9D9D9" w:themeFill="background1" w:themeFillShade="D9"/>
            <w:vAlign w:val="center"/>
          </w:tcPr>
          <w:p w14:paraId="4152F480" w14:textId="77777777" w:rsidR="00035DAF" w:rsidRPr="00270C08" w:rsidRDefault="00035DAF" w:rsidP="00BD27B1">
            <w:pPr>
              <w:pStyle w:val="NoSpacing"/>
              <w:jc w:val="center"/>
              <w:rPr>
                <w:b/>
                <w:sz w:val="20"/>
                <w:szCs w:val="20"/>
                <w:u w:val="single"/>
              </w:rPr>
            </w:pPr>
          </w:p>
        </w:tc>
        <w:tc>
          <w:tcPr>
            <w:tcW w:w="2487" w:type="dxa"/>
            <w:vAlign w:val="center"/>
          </w:tcPr>
          <w:p w14:paraId="267A9EC7" w14:textId="46948679" w:rsidR="00035DAF" w:rsidRPr="00270C08" w:rsidRDefault="005260E5" w:rsidP="00BD27B1">
            <w:pPr>
              <w:pStyle w:val="NoSpacing"/>
              <w:jc w:val="center"/>
              <w:rPr>
                <w:b/>
                <w:sz w:val="20"/>
                <w:szCs w:val="20"/>
                <w:u w:val="single"/>
              </w:rPr>
            </w:pPr>
            <w:proofErr w:type="spellStart"/>
            <w:r w:rsidRPr="00270C08">
              <w:rPr>
                <w:sz w:val="20"/>
                <w:szCs w:val="20"/>
              </w:rPr>
              <w:t>med_staff_type_cd</w:t>
            </w:r>
            <w:proofErr w:type="spellEnd"/>
          </w:p>
        </w:tc>
      </w:tr>
      <w:tr w:rsidR="00270C08" w14:paraId="20F6A178" w14:textId="77777777" w:rsidTr="00577F8D">
        <w:trPr>
          <w:trHeight w:val="415"/>
        </w:trPr>
        <w:tc>
          <w:tcPr>
            <w:tcW w:w="1101" w:type="dxa"/>
            <w:vMerge/>
            <w:textDirection w:val="tbRl"/>
            <w:vAlign w:val="center"/>
          </w:tcPr>
          <w:p w14:paraId="68E636A9" w14:textId="77777777" w:rsidR="00035DAF" w:rsidRDefault="00035DAF" w:rsidP="0041060A">
            <w:pPr>
              <w:ind w:left="113" w:right="113"/>
              <w:jc w:val="center"/>
              <w:rPr>
                <w:b/>
                <w:u w:val="single"/>
              </w:rPr>
            </w:pPr>
          </w:p>
        </w:tc>
        <w:tc>
          <w:tcPr>
            <w:tcW w:w="1701" w:type="dxa"/>
            <w:vAlign w:val="center"/>
          </w:tcPr>
          <w:p w14:paraId="62CBED19" w14:textId="15D2D04B" w:rsidR="00035DAF" w:rsidRPr="002F499B" w:rsidRDefault="005260E5" w:rsidP="00BD27B1">
            <w:pPr>
              <w:pStyle w:val="NoSpacing"/>
              <w:jc w:val="center"/>
            </w:pPr>
            <w:r>
              <w:t>main_speciality</w:t>
            </w:r>
            <w:r w:rsidRPr="0001240F">
              <w:rPr>
                <w:vertAlign w:val="superscript"/>
              </w:rPr>
              <w:t>2</w:t>
            </w:r>
          </w:p>
        </w:tc>
        <w:tc>
          <w:tcPr>
            <w:tcW w:w="1417" w:type="dxa"/>
            <w:vAlign w:val="center"/>
          </w:tcPr>
          <w:p w14:paraId="4453D403" w14:textId="77DA9C01" w:rsidR="00035DAF" w:rsidRPr="00270C08" w:rsidRDefault="005260E5" w:rsidP="00BD27B1">
            <w:pPr>
              <w:pStyle w:val="NoSpacing"/>
              <w:jc w:val="center"/>
              <w:rPr>
                <w:b/>
                <w:sz w:val="20"/>
                <w:szCs w:val="20"/>
                <w:u w:val="single"/>
              </w:rPr>
            </w:pPr>
            <w:proofErr w:type="spellStart"/>
            <w:r w:rsidRPr="00270C08">
              <w:rPr>
                <w:sz w:val="20"/>
                <w:szCs w:val="20"/>
              </w:rPr>
              <w:t>mainspef</w:t>
            </w:r>
            <w:proofErr w:type="spellEnd"/>
          </w:p>
        </w:tc>
        <w:tc>
          <w:tcPr>
            <w:tcW w:w="2552" w:type="dxa"/>
            <w:vAlign w:val="center"/>
          </w:tcPr>
          <w:p w14:paraId="5EF96190" w14:textId="44444E88" w:rsidR="00035DAF" w:rsidRPr="00270C08" w:rsidRDefault="005260E5" w:rsidP="00BD27B1">
            <w:pPr>
              <w:pStyle w:val="NoSpacing"/>
              <w:jc w:val="center"/>
              <w:rPr>
                <w:b/>
                <w:sz w:val="20"/>
                <w:szCs w:val="20"/>
                <w:u w:val="single"/>
              </w:rPr>
            </w:pPr>
            <w:r w:rsidRPr="00270C08">
              <w:rPr>
                <w:sz w:val="20"/>
                <w:szCs w:val="20"/>
              </w:rPr>
              <w:t>specialty</w:t>
            </w:r>
          </w:p>
        </w:tc>
        <w:tc>
          <w:tcPr>
            <w:tcW w:w="2487" w:type="dxa"/>
            <w:vAlign w:val="center"/>
          </w:tcPr>
          <w:p w14:paraId="2020AF6D" w14:textId="1E920A84" w:rsidR="00035DAF" w:rsidRPr="00270C08" w:rsidRDefault="005260E5" w:rsidP="00BD27B1">
            <w:pPr>
              <w:pStyle w:val="NoSpacing"/>
              <w:jc w:val="center"/>
              <w:rPr>
                <w:b/>
                <w:sz w:val="20"/>
                <w:szCs w:val="20"/>
                <w:u w:val="single"/>
              </w:rPr>
            </w:pPr>
            <w:proofErr w:type="spellStart"/>
            <w:r w:rsidRPr="00270C08">
              <w:rPr>
                <w:sz w:val="20"/>
                <w:szCs w:val="20"/>
              </w:rPr>
              <w:t>con_spec_main_cd</w:t>
            </w:r>
            <w:proofErr w:type="spellEnd"/>
          </w:p>
        </w:tc>
      </w:tr>
      <w:tr w:rsidR="00270C08" w14:paraId="1A6CC139" w14:textId="77777777" w:rsidTr="00577F8D">
        <w:tc>
          <w:tcPr>
            <w:tcW w:w="1101" w:type="dxa"/>
            <w:vMerge/>
            <w:textDirection w:val="tbRl"/>
            <w:vAlign w:val="center"/>
          </w:tcPr>
          <w:p w14:paraId="309D4D44" w14:textId="77777777" w:rsidR="00035DAF" w:rsidRDefault="00035DAF" w:rsidP="0041060A">
            <w:pPr>
              <w:ind w:left="113" w:right="113"/>
              <w:jc w:val="center"/>
              <w:rPr>
                <w:b/>
                <w:u w:val="single"/>
              </w:rPr>
            </w:pPr>
          </w:p>
        </w:tc>
        <w:tc>
          <w:tcPr>
            <w:tcW w:w="1701" w:type="dxa"/>
            <w:vAlign w:val="center"/>
          </w:tcPr>
          <w:p w14:paraId="1DA9E6EC" w14:textId="5E13E1AE" w:rsidR="00035DAF" w:rsidRPr="002F499B" w:rsidRDefault="005260E5" w:rsidP="00BD27B1">
            <w:pPr>
              <w:pStyle w:val="NoSpacing"/>
              <w:jc w:val="center"/>
            </w:pPr>
            <w:r>
              <w:t>treat_speciality</w:t>
            </w:r>
            <w:r w:rsidRPr="0001240F">
              <w:rPr>
                <w:vertAlign w:val="superscript"/>
              </w:rPr>
              <w:t>2</w:t>
            </w:r>
          </w:p>
        </w:tc>
        <w:tc>
          <w:tcPr>
            <w:tcW w:w="1417" w:type="dxa"/>
            <w:vAlign w:val="center"/>
          </w:tcPr>
          <w:p w14:paraId="1A0CAE93" w14:textId="299DC072" w:rsidR="00035DAF" w:rsidRPr="00270C08" w:rsidRDefault="005260E5" w:rsidP="00BD27B1">
            <w:pPr>
              <w:pStyle w:val="NoSpacing"/>
              <w:jc w:val="center"/>
              <w:rPr>
                <w:b/>
                <w:sz w:val="20"/>
                <w:szCs w:val="20"/>
                <w:u w:val="single"/>
              </w:rPr>
            </w:pPr>
            <w:proofErr w:type="spellStart"/>
            <w:r w:rsidRPr="00270C08">
              <w:rPr>
                <w:sz w:val="20"/>
                <w:szCs w:val="20"/>
              </w:rPr>
              <w:t>tretspef</w:t>
            </w:r>
            <w:proofErr w:type="spellEnd"/>
          </w:p>
        </w:tc>
        <w:tc>
          <w:tcPr>
            <w:tcW w:w="2552" w:type="dxa"/>
            <w:shd w:val="clear" w:color="auto" w:fill="D9D9D9" w:themeFill="background1" w:themeFillShade="D9"/>
            <w:vAlign w:val="center"/>
          </w:tcPr>
          <w:p w14:paraId="7391F1C6" w14:textId="77777777" w:rsidR="00035DAF" w:rsidRPr="00270C08" w:rsidRDefault="00035DAF" w:rsidP="00BD27B1">
            <w:pPr>
              <w:pStyle w:val="NoSpacing"/>
              <w:jc w:val="center"/>
              <w:rPr>
                <w:b/>
                <w:sz w:val="20"/>
                <w:szCs w:val="20"/>
                <w:u w:val="single"/>
              </w:rPr>
            </w:pPr>
          </w:p>
        </w:tc>
        <w:tc>
          <w:tcPr>
            <w:tcW w:w="2487" w:type="dxa"/>
            <w:vAlign w:val="center"/>
          </w:tcPr>
          <w:p w14:paraId="40F537DC" w14:textId="4A511F2E" w:rsidR="00035DAF" w:rsidRPr="00270C08" w:rsidRDefault="005260E5" w:rsidP="00BD27B1">
            <w:pPr>
              <w:pStyle w:val="NoSpacing"/>
              <w:jc w:val="center"/>
              <w:rPr>
                <w:b/>
                <w:sz w:val="20"/>
                <w:szCs w:val="20"/>
                <w:u w:val="single"/>
              </w:rPr>
            </w:pPr>
            <w:proofErr w:type="spellStart"/>
            <w:r w:rsidRPr="00270C08">
              <w:rPr>
                <w:sz w:val="20"/>
                <w:szCs w:val="20"/>
              </w:rPr>
              <w:t>con_spec_cd_of_treat</w:t>
            </w:r>
            <w:proofErr w:type="spellEnd"/>
          </w:p>
        </w:tc>
      </w:tr>
      <w:tr w:rsidR="00270C08" w14:paraId="61A4DF80" w14:textId="77777777" w:rsidTr="00577F8D">
        <w:tc>
          <w:tcPr>
            <w:tcW w:w="1101" w:type="dxa"/>
            <w:vMerge w:val="restart"/>
            <w:textDirection w:val="tbRl"/>
            <w:vAlign w:val="center"/>
          </w:tcPr>
          <w:p w14:paraId="3F87EE84" w14:textId="4071F4BD" w:rsidR="002F499B" w:rsidRDefault="005260E5" w:rsidP="00627570">
            <w:pPr>
              <w:pStyle w:val="NoSpacing"/>
              <w:ind w:left="113" w:right="113"/>
              <w:jc w:val="center"/>
            </w:pPr>
            <w:r>
              <w:t xml:space="preserve">costing </w:t>
            </w:r>
          </w:p>
          <w:p w14:paraId="593D7A6D" w14:textId="58F235EF" w:rsidR="002F499B" w:rsidRDefault="005260E5" w:rsidP="0041060A">
            <w:pPr>
              <w:ind w:left="113" w:right="113"/>
              <w:jc w:val="center"/>
              <w:rPr>
                <w:b/>
                <w:u w:val="single"/>
              </w:rPr>
            </w:pPr>
            <w:r>
              <w:t>resources</w:t>
            </w:r>
          </w:p>
        </w:tc>
        <w:tc>
          <w:tcPr>
            <w:tcW w:w="1701" w:type="dxa"/>
            <w:vAlign w:val="center"/>
          </w:tcPr>
          <w:p w14:paraId="268E95D2" w14:textId="157D4B3B" w:rsidR="002F499B" w:rsidRPr="002F499B" w:rsidRDefault="005260E5" w:rsidP="00BD27B1">
            <w:pPr>
              <w:pStyle w:val="NoSpacing"/>
              <w:jc w:val="center"/>
            </w:pPr>
            <w:r>
              <w:t>hrg_nhs</w:t>
            </w:r>
            <w:r w:rsidRPr="005F2D5F">
              <w:rPr>
                <w:vertAlign w:val="superscript"/>
              </w:rPr>
              <w:t>1</w:t>
            </w:r>
          </w:p>
        </w:tc>
        <w:tc>
          <w:tcPr>
            <w:tcW w:w="1417" w:type="dxa"/>
            <w:vAlign w:val="center"/>
          </w:tcPr>
          <w:p w14:paraId="4716542F" w14:textId="7D82102B" w:rsidR="002F499B" w:rsidRPr="00270C08" w:rsidRDefault="005260E5" w:rsidP="00BD27B1">
            <w:pPr>
              <w:pStyle w:val="NoSpacing"/>
              <w:jc w:val="center"/>
              <w:rPr>
                <w:b/>
                <w:sz w:val="20"/>
                <w:szCs w:val="20"/>
                <w:u w:val="single"/>
              </w:rPr>
            </w:pPr>
            <w:proofErr w:type="spellStart"/>
            <w:r w:rsidRPr="00270C08">
              <w:rPr>
                <w:sz w:val="20"/>
                <w:szCs w:val="20"/>
              </w:rPr>
              <w:t>hrgnhs</w:t>
            </w:r>
            <w:proofErr w:type="spellEnd"/>
          </w:p>
        </w:tc>
        <w:tc>
          <w:tcPr>
            <w:tcW w:w="2552" w:type="dxa"/>
            <w:shd w:val="clear" w:color="auto" w:fill="D9D9D9" w:themeFill="background1" w:themeFillShade="D9"/>
            <w:vAlign w:val="center"/>
          </w:tcPr>
          <w:p w14:paraId="3EA86012" w14:textId="77777777" w:rsidR="002F499B" w:rsidRPr="00270C08" w:rsidRDefault="002F499B" w:rsidP="00BD27B1">
            <w:pPr>
              <w:pStyle w:val="NoSpacing"/>
              <w:jc w:val="center"/>
              <w:rPr>
                <w:b/>
                <w:sz w:val="20"/>
                <w:szCs w:val="20"/>
                <w:u w:val="single"/>
              </w:rPr>
            </w:pPr>
          </w:p>
        </w:tc>
        <w:tc>
          <w:tcPr>
            <w:tcW w:w="2487" w:type="dxa"/>
            <w:shd w:val="clear" w:color="auto" w:fill="D9D9D9" w:themeFill="background1" w:themeFillShade="D9"/>
            <w:vAlign w:val="center"/>
          </w:tcPr>
          <w:p w14:paraId="5C7A79F0" w14:textId="77777777" w:rsidR="002F499B" w:rsidRPr="00270C08" w:rsidRDefault="002F499B" w:rsidP="00BD27B1">
            <w:pPr>
              <w:pStyle w:val="NoSpacing"/>
              <w:jc w:val="center"/>
              <w:rPr>
                <w:b/>
                <w:sz w:val="20"/>
                <w:szCs w:val="20"/>
                <w:u w:val="single"/>
              </w:rPr>
            </w:pPr>
          </w:p>
        </w:tc>
      </w:tr>
      <w:tr w:rsidR="00270C08" w14:paraId="03024373" w14:textId="77777777" w:rsidTr="00577F8D">
        <w:trPr>
          <w:trHeight w:val="429"/>
        </w:trPr>
        <w:tc>
          <w:tcPr>
            <w:tcW w:w="1101" w:type="dxa"/>
            <w:vMerge/>
            <w:textDirection w:val="tbRl"/>
            <w:vAlign w:val="center"/>
          </w:tcPr>
          <w:p w14:paraId="0D1F203F" w14:textId="77777777" w:rsidR="002F499B" w:rsidRDefault="002F499B" w:rsidP="0041060A">
            <w:pPr>
              <w:ind w:left="113" w:right="113"/>
              <w:jc w:val="center"/>
              <w:rPr>
                <w:b/>
                <w:u w:val="single"/>
              </w:rPr>
            </w:pPr>
          </w:p>
        </w:tc>
        <w:tc>
          <w:tcPr>
            <w:tcW w:w="1701" w:type="dxa"/>
            <w:vAlign w:val="center"/>
          </w:tcPr>
          <w:p w14:paraId="7E24D631" w14:textId="69176198" w:rsidR="002F499B" w:rsidRPr="002F499B" w:rsidRDefault="005260E5" w:rsidP="00BD27B1">
            <w:pPr>
              <w:pStyle w:val="NoSpacing"/>
              <w:jc w:val="center"/>
            </w:pPr>
            <w:r>
              <w:t>sus_hrg</w:t>
            </w:r>
            <w:r w:rsidRPr="005F2D5F">
              <w:rPr>
                <w:vertAlign w:val="superscript"/>
              </w:rPr>
              <w:t>1</w:t>
            </w:r>
          </w:p>
        </w:tc>
        <w:tc>
          <w:tcPr>
            <w:tcW w:w="1417" w:type="dxa"/>
            <w:vAlign w:val="center"/>
          </w:tcPr>
          <w:p w14:paraId="663A16AD" w14:textId="68BE9603" w:rsidR="002F499B" w:rsidRPr="00270C08" w:rsidRDefault="005260E5" w:rsidP="00BD27B1">
            <w:pPr>
              <w:pStyle w:val="NoSpacing"/>
              <w:jc w:val="center"/>
              <w:rPr>
                <w:b/>
                <w:sz w:val="20"/>
                <w:szCs w:val="20"/>
                <w:u w:val="single"/>
              </w:rPr>
            </w:pPr>
            <w:proofErr w:type="spellStart"/>
            <w:r w:rsidRPr="00270C08">
              <w:rPr>
                <w:sz w:val="20"/>
                <w:szCs w:val="20"/>
              </w:rPr>
              <w:t>sushrg</w:t>
            </w:r>
            <w:proofErr w:type="spellEnd"/>
          </w:p>
        </w:tc>
        <w:tc>
          <w:tcPr>
            <w:tcW w:w="2552" w:type="dxa"/>
            <w:shd w:val="clear" w:color="auto" w:fill="D9D9D9" w:themeFill="background1" w:themeFillShade="D9"/>
            <w:vAlign w:val="center"/>
          </w:tcPr>
          <w:p w14:paraId="5D84D4DF" w14:textId="77777777" w:rsidR="002F499B" w:rsidRPr="00270C08" w:rsidRDefault="002F499B" w:rsidP="00BD27B1">
            <w:pPr>
              <w:pStyle w:val="NoSpacing"/>
              <w:jc w:val="center"/>
              <w:rPr>
                <w:b/>
                <w:sz w:val="20"/>
                <w:szCs w:val="20"/>
                <w:u w:val="single"/>
              </w:rPr>
            </w:pPr>
          </w:p>
        </w:tc>
        <w:tc>
          <w:tcPr>
            <w:tcW w:w="2487" w:type="dxa"/>
            <w:shd w:val="clear" w:color="auto" w:fill="D9D9D9" w:themeFill="background1" w:themeFillShade="D9"/>
            <w:vAlign w:val="center"/>
          </w:tcPr>
          <w:p w14:paraId="4BE749AD" w14:textId="77777777" w:rsidR="002F499B" w:rsidRPr="00270C08" w:rsidRDefault="002F499B" w:rsidP="00BD27B1">
            <w:pPr>
              <w:pStyle w:val="NoSpacing"/>
              <w:jc w:val="center"/>
              <w:rPr>
                <w:b/>
                <w:sz w:val="20"/>
                <w:szCs w:val="20"/>
                <w:u w:val="single"/>
              </w:rPr>
            </w:pPr>
          </w:p>
        </w:tc>
      </w:tr>
      <w:tr w:rsidR="00270C08" w14:paraId="7ED11807" w14:textId="77777777" w:rsidTr="00577F8D">
        <w:trPr>
          <w:trHeight w:val="432"/>
        </w:trPr>
        <w:tc>
          <w:tcPr>
            <w:tcW w:w="1101" w:type="dxa"/>
            <w:vMerge/>
            <w:textDirection w:val="tbRl"/>
            <w:vAlign w:val="center"/>
          </w:tcPr>
          <w:p w14:paraId="08E23ED7" w14:textId="77777777" w:rsidR="00035DAF" w:rsidRDefault="00035DAF" w:rsidP="0041060A">
            <w:pPr>
              <w:ind w:left="113" w:right="113"/>
              <w:jc w:val="center"/>
              <w:rPr>
                <w:b/>
                <w:u w:val="single"/>
              </w:rPr>
            </w:pPr>
          </w:p>
        </w:tc>
        <w:tc>
          <w:tcPr>
            <w:tcW w:w="1701" w:type="dxa"/>
            <w:vAlign w:val="center"/>
          </w:tcPr>
          <w:p w14:paraId="6A916A17" w14:textId="1B48F207" w:rsidR="00035DAF" w:rsidRPr="002F499B" w:rsidRDefault="005260E5" w:rsidP="00BD27B1">
            <w:pPr>
              <w:pStyle w:val="NoSpacing"/>
              <w:jc w:val="center"/>
            </w:pPr>
            <w:r>
              <w:t>purchase_val</w:t>
            </w:r>
            <w:r w:rsidRPr="00176165">
              <w:rPr>
                <w:vertAlign w:val="superscript"/>
              </w:rPr>
              <w:t>1</w:t>
            </w:r>
          </w:p>
        </w:tc>
        <w:tc>
          <w:tcPr>
            <w:tcW w:w="1417" w:type="dxa"/>
            <w:vAlign w:val="center"/>
          </w:tcPr>
          <w:p w14:paraId="679FD6BA" w14:textId="51C68D98" w:rsidR="00035DAF" w:rsidRPr="00270C08" w:rsidRDefault="005260E5" w:rsidP="00BD27B1">
            <w:pPr>
              <w:pStyle w:val="NoSpacing"/>
              <w:jc w:val="center"/>
              <w:rPr>
                <w:b/>
                <w:sz w:val="20"/>
                <w:szCs w:val="20"/>
                <w:u w:val="single"/>
              </w:rPr>
            </w:pPr>
            <w:proofErr w:type="spellStart"/>
            <w:r w:rsidRPr="00270C08">
              <w:rPr>
                <w:sz w:val="20"/>
                <w:szCs w:val="20"/>
              </w:rPr>
              <w:t>purval</w:t>
            </w:r>
            <w:proofErr w:type="spellEnd"/>
          </w:p>
        </w:tc>
        <w:tc>
          <w:tcPr>
            <w:tcW w:w="2552" w:type="dxa"/>
            <w:shd w:val="clear" w:color="auto" w:fill="D9D9D9" w:themeFill="background1" w:themeFillShade="D9"/>
            <w:vAlign w:val="center"/>
          </w:tcPr>
          <w:p w14:paraId="79FD7B14" w14:textId="77777777" w:rsidR="00035DAF" w:rsidRPr="00270C08" w:rsidRDefault="00035DAF" w:rsidP="00BD27B1">
            <w:pPr>
              <w:pStyle w:val="NoSpacing"/>
              <w:jc w:val="center"/>
              <w:rPr>
                <w:b/>
                <w:sz w:val="20"/>
                <w:szCs w:val="20"/>
                <w:u w:val="single"/>
              </w:rPr>
            </w:pPr>
          </w:p>
        </w:tc>
        <w:tc>
          <w:tcPr>
            <w:tcW w:w="2487" w:type="dxa"/>
            <w:shd w:val="clear" w:color="auto" w:fill="D9D9D9" w:themeFill="background1" w:themeFillShade="D9"/>
            <w:vAlign w:val="center"/>
          </w:tcPr>
          <w:p w14:paraId="0C67A27C" w14:textId="77777777" w:rsidR="00035DAF" w:rsidRPr="00270C08" w:rsidRDefault="00035DAF" w:rsidP="00BD27B1">
            <w:pPr>
              <w:pStyle w:val="NoSpacing"/>
              <w:jc w:val="center"/>
              <w:rPr>
                <w:b/>
                <w:sz w:val="20"/>
                <w:szCs w:val="20"/>
                <w:u w:val="single"/>
              </w:rPr>
            </w:pPr>
          </w:p>
        </w:tc>
      </w:tr>
      <w:tr w:rsidR="00270C08" w14:paraId="629131B5" w14:textId="77777777" w:rsidTr="00577F8D">
        <w:trPr>
          <w:trHeight w:val="385"/>
        </w:trPr>
        <w:tc>
          <w:tcPr>
            <w:tcW w:w="1101" w:type="dxa"/>
            <w:vMerge w:val="restart"/>
            <w:textDirection w:val="tbRl"/>
            <w:vAlign w:val="center"/>
          </w:tcPr>
          <w:p w14:paraId="3693D275" w14:textId="41D8411C" w:rsidR="00035DAF" w:rsidRDefault="005260E5" w:rsidP="0041060A">
            <w:pPr>
              <w:ind w:left="113" w:right="113"/>
              <w:jc w:val="center"/>
              <w:rPr>
                <w:b/>
                <w:u w:val="single"/>
              </w:rPr>
            </w:pPr>
            <w:r>
              <w:t>care provider</w:t>
            </w:r>
          </w:p>
        </w:tc>
        <w:tc>
          <w:tcPr>
            <w:tcW w:w="1701" w:type="dxa"/>
            <w:vAlign w:val="center"/>
          </w:tcPr>
          <w:p w14:paraId="5FFDAD64" w14:textId="5FD39549" w:rsidR="00035DAF" w:rsidRPr="002F499B" w:rsidRDefault="005260E5" w:rsidP="00BD27B1">
            <w:pPr>
              <w:pStyle w:val="NoSpacing"/>
              <w:jc w:val="center"/>
            </w:pPr>
            <w:r>
              <w:t>pur_code</w:t>
            </w:r>
            <w:r w:rsidRPr="00176165">
              <w:rPr>
                <w:vertAlign w:val="superscript"/>
              </w:rPr>
              <w:t>1</w:t>
            </w:r>
          </w:p>
        </w:tc>
        <w:tc>
          <w:tcPr>
            <w:tcW w:w="1417" w:type="dxa"/>
            <w:vAlign w:val="center"/>
          </w:tcPr>
          <w:p w14:paraId="21F1BBD5" w14:textId="1801586A" w:rsidR="00035DAF" w:rsidRPr="00270C08" w:rsidRDefault="005260E5" w:rsidP="00BD27B1">
            <w:pPr>
              <w:pStyle w:val="NoSpacing"/>
              <w:jc w:val="center"/>
              <w:rPr>
                <w:b/>
                <w:sz w:val="20"/>
                <w:szCs w:val="20"/>
                <w:u w:val="single"/>
              </w:rPr>
            </w:pPr>
            <w:proofErr w:type="spellStart"/>
            <w:r w:rsidRPr="00270C08">
              <w:rPr>
                <w:sz w:val="20"/>
                <w:szCs w:val="20"/>
              </w:rPr>
              <w:t>purcode</w:t>
            </w:r>
            <w:proofErr w:type="spellEnd"/>
          </w:p>
        </w:tc>
        <w:tc>
          <w:tcPr>
            <w:tcW w:w="2552" w:type="dxa"/>
            <w:shd w:val="clear" w:color="auto" w:fill="D9D9D9" w:themeFill="background1" w:themeFillShade="D9"/>
            <w:vAlign w:val="center"/>
          </w:tcPr>
          <w:p w14:paraId="51BFA070" w14:textId="77777777" w:rsidR="00035DAF" w:rsidRPr="00270C08" w:rsidRDefault="00035DAF" w:rsidP="00BD27B1">
            <w:pPr>
              <w:pStyle w:val="NoSpacing"/>
              <w:jc w:val="center"/>
              <w:rPr>
                <w:b/>
                <w:sz w:val="20"/>
                <w:szCs w:val="20"/>
                <w:u w:val="single"/>
              </w:rPr>
            </w:pPr>
          </w:p>
        </w:tc>
        <w:tc>
          <w:tcPr>
            <w:tcW w:w="2487" w:type="dxa"/>
            <w:shd w:val="clear" w:color="auto" w:fill="D9D9D9" w:themeFill="background1" w:themeFillShade="D9"/>
            <w:vAlign w:val="center"/>
          </w:tcPr>
          <w:p w14:paraId="3F7ABC28" w14:textId="77777777" w:rsidR="00035DAF" w:rsidRPr="00270C08" w:rsidRDefault="00035DAF" w:rsidP="00BD27B1">
            <w:pPr>
              <w:pStyle w:val="NoSpacing"/>
              <w:jc w:val="center"/>
              <w:rPr>
                <w:b/>
                <w:sz w:val="20"/>
                <w:szCs w:val="20"/>
                <w:u w:val="single"/>
              </w:rPr>
            </w:pPr>
          </w:p>
        </w:tc>
      </w:tr>
      <w:tr w:rsidR="00270C08" w14:paraId="6AA1B137" w14:textId="77777777" w:rsidTr="00577F8D">
        <w:trPr>
          <w:trHeight w:val="433"/>
        </w:trPr>
        <w:tc>
          <w:tcPr>
            <w:tcW w:w="1101" w:type="dxa"/>
            <w:vMerge/>
            <w:vAlign w:val="center"/>
          </w:tcPr>
          <w:p w14:paraId="772CCB29" w14:textId="6B6B9C6A" w:rsidR="00035DAF" w:rsidRDefault="00035DAF" w:rsidP="00304BAF">
            <w:pPr>
              <w:jc w:val="center"/>
              <w:rPr>
                <w:b/>
                <w:u w:val="single"/>
              </w:rPr>
            </w:pPr>
          </w:p>
        </w:tc>
        <w:tc>
          <w:tcPr>
            <w:tcW w:w="1701" w:type="dxa"/>
            <w:vAlign w:val="center"/>
          </w:tcPr>
          <w:p w14:paraId="0C7ADF01" w14:textId="2C70CEF6" w:rsidR="00035DAF" w:rsidRPr="002F499B" w:rsidRDefault="005260E5" w:rsidP="00BD27B1">
            <w:pPr>
              <w:pStyle w:val="NoSpacing"/>
              <w:jc w:val="center"/>
            </w:pPr>
            <w:r>
              <w:t>provider_code</w:t>
            </w:r>
            <w:r w:rsidRPr="00176165">
              <w:rPr>
                <w:vertAlign w:val="superscript"/>
              </w:rPr>
              <w:t>1</w:t>
            </w:r>
          </w:p>
        </w:tc>
        <w:tc>
          <w:tcPr>
            <w:tcW w:w="1417" w:type="dxa"/>
            <w:vAlign w:val="center"/>
          </w:tcPr>
          <w:p w14:paraId="60C9ED9F" w14:textId="3AEAA7F4" w:rsidR="00035DAF" w:rsidRPr="00270C08" w:rsidRDefault="005260E5" w:rsidP="00BD27B1">
            <w:pPr>
              <w:pStyle w:val="NoSpacing"/>
              <w:jc w:val="center"/>
              <w:rPr>
                <w:b/>
                <w:sz w:val="20"/>
                <w:szCs w:val="20"/>
                <w:u w:val="single"/>
              </w:rPr>
            </w:pPr>
            <w:proofErr w:type="spellStart"/>
            <w:r w:rsidRPr="00270C08">
              <w:rPr>
                <w:sz w:val="20"/>
                <w:szCs w:val="20"/>
              </w:rPr>
              <w:t>procode</w:t>
            </w:r>
            <w:proofErr w:type="spellEnd"/>
          </w:p>
        </w:tc>
        <w:tc>
          <w:tcPr>
            <w:tcW w:w="2552" w:type="dxa"/>
            <w:vAlign w:val="center"/>
          </w:tcPr>
          <w:p w14:paraId="3DADD8CF" w14:textId="6A3A22A5" w:rsidR="00035DAF" w:rsidRPr="00270C08" w:rsidRDefault="005260E5" w:rsidP="00BD27B1">
            <w:pPr>
              <w:pStyle w:val="NoSpacing"/>
              <w:jc w:val="center"/>
              <w:rPr>
                <w:b/>
                <w:sz w:val="20"/>
                <w:szCs w:val="20"/>
                <w:u w:val="single"/>
              </w:rPr>
            </w:pPr>
            <w:proofErr w:type="spellStart"/>
            <w:r w:rsidRPr="00270C08">
              <w:rPr>
                <w:sz w:val="20"/>
                <w:szCs w:val="20"/>
              </w:rPr>
              <w:t>gpprac_hb</w:t>
            </w:r>
            <w:proofErr w:type="spellEnd"/>
          </w:p>
        </w:tc>
        <w:tc>
          <w:tcPr>
            <w:tcW w:w="2487" w:type="dxa"/>
            <w:vAlign w:val="center"/>
          </w:tcPr>
          <w:p w14:paraId="51635431" w14:textId="427D9CFA" w:rsidR="00035DAF" w:rsidRPr="00270C08" w:rsidRDefault="005260E5" w:rsidP="00BD27B1">
            <w:pPr>
              <w:pStyle w:val="NoSpacing"/>
              <w:jc w:val="center"/>
              <w:rPr>
                <w:b/>
                <w:sz w:val="20"/>
                <w:szCs w:val="20"/>
                <w:u w:val="single"/>
              </w:rPr>
            </w:pPr>
            <w:proofErr w:type="spellStart"/>
            <w:r w:rsidRPr="00270C08">
              <w:rPr>
                <w:sz w:val="20"/>
                <w:szCs w:val="20"/>
              </w:rPr>
              <w:t>prov_site_cd</w:t>
            </w:r>
            <w:proofErr w:type="spellEnd"/>
          </w:p>
        </w:tc>
      </w:tr>
      <w:tr w:rsidR="00270C08" w14:paraId="299EBC26" w14:textId="77777777" w:rsidTr="00577F8D">
        <w:tc>
          <w:tcPr>
            <w:tcW w:w="1101" w:type="dxa"/>
            <w:vMerge/>
            <w:vAlign w:val="center"/>
          </w:tcPr>
          <w:p w14:paraId="58188DE1" w14:textId="5193B29C" w:rsidR="00035DAF" w:rsidRDefault="00035DAF" w:rsidP="00304BAF">
            <w:pPr>
              <w:jc w:val="center"/>
              <w:rPr>
                <w:b/>
                <w:u w:val="single"/>
              </w:rPr>
            </w:pPr>
          </w:p>
        </w:tc>
        <w:tc>
          <w:tcPr>
            <w:tcW w:w="1701" w:type="dxa"/>
            <w:vAlign w:val="center"/>
          </w:tcPr>
          <w:p w14:paraId="4107D717" w14:textId="70382443" w:rsidR="00035DAF" w:rsidRPr="002F499B" w:rsidRDefault="005260E5" w:rsidP="00BD27B1">
            <w:pPr>
              <w:pStyle w:val="NoSpacing"/>
              <w:jc w:val="center"/>
            </w:pPr>
            <w:r>
              <w:t>provider_type</w:t>
            </w:r>
            <w:r w:rsidRPr="005F2D5F">
              <w:rPr>
                <w:vertAlign w:val="superscript"/>
              </w:rPr>
              <w:t>1</w:t>
            </w:r>
          </w:p>
        </w:tc>
        <w:tc>
          <w:tcPr>
            <w:tcW w:w="1417" w:type="dxa"/>
            <w:vAlign w:val="center"/>
          </w:tcPr>
          <w:p w14:paraId="64D36BD7" w14:textId="472EDD0E" w:rsidR="00035DAF" w:rsidRPr="00270C08" w:rsidRDefault="005260E5" w:rsidP="00BD27B1">
            <w:pPr>
              <w:pStyle w:val="NoSpacing"/>
              <w:jc w:val="center"/>
              <w:rPr>
                <w:b/>
                <w:sz w:val="20"/>
                <w:szCs w:val="20"/>
                <w:u w:val="single"/>
              </w:rPr>
            </w:pPr>
            <w:proofErr w:type="spellStart"/>
            <w:r w:rsidRPr="00270C08">
              <w:rPr>
                <w:sz w:val="20"/>
                <w:szCs w:val="20"/>
              </w:rPr>
              <w:t>protype</w:t>
            </w:r>
            <w:proofErr w:type="spellEnd"/>
          </w:p>
        </w:tc>
        <w:tc>
          <w:tcPr>
            <w:tcW w:w="2552" w:type="dxa"/>
            <w:shd w:val="clear" w:color="auto" w:fill="D9D9D9" w:themeFill="background1" w:themeFillShade="D9"/>
            <w:vAlign w:val="center"/>
          </w:tcPr>
          <w:p w14:paraId="1DDCF2D2" w14:textId="77777777" w:rsidR="00035DAF" w:rsidRPr="00270C08" w:rsidRDefault="00035DAF" w:rsidP="00BD27B1">
            <w:pPr>
              <w:pStyle w:val="NoSpacing"/>
              <w:jc w:val="center"/>
              <w:rPr>
                <w:b/>
                <w:sz w:val="20"/>
                <w:szCs w:val="20"/>
                <w:u w:val="single"/>
              </w:rPr>
            </w:pPr>
          </w:p>
        </w:tc>
        <w:tc>
          <w:tcPr>
            <w:tcW w:w="2487" w:type="dxa"/>
            <w:vAlign w:val="center"/>
          </w:tcPr>
          <w:p w14:paraId="405C225A" w14:textId="08451BDA" w:rsidR="00035DAF" w:rsidRPr="00270C08" w:rsidRDefault="005260E5" w:rsidP="00BD27B1">
            <w:pPr>
              <w:pStyle w:val="NoSpacing"/>
              <w:jc w:val="center"/>
              <w:rPr>
                <w:b/>
                <w:sz w:val="20"/>
                <w:szCs w:val="20"/>
                <w:u w:val="single"/>
              </w:rPr>
            </w:pPr>
            <w:proofErr w:type="spellStart"/>
            <w:r w:rsidRPr="00270C08">
              <w:rPr>
                <w:sz w:val="20"/>
                <w:szCs w:val="20"/>
              </w:rPr>
              <w:t>site_cd_of_treat</w:t>
            </w:r>
            <w:proofErr w:type="spellEnd"/>
          </w:p>
        </w:tc>
      </w:tr>
    </w:tbl>
    <w:p w14:paraId="5527C798" w14:textId="77777777" w:rsidR="00E54642" w:rsidRPr="0001240F" w:rsidRDefault="00E54642" w:rsidP="00E54642">
      <w:pPr>
        <w:widowControl w:val="0"/>
        <w:autoSpaceDE w:val="0"/>
        <w:autoSpaceDN w:val="0"/>
        <w:adjustRightInd w:val="0"/>
        <w:spacing w:after="140" w:line="240" w:lineRule="auto"/>
      </w:pPr>
      <w:r w:rsidRPr="0001240F">
        <w:rPr>
          <w:vertAlign w:val="superscript"/>
        </w:rPr>
        <w:t>1</w:t>
      </w:r>
      <w:r>
        <w:t xml:space="preserve">Variable retained without coding scheme. </w:t>
      </w:r>
      <w:r w:rsidRPr="0001240F">
        <w:rPr>
          <w:vertAlign w:val="superscript"/>
        </w:rPr>
        <w:t>2</w:t>
      </w:r>
      <w:r>
        <w:t xml:space="preserve">Variabe retained with a coding scheme. </w:t>
      </w:r>
    </w:p>
    <w:p w14:paraId="5EFCE6C4" w14:textId="77777777" w:rsidR="00D17F55" w:rsidRPr="0062048E" w:rsidRDefault="00D17F55" w:rsidP="00805431">
      <w:pPr>
        <w:widowControl w:val="0"/>
        <w:autoSpaceDE w:val="0"/>
        <w:autoSpaceDN w:val="0"/>
        <w:adjustRightInd w:val="0"/>
        <w:spacing w:after="140" w:line="240" w:lineRule="auto"/>
        <w:rPr>
          <w:b/>
          <w:u w:val="single"/>
        </w:rPr>
      </w:pPr>
    </w:p>
    <w:sectPr w:rsidR="00D17F55" w:rsidRPr="0062048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C3575" w14:textId="77777777" w:rsidR="00C259DC" w:rsidRDefault="00C259DC" w:rsidP="00AA6A2B">
      <w:pPr>
        <w:spacing w:after="0" w:line="240" w:lineRule="auto"/>
      </w:pPr>
      <w:r>
        <w:separator/>
      </w:r>
    </w:p>
  </w:endnote>
  <w:endnote w:type="continuationSeparator" w:id="0">
    <w:p w14:paraId="01639AFD" w14:textId="77777777" w:rsidR="00C259DC" w:rsidRDefault="00C259DC" w:rsidP="00AA6A2B">
      <w:pPr>
        <w:spacing w:after="0" w:line="240" w:lineRule="auto"/>
      </w:pPr>
      <w:r>
        <w:continuationSeparator/>
      </w:r>
    </w:p>
  </w:endnote>
  <w:endnote w:type="continuationNotice" w:id="1">
    <w:p w14:paraId="063F744E" w14:textId="77777777" w:rsidR="00C259DC" w:rsidRDefault="00C259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9EBE6" w14:textId="77777777" w:rsidR="00FF3E8B" w:rsidRDefault="00FF3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1D7C5" w14:textId="77777777" w:rsidR="00C259DC" w:rsidRDefault="00C259DC" w:rsidP="00AA6A2B">
      <w:pPr>
        <w:spacing w:after="0" w:line="240" w:lineRule="auto"/>
      </w:pPr>
      <w:r>
        <w:separator/>
      </w:r>
    </w:p>
  </w:footnote>
  <w:footnote w:type="continuationSeparator" w:id="0">
    <w:p w14:paraId="7E6C7C2F" w14:textId="77777777" w:rsidR="00C259DC" w:rsidRDefault="00C259DC" w:rsidP="00AA6A2B">
      <w:pPr>
        <w:spacing w:after="0" w:line="240" w:lineRule="auto"/>
      </w:pPr>
      <w:r>
        <w:continuationSeparator/>
      </w:r>
    </w:p>
  </w:footnote>
  <w:footnote w:type="continuationNotice" w:id="1">
    <w:p w14:paraId="46623714" w14:textId="77777777" w:rsidR="00C259DC" w:rsidRDefault="00C259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44095" w14:textId="77777777" w:rsidR="00FF3E8B" w:rsidRDefault="00FF3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98E"/>
    <w:multiLevelType w:val="hybridMultilevel"/>
    <w:tmpl w:val="2B4A3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F47A0"/>
    <w:multiLevelType w:val="hybridMultilevel"/>
    <w:tmpl w:val="306CE54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24AA40C1"/>
    <w:multiLevelType w:val="hybridMultilevel"/>
    <w:tmpl w:val="DE529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5532F6"/>
    <w:multiLevelType w:val="hybridMultilevel"/>
    <w:tmpl w:val="8ACE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829FD"/>
    <w:multiLevelType w:val="hybridMultilevel"/>
    <w:tmpl w:val="EE5A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972ED"/>
    <w:multiLevelType w:val="hybridMultilevel"/>
    <w:tmpl w:val="809C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C27A7"/>
    <w:multiLevelType w:val="hybridMultilevel"/>
    <w:tmpl w:val="3BA0E786"/>
    <w:lvl w:ilvl="0" w:tplc="537C0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3C7EFF"/>
    <w:multiLevelType w:val="hybridMultilevel"/>
    <w:tmpl w:val="9FFCF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35"/>
    <w:rsid w:val="000007EA"/>
    <w:rsid w:val="00000B42"/>
    <w:rsid w:val="00001D90"/>
    <w:rsid w:val="0000283B"/>
    <w:rsid w:val="0000359D"/>
    <w:rsid w:val="00004838"/>
    <w:rsid w:val="000049BF"/>
    <w:rsid w:val="00004BFF"/>
    <w:rsid w:val="00006DD0"/>
    <w:rsid w:val="00007B70"/>
    <w:rsid w:val="00007C61"/>
    <w:rsid w:val="00007D54"/>
    <w:rsid w:val="00007EBC"/>
    <w:rsid w:val="00010C67"/>
    <w:rsid w:val="000114A9"/>
    <w:rsid w:val="0001240F"/>
    <w:rsid w:val="00013E50"/>
    <w:rsid w:val="00013FB5"/>
    <w:rsid w:val="00014211"/>
    <w:rsid w:val="00015146"/>
    <w:rsid w:val="000156D7"/>
    <w:rsid w:val="00015775"/>
    <w:rsid w:val="00015933"/>
    <w:rsid w:val="00017553"/>
    <w:rsid w:val="00020A6C"/>
    <w:rsid w:val="00021152"/>
    <w:rsid w:val="00021406"/>
    <w:rsid w:val="000226FB"/>
    <w:rsid w:val="0002292A"/>
    <w:rsid w:val="00024580"/>
    <w:rsid w:val="000248DA"/>
    <w:rsid w:val="000273A6"/>
    <w:rsid w:val="00027804"/>
    <w:rsid w:val="00027FD9"/>
    <w:rsid w:val="000337AD"/>
    <w:rsid w:val="0003596E"/>
    <w:rsid w:val="00035DAF"/>
    <w:rsid w:val="00040024"/>
    <w:rsid w:val="00041572"/>
    <w:rsid w:val="0004176B"/>
    <w:rsid w:val="00041774"/>
    <w:rsid w:val="00042355"/>
    <w:rsid w:val="00046236"/>
    <w:rsid w:val="00046AEE"/>
    <w:rsid w:val="000471AE"/>
    <w:rsid w:val="00050115"/>
    <w:rsid w:val="000504DF"/>
    <w:rsid w:val="000505DD"/>
    <w:rsid w:val="00050608"/>
    <w:rsid w:val="00051600"/>
    <w:rsid w:val="00051D7C"/>
    <w:rsid w:val="00052E5B"/>
    <w:rsid w:val="00053949"/>
    <w:rsid w:val="00054492"/>
    <w:rsid w:val="00061171"/>
    <w:rsid w:val="000616D5"/>
    <w:rsid w:val="00061A11"/>
    <w:rsid w:val="00061BA1"/>
    <w:rsid w:val="00062897"/>
    <w:rsid w:val="000632B6"/>
    <w:rsid w:val="00063551"/>
    <w:rsid w:val="000643BC"/>
    <w:rsid w:val="000658F6"/>
    <w:rsid w:val="00066040"/>
    <w:rsid w:val="0006619A"/>
    <w:rsid w:val="00066582"/>
    <w:rsid w:val="00066AA8"/>
    <w:rsid w:val="00070348"/>
    <w:rsid w:val="000716DC"/>
    <w:rsid w:val="000719D4"/>
    <w:rsid w:val="00072A26"/>
    <w:rsid w:val="00073655"/>
    <w:rsid w:val="00074319"/>
    <w:rsid w:val="00074526"/>
    <w:rsid w:val="00077090"/>
    <w:rsid w:val="00077358"/>
    <w:rsid w:val="00077904"/>
    <w:rsid w:val="00080168"/>
    <w:rsid w:val="00080FFF"/>
    <w:rsid w:val="00083556"/>
    <w:rsid w:val="00083AE1"/>
    <w:rsid w:val="00084017"/>
    <w:rsid w:val="000840B6"/>
    <w:rsid w:val="000853E8"/>
    <w:rsid w:val="0008557C"/>
    <w:rsid w:val="00085C5F"/>
    <w:rsid w:val="0008649F"/>
    <w:rsid w:val="000866EB"/>
    <w:rsid w:val="0008678C"/>
    <w:rsid w:val="00087AF5"/>
    <w:rsid w:val="000913F1"/>
    <w:rsid w:val="00091C4E"/>
    <w:rsid w:val="00092A65"/>
    <w:rsid w:val="00092E8E"/>
    <w:rsid w:val="00094360"/>
    <w:rsid w:val="00094BF4"/>
    <w:rsid w:val="00095EFA"/>
    <w:rsid w:val="000970D2"/>
    <w:rsid w:val="000978F5"/>
    <w:rsid w:val="00097991"/>
    <w:rsid w:val="000A1510"/>
    <w:rsid w:val="000A230E"/>
    <w:rsid w:val="000A28D1"/>
    <w:rsid w:val="000A3147"/>
    <w:rsid w:val="000A3F03"/>
    <w:rsid w:val="000A4A95"/>
    <w:rsid w:val="000A4C58"/>
    <w:rsid w:val="000A777F"/>
    <w:rsid w:val="000A78AD"/>
    <w:rsid w:val="000A78C3"/>
    <w:rsid w:val="000B08C3"/>
    <w:rsid w:val="000B1766"/>
    <w:rsid w:val="000B1E02"/>
    <w:rsid w:val="000B2FB2"/>
    <w:rsid w:val="000B30EB"/>
    <w:rsid w:val="000B386D"/>
    <w:rsid w:val="000B4A1C"/>
    <w:rsid w:val="000B511C"/>
    <w:rsid w:val="000B5CED"/>
    <w:rsid w:val="000B7673"/>
    <w:rsid w:val="000C0847"/>
    <w:rsid w:val="000C1AEB"/>
    <w:rsid w:val="000C3592"/>
    <w:rsid w:val="000C4731"/>
    <w:rsid w:val="000C4C65"/>
    <w:rsid w:val="000C4EBB"/>
    <w:rsid w:val="000C5399"/>
    <w:rsid w:val="000C7CD1"/>
    <w:rsid w:val="000D3026"/>
    <w:rsid w:val="000D5300"/>
    <w:rsid w:val="000D6B63"/>
    <w:rsid w:val="000D7D62"/>
    <w:rsid w:val="000E2D96"/>
    <w:rsid w:val="000E2EBB"/>
    <w:rsid w:val="000E39DB"/>
    <w:rsid w:val="000E4558"/>
    <w:rsid w:val="000E4998"/>
    <w:rsid w:val="000E52DB"/>
    <w:rsid w:val="000E5898"/>
    <w:rsid w:val="000E5C5B"/>
    <w:rsid w:val="000F333D"/>
    <w:rsid w:val="000F399E"/>
    <w:rsid w:val="000F5724"/>
    <w:rsid w:val="000F5A1A"/>
    <w:rsid w:val="000F5E13"/>
    <w:rsid w:val="000F701E"/>
    <w:rsid w:val="000F7548"/>
    <w:rsid w:val="001004E6"/>
    <w:rsid w:val="00101455"/>
    <w:rsid w:val="00103947"/>
    <w:rsid w:val="00105501"/>
    <w:rsid w:val="001067DA"/>
    <w:rsid w:val="00107834"/>
    <w:rsid w:val="00107E21"/>
    <w:rsid w:val="00110401"/>
    <w:rsid w:val="00110C28"/>
    <w:rsid w:val="0011121E"/>
    <w:rsid w:val="001114E6"/>
    <w:rsid w:val="00112BDD"/>
    <w:rsid w:val="00113962"/>
    <w:rsid w:val="00113C3B"/>
    <w:rsid w:val="0011538D"/>
    <w:rsid w:val="00120017"/>
    <w:rsid w:val="00121779"/>
    <w:rsid w:val="00121EF7"/>
    <w:rsid w:val="00121F8C"/>
    <w:rsid w:val="0012277B"/>
    <w:rsid w:val="00122A6E"/>
    <w:rsid w:val="00122CD5"/>
    <w:rsid w:val="00124022"/>
    <w:rsid w:val="00124860"/>
    <w:rsid w:val="00125E20"/>
    <w:rsid w:val="00125E4D"/>
    <w:rsid w:val="00126AD8"/>
    <w:rsid w:val="001305A2"/>
    <w:rsid w:val="00130F4E"/>
    <w:rsid w:val="001311C1"/>
    <w:rsid w:val="0013198C"/>
    <w:rsid w:val="00131C23"/>
    <w:rsid w:val="0013225D"/>
    <w:rsid w:val="0013271B"/>
    <w:rsid w:val="00133AAA"/>
    <w:rsid w:val="00133CBF"/>
    <w:rsid w:val="00133ECE"/>
    <w:rsid w:val="001346C8"/>
    <w:rsid w:val="00135BB5"/>
    <w:rsid w:val="00135CC9"/>
    <w:rsid w:val="00136C59"/>
    <w:rsid w:val="00137512"/>
    <w:rsid w:val="001401B8"/>
    <w:rsid w:val="00140656"/>
    <w:rsid w:val="0014176C"/>
    <w:rsid w:val="00141F93"/>
    <w:rsid w:val="00143193"/>
    <w:rsid w:val="0014376D"/>
    <w:rsid w:val="001437B0"/>
    <w:rsid w:val="0014405D"/>
    <w:rsid w:val="00144173"/>
    <w:rsid w:val="001455EA"/>
    <w:rsid w:val="001458AD"/>
    <w:rsid w:val="001467CF"/>
    <w:rsid w:val="00146EA2"/>
    <w:rsid w:val="00146FE0"/>
    <w:rsid w:val="00147518"/>
    <w:rsid w:val="00150541"/>
    <w:rsid w:val="00151479"/>
    <w:rsid w:val="001515AE"/>
    <w:rsid w:val="00151B9E"/>
    <w:rsid w:val="001526E3"/>
    <w:rsid w:val="00152B2A"/>
    <w:rsid w:val="00153681"/>
    <w:rsid w:val="00153A81"/>
    <w:rsid w:val="00156B87"/>
    <w:rsid w:val="0015791B"/>
    <w:rsid w:val="00160081"/>
    <w:rsid w:val="00160973"/>
    <w:rsid w:val="00161E6C"/>
    <w:rsid w:val="00162C0D"/>
    <w:rsid w:val="00163221"/>
    <w:rsid w:val="001652AF"/>
    <w:rsid w:val="0016538D"/>
    <w:rsid w:val="001673A9"/>
    <w:rsid w:val="00167C2A"/>
    <w:rsid w:val="001710BF"/>
    <w:rsid w:val="001711FA"/>
    <w:rsid w:val="00171223"/>
    <w:rsid w:val="00175091"/>
    <w:rsid w:val="00176165"/>
    <w:rsid w:val="00177B1B"/>
    <w:rsid w:val="00177D11"/>
    <w:rsid w:val="001801F4"/>
    <w:rsid w:val="001827E5"/>
    <w:rsid w:val="00183318"/>
    <w:rsid w:val="00183AD6"/>
    <w:rsid w:val="00183D74"/>
    <w:rsid w:val="0018423D"/>
    <w:rsid w:val="001859A7"/>
    <w:rsid w:val="00185D2D"/>
    <w:rsid w:val="00186F4E"/>
    <w:rsid w:val="00187938"/>
    <w:rsid w:val="00187A5D"/>
    <w:rsid w:val="00187AEC"/>
    <w:rsid w:val="00187DB0"/>
    <w:rsid w:val="0019092C"/>
    <w:rsid w:val="00190F3A"/>
    <w:rsid w:val="0019274F"/>
    <w:rsid w:val="00193C63"/>
    <w:rsid w:val="0019444A"/>
    <w:rsid w:val="00194A47"/>
    <w:rsid w:val="0019548C"/>
    <w:rsid w:val="001955E9"/>
    <w:rsid w:val="00195F8A"/>
    <w:rsid w:val="00196462"/>
    <w:rsid w:val="001965BE"/>
    <w:rsid w:val="00197B52"/>
    <w:rsid w:val="00197D73"/>
    <w:rsid w:val="001A161E"/>
    <w:rsid w:val="001A218C"/>
    <w:rsid w:val="001A3CAF"/>
    <w:rsid w:val="001A480A"/>
    <w:rsid w:val="001A6F7E"/>
    <w:rsid w:val="001A73FA"/>
    <w:rsid w:val="001B0833"/>
    <w:rsid w:val="001B165D"/>
    <w:rsid w:val="001B2D4A"/>
    <w:rsid w:val="001B415F"/>
    <w:rsid w:val="001B739B"/>
    <w:rsid w:val="001B7BC6"/>
    <w:rsid w:val="001C1688"/>
    <w:rsid w:val="001C2014"/>
    <w:rsid w:val="001C22B2"/>
    <w:rsid w:val="001C2F97"/>
    <w:rsid w:val="001C3495"/>
    <w:rsid w:val="001C36EC"/>
    <w:rsid w:val="001C39EE"/>
    <w:rsid w:val="001C4770"/>
    <w:rsid w:val="001C5AF0"/>
    <w:rsid w:val="001C5C79"/>
    <w:rsid w:val="001C5E6B"/>
    <w:rsid w:val="001C6F7C"/>
    <w:rsid w:val="001C6FFE"/>
    <w:rsid w:val="001D0DF6"/>
    <w:rsid w:val="001D138F"/>
    <w:rsid w:val="001D3D50"/>
    <w:rsid w:val="001D4D56"/>
    <w:rsid w:val="001D5002"/>
    <w:rsid w:val="001D5C27"/>
    <w:rsid w:val="001D631B"/>
    <w:rsid w:val="001D7291"/>
    <w:rsid w:val="001E005D"/>
    <w:rsid w:val="001E1169"/>
    <w:rsid w:val="001E155C"/>
    <w:rsid w:val="001E2678"/>
    <w:rsid w:val="001E2E73"/>
    <w:rsid w:val="001E3205"/>
    <w:rsid w:val="001E6878"/>
    <w:rsid w:val="001F0A7D"/>
    <w:rsid w:val="001F0F2C"/>
    <w:rsid w:val="001F0F37"/>
    <w:rsid w:val="001F10E6"/>
    <w:rsid w:val="001F149E"/>
    <w:rsid w:val="001F2113"/>
    <w:rsid w:val="001F324A"/>
    <w:rsid w:val="001F388B"/>
    <w:rsid w:val="001F3B8B"/>
    <w:rsid w:val="001F4438"/>
    <w:rsid w:val="001F46DD"/>
    <w:rsid w:val="001F54AE"/>
    <w:rsid w:val="001F59CD"/>
    <w:rsid w:val="001F5CBF"/>
    <w:rsid w:val="001F5D15"/>
    <w:rsid w:val="001F6141"/>
    <w:rsid w:val="001F6FAA"/>
    <w:rsid w:val="00200CC3"/>
    <w:rsid w:val="002013A1"/>
    <w:rsid w:val="002016AB"/>
    <w:rsid w:val="0020323B"/>
    <w:rsid w:val="002033E5"/>
    <w:rsid w:val="00203FE0"/>
    <w:rsid w:val="00206EA4"/>
    <w:rsid w:val="0020774C"/>
    <w:rsid w:val="00207BAE"/>
    <w:rsid w:val="00207E91"/>
    <w:rsid w:val="002106E3"/>
    <w:rsid w:val="00211F5F"/>
    <w:rsid w:val="002127AA"/>
    <w:rsid w:val="00212C33"/>
    <w:rsid w:val="002132D3"/>
    <w:rsid w:val="002132FE"/>
    <w:rsid w:val="002142DB"/>
    <w:rsid w:val="0021495E"/>
    <w:rsid w:val="00215C68"/>
    <w:rsid w:val="002163BC"/>
    <w:rsid w:val="00217017"/>
    <w:rsid w:val="002170D3"/>
    <w:rsid w:val="002208FC"/>
    <w:rsid w:val="00220A75"/>
    <w:rsid w:val="00222001"/>
    <w:rsid w:val="0022304B"/>
    <w:rsid w:val="00223471"/>
    <w:rsid w:val="002246D8"/>
    <w:rsid w:val="00224CB5"/>
    <w:rsid w:val="002251B0"/>
    <w:rsid w:val="00225A2A"/>
    <w:rsid w:val="00226E0A"/>
    <w:rsid w:val="00231F32"/>
    <w:rsid w:val="00234873"/>
    <w:rsid w:val="002349D7"/>
    <w:rsid w:val="00235472"/>
    <w:rsid w:val="002359FD"/>
    <w:rsid w:val="00237559"/>
    <w:rsid w:val="00244B9F"/>
    <w:rsid w:val="0024533F"/>
    <w:rsid w:val="00245AD0"/>
    <w:rsid w:val="00250541"/>
    <w:rsid w:val="002535F8"/>
    <w:rsid w:val="00254C2B"/>
    <w:rsid w:val="002556CB"/>
    <w:rsid w:val="002565B3"/>
    <w:rsid w:val="002569AE"/>
    <w:rsid w:val="0025713E"/>
    <w:rsid w:val="0025760C"/>
    <w:rsid w:val="002578B4"/>
    <w:rsid w:val="00257EC3"/>
    <w:rsid w:val="00260C56"/>
    <w:rsid w:val="00260DBE"/>
    <w:rsid w:val="00261011"/>
    <w:rsid w:val="00261400"/>
    <w:rsid w:val="00261FFB"/>
    <w:rsid w:val="0026222E"/>
    <w:rsid w:val="002622C0"/>
    <w:rsid w:val="00262A17"/>
    <w:rsid w:val="00262B35"/>
    <w:rsid w:val="00264C93"/>
    <w:rsid w:val="00266616"/>
    <w:rsid w:val="00267625"/>
    <w:rsid w:val="00267A36"/>
    <w:rsid w:val="002703F9"/>
    <w:rsid w:val="00270628"/>
    <w:rsid w:val="00270A69"/>
    <w:rsid w:val="00270C08"/>
    <w:rsid w:val="00271E7E"/>
    <w:rsid w:val="00272038"/>
    <w:rsid w:val="0027283D"/>
    <w:rsid w:val="00272890"/>
    <w:rsid w:val="0027391B"/>
    <w:rsid w:val="00274148"/>
    <w:rsid w:val="00274B8C"/>
    <w:rsid w:val="00274E08"/>
    <w:rsid w:val="00275436"/>
    <w:rsid w:val="002756EA"/>
    <w:rsid w:val="00276CD2"/>
    <w:rsid w:val="00277226"/>
    <w:rsid w:val="00277CD0"/>
    <w:rsid w:val="002803E7"/>
    <w:rsid w:val="00280779"/>
    <w:rsid w:val="002807B0"/>
    <w:rsid w:val="002808B0"/>
    <w:rsid w:val="00280C7E"/>
    <w:rsid w:val="00281422"/>
    <w:rsid w:val="00281514"/>
    <w:rsid w:val="00282591"/>
    <w:rsid w:val="00282AA8"/>
    <w:rsid w:val="0028451C"/>
    <w:rsid w:val="00285832"/>
    <w:rsid w:val="00285E0E"/>
    <w:rsid w:val="00286B16"/>
    <w:rsid w:val="0028732F"/>
    <w:rsid w:val="00287F6F"/>
    <w:rsid w:val="00290FFA"/>
    <w:rsid w:val="00294901"/>
    <w:rsid w:val="00295B99"/>
    <w:rsid w:val="00295C99"/>
    <w:rsid w:val="00297071"/>
    <w:rsid w:val="0029712E"/>
    <w:rsid w:val="002A05F7"/>
    <w:rsid w:val="002A0849"/>
    <w:rsid w:val="002A0D53"/>
    <w:rsid w:val="002A19A1"/>
    <w:rsid w:val="002A2676"/>
    <w:rsid w:val="002A551F"/>
    <w:rsid w:val="002A5898"/>
    <w:rsid w:val="002A629A"/>
    <w:rsid w:val="002A6370"/>
    <w:rsid w:val="002A6E75"/>
    <w:rsid w:val="002B05DC"/>
    <w:rsid w:val="002B10BA"/>
    <w:rsid w:val="002B24A5"/>
    <w:rsid w:val="002B3565"/>
    <w:rsid w:val="002B61A3"/>
    <w:rsid w:val="002B632A"/>
    <w:rsid w:val="002B6E65"/>
    <w:rsid w:val="002C036D"/>
    <w:rsid w:val="002C0A12"/>
    <w:rsid w:val="002C0C29"/>
    <w:rsid w:val="002C1245"/>
    <w:rsid w:val="002C1C36"/>
    <w:rsid w:val="002C2CCB"/>
    <w:rsid w:val="002C3132"/>
    <w:rsid w:val="002C3DA5"/>
    <w:rsid w:val="002C4197"/>
    <w:rsid w:val="002C5846"/>
    <w:rsid w:val="002C684A"/>
    <w:rsid w:val="002C6B37"/>
    <w:rsid w:val="002C7400"/>
    <w:rsid w:val="002C7905"/>
    <w:rsid w:val="002D00FA"/>
    <w:rsid w:val="002D0DB7"/>
    <w:rsid w:val="002D1595"/>
    <w:rsid w:val="002D241F"/>
    <w:rsid w:val="002D27BA"/>
    <w:rsid w:val="002D2832"/>
    <w:rsid w:val="002D3533"/>
    <w:rsid w:val="002D40D8"/>
    <w:rsid w:val="002D45A2"/>
    <w:rsid w:val="002D591F"/>
    <w:rsid w:val="002D5B00"/>
    <w:rsid w:val="002D5C69"/>
    <w:rsid w:val="002E0F32"/>
    <w:rsid w:val="002E0F3B"/>
    <w:rsid w:val="002E1E8F"/>
    <w:rsid w:val="002E3054"/>
    <w:rsid w:val="002E4769"/>
    <w:rsid w:val="002E4A78"/>
    <w:rsid w:val="002E4C13"/>
    <w:rsid w:val="002E588E"/>
    <w:rsid w:val="002E59B3"/>
    <w:rsid w:val="002E6759"/>
    <w:rsid w:val="002E6D18"/>
    <w:rsid w:val="002F00DF"/>
    <w:rsid w:val="002F0397"/>
    <w:rsid w:val="002F3077"/>
    <w:rsid w:val="002F38FB"/>
    <w:rsid w:val="002F499B"/>
    <w:rsid w:val="002F619F"/>
    <w:rsid w:val="003007F5"/>
    <w:rsid w:val="003008C4"/>
    <w:rsid w:val="00300AB2"/>
    <w:rsid w:val="003015F4"/>
    <w:rsid w:val="003019AE"/>
    <w:rsid w:val="00301F33"/>
    <w:rsid w:val="00301F44"/>
    <w:rsid w:val="00302804"/>
    <w:rsid w:val="003028C4"/>
    <w:rsid w:val="00302C57"/>
    <w:rsid w:val="00303131"/>
    <w:rsid w:val="0030377D"/>
    <w:rsid w:val="00303992"/>
    <w:rsid w:val="00304669"/>
    <w:rsid w:val="00304BAF"/>
    <w:rsid w:val="00305FAC"/>
    <w:rsid w:val="003068FF"/>
    <w:rsid w:val="00310121"/>
    <w:rsid w:val="003101AE"/>
    <w:rsid w:val="003119E3"/>
    <w:rsid w:val="00312588"/>
    <w:rsid w:val="00314627"/>
    <w:rsid w:val="003151C5"/>
    <w:rsid w:val="00315E2D"/>
    <w:rsid w:val="00320214"/>
    <w:rsid w:val="003206D1"/>
    <w:rsid w:val="00320C16"/>
    <w:rsid w:val="00320D35"/>
    <w:rsid w:val="0032118C"/>
    <w:rsid w:val="00321889"/>
    <w:rsid w:val="00322158"/>
    <w:rsid w:val="003227AE"/>
    <w:rsid w:val="00322F49"/>
    <w:rsid w:val="00325019"/>
    <w:rsid w:val="00325604"/>
    <w:rsid w:val="0032654F"/>
    <w:rsid w:val="00326643"/>
    <w:rsid w:val="003269BD"/>
    <w:rsid w:val="003272C4"/>
    <w:rsid w:val="00330944"/>
    <w:rsid w:val="00330BC5"/>
    <w:rsid w:val="003311E7"/>
    <w:rsid w:val="0033129D"/>
    <w:rsid w:val="003327D0"/>
    <w:rsid w:val="00333986"/>
    <w:rsid w:val="0033414F"/>
    <w:rsid w:val="00334796"/>
    <w:rsid w:val="0033532B"/>
    <w:rsid w:val="003355F3"/>
    <w:rsid w:val="0033568F"/>
    <w:rsid w:val="00335C71"/>
    <w:rsid w:val="0033600F"/>
    <w:rsid w:val="00340570"/>
    <w:rsid w:val="003430B8"/>
    <w:rsid w:val="003439C7"/>
    <w:rsid w:val="00344649"/>
    <w:rsid w:val="003462F3"/>
    <w:rsid w:val="0034642B"/>
    <w:rsid w:val="00346EB3"/>
    <w:rsid w:val="0035016E"/>
    <w:rsid w:val="003502F5"/>
    <w:rsid w:val="00352F44"/>
    <w:rsid w:val="003563B6"/>
    <w:rsid w:val="003566AC"/>
    <w:rsid w:val="0035700B"/>
    <w:rsid w:val="00363094"/>
    <w:rsid w:val="003633DA"/>
    <w:rsid w:val="00363934"/>
    <w:rsid w:val="003645E1"/>
    <w:rsid w:val="00364950"/>
    <w:rsid w:val="00364BB5"/>
    <w:rsid w:val="0036597D"/>
    <w:rsid w:val="00365B95"/>
    <w:rsid w:val="00365DD0"/>
    <w:rsid w:val="00365E7B"/>
    <w:rsid w:val="00370208"/>
    <w:rsid w:val="00370BAE"/>
    <w:rsid w:val="00372114"/>
    <w:rsid w:val="003723DE"/>
    <w:rsid w:val="00374175"/>
    <w:rsid w:val="00374B87"/>
    <w:rsid w:val="00375510"/>
    <w:rsid w:val="00375626"/>
    <w:rsid w:val="00376159"/>
    <w:rsid w:val="00376191"/>
    <w:rsid w:val="003765F3"/>
    <w:rsid w:val="00376E24"/>
    <w:rsid w:val="00377A9A"/>
    <w:rsid w:val="00380289"/>
    <w:rsid w:val="00380B74"/>
    <w:rsid w:val="00380F9D"/>
    <w:rsid w:val="00381B1A"/>
    <w:rsid w:val="00382969"/>
    <w:rsid w:val="00382CCF"/>
    <w:rsid w:val="00383D34"/>
    <w:rsid w:val="003845AB"/>
    <w:rsid w:val="00384702"/>
    <w:rsid w:val="00384965"/>
    <w:rsid w:val="00385587"/>
    <w:rsid w:val="0038647B"/>
    <w:rsid w:val="00386693"/>
    <w:rsid w:val="00391351"/>
    <w:rsid w:val="00391B90"/>
    <w:rsid w:val="00391C3D"/>
    <w:rsid w:val="003920CB"/>
    <w:rsid w:val="0039222F"/>
    <w:rsid w:val="00392DB6"/>
    <w:rsid w:val="00393E68"/>
    <w:rsid w:val="00394158"/>
    <w:rsid w:val="00394B8E"/>
    <w:rsid w:val="00394CCB"/>
    <w:rsid w:val="0039504A"/>
    <w:rsid w:val="0039612E"/>
    <w:rsid w:val="003963D5"/>
    <w:rsid w:val="00396710"/>
    <w:rsid w:val="00396F36"/>
    <w:rsid w:val="003A0C95"/>
    <w:rsid w:val="003A34F3"/>
    <w:rsid w:val="003A3DDF"/>
    <w:rsid w:val="003A4480"/>
    <w:rsid w:val="003A50A0"/>
    <w:rsid w:val="003A5934"/>
    <w:rsid w:val="003B0331"/>
    <w:rsid w:val="003B3120"/>
    <w:rsid w:val="003B4D7A"/>
    <w:rsid w:val="003B6B01"/>
    <w:rsid w:val="003C0828"/>
    <w:rsid w:val="003C08F0"/>
    <w:rsid w:val="003C091C"/>
    <w:rsid w:val="003C29EB"/>
    <w:rsid w:val="003C4E62"/>
    <w:rsid w:val="003C5A14"/>
    <w:rsid w:val="003C784B"/>
    <w:rsid w:val="003D1085"/>
    <w:rsid w:val="003D3728"/>
    <w:rsid w:val="003D38A8"/>
    <w:rsid w:val="003D3F06"/>
    <w:rsid w:val="003D453F"/>
    <w:rsid w:val="003D4E3B"/>
    <w:rsid w:val="003D4F6B"/>
    <w:rsid w:val="003D6767"/>
    <w:rsid w:val="003D7556"/>
    <w:rsid w:val="003E0007"/>
    <w:rsid w:val="003E01D2"/>
    <w:rsid w:val="003E0AE4"/>
    <w:rsid w:val="003E0BB9"/>
    <w:rsid w:val="003E0C51"/>
    <w:rsid w:val="003E1C75"/>
    <w:rsid w:val="003E2100"/>
    <w:rsid w:val="003E2DD0"/>
    <w:rsid w:val="003E4A07"/>
    <w:rsid w:val="003E50E0"/>
    <w:rsid w:val="003E79B9"/>
    <w:rsid w:val="003F1535"/>
    <w:rsid w:val="003F1836"/>
    <w:rsid w:val="003F1E23"/>
    <w:rsid w:val="003F2976"/>
    <w:rsid w:val="003F3D21"/>
    <w:rsid w:val="003F51C9"/>
    <w:rsid w:val="003F5280"/>
    <w:rsid w:val="003F54C9"/>
    <w:rsid w:val="003F5800"/>
    <w:rsid w:val="00400B08"/>
    <w:rsid w:val="004018D4"/>
    <w:rsid w:val="0040322A"/>
    <w:rsid w:val="00403F72"/>
    <w:rsid w:val="004047B9"/>
    <w:rsid w:val="00407771"/>
    <w:rsid w:val="004101A7"/>
    <w:rsid w:val="0041060A"/>
    <w:rsid w:val="00411078"/>
    <w:rsid w:val="00411B13"/>
    <w:rsid w:val="00411C61"/>
    <w:rsid w:val="004128FE"/>
    <w:rsid w:val="004129EC"/>
    <w:rsid w:val="00413005"/>
    <w:rsid w:val="0041305D"/>
    <w:rsid w:val="00413533"/>
    <w:rsid w:val="00413998"/>
    <w:rsid w:val="004148FF"/>
    <w:rsid w:val="004158A3"/>
    <w:rsid w:val="00415E1D"/>
    <w:rsid w:val="00420DD1"/>
    <w:rsid w:val="0042173E"/>
    <w:rsid w:val="004219D7"/>
    <w:rsid w:val="00421AB2"/>
    <w:rsid w:val="00421D22"/>
    <w:rsid w:val="00423173"/>
    <w:rsid w:val="00423CC1"/>
    <w:rsid w:val="00423D25"/>
    <w:rsid w:val="004241A3"/>
    <w:rsid w:val="00424FE8"/>
    <w:rsid w:val="004259ED"/>
    <w:rsid w:val="00426457"/>
    <w:rsid w:val="004266FE"/>
    <w:rsid w:val="00427B9C"/>
    <w:rsid w:val="00430302"/>
    <w:rsid w:val="00432713"/>
    <w:rsid w:val="00432E2A"/>
    <w:rsid w:val="00433242"/>
    <w:rsid w:val="00434370"/>
    <w:rsid w:val="00434743"/>
    <w:rsid w:val="004347CC"/>
    <w:rsid w:val="004362A3"/>
    <w:rsid w:val="00437CEC"/>
    <w:rsid w:val="00437EA5"/>
    <w:rsid w:val="00441A99"/>
    <w:rsid w:val="00441C36"/>
    <w:rsid w:val="004425DC"/>
    <w:rsid w:val="00442B85"/>
    <w:rsid w:val="00445C6B"/>
    <w:rsid w:val="00446C3D"/>
    <w:rsid w:val="004501DA"/>
    <w:rsid w:val="0045021F"/>
    <w:rsid w:val="00450A73"/>
    <w:rsid w:val="0045143A"/>
    <w:rsid w:val="0045193E"/>
    <w:rsid w:val="00453B0A"/>
    <w:rsid w:val="0045482E"/>
    <w:rsid w:val="00455BF6"/>
    <w:rsid w:val="00455F21"/>
    <w:rsid w:val="00456608"/>
    <w:rsid w:val="00456E69"/>
    <w:rsid w:val="004576C3"/>
    <w:rsid w:val="00461436"/>
    <w:rsid w:val="00462FD5"/>
    <w:rsid w:val="00464294"/>
    <w:rsid w:val="00464814"/>
    <w:rsid w:val="00465EE1"/>
    <w:rsid w:val="00466A9D"/>
    <w:rsid w:val="00467E5B"/>
    <w:rsid w:val="00470D7C"/>
    <w:rsid w:val="00470EF5"/>
    <w:rsid w:val="004717E6"/>
    <w:rsid w:val="00471E2F"/>
    <w:rsid w:val="00472E9D"/>
    <w:rsid w:val="004736AA"/>
    <w:rsid w:val="00473C02"/>
    <w:rsid w:val="004764E1"/>
    <w:rsid w:val="00476BC6"/>
    <w:rsid w:val="00476FC0"/>
    <w:rsid w:val="004807B5"/>
    <w:rsid w:val="00480BF9"/>
    <w:rsid w:val="0048227C"/>
    <w:rsid w:val="0048253B"/>
    <w:rsid w:val="004829B8"/>
    <w:rsid w:val="00482C51"/>
    <w:rsid w:val="00483FE2"/>
    <w:rsid w:val="00484171"/>
    <w:rsid w:val="00484A50"/>
    <w:rsid w:val="00485443"/>
    <w:rsid w:val="00485574"/>
    <w:rsid w:val="00486612"/>
    <w:rsid w:val="0049059D"/>
    <w:rsid w:val="004920F6"/>
    <w:rsid w:val="00492DC0"/>
    <w:rsid w:val="00493D8D"/>
    <w:rsid w:val="0049487C"/>
    <w:rsid w:val="004A0009"/>
    <w:rsid w:val="004A0DA7"/>
    <w:rsid w:val="004A1227"/>
    <w:rsid w:val="004A25B1"/>
    <w:rsid w:val="004A25BC"/>
    <w:rsid w:val="004A31E6"/>
    <w:rsid w:val="004A401E"/>
    <w:rsid w:val="004A4B70"/>
    <w:rsid w:val="004A4CBA"/>
    <w:rsid w:val="004A5FB2"/>
    <w:rsid w:val="004B1245"/>
    <w:rsid w:val="004B3DEC"/>
    <w:rsid w:val="004B552D"/>
    <w:rsid w:val="004B600F"/>
    <w:rsid w:val="004B79A7"/>
    <w:rsid w:val="004C0B6F"/>
    <w:rsid w:val="004C13AB"/>
    <w:rsid w:val="004C14EC"/>
    <w:rsid w:val="004C199A"/>
    <w:rsid w:val="004C3C28"/>
    <w:rsid w:val="004C5417"/>
    <w:rsid w:val="004C622E"/>
    <w:rsid w:val="004C6525"/>
    <w:rsid w:val="004C65CA"/>
    <w:rsid w:val="004C670F"/>
    <w:rsid w:val="004C722E"/>
    <w:rsid w:val="004C72B3"/>
    <w:rsid w:val="004C7973"/>
    <w:rsid w:val="004D1468"/>
    <w:rsid w:val="004D1EA7"/>
    <w:rsid w:val="004D2D68"/>
    <w:rsid w:val="004D3879"/>
    <w:rsid w:val="004D423E"/>
    <w:rsid w:val="004D4257"/>
    <w:rsid w:val="004D77EC"/>
    <w:rsid w:val="004E0444"/>
    <w:rsid w:val="004E0801"/>
    <w:rsid w:val="004E0F36"/>
    <w:rsid w:val="004E11DC"/>
    <w:rsid w:val="004E1511"/>
    <w:rsid w:val="004E29DD"/>
    <w:rsid w:val="004E2C1A"/>
    <w:rsid w:val="004E54FC"/>
    <w:rsid w:val="004E61B4"/>
    <w:rsid w:val="004E627E"/>
    <w:rsid w:val="004E6AEB"/>
    <w:rsid w:val="004E751E"/>
    <w:rsid w:val="004E7E7E"/>
    <w:rsid w:val="004F0223"/>
    <w:rsid w:val="004F053E"/>
    <w:rsid w:val="004F129E"/>
    <w:rsid w:val="004F1AAD"/>
    <w:rsid w:val="004F2F3C"/>
    <w:rsid w:val="004F30E6"/>
    <w:rsid w:val="004F30F7"/>
    <w:rsid w:val="004F32BD"/>
    <w:rsid w:val="004F35FE"/>
    <w:rsid w:val="004F59A6"/>
    <w:rsid w:val="004F7397"/>
    <w:rsid w:val="004F73A0"/>
    <w:rsid w:val="004F78B3"/>
    <w:rsid w:val="004F78F2"/>
    <w:rsid w:val="00501831"/>
    <w:rsid w:val="00502525"/>
    <w:rsid w:val="00502985"/>
    <w:rsid w:val="00502A0A"/>
    <w:rsid w:val="005042DC"/>
    <w:rsid w:val="005043AA"/>
    <w:rsid w:val="0050687C"/>
    <w:rsid w:val="00506924"/>
    <w:rsid w:val="005108B3"/>
    <w:rsid w:val="00510BD6"/>
    <w:rsid w:val="005132A6"/>
    <w:rsid w:val="00515020"/>
    <w:rsid w:val="005156AA"/>
    <w:rsid w:val="005159EF"/>
    <w:rsid w:val="00516AB4"/>
    <w:rsid w:val="0052170C"/>
    <w:rsid w:val="00524F23"/>
    <w:rsid w:val="00525545"/>
    <w:rsid w:val="005260E5"/>
    <w:rsid w:val="00527210"/>
    <w:rsid w:val="00531607"/>
    <w:rsid w:val="005320BE"/>
    <w:rsid w:val="00533525"/>
    <w:rsid w:val="00533705"/>
    <w:rsid w:val="00533AC0"/>
    <w:rsid w:val="00534167"/>
    <w:rsid w:val="00535CC0"/>
    <w:rsid w:val="00537386"/>
    <w:rsid w:val="005404F3"/>
    <w:rsid w:val="005407EE"/>
    <w:rsid w:val="005408E7"/>
    <w:rsid w:val="00540DE1"/>
    <w:rsid w:val="00541DE6"/>
    <w:rsid w:val="0054216E"/>
    <w:rsid w:val="005424CD"/>
    <w:rsid w:val="005427B8"/>
    <w:rsid w:val="00542A92"/>
    <w:rsid w:val="00542E3A"/>
    <w:rsid w:val="00542F73"/>
    <w:rsid w:val="0054323F"/>
    <w:rsid w:val="0054455D"/>
    <w:rsid w:val="005449BA"/>
    <w:rsid w:val="00545183"/>
    <w:rsid w:val="00547600"/>
    <w:rsid w:val="00547A4E"/>
    <w:rsid w:val="00547BFA"/>
    <w:rsid w:val="005505C4"/>
    <w:rsid w:val="00550753"/>
    <w:rsid w:val="00552412"/>
    <w:rsid w:val="005533E2"/>
    <w:rsid w:val="00555FD7"/>
    <w:rsid w:val="00556032"/>
    <w:rsid w:val="00556685"/>
    <w:rsid w:val="005573DC"/>
    <w:rsid w:val="005573E7"/>
    <w:rsid w:val="00557ABE"/>
    <w:rsid w:val="00561E10"/>
    <w:rsid w:val="005716B8"/>
    <w:rsid w:val="005724F8"/>
    <w:rsid w:val="00573419"/>
    <w:rsid w:val="00573545"/>
    <w:rsid w:val="00573AF0"/>
    <w:rsid w:val="00573B5E"/>
    <w:rsid w:val="00573D5D"/>
    <w:rsid w:val="00574A48"/>
    <w:rsid w:val="00574FB9"/>
    <w:rsid w:val="005753C8"/>
    <w:rsid w:val="0057542C"/>
    <w:rsid w:val="00575CBB"/>
    <w:rsid w:val="00576E40"/>
    <w:rsid w:val="00577F8D"/>
    <w:rsid w:val="00580E81"/>
    <w:rsid w:val="005814BF"/>
    <w:rsid w:val="005815C3"/>
    <w:rsid w:val="00581AE4"/>
    <w:rsid w:val="0058227B"/>
    <w:rsid w:val="005822A0"/>
    <w:rsid w:val="00582E2F"/>
    <w:rsid w:val="00584054"/>
    <w:rsid w:val="00584077"/>
    <w:rsid w:val="0058479C"/>
    <w:rsid w:val="00584C48"/>
    <w:rsid w:val="00585233"/>
    <w:rsid w:val="005852C8"/>
    <w:rsid w:val="0058562A"/>
    <w:rsid w:val="005861A0"/>
    <w:rsid w:val="00586C3D"/>
    <w:rsid w:val="00586E2C"/>
    <w:rsid w:val="00587735"/>
    <w:rsid w:val="005877C9"/>
    <w:rsid w:val="0059022C"/>
    <w:rsid w:val="0059040C"/>
    <w:rsid w:val="00593974"/>
    <w:rsid w:val="00593DA9"/>
    <w:rsid w:val="005943C9"/>
    <w:rsid w:val="0059460E"/>
    <w:rsid w:val="005955B2"/>
    <w:rsid w:val="005957F7"/>
    <w:rsid w:val="00595848"/>
    <w:rsid w:val="00597C01"/>
    <w:rsid w:val="005A0391"/>
    <w:rsid w:val="005A05D0"/>
    <w:rsid w:val="005A0C02"/>
    <w:rsid w:val="005A0CAA"/>
    <w:rsid w:val="005A154D"/>
    <w:rsid w:val="005A1756"/>
    <w:rsid w:val="005A1C22"/>
    <w:rsid w:val="005A2C49"/>
    <w:rsid w:val="005A3140"/>
    <w:rsid w:val="005A463D"/>
    <w:rsid w:val="005A4664"/>
    <w:rsid w:val="005A4A52"/>
    <w:rsid w:val="005A55A1"/>
    <w:rsid w:val="005A6D1A"/>
    <w:rsid w:val="005A7C8E"/>
    <w:rsid w:val="005B05CB"/>
    <w:rsid w:val="005B17A8"/>
    <w:rsid w:val="005B1BDE"/>
    <w:rsid w:val="005B24AB"/>
    <w:rsid w:val="005B3DF5"/>
    <w:rsid w:val="005B4750"/>
    <w:rsid w:val="005B51D6"/>
    <w:rsid w:val="005B5357"/>
    <w:rsid w:val="005B5616"/>
    <w:rsid w:val="005B5936"/>
    <w:rsid w:val="005B5976"/>
    <w:rsid w:val="005C0178"/>
    <w:rsid w:val="005C0588"/>
    <w:rsid w:val="005C06B2"/>
    <w:rsid w:val="005C12AD"/>
    <w:rsid w:val="005C3AD0"/>
    <w:rsid w:val="005C3B5F"/>
    <w:rsid w:val="005C4D44"/>
    <w:rsid w:val="005C4F90"/>
    <w:rsid w:val="005C4FA1"/>
    <w:rsid w:val="005C6087"/>
    <w:rsid w:val="005C705A"/>
    <w:rsid w:val="005C7A71"/>
    <w:rsid w:val="005C7F59"/>
    <w:rsid w:val="005D24F7"/>
    <w:rsid w:val="005D357A"/>
    <w:rsid w:val="005D3EC7"/>
    <w:rsid w:val="005D4040"/>
    <w:rsid w:val="005D4453"/>
    <w:rsid w:val="005D49A8"/>
    <w:rsid w:val="005D5789"/>
    <w:rsid w:val="005D662C"/>
    <w:rsid w:val="005E0606"/>
    <w:rsid w:val="005E0B71"/>
    <w:rsid w:val="005E111A"/>
    <w:rsid w:val="005E197C"/>
    <w:rsid w:val="005E1ADF"/>
    <w:rsid w:val="005E25A4"/>
    <w:rsid w:val="005E54F9"/>
    <w:rsid w:val="005E628C"/>
    <w:rsid w:val="005E6909"/>
    <w:rsid w:val="005E6A5B"/>
    <w:rsid w:val="005E6CFF"/>
    <w:rsid w:val="005E6EBE"/>
    <w:rsid w:val="005E7650"/>
    <w:rsid w:val="005E7E87"/>
    <w:rsid w:val="005F009C"/>
    <w:rsid w:val="005F12B3"/>
    <w:rsid w:val="005F1455"/>
    <w:rsid w:val="005F25C7"/>
    <w:rsid w:val="005F2D5F"/>
    <w:rsid w:val="005F314A"/>
    <w:rsid w:val="005F350D"/>
    <w:rsid w:val="005F3922"/>
    <w:rsid w:val="005F4ACD"/>
    <w:rsid w:val="005F6E08"/>
    <w:rsid w:val="005F704C"/>
    <w:rsid w:val="005F79D3"/>
    <w:rsid w:val="005F7F35"/>
    <w:rsid w:val="00600002"/>
    <w:rsid w:val="00600B95"/>
    <w:rsid w:val="00600C3A"/>
    <w:rsid w:val="00600DF9"/>
    <w:rsid w:val="00602B70"/>
    <w:rsid w:val="00604DFC"/>
    <w:rsid w:val="00607751"/>
    <w:rsid w:val="00607AFF"/>
    <w:rsid w:val="00607F6A"/>
    <w:rsid w:val="006100EB"/>
    <w:rsid w:val="00610223"/>
    <w:rsid w:val="00610D8B"/>
    <w:rsid w:val="006118E5"/>
    <w:rsid w:val="00611B7E"/>
    <w:rsid w:val="00613714"/>
    <w:rsid w:val="006138E8"/>
    <w:rsid w:val="0061665F"/>
    <w:rsid w:val="0061793A"/>
    <w:rsid w:val="0062048E"/>
    <w:rsid w:val="00620BDC"/>
    <w:rsid w:val="00621F19"/>
    <w:rsid w:val="0062283A"/>
    <w:rsid w:val="006232EC"/>
    <w:rsid w:val="00623CCB"/>
    <w:rsid w:val="00624771"/>
    <w:rsid w:val="006256FB"/>
    <w:rsid w:val="0062659D"/>
    <w:rsid w:val="00627570"/>
    <w:rsid w:val="00631278"/>
    <w:rsid w:val="00631563"/>
    <w:rsid w:val="0063191D"/>
    <w:rsid w:val="0063204A"/>
    <w:rsid w:val="00632FF5"/>
    <w:rsid w:val="006342AA"/>
    <w:rsid w:val="00634C3D"/>
    <w:rsid w:val="00636DE7"/>
    <w:rsid w:val="00640C2D"/>
    <w:rsid w:val="00641297"/>
    <w:rsid w:val="00643106"/>
    <w:rsid w:val="00643A92"/>
    <w:rsid w:val="00644192"/>
    <w:rsid w:val="00644F5C"/>
    <w:rsid w:val="00646196"/>
    <w:rsid w:val="0064719A"/>
    <w:rsid w:val="00650B0E"/>
    <w:rsid w:val="00651133"/>
    <w:rsid w:val="0065359D"/>
    <w:rsid w:val="006558E7"/>
    <w:rsid w:val="0065789B"/>
    <w:rsid w:val="00657D30"/>
    <w:rsid w:val="00657E32"/>
    <w:rsid w:val="00663939"/>
    <w:rsid w:val="00663DF3"/>
    <w:rsid w:val="00665218"/>
    <w:rsid w:val="00666A43"/>
    <w:rsid w:val="00666FDF"/>
    <w:rsid w:val="006678B6"/>
    <w:rsid w:val="00667B65"/>
    <w:rsid w:val="00670ECA"/>
    <w:rsid w:val="006720AC"/>
    <w:rsid w:val="00672C2B"/>
    <w:rsid w:val="0067336F"/>
    <w:rsid w:val="0067359E"/>
    <w:rsid w:val="006741EB"/>
    <w:rsid w:val="006744A2"/>
    <w:rsid w:val="006750C8"/>
    <w:rsid w:val="006755ED"/>
    <w:rsid w:val="006758F5"/>
    <w:rsid w:val="00675ACF"/>
    <w:rsid w:val="00675E88"/>
    <w:rsid w:val="006765E2"/>
    <w:rsid w:val="00677506"/>
    <w:rsid w:val="006777E1"/>
    <w:rsid w:val="00680E01"/>
    <w:rsid w:val="006822D8"/>
    <w:rsid w:val="00684B3B"/>
    <w:rsid w:val="00684F1D"/>
    <w:rsid w:val="006858E6"/>
    <w:rsid w:val="00685BB0"/>
    <w:rsid w:val="00685CF0"/>
    <w:rsid w:val="006860F4"/>
    <w:rsid w:val="0068737B"/>
    <w:rsid w:val="00687DD5"/>
    <w:rsid w:val="0069061E"/>
    <w:rsid w:val="00690B04"/>
    <w:rsid w:val="006915D8"/>
    <w:rsid w:val="006922E4"/>
    <w:rsid w:val="0069297D"/>
    <w:rsid w:val="0069370F"/>
    <w:rsid w:val="00693CE8"/>
    <w:rsid w:val="006949CD"/>
    <w:rsid w:val="00695488"/>
    <w:rsid w:val="00695F1D"/>
    <w:rsid w:val="006961F2"/>
    <w:rsid w:val="006A0828"/>
    <w:rsid w:val="006A0D59"/>
    <w:rsid w:val="006A4193"/>
    <w:rsid w:val="006A5FA0"/>
    <w:rsid w:val="006A769E"/>
    <w:rsid w:val="006B010D"/>
    <w:rsid w:val="006B060E"/>
    <w:rsid w:val="006B2E37"/>
    <w:rsid w:val="006B363F"/>
    <w:rsid w:val="006B3739"/>
    <w:rsid w:val="006B44FD"/>
    <w:rsid w:val="006B4F9B"/>
    <w:rsid w:val="006B5FAA"/>
    <w:rsid w:val="006B6BAD"/>
    <w:rsid w:val="006C026C"/>
    <w:rsid w:val="006C039E"/>
    <w:rsid w:val="006C1641"/>
    <w:rsid w:val="006C26C6"/>
    <w:rsid w:val="006C32BC"/>
    <w:rsid w:val="006C5162"/>
    <w:rsid w:val="006C575B"/>
    <w:rsid w:val="006C588B"/>
    <w:rsid w:val="006C610E"/>
    <w:rsid w:val="006C6F39"/>
    <w:rsid w:val="006C7061"/>
    <w:rsid w:val="006C796F"/>
    <w:rsid w:val="006C7A5A"/>
    <w:rsid w:val="006D00C9"/>
    <w:rsid w:val="006D0934"/>
    <w:rsid w:val="006D0DEB"/>
    <w:rsid w:val="006D2A66"/>
    <w:rsid w:val="006D5BC2"/>
    <w:rsid w:val="006D64E0"/>
    <w:rsid w:val="006D7B99"/>
    <w:rsid w:val="006E025C"/>
    <w:rsid w:val="006E1D36"/>
    <w:rsid w:val="006E2432"/>
    <w:rsid w:val="006E258D"/>
    <w:rsid w:val="006E3D67"/>
    <w:rsid w:val="006E6C2D"/>
    <w:rsid w:val="006E706E"/>
    <w:rsid w:val="006E7FB8"/>
    <w:rsid w:val="006F12CE"/>
    <w:rsid w:val="006F2369"/>
    <w:rsid w:val="006F25B3"/>
    <w:rsid w:val="006F2B91"/>
    <w:rsid w:val="006F3865"/>
    <w:rsid w:val="006F4877"/>
    <w:rsid w:val="006F49CF"/>
    <w:rsid w:val="006F5B8C"/>
    <w:rsid w:val="006F61EA"/>
    <w:rsid w:val="006F7071"/>
    <w:rsid w:val="006F7886"/>
    <w:rsid w:val="006F790B"/>
    <w:rsid w:val="006F791F"/>
    <w:rsid w:val="007009A9"/>
    <w:rsid w:val="007018B0"/>
    <w:rsid w:val="00701CD7"/>
    <w:rsid w:val="00705720"/>
    <w:rsid w:val="00705A74"/>
    <w:rsid w:val="00705C00"/>
    <w:rsid w:val="00705C4C"/>
    <w:rsid w:val="007060BE"/>
    <w:rsid w:val="00707024"/>
    <w:rsid w:val="00707B69"/>
    <w:rsid w:val="0071040A"/>
    <w:rsid w:val="00710C8A"/>
    <w:rsid w:val="00713708"/>
    <w:rsid w:val="00715523"/>
    <w:rsid w:val="007206EC"/>
    <w:rsid w:val="0072079F"/>
    <w:rsid w:val="00721694"/>
    <w:rsid w:val="0072248A"/>
    <w:rsid w:val="007225A3"/>
    <w:rsid w:val="00722A98"/>
    <w:rsid w:val="007230F1"/>
    <w:rsid w:val="0072443B"/>
    <w:rsid w:val="00724C7E"/>
    <w:rsid w:val="00725052"/>
    <w:rsid w:val="00725835"/>
    <w:rsid w:val="0072714B"/>
    <w:rsid w:val="00727752"/>
    <w:rsid w:val="0073079C"/>
    <w:rsid w:val="00730A6E"/>
    <w:rsid w:val="00730E95"/>
    <w:rsid w:val="00731FEB"/>
    <w:rsid w:val="0073299E"/>
    <w:rsid w:val="00734BFD"/>
    <w:rsid w:val="00734CF0"/>
    <w:rsid w:val="00735F29"/>
    <w:rsid w:val="007364B9"/>
    <w:rsid w:val="00736D57"/>
    <w:rsid w:val="00736E05"/>
    <w:rsid w:val="00736F7A"/>
    <w:rsid w:val="00737F76"/>
    <w:rsid w:val="00737FF3"/>
    <w:rsid w:val="007400BE"/>
    <w:rsid w:val="00740AD2"/>
    <w:rsid w:val="007412FD"/>
    <w:rsid w:val="007417BE"/>
    <w:rsid w:val="00742DFC"/>
    <w:rsid w:val="00742FB3"/>
    <w:rsid w:val="00743CFF"/>
    <w:rsid w:val="00744297"/>
    <w:rsid w:val="0074450A"/>
    <w:rsid w:val="00745509"/>
    <w:rsid w:val="00745A36"/>
    <w:rsid w:val="0074604C"/>
    <w:rsid w:val="007472D4"/>
    <w:rsid w:val="007474E6"/>
    <w:rsid w:val="00747C40"/>
    <w:rsid w:val="00750748"/>
    <w:rsid w:val="007509EA"/>
    <w:rsid w:val="00751416"/>
    <w:rsid w:val="00751A53"/>
    <w:rsid w:val="00751B7C"/>
    <w:rsid w:val="00751BB3"/>
    <w:rsid w:val="007526FF"/>
    <w:rsid w:val="007528E6"/>
    <w:rsid w:val="00754B13"/>
    <w:rsid w:val="00755124"/>
    <w:rsid w:val="007571B1"/>
    <w:rsid w:val="00757DF9"/>
    <w:rsid w:val="00757E55"/>
    <w:rsid w:val="0076180A"/>
    <w:rsid w:val="007622BD"/>
    <w:rsid w:val="00762DCE"/>
    <w:rsid w:val="0076369D"/>
    <w:rsid w:val="00763DDE"/>
    <w:rsid w:val="00764D33"/>
    <w:rsid w:val="0076638D"/>
    <w:rsid w:val="007668D6"/>
    <w:rsid w:val="007670FA"/>
    <w:rsid w:val="00767890"/>
    <w:rsid w:val="00770E8D"/>
    <w:rsid w:val="007716F5"/>
    <w:rsid w:val="007734E7"/>
    <w:rsid w:val="007738E7"/>
    <w:rsid w:val="00773F72"/>
    <w:rsid w:val="00774FF4"/>
    <w:rsid w:val="00775191"/>
    <w:rsid w:val="0077549E"/>
    <w:rsid w:val="00775A15"/>
    <w:rsid w:val="00775FB7"/>
    <w:rsid w:val="00777D14"/>
    <w:rsid w:val="007804A0"/>
    <w:rsid w:val="00781B02"/>
    <w:rsid w:val="00782639"/>
    <w:rsid w:val="00783723"/>
    <w:rsid w:val="0078453D"/>
    <w:rsid w:val="00785FE2"/>
    <w:rsid w:val="007866F6"/>
    <w:rsid w:val="00786A30"/>
    <w:rsid w:val="00787089"/>
    <w:rsid w:val="00787C90"/>
    <w:rsid w:val="00787D20"/>
    <w:rsid w:val="00791761"/>
    <w:rsid w:val="00791F73"/>
    <w:rsid w:val="0079240E"/>
    <w:rsid w:val="007924B9"/>
    <w:rsid w:val="007932A7"/>
    <w:rsid w:val="00793AE5"/>
    <w:rsid w:val="0079459D"/>
    <w:rsid w:val="00795F9C"/>
    <w:rsid w:val="007971BF"/>
    <w:rsid w:val="007A0A52"/>
    <w:rsid w:val="007A13D0"/>
    <w:rsid w:val="007A1F1C"/>
    <w:rsid w:val="007A22CF"/>
    <w:rsid w:val="007A2BAB"/>
    <w:rsid w:val="007A4634"/>
    <w:rsid w:val="007A4D9E"/>
    <w:rsid w:val="007A7141"/>
    <w:rsid w:val="007B069F"/>
    <w:rsid w:val="007B10C7"/>
    <w:rsid w:val="007B1D2A"/>
    <w:rsid w:val="007B1E75"/>
    <w:rsid w:val="007B4CB2"/>
    <w:rsid w:val="007B6EC6"/>
    <w:rsid w:val="007B6FE8"/>
    <w:rsid w:val="007B7751"/>
    <w:rsid w:val="007C0BC3"/>
    <w:rsid w:val="007C0FD2"/>
    <w:rsid w:val="007C2035"/>
    <w:rsid w:val="007C21C7"/>
    <w:rsid w:val="007C492E"/>
    <w:rsid w:val="007C7946"/>
    <w:rsid w:val="007C7998"/>
    <w:rsid w:val="007D0338"/>
    <w:rsid w:val="007D065C"/>
    <w:rsid w:val="007D0A9C"/>
    <w:rsid w:val="007D1B70"/>
    <w:rsid w:val="007D29EE"/>
    <w:rsid w:val="007D374A"/>
    <w:rsid w:val="007D3B4B"/>
    <w:rsid w:val="007D3EF7"/>
    <w:rsid w:val="007D430F"/>
    <w:rsid w:val="007D4C3F"/>
    <w:rsid w:val="007D4D11"/>
    <w:rsid w:val="007D7AF4"/>
    <w:rsid w:val="007D7CAB"/>
    <w:rsid w:val="007D7F66"/>
    <w:rsid w:val="007D7F8F"/>
    <w:rsid w:val="007E00CF"/>
    <w:rsid w:val="007E1C4F"/>
    <w:rsid w:val="007E23A8"/>
    <w:rsid w:val="007E5784"/>
    <w:rsid w:val="007E5A39"/>
    <w:rsid w:val="007E71BF"/>
    <w:rsid w:val="007F1510"/>
    <w:rsid w:val="007F182B"/>
    <w:rsid w:val="007F18BB"/>
    <w:rsid w:val="007F219B"/>
    <w:rsid w:val="007F471B"/>
    <w:rsid w:val="007F56EC"/>
    <w:rsid w:val="007F6DD9"/>
    <w:rsid w:val="007F6FCC"/>
    <w:rsid w:val="007F7C26"/>
    <w:rsid w:val="007F7F24"/>
    <w:rsid w:val="00800011"/>
    <w:rsid w:val="00802246"/>
    <w:rsid w:val="0080292C"/>
    <w:rsid w:val="00802C13"/>
    <w:rsid w:val="00803414"/>
    <w:rsid w:val="00803F8B"/>
    <w:rsid w:val="00805431"/>
    <w:rsid w:val="00806D7A"/>
    <w:rsid w:val="008073C0"/>
    <w:rsid w:val="00807784"/>
    <w:rsid w:val="0081025A"/>
    <w:rsid w:val="008102E3"/>
    <w:rsid w:val="00810F9B"/>
    <w:rsid w:val="00811810"/>
    <w:rsid w:val="00812A22"/>
    <w:rsid w:val="00813AD9"/>
    <w:rsid w:val="00813B33"/>
    <w:rsid w:val="00813F8C"/>
    <w:rsid w:val="00814378"/>
    <w:rsid w:val="00815E14"/>
    <w:rsid w:val="00816522"/>
    <w:rsid w:val="00817198"/>
    <w:rsid w:val="00817372"/>
    <w:rsid w:val="008177B5"/>
    <w:rsid w:val="00821114"/>
    <w:rsid w:val="00822130"/>
    <w:rsid w:val="00823735"/>
    <w:rsid w:val="0082379D"/>
    <w:rsid w:val="008248CA"/>
    <w:rsid w:val="008258FB"/>
    <w:rsid w:val="00825A45"/>
    <w:rsid w:val="00825AB8"/>
    <w:rsid w:val="00826511"/>
    <w:rsid w:val="0082764A"/>
    <w:rsid w:val="008276B2"/>
    <w:rsid w:val="00830A7B"/>
    <w:rsid w:val="00831D66"/>
    <w:rsid w:val="008326B3"/>
    <w:rsid w:val="00832E3A"/>
    <w:rsid w:val="00833F3B"/>
    <w:rsid w:val="008348E4"/>
    <w:rsid w:val="008352D9"/>
    <w:rsid w:val="0083569E"/>
    <w:rsid w:val="00835C1C"/>
    <w:rsid w:val="00835F25"/>
    <w:rsid w:val="00837CCA"/>
    <w:rsid w:val="00837D5E"/>
    <w:rsid w:val="00837EA8"/>
    <w:rsid w:val="00837EF4"/>
    <w:rsid w:val="00841F97"/>
    <w:rsid w:val="00842195"/>
    <w:rsid w:val="0084225F"/>
    <w:rsid w:val="00842C8D"/>
    <w:rsid w:val="00845254"/>
    <w:rsid w:val="00845855"/>
    <w:rsid w:val="00845D5A"/>
    <w:rsid w:val="00845D8F"/>
    <w:rsid w:val="00846795"/>
    <w:rsid w:val="00847143"/>
    <w:rsid w:val="00850BCE"/>
    <w:rsid w:val="00850D53"/>
    <w:rsid w:val="00851822"/>
    <w:rsid w:val="00851B1B"/>
    <w:rsid w:val="00851FDC"/>
    <w:rsid w:val="00852C25"/>
    <w:rsid w:val="008532E2"/>
    <w:rsid w:val="00854060"/>
    <w:rsid w:val="008544D7"/>
    <w:rsid w:val="00855301"/>
    <w:rsid w:val="00855C80"/>
    <w:rsid w:val="00857D13"/>
    <w:rsid w:val="00860DCB"/>
    <w:rsid w:val="00861052"/>
    <w:rsid w:val="008616ED"/>
    <w:rsid w:val="00861CF9"/>
    <w:rsid w:val="008622BD"/>
    <w:rsid w:val="00862D70"/>
    <w:rsid w:val="00863867"/>
    <w:rsid w:val="00864164"/>
    <w:rsid w:val="0086477C"/>
    <w:rsid w:val="008648F9"/>
    <w:rsid w:val="00864EB6"/>
    <w:rsid w:val="00864FE1"/>
    <w:rsid w:val="008655F3"/>
    <w:rsid w:val="00866953"/>
    <w:rsid w:val="008712F4"/>
    <w:rsid w:val="00871E92"/>
    <w:rsid w:val="00871F32"/>
    <w:rsid w:val="00872596"/>
    <w:rsid w:val="00872779"/>
    <w:rsid w:val="00872A81"/>
    <w:rsid w:val="0087406D"/>
    <w:rsid w:val="00876611"/>
    <w:rsid w:val="00876F88"/>
    <w:rsid w:val="00881057"/>
    <w:rsid w:val="0088137B"/>
    <w:rsid w:val="008839A4"/>
    <w:rsid w:val="0088436C"/>
    <w:rsid w:val="00886552"/>
    <w:rsid w:val="00886D27"/>
    <w:rsid w:val="008875F9"/>
    <w:rsid w:val="00887998"/>
    <w:rsid w:val="00887DD5"/>
    <w:rsid w:val="00887E2A"/>
    <w:rsid w:val="0089011F"/>
    <w:rsid w:val="0089166B"/>
    <w:rsid w:val="0089184B"/>
    <w:rsid w:val="00891C7C"/>
    <w:rsid w:val="00892478"/>
    <w:rsid w:val="00892E74"/>
    <w:rsid w:val="008934EE"/>
    <w:rsid w:val="008940F1"/>
    <w:rsid w:val="008946FA"/>
    <w:rsid w:val="00894AFE"/>
    <w:rsid w:val="00895494"/>
    <w:rsid w:val="0089710D"/>
    <w:rsid w:val="00897C08"/>
    <w:rsid w:val="008A016D"/>
    <w:rsid w:val="008A0205"/>
    <w:rsid w:val="008A210E"/>
    <w:rsid w:val="008A2894"/>
    <w:rsid w:val="008A39A0"/>
    <w:rsid w:val="008A3C48"/>
    <w:rsid w:val="008A6A84"/>
    <w:rsid w:val="008A72EE"/>
    <w:rsid w:val="008B01A8"/>
    <w:rsid w:val="008B0667"/>
    <w:rsid w:val="008B0F34"/>
    <w:rsid w:val="008B30E0"/>
    <w:rsid w:val="008B4177"/>
    <w:rsid w:val="008B4A8A"/>
    <w:rsid w:val="008B4ABB"/>
    <w:rsid w:val="008B4F5E"/>
    <w:rsid w:val="008B5363"/>
    <w:rsid w:val="008B57C2"/>
    <w:rsid w:val="008B65E7"/>
    <w:rsid w:val="008B72C9"/>
    <w:rsid w:val="008C09EF"/>
    <w:rsid w:val="008C249C"/>
    <w:rsid w:val="008C485B"/>
    <w:rsid w:val="008C53DB"/>
    <w:rsid w:val="008C5768"/>
    <w:rsid w:val="008C5FB0"/>
    <w:rsid w:val="008C6A4C"/>
    <w:rsid w:val="008C778A"/>
    <w:rsid w:val="008D14ED"/>
    <w:rsid w:val="008D1B7C"/>
    <w:rsid w:val="008D27AA"/>
    <w:rsid w:val="008D40FB"/>
    <w:rsid w:val="008D4BA3"/>
    <w:rsid w:val="008D52A5"/>
    <w:rsid w:val="008D5351"/>
    <w:rsid w:val="008D5AB9"/>
    <w:rsid w:val="008D5D2D"/>
    <w:rsid w:val="008D63D3"/>
    <w:rsid w:val="008D6DEA"/>
    <w:rsid w:val="008D72D5"/>
    <w:rsid w:val="008D7FA7"/>
    <w:rsid w:val="008E15AF"/>
    <w:rsid w:val="008E16F1"/>
    <w:rsid w:val="008E1C88"/>
    <w:rsid w:val="008E2035"/>
    <w:rsid w:val="008E3FDD"/>
    <w:rsid w:val="008E481B"/>
    <w:rsid w:val="008E528F"/>
    <w:rsid w:val="008E56C8"/>
    <w:rsid w:val="008E5C1E"/>
    <w:rsid w:val="008E6C5A"/>
    <w:rsid w:val="008E7BC0"/>
    <w:rsid w:val="008F0D57"/>
    <w:rsid w:val="008F0F4F"/>
    <w:rsid w:val="008F1546"/>
    <w:rsid w:val="008F1CFF"/>
    <w:rsid w:val="008F1D67"/>
    <w:rsid w:val="008F2E7E"/>
    <w:rsid w:val="008F37E6"/>
    <w:rsid w:val="008F5C92"/>
    <w:rsid w:val="008F609E"/>
    <w:rsid w:val="008F630F"/>
    <w:rsid w:val="008F6B09"/>
    <w:rsid w:val="008F770C"/>
    <w:rsid w:val="008F7A08"/>
    <w:rsid w:val="00902228"/>
    <w:rsid w:val="009030F7"/>
    <w:rsid w:val="00904B03"/>
    <w:rsid w:val="00904E11"/>
    <w:rsid w:val="0090516B"/>
    <w:rsid w:val="00905925"/>
    <w:rsid w:val="00905CCD"/>
    <w:rsid w:val="00906E45"/>
    <w:rsid w:val="00907438"/>
    <w:rsid w:val="00910356"/>
    <w:rsid w:val="00910C65"/>
    <w:rsid w:val="0091116E"/>
    <w:rsid w:val="00911173"/>
    <w:rsid w:val="00911798"/>
    <w:rsid w:val="00912A8C"/>
    <w:rsid w:val="00913B60"/>
    <w:rsid w:val="00914267"/>
    <w:rsid w:val="009146ED"/>
    <w:rsid w:val="009152A9"/>
    <w:rsid w:val="00915358"/>
    <w:rsid w:val="00915982"/>
    <w:rsid w:val="00915BFC"/>
    <w:rsid w:val="009202B7"/>
    <w:rsid w:val="0092057F"/>
    <w:rsid w:val="00920E27"/>
    <w:rsid w:val="009225C9"/>
    <w:rsid w:val="00922C40"/>
    <w:rsid w:val="00923267"/>
    <w:rsid w:val="00923B4B"/>
    <w:rsid w:val="009259A9"/>
    <w:rsid w:val="00926361"/>
    <w:rsid w:val="00926A3D"/>
    <w:rsid w:val="00926DD5"/>
    <w:rsid w:val="0093047C"/>
    <w:rsid w:val="00930679"/>
    <w:rsid w:val="00930761"/>
    <w:rsid w:val="00930F87"/>
    <w:rsid w:val="00931BEF"/>
    <w:rsid w:val="0093314A"/>
    <w:rsid w:val="009347E6"/>
    <w:rsid w:val="00934ECA"/>
    <w:rsid w:val="0093523A"/>
    <w:rsid w:val="00935E02"/>
    <w:rsid w:val="00935E4B"/>
    <w:rsid w:val="00936297"/>
    <w:rsid w:val="00936675"/>
    <w:rsid w:val="00936D19"/>
    <w:rsid w:val="00936D6F"/>
    <w:rsid w:val="00937C71"/>
    <w:rsid w:val="00940A61"/>
    <w:rsid w:val="009414B9"/>
    <w:rsid w:val="00942869"/>
    <w:rsid w:val="0094328A"/>
    <w:rsid w:val="009435DF"/>
    <w:rsid w:val="00943925"/>
    <w:rsid w:val="00944B61"/>
    <w:rsid w:val="00944E50"/>
    <w:rsid w:val="00944E7E"/>
    <w:rsid w:val="00944ED1"/>
    <w:rsid w:val="0094597D"/>
    <w:rsid w:val="00945AF0"/>
    <w:rsid w:val="009460C2"/>
    <w:rsid w:val="00946CE5"/>
    <w:rsid w:val="0094750F"/>
    <w:rsid w:val="0095032B"/>
    <w:rsid w:val="00952733"/>
    <w:rsid w:val="00952D50"/>
    <w:rsid w:val="00952FD2"/>
    <w:rsid w:val="00953917"/>
    <w:rsid w:val="00953A44"/>
    <w:rsid w:val="00953C20"/>
    <w:rsid w:val="00954D02"/>
    <w:rsid w:val="00955183"/>
    <w:rsid w:val="00955945"/>
    <w:rsid w:val="00955BCF"/>
    <w:rsid w:val="00955EE4"/>
    <w:rsid w:val="009561EB"/>
    <w:rsid w:val="0095689C"/>
    <w:rsid w:val="00957BBC"/>
    <w:rsid w:val="00957D7D"/>
    <w:rsid w:val="00957FB2"/>
    <w:rsid w:val="00965660"/>
    <w:rsid w:val="00966181"/>
    <w:rsid w:val="00966194"/>
    <w:rsid w:val="00966693"/>
    <w:rsid w:val="00966D40"/>
    <w:rsid w:val="00966F12"/>
    <w:rsid w:val="00967067"/>
    <w:rsid w:val="009670FB"/>
    <w:rsid w:val="0096767C"/>
    <w:rsid w:val="00967980"/>
    <w:rsid w:val="00971DA4"/>
    <w:rsid w:val="00973457"/>
    <w:rsid w:val="00974064"/>
    <w:rsid w:val="009740D2"/>
    <w:rsid w:val="009743F3"/>
    <w:rsid w:val="00975F75"/>
    <w:rsid w:val="009762BE"/>
    <w:rsid w:val="0098028E"/>
    <w:rsid w:val="00981BF0"/>
    <w:rsid w:val="00981DC5"/>
    <w:rsid w:val="009825F8"/>
    <w:rsid w:val="0098283C"/>
    <w:rsid w:val="00982D89"/>
    <w:rsid w:val="009838B4"/>
    <w:rsid w:val="00985A5A"/>
    <w:rsid w:val="0098604D"/>
    <w:rsid w:val="0098674C"/>
    <w:rsid w:val="00987DC4"/>
    <w:rsid w:val="00990E52"/>
    <w:rsid w:val="009912EC"/>
    <w:rsid w:val="00992AEC"/>
    <w:rsid w:val="009931A9"/>
    <w:rsid w:val="0099340A"/>
    <w:rsid w:val="009944A2"/>
    <w:rsid w:val="0099464F"/>
    <w:rsid w:val="009948F0"/>
    <w:rsid w:val="00994C45"/>
    <w:rsid w:val="0099645E"/>
    <w:rsid w:val="00996F86"/>
    <w:rsid w:val="00997488"/>
    <w:rsid w:val="00997FE5"/>
    <w:rsid w:val="009A1E13"/>
    <w:rsid w:val="009A22C8"/>
    <w:rsid w:val="009A36E2"/>
    <w:rsid w:val="009A3A89"/>
    <w:rsid w:val="009A3B34"/>
    <w:rsid w:val="009A3FB7"/>
    <w:rsid w:val="009A4D4B"/>
    <w:rsid w:val="009A5846"/>
    <w:rsid w:val="009A6119"/>
    <w:rsid w:val="009A7DF8"/>
    <w:rsid w:val="009B0DC8"/>
    <w:rsid w:val="009B12EF"/>
    <w:rsid w:val="009B139C"/>
    <w:rsid w:val="009B1729"/>
    <w:rsid w:val="009B17C8"/>
    <w:rsid w:val="009B20C8"/>
    <w:rsid w:val="009B3A94"/>
    <w:rsid w:val="009B44AA"/>
    <w:rsid w:val="009B53B9"/>
    <w:rsid w:val="009B5BDE"/>
    <w:rsid w:val="009B5CA8"/>
    <w:rsid w:val="009B73DC"/>
    <w:rsid w:val="009B7E51"/>
    <w:rsid w:val="009B7FC7"/>
    <w:rsid w:val="009C0FE4"/>
    <w:rsid w:val="009C1F9C"/>
    <w:rsid w:val="009C22EB"/>
    <w:rsid w:val="009C2E7C"/>
    <w:rsid w:val="009C3258"/>
    <w:rsid w:val="009C3345"/>
    <w:rsid w:val="009C3838"/>
    <w:rsid w:val="009C41B1"/>
    <w:rsid w:val="009C46B6"/>
    <w:rsid w:val="009C5BB0"/>
    <w:rsid w:val="009C5F1E"/>
    <w:rsid w:val="009D1054"/>
    <w:rsid w:val="009D1936"/>
    <w:rsid w:val="009D1FBC"/>
    <w:rsid w:val="009D20B7"/>
    <w:rsid w:val="009D226E"/>
    <w:rsid w:val="009D26B6"/>
    <w:rsid w:val="009D2C5A"/>
    <w:rsid w:val="009D2EB5"/>
    <w:rsid w:val="009D391D"/>
    <w:rsid w:val="009D4CE6"/>
    <w:rsid w:val="009D5552"/>
    <w:rsid w:val="009D652D"/>
    <w:rsid w:val="009D65A6"/>
    <w:rsid w:val="009D710B"/>
    <w:rsid w:val="009E0201"/>
    <w:rsid w:val="009E0BE2"/>
    <w:rsid w:val="009E1080"/>
    <w:rsid w:val="009E1FDC"/>
    <w:rsid w:val="009E2337"/>
    <w:rsid w:val="009E34D0"/>
    <w:rsid w:val="009E469C"/>
    <w:rsid w:val="009E5066"/>
    <w:rsid w:val="009E509B"/>
    <w:rsid w:val="009E6D11"/>
    <w:rsid w:val="009E7A0F"/>
    <w:rsid w:val="009E7F52"/>
    <w:rsid w:val="009F0A8F"/>
    <w:rsid w:val="009F3916"/>
    <w:rsid w:val="009F4F39"/>
    <w:rsid w:val="009F50B7"/>
    <w:rsid w:val="009F596B"/>
    <w:rsid w:val="009F6CC4"/>
    <w:rsid w:val="009F708B"/>
    <w:rsid w:val="009F75AB"/>
    <w:rsid w:val="009F78D5"/>
    <w:rsid w:val="00A012D3"/>
    <w:rsid w:val="00A01506"/>
    <w:rsid w:val="00A02175"/>
    <w:rsid w:val="00A04555"/>
    <w:rsid w:val="00A051D4"/>
    <w:rsid w:val="00A05AFF"/>
    <w:rsid w:val="00A05D6B"/>
    <w:rsid w:val="00A062FB"/>
    <w:rsid w:val="00A06BB1"/>
    <w:rsid w:val="00A079CD"/>
    <w:rsid w:val="00A1023B"/>
    <w:rsid w:val="00A10F1E"/>
    <w:rsid w:val="00A11238"/>
    <w:rsid w:val="00A12546"/>
    <w:rsid w:val="00A126BB"/>
    <w:rsid w:val="00A126CF"/>
    <w:rsid w:val="00A126F2"/>
    <w:rsid w:val="00A13570"/>
    <w:rsid w:val="00A149DB"/>
    <w:rsid w:val="00A14BEB"/>
    <w:rsid w:val="00A15136"/>
    <w:rsid w:val="00A156B2"/>
    <w:rsid w:val="00A158E0"/>
    <w:rsid w:val="00A15D5F"/>
    <w:rsid w:val="00A15E5C"/>
    <w:rsid w:val="00A160C5"/>
    <w:rsid w:val="00A17747"/>
    <w:rsid w:val="00A17B84"/>
    <w:rsid w:val="00A202FC"/>
    <w:rsid w:val="00A20DA2"/>
    <w:rsid w:val="00A22925"/>
    <w:rsid w:val="00A23430"/>
    <w:rsid w:val="00A235B9"/>
    <w:rsid w:val="00A23781"/>
    <w:rsid w:val="00A23FD8"/>
    <w:rsid w:val="00A24FEC"/>
    <w:rsid w:val="00A25C27"/>
    <w:rsid w:val="00A25C7B"/>
    <w:rsid w:val="00A268A3"/>
    <w:rsid w:val="00A26E65"/>
    <w:rsid w:val="00A3112A"/>
    <w:rsid w:val="00A3286A"/>
    <w:rsid w:val="00A347D2"/>
    <w:rsid w:val="00A34C03"/>
    <w:rsid w:val="00A35982"/>
    <w:rsid w:val="00A363C5"/>
    <w:rsid w:val="00A378E4"/>
    <w:rsid w:val="00A37A02"/>
    <w:rsid w:val="00A40154"/>
    <w:rsid w:val="00A40B7B"/>
    <w:rsid w:val="00A40EBD"/>
    <w:rsid w:val="00A41566"/>
    <w:rsid w:val="00A41C97"/>
    <w:rsid w:val="00A4345C"/>
    <w:rsid w:val="00A43FB9"/>
    <w:rsid w:val="00A44C75"/>
    <w:rsid w:val="00A457B9"/>
    <w:rsid w:val="00A470CD"/>
    <w:rsid w:val="00A5163B"/>
    <w:rsid w:val="00A5179C"/>
    <w:rsid w:val="00A53568"/>
    <w:rsid w:val="00A53925"/>
    <w:rsid w:val="00A55276"/>
    <w:rsid w:val="00A553ED"/>
    <w:rsid w:val="00A570AF"/>
    <w:rsid w:val="00A57C1C"/>
    <w:rsid w:val="00A60073"/>
    <w:rsid w:val="00A61B47"/>
    <w:rsid w:val="00A61E47"/>
    <w:rsid w:val="00A62E5F"/>
    <w:rsid w:val="00A63270"/>
    <w:rsid w:val="00A633D8"/>
    <w:rsid w:val="00A63E7F"/>
    <w:rsid w:val="00A6436F"/>
    <w:rsid w:val="00A64627"/>
    <w:rsid w:val="00A65621"/>
    <w:rsid w:val="00A65900"/>
    <w:rsid w:val="00A66967"/>
    <w:rsid w:val="00A674FD"/>
    <w:rsid w:val="00A6774C"/>
    <w:rsid w:val="00A67987"/>
    <w:rsid w:val="00A67A11"/>
    <w:rsid w:val="00A7111F"/>
    <w:rsid w:val="00A7421C"/>
    <w:rsid w:val="00A769AF"/>
    <w:rsid w:val="00A773F8"/>
    <w:rsid w:val="00A778A0"/>
    <w:rsid w:val="00A77D9D"/>
    <w:rsid w:val="00A77E70"/>
    <w:rsid w:val="00A80678"/>
    <w:rsid w:val="00A80814"/>
    <w:rsid w:val="00A81B3B"/>
    <w:rsid w:val="00A8274C"/>
    <w:rsid w:val="00A833B5"/>
    <w:rsid w:val="00A8421C"/>
    <w:rsid w:val="00A846FA"/>
    <w:rsid w:val="00A85AE6"/>
    <w:rsid w:val="00A86B52"/>
    <w:rsid w:val="00A86EE6"/>
    <w:rsid w:val="00A8719C"/>
    <w:rsid w:val="00A87E29"/>
    <w:rsid w:val="00A9041E"/>
    <w:rsid w:val="00A908FF"/>
    <w:rsid w:val="00A9154A"/>
    <w:rsid w:val="00A9284A"/>
    <w:rsid w:val="00A93E19"/>
    <w:rsid w:val="00A94295"/>
    <w:rsid w:val="00A94775"/>
    <w:rsid w:val="00A94D34"/>
    <w:rsid w:val="00A95590"/>
    <w:rsid w:val="00A96F1F"/>
    <w:rsid w:val="00A97B77"/>
    <w:rsid w:val="00A97BF7"/>
    <w:rsid w:val="00AA3C21"/>
    <w:rsid w:val="00AA412B"/>
    <w:rsid w:val="00AA49C0"/>
    <w:rsid w:val="00AA6A2B"/>
    <w:rsid w:val="00AA6B23"/>
    <w:rsid w:val="00AB029B"/>
    <w:rsid w:val="00AB2A1C"/>
    <w:rsid w:val="00AB5706"/>
    <w:rsid w:val="00AB5E15"/>
    <w:rsid w:val="00AB6546"/>
    <w:rsid w:val="00AB66DA"/>
    <w:rsid w:val="00AB6DDB"/>
    <w:rsid w:val="00AC025F"/>
    <w:rsid w:val="00AC136A"/>
    <w:rsid w:val="00AC2266"/>
    <w:rsid w:val="00AC2586"/>
    <w:rsid w:val="00AC3300"/>
    <w:rsid w:val="00AC338A"/>
    <w:rsid w:val="00AC34B7"/>
    <w:rsid w:val="00AC3746"/>
    <w:rsid w:val="00AC401A"/>
    <w:rsid w:val="00AC48E5"/>
    <w:rsid w:val="00AC607F"/>
    <w:rsid w:val="00AC6C2A"/>
    <w:rsid w:val="00AC7BED"/>
    <w:rsid w:val="00AC7DAC"/>
    <w:rsid w:val="00AD050B"/>
    <w:rsid w:val="00AD086D"/>
    <w:rsid w:val="00AD303B"/>
    <w:rsid w:val="00AD4A1E"/>
    <w:rsid w:val="00AE01C7"/>
    <w:rsid w:val="00AE1644"/>
    <w:rsid w:val="00AE33E2"/>
    <w:rsid w:val="00AE3701"/>
    <w:rsid w:val="00AE464A"/>
    <w:rsid w:val="00AE4B46"/>
    <w:rsid w:val="00AE66DA"/>
    <w:rsid w:val="00AE6BBA"/>
    <w:rsid w:val="00AE72FF"/>
    <w:rsid w:val="00AF054A"/>
    <w:rsid w:val="00AF0FC8"/>
    <w:rsid w:val="00AF283B"/>
    <w:rsid w:val="00AF2DE1"/>
    <w:rsid w:val="00AF308B"/>
    <w:rsid w:val="00AF4BB6"/>
    <w:rsid w:val="00AF4E64"/>
    <w:rsid w:val="00AF5001"/>
    <w:rsid w:val="00AF573A"/>
    <w:rsid w:val="00AF5B8C"/>
    <w:rsid w:val="00B0165D"/>
    <w:rsid w:val="00B02A95"/>
    <w:rsid w:val="00B0548B"/>
    <w:rsid w:val="00B06A42"/>
    <w:rsid w:val="00B06D07"/>
    <w:rsid w:val="00B071F8"/>
    <w:rsid w:val="00B11018"/>
    <w:rsid w:val="00B11471"/>
    <w:rsid w:val="00B11D27"/>
    <w:rsid w:val="00B120C0"/>
    <w:rsid w:val="00B124CE"/>
    <w:rsid w:val="00B127BA"/>
    <w:rsid w:val="00B13284"/>
    <w:rsid w:val="00B1684B"/>
    <w:rsid w:val="00B16A38"/>
    <w:rsid w:val="00B17D3A"/>
    <w:rsid w:val="00B20DE4"/>
    <w:rsid w:val="00B22694"/>
    <w:rsid w:val="00B2353C"/>
    <w:rsid w:val="00B23E3E"/>
    <w:rsid w:val="00B245B2"/>
    <w:rsid w:val="00B251D0"/>
    <w:rsid w:val="00B2731A"/>
    <w:rsid w:val="00B3091D"/>
    <w:rsid w:val="00B32A0E"/>
    <w:rsid w:val="00B33A63"/>
    <w:rsid w:val="00B3473E"/>
    <w:rsid w:val="00B348B3"/>
    <w:rsid w:val="00B34D4C"/>
    <w:rsid w:val="00B35477"/>
    <w:rsid w:val="00B36BDB"/>
    <w:rsid w:val="00B36E47"/>
    <w:rsid w:val="00B40A5C"/>
    <w:rsid w:val="00B412DD"/>
    <w:rsid w:val="00B413BD"/>
    <w:rsid w:val="00B43555"/>
    <w:rsid w:val="00B45397"/>
    <w:rsid w:val="00B453FC"/>
    <w:rsid w:val="00B45482"/>
    <w:rsid w:val="00B46FF9"/>
    <w:rsid w:val="00B503BE"/>
    <w:rsid w:val="00B50C9D"/>
    <w:rsid w:val="00B5466E"/>
    <w:rsid w:val="00B55296"/>
    <w:rsid w:val="00B5556C"/>
    <w:rsid w:val="00B57955"/>
    <w:rsid w:val="00B57DE6"/>
    <w:rsid w:val="00B60C63"/>
    <w:rsid w:val="00B629B0"/>
    <w:rsid w:val="00B62F95"/>
    <w:rsid w:val="00B63021"/>
    <w:rsid w:val="00B63C2F"/>
    <w:rsid w:val="00B673B5"/>
    <w:rsid w:val="00B67A6A"/>
    <w:rsid w:val="00B7007A"/>
    <w:rsid w:val="00B71D77"/>
    <w:rsid w:val="00B73766"/>
    <w:rsid w:val="00B74AA3"/>
    <w:rsid w:val="00B75164"/>
    <w:rsid w:val="00B754F0"/>
    <w:rsid w:val="00B756E1"/>
    <w:rsid w:val="00B7577C"/>
    <w:rsid w:val="00B803E1"/>
    <w:rsid w:val="00B80BC3"/>
    <w:rsid w:val="00B818AC"/>
    <w:rsid w:val="00B81F70"/>
    <w:rsid w:val="00B82FD1"/>
    <w:rsid w:val="00B831FD"/>
    <w:rsid w:val="00B84462"/>
    <w:rsid w:val="00B84B32"/>
    <w:rsid w:val="00B84FD9"/>
    <w:rsid w:val="00B85C74"/>
    <w:rsid w:val="00B86121"/>
    <w:rsid w:val="00B86E2D"/>
    <w:rsid w:val="00B87969"/>
    <w:rsid w:val="00B87B7D"/>
    <w:rsid w:val="00B87E8A"/>
    <w:rsid w:val="00B90FB6"/>
    <w:rsid w:val="00B913C3"/>
    <w:rsid w:val="00B91C35"/>
    <w:rsid w:val="00B91E54"/>
    <w:rsid w:val="00B924F0"/>
    <w:rsid w:val="00B9269C"/>
    <w:rsid w:val="00B92751"/>
    <w:rsid w:val="00B932E0"/>
    <w:rsid w:val="00B94849"/>
    <w:rsid w:val="00B94F03"/>
    <w:rsid w:val="00B951AC"/>
    <w:rsid w:val="00B956CE"/>
    <w:rsid w:val="00B963BF"/>
    <w:rsid w:val="00B97A15"/>
    <w:rsid w:val="00BA1361"/>
    <w:rsid w:val="00BA3126"/>
    <w:rsid w:val="00BA3157"/>
    <w:rsid w:val="00BA320F"/>
    <w:rsid w:val="00BA334A"/>
    <w:rsid w:val="00BA3B31"/>
    <w:rsid w:val="00BA5A18"/>
    <w:rsid w:val="00BA6E74"/>
    <w:rsid w:val="00BA7D6E"/>
    <w:rsid w:val="00BB1A50"/>
    <w:rsid w:val="00BB34C8"/>
    <w:rsid w:val="00BB3B6A"/>
    <w:rsid w:val="00BB57E2"/>
    <w:rsid w:val="00BB7316"/>
    <w:rsid w:val="00BC0332"/>
    <w:rsid w:val="00BC0A80"/>
    <w:rsid w:val="00BC0F71"/>
    <w:rsid w:val="00BC3440"/>
    <w:rsid w:val="00BC3B49"/>
    <w:rsid w:val="00BC57E3"/>
    <w:rsid w:val="00BC69EE"/>
    <w:rsid w:val="00BC7834"/>
    <w:rsid w:val="00BD0356"/>
    <w:rsid w:val="00BD0537"/>
    <w:rsid w:val="00BD1506"/>
    <w:rsid w:val="00BD1E6D"/>
    <w:rsid w:val="00BD27B1"/>
    <w:rsid w:val="00BD3045"/>
    <w:rsid w:val="00BD3DB4"/>
    <w:rsid w:val="00BD407F"/>
    <w:rsid w:val="00BD497E"/>
    <w:rsid w:val="00BD4B61"/>
    <w:rsid w:val="00BD6D62"/>
    <w:rsid w:val="00BD71E0"/>
    <w:rsid w:val="00BD7C5B"/>
    <w:rsid w:val="00BD7CB3"/>
    <w:rsid w:val="00BE02C6"/>
    <w:rsid w:val="00BE07B7"/>
    <w:rsid w:val="00BE0C5F"/>
    <w:rsid w:val="00BE1507"/>
    <w:rsid w:val="00BE195C"/>
    <w:rsid w:val="00BE234A"/>
    <w:rsid w:val="00BE39B1"/>
    <w:rsid w:val="00BE4444"/>
    <w:rsid w:val="00BE5047"/>
    <w:rsid w:val="00BE512A"/>
    <w:rsid w:val="00BE5D52"/>
    <w:rsid w:val="00BF00BB"/>
    <w:rsid w:val="00BF04D5"/>
    <w:rsid w:val="00BF0D06"/>
    <w:rsid w:val="00BF0DD2"/>
    <w:rsid w:val="00BF48F1"/>
    <w:rsid w:val="00BF4C85"/>
    <w:rsid w:val="00BF508F"/>
    <w:rsid w:val="00BF6ACE"/>
    <w:rsid w:val="00BF7AC2"/>
    <w:rsid w:val="00C00DA6"/>
    <w:rsid w:val="00C017BE"/>
    <w:rsid w:val="00C01852"/>
    <w:rsid w:val="00C0198E"/>
    <w:rsid w:val="00C02595"/>
    <w:rsid w:val="00C02CBC"/>
    <w:rsid w:val="00C03468"/>
    <w:rsid w:val="00C0367F"/>
    <w:rsid w:val="00C03DE8"/>
    <w:rsid w:val="00C059EC"/>
    <w:rsid w:val="00C05EC5"/>
    <w:rsid w:val="00C060AC"/>
    <w:rsid w:val="00C06203"/>
    <w:rsid w:val="00C0765E"/>
    <w:rsid w:val="00C10E99"/>
    <w:rsid w:val="00C113FB"/>
    <w:rsid w:val="00C1172E"/>
    <w:rsid w:val="00C11DAA"/>
    <w:rsid w:val="00C12219"/>
    <w:rsid w:val="00C12D01"/>
    <w:rsid w:val="00C133A6"/>
    <w:rsid w:val="00C1359E"/>
    <w:rsid w:val="00C13A5B"/>
    <w:rsid w:val="00C13B20"/>
    <w:rsid w:val="00C1536E"/>
    <w:rsid w:val="00C16E02"/>
    <w:rsid w:val="00C16F94"/>
    <w:rsid w:val="00C17ACA"/>
    <w:rsid w:val="00C2212F"/>
    <w:rsid w:val="00C223D2"/>
    <w:rsid w:val="00C2284A"/>
    <w:rsid w:val="00C22BC7"/>
    <w:rsid w:val="00C22CA9"/>
    <w:rsid w:val="00C22DDA"/>
    <w:rsid w:val="00C24173"/>
    <w:rsid w:val="00C25611"/>
    <w:rsid w:val="00C256E1"/>
    <w:rsid w:val="00C259DC"/>
    <w:rsid w:val="00C25BA0"/>
    <w:rsid w:val="00C25E79"/>
    <w:rsid w:val="00C26651"/>
    <w:rsid w:val="00C27132"/>
    <w:rsid w:val="00C2768F"/>
    <w:rsid w:val="00C27985"/>
    <w:rsid w:val="00C31D30"/>
    <w:rsid w:val="00C322CD"/>
    <w:rsid w:val="00C3313D"/>
    <w:rsid w:val="00C33708"/>
    <w:rsid w:val="00C33AEE"/>
    <w:rsid w:val="00C33BC0"/>
    <w:rsid w:val="00C34100"/>
    <w:rsid w:val="00C3444C"/>
    <w:rsid w:val="00C3683B"/>
    <w:rsid w:val="00C36FF7"/>
    <w:rsid w:val="00C3729B"/>
    <w:rsid w:val="00C40857"/>
    <w:rsid w:val="00C40C70"/>
    <w:rsid w:val="00C41288"/>
    <w:rsid w:val="00C41A0B"/>
    <w:rsid w:val="00C41A22"/>
    <w:rsid w:val="00C41FD5"/>
    <w:rsid w:val="00C425B2"/>
    <w:rsid w:val="00C4355F"/>
    <w:rsid w:val="00C43950"/>
    <w:rsid w:val="00C43C99"/>
    <w:rsid w:val="00C43D3D"/>
    <w:rsid w:val="00C45D4B"/>
    <w:rsid w:val="00C47FD2"/>
    <w:rsid w:val="00C5025A"/>
    <w:rsid w:val="00C50DC3"/>
    <w:rsid w:val="00C50EF7"/>
    <w:rsid w:val="00C511EA"/>
    <w:rsid w:val="00C51DE3"/>
    <w:rsid w:val="00C52E90"/>
    <w:rsid w:val="00C53341"/>
    <w:rsid w:val="00C548F8"/>
    <w:rsid w:val="00C54F5D"/>
    <w:rsid w:val="00C552D3"/>
    <w:rsid w:val="00C5571D"/>
    <w:rsid w:val="00C565F4"/>
    <w:rsid w:val="00C569B0"/>
    <w:rsid w:val="00C57C72"/>
    <w:rsid w:val="00C57D8F"/>
    <w:rsid w:val="00C61962"/>
    <w:rsid w:val="00C66184"/>
    <w:rsid w:val="00C66E23"/>
    <w:rsid w:val="00C675AA"/>
    <w:rsid w:val="00C675DA"/>
    <w:rsid w:val="00C67F59"/>
    <w:rsid w:val="00C70508"/>
    <w:rsid w:val="00C70FCB"/>
    <w:rsid w:val="00C720B9"/>
    <w:rsid w:val="00C73714"/>
    <w:rsid w:val="00C73BCA"/>
    <w:rsid w:val="00C741A0"/>
    <w:rsid w:val="00C741D8"/>
    <w:rsid w:val="00C74522"/>
    <w:rsid w:val="00C7486B"/>
    <w:rsid w:val="00C74A45"/>
    <w:rsid w:val="00C75681"/>
    <w:rsid w:val="00C76FEE"/>
    <w:rsid w:val="00C7796B"/>
    <w:rsid w:val="00C77981"/>
    <w:rsid w:val="00C77BD5"/>
    <w:rsid w:val="00C80105"/>
    <w:rsid w:val="00C8051C"/>
    <w:rsid w:val="00C81022"/>
    <w:rsid w:val="00C81345"/>
    <w:rsid w:val="00C81ABA"/>
    <w:rsid w:val="00C81B23"/>
    <w:rsid w:val="00C825A1"/>
    <w:rsid w:val="00C82CD8"/>
    <w:rsid w:val="00C84CCC"/>
    <w:rsid w:val="00C84D1F"/>
    <w:rsid w:val="00C84DF0"/>
    <w:rsid w:val="00C85289"/>
    <w:rsid w:val="00C85B26"/>
    <w:rsid w:val="00C8697D"/>
    <w:rsid w:val="00C9005F"/>
    <w:rsid w:val="00C903DA"/>
    <w:rsid w:val="00C91023"/>
    <w:rsid w:val="00C91270"/>
    <w:rsid w:val="00C91CE7"/>
    <w:rsid w:val="00C92D2D"/>
    <w:rsid w:val="00C93B8E"/>
    <w:rsid w:val="00C93D41"/>
    <w:rsid w:val="00C93F0B"/>
    <w:rsid w:val="00C94C3B"/>
    <w:rsid w:val="00C95848"/>
    <w:rsid w:val="00C95943"/>
    <w:rsid w:val="00C95C9F"/>
    <w:rsid w:val="00C96495"/>
    <w:rsid w:val="00C96757"/>
    <w:rsid w:val="00C97021"/>
    <w:rsid w:val="00C9766C"/>
    <w:rsid w:val="00CA05F0"/>
    <w:rsid w:val="00CA0972"/>
    <w:rsid w:val="00CA0A59"/>
    <w:rsid w:val="00CA1192"/>
    <w:rsid w:val="00CA143C"/>
    <w:rsid w:val="00CA359D"/>
    <w:rsid w:val="00CA4257"/>
    <w:rsid w:val="00CA5C82"/>
    <w:rsid w:val="00CA5EB5"/>
    <w:rsid w:val="00CA69DF"/>
    <w:rsid w:val="00CA7546"/>
    <w:rsid w:val="00CB0EDC"/>
    <w:rsid w:val="00CB1128"/>
    <w:rsid w:val="00CB18CD"/>
    <w:rsid w:val="00CB2EB4"/>
    <w:rsid w:val="00CB53B0"/>
    <w:rsid w:val="00CB564F"/>
    <w:rsid w:val="00CB569F"/>
    <w:rsid w:val="00CB5C61"/>
    <w:rsid w:val="00CB625E"/>
    <w:rsid w:val="00CB6D34"/>
    <w:rsid w:val="00CB722D"/>
    <w:rsid w:val="00CB7413"/>
    <w:rsid w:val="00CB75D3"/>
    <w:rsid w:val="00CC01E2"/>
    <w:rsid w:val="00CC0FBC"/>
    <w:rsid w:val="00CC159E"/>
    <w:rsid w:val="00CC15DE"/>
    <w:rsid w:val="00CC4287"/>
    <w:rsid w:val="00CC43DC"/>
    <w:rsid w:val="00CC4813"/>
    <w:rsid w:val="00CC4C4B"/>
    <w:rsid w:val="00CC542A"/>
    <w:rsid w:val="00CC591E"/>
    <w:rsid w:val="00CC59DD"/>
    <w:rsid w:val="00CC6035"/>
    <w:rsid w:val="00CC618A"/>
    <w:rsid w:val="00CC66DA"/>
    <w:rsid w:val="00CD04C2"/>
    <w:rsid w:val="00CD0522"/>
    <w:rsid w:val="00CD0870"/>
    <w:rsid w:val="00CD0A18"/>
    <w:rsid w:val="00CD1C53"/>
    <w:rsid w:val="00CD2981"/>
    <w:rsid w:val="00CD381E"/>
    <w:rsid w:val="00CD4515"/>
    <w:rsid w:val="00CD46CC"/>
    <w:rsid w:val="00CD486C"/>
    <w:rsid w:val="00CD4D86"/>
    <w:rsid w:val="00CD512C"/>
    <w:rsid w:val="00CD6475"/>
    <w:rsid w:val="00CD682D"/>
    <w:rsid w:val="00CD6C5B"/>
    <w:rsid w:val="00CD7219"/>
    <w:rsid w:val="00CD780B"/>
    <w:rsid w:val="00CD7CB6"/>
    <w:rsid w:val="00CE0457"/>
    <w:rsid w:val="00CE0ABD"/>
    <w:rsid w:val="00CE0DDD"/>
    <w:rsid w:val="00CE1B47"/>
    <w:rsid w:val="00CE1F3A"/>
    <w:rsid w:val="00CE4C78"/>
    <w:rsid w:val="00CE4F1F"/>
    <w:rsid w:val="00CE5FCE"/>
    <w:rsid w:val="00CE63C4"/>
    <w:rsid w:val="00CE6F9C"/>
    <w:rsid w:val="00CF088D"/>
    <w:rsid w:val="00CF117E"/>
    <w:rsid w:val="00CF152D"/>
    <w:rsid w:val="00CF4D97"/>
    <w:rsid w:val="00CF7723"/>
    <w:rsid w:val="00D00AC6"/>
    <w:rsid w:val="00D010E3"/>
    <w:rsid w:val="00D026A2"/>
    <w:rsid w:val="00D02950"/>
    <w:rsid w:val="00D02E1C"/>
    <w:rsid w:val="00D03220"/>
    <w:rsid w:val="00D04E76"/>
    <w:rsid w:val="00D070A9"/>
    <w:rsid w:val="00D07BEF"/>
    <w:rsid w:val="00D10036"/>
    <w:rsid w:val="00D1023E"/>
    <w:rsid w:val="00D10546"/>
    <w:rsid w:val="00D12157"/>
    <w:rsid w:val="00D129BB"/>
    <w:rsid w:val="00D1444D"/>
    <w:rsid w:val="00D15B41"/>
    <w:rsid w:val="00D16859"/>
    <w:rsid w:val="00D16C12"/>
    <w:rsid w:val="00D17485"/>
    <w:rsid w:val="00D17BB1"/>
    <w:rsid w:val="00D17BBF"/>
    <w:rsid w:val="00D17F55"/>
    <w:rsid w:val="00D17FE8"/>
    <w:rsid w:val="00D201AE"/>
    <w:rsid w:val="00D204AB"/>
    <w:rsid w:val="00D212CC"/>
    <w:rsid w:val="00D222BF"/>
    <w:rsid w:val="00D24181"/>
    <w:rsid w:val="00D2572E"/>
    <w:rsid w:val="00D25AC0"/>
    <w:rsid w:val="00D26824"/>
    <w:rsid w:val="00D26F67"/>
    <w:rsid w:val="00D271B9"/>
    <w:rsid w:val="00D2794D"/>
    <w:rsid w:val="00D27E8D"/>
    <w:rsid w:val="00D27F63"/>
    <w:rsid w:val="00D301AC"/>
    <w:rsid w:val="00D303BF"/>
    <w:rsid w:val="00D3197C"/>
    <w:rsid w:val="00D31EC4"/>
    <w:rsid w:val="00D32730"/>
    <w:rsid w:val="00D33273"/>
    <w:rsid w:val="00D339CE"/>
    <w:rsid w:val="00D36BD4"/>
    <w:rsid w:val="00D37121"/>
    <w:rsid w:val="00D40608"/>
    <w:rsid w:val="00D40AB0"/>
    <w:rsid w:val="00D41603"/>
    <w:rsid w:val="00D4220B"/>
    <w:rsid w:val="00D42765"/>
    <w:rsid w:val="00D42B7A"/>
    <w:rsid w:val="00D4484F"/>
    <w:rsid w:val="00D4652D"/>
    <w:rsid w:val="00D51ED4"/>
    <w:rsid w:val="00D51FCA"/>
    <w:rsid w:val="00D53A27"/>
    <w:rsid w:val="00D54581"/>
    <w:rsid w:val="00D54C39"/>
    <w:rsid w:val="00D54FC3"/>
    <w:rsid w:val="00D55BB3"/>
    <w:rsid w:val="00D56457"/>
    <w:rsid w:val="00D61533"/>
    <w:rsid w:val="00D61D42"/>
    <w:rsid w:val="00D63A57"/>
    <w:rsid w:val="00D63B2C"/>
    <w:rsid w:val="00D64728"/>
    <w:rsid w:val="00D64C1A"/>
    <w:rsid w:val="00D65E82"/>
    <w:rsid w:val="00D672AF"/>
    <w:rsid w:val="00D673CF"/>
    <w:rsid w:val="00D704BC"/>
    <w:rsid w:val="00D70687"/>
    <w:rsid w:val="00D707E1"/>
    <w:rsid w:val="00D71885"/>
    <w:rsid w:val="00D7365B"/>
    <w:rsid w:val="00D74550"/>
    <w:rsid w:val="00D74A4C"/>
    <w:rsid w:val="00D74EEC"/>
    <w:rsid w:val="00D76188"/>
    <w:rsid w:val="00D77652"/>
    <w:rsid w:val="00D803F6"/>
    <w:rsid w:val="00D82751"/>
    <w:rsid w:val="00D82F02"/>
    <w:rsid w:val="00D83286"/>
    <w:rsid w:val="00D835F4"/>
    <w:rsid w:val="00D839AC"/>
    <w:rsid w:val="00D83F1B"/>
    <w:rsid w:val="00D84798"/>
    <w:rsid w:val="00D855A8"/>
    <w:rsid w:val="00D85B93"/>
    <w:rsid w:val="00D85D6B"/>
    <w:rsid w:val="00D85D7A"/>
    <w:rsid w:val="00D90A3D"/>
    <w:rsid w:val="00D912F5"/>
    <w:rsid w:val="00D922E6"/>
    <w:rsid w:val="00D92EC4"/>
    <w:rsid w:val="00D9379D"/>
    <w:rsid w:val="00D93CD8"/>
    <w:rsid w:val="00D94771"/>
    <w:rsid w:val="00D94CF6"/>
    <w:rsid w:val="00D95A0D"/>
    <w:rsid w:val="00D95D40"/>
    <w:rsid w:val="00D961F6"/>
    <w:rsid w:val="00D96480"/>
    <w:rsid w:val="00D96D6F"/>
    <w:rsid w:val="00DA0152"/>
    <w:rsid w:val="00DA0688"/>
    <w:rsid w:val="00DA0A68"/>
    <w:rsid w:val="00DA1138"/>
    <w:rsid w:val="00DA1603"/>
    <w:rsid w:val="00DA273C"/>
    <w:rsid w:val="00DA3A83"/>
    <w:rsid w:val="00DA3CD0"/>
    <w:rsid w:val="00DA443F"/>
    <w:rsid w:val="00DA4A75"/>
    <w:rsid w:val="00DA5F3D"/>
    <w:rsid w:val="00DA6827"/>
    <w:rsid w:val="00DB031E"/>
    <w:rsid w:val="00DB2D66"/>
    <w:rsid w:val="00DB4DED"/>
    <w:rsid w:val="00DB5C28"/>
    <w:rsid w:val="00DB7B4E"/>
    <w:rsid w:val="00DC0C10"/>
    <w:rsid w:val="00DC206C"/>
    <w:rsid w:val="00DC212E"/>
    <w:rsid w:val="00DC259A"/>
    <w:rsid w:val="00DC3C58"/>
    <w:rsid w:val="00DC3D01"/>
    <w:rsid w:val="00DC433B"/>
    <w:rsid w:val="00DC4D66"/>
    <w:rsid w:val="00DC6566"/>
    <w:rsid w:val="00DC7AC9"/>
    <w:rsid w:val="00DD31BF"/>
    <w:rsid w:val="00DD36EF"/>
    <w:rsid w:val="00DD37E6"/>
    <w:rsid w:val="00DD427B"/>
    <w:rsid w:val="00DD62EF"/>
    <w:rsid w:val="00DD6AE0"/>
    <w:rsid w:val="00DD6DB0"/>
    <w:rsid w:val="00DE1096"/>
    <w:rsid w:val="00DE10AD"/>
    <w:rsid w:val="00DE166E"/>
    <w:rsid w:val="00DE3249"/>
    <w:rsid w:val="00DE3FE8"/>
    <w:rsid w:val="00DE51B3"/>
    <w:rsid w:val="00DE51CD"/>
    <w:rsid w:val="00DE6A74"/>
    <w:rsid w:val="00DE6B1E"/>
    <w:rsid w:val="00DE76C3"/>
    <w:rsid w:val="00DF0847"/>
    <w:rsid w:val="00DF0EE1"/>
    <w:rsid w:val="00DF106E"/>
    <w:rsid w:val="00DF205C"/>
    <w:rsid w:val="00DF28E8"/>
    <w:rsid w:val="00DF61A4"/>
    <w:rsid w:val="00E00838"/>
    <w:rsid w:val="00E0118C"/>
    <w:rsid w:val="00E03362"/>
    <w:rsid w:val="00E033BE"/>
    <w:rsid w:val="00E0350F"/>
    <w:rsid w:val="00E041D1"/>
    <w:rsid w:val="00E0501A"/>
    <w:rsid w:val="00E052F5"/>
    <w:rsid w:val="00E07E56"/>
    <w:rsid w:val="00E109BA"/>
    <w:rsid w:val="00E113C1"/>
    <w:rsid w:val="00E11D10"/>
    <w:rsid w:val="00E128CE"/>
    <w:rsid w:val="00E12F2C"/>
    <w:rsid w:val="00E1357A"/>
    <w:rsid w:val="00E13AB6"/>
    <w:rsid w:val="00E13D57"/>
    <w:rsid w:val="00E1449A"/>
    <w:rsid w:val="00E14557"/>
    <w:rsid w:val="00E14A61"/>
    <w:rsid w:val="00E14E7C"/>
    <w:rsid w:val="00E14EE1"/>
    <w:rsid w:val="00E1549E"/>
    <w:rsid w:val="00E15866"/>
    <w:rsid w:val="00E15DD3"/>
    <w:rsid w:val="00E16C9B"/>
    <w:rsid w:val="00E1728E"/>
    <w:rsid w:val="00E17722"/>
    <w:rsid w:val="00E206D1"/>
    <w:rsid w:val="00E20E59"/>
    <w:rsid w:val="00E21282"/>
    <w:rsid w:val="00E21C85"/>
    <w:rsid w:val="00E22113"/>
    <w:rsid w:val="00E2281E"/>
    <w:rsid w:val="00E237CA"/>
    <w:rsid w:val="00E23C01"/>
    <w:rsid w:val="00E23D0E"/>
    <w:rsid w:val="00E23F3C"/>
    <w:rsid w:val="00E24976"/>
    <w:rsid w:val="00E2613C"/>
    <w:rsid w:val="00E264BB"/>
    <w:rsid w:val="00E26B35"/>
    <w:rsid w:val="00E26BE7"/>
    <w:rsid w:val="00E26D59"/>
    <w:rsid w:val="00E2710B"/>
    <w:rsid w:val="00E27140"/>
    <w:rsid w:val="00E309A4"/>
    <w:rsid w:val="00E31567"/>
    <w:rsid w:val="00E3305B"/>
    <w:rsid w:val="00E33779"/>
    <w:rsid w:val="00E3576F"/>
    <w:rsid w:val="00E35CC1"/>
    <w:rsid w:val="00E35E2E"/>
    <w:rsid w:val="00E366AB"/>
    <w:rsid w:val="00E36C8F"/>
    <w:rsid w:val="00E37BEC"/>
    <w:rsid w:val="00E4006B"/>
    <w:rsid w:val="00E41CAF"/>
    <w:rsid w:val="00E41D9A"/>
    <w:rsid w:val="00E421B5"/>
    <w:rsid w:val="00E42D0E"/>
    <w:rsid w:val="00E42F80"/>
    <w:rsid w:val="00E43002"/>
    <w:rsid w:val="00E435CF"/>
    <w:rsid w:val="00E442A8"/>
    <w:rsid w:val="00E45640"/>
    <w:rsid w:val="00E46902"/>
    <w:rsid w:val="00E469A7"/>
    <w:rsid w:val="00E50A34"/>
    <w:rsid w:val="00E5102E"/>
    <w:rsid w:val="00E53B6C"/>
    <w:rsid w:val="00E53DA7"/>
    <w:rsid w:val="00E540C9"/>
    <w:rsid w:val="00E54642"/>
    <w:rsid w:val="00E54E45"/>
    <w:rsid w:val="00E55A51"/>
    <w:rsid w:val="00E5618C"/>
    <w:rsid w:val="00E56E37"/>
    <w:rsid w:val="00E5713A"/>
    <w:rsid w:val="00E573C2"/>
    <w:rsid w:val="00E575CF"/>
    <w:rsid w:val="00E57EA4"/>
    <w:rsid w:val="00E60404"/>
    <w:rsid w:val="00E60A1D"/>
    <w:rsid w:val="00E60B98"/>
    <w:rsid w:val="00E60C60"/>
    <w:rsid w:val="00E61B74"/>
    <w:rsid w:val="00E62DB7"/>
    <w:rsid w:val="00E649A3"/>
    <w:rsid w:val="00E6587B"/>
    <w:rsid w:val="00E66CF8"/>
    <w:rsid w:val="00E66D26"/>
    <w:rsid w:val="00E67B3C"/>
    <w:rsid w:val="00E707A8"/>
    <w:rsid w:val="00E72152"/>
    <w:rsid w:val="00E72228"/>
    <w:rsid w:val="00E731AE"/>
    <w:rsid w:val="00E73B87"/>
    <w:rsid w:val="00E75A1E"/>
    <w:rsid w:val="00E76C79"/>
    <w:rsid w:val="00E76DEB"/>
    <w:rsid w:val="00E7770F"/>
    <w:rsid w:val="00E778FA"/>
    <w:rsid w:val="00E77A56"/>
    <w:rsid w:val="00E80D30"/>
    <w:rsid w:val="00E82003"/>
    <w:rsid w:val="00E82A1F"/>
    <w:rsid w:val="00E82C4F"/>
    <w:rsid w:val="00E83020"/>
    <w:rsid w:val="00E841A3"/>
    <w:rsid w:val="00E84266"/>
    <w:rsid w:val="00E84284"/>
    <w:rsid w:val="00E84F9D"/>
    <w:rsid w:val="00E85F54"/>
    <w:rsid w:val="00E9116F"/>
    <w:rsid w:val="00E9321E"/>
    <w:rsid w:val="00E93D69"/>
    <w:rsid w:val="00E940CB"/>
    <w:rsid w:val="00E945B9"/>
    <w:rsid w:val="00E947CD"/>
    <w:rsid w:val="00E94F77"/>
    <w:rsid w:val="00E95386"/>
    <w:rsid w:val="00E954DB"/>
    <w:rsid w:val="00E9645B"/>
    <w:rsid w:val="00E97E83"/>
    <w:rsid w:val="00EA00CD"/>
    <w:rsid w:val="00EA11AF"/>
    <w:rsid w:val="00EA1FB4"/>
    <w:rsid w:val="00EA2ABA"/>
    <w:rsid w:val="00EA34A7"/>
    <w:rsid w:val="00EA3E4C"/>
    <w:rsid w:val="00EA3E54"/>
    <w:rsid w:val="00EA41CD"/>
    <w:rsid w:val="00EA4D2F"/>
    <w:rsid w:val="00EA679A"/>
    <w:rsid w:val="00EA6B66"/>
    <w:rsid w:val="00EA7D91"/>
    <w:rsid w:val="00EB00F2"/>
    <w:rsid w:val="00EB102B"/>
    <w:rsid w:val="00EB2099"/>
    <w:rsid w:val="00EB20EA"/>
    <w:rsid w:val="00EB2C8F"/>
    <w:rsid w:val="00EB4798"/>
    <w:rsid w:val="00EB5E0C"/>
    <w:rsid w:val="00EB6108"/>
    <w:rsid w:val="00EB6401"/>
    <w:rsid w:val="00EB6556"/>
    <w:rsid w:val="00EB6D34"/>
    <w:rsid w:val="00EB6DED"/>
    <w:rsid w:val="00EB732C"/>
    <w:rsid w:val="00EB7433"/>
    <w:rsid w:val="00EB7C5D"/>
    <w:rsid w:val="00EC1AE2"/>
    <w:rsid w:val="00EC1FEB"/>
    <w:rsid w:val="00EC2D43"/>
    <w:rsid w:val="00EC2E41"/>
    <w:rsid w:val="00EC3FE6"/>
    <w:rsid w:val="00EC4FEA"/>
    <w:rsid w:val="00EC7AAA"/>
    <w:rsid w:val="00EC7D76"/>
    <w:rsid w:val="00EC7FA2"/>
    <w:rsid w:val="00ED02AD"/>
    <w:rsid w:val="00ED1FA0"/>
    <w:rsid w:val="00ED31E0"/>
    <w:rsid w:val="00ED35D5"/>
    <w:rsid w:val="00ED4B66"/>
    <w:rsid w:val="00ED5C1F"/>
    <w:rsid w:val="00ED7478"/>
    <w:rsid w:val="00EE002C"/>
    <w:rsid w:val="00EE0A18"/>
    <w:rsid w:val="00EE106A"/>
    <w:rsid w:val="00EE189A"/>
    <w:rsid w:val="00EE1D84"/>
    <w:rsid w:val="00EE2AD6"/>
    <w:rsid w:val="00EE3178"/>
    <w:rsid w:val="00EE3421"/>
    <w:rsid w:val="00EE468D"/>
    <w:rsid w:val="00EE4BA1"/>
    <w:rsid w:val="00EE5580"/>
    <w:rsid w:val="00EE670C"/>
    <w:rsid w:val="00EE6755"/>
    <w:rsid w:val="00EE6BF0"/>
    <w:rsid w:val="00EF07CA"/>
    <w:rsid w:val="00EF1824"/>
    <w:rsid w:val="00EF1E11"/>
    <w:rsid w:val="00EF222E"/>
    <w:rsid w:val="00EF23B0"/>
    <w:rsid w:val="00EF34B3"/>
    <w:rsid w:val="00EF3E79"/>
    <w:rsid w:val="00EF55C1"/>
    <w:rsid w:val="00EF59D2"/>
    <w:rsid w:val="00EF6F9F"/>
    <w:rsid w:val="00EF70D1"/>
    <w:rsid w:val="00EF741B"/>
    <w:rsid w:val="00EF76AA"/>
    <w:rsid w:val="00EF7C9B"/>
    <w:rsid w:val="00EF7FEE"/>
    <w:rsid w:val="00F015EB"/>
    <w:rsid w:val="00F0288A"/>
    <w:rsid w:val="00F04220"/>
    <w:rsid w:val="00F04836"/>
    <w:rsid w:val="00F05346"/>
    <w:rsid w:val="00F0597A"/>
    <w:rsid w:val="00F05A41"/>
    <w:rsid w:val="00F069A4"/>
    <w:rsid w:val="00F10066"/>
    <w:rsid w:val="00F105D6"/>
    <w:rsid w:val="00F112CE"/>
    <w:rsid w:val="00F1189F"/>
    <w:rsid w:val="00F11AAC"/>
    <w:rsid w:val="00F126F3"/>
    <w:rsid w:val="00F12D47"/>
    <w:rsid w:val="00F13947"/>
    <w:rsid w:val="00F15398"/>
    <w:rsid w:val="00F164DF"/>
    <w:rsid w:val="00F16C87"/>
    <w:rsid w:val="00F16CCB"/>
    <w:rsid w:val="00F20435"/>
    <w:rsid w:val="00F21A2A"/>
    <w:rsid w:val="00F223F9"/>
    <w:rsid w:val="00F22689"/>
    <w:rsid w:val="00F22D0D"/>
    <w:rsid w:val="00F254C4"/>
    <w:rsid w:val="00F2683C"/>
    <w:rsid w:val="00F27361"/>
    <w:rsid w:val="00F2774E"/>
    <w:rsid w:val="00F304A5"/>
    <w:rsid w:val="00F307E7"/>
    <w:rsid w:val="00F30BEC"/>
    <w:rsid w:val="00F318F1"/>
    <w:rsid w:val="00F33899"/>
    <w:rsid w:val="00F34668"/>
    <w:rsid w:val="00F359BA"/>
    <w:rsid w:val="00F3762A"/>
    <w:rsid w:val="00F3793E"/>
    <w:rsid w:val="00F40A3D"/>
    <w:rsid w:val="00F413CF"/>
    <w:rsid w:val="00F425EC"/>
    <w:rsid w:val="00F42C4B"/>
    <w:rsid w:val="00F440E7"/>
    <w:rsid w:val="00F440EF"/>
    <w:rsid w:val="00F457D1"/>
    <w:rsid w:val="00F45960"/>
    <w:rsid w:val="00F47221"/>
    <w:rsid w:val="00F476D6"/>
    <w:rsid w:val="00F51AC8"/>
    <w:rsid w:val="00F5252F"/>
    <w:rsid w:val="00F52C08"/>
    <w:rsid w:val="00F532E0"/>
    <w:rsid w:val="00F538C9"/>
    <w:rsid w:val="00F54206"/>
    <w:rsid w:val="00F54B2B"/>
    <w:rsid w:val="00F54B78"/>
    <w:rsid w:val="00F54BE7"/>
    <w:rsid w:val="00F54D05"/>
    <w:rsid w:val="00F56584"/>
    <w:rsid w:val="00F570AC"/>
    <w:rsid w:val="00F63256"/>
    <w:rsid w:val="00F640CD"/>
    <w:rsid w:val="00F649A2"/>
    <w:rsid w:val="00F64C8A"/>
    <w:rsid w:val="00F64DA6"/>
    <w:rsid w:val="00F660D3"/>
    <w:rsid w:val="00F66423"/>
    <w:rsid w:val="00F671ED"/>
    <w:rsid w:val="00F67A6F"/>
    <w:rsid w:val="00F67C45"/>
    <w:rsid w:val="00F70ABE"/>
    <w:rsid w:val="00F72E59"/>
    <w:rsid w:val="00F73EA9"/>
    <w:rsid w:val="00F76BAB"/>
    <w:rsid w:val="00F77A1E"/>
    <w:rsid w:val="00F77CE1"/>
    <w:rsid w:val="00F80799"/>
    <w:rsid w:val="00F812C6"/>
    <w:rsid w:val="00F815AA"/>
    <w:rsid w:val="00F82A3D"/>
    <w:rsid w:val="00F82C38"/>
    <w:rsid w:val="00F84CF7"/>
    <w:rsid w:val="00F8536A"/>
    <w:rsid w:val="00F859CB"/>
    <w:rsid w:val="00F87BB0"/>
    <w:rsid w:val="00F911A8"/>
    <w:rsid w:val="00F91793"/>
    <w:rsid w:val="00F92401"/>
    <w:rsid w:val="00F92645"/>
    <w:rsid w:val="00F92D03"/>
    <w:rsid w:val="00F93155"/>
    <w:rsid w:val="00F94D0C"/>
    <w:rsid w:val="00FA194E"/>
    <w:rsid w:val="00FA2CFC"/>
    <w:rsid w:val="00FA3F23"/>
    <w:rsid w:val="00FA482C"/>
    <w:rsid w:val="00FA520F"/>
    <w:rsid w:val="00FA54E0"/>
    <w:rsid w:val="00FA7FF0"/>
    <w:rsid w:val="00FB267B"/>
    <w:rsid w:val="00FB2B40"/>
    <w:rsid w:val="00FB30FF"/>
    <w:rsid w:val="00FB315C"/>
    <w:rsid w:val="00FB3CDC"/>
    <w:rsid w:val="00FB5A9B"/>
    <w:rsid w:val="00FB60B3"/>
    <w:rsid w:val="00FB6948"/>
    <w:rsid w:val="00FC2C1F"/>
    <w:rsid w:val="00FC3034"/>
    <w:rsid w:val="00FC3380"/>
    <w:rsid w:val="00FC3A9D"/>
    <w:rsid w:val="00FC3F88"/>
    <w:rsid w:val="00FC51B6"/>
    <w:rsid w:val="00FC6FA3"/>
    <w:rsid w:val="00FD02CD"/>
    <w:rsid w:val="00FD1167"/>
    <w:rsid w:val="00FD2F1F"/>
    <w:rsid w:val="00FD4ADD"/>
    <w:rsid w:val="00FD4DD3"/>
    <w:rsid w:val="00FD5FEA"/>
    <w:rsid w:val="00FD66D8"/>
    <w:rsid w:val="00FD7FF7"/>
    <w:rsid w:val="00FE202E"/>
    <w:rsid w:val="00FE2350"/>
    <w:rsid w:val="00FE2742"/>
    <w:rsid w:val="00FE2898"/>
    <w:rsid w:val="00FE39BE"/>
    <w:rsid w:val="00FE3B15"/>
    <w:rsid w:val="00FE460E"/>
    <w:rsid w:val="00FE478A"/>
    <w:rsid w:val="00FE6730"/>
    <w:rsid w:val="00FE6EE2"/>
    <w:rsid w:val="00FE7CFE"/>
    <w:rsid w:val="00FF0FC9"/>
    <w:rsid w:val="00FF1014"/>
    <w:rsid w:val="00FF1177"/>
    <w:rsid w:val="00FF3228"/>
    <w:rsid w:val="00FF3E8B"/>
    <w:rsid w:val="00FF43B2"/>
    <w:rsid w:val="00FF453F"/>
    <w:rsid w:val="00FF485F"/>
    <w:rsid w:val="00FF49B8"/>
    <w:rsid w:val="00FF59B1"/>
    <w:rsid w:val="00FF5D1F"/>
    <w:rsid w:val="00FF64BA"/>
    <w:rsid w:val="00FF76AA"/>
    <w:rsid w:val="00FF7D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DDDD3"/>
  <w15:docId w15:val="{FAC06654-492C-4A3B-9790-5F954764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D4B"/>
    <w:pPr>
      <w:ind w:left="720"/>
      <w:contextualSpacing/>
    </w:pPr>
  </w:style>
  <w:style w:type="table" w:styleId="TableGrid">
    <w:name w:val="Table Grid"/>
    <w:basedOn w:val="TableNormal"/>
    <w:uiPriority w:val="59"/>
    <w:rsid w:val="002D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D0D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F7C2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7F7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C26"/>
    <w:rPr>
      <w:rFonts w:ascii="Tahoma" w:hAnsi="Tahoma" w:cs="Tahoma"/>
      <w:sz w:val="16"/>
      <w:szCs w:val="16"/>
    </w:rPr>
  </w:style>
  <w:style w:type="character" w:styleId="CommentReference">
    <w:name w:val="annotation reference"/>
    <w:basedOn w:val="DefaultParagraphFont"/>
    <w:uiPriority w:val="99"/>
    <w:semiHidden/>
    <w:unhideWhenUsed/>
    <w:rsid w:val="00061A11"/>
    <w:rPr>
      <w:sz w:val="16"/>
      <w:szCs w:val="16"/>
    </w:rPr>
  </w:style>
  <w:style w:type="paragraph" w:styleId="CommentText">
    <w:name w:val="annotation text"/>
    <w:basedOn w:val="Normal"/>
    <w:link w:val="CommentTextChar"/>
    <w:uiPriority w:val="99"/>
    <w:unhideWhenUsed/>
    <w:rsid w:val="00061A11"/>
    <w:pPr>
      <w:spacing w:line="240" w:lineRule="auto"/>
    </w:pPr>
    <w:rPr>
      <w:sz w:val="20"/>
      <w:szCs w:val="20"/>
    </w:rPr>
  </w:style>
  <w:style w:type="character" w:customStyle="1" w:styleId="CommentTextChar">
    <w:name w:val="Comment Text Char"/>
    <w:basedOn w:val="DefaultParagraphFont"/>
    <w:link w:val="CommentText"/>
    <w:uiPriority w:val="99"/>
    <w:rsid w:val="00061A11"/>
    <w:rPr>
      <w:sz w:val="20"/>
      <w:szCs w:val="20"/>
    </w:rPr>
  </w:style>
  <w:style w:type="paragraph" w:styleId="NoSpacing">
    <w:name w:val="No Spacing"/>
    <w:uiPriority w:val="1"/>
    <w:qFormat/>
    <w:rsid w:val="00AA49C0"/>
    <w:pPr>
      <w:spacing w:after="0" w:line="240" w:lineRule="auto"/>
    </w:pPr>
  </w:style>
  <w:style w:type="paragraph" w:styleId="CommentSubject">
    <w:name w:val="annotation subject"/>
    <w:basedOn w:val="CommentText"/>
    <w:next w:val="CommentText"/>
    <w:link w:val="CommentSubjectChar"/>
    <w:uiPriority w:val="99"/>
    <w:semiHidden/>
    <w:unhideWhenUsed/>
    <w:rsid w:val="00A674FD"/>
    <w:rPr>
      <w:b/>
      <w:bCs/>
    </w:rPr>
  </w:style>
  <w:style w:type="character" w:customStyle="1" w:styleId="CommentSubjectChar">
    <w:name w:val="Comment Subject Char"/>
    <w:basedOn w:val="CommentTextChar"/>
    <w:link w:val="CommentSubject"/>
    <w:uiPriority w:val="99"/>
    <w:semiHidden/>
    <w:rsid w:val="00A674FD"/>
    <w:rPr>
      <w:b/>
      <w:bCs/>
      <w:sz w:val="20"/>
      <w:szCs w:val="20"/>
    </w:rPr>
  </w:style>
  <w:style w:type="paragraph" w:styleId="NormalWeb">
    <w:name w:val="Normal (Web)"/>
    <w:basedOn w:val="Normal"/>
    <w:uiPriority w:val="99"/>
    <w:semiHidden/>
    <w:unhideWhenUsed/>
    <w:rsid w:val="00303131"/>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303131"/>
    <w:rPr>
      <w:color w:val="0000FF"/>
      <w:u w:val="single"/>
    </w:rPr>
  </w:style>
  <w:style w:type="character" w:customStyle="1" w:styleId="apple-converted-space">
    <w:name w:val="apple-converted-space"/>
    <w:basedOn w:val="DefaultParagraphFont"/>
    <w:rsid w:val="00303131"/>
  </w:style>
  <w:style w:type="paragraph" w:styleId="Header">
    <w:name w:val="header"/>
    <w:basedOn w:val="Normal"/>
    <w:link w:val="HeaderChar"/>
    <w:uiPriority w:val="99"/>
    <w:unhideWhenUsed/>
    <w:rsid w:val="00AA6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A2B"/>
  </w:style>
  <w:style w:type="paragraph" w:styleId="Footer">
    <w:name w:val="footer"/>
    <w:basedOn w:val="Normal"/>
    <w:link w:val="FooterChar"/>
    <w:uiPriority w:val="99"/>
    <w:unhideWhenUsed/>
    <w:rsid w:val="00AA6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A2B"/>
  </w:style>
  <w:style w:type="table" w:styleId="LightList">
    <w:name w:val="Light List"/>
    <w:basedOn w:val="TableNormal"/>
    <w:uiPriority w:val="61"/>
    <w:rsid w:val="00957D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57D7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2">
    <w:name w:val="Light Grid Accent 2"/>
    <w:basedOn w:val="TableNormal"/>
    <w:uiPriority w:val="62"/>
    <w:rsid w:val="00957D7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957D7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2-Accent6">
    <w:name w:val="Medium Shading 2 Accent 6"/>
    <w:basedOn w:val="TableNormal"/>
    <w:uiPriority w:val="64"/>
    <w:rsid w:val="00957D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957D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7C20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934">
      <w:bodyDiv w:val="1"/>
      <w:marLeft w:val="0"/>
      <w:marRight w:val="0"/>
      <w:marTop w:val="0"/>
      <w:marBottom w:val="0"/>
      <w:divBdr>
        <w:top w:val="none" w:sz="0" w:space="0" w:color="auto"/>
        <w:left w:val="none" w:sz="0" w:space="0" w:color="auto"/>
        <w:bottom w:val="none" w:sz="0" w:space="0" w:color="auto"/>
        <w:right w:val="none" w:sz="0" w:space="0" w:color="auto"/>
      </w:divBdr>
      <w:divsChild>
        <w:div w:id="1837114938">
          <w:marLeft w:val="0"/>
          <w:marRight w:val="0"/>
          <w:marTop w:val="0"/>
          <w:marBottom w:val="0"/>
          <w:divBdr>
            <w:top w:val="none" w:sz="0" w:space="0" w:color="auto"/>
            <w:left w:val="none" w:sz="0" w:space="0" w:color="auto"/>
            <w:bottom w:val="none" w:sz="0" w:space="0" w:color="auto"/>
            <w:right w:val="none" w:sz="0" w:space="0" w:color="auto"/>
          </w:divBdr>
          <w:divsChild>
            <w:div w:id="1223832439">
              <w:marLeft w:val="0"/>
              <w:marRight w:val="0"/>
              <w:marTop w:val="0"/>
              <w:marBottom w:val="0"/>
              <w:divBdr>
                <w:top w:val="none" w:sz="0" w:space="0" w:color="auto"/>
                <w:left w:val="none" w:sz="0" w:space="0" w:color="auto"/>
                <w:bottom w:val="none" w:sz="0" w:space="0" w:color="auto"/>
                <w:right w:val="none" w:sz="0" w:space="0" w:color="auto"/>
              </w:divBdr>
              <w:divsChild>
                <w:div w:id="257253635">
                  <w:marLeft w:val="0"/>
                  <w:marRight w:val="0"/>
                  <w:marTop w:val="0"/>
                  <w:marBottom w:val="0"/>
                  <w:divBdr>
                    <w:top w:val="none" w:sz="0" w:space="0" w:color="auto"/>
                    <w:left w:val="none" w:sz="0" w:space="0" w:color="auto"/>
                    <w:bottom w:val="none" w:sz="0" w:space="0" w:color="auto"/>
                    <w:right w:val="none" w:sz="0" w:space="0" w:color="auto"/>
                  </w:divBdr>
                  <w:divsChild>
                    <w:div w:id="18959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437">
      <w:bodyDiv w:val="1"/>
      <w:marLeft w:val="0"/>
      <w:marRight w:val="0"/>
      <w:marTop w:val="0"/>
      <w:marBottom w:val="0"/>
      <w:divBdr>
        <w:top w:val="none" w:sz="0" w:space="0" w:color="auto"/>
        <w:left w:val="none" w:sz="0" w:space="0" w:color="auto"/>
        <w:bottom w:val="none" w:sz="0" w:space="0" w:color="auto"/>
        <w:right w:val="none" w:sz="0" w:space="0" w:color="auto"/>
      </w:divBdr>
    </w:div>
    <w:div w:id="485173843">
      <w:bodyDiv w:val="1"/>
      <w:marLeft w:val="0"/>
      <w:marRight w:val="0"/>
      <w:marTop w:val="0"/>
      <w:marBottom w:val="0"/>
      <w:divBdr>
        <w:top w:val="none" w:sz="0" w:space="0" w:color="auto"/>
        <w:left w:val="none" w:sz="0" w:space="0" w:color="auto"/>
        <w:bottom w:val="none" w:sz="0" w:space="0" w:color="auto"/>
        <w:right w:val="none" w:sz="0" w:space="0" w:color="auto"/>
      </w:divBdr>
    </w:div>
    <w:div w:id="927151517">
      <w:bodyDiv w:val="1"/>
      <w:marLeft w:val="0"/>
      <w:marRight w:val="0"/>
      <w:marTop w:val="0"/>
      <w:marBottom w:val="0"/>
      <w:divBdr>
        <w:top w:val="none" w:sz="0" w:space="0" w:color="auto"/>
        <w:left w:val="none" w:sz="0" w:space="0" w:color="auto"/>
        <w:bottom w:val="none" w:sz="0" w:space="0" w:color="auto"/>
        <w:right w:val="none" w:sz="0" w:space="0" w:color="auto"/>
      </w:divBdr>
    </w:div>
    <w:div w:id="941569754">
      <w:bodyDiv w:val="1"/>
      <w:marLeft w:val="0"/>
      <w:marRight w:val="0"/>
      <w:marTop w:val="0"/>
      <w:marBottom w:val="0"/>
      <w:divBdr>
        <w:top w:val="none" w:sz="0" w:space="0" w:color="auto"/>
        <w:left w:val="none" w:sz="0" w:space="0" w:color="auto"/>
        <w:bottom w:val="none" w:sz="0" w:space="0" w:color="auto"/>
        <w:right w:val="none" w:sz="0" w:space="0" w:color="auto"/>
      </w:divBdr>
    </w:div>
    <w:div w:id="1222212989">
      <w:bodyDiv w:val="1"/>
      <w:marLeft w:val="0"/>
      <w:marRight w:val="0"/>
      <w:marTop w:val="0"/>
      <w:marBottom w:val="0"/>
      <w:divBdr>
        <w:top w:val="none" w:sz="0" w:space="0" w:color="auto"/>
        <w:left w:val="none" w:sz="0" w:space="0" w:color="auto"/>
        <w:bottom w:val="none" w:sz="0" w:space="0" w:color="auto"/>
        <w:right w:val="none" w:sz="0" w:space="0" w:color="auto"/>
      </w:divBdr>
    </w:div>
    <w:div w:id="1244994455">
      <w:bodyDiv w:val="1"/>
      <w:marLeft w:val="0"/>
      <w:marRight w:val="0"/>
      <w:marTop w:val="0"/>
      <w:marBottom w:val="0"/>
      <w:divBdr>
        <w:top w:val="none" w:sz="0" w:space="0" w:color="auto"/>
        <w:left w:val="none" w:sz="0" w:space="0" w:color="auto"/>
        <w:bottom w:val="none" w:sz="0" w:space="0" w:color="auto"/>
        <w:right w:val="none" w:sz="0" w:space="0" w:color="auto"/>
      </w:divBdr>
    </w:div>
    <w:div w:id="158191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DC1E-414A-45D5-A5C4-3B87AEC71421}">
  <ds:schemaRefs>
    <ds:schemaRef ds:uri="http://schemas.openxmlformats.org/officeDocument/2006/bibliography"/>
  </ds:schemaRefs>
</ds:datastoreItem>
</file>

<file path=customXml/itemProps2.xml><?xml version="1.0" encoding="utf-8"?>
<ds:datastoreItem xmlns:ds="http://schemas.openxmlformats.org/officeDocument/2006/customXml" ds:itemID="{7D375E99-A6F9-4EAF-8BA2-CE479A99B2B8}">
  <ds:schemaRefs>
    <ds:schemaRef ds:uri="http://schemas.openxmlformats.org/officeDocument/2006/bibliography"/>
  </ds:schemaRefs>
</ds:datastoreItem>
</file>

<file path=customXml/itemProps3.xml><?xml version="1.0" encoding="utf-8"?>
<ds:datastoreItem xmlns:ds="http://schemas.openxmlformats.org/officeDocument/2006/customXml" ds:itemID="{7E666D4A-9066-4879-9D42-3204E0FF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23644</Words>
  <Characters>134775</Characters>
  <Application>Microsoft Office Word</Application>
  <DocSecurity>4</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158103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Leightley</dc:creator>
  <cp:lastModifiedBy>Goodwin, Laura</cp:lastModifiedBy>
  <cp:revision>2</cp:revision>
  <dcterms:created xsi:type="dcterms:W3CDTF">2018-10-30T14:33:00Z</dcterms:created>
  <dcterms:modified xsi:type="dcterms:W3CDTF">2018-10-30T14:33:00Z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http://www.zotero.org/styles/age</vt:lpwstr>
  </property>
  <property fmtid="{D5CDD505-2E9C-101B-9397-08002B2CF9AE}" pid="4" name="Mendeley Recent Style Name 0_1">
    <vt:lpwstr>AGE</vt:lpwstr>
  </property>
  <property fmtid="{D5CDD505-2E9C-101B-9397-08002B2CF9AE}" pid="5" name="Mendeley Recent Style Id 1_1">
    <vt:lpwstr>http://www.zotero.org/styles/american-medical-association</vt:lpwstr>
  </property>
  <property fmtid="{D5CDD505-2E9C-101B-9397-08002B2CF9AE}" pid="6" name="Mendeley Recent Style Name 1_1">
    <vt:lpwstr>American Medical Association</vt:lpwstr>
  </property>
  <property fmtid="{D5CDD505-2E9C-101B-9397-08002B2CF9AE}" pid="7" name="Mendeley Recent Style Id 2_1">
    <vt:lpwstr>http://www.zotero.org/styles/american-political-science-association</vt:lpwstr>
  </property>
  <property fmtid="{D5CDD505-2E9C-101B-9397-08002B2CF9AE}" pid="8" name="Mendeley Recent Style Name 2_1">
    <vt:lpwstr>American Political Science Association</vt:lpwstr>
  </property>
  <property fmtid="{D5CDD505-2E9C-101B-9397-08002B2CF9AE}" pid="9" name="Mendeley Recent Style Id 3_1">
    <vt:lpwstr>http://www.zotero.org/styles/apa</vt:lpwstr>
  </property>
  <property fmtid="{D5CDD505-2E9C-101B-9397-08002B2CF9AE}" pid="10" name="Mendeley Recent Style Name 3_1">
    <vt:lpwstr>American Psychological Association 6th edition</vt:lpwstr>
  </property>
  <property fmtid="{D5CDD505-2E9C-101B-9397-08002B2CF9AE}" pid="11" name="Mendeley Recent Style Id 4_1">
    <vt:lpwstr>http://www.zotero.org/styles/american-sociological-association</vt:lpwstr>
  </property>
  <property fmtid="{D5CDD505-2E9C-101B-9397-08002B2CF9AE}" pid="12" name="Mendeley Recent Style Name 4_1">
    <vt:lpwstr>American Sociological Association</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16th edition (author-date)</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7th edition</vt:lpwstr>
  </property>
  <property fmtid="{D5CDD505-2E9C-101B-9397-08002B2CF9AE}" pid="23" name="Mendeley Unique User Id_1">
    <vt:lpwstr>473c5bfe-07b5-3b87-b620-e91c425ec1a8</vt:lpwstr>
  </property>
  <property fmtid="{D5CDD505-2E9C-101B-9397-08002B2CF9AE}" pid="24" name="Mendeley Citation Style_1">
    <vt:lpwstr>http://www.zotero.org/styles/ieee</vt:lpwstr>
  </property>
</Properties>
</file>