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A6FCC" w14:textId="59CFBC1B" w:rsidR="00B40B16" w:rsidRPr="00622B6B" w:rsidRDefault="009D7A58" w:rsidP="00FB5222">
      <w:pPr>
        <w:spacing w:line="48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China’s Influence on Non-Trade Concerns in International Economic Law</w:t>
      </w:r>
      <w:r w:rsidR="00BA243B" w:rsidRPr="00622B6B">
        <w:rPr>
          <w:rFonts w:ascii="Times New Roman" w:hAnsi="Times New Roman" w:cs="Times New Roman"/>
        </w:rPr>
        <w:t xml:space="preserve">. By </w:t>
      </w:r>
      <w:r>
        <w:rPr>
          <w:rFonts w:ascii="Times New Roman" w:hAnsi="Times New Roman" w:cs="Times New Roman"/>
        </w:rPr>
        <w:t>Paolo Davide Farah and Elena Cima (eds)</w:t>
      </w:r>
      <w:r w:rsidR="00BA243B" w:rsidRPr="00622B6B">
        <w:rPr>
          <w:rFonts w:ascii="Times New Roman" w:hAnsi="Times New Roman" w:cs="Times New Roman"/>
        </w:rPr>
        <w:t xml:space="preserve">. </w:t>
      </w:r>
      <w:r w:rsidR="0072262A" w:rsidRPr="00622B6B">
        <w:rPr>
          <w:rFonts w:ascii="Times New Roman" w:hAnsi="Times New Roman" w:cs="Times New Roman"/>
          <w:i/>
        </w:rPr>
        <w:t xml:space="preserve"> </w:t>
      </w:r>
      <w:r w:rsidR="00BA243B" w:rsidRPr="00622B6B">
        <w:rPr>
          <w:rFonts w:ascii="Times New Roman" w:hAnsi="Times New Roman" w:cs="Times New Roman"/>
        </w:rPr>
        <w:t xml:space="preserve">Abingdon: </w:t>
      </w:r>
      <w:r w:rsidR="003F24A2" w:rsidRPr="00622B6B">
        <w:rPr>
          <w:rFonts w:ascii="Times New Roman" w:hAnsi="Times New Roman" w:cs="Times New Roman"/>
        </w:rPr>
        <w:t>Routledge</w:t>
      </w:r>
      <w:r>
        <w:rPr>
          <w:rFonts w:ascii="Times New Roman" w:hAnsi="Times New Roman" w:cs="Times New Roman"/>
        </w:rPr>
        <w:t>, 2016</w:t>
      </w:r>
      <w:r w:rsidR="00EF545D" w:rsidRPr="00622B6B">
        <w:rPr>
          <w:rFonts w:ascii="Times New Roman" w:hAnsi="Times New Roman" w:cs="Times New Roman"/>
        </w:rPr>
        <w:t>.</w:t>
      </w:r>
      <w:r w:rsidR="00950542" w:rsidRPr="00622B6B">
        <w:rPr>
          <w:rFonts w:ascii="Times New Roman" w:hAnsi="Times New Roman" w:cs="Times New Roman"/>
        </w:rPr>
        <w:t xml:space="preserve"> £</w:t>
      </w:r>
      <w:r>
        <w:rPr>
          <w:rFonts w:ascii="Times New Roman" w:hAnsi="Times New Roman" w:cs="Times New Roman"/>
        </w:rPr>
        <w:t>115</w:t>
      </w:r>
      <w:r w:rsidR="00950542" w:rsidRPr="00622B6B">
        <w:rPr>
          <w:rFonts w:ascii="Times New Roman" w:hAnsi="Times New Roman" w:cs="Times New Roman"/>
        </w:rPr>
        <w:t>.00</w:t>
      </w:r>
      <w:r w:rsidR="00EF545D" w:rsidRPr="00622B6B">
        <w:rPr>
          <w:rFonts w:ascii="Times New Roman" w:hAnsi="Times New Roman" w:cs="Times New Roman"/>
        </w:rPr>
        <w:t xml:space="preserve"> ISBN 978</w:t>
      </w:r>
      <w:r>
        <w:rPr>
          <w:rFonts w:ascii="Times New Roman" w:hAnsi="Times New Roman" w:cs="Times New Roman"/>
        </w:rPr>
        <w:t>1409448488, 548</w:t>
      </w:r>
      <w:r w:rsidR="00BA243B" w:rsidRPr="00622B6B">
        <w:rPr>
          <w:rFonts w:ascii="Times New Roman" w:hAnsi="Times New Roman" w:cs="Times New Roman"/>
        </w:rPr>
        <w:t>pp.</w:t>
      </w:r>
    </w:p>
    <w:p w14:paraId="10B764A2" w14:textId="77777777" w:rsidR="003F24A2" w:rsidRPr="00622B6B" w:rsidRDefault="003F24A2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36CD0191" w14:textId="1AB28185" w:rsidR="00502E97" w:rsidRPr="00622B6B" w:rsidRDefault="00502E97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73724D78" w14:textId="0BF5456B" w:rsidR="000A26EC" w:rsidRDefault="00BB4CDB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increasing importance of China’s role in the global economy is hard to </w:t>
      </w:r>
      <w:r w:rsidR="008A7BA9">
        <w:rPr>
          <w:rFonts w:ascii="Times New Roman" w:hAnsi="Times New Roman" w:cs="Times New Roman"/>
        </w:rPr>
        <w:t>overstate</w:t>
      </w:r>
      <w:r>
        <w:rPr>
          <w:rFonts w:ascii="Times New Roman" w:hAnsi="Times New Roman" w:cs="Times New Roman"/>
        </w:rPr>
        <w:t xml:space="preserve">. As the world’s largest economy in terms purchasing power parity, and second largest in terms of nominal gross domestic product, China’s domestic and international policies </w:t>
      </w:r>
      <w:r w:rsidR="008A7BA9">
        <w:rPr>
          <w:rFonts w:ascii="Times New Roman" w:hAnsi="Times New Roman" w:cs="Times New Roman"/>
        </w:rPr>
        <w:t xml:space="preserve">have a </w:t>
      </w:r>
      <w:r>
        <w:rPr>
          <w:rFonts w:ascii="Times New Roman" w:hAnsi="Times New Roman" w:cs="Times New Roman"/>
        </w:rPr>
        <w:t xml:space="preserve">considerable </w:t>
      </w:r>
      <w:r w:rsidR="008A7BA9">
        <w:rPr>
          <w:rFonts w:ascii="Times New Roman" w:hAnsi="Times New Roman" w:cs="Times New Roman"/>
        </w:rPr>
        <w:t xml:space="preserve">impact on </w:t>
      </w:r>
      <w:r w:rsidR="007811BF">
        <w:rPr>
          <w:rFonts w:ascii="Times New Roman" w:hAnsi="Times New Roman" w:cs="Times New Roman"/>
        </w:rPr>
        <w:t>its trading partners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China’s integration into the global trading system is most explicitly illustrated by its membership of the World Trade Organization (WTO) and rise to a lead exporter and importe</w:t>
      </w:r>
      <w:r w:rsidR="006C78B7">
        <w:rPr>
          <w:rFonts w:ascii="Times New Roman" w:hAnsi="Times New Roman" w:cs="Times New Roman"/>
        </w:rPr>
        <w:t>r of foreign direct investment.</w:t>
      </w:r>
      <w:r w:rsidR="00D8615B">
        <w:rPr>
          <w:rStyle w:val="FootnoteReference"/>
          <w:rFonts w:ascii="Times New Roman" w:hAnsi="Times New Roman" w:cs="Times New Roman"/>
        </w:rPr>
        <w:footnoteReference w:id="2"/>
      </w:r>
      <w:r w:rsidR="006C78B7">
        <w:rPr>
          <w:rFonts w:ascii="Times New Roman" w:hAnsi="Times New Roman" w:cs="Times New Roman"/>
        </w:rPr>
        <w:t xml:space="preserve"> Yet, detailed studies on the panoply of issues that China’s trade and investment policies </w:t>
      </w:r>
      <w:r w:rsidR="00BD4006">
        <w:rPr>
          <w:rFonts w:ascii="Times New Roman" w:hAnsi="Times New Roman" w:cs="Times New Roman"/>
        </w:rPr>
        <w:t xml:space="preserve">raise </w:t>
      </w:r>
      <w:r w:rsidR="006C78B7">
        <w:rPr>
          <w:rFonts w:ascii="Times New Roman" w:hAnsi="Times New Roman" w:cs="Times New Roman"/>
        </w:rPr>
        <w:t>are fewer than expected.</w:t>
      </w:r>
      <w:r w:rsidR="00BD4006">
        <w:rPr>
          <w:rStyle w:val="FootnoteReference"/>
          <w:rFonts w:ascii="Times New Roman" w:hAnsi="Times New Roman" w:cs="Times New Roman"/>
        </w:rPr>
        <w:footnoteReference w:id="3"/>
      </w:r>
      <w:r w:rsidR="006C78B7">
        <w:rPr>
          <w:rFonts w:ascii="Times New Roman" w:hAnsi="Times New Roman" w:cs="Times New Roman"/>
        </w:rPr>
        <w:t xml:space="preserve"> It is into this space that </w:t>
      </w:r>
      <w:r w:rsidR="006C78B7" w:rsidRPr="006C78B7">
        <w:rPr>
          <w:rFonts w:ascii="Times New Roman" w:hAnsi="Times New Roman" w:cs="Times New Roman"/>
          <w:i/>
        </w:rPr>
        <w:t>China’s Influence on Non-Trade Concerns in International Economic Law</w:t>
      </w:r>
      <w:r w:rsidR="006C78B7">
        <w:rPr>
          <w:rFonts w:ascii="Times New Roman" w:hAnsi="Times New Roman" w:cs="Times New Roman"/>
        </w:rPr>
        <w:t xml:space="preserve"> steps. </w:t>
      </w:r>
    </w:p>
    <w:p w14:paraId="078B5BC7" w14:textId="77777777" w:rsidR="000A26EC" w:rsidRDefault="000A26EC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422E7E8C" w14:textId="7665CB46" w:rsidR="0062169D" w:rsidRDefault="000A26EC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</w:t>
      </w:r>
      <w:r w:rsidR="006C78B7">
        <w:rPr>
          <w:rFonts w:ascii="Times New Roman" w:hAnsi="Times New Roman" w:cs="Times New Roman"/>
        </w:rPr>
        <w:t xml:space="preserve">n edited collection of </w:t>
      </w:r>
      <w:r w:rsidR="000A010E">
        <w:rPr>
          <w:rFonts w:ascii="Times New Roman" w:hAnsi="Times New Roman" w:cs="Times New Roman"/>
        </w:rPr>
        <w:t>thirty-seven</w:t>
      </w:r>
      <w:r w:rsidR="006C78B7">
        <w:rPr>
          <w:rFonts w:ascii="Times New Roman" w:hAnsi="Times New Roman" w:cs="Times New Roman"/>
        </w:rPr>
        <w:t xml:space="preserve"> chapters, four </w:t>
      </w:r>
      <w:r w:rsidR="000A010E">
        <w:rPr>
          <w:rFonts w:ascii="Times New Roman" w:hAnsi="Times New Roman" w:cs="Times New Roman"/>
        </w:rPr>
        <w:t>forewords</w:t>
      </w:r>
      <w:r w:rsidR="006C78B7">
        <w:rPr>
          <w:rFonts w:ascii="Times New Roman" w:hAnsi="Times New Roman" w:cs="Times New Roman"/>
        </w:rPr>
        <w:t xml:space="preserve">, and over five hundred pages, </w:t>
      </w:r>
      <w:r w:rsidR="006001A0">
        <w:rPr>
          <w:rFonts w:ascii="Times New Roman" w:hAnsi="Times New Roman" w:cs="Times New Roman"/>
        </w:rPr>
        <w:t xml:space="preserve">this book </w:t>
      </w:r>
      <w:r w:rsidR="006C78B7">
        <w:rPr>
          <w:rFonts w:ascii="Times New Roman" w:hAnsi="Times New Roman" w:cs="Times New Roman"/>
        </w:rPr>
        <w:t xml:space="preserve">offers a cornucopia of perspectives on China’s international economic policies and their relation to numerous </w:t>
      </w:r>
      <w:r w:rsidR="00BF1E4B">
        <w:rPr>
          <w:rFonts w:ascii="Times New Roman" w:hAnsi="Times New Roman" w:cs="Times New Roman"/>
        </w:rPr>
        <w:t xml:space="preserve">non-trade concerns. </w:t>
      </w:r>
      <w:r>
        <w:rPr>
          <w:rFonts w:ascii="Times New Roman" w:hAnsi="Times New Roman" w:cs="Times New Roman"/>
        </w:rPr>
        <w:t xml:space="preserve">The book is structured into four general Parts </w:t>
      </w:r>
      <w:r>
        <w:rPr>
          <w:rFonts w:ascii="Times New Roman" w:hAnsi="Times New Roman" w:cs="Times New Roman"/>
        </w:rPr>
        <w:lastRenderedPageBreak/>
        <w:t xml:space="preserve">examining respectively: public policy objectives and the role of State and non-State actors; sustainable development and environmental challenges; fundamental rights and cultural diversity; and public health and food safety. </w:t>
      </w:r>
      <w:r w:rsidR="00503B17">
        <w:rPr>
          <w:rFonts w:ascii="Times New Roman" w:hAnsi="Times New Roman" w:cs="Times New Roman"/>
        </w:rPr>
        <w:t xml:space="preserve">The book </w:t>
      </w:r>
      <w:r w:rsidR="000A010E">
        <w:rPr>
          <w:rFonts w:ascii="Times New Roman" w:hAnsi="Times New Roman" w:cs="Times New Roman"/>
        </w:rPr>
        <w:t>focuses</w:t>
      </w:r>
      <w:r w:rsidR="00503B17">
        <w:rPr>
          <w:rFonts w:ascii="Times New Roman" w:hAnsi="Times New Roman" w:cs="Times New Roman"/>
        </w:rPr>
        <w:t xml:space="preserve"> mostly on the interaction between </w:t>
      </w:r>
      <w:r w:rsidR="006001A0">
        <w:rPr>
          <w:rFonts w:ascii="Times New Roman" w:hAnsi="Times New Roman" w:cs="Times New Roman"/>
        </w:rPr>
        <w:t xml:space="preserve">non-trade concerns and </w:t>
      </w:r>
      <w:r w:rsidR="00503B17">
        <w:rPr>
          <w:rFonts w:ascii="Times New Roman" w:hAnsi="Times New Roman" w:cs="Times New Roman"/>
        </w:rPr>
        <w:t>world trade law, but investment law and to a lesser extent intellectual property are als</w:t>
      </w:r>
      <w:r w:rsidR="003B7A81">
        <w:rPr>
          <w:rFonts w:ascii="Times New Roman" w:hAnsi="Times New Roman" w:cs="Times New Roman"/>
        </w:rPr>
        <w:t>o given considerable attention.</w:t>
      </w:r>
    </w:p>
    <w:p w14:paraId="4BBA45AB" w14:textId="77777777" w:rsidR="006C78B7" w:rsidRDefault="006C78B7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43FB64AC" w14:textId="07DA8101" w:rsidR="00CB5090" w:rsidRDefault="00B76B72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the choice of China as a focus is timely and pertinent, it is also </w:t>
      </w:r>
      <w:r w:rsidRPr="00B76B72">
        <w:rPr>
          <w:rFonts w:ascii="Times New Roman" w:hAnsi="Times New Roman" w:cs="Times New Roman"/>
        </w:rPr>
        <w:t>useful</w:t>
      </w:r>
      <w:r>
        <w:rPr>
          <w:rFonts w:ascii="Times New Roman" w:hAnsi="Times New Roman" w:cs="Times New Roman"/>
        </w:rPr>
        <w:t xml:space="preserve"> in a wider sense, as a study of </w:t>
      </w:r>
      <w:r w:rsidR="008341EE">
        <w:rPr>
          <w:rFonts w:ascii="Times New Roman" w:hAnsi="Times New Roman" w:cs="Times New Roman"/>
        </w:rPr>
        <w:t>China</w:t>
      </w:r>
      <w:r>
        <w:rPr>
          <w:rFonts w:ascii="Times New Roman" w:hAnsi="Times New Roman" w:cs="Times New Roman"/>
        </w:rPr>
        <w:t xml:space="preserve"> and its non-trade policies serves </w:t>
      </w:r>
      <w:r w:rsidR="008341EE">
        <w:rPr>
          <w:rFonts w:ascii="Times New Roman" w:hAnsi="Times New Roman" w:cs="Times New Roman"/>
        </w:rPr>
        <w:t>as a nexus</w:t>
      </w:r>
      <w:r>
        <w:rPr>
          <w:rFonts w:ascii="Times New Roman" w:hAnsi="Times New Roman" w:cs="Times New Roman"/>
        </w:rPr>
        <w:t xml:space="preserve"> for a range of different themes found in international law more broadly. </w:t>
      </w:r>
      <w:r w:rsidR="00CB5090">
        <w:rPr>
          <w:rFonts w:ascii="Times New Roman" w:hAnsi="Times New Roman" w:cs="Times New Roman"/>
        </w:rPr>
        <w:t>In particular, we can note the recurri</w:t>
      </w:r>
      <w:r w:rsidR="001E4477">
        <w:rPr>
          <w:rFonts w:ascii="Times New Roman" w:hAnsi="Times New Roman" w:cs="Times New Roman"/>
        </w:rPr>
        <w:t>ng challenge of fragmentation and</w:t>
      </w:r>
      <w:r w:rsidR="00CB5090">
        <w:rPr>
          <w:rFonts w:ascii="Times New Roman" w:hAnsi="Times New Roman" w:cs="Times New Roman"/>
        </w:rPr>
        <w:t xml:space="preserve"> inter-regime contestations, the relationship between developing and developed countries, and the </w:t>
      </w:r>
      <w:r w:rsidR="000D4AB6">
        <w:rPr>
          <w:rFonts w:ascii="Times New Roman" w:hAnsi="Times New Roman" w:cs="Times New Roman"/>
        </w:rPr>
        <w:t>importance of providing detailed China-specific studies that move beyond generalised accounts of China as a special case characterised by either its Communist or Confucian traditions</w:t>
      </w:r>
      <w:r w:rsidR="00CB5090">
        <w:rPr>
          <w:rFonts w:ascii="Times New Roman" w:hAnsi="Times New Roman" w:cs="Times New Roman"/>
        </w:rPr>
        <w:t>.</w:t>
      </w:r>
      <w:r w:rsidR="00E44D56">
        <w:rPr>
          <w:rStyle w:val="FootnoteReference"/>
          <w:rFonts w:ascii="Times New Roman" w:hAnsi="Times New Roman" w:cs="Times New Roman"/>
        </w:rPr>
        <w:footnoteReference w:id="4"/>
      </w:r>
    </w:p>
    <w:p w14:paraId="4B4D2C59" w14:textId="77777777" w:rsidR="00CB5090" w:rsidRDefault="00CB5090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089B96E7" w14:textId="1B18EC4C" w:rsidR="008341EE" w:rsidRDefault="00B76B72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Questions relating to fragmentation and diversity in </w:t>
      </w:r>
      <w:r w:rsidR="00D2627B">
        <w:rPr>
          <w:rFonts w:ascii="Times New Roman" w:hAnsi="Times New Roman" w:cs="Times New Roman"/>
        </w:rPr>
        <w:t>international</w:t>
      </w:r>
      <w:r>
        <w:rPr>
          <w:rFonts w:ascii="Times New Roman" w:hAnsi="Times New Roman" w:cs="Times New Roman"/>
        </w:rPr>
        <w:t xml:space="preserve"> law, more narrowly viewed as linkages between trade and ‘non-trade’ issues </w:t>
      </w:r>
      <w:r w:rsidR="00CB5090">
        <w:rPr>
          <w:rFonts w:ascii="Times New Roman" w:hAnsi="Times New Roman" w:cs="Times New Roman"/>
        </w:rPr>
        <w:t xml:space="preserve">recur </w:t>
      </w:r>
      <w:r w:rsidR="00061169">
        <w:rPr>
          <w:rFonts w:ascii="Times New Roman" w:hAnsi="Times New Roman" w:cs="Times New Roman"/>
        </w:rPr>
        <w:t xml:space="preserve">frequently </w:t>
      </w:r>
      <w:r w:rsidR="00CB5090">
        <w:rPr>
          <w:rFonts w:ascii="Times New Roman" w:hAnsi="Times New Roman" w:cs="Times New Roman"/>
        </w:rPr>
        <w:t>in the book</w:t>
      </w:r>
      <w:r>
        <w:rPr>
          <w:rFonts w:ascii="Times New Roman" w:hAnsi="Times New Roman" w:cs="Times New Roman"/>
        </w:rPr>
        <w:t>.</w:t>
      </w:r>
      <w:r w:rsidR="00061169">
        <w:rPr>
          <w:rStyle w:val="FootnoteReference"/>
          <w:rFonts w:ascii="Times New Roman" w:hAnsi="Times New Roman" w:cs="Times New Roman"/>
        </w:rPr>
        <w:footnoteReference w:id="5"/>
      </w:r>
      <w:r>
        <w:rPr>
          <w:rFonts w:ascii="Times New Roman" w:hAnsi="Times New Roman" w:cs="Times New Roman"/>
        </w:rPr>
        <w:t xml:space="preserve"> Sindico and Gibson</w:t>
      </w:r>
      <w:r w:rsidR="00537533">
        <w:rPr>
          <w:rFonts w:ascii="Times New Roman" w:hAnsi="Times New Roman" w:cs="Times New Roman"/>
        </w:rPr>
        <w:t>’s contribution (‘Soft, Complex, and Fragmented International Climate Change Practice: What Implications for International Trade Law?’)</w:t>
      </w:r>
      <w:r>
        <w:rPr>
          <w:rFonts w:ascii="Times New Roman" w:hAnsi="Times New Roman" w:cs="Times New Roman"/>
        </w:rPr>
        <w:t>, for example, frames questions of trade law’s interaction with climate change policies through a concern for unified, or at least, non-conflictive legal regimes</w:t>
      </w:r>
      <w:r w:rsidR="003B7A81">
        <w:rPr>
          <w:rFonts w:ascii="Times New Roman" w:hAnsi="Times New Roman" w:cs="Times New Roman"/>
        </w:rPr>
        <w:t>, complicated by the prevalence of soft law instruments in the field</w:t>
      </w:r>
      <w:r>
        <w:rPr>
          <w:rFonts w:ascii="Times New Roman" w:hAnsi="Times New Roman" w:cs="Times New Roman"/>
        </w:rPr>
        <w:t>.</w:t>
      </w:r>
      <w:r>
        <w:rPr>
          <w:rStyle w:val="FootnoteReference"/>
          <w:rFonts w:ascii="Times New Roman" w:hAnsi="Times New Roman" w:cs="Times New Roman"/>
        </w:rPr>
        <w:footnoteReference w:id="6"/>
      </w:r>
      <w:r w:rsidR="005A67EB">
        <w:rPr>
          <w:rFonts w:ascii="Times New Roman" w:hAnsi="Times New Roman" w:cs="Times New Roman"/>
        </w:rPr>
        <w:t xml:space="preserve"> </w:t>
      </w:r>
      <w:r w:rsidR="0089241B">
        <w:rPr>
          <w:rFonts w:ascii="Times New Roman" w:hAnsi="Times New Roman" w:cs="Times New Roman"/>
        </w:rPr>
        <w:t xml:space="preserve">Accompanying these more general chapters are those more closely </w:t>
      </w:r>
      <w:r w:rsidR="00537533">
        <w:rPr>
          <w:rFonts w:ascii="Times New Roman" w:hAnsi="Times New Roman" w:cs="Times New Roman"/>
        </w:rPr>
        <w:t xml:space="preserve">focused on China </w:t>
      </w:r>
      <w:r w:rsidR="0089241B">
        <w:rPr>
          <w:rFonts w:ascii="Times New Roman" w:hAnsi="Times New Roman" w:cs="Times New Roman"/>
        </w:rPr>
        <w:lastRenderedPageBreak/>
        <w:t xml:space="preserve">and </w:t>
      </w:r>
      <w:r w:rsidR="00537533">
        <w:rPr>
          <w:rFonts w:ascii="Times New Roman" w:hAnsi="Times New Roman" w:cs="Times New Roman"/>
        </w:rPr>
        <w:t xml:space="preserve">the relationship between trade and cultural aspects of media, bringing China’s obligations under UNESCO, human rights law, </w:t>
      </w:r>
      <w:r w:rsidR="00AD1ADF">
        <w:rPr>
          <w:rFonts w:ascii="Times New Roman" w:hAnsi="Times New Roman" w:cs="Times New Roman"/>
        </w:rPr>
        <w:t xml:space="preserve">intellectual property, </w:t>
      </w:r>
      <w:r w:rsidR="00537533">
        <w:rPr>
          <w:rFonts w:ascii="Times New Roman" w:hAnsi="Times New Roman" w:cs="Times New Roman"/>
        </w:rPr>
        <w:t>and WTO or investment law into sharp focus.</w:t>
      </w:r>
      <w:r w:rsidR="00D2627B">
        <w:rPr>
          <w:rStyle w:val="FootnoteReference"/>
          <w:rFonts w:ascii="Times New Roman" w:hAnsi="Times New Roman" w:cs="Times New Roman"/>
        </w:rPr>
        <w:footnoteReference w:id="7"/>
      </w:r>
      <w:r w:rsidR="00537533">
        <w:rPr>
          <w:rFonts w:ascii="Times New Roman" w:hAnsi="Times New Roman" w:cs="Times New Roman"/>
        </w:rPr>
        <w:t xml:space="preserve"> The interaction between these complementary but also competitive regimes, can be seen in China’s unique mix of global influence, </w:t>
      </w:r>
      <w:r w:rsidR="001E4477">
        <w:rPr>
          <w:rFonts w:ascii="Times New Roman" w:hAnsi="Times New Roman" w:cs="Times New Roman"/>
        </w:rPr>
        <w:t xml:space="preserve">desirable </w:t>
      </w:r>
      <w:r w:rsidR="00537533">
        <w:rPr>
          <w:rFonts w:ascii="Times New Roman" w:hAnsi="Times New Roman" w:cs="Times New Roman"/>
        </w:rPr>
        <w:t xml:space="preserve">market, and </w:t>
      </w:r>
      <w:r w:rsidR="00E124BA">
        <w:rPr>
          <w:rFonts w:ascii="Times New Roman" w:hAnsi="Times New Roman" w:cs="Times New Roman"/>
        </w:rPr>
        <w:t xml:space="preserve">widespread </w:t>
      </w:r>
      <w:r w:rsidR="00475EBF">
        <w:rPr>
          <w:rFonts w:ascii="Times New Roman" w:hAnsi="Times New Roman" w:cs="Times New Roman"/>
        </w:rPr>
        <w:t xml:space="preserve">and rigorously </w:t>
      </w:r>
      <w:r w:rsidR="00E124BA">
        <w:rPr>
          <w:rFonts w:ascii="Times New Roman" w:hAnsi="Times New Roman" w:cs="Times New Roman"/>
        </w:rPr>
        <w:t xml:space="preserve">enforced </w:t>
      </w:r>
      <w:r w:rsidR="00DD02AF">
        <w:rPr>
          <w:rFonts w:ascii="Times New Roman" w:hAnsi="Times New Roman" w:cs="Times New Roman"/>
        </w:rPr>
        <w:t xml:space="preserve">programme of </w:t>
      </w:r>
      <w:r w:rsidR="00E124BA">
        <w:rPr>
          <w:rFonts w:ascii="Times New Roman" w:hAnsi="Times New Roman" w:cs="Times New Roman"/>
        </w:rPr>
        <w:t>censorship.</w:t>
      </w:r>
      <w:r w:rsidR="00E124BA">
        <w:rPr>
          <w:rStyle w:val="FootnoteReference"/>
          <w:rFonts w:ascii="Times New Roman" w:hAnsi="Times New Roman" w:cs="Times New Roman"/>
        </w:rPr>
        <w:footnoteReference w:id="8"/>
      </w:r>
    </w:p>
    <w:p w14:paraId="221F60E5" w14:textId="77777777" w:rsidR="00B76B72" w:rsidRDefault="00B76B72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28D4ED5C" w14:textId="0F09BC96" w:rsidR="00B76B72" w:rsidRDefault="00B76B72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</w:t>
      </w:r>
      <w:r w:rsidR="002E037A">
        <w:rPr>
          <w:rFonts w:ascii="Times New Roman" w:hAnsi="Times New Roman" w:cs="Times New Roman"/>
        </w:rPr>
        <w:t xml:space="preserve"> theme to which contributors return </w:t>
      </w:r>
      <w:r>
        <w:rPr>
          <w:rFonts w:ascii="Times New Roman" w:hAnsi="Times New Roman" w:cs="Times New Roman"/>
        </w:rPr>
        <w:t>is China’s status a</w:t>
      </w:r>
      <w:r w:rsidR="00AC2D7C">
        <w:rPr>
          <w:rFonts w:ascii="Times New Roman" w:hAnsi="Times New Roman" w:cs="Times New Roman"/>
        </w:rPr>
        <w:t>s a developing country</w:t>
      </w:r>
      <w:r w:rsidR="00F37A74">
        <w:rPr>
          <w:rFonts w:ascii="Times New Roman" w:hAnsi="Times New Roman" w:cs="Times New Roman"/>
        </w:rPr>
        <w:t xml:space="preserve"> and</w:t>
      </w:r>
      <w:r w:rsidR="00AC2D7C">
        <w:rPr>
          <w:rFonts w:ascii="Times New Roman" w:hAnsi="Times New Roman" w:cs="Times New Roman"/>
        </w:rPr>
        <w:t xml:space="preserve">, </w:t>
      </w:r>
      <w:r w:rsidR="002E037A">
        <w:rPr>
          <w:rFonts w:ascii="Times New Roman" w:hAnsi="Times New Roman" w:cs="Times New Roman"/>
        </w:rPr>
        <w:t xml:space="preserve">in particular, </w:t>
      </w:r>
      <w:r w:rsidR="00AC2D7C">
        <w:rPr>
          <w:rFonts w:ascii="Times New Roman" w:hAnsi="Times New Roman" w:cs="Times New Roman"/>
        </w:rPr>
        <w:t>the relationship between the developed world and China’s policies as a developing yet powerful global trader. Here the customary expectations that developing countries are hostile to the introduction or imposition of non-trade concerns (in particular, labour rights and environmental protection) by developed countries as a form of either quasi-imperialism or attempt to undermine competitiveness are turned subtly.</w:t>
      </w:r>
      <w:r w:rsidR="00CE66B6">
        <w:rPr>
          <w:rStyle w:val="FootnoteReference"/>
          <w:rFonts w:ascii="Times New Roman" w:hAnsi="Times New Roman" w:cs="Times New Roman"/>
        </w:rPr>
        <w:footnoteReference w:id="9"/>
      </w:r>
      <w:r w:rsidR="00AC2D7C">
        <w:rPr>
          <w:rFonts w:ascii="Times New Roman" w:hAnsi="Times New Roman" w:cs="Times New Roman"/>
        </w:rPr>
        <w:t xml:space="preserve"> </w:t>
      </w:r>
      <w:r w:rsidR="000001B0">
        <w:rPr>
          <w:rFonts w:ascii="Times New Roman" w:hAnsi="Times New Roman" w:cs="Times New Roman"/>
        </w:rPr>
        <w:t>B</w:t>
      </w:r>
      <w:r w:rsidR="00AC2D7C">
        <w:rPr>
          <w:rFonts w:ascii="Times New Roman" w:hAnsi="Times New Roman" w:cs="Times New Roman"/>
        </w:rPr>
        <w:t xml:space="preserve">y examining China’s experience, what appears is a </w:t>
      </w:r>
      <w:r w:rsidR="000001B0">
        <w:rPr>
          <w:rFonts w:ascii="Times New Roman" w:hAnsi="Times New Roman" w:cs="Times New Roman"/>
        </w:rPr>
        <w:t xml:space="preserve">more </w:t>
      </w:r>
      <w:r w:rsidR="00AC2D7C">
        <w:rPr>
          <w:rFonts w:ascii="Times New Roman" w:hAnsi="Times New Roman" w:cs="Times New Roman"/>
        </w:rPr>
        <w:t>nuanced situation</w:t>
      </w:r>
      <w:r w:rsidR="000001B0">
        <w:rPr>
          <w:rFonts w:ascii="Times New Roman" w:hAnsi="Times New Roman" w:cs="Times New Roman"/>
        </w:rPr>
        <w:t>, where domestic concerns shape macroeconomic perspectives</w:t>
      </w:r>
      <w:r w:rsidR="00AC2D7C">
        <w:rPr>
          <w:rFonts w:ascii="Times New Roman" w:hAnsi="Times New Roman" w:cs="Times New Roman"/>
        </w:rPr>
        <w:t xml:space="preserve">. </w:t>
      </w:r>
      <w:r w:rsidR="000001B0">
        <w:rPr>
          <w:rFonts w:ascii="Times New Roman" w:hAnsi="Times New Roman" w:cs="Times New Roman"/>
        </w:rPr>
        <w:t>For example, i</w:t>
      </w:r>
      <w:r w:rsidR="00AC2D7C">
        <w:rPr>
          <w:rFonts w:ascii="Times New Roman" w:hAnsi="Times New Roman" w:cs="Times New Roman"/>
        </w:rPr>
        <w:t xml:space="preserve">n ‘The Development of NGOs in China’, Huang </w:t>
      </w:r>
      <w:r w:rsidR="005A67EB">
        <w:rPr>
          <w:rFonts w:ascii="Times New Roman" w:hAnsi="Times New Roman" w:cs="Times New Roman"/>
        </w:rPr>
        <w:t xml:space="preserve">gives </w:t>
      </w:r>
      <w:r w:rsidR="00AC2D7C">
        <w:rPr>
          <w:rFonts w:ascii="Times New Roman" w:hAnsi="Times New Roman" w:cs="Times New Roman"/>
        </w:rPr>
        <w:t>a</w:t>
      </w:r>
      <w:r w:rsidR="005A67EB">
        <w:rPr>
          <w:rFonts w:ascii="Times New Roman" w:hAnsi="Times New Roman" w:cs="Times New Roman"/>
        </w:rPr>
        <w:t>n</w:t>
      </w:r>
      <w:r w:rsidR="00AC2D7C">
        <w:rPr>
          <w:rFonts w:ascii="Times New Roman" w:hAnsi="Times New Roman" w:cs="Times New Roman"/>
        </w:rPr>
        <w:t xml:space="preserve"> </w:t>
      </w:r>
      <w:r w:rsidR="005A67EB">
        <w:rPr>
          <w:rFonts w:ascii="Times New Roman" w:hAnsi="Times New Roman" w:cs="Times New Roman"/>
        </w:rPr>
        <w:t>account of non-governmental organizations, the very terminology of which</w:t>
      </w:r>
      <w:r w:rsidR="00537533">
        <w:rPr>
          <w:rFonts w:ascii="Times New Roman" w:hAnsi="Times New Roman" w:cs="Times New Roman"/>
        </w:rPr>
        <w:t xml:space="preserve"> (</w:t>
      </w:r>
      <w:r w:rsidR="00537533" w:rsidRPr="00537533">
        <w:rPr>
          <w:rFonts w:ascii="Times New Roman" w:hAnsi="Times New Roman" w:cs="Times New Roman"/>
          <w:i/>
        </w:rPr>
        <w:t>fei zhengfu</w:t>
      </w:r>
      <w:r w:rsidR="00537533">
        <w:rPr>
          <w:rFonts w:ascii="Times New Roman" w:hAnsi="Times New Roman" w:cs="Times New Roman"/>
        </w:rPr>
        <w:t>)</w:t>
      </w:r>
      <w:r w:rsidR="005A67EB">
        <w:rPr>
          <w:rFonts w:ascii="Times New Roman" w:hAnsi="Times New Roman" w:cs="Times New Roman"/>
        </w:rPr>
        <w:t xml:space="preserve">, presents concerns </w:t>
      </w:r>
      <w:r w:rsidR="00046047">
        <w:rPr>
          <w:rFonts w:ascii="Times New Roman" w:hAnsi="Times New Roman" w:cs="Times New Roman"/>
        </w:rPr>
        <w:t xml:space="preserve">for some in China implying anarchic </w:t>
      </w:r>
      <w:r w:rsidR="00537533">
        <w:rPr>
          <w:rFonts w:ascii="Times New Roman" w:hAnsi="Times New Roman" w:cs="Times New Roman"/>
        </w:rPr>
        <w:t>(</w:t>
      </w:r>
      <w:r w:rsidR="00537533" w:rsidRPr="00537533">
        <w:rPr>
          <w:rFonts w:ascii="Times New Roman" w:hAnsi="Times New Roman" w:cs="Times New Roman"/>
          <w:i/>
        </w:rPr>
        <w:t>wu zhengfu</w:t>
      </w:r>
      <w:r w:rsidR="00537533">
        <w:rPr>
          <w:rFonts w:ascii="Times New Roman" w:hAnsi="Times New Roman" w:cs="Times New Roman"/>
        </w:rPr>
        <w:t xml:space="preserve">) </w:t>
      </w:r>
      <w:r w:rsidR="00046047">
        <w:rPr>
          <w:rFonts w:ascii="Times New Roman" w:hAnsi="Times New Roman" w:cs="Times New Roman"/>
        </w:rPr>
        <w:t xml:space="preserve">or anti-governmental </w:t>
      </w:r>
      <w:r w:rsidR="00537533">
        <w:rPr>
          <w:rFonts w:ascii="Times New Roman" w:hAnsi="Times New Roman" w:cs="Times New Roman"/>
        </w:rPr>
        <w:t>(</w:t>
      </w:r>
      <w:r w:rsidR="00537533">
        <w:rPr>
          <w:rFonts w:ascii="Times New Roman" w:hAnsi="Times New Roman" w:cs="Times New Roman"/>
          <w:i/>
        </w:rPr>
        <w:t xml:space="preserve">fan </w:t>
      </w:r>
      <w:r w:rsidR="00537533" w:rsidRPr="00537533">
        <w:rPr>
          <w:rFonts w:ascii="Times New Roman" w:hAnsi="Times New Roman" w:cs="Times New Roman"/>
          <w:i/>
        </w:rPr>
        <w:t>zhengfu</w:t>
      </w:r>
      <w:r w:rsidR="00537533">
        <w:rPr>
          <w:rFonts w:ascii="Times New Roman" w:hAnsi="Times New Roman" w:cs="Times New Roman"/>
        </w:rPr>
        <w:t xml:space="preserve">) </w:t>
      </w:r>
      <w:r w:rsidR="00046047">
        <w:rPr>
          <w:rFonts w:ascii="Times New Roman" w:hAnsi="Times New Roman" w:cs="Times New Roman"/>
        </w:rPr>
        <w:t>positions.</w:t>
      </w:r>
      <w:r w:rsidR="00046047">
        <w:rPr>
          <w:rStyle w:val="FootnoteReference"/>
          <w:rFonts w:ascii="Times New Roman" w:hAnsi="Times New Roman" w:cs="Times New Roman"/>
        </w:rPr>
        <w:footnoteReference w:id="10"/>
      </w:r>
      <w:r w:rsidR="00046047">
        <w:rPr>
          <w:rFonts w:ascii="Times New Roman" w:hAnsi="Times New Roman" w:cs="Times New Roman"/>
        </w:rPr>
        <w:t xml:space="preserve"> </w:t>
      </w:r>
      <w:r w:rsidR="00537533">
        <w:rPr>
          <w:rFonts w:ascii="Times New Roman" w:hAnsi="Times New Roman" w:cs="Times New Roman"/>
        </w:rPr>
        <w:t xml:space="preserve">This is not provided as an explanation for China’s position to the </w:t>
      </w:r>
      <w:r w:rsidR="000001B0">
        <w:rPr>
          <w:rFonts w:ascii="Times New Roman" w:hAnsi="Times New Roman" w:cs="Times New Roman"/>
        </w:rPr>
        <w:t>exclusion</w:t>
      </w:r>
      <w:r w:rsidR="00537533">
        <w:rPr>
          <w:rFonts w:ascii="Times New Roman" w:hAnsi="Times New Roman" w:cs="Times New Roman"/>
        </w:rPr>
        <w:t xml:space="preserve"> of the more common concerns raised by both developing and anti-democratic governments, but rather as a factor to be taken into account when examining the </w:t>
      </w:r>
      <w:r w:rsidR="00537533">
        <w:rPr>
          <w:rFonts w:ascii="Times New Roman" w:hAnsi="Times New Roman" w:cs="Times New Roman"/>
        </w:rPr>
        <w:lastRenderedPageBreak/>
        <w:t>role of Chinese NGOs in climate change policy (in this case-study).</w:t>
      </w:r>
      <w:r w:rsidR="000001B0">
        <w:rPr>
          <w:rStyle w:val="FootnoteReference"/>
          <w:rFonts w:ascii="Times New Roman" w:hAnsi="Times New Roman" w:cs="Times New Roman"/>
        </w:rPr>
        <w:footnoteReference w:id="11"/>
      </w:r>
      <w:r w:rsidR="00D82E07">
        <w:rPr>
          <w:rFonts w:ascii="Times New Roman" w:hAnsi="Times New Roman" w:cs="Times New Roman"/>
        </w:rPr>
        <w:t xml:space="preserve"> Similarly, the relationship between economic development and environmental protection</w:t>
      </w:r>
      <w:r w:rsidR="008C0B3D">
        <w:rPr>
          <w:rFonts w:ascii="Times New Roman" w:hAnsi="Times New Roman" w:cs="Times New Roman"/>
        </w:rPr>
        <w:t>, a common concern in</w:t>
      </w:r>
      <w:r w:rsidR="00D82E07">
        <w:rPr>
          <w:rFonts w:ascii="Times New Roman" w:hAnsi="Times New Roman" w:cs="Times New Roman"/>
        </w:rPr>
        <w:t xml:space="preserve"> literature on sustainable development, takes on a particular perspective within the Chinese </w:t>
      </w:r>
      <w:r w:rsidR="008C0B3D">
        <w:rPr>
          <w:rFonts w:ascii="Times New Roman" w:hAnsi="Times New Roman" w:cs="Times New Roman"/>
        </w:rPr>
        <w:t>context:</w:t>
      </w:r>
      <w:r w:rsidR="00760C0D">
        <w:rPr>
          <w:rFonts w:ascii="Times New Roman" w:hAnsi="Times New Roman" w:cs="Times New Roman"/>
        </w:rPr>
        <w:t xml:space="preserve"> China’s rapid industrialisation and urbanisation has brought with it considerable environmental challenges, not least pollution, deforestation, reduction in biodiversity, and acidification.</w:t>
      </w:r>
      <w:r w:rsidR="00760C0D">
        <w:rPr>
          <w:rStyle w:val="FootnoteReference"/>
          <w:rFonts w:ascii="Times New Roman" w:hAnsi="Times New Roman" w:cs="Times New Roman"/>
        </w:rPr>
        <w:footnoteReference w:id="12"/>
      </w:r>
      <w:r w:rsidR="009B51F0">
        <w:rPr>
          <w:rFonts w:ascii="Times New Roman" w:hAnsi="Times New Roman" w:cs="Times New Roman"/>
        </w:rPr>
        <w:t xml:space="preserve"> And yet, recent government policy has sought to link a change in the importance of environmental protection to economic policy </w:t>
      </w:r>
      <w:r w:rsidR="00BA521A">
        <w:rPr>
          <w:rFonts w:ascii="Times New Roman" w:hAnsi="Times New Roman" w:cs="Times New Roman"/>
        </w:rPr>
        <w:t xml:space="preserve">through a </w:t>
      </w:r>
      <w:r w:rsidR="009B51F0">
        <w:rPr>
          <w:rFonts w:ascii="Times New Roman" w:hAnsi="Times New Roman" w:cs="Times New Roman"/>
        </w:rPr>
        <w:t>tradition of harmonious existence within the Confucian tradition.</w:t>
      </w:r>
      <w:r w:rsidR="009B51F0">
        <w:rPr>
          <w:rStyle w:val="FootnoteReference"/>
          <w:rFonts w:ascii="Times New Roman" w:hAnsi="Times New Roman" w:cs="Times New Roman"/>
        </w:rPr>
        <w:footnoteReference w:id="13"/>
      </w:r>
      <w:r w:rsidR="00FA03FB">
        <w:rPr>
          <w:rFonts w:ascii="Times New Roman" w:hAnsi="Times New Roman" w:cs="Times New Roman"/>
        </w:rPr>
        <w:t xml:space="preserve"> </w:t>
      </w:r>
    </w:p>
    <w:p w14:paraId="09DA7725" w14:textId="77777777" w:rsidR="008341EE" w:rsidRDefault="008341EE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37C4DE84" w14:textId="22D5F097" w:rsidR="00492364" w:rsidRDefault="00EB467A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offering a range of different studies on the interaction between non-trade concerns and trade law within China, this collection deepens the analysis of China-specific studies considerably, not only offering insights into the Chinese system and its effect on China’s policies at the WTO or investment negotiations, but also into the variations </w:t>
      </w:r>
      <w:r w:rsidRPr="00EB467A">
        <w:rPr>
          <w:rFonts w:ascii="Times New Roman" w:hAnsi="Times New Roman" w:cs="Times New Roman"/>
          <w:i/>
        </w:rPr>
        <w:t>within</w:t>
      </w:r>
      <w:r>
        <w:rPr>
          <w:rFonts w:ascii="Times New Roman" w:hAnsi="Times New Roman" w:cs="Times New Roman"/>
        </w:rPr>
        <w:t xml:space="preserve"> China. The contribution by He on ‘China’s Environmental Legislation and its Trend Towards Scientific Development’, in particular, teases out variations across the regions and local governance structures in China,</w:t>
      </w:r>
      <w:r>
        <w:rPr>
          <w:rStyle w:val="FootnoteReference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 xml:space="preserve"> as does the </w:t>
      </w:r>
      <w:r w:rsidR="00921523">
        <w:rPr>
          <w:rFonts w:ascii="Times New Roman" w:hAnsi="Times New Roman" w:cs="Times New Roman"/>
        </w:rPr>
        <w:t>detailed study on the challenges to environmental protection requirements and sustainable development in the exploitation of shale gas in China.</w:t>
      </w:r>
      <w:r w:rsidR="00921523">
        <w:rPr>
          <w:rStyle w:val="FootnoteReference"/>
          <w:rFonts w:ascii="Times New Roman" w:hAnsi="Times New Roman" w:cs="Times New Roman"/>
        </w:rPr>
        <w:footnoteReference w:id="15"/>
      </w:r>
      <w:r w:rsidR="00492364">
        <w:rPr>
          <w:rFonts w:ascii="Times New Roman" w:hAnsi="Times New Roman" w:cs="Times New Roman"/>
        </w:rPr>
        <w:t xml:space="preserve"> </w:t>
      </w:r>
      <w:r w:rsidR="00C9057A">
        <w:rPr>
          <w:rFonts w:ascii="Times New Roman" w:hAnsi="Times New Roman" w:cs="Times New Roman"/>
        </w:rPr>
        <w:t xml:space="preserve">Not only do these contributions provide interesting insights into China’s system, they also </w:t>
      </w:r>
      <w:r w:rsidR="00C9057A">
        <w:rPr>
          <w:rFonts w:ascii="Times New Roman" w:hAnsi="Times New Roman" w:cs="Times New Roman"/>
        </w:rPr>
        <w:lastRenderedPageBreak/>
        <w:t xml:space="preserve">demonstrate the benefit of country-specific studies that step beyond the </w:t>
      </w:r>
      <w:r w:rsidR="007813B3">
        <w:rPr>
          <w:rFonts w:ascii="Times New Roman" w:hAnsi="Times New Roman" w:cs="Times New Roman"/>
        </w:rPr>
        <w:t>necessarily more general observations that broader categorisation</w:t>
      </w:r>
      <w:r w:rsidR="00A3423D">
        <w:rPr>
          <w:rFonts w:ascii="Times New Roman" w:hAnsi="Times New Roman" w:cs="Times New Roman"/>
        </w:rPr>
        <w:t xml:space="preserve"> such as </w:t>
      </w:r>
      <w:r w:rsidR="007813B3">
        <w:rPr>
          <w:rFonts w:ascii="Times New Roman" w:hAnsi="Times New Roman" w:cs="Times New Roman"/>
        </w:rPr>
        <w:t xml:space="preserve">‘developing’, ‘Global South’, ‘periphery’, </w:t>
      </w:r>
      <w:r w:rsidR="00A3423D">
        <w:rPr>
          <w:rFonts w:ascii="Times New Roman" w:hAnsi="Times New Roman" w:cs="Times New Roman"/>
        </w:rPr>
        <w:t xml:space="preserve">and so on, have. </w:t>
      </w:r>
      <w:r w:rsidR="00522B7B">
        <w:rPr>
          <w:rFonts w:ascii="Times New Roman" w:hAnsi="Times New Roman" w:cs="Times New Roman"/>
        </w:rPr>
        <w:t>It is interesting from a Chinese perspective, but also provides a salutary lesson for the possibilities of study elsewhere</w:t>
      </w:r>
      <w:r w:rsidR="003C48A5">
        <w:rPr>
          <w:rFonts w:ascii="Times New Roman" w:hAnsi="Times New Roman" w:cs="Times New Roman"/>
        </w:rPr>
        <w:t>.</w:t>
      </w:r>
    </w:p>
    <w:p w14:paraId="10E7BE08" w14:textId="77777777" w:rsidR="00E2459D" w:rsidRDefault="00E2459D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0106A300" w14:textId="7DDF90A5" w:rsidR="006F43BE" w:rsidRDefault="006F43BE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attention has thus far been on the chapters which focus on China’s legal system or its internal regimes. There are, however, also a number of contributions which take a more traditional perspective from the international level. In some instances they serve to introduce a new topic, such as sustainable development or public health,</w:t>
      </w:r>
      <w:r>
        <w:rPr>
          <w:rStyle w:val="FootnoteReference"/>
          <w:rFonts w:ascii="Times New Roman" w:hAnsi="Times New Roman" w:cs="Times New Roman"/>
        </w:rPr>
        <w:footnoteReference w:id="16"/>
      </w:r>
      <w:r>
        <w:rPr>
          <w:rFonts w:ascii="Times New Roman" w:hAnsi="Times New Roman" w:cs="Times New Roman"/>
        </w:rPr>
        <w:t xml:space="preserve"> </w:t>
      </w:r>
      <w:r w:rsidR="004F0637">
        <w:rPr>
          <w:rFonts w:ascii="Times New Roman" w:hAnsi="Times New Roman" w:cs="Times New Roman"/>
        </w:rPr>
        <w:t>whereas in others they provide a wider view on a relevant topic though not explicitly linked to the Chinese experience.</w:t>
      </w:r>
      <w:r w:rsidR="004F0637">
        <w:rPr>
          <w:rStyle w:val="FootnoteReference"/>
          <w:rFonts w:ascii="Times New Roman" w:hAnsi="Times New Roman" w:cs="Times New Roman"/>
        </w:rPr>
        <w:footnoteReference w:id="17"/>
      </w:r>
      <w:r w:rsidR="004F0637">
        <w:rPr>
          <w:rFonts w:ascii="Times New Roman" w:hAnsi="Times New Roman" w:cs="Times New Roman"/>
        </w:rPr>
        <w:t xml:space="preserve"> </w:t>
      </w:r>
      <w:r w:rsidR="00F25D9E">
        <w:rPr>
          <w:rFonts w:ascii="Times New Roman" w:hAnsi="Times New Roman" w:cs="Times New Roman"/>
        </w:rPr>
        <w:t xml:space="preserve">Within the context of the wider project, they work well as they relate to the themes developed in each Part, yet </w:t>
      </w:r>
      <w:r w:rsidR="001B775F">
        <w:rPr>
          <w:rFonts w:ascii="Times New Roman" w:hAnsi="Times New Roman" w:cs="Times New Roman"/>
        </w:rPr>
        <w:t xml:space="preserve">when viewed </w:t>
      </w:r>
      <w:r w:rsidR="00F25D9E">
        <w:rPr>
          <w:rFonts w:ascii="Times New Roman" w:hAnsi="Times New Roman" w:cs="Times New Roman"/>
        </w:rPr>
        <w:t xml:space="preserve">individually </w:t>
      </w:r>
      <w:r w:rsidR="001B775F">
        <w:rPr>
          <w:rFonts w:ascii="Times New Roman" w:hAnsi="Times New Roman" w:cs="Times New Roman"/>
        </w:rPr>
        <w:t xml:space="preserve">they </w:t>
      </w:r>
      <w:r w:rsidR="00D54794">
        <w:rPr>
          <w:rFonts w:ascii="Times New Roman" w:hAnsi="Times New Roman" w:cs="Times New Roman"/>
        </w:rPr>
        <w:t>serve well as more general assessments of the issues examined outside of a China-specific context.</w:t>
      </w:r>
    </w:p>
    <w:p w14:paraId="75F6AE59" w14:textId="77777777" w:rsidR="006F43BE" w:rsidRDefault="006F43BE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4C7DBB57" w14:textId="08B6E55D" w:rsidR="00267D4C" w:rsidRDefault="00A121F5" w:rsidP="00FB522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4F0637">
        <w:rPr>
          <w:rFonts w:ascii="Times New Roman" w:hAnsi="Times New Roman" w:cs="Times New Roman"/>
        </w:rPr>
        <w:t xml:space="preserve">hile the </w:t>
      </w:r>
      <w:r w:rsidR="003C48A5">
        <w:rPr>
          <w:rFonts w:ascii="Times New Roman" w:hAnsi="Times New Roman" w:cs="Times New Roman"/>
        </w:rPr>
        <w:t>collection does an admirable job of introducing and examining a number of key issues in trade and non-trade policies, there are necessarily limitations with the form.</w:t>
      </w:r>
      <w:r w:rsidR="00A53373">
        <w:rPr>
          <w:rFonts w:ascii="Times New Roman" w:hAnsi="Times New Roman" w:cs="Times New Roman"/>
        </w:rPr>
        <w:t xml:space="preserve"> </w:t>
      </w:r>
      <w:r w:rsidR="003C48A5">
        <w:rPr>
          <w:rFonts w:ascii="Times New Roman" w:hAnsi="Times New Roman" w:cs="Times New Roman"/>
        </w:rPr>
        <w:t xml:space="preserve">By offering a range of perspectives from environmental lawyers, trade specialists, political scientists, and others, the structure does not lend itself to an early </w:t>
      </w:r>
      <w:r w:rsidR="00087968">
        <w:rPr>
          <w:rFonts w:ascii="Times New Roman" w:hAnsi="Times New Roman" w:cs="Times New Roman"/>
        </w:rPr>
        <w:t xml:space="preserve">comprehensive </w:t>
      </w:r>
      <w:r w:rsidR="003C48A5">
        <w:rPr>
          <w:rFonts w:ascii="Times New Roman" w:hAnsi="Times New Roman" w:cs="Times New Roman"/>
        </w:rPr>
        <w:t>critical analysis of the very distinction on which it is based: namely the relationship between trade and non-trade concerns. A number of the contributions identify the overlap between the categories, not only in terms of practical effect,</w:t>
      </w:r>
      <w:r w:rsidR="003C48A5">
        <w:rPr>
          <w:rStyle w:val="FootnoteReference"/>
          <w:rFonts w:ascii="Times New Roman" w:hAnsi="Times New Roman" w:cs="Times New Roman"/>
        </w:rPr>
        <w:footnoteReference w:id="18"/>
      </w:r>
      <w:r w:rsidR="003C48A5">
        <w:rPr>
          <w:rFonts w:ascii="Times New Roman" w:hAnsi="Times New Roman" w:cs="Times New Roman"/>
        </w:rPr>
        <w:t xml:space="preserve"> but also conceptually</w:t>
      </w:r>
      <w:r w:rsidR="006A52FE">
        <w:rPr>
          <w:rFonts w:ascii="Times New Roman" w:hAnsi="Times New Roman" w:cs="Times New Roman"/>
        </w:rPr>
        <w:t>.</w:t>
      </w:r>
      <w:r w:rsidR="003C48A5">
        <w:rPr>
          <w:rStyle w:val="FootnoteReference"/>
          <w:rFonts w:ascii="Times New Roman" w:hAnsi="Times New Roman" w:cs="Times New Roman"/>
        </w:rPr>
        <w:footnoteReference w:id="19"/>
      </w:r>
      <w:r w:rsidR="006A52FE">
        <w:rPr>
          <w:rFonts w:ascii="Times New Roman" w:hAnsi="Times New Roman" w:cs="Times New Roman"/>
        </w:rPr>
        <w:t xml:space="preserve"> Yet, the divide </w:t>
      </w:r>
      <w:r w:rsidR="006A52FE">
        <w:rPr>
          <w:rFonts w:ascii="Times New Roman" w:hAnsi="Times New Roman" w:cs="Times New Roman"/>
        </w:rPr>
        <w:lastRenderedPageBreak/>
        <w:t>between that which is trade and ‘non-trade’ is not self-evident.</w:t>
      </w:r>
      <w:r w:rsidR="00586831">
        <w:rPr>
          <w:rStyle w:val="FootnoteReference"/>
          <w:rFonts w:ascii="Times New Roman" w:hAnsi="Times New Roman" w:cs="Times New Roman"/>
        </w:rPr>
        <w:footnoteReference w:id="20"/>
      </w:r>
      <w:r w:rsidR="006A52FE">
        <w:rPr>
          <w:rFonts w:ascii="Times New Roman" w:hAnsi="Times New Roman" w:cs="Times New Roman"/>
        </w:rPr>
        <w:t xml:space="preserve"> While the WTO has taken its view</w:t>
      </w:r>
      <w:r w:rsidR="00BA521A">
        <w:rPr>
          <w:rFonts w:ascii="Times New Roman" w:hAnsi="Times New Roman" w:cs="Times New Roman"/>
        </w:rPr>
        <w:t xml:space="preserve"> in the Doha mandate</w:t>
      </w:r>
      <w:r w:rsidR="006A52FE">
        <w:rPr>
          <w:rFonts w:ascii="Times New Roman" w:hAnsi="Times New Roman" w:cs="Times New Roman"/>
        </w:rPr>
        <w:t>,</w:t>
      </w:r>
      <w:r w:rsidR="006A52FE">
        <w:rPr>
          <w:rStyle w:val="FootnoteReference"/>
          <w:rFonts w:ascii="Times New Roman" w:hAnsi="Times New Roman" w:cs="Times New Roman"/>
        </w:rPr>
        <w:footnoteReference w:id="21"/>
      </w:r>
      <w:r w:rsidR="006A52FE">
        <w:rPr>
          <w:rFonts w:ascii="Times New Roman" w:hAnsi="Times New Roman" w:cs="Times New Roman"/>
        </w:rPr>
        <w:t xml:space="preserve"> historical analysis demonstrates the fluidity of the divide, and the hidden assumptions and power asymmetries that such a division encourages.</w:t>
      </w:r>
      <w:r w:rsidR="006A52FE">
        <w:rPr>
          <w:rStyle w:val="FootnoteReference"/>
          <w:rFonts w:ascii="Times New Roman" w:hAnsi="Times New Roman" w:cs="Times New Roman"/>
        </w:rPr>
        <w:footnoteReference w:id="22"/>
      </w:r>
      <w:r w:rsidR="00267D4C">
        <w:rPr>
          <w:rFonts w:ascii="Times New Roman" w:hAnsi="Times New Roman" w:cs="Times New Roman"/>
        </w:rPr>
        <w:t xml:space="preserve"> Though some contributions implicitly acknowledge such a relational struggle, a more explicit introduction to the distinction and its place in the</w:t>
      </w:r>
      <w:r w:rsidR="001462EF">
        <w:rPr>
          <w:rFonts w:ascii="Times New Roman" w:hAnsi="Times New Roman" w:cs="Times New Roman"/>
        </w:rPr>
        <w:t xml:space="preserve"> study would have been welcome.</w:t>
      </w:r>
      <w:r w:rsidR="004C2F6E">
        <w:rPr>
          <w:rFonts w:ascii="Times New Roman" w:hAnsi="Times New Roman" w:cs="Times New Roman"/>
        </w:rPr>
        <w:t xml:space="preserve"> </w:t>
      </w:r>
      <w:r w:rsidR="00121FFD">
        <w:rPr>
          <w:rFonts w:ascii="Times New Roman" w:hAnsi="Times New Roman" w:cs="Times New Roman"/>
        </w:rPr>
        <w:t>This said, g</w:t>
      </w:r>
      <w:r w:rsidR="004C2F6E">
        <w:rPr>
          <w:rFonts w:ascii="Times New Roman" w:hAnsi="Times New Roman" w:cs="Times New Roman"/>
        </w:rPr>
        <w:t>iven the nature of such a large project, it is perhaps necessary that the distinction between trade and non-trade issues be limited by the strictures that the orthodox literature (including the WTO’s own position) takes</w:t>
      </w:r>
      <w:r w:rsidR="00121FFD">
        <w:rPr>
          <w:rFonts w:ascii="Times New Roman" w:hAnsi="Times New Roman" w:cs="Times New Roman"/>
        </w:rPr>
        <w:t>. A</w:t>
      </w:r>
      <w:r w:rsidR="004C2F6E">
        <w:rPr>
          <w:rFonts w:ascii="Times New Roman" w:hAnsi="Times New Roman" w:cs="Times New Roman"/>
        </w:rPr>
        <w:t xml:space="preserve">nd by examining not only trade law but also investment law, intellectual property, and corporate social responsibility </w:t>
      </w:r>
      <w:r w:rsidR="004C2F6E" w:rsidRPr="004C2F6E">
        <w:rPr>
          <w:rFonts w:ascii="Times New Roman" w:hAnsi="Times New Roman" w:cs="Times New Roman"/>
          <w:i/>
        </w:rPr>
        <w:t>inter alia</w:t>
      </w:r>
      <w:r w:rsidR="004C2F6E">
        <w:rPr>
          <w:rFonts w:ascii="Times New Roman" w:hAnsi="Times New Roman" w:cs="Times New Roman"/>
        </w:rPr>
        <w:t xml:space="preserve">, the contours of the relationship can be compared </w:t>
      </w:r>
      <w:r w:rsidR="00121FFD">
        <w:rPr>
          <w:rFonts w:ascii="Times New Roman" w:hAnsi="Times New Roman" w:cs="Times New Roman"/>
        </w:rPr>
        <w:t xml:space="preserve">across chapters. </w:t>
      </w:r>
      <w:r w:rsidR="00502151">
        <w:rPr>
          <w:rFonts w:ascii="Times New Roman" w:hAnsi="Times New Roman" w:cs="Times New Roman"/>
        </w:rPr>
        <w:t>O</w:t>
      </w:r>
      <w:r w:rsidR="00121FFD">
        <w:rPr>
          <w:rFonts w:ascii="Times New Roman" w:hAnsi="Times New Roman" w:cs="Times New Roman"/>
        </w:rPr>
        <w:t xml:space="preserve">ne of the virtues of the book </w:t>
      </w:r>
      <w:r w:rsidR="00502151">
        <w:rPr>
          <w:rFonts w:ascii="Times New Roman" w:hAnsi="Times New Roman" w:cs="Times New Roman"/>
        </w:rPr>
        <w:t xml:space="preserve">is </w:t>
      </w:r>
      <w:r w:rsidR="00121FFD">
        <w:rPr>
          <w:rFonts w:ascii="Times New Roman" w:hAnsi="Times New Roman" w:cs="Times New Roman"/>
        </w:rPr>
        <w:t xml:space="preserve">that as an edited collection of such scope it works remarkably well as a cohesive whole rather than an assortment of insights. </w:t>
      </w:r>
    </w:p>
    <w:p w14:paraId="300167FA" w14:textId="77777777" w:rsidR="00267D4C" w:rsidRDefault="00267D4C" w:rsidP="00FB5222">
      <w:pPr>
        <w:spacing w:line="480" w:lineRule="auto"/>
        <w:jc w:val="both"/>
        <w:rPr>
          <w:rFonts w:ascii="Times New Roman" w:hAnsi="Times New Roman" w:cs="Times New Roman"/>
        </w:rPr>
      </w:pPr>
    </w:p>
    <w:p w14:paraId="2402B5D3" w14:textId="6F9C51D3" w:rsidR="0062169D" w:rsidRPr="00622B6B" w:rsidRDefault="00A53373" w:rsidP="002351CF">
      <w:pPr>
        <w:spacing w:line="480" w:lineRule="auto"/>
        <w:jc w:val="both"/>
        <w:rPr>
          <w:rFonts w:ascii="Times New Roman" w:hAnsi="Times New Roman" w:cs="Times New Roman"/>
        </w:rPr>
      </w:pPr>
      <w:r w:rsidRPr="00A53373">
        <w:rPr>
          <w:rFonts w:ascii="Times New Roman" w:hAnsi="Times New Roman" w:cs="Times New Roman"/>
          <w:i/>
        </w:rPr>
        <w:t>China’s Influence on Non-Trade Concerns in International Economic Law</w:t>
      </w:r>
      <w:r>
        <w:rPr>
          <w:rFonts w:ascii="Times New Roman" w:hAnsi="Times New Roman" w:cs="Times New Roman"/>
        </w:rPr>
        <w:t xml:space="preserve"> offers a wide range of studies on </w:t>
      </w:r>
      <w:r w:rsidR="0072622E">
        <w:rPr>
          <w:rFonts w:ascii="Times New Roman" w:hAnsi="Times New Roman" w:cs="Times New Roman"/>
        </w:rPr>
        <w:t xml:space="preserve">the interaction between </w:t>
      </w:r>
      <w:r>
        <w:rPr>
          <w:rFonts w:ascii="Times New Roman" w:hAnsi="Times New Roman" w:cs="Times New Roman"/>
        </w:rPr>
        <w:t xml:space="preserve">trade and investment related issues </w:t>
      </w:r>
      <w:r w:rsidR="0072622E">
        <w:rPr>
          <w:rFonts w:ascii="Times New Roman" w:hAnsi="Times New Roman" w:cs="Times New Roman"/>
        </w:rPr>
        <w:t xml:space="preserve">and non-trade topics </w:t>
      </w:r>
      <w:r w:rsidR="00BA521A">
        <w:rPr>
          <w:rFonts w:ascii="Times New Roman" w:hAnsi="Times New Roman" w:cs="Times New Roman"/>
        </w:rPr>
        <w:t xml:space="preserve">both </w:t>
      </w:r>
      <w:r w:rsidR="0072622E">
        <w:rPr>
          <w:rFonts w:ascii="Times New Roman" w:hAnsi="Times New Roman" w:cs="Times New Roman"/>
        </w:rPr>
        <w:t xml:space="preserve">in the Chinese legal system </w:t>
      </w:r>
      <w:r w:rsidR="00BA521A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where China is an actor on the international plan</w:t>
      </w:r>
      <w:bookmarkStart w:id="0" w:name="_GoBack"/>
      <w:bookmarkEnd w:id="0"/>
      <w:r>
        <w:rPr>
          <w:rFonts w:ascii="Times New Roman" w:hAnsi="Times New Roman" w:cs="Times New Roman"/>
        </w:rPr>
        <w:t>e</w:t>
      </w:r>
      <w:r w:rsidR="0072622E">
        <w:rPr>
          <w:rFonts w:ascii="Times New Roman" w:hAnsi="Times New Roman" w:cs="Times New Roman"/>
        </w:rPr>
        <w:t xml:space="preserve">. While some chapters will be of greater interest to some than others, there is little doubt that the editors have </w:t>
      </w:r>
      <w:r w:rsidR="00BA521A">
        <w:rPr>
          <w:rFonts w:ascii="Times New Roman" w:hAnsi="Times New Roman" w:cs="Times New Roman"/>
        </w:rPr>
        <w:t xml:space="preserve">done an extraordinary job in producing </w:t>
      </w:r>
      <w:r w:rsidR="0072622E">
        <w:rPr>
          <w:rFonts w:ascii="Times New Roman" w:hAnsi="Times New Roman" w:cs="Times New Roman"/>
        </w:rPr>
        <w:t xml:space="preserve">an </w:t>
      </w:r>
      <w:r>
        <w:rPr>
          <w:rFonts w:ascii="Times New Roman" w:hAnsi="Times New Roman" w:cs="Times New Roman"/>
        </w:rPr>
        <w:t xml:space="preserve">excellent entry into a fertile area of study of </w:t>
      </w:r>
      <w:r w:rsidR="00BA521A">
        <w:rPr>
          <w:rFonts w:ascii="Times New Roman" w:hAnsi="Times New Roman" w:cs="Times New Roman"/>
        </w:rPr>
        <w:t xml:space="preserve">critical </w:t>
      </w:r>
      <w:r>
        <w:rPr>
          <w:rFonts w:ascii="Times New Roman" w:hAnsi="Times New Roman" w:cs="Times New Roman"/>
        </w:rPr>
        <w:t>importance.</w:t>
      </w:r>
      <w:r w:rsidR="0072622E">
        <w:rPr>
          <w:rFonts w:ascii="Times New Roman" w:hAnsi="Times New Roman" w:cs="Times New Roman"/>
        </w:rPr>
        <w:t xml:space="preserve"> </w:t>
      </w:r>
    </w:p>
    <w:sectPr w:rsidR="0062169D" w:rsidRPr="00622B6B" w:rsidSect="0029737F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3DF2C" w14:textId="77777777" w:rsidR="004B79F7" w:rsidRDefault="004B79F7" w:rsidP="002B264C">
      <w:r>
        <w:separator/>
      </w:r>
    </w:p>
  </w:endnote>
  <w:endnote w:type="continuationSeparator" w:id="0">
    <w:p w14:paraId="6685649E" w14:textId="77777777" w:rsidR="004B79F7" w:rsidRDefault="004B79F7" w:rsidP="002B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6C982" w14:textId="77777777" w:rsidR="002351CF" w:rsidRDefault="002351CF" w:rsidP="00EA716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CFD86" w14:textId="77777777" w:rsidR="002351CF" w:rsidRDefault="002351CF" w:rsidP="002351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FC348" w14:textId="77777777" w:rsidR="002351CF" w:rsidRPr="002351CF" w:rsidRDefault="002351CF" w:rsidP="00EA7161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2351CF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2351CF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2351CF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FB7BEC">
      <w:rPr>
        <w:rStyle w:val="PageNumber"/>
        <w:rFonts w:ascii="Times New Roman" w:hAnsi="Times New Roman" w:cs="Times New Roman"/>
        <w:noProof/>
        <w:sz w:val="20"/>
        <w:szCs w:val="20"/>
      </w:rPr>
      <w:t>4</w:t>
    </w:r>
    <w:r w:rsidRPr="002351CF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34BC9BBF" w14:textId="77777777" w:rsidR="002351CF" w:rsidRPr="002351CF" w:rsidRDefault="002351CF" w:rsidP="002351CF">
    <w:pPr>
      <w:pStyle w:val="Footer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2B717" w14:textId="77777777" w:rsidR="004B79F7" w:rsidRDefault="004B79F7" w:rsidP="002B264C">
      <w:r>
        <w:separator/>
      </w:r>
    </w:p>
  </w:footnote>
  <w:footnote w:type="continuationSeparator" w:id="0">
    <w:p w14:paraId="237AFC51" w14:textId="77777777" w:rsidR="004B79F7" w:rsidRDefault="004B79F7" w:rsidP="002B264C">
      <w:r>
        <w:continuationSeparator/>
      </w:r>
    </w:p>
  </w:footnote>
  <w:footnote w:id="1">
    <w:p w14:paraId="55945DFF" w14:textId="4C206A24" w:rsidR="00BB4CDB" w:rsidRPr="00BD4006" w:rsidRDefault="00BB4CDB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D8615B" w:rsidRPr="00BD4006">
        <w:rPr>
          <w:rFonts w:ascii="Times New Roman" w:hAnsi="Times New Roman" w:cs="Times New Roman"/>
          <w:sz w:val="20"/>
          <w:szCs w:val="20"/>
        </w:rPr>
        <w:t>As of April 2017. See, the IMF World Economic Outlook: &lt;</w:t>
      </w:r>
      <w:hyperlink r:id="rId1" w:history="1">
        <w:r w:rsidR="00D8615B" w:rsidRPr="00BD4006">
          <w:rPr>
            <w:rStyle w:val="Hyperlink"/>
            <w:rFonts w:ascii="Times New Roman" w:hAnsi="Times New Roman" w:cs="Times New Roman"/>
            <w:sz w:val="20"/>
            <w:szCs w:val="20"/>
          </w:rPr>
          <w:t>https://www.imf.org/external/pubs/ft/weo/2017/01/weodata/index.aspx</w:t>
        </w:r>
      </w:hyperlink>
      <w:r w:rsidR="00D8615B" w:rsidRPr="00BD4006">
        <w:rPr>
          <w:rFonts w:ascii="Times New Roman" w:hAnsi="Times New Roman" w:cs="Times New Roman"/>
          <w:sz w:val="20"/>
          <w:szCs w:val="20"/>
        </w:rPr>
        <w:t>&gt; accessed 14</w:t>
      </w:r>
      <w:r w:rsidR="00D8615B" w:rsidRPr="00BD40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8615B" w:rsidRPr="00BD4006">
        <w:rPr>
          <w:rFonts w:ascii="Times New Roman" w:hAnsi="Times New Roman" w:cs="Times New Roman"/>
          <w:sz w:val="20"/>
          <w:szCs w:val="20"/>
        </w:rPr>
        <w:t xml:space="preserve"> June 2017.</w:t>
      </w:r>
    </w:p>
  </w:footnote>
  <w:footnote w:id="2">
    <w:p w14:paraId="6DCE3F28" w14:textId="27F0EB97" w:rsidR="00D8615B" w:rsidRPr="00BD4006" w:rsidRDefault="00D8615B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Statistics on foreign direct investment are available from UNCTAD, available at &lt;</w:t>
      </w:r>
      <w:hyperlink r:id="rId2" w:history="1">
        <w:r w:rsidRPr="00BD4006">
          <w:rPr>
            <w:rStyle w:val="Hyperlink"/>
            <w:rFonts w:ascii="Times New Roman" w:hAnsi="Times New Roman" w:cs="Times New Roman"/>
            <w:sz w:val="20"/>
            <w:szCs w:val="20"/>
          </w:rPr>
          <w:t>http://unctad.org/en/Pages/DIAE/FDI%20Statistics/FDI-Statistics.aspx</w:t>
        </w:r>
      </w:hyperlink>
      <w:r w:rsidRPr="00BD4006">
        <w:rPr>
          <w:rFonts w:ascii="Times New Roman" w:hAnsi="Times New Roman" w:cs="Times New Roman"/>
          <w:sz w:val="20"/>
          <w:szCs w:val="20"/>
        </w:rPr>
        <w:t>&gt; accessed 14</w:t>
      </w:r>
      <w:r w:rsidRPr="00BD400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BD4006">
        <w:rPr>
          <w:rFonts w:ascii="Times New Roman" w:hAnsi="Times New Roman" w:cs="Times New Roman"/>
          <w:sz w:val="20"/>
          <w:szCs w:val="20"/>
        </w:rPr>
        <w:t xml:space="preserve"> June 2017.</w:t>
      </w:r>
    </w:p>
  </w:footnote>
  <w:footnote w:id="3">
    <w:p w14:paraId="24748990" w14:textId="4071FA68" w:rsidR="00BD4006" w:rsidRPr="00BD4006" w:rsidRDefault="00BD4006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Note, however: Xin Zhang, </w:t>
      </w:r>
      <w:r w:rsidRPr="00BD4006">
        <w:rPr>
          <w:rFonts w:ascii="Times New Roman" w:hAnsi="Times New Roman" w:cs="Times New Roman"/>
          <w:i/>
          <w:sz w:val="20"/>
          <w:szCs w:val="20"/>
        </w:rPr>
        <w:t xml:space="preserve">International Trade Regulation in China </w:t>
      </w:r>
      <w:r w:rsidRPr="00BD4006">
        <w:rPr>
          <w:rFonts w:ascii="Times New Roman" w:hAnsi="Times New Roman" w:cs="Times New Roman"/>
          <w:sz w:val="20"/>
          <w:szCs w:val="20"/>
        </w:rPr>
        <w:t xml:space="preserve">(Hart 2006); Barry Eichengreen, Yung Chul Park, and Charles Wyplosz, </w:t>
      </w:r>
      <w:r w:rsidRPr="00BD4006">
        <w:rPr>
          <w:rFonts w:ascii="Times New Roman" w:hAnsi="Times New Roman" w:cs="Times New Roman"/>
          <w:i/>
          <w:sz w:val="20"/>
          <w:szCs w:val="20"/>
        </w:rPr>
        <w:t>China, Asia, and the New World Economy</w:t>
      </w:r>
      <w:r w:rsidRPr="00BD4006">
        <w:rPr>
          <w:rFonts w:ascii="Times New Roman" w:hAnsi="Times New Roman" w:cs="Times New Roman"/>
          <w:sz w:val="20"/>
          <w:szCs w:val="20"/>
        </w:rPr>
        <w:t xml:space="preserve"> (OUP 2008); Francis Snyder, </w:t>
      </w:r>
      <w:r w:rsidRPr="00BD4006">
        <w:rPr>
          <w:rFonts w:ascii="Times New Roman" w:hAnsi="Times New Roman" w:cs="Times New Roman"/>
          <w:i/>
          <w:sz w:val="20"/>
          <w:szCs w:val="20"/>
        </w:rPr>
        <w:t>The EU, The WTO and China</w:t>
      </w:r>
      <w:r w:rsidRPr="00BD4006">
        <w:rPr>
          <w:rFonts w:ascii="Times New Roman" w:hAnsi="Times New Roman" w:cs="Times New Roman"/>
          <w:sz w:val="20"/>
          <w:szCs w:val="20"/>
        </w:rPr>
        <w:t xml:space="preserve"> (Hart 2010); Wenhua Shan and Jinyuan Su (eds), </w:t>
      </w:r>
      <w:r w:rsidRPr="00BD4006">
        <w:rPr>
          <w:rFonts w:ascii="Times New Roman" w:hAnsi="Times New Roman" w:cs="Times New Roman"/>
          <w:i/>
          <w:sz w:val="20"/>
          <w:szCs w:val="20"/>
        </w:rPr>
        <w:t xml:space="preserve">China and International Investment Law </w:t>
      </w:r>
      <w:r w:rsidRPr="00BD4006">
        <w:rPr>
          <w:rFonts w:ascii="Times New Roman" w:hAnsi="Times New Roman" w:cs="Times New Roman"/>
          <w:sz w:val="20"/>
          <w:szCs w:val="20"/>
        </w:rPr>
        <w:t>(Brill Nijhoff 2015).</w:t>
      </w:r>
    </w:p>
  </w:footnote>
  <w:footnote w:id="4">
    <w:p w14:paraId="0B13ABE6" w14:textId="269D0A14" w:rsidR="00E44D56" w:rsidRPr="00BD4006" w:rsidRDefault="00E44D56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0D4AB6" w:rsidRPr="00BD4006">
        <w:rPr>
          <w:rFonts w:ascii="Times New Roman" w:hAnsi="Times New Roman" w:cs="Times New Roman"/>
          <w:sz w:val="20"/>
          <w:szCs w:val="20"/>
        </w:rPr>
        <w:t>For common accounts and their context, see</w:t>
      </w:r>
      <w:r w:rsidRPr="00BD4006">
        <w:rPr>
          <w:rFonts w:ascii="Times New Roman" w:hAnsi="Times New Roman" w:cs="Times New Roman"/>
          <w:sz w:val="20"/>
          <w:szCs w:val="20"/>
        </w:rPr>
        <w:t xml:space="preserve"> Zhang Longxi, ‘The Myth of the Other: China in the Eyes of the West’, 15 </w:t>
      </w:r>
      <w:r w:rsidRPr="00784EFB">
        <w:rPr>
          <w:rFonts w:ascii="Times New Roman" w:hAnsi="Times New Roman" w:cs="Times New Roman"/>
          <w:i/>
          <w:sz w:val="20"/>
          <w:szCs w:val="20"/>
        </w:rPr>
        <w:t>Critical Inquiry</w:t>
      </w:r>
      <w:r w:rsidRPr="00BD4006">
        <w:rPr>
          <w:rFonts w:ascii="Times New Roman" w:hAnsi="Times New Roman" w:cs="Times New Roman"/>
          <w:sz w:val="20"/>
          <w:szCs w:val="20"/>
        </w:rPr>
        <w:t xml:space="preserve"> 1 (1988) 108-131.</w:t>
      </w:r>
    </w:p>
  </w:footnote>
  <w:footnote w:id="5">
    <w:p w14:paraId="4886E353" w14:textId="77777777" w:rsidR="00784EFB" w:rsidRPr="00784EFB" w:rsidRDefault="00061169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784EFB">
        <w:rPr>
          <w:rFonts w:ascii="Times New Roman" w:hAnsi="Times New Roman" w:cs="Times New Roman"/>
          <w:sz w:val="20"/>
          <w:szCs w:val="20"/>
        </w:rPr>
        <w:t xml:space="preserve">For a general overview: </w:t>
      </w:r>
      <w:r w:rsidR="00784EFB" w:rsidRPr="00784EFB">
        <w:rPr>
          <w:rFonts w:ascii="Times New Roman" w:hAnsi="Times New Roman" w:cs="Times New Roman"/>
          <w:sz w:val="20"/>
          <w:szCs w:val="20"/>
        </w:rPr>
        <w:t>ILC, ‘Fragmentation of International Law: Difficulties Arising from the</w:t>
      </w:r>
    </w:p>
    <w:p w14:paraId="4ED67EDA" w14:textId="79CBD345" w:rsidR="00061169" w:rsidRPr="00BD4006" w:rsidRDefault="00784EFB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784EFB">
        <w:rPr>
          <w:rFonts w:ascii="Times New Roman" w:hAnsi="Times New Roman" w:cs="Times New Roman"/>
          <w:sz w:val="20"/>
          <w:szCs w:val="20"/>
        </w:rPr>
        <w:t>Diversification and Expansion of International Law’ (13 April 2006) A/ CN4/ L682,</w:t>
      </w:r>
    </w:p>
  </w:footnote>
  <w:footnote w:id="6">
    <w:p w14:paraId="26CAEDF4" w14:textId="52BD6E39" w:rsidR="00B76B72" w:rsidRPr="00BD4006" w:rsidRDefault="00B76B72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3B7A81">
        <w:rPr>
          <w:rFonts w:ascii="Times New Roman" w:hAnsi="Times New Roman" w:cs="Times New Roman"/>
          <w:sz w:val="20"/>
          <w:szCs w:val="20"/>
        </w:rPr>
        <w:t xml:space="preserve"> Chapter 8, pp 134-6.</w:t>
      </w:r>
    </w:p>
  </w:footnote>
  <w:footnote w:id="7">
    <w:p w14:paraId="53AF4371" w14:textId="1B844C96" w:rsidR="00D2627B" w:rsidRPr="00BD4006" w:rsidRDefault="00D2627B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Chapters 22, 23, and 24.</w:t>
      </w:r>
    </w:p>
  </w:footnote>
  <w:footnote w:id="8">
    <w:p w14:paraId="26472A5B" w14:textId="31AB5FE4" w:rsidR="00E124BA" w:rsidRPr="003B7A81" w:rsidRDefault="00E124BA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3B7A81">
        <w:rPr>
          <w:rFonts w:ascii="Times New Roman" w:hAnsi="Times New Roman" w:cs="Times New Roman"/>
          <w:sz w:val="20"/>
          <w:szCs w:val="20"/>
        </w:rPr>
        <w:t xml:space="preserve"> Already the indirect subject of litigation at the WTO: </w:t>
      </w:r>
      <w:r w:rsidR="003B7A81" w:rsidRPr="003B7A81">
        <w:rPr>
          <w:rFonts w:ascii="Times New Roman" w:hAnsi="Times New Roman" w:cs="Times New Roman"/>
          <w:i/>
          <w:sz w:val="20"/>
          <w:szCs w:val="20"/>
        </w:rPr>
        <w:t>China— Measures Affecting Trading Rights and Distribution Services For Certain Publications and Audiovisual Entertainment Products</w:t>
      </w:r>
      <w:r w:rsidR="003B7A8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B7A81">
        <w:rPr>
          <w:rFonts w:ascii="Times New Roman" w:hAnsi="Times New Roman" w:cs="Times New Roman"/>
          <w:sz w:val="20"/>
          <w:szCs w:val="20"/>
        </w:rPr>
        <w:t>(WT/DS363).</w:t>
      </w:r>
    </w:p>
  </w:footnote>
  <w:footnote w:id="9">
    <w:p w14:paraId="126D47EF" w14:textId="7D8A3368" w:rsidR="00CE66B6" w:rsidRPr="00BD4006" w:rsidRDefault="00CE66B6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0001B0">
        <w:rPr>
          <w:rFonts w:ascii="Times New Roman" w:hAnsi="Times New Roman" w:cs="Times New Roman"/>
          <w:sz w:val="20"/>
          <w:szCs w:val="20"/>
        </w:rPr>
        <w:t xml:space="preserve">For a brief </w:t>
      </w:r>
      <w:r w:rsidR="00517709">
        <w:rPr>
          <w:rFonts w:ascii="Times New Roman" w:hAnsi="Times New Roman" w:cs="Times New Roman"/>
          <w:sz w:val="20"/>
          <w:szCs w:val="20"/>
        </w:rPr>
        <w:t xml:space="preserve">overview of the key issues: Virginia A Leary, ‘The WTO and the Social Clause: Post-Singapore’, 1 </w:t>
      </w:r>
      <w:r w:rsidR="00517709" w:rsidRPr="00517709">
        <w:rPr>
          <w:rFonts w:ascii="Times New Roman" w:hAnsi="Times New Roman" w:cs="Times New Roman"/>
          <w:i/>
          <w:sz w:val="20"/>
          <w:szCs w:val="20"/>
        </w:rPr>
        <w:t>European Journal of International Law</w:t>
      </w:r>
      <w:r w:rsidR="00517709">
        <w:rPr>
          <w:rFonts w:ascii="Times New Roman" w:hAnsi="Times New Roman" w:cs="Times New Roman"/>
          <w:sz w:val="20"/>
          <w:szCs w:val="20"/>
        </w:rPr>
        <w:t xml:space="preserve"> (1997) 118-122.</w:t>
      </w:r>
    </w:p>
  </w:footnote>
  <w:footnote w:id="10">
    <w:p w14:paraId="433EEE4B" w14:textId="3BD2FD84" w:rsidR="00046047" w:rsidRPr="00BD4006" w:rsidRDefault="00046047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p</w:t>
      </w:r>
      <w:r w:rsidR="00960C05">
        <w:rPr>
          <w:rFonts w:ascii="Times New Roman" w:hAnsi="Times New Roman" w:cs="Times New Roman"/>
          <w:sz w:val="20"/>
          <w:szCs w:val="20"/>
        </w:rPr>
        <w:t xml:space="preserve"> </w:t>
      </w:r>
      <w:r w:rsidRPr="00BD4006">
        <w:rPr>
          <w:rFonts w:ascii="Times New Roman" w:hAnsi="Times New Roman" w:cs="Times New Roman"/>
          <w:sz w:val="20"/>
          <w:szCs w:val="20"/>
        </w:rPr>
        <w:t>226.</w:t>
      </w:r>
    </w:p>
  </w:footnote>
  <w:footnote w:id="11">
    <w:p w14:paraId="3DF975CA" w14:textId="383F78CA" w:rsidR="000001B0" w:rsidRPr="00BD4006" w:rsidRDefault="000001B0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960C05">
        <w:rPr>
          <w:rFonts w:ascii="Times New Roman" w:hAnsi="Times New Roman" w:cs="Times New Roman"/>
          <w:sz w:val="20"/>
          <w:szCs w:val="20"/>
        </w:rPr>
        <w:t xml:space="preserve">pp </w:t>
      </w:r>
      <w:r w:rsidRPr="00BD400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33-4</w:t>
      </w:r>
      <w:r w:rsidRPr="00BD4006">
        <w:rPr>
          <w:rFonts w:ascii="Times New Roman" w:hAnsi="Times New Roman" w:cs="Times New Roman"/>
          <w:sz w:val="20"/>
          <w:szCs w:val="20"/>
        </w:rPr>
        <w:t>.</w:t>
      </w:r>
    </w:p>
  </w:footnote>
  <w:footnote w:id="12">
    <w:p w14:paraId="6434BC99" w14:textId="30EA93A8" w:rsidR="00760C0D" w:rsidRPr="008C0B3D" w:rsidRDefault="00760C0D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8C0B3D">
        <w:rPr>
          <w:rFonts w:ascii="Times New Roman" w:hAnsi="Times New Roman" w:cs="Times New Roman"/>
          <w:sz w:val="20"/>
          <w:szCs w:val="20"/>
        </w:rPr>
        <w:t xml:space="preserve">For an overview, see: Joint Report, United Nations Environment Programme &amp; </w:t>
      </w:r>
      <w:r w:rsidR="008C0B3D" w:rsidRPr="008C0B3D">
        <w:rPr>
          <w:rFonts w:ascii="Times New Roman" w:hAnsi="Times New Roman" w:cs="Times New Roman"/>
          <w:sz w:val="20"/>
          <w:szCs w:val="20"/>
        </w:rPr>
        <w:t>Chinese Ministry of Environmental Protection</w:t>
      </w:r>
      <w:r w:rsidR="008C0B3D">
        <w:rPr>
          <w:rFonts w:ascii="Times New Roman" w:hAnsi="Times New Roman" w:cs="Times New Roman"/>
          <w:sz w:val="20"/>
          <w:szCs w:val="20"/>
        </w:rPr>
        <w:t xml:space="preserve">, </w:t>
      </w:r>
      <w:r w:rsidR="008C0B3D" w:rsidRPr="008C0B3D">
        <w:rPr>
          <w:rFonts w:ascii="Times New Roman" w:hAnsi="Times New Roman" w:cs="Times New Roman"/>
          <w:i/>
          <w:sz w:val="20"/>
          <w:szCs w:val="20"/>
        </w:rPr>
        <w:t>China’s Green Long March</w:t>
      </w:r>
      <w:r w:rsidR="008C0B3D">
        <w:rPr>
          <w:rFonts w:ascii="Times New Roman" w:hAnsi="Times New Roman" w:cs="Times New Roman"/>
          <w:sz w:val="20"/>
          <w:szCs w:val="20"/>
        </w:rPr>
        <w:t xml:space="preserve"> (2013). </w:t>
      </w:r>
    </w:p>
  </w:footnote>
  <w:footnote w:id="13">
    <w:p w14:paraId="152AA156" w14:textId="04EB3C18" w:rsidR="009B51F0" w:rsidRPr="00BD4006" w:rsidRDefault="009B51F0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3B0BE1">
        <w:rPr>
          <w:rFonts w:ascii="Times New Roman" w:hAnsi="Times New Roman" w:cs="Times New Roman"/>
          <w:sz w:val="20"/>
          <w:szCs w:val="20"/>
        </w:rPr>
        <w:t xml:space="preserve">Discussed as part of Hu Jintao’s ‘harmonious society’ at </w:t>
      </w:r>
      <w:r w:rsidR="00CE2167">
        <w:rPr>
          <w:rFonts w:ascii="Times New Roman" w:hAnsi="Times New Roman" w:cs="Times New Roman"/>
          <w:sz w:val="20"/>
          <w:szCs w:val="20"/>
        </w:rPr>
        <w:t>p xxvi.</w:t>
      </w:r>
    </w:p>
  </w:footnote>
  <w:footnote w:id="14">
    <w:p w14:paraId="18ADB19C" w14:textId="00828426" w:rsidR="00EB467A" w:rsidRPr="00BD4006" w:rsidRDefault="00EB467A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262961">
        <w:rPr>
          <w:rFonts w:ascii="Times New Roman" w:hAnsi="Times New Roman" w:cs="Times New Roman"/>
          <w:sz w:val="20"/>
          <w:szCs w:val="20"/>
        </w:rPr>
        <w:t>p</w:t>
      </w:r>
      <w:r w:rsidRPr="00BD4006">
        <w:rPr>
          <w:rFonts w:ascii="Times New Roman" w:hAnsi="Times New Roman" w:cs="Times New Roman"/>
          <w:sz w:val="20"/>
          <w:szCs w:val="20"/>
        </w:rPr>
        <w:t>p</w:t>
      </w:r>
      <w:r w:rsidR="00262961">
        <w:rPr>
          <w:rFonts w:ascii="Times New Roman" w:hAnsi="Times New Roman" w:cs="Times New Roman"/>
          <w:sz w:val="20"/>
          <w:szCs w:val="20"/>
        </w:rPr>
        <w:t xml:space="preserve"> </w:t>
      </w:r>
      <w:r w:rsidRPr="00BD4006">
        <w:rPr>
          <w:rFonts w:ascii="Times New Roman" w:hAnsi="Times New Roman" w:cs="Times New Roman"/>
          <w:sz w:val="20"/>
          <w:szCs w:val="20"/>
        </w:rPr>
        <w:t>185ff</w:t>
      </w:r>
      <w:r w:rsidR="00262961">
        <w:rPr>
          <w:rFonts w:ascii="Times New Roman" w:hAnsi="Times New Roman" w:cs="Times New Roman"/>
          <w:sz w:val="20"/>
          <w:szCs w:val="20"/>
        </w:rPr>
        <w:t>.</w:t>
      </w:r>
    </w:p>
  </w:footnote>
  <w:footnote w:id="15">
    <w:p w14:paraId="335DA8B0" w14:textId="57C974F7" w:rsidR="00921523" w:rsidRPr="00BD4006" w:rsidRDefault="00921523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C827E6">
        <w:rPr>
          <w:rFonts w:ascii="Times New Roman" w:hAnsi="Times New Roman" w:cs="Times New Roman"/>
          <w:sz w:val="20"/>
          <w:szCs w:val="20"/>
        </w:rPr>
        <w:t xml:space="preserve">Chapter 16: </w:t>
      </w:r>
      <w:r w:rsidR="00BD31E4">
        <w:rPr>
          <w:rFonts w:ascii="Times New Roman" w:hAnsi="Times New Roman" w:cs="Times New Roman"/>
          <w:sz w:val="20"/>
          <w:szCs w:val="20"/>
        </w:rPr>
        <w:t xml:space="preserve">Paolo Davide </w:t>
      </w:r>
      <w:r w:rsidRPr="00BD4006">
        <w:rPr>
          <w:rFonts w:ascii="Times New Roman" w:hAnsi="Times New Roman" w:cs="Times New Roman"/>
          <w:sz w:val="20"/>
          <w:szCs w:val="20"/>
        </w:rPr>
        <w:t xml:space="preserve">Farah and </w:t>
      </w:r>
      <w:r w:rsidR="00BD31E4">
        <w:rPr>
          <w:rFonts w:ascii="Times New Roman" w:hAnsi="Times New Roman" w:cs="Times New Roman"/>
          <w:sz w:val="20"/>
          <w:szCs w:val="20"/>
        </w:rPr>
        <w:t xml:space="preserve">Riccardo </w:t>
      </w:r>
      <w:r w:rsidRPr="00BD4006">
        <w:rPr>
          <w:rFonts w:ascii="Times New Roman" w:hAnsi="Times New Roman" w:cs="Times New Roman"/>
          <w:sz w:val="20"/>
          <w:szCs w:val="20"/>
        </w:rPr>
        <w:t xml:space="preserve">Tremolada, </w:t>
      </w:r>
      <w:r w:rsidR="00BD31E4">
        <w:rPr>
          <w:rFonts w:ascii="Times New Roman" w:hAnsi="Times New Roman" w:cs="Times New Roman"/>
          <w:sz w:val="20"/>
          <w:szCs w:val="20"/>
        </w:rPr>
        <w:t>‘A Comparison Between Shale Gas in China and Unconventional Fuel Development in the United States: Water, Environmental Protection and Sustainable Development’</w:t>
      </w:r>
      <w:r w:rsidR="00BE3EC2">
        <w:rPr>
          <w:rFonts w:ascii="Times New Roman" w:hAnsi="Times New Roman" w:cs="Times New Roman"/>
          <w:sz w:val="20"/>
          <w:szCs w:val="20"/>
        </w:rPr>
        <w:t>.</w:t>
      </w:r>
    </w:p>
  </w:footnote>
  <w:footnote w:id="16">
    <w:p w14:paraId="45557C54" w14:textId="3E41C0A7" w:rsidR="006F43BE" w:rsidRPr="00BD4006" w:rsidRDefault="006F43BE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B67214">
        <w:rPr>
          <w:rFonts w:ascii="Times New Roman" w:hAnsi="Times New Roman" w:cs="Times New Roman"/>
          <w:sz w:val="20"/>
          <w:szCs w:val="20"/>
        </w:rPr>
        <w:t>For example, Chapters 8 and 27.</w:t>
      </w:r>
    </w:p>
  </w:footnote>
  <w:footnote w:id="17">
    <w:p w14:paraId="56405CF5" w14:textId="4B2E6471" w:rsidR="004F0637" w:rsidRPr="00BD4006" w:rsidRDefault="004F0637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For example, </w:t>
      </w:r>
      <w:r w:rsidR="00B67214">
        <w:rPr>
          <w:rFonts w:ascii="Times New Roman" w:hAnsi="Times New Roman" w:cs="Times New Roman"/>
          <w:sz w:val="20"/>
          <w:szCs w:val="20"/>
        </w:rPr>
        <w:t>Chapters 18 and 26.</w:t>
      </w:r>
    </w:p>
  </w:footnote>
  <w:footnote w:id="18">
    <w:p w14:paraId="500C9EAE" w14:textId="66D1B3D3" w:rsidR="003C48A5" w:rsidRPr="00BD4006" w:rsidRDefault="003C48A5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087968">
        <w:rPr>
          <w:rFonts w:ascii="Times New Roman" w:hAnsi="Times New Roman" w:cs="Times New Roman"/>
          <w:sz w:val="20"/>
          <w:szCs w:val="20"/>
        </w:rPr>
        <w:t>pp 44-53.</w:t>
      </w:r>
    </w:p>
  </w:footnote>
  <w:footnote w:id="19">
    <w:p w14:paraId="7FC3C90B" w14:textId="093FDDBC" w:rsidR="003C48A5" w:rsidRPr="00BD4006" w:rsidRDefault="003C48A5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BD4006">
        <w:rPr>
          <w:rFonts w:ascii="Times New Roman" w:hAnsi="Times New Roman" w:cs="Times New Roman"/>
          <w:sz w:val="20"/>
          <w:szCs w:val="20"/>
        </w:rPr>
        <w:t xml:space="preserve"> </w:t>
      </w:r>
      <w:r w:rsidR="007F326C">
        <w:rPr>
          <w:rFonts w:ascii="Times New Roman" w:hAnsi="Times New Roman" w:cs="Times New Roman"/>
          <w:sz w:val="20"/>
          <w:szCs w:val="20"/>
        </w:rPr>
        <w:t xml:space="preserve">For example, </w:t>
      </w:r>
      <w:r w:rsidRPr="00BD4006">
        <w:rPr>
          <w:rFonts w:ascii="Times New Roman" w:hAnsi="Times New Roman" w:cs="Times New Roman"/>
          <w:sz w:val="20"/>
          <w:szCs w:val="20"/>
        </w:rPr>
        <w:t>Chapter 12.</w:t>
      </w:r>
    </w:p>
  </w:footnote>
  <w:footnote w:id="20">
    <w:p w14:paraId="2AAC16FE" w14:textId="43566CDB" w:rsidR="00586831" w:rsidRPr="00BD4006" w:rsidRDefault="00586831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8C0B3D">
        <w:rPr>
          <w:rFonts w:ascii="Times New Roman" w:hAnsi="Times New Roman" w:cs="Times New Roman"/>
          <w:sz w:val="20"/>
          <w:szCs w:val="20"/>
        </w:rPr>
        <w:t xml:space="preserve"> Andrew Lang, </w:t>
      </w:r>
      <w:r w:rsidR="008C0B3D" w:rsidRPr="008C0B3D">
        <w:rPr>
          <w:rFonts w:ascii="Times New Roman" w:hAnsi="Times New Roman" w:cs="Times New Roman"/>
          <w:sz w:val="20"/>
          <w:szCs w:val="20"/>
        </w:rPr>
        <w:t>‘Reflecting on “Linkage”: Cognitive and Institutional Change in The International Trading System’, 70</w:t>
      </w:r>
      <w:r w:rsidR="008C0B3D">
        <w:rPr>
          <w:rFonts w:ascii="Times New Roman" w:hAnsi="Times New Roman" w:cs="Times New Roman"/>
          <w:sz w:val="20"/>
          <w:szCs w:val="20"/>
        </w:rPr>
        <w:t xml:space="preserve"> </w:t>
      </w:r>
      <w:r w:rsidR="008C0B3D" w:rsidRPr="008C0B3D">
        <w:rPr>
          <w:rFonts w:ascii="Times New Roman" w:hAnsi="Times New Roman" w:cs="Times New Roman"/>
          <w:i/>
          <w:sz w:val="20"/>
          <w:szCs w:val="20"/>
        </w:rPr>
        <w:t>Modern Law Review</w:t>
      </w:r>
      <w:r w:rsidR="008C0B3D" w:rsidRPr="008C0B3D">
        <w:rPr>
          <w:rFonts w:ascii="Times New Roman" w:hAnsi="Times New Roman" w:cs="Times New Roman"/>
          <w:sz w:val="20"/>
          <w:szCs w:val="20"/>
        </w:rPr>
        <w:t xml:space="preserve"> </w:t>
      </w:r>
      <w:r w:rsidR="008C0B3D">
        <w:rPr>
          <w:rFonts w:ascii="Times New Roman" w:hAnsi="Times New Roman" w:cs="Times New Roman"/>
          <w:sz w:val="20"/>
          <w:szCs w:val="20"/>
        </w:rPr>
        <w:t xml:space="preserve">4 (2007) </w:t>
      </w:r>
      <w:r w:rsidR="008C0B3D" w:rsidRPr="008C0B3D">
        <w:rPr>
          <w:rFonts w:ascii="Times New Roman" w:hAnsi="Times New Roman" w:cs="Times New Roman"/>
          <w:sz w:val="20"/>
          <w:szCs w:val="20"/>
        </w:rPr>
        <w:t>523</w:t>
      </w:r>
      <w:r w:rsidR="008C0B3D">
        <w:rPr>
          <w:rFonts w:ascii="Times New Roman" w:hAnsi="Times New Roman" w:cs="Times New Roman"/>
          <w:sz w:val="20"/>
          <w:szCs w:val="20"/>
        </w:rPr>
        <w:t>-549.</w:t>
      </w:r>
    </w:p>
  </w:footnote>
  <w:footnote w:id="21">
    <w:p w14:paraId="08AE5086" w14:textId="7557841D" w:rsidR="006A52FE" w:rsidRPr="00BD4006" w:rsidRDefault="006A52FE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8C0B3D">
        <w:rPr>
          <w:rFonts w:ascii="Times New Roman" w:hAnsi="Times New Roman" w:cs="Times New Roman"/>
          <w:sz w:val="20"/>
          <w:szCs w:val="20"/>
        </w:rPr>
        <w:t xml:space="preserve"> pp 20-22.</w:t>
      </w:r>
    </w:p>
  </w:footnote>
  <w:footnote w:id="22">
    <w:p w14:paraId="3EC5A0C8" w14:textId="2214DB2C" w:rsidR="006A52FE" w:rsidRPr="00BD4006" w:rsidRDefault="006A52FE" w:rsidP="00FB5222">
      <w:pPr>
        <w:pStyle w:val="FootnoteText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BD400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="00892D3E">
        <w:rPr>
          <w:rFonts w:ascii="Times New Roman" w:hAnsi="Times New Roman" w:cs="Times New Roman"/>
          <w:sz w:val="20"/>
          <w:szCs w:val="20"/>
        </w:rPr>
        <w:t xml:space="preserve"> A </w:t>
      </w:r>
      <w:r w:rsidR="003B07CB">
        <w:rPr>
          <w:rFonts w:ascii="Times New Roman" w:hAnsi="Times New Roman" w:cs="Times New Roman"/>
          <w:sz w:val="20"/>
          <w:szCs w:val="20"/>
        </w:rPr>
        <w:t xml:space="preserve">paradigmatic </w:t>
      </w:r>
      <w:r w:rsidR="00892D3E">
        <w:rPr>
          <w:rFonts w:ascii="Times New Roman" w:hAnsi="Times New Roman" w:cs="Times New Roman"/>
          <w:sz w:val="20"/>
          <w:szCs w:val="20"/>
        </w:rPr>
        <w:t xml:space="preserve">example of </w:t>
      </w:r>
      <w:r w:rsidR="00892D3E" w:rsidRPr="00892D3E">
        <w:rPr>
          <w:rFonts w:ascii="Times New Roman" w:hAnsi="Times New Roman" w:cs="Times New Roman"/>
          <w:i/>
          <w:sz w:val="20"/>
          <w:szCs w:val="20"/>
        </w:rPr>
        <w:t>méconnaisance</w:t>
      </w:r>
      <w:r w:rsidR="00892D3E">
        <w:rPr>
          <w:rFonts w:ascii="Times New Roman" w:hAnsi="Times New Roman" w:cs="Times New Roman"/>
          <w:sz w:val="20"/>
          <w:szCs w:val="20"/>
        </w:rPr>
        <w:t xml:space="preserve">: </w:t>
      </w:r>
      <w:r w:rsidR="00892D3E" w:rsidRPr="00892D3E">
        <w:rPr>
          <w:rFonts w:ascii="Times New Roman" w:hAnsi="Times New Roman" w:cs="Times New Roman"/>
          <w:sz w:val="20"/>
          <w:szCs w:val="20"/>
        </w:rPr>
        <w:t xml:space="preserve">P Bourdieu, </w:t>
      </w:r>
      <w:r w:rsidR="00892D3E" w:rsidRPr="00892D3E">
        <w:rPr>
          <w:rFonts w:ascii="Times New Roman" w:hAnsi="Times New Roman" w:cs="Times New Roman"/>
          <w:i/>
          <w:sz w:val="20"/>
          <w:szCs w:val="20"/>
        </w:rPr>
        <w:t>Outline of a Theory of Practice</w:t>
      </w:r>
      <w:r w:rsidR="00892D3E">
        <w:rPr>
          <w:rFonts w:ascii="Times New Roman" w:hAnsi="Times New Roman" w:cs="Times New Roman"/>
          <w:sz w:val="20"/>
          <w:szCs w:val="20"/>
        </w:rPr>
        <w:t xml:space="preserve"> (tr R nice, CUP 1977) 164-8.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2A"/>
    <w:rsid w:val="000001B0"/>
    <w:rsid w:val="000036AB"/>
    <w:rsid w:val="00004BA3"/>
    <w:rsid w:val="000114B5"/>
    <w:rsid w:val="0002402A"/>
    <w:rsid w:val="00027AFD"/>
    <w:rsid w:val="000458F0"/>
    <w:rsid w:val="00046047"/>
    <w:rsid w:val="00050701"/>
    <w:rsid w:val="0005517D"/>
    <w:rsid w:val="00055CEF"/>
    <w:rsid w:val="0005692F"/>
    <w:rsid w:val="00061169"/>
    <w:rsid w:val="00063676"/>
    <w:rsid w:val="00076033"/>
    <w:rsid w:val="00080A0F"/>
    <w:rsid w:val="00087968"/>
    <w:rsid w:val="000A010E"/>
    <w:rsid w:val="000A26EC"/>
    <w:rsid w:val="000A6C7D"/>
    <w:rsid w:val="000B63E3"/>
    <w:rsid w:val="000C7715"/>
    <w:rsid w:val="000D4AB6"/>
    <w:rsid w:val="00115396"/>
    <w:rsid w:val="00117F75"/>
    <w:rsid w:val="00121FFD"/>
    <w:rsid w:val="001248B1"/>
    <w:rsid w:val="00126498"/>
    <w:rsid w:val="00132FF5"/>
    <w:rsid w:val="0014081E"/>
    <w:rsid w:val="00140996"/>
    <w:rsid w:val="001462EF"/>
    <w:rsid w:val="00171313"/>
    <w:rsid w:val="0017398F"/>
    <w:rsid w:val="00185EA2"/>
    <w:rsid w:val="00191A8C"/>
    <w:rsid w:val="00192F6C"/>
    <w:rsid w:val="0019672E"/>
    <w:rsid w:val="001A172C"/>
    <w:rsid w:val="001B3373"/>
    <w:rsid w:val="001B4177"/>
    <w:rsid w:val="001B651F"/>
    <w:rsid w:val="001B775F"/>
    <w:rsid w:val="001C70F4"/>
    <w:rsid w:val="001D433A"/>
    <w:rsid w:val="001D7A52"/>
    <w:rsid w:val="001E4477"/>
    <w:rsid w:val="001F4CFB"/>
    <w:rsid w:val="00211453"/>
    <w:rsid w:val="002317F9"/>
    <w:rsid w:val="002351CF"/>
    <w:rsid w:val="00246F53"/>
    <w:rsid w:val="00262961"/>
    <w:rsid w:val="00265D89"/>
    <w:rsid w:val="002672E1"/>
    <w:rsid w:val="00267D4C"/>
    <w:rsid w:val="002710B6"/>
    <w:rsid w:val="00274657"/>
    <w:rsid w:val="00290F35"/>
    <w:rsid w:val="00292C86"/>
    <w:rsid w:val="0029737F"/>
    <w:rsid w:val="002B264C"/>
    <w:rsid w:val="002B3393"/>
    <w:rsid w:val="002C11C0"/>
    <w:rsid w:val="002C2E28"/>
    <w:rsid w:val="002D4D22"/>
    <w:rsid w:val="002D5DAC"/>
    <w:rsid w:val="002E037A"/>
    <w:rsid w:val="002E2243"/>
    <w:rsid w:val="002E727D"/>
    <w:rsid w:val="002F4BFF"/>
    <w:rsid w:val="0030418F"/>
    <w:rsid w:val="00315EA2"/>
    <w:rsid w:val="003208A1"/>
    <w:rsid w:val="00322024"/>
    <w:rsid w:val="003225B4"/>
    <w:rsid w:val="003232AB"/>
    <w:rsid w:val="00332AC3"/>
    <w:rsid w:val="003363D7"/>
    <w:rsid w:val="00337C09"/>
    <w:rsid w:val="00351D11"/>
    <w:rsid w:val="00354FAF"/>
    <w:rsid w:val="003564A8"/>
    <w:rsid w:val="0036265A"/>
    <w:rsid w:val="00365F62"/>
    <w:rsid w:val="00381A71"/>
    <w:rsid w:val="00382A3A"/>
    <w:rsid w:val="00385139"/>
    <w:rsid w:val="0038661C"/>
    <w:rsid w:val="003B07CB"/>
    <w:rsid w:val="003B0BE1"/>
    <w:rsid w:val="003B7A81"/>
    <w:rsid w:val="003C1E47"/>
    <w:rsid w:val="003C48A5"/>
    <w:rsid w:val="003D189C"/>
    <w:rsid w:val="003D1A3A"/>
    <w:rsid w:val="003E1EC5"/>
    <w:rsid w:val="003E2A5B"/>
    <w:rsid w:val="003E3767"/>
    <w:rsid w:val="003F2158"/>
    <w:rsid w:val="003F24A2"/>
    <w:rsid w:val="0040328F"/>
    <w:rsid w:val="004145B3"/>
    <w:rsid w:val="00422A30"/>
    <w:rsid w:val="0042343D"/>
    <w:rsid w:val="00440152"/>
    <w:rsid w:val="00443602"/>
    <w:rsid w:val="004436B0"/>
    <w:rsid w:val="00446B51"/>
    <w:rsid w:val="0045698C"/>
    <w:rsid w:val="00475EBF"/>
    <w:rsid w:val="00492364"/>
    <w:rsid w:val="004931BC"/>
    <w:rsid w:val="004A09F7"/>
    <w:rsid w:val="004B79F7"/>
    <w:rsid w:val="004C1CC3"/>
    <w:rsid w:val="004C2F6E"/>
    <w:rsid w:val="004D3561"/>
    <w:rsid w:val="004E0511"/>
    <w:rsid w:val="004E29C4"/>
    <w:rsid w:val="004E39F9"/>
    <w:rsid w:val="004E3F73"/>
    <w:rsid w:val="004F054F"/>
    <w:rsid w:val="004F0637"/>
    <w:rsid w:val="00502151"/>
    <w:rsid w:val="00502AC2"/>
    <w:rsid w:val="00502E97"/>
    <w:rsid w:val="00503B17"/>
    <w:rsid w:val="005133D8"/>
    <w:rsid w:val="00517709"/>
    <w:rsid w:val="00522B7B"/>
    <w:rsid w:val="005325D1"/>
    <w:rsid w:val="00537533"/>
    <w:rsid w:val="0054461E"/>
    <w:rsid w:val="005554E1"/>
    <w:rsid w:val="00562C87"/>
    <w:rsid w:val="0057467A"/>
    <w:rsid w:val="00574C60"/>
    <w:rsid w:val="00586831"/>
    <w:rsid w:val="00586FE9"/>
    <w:rsid w:val="005871D4"/>
    <w:rsid w:val="005A67EB"/>
    <w:rsid w:val="005C3288"/>
    <w:rsid w:val="005D1CCE"/>
    <w:rsid w:val="006001A0"/>
    <w:rsid w:val="006010F6"/>
    <w:rsid w:val="006054BC"/>
    <w:rsid w:val="00612152"/>
    <w:rsid w:val="0062169D"/>
    <w:rsid w:val="00622B6B"/>
    <w:rsid w:val="00644736"/>
    <w:rsid w:val="00651D01"/>
    <w:rsid w:val="00655610"/>
    <w:rsid w:val="0066264C"/>
    <w:rsid w:val="0066438B"/>
    <w:rsid w:val="00666859"/>
    <w:rsid w:val="00685B66"/>
    <w:rsid w:val="006924BD"/>
    <w:rsid w:val="006A1D8F"/>
    <w:rsid w:val="006A1E11"/>
    <w:rsid w:val="006A52FE"/>
    <w:rsid w:val="006C78B7"/>
    <w:rsid w:val="006E6448"/>
    <w:rsid w:val="006F294C"/>
    <w:rsid w:val="006F43BE"/>
    <w:rsid w:val="007009CC"/>
    <w:rsid w:val="00703245"/>
    <w:rsid w:val="007077C4"/>
    <w:rsid w:val="00714DA6"/>
    <w:rsid w:val="00717436"/>
    <w:rsid w:val="0072262A"/>
    <w:rsid w:val="00724337"/>
    <w:rsid w:val="0072593B"/>
    <w:rsid w:val="0072622E"/>
    <w:rsid w:val="00760C0D"/>
    <w:rsid w:val="007770B3"/>
    <w:rsid w:val="00780401"/>
    <w:rsid w:val="007811BF"/>
    <w:rsid w:val="007813B3"/>
    <w:rsid w:val="00784EFB"/>
    <w:rsid w:val="00785122"/>
    <w:rsid w:val="00787EC2"/>
    <w:rsid w:val="007905A0"/>
    <w:rsid w:val="00790F4E"/>
    <w:rsid w:val="00792BCC"/>
    <w:rsid w:val="007C0761"/>
    <w:rsid w:val="007C7224"/>
    <w:rsid w:val="007C744F"/>
    <w:rsid w:val="007D4ED1"/>
    <w:rsid w:val="007D5FEC"/>
    <w:rsid w:val="007D63D4"/>
    <w:rsid w:val="007F1DEA"/>
    <w:rsid w:val="007F326C"/>
    <w:rsid w:val="007F4EFC"/>
    <w:rsid w:val="00807AAA"/>
    <w:rsid w:val="008137EA"/>
    <w:rsid w:val="00821DFC"/>
    <w:rsid w:val="008341EE"/>
    <w:rsid w:val="008457C0"/>
    <w:rsid w:val="00861743"/>
    <w:rsid w:val="00871544"/>
    <w:rsid w:val="0089241B"/>
    <w:rsid w:val="00892D3E"/>
    <w:rsid w:val="00895080"/>
    <w:rsid w:val="008952A8"/>
    <w:rsid w:val="008A7BA9"/>
    <w:rsid w:val="008B53D2"/>
    <w:rsid w:val="008C0B3D"/>
    <w:rsid w:val="008C1A9D"/>
    <w:rsid w:val="008D6CEA"/>
    <w:rsid w:val="008E1E01"/>
    <w:rsid w:val="008E7A01"/>
    <w:rsid w:val="008F5D96"/>
    <w:rsid w:val="009042F0"/>
    <w:rsid w:val="00910ACF"/>
    <w:rsid w:val="00913CCC"/>
    <w:rsid w:val="00921523"/>
    <w:rsid w:val="0093582F"/>
    <w:rsid w:val="009417A6"/>
    <w:rsid w:val="00944FE0"/>
    <w:rsid w:val="00950542"/>
    <w:rsid w:val="009555E7"/>
    <w:rsid w:val="00960C05"/>
    <w:rsid w:val="00967EB6"/>
    <w:rsid w:val="00970824"/>
    <w:rsid w:val="0098340A"/>
    <w:rsid w:val="00985786"/>
    <w:rsid w:val="0099544A"/>
    <w:rsid w:val="00997484"/>
    <w:rsid w:val="009A64CF"/>
    <w:rsid w:val="009B51F0"/>
    <w:rsid w:val="009B71E1"/>
    <w:rsid w:val="009D7A58"/>
    <w:rsid w:val="009F7D2B"/>
    <w:rsid w:val="00A00466"/>
    <w:rsid w:val="00A03800"/>
    <w:rsid w:val="00A121F5"/>
    <w:rsid w:val="00A12DE5"/>
    <w:rsid w:val="00A138A0"/>
    <w:rsid w:val="00A24A62"/>
    <w:rsid w:val="00A3423D"/>
    <w:rsid w:val="00A36D62"/>
    <w:rsid w:val="00A53373"/>
    <w:rsid w:val="00A739D6"/>
    <w:rsid w:val="00A739EA"/>
    <w:rsid w:val="00A82F53"/>
    <w:rsid w:val="00A93A4C"/>
    <w:rsid w:val="00AA4373"/>
    <w:rsid w:val="00AC1549"/>
    <w:rsid w:val="00AC2D7C"/>
    <w:rsid w:val="00AC43D9"/>
    <w:rsid w:val="00AC6AE1"/>
    <w:rsid w:val="00AD1ADF"/>
    <w:rsid w:val="00AD78C1"/>
    <w:rsid w:val="00AD7F05"/>
    <w:rsid w:val="00B00A9B"/>
    <w:rsid w:val="00B1082C"/>
    <w:rsid w:val="00B40B16"/>
    <w:rsid w:val="00B44462"/>
    <w:rsid w:val="00B606AD"/>
    <w:rsid w:val="00B668C0"/>
    <w:rsid w:val="00B67214"/>
    <w:rsid w:val="00B72242"/>
    <w:rsid w:val="00B76B72"/>
    <w:rsid w:val="00B91DD4"/>
    <w:rsid w:val="00B93BF2"/>
    <w:rsid w:val="00B93C38"/>
    <w:rsid w:val="00BA0583"/>
    <w:rsid w:val="00BA243B"/>
    <w:rsid w:val="00BA521A"/>
    <w:rsid w:val="00BA6D3E"/>
    <w:rsid w:val="00BB4CDB"/>
    <w:rsid w:val="00BC5273"/>
    <w:rsid w:val="00BD31E4"/>
    <w:rsid w:val="00BD4006"/>
    <w:rsid w:val="00BD77CF"/>
    <w:rsid w:val="00BE19F0"/>
    <w:rsid w:val="00BE35AF"/>
    <w:rsid w:val="00BE3EC2"/>
    <w:rsid w:val="00BF1E4B"/>
    <w:rsid w:val="00C05F5F"/>
    <w:rsid w:val="00C11707"/>
    <w:rsid w:val="00C12852"/>
    <w:rsid w:val="00C13DA4"/>
    <w:rsid w:val="00C16AE1"/>
    <w:rsid w:val="00C2786F"/>
    <w:rsid w:val="00C4081F"/>
    <w:rsid w:val="00C54997"/>
    <w:rsid w:val="00C56F03"/>
    <w:rsid w:val="00C827E6"/>
    <w:rsid w:val="00C85CA9"/>
    <w:rsid w:val="00C9057A"/>
    <w:rsid w:val="00CA0074"/>
    <w:rsid w:val="00CA4BC4"/>
    <w:rsid w:val="00CB5090"/>
    <w:rsid w:val="00CC25EE"/>
    <w:rsid w:val="00CD2890"/>
    <w:rsid w:val="00CE2167"/>
    <w:rsid w:val="00CE3EC0"/>
    <w:rsid w:val="00CE66B6"/>
    <w:rsid w:val="00CF50FA"/>
    <w:rsid w:val="00D05006"/>
    <w:rsid w:val="00D127DA"/>
    <w:rsid w:val="00D13D0D"/>
    <w:rsid w:val="00D22953"/>
    <w:rsid w:val="00D249D8"/>
    <w:rsid w:val="00D2627B"/>
    <w:rsid w:val="00D45DF5"/>
    <w:rsid w:val="00D54794"/>
    <w:rsid w:val="00D6155B"/>
    <w:rsid w:val="00D66106"/>
    <w:rsid w:val="00D72D00"/>
    <w:rsid w:val="00D81982"/>
    <w:rsid w:val="00D82E07"/>
    <w:rsid w:val="00D8615B"/>
    <w:rsid w:val="00D8762D"/>
    <w:rsid w:val="00DA0382"/>
    <w:rsid w:val="00DD02AF"/>
    <w:rsid w:val="00DD3978"/>
    <w:rsid w:val="00DF0FD6"/>
    <w:rsid w:val="00DF3877"/>
    <w:rsid w:val="00DF5294"/>
    <w:rsid w:val="00DF6ABA"/>
    <w:rsid w:val="00E124BA"/>
    <w:rsid w:val="00E2459D"/>
    <w:rsid w:val="00E313AE"/>
    <w:rsid w:val="00E40D14"/>
    <w:rsid w:val="00E44D56"/>
    <w:rsid w:val="00E4650E"/>
    <w:rsid w:val="00E652E7"/>
    <w:rsid w:val="00E7594E"/>
    <w:rsid w:val="00E901EC"/>
    <w:rsid w:val="00EB467A"/>
    <w:rsid w:val="00EC134D"/>
    <w:rsid w:val="00EC33C1"/>
    <w:rsid w:val="00ED2483"/>
    <w:rsid w:val="00ED6621"/>
    <w:rsid w:val="00EE7D05"/>
    <w:rsid w:val="00EF3E40"/>
    <w:rsid w:val="00EF545D"/>
    <w:rsid w:val="00F15AB6"/>
    <w:rsid w:val="00F25D9E"/>
    <w:rsid w:val="00F31B3E"/>
    <w:rsid w:val="00F35146"/>
    <w:rsid w:val="00F37A74"/>
    <w:rsid w:val="00F50C72"/>
    <w:rsid w:val="00F61631"/>
    <w:rsid w:val="00F62923"/>
    <w:rsid w:val="00F84430"/>
    <w:rsid w:val="00F85F3B"/>
    <w:rsid w:val="00F86893"/>
    <w:rsid w:val="00F91CE4"/>
    <w:rsid w:val="00FA03FB"/>
    <w:rsid w:val="00FA409C"/>
    <w:rsid w:val="00FB5222"/>
    <w:rsid w:val="00FB5710"/>
    <w:rsid w:val="00FB7BEC"/>
    <w:rsid w:val="00FC6207"/>
    <w:rsid w:val="00FD0F1A"/>
    <w:rsid w:val="00FE133A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CE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B264C"/>
  </w:style>
  <w:style w:type="character" w:customStyle="1" w:styleId="FootnoteTextChar">
    <w:name w:val="Footnote Text Char"/>
    <w:basedOn w:val="DefaultParagraphFont"/>
    <w:link w:val="FootnoteText"/>
    <w:uiPriority w:val="99"/>
    <w:rsid w:val="002B264C"/>
  </w:style>
  <w:style w:type="character" w:styleId="FootnoteReference">
    <w:name w:val="footnote reference"/>
    <w:basedOn w:val="DefaultParagraphFont"/>
    <w:uiPriority w:val="99"/>
    <w:unhideWhenUsed/>
    <w:rsid w:val="002B264C"/>
    <w:rPr>
      <w:vertAlign w:val="superscript"/>
    </w:rPr>
  </w:style>
  <w:style w:type="character" w:styleId="Strong">
    <w:name w:val="Strong"/>
    <w:basedOn w:val="DefaultParagraphFont"/>
    <w:uiPriority w:val="22"/>
    <w:qFormat/>
    <w:rsid w:val="000B63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1743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36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3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3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615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1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1CF"/>
  </w:style>
  <w:style w:type="character" w:styleId="PageNumber">
    <w:name w:val="page number"/>
    <w:basedOn w:val="DefaultParagraphFont"/>
    <w:uiPriority w:val="99"/>
    <w:semiHidden/>
    <w:unhideWhenUsed/>
    <w:rsid w:val="002351CF"/>
  </w:style>
  <w:style w:type="paragraph" w:styleId="Header">
    <w:name w:val="header"/>
    <w:basedOn w:val="Normal"/>
    <w:link w:val="HeaderChar"/>
    <w:uiPriority w:val="99"/>
    <w:unhideWhenUsed/>
    <w:rsid w:val="002351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f.org/external/pubs/ft/weo/2017/01/weodata/index.aspx" TargetMode="External"/><Relationship Id="rId2" Type="http://schemas.openxmlformats.org/officeDocument/2006/relationships/hyperlink" Target="http://unctad.org/en/Pages/DIAE/FDI%20Statistics/FDI-Statistic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EA29A5-7EF8-F247-AB61-E8E858C1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7771</Characters>
  <Application>Microsoft Macintosh Word</Application>
  <DocSecurity>0</DocSecurity>
  <Lines>117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Joseph Hage Aaronson LLP</Company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Messenger, Gregory</dc:creator>
  <cp:lastModifiedBy>Messenger, Gregory</cp:lastModifiedBy>
  <cp:revision>2</cp:revision>
  <dcterms:created xsi:type="dcterms:W3CDTF">2017-07-26T14:29:00Z</dcterms:created>
  <dcterms:modified xsi:type="dcterms:W3CDTF">2017-07-26T14:29:00Z</dcterms:modified>
</cp:coreProperties>
</file>