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EF" w:rsidRDefault="00750EDA" w:rsidP="00E125D3">
      <w:pPr>
        <w:pStyle w:val="Abstracttitle14ptboldcentered"/>
        <w:spacing w:line="280" w:lineRule="exact"/>
      </w:pPr>
      <w:r w:rsidRPr="00845B0A">
        <w:rPr>
          <w:b w:val="0"/>
          <w:bCs w:val="0"/>
          <w:noProof/>
          <w:sz w:val="20"/>
          <w:szCs w:val="22"/>
          <w:lang w:val="en-GB" w:eastAsia="en-GB"/>
        </w:rPr>
        <mc:AlternateContent>
          <mc:Choice Requires="wps">
            <w:drawing>
              <wp:anchor distT="0" distB="0" distL="114300" distR="114300" simplePos="0" relativeHeight="251662336" behindDoc="0" locked="0" layoutInCell="1" allowOverlap="1" wp14:anchorId="75AB804E" wp14:editId="4F66339C">
                <wp:simplePos x="0" y="0"/>
                <wp:positionH relativeFrom="column">
                  <wp:posOffset>180340</wp:posOffset>
                </wp:positionH>
                <wp:positionV relativeFrom="paragraph">
                  <wp:posOffset>-131887</wp:posOffset>
                </wp:positionV>
                <wp:extent cx="5382260" cy="485029"/>
                <wp:effectExtent l="0" t="0" r="0" b="0"/>
                <wp:wrapNone/>
                <wp:docPr id="2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2260" cy="485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0A" w:rsidRPr="00750EDA" w:rsidRDefault="00845B0A" w:rsidP="00845B0A">
                            <w:pPr>
                              <w:jc w:val="center"/>
                              <w:rPr>
                                <w:rFonts w:ascii="Arial" w:hAnsi="Arial" w:cs="Arial"/>
                                <w:b/>
                                <w:color w:val="5D85B2"/>
                                <w:szCs w:val="20"/>
                              </w:rPr>
                            </w:pPr>
                            <w:r w:rsidRPr="00750EDA">
                              <w:rPr>
                                <w:rFonts w:ascii="Arial" w:hAnsi="Arial" w:cs="Arial"/>
                                <w:b/>
                                <w:color w:val="5D85B2"/>
                                <w:szCs w:val="20"/>
                              </w:rPr>
                              <w:t>The 13th International Probabilistic Workshop (IPW2015</w:t>
                            </w:r>
                            <w:proofErr w:type="gramStart"/>
                            <w:r w:rsidRPr="00750EDA">
                              <w:rPr>
                                <w:rFonts w:ascii="Arial" w:hAnsi="Arial" w:cs="Arial"/>
                                <w:b/>
                                <w:color w:val="5D85B2"/>
                                <w:szCs w:val="20"/>
                              </w:rPr>
                              <w:t>)</w:t>
                            </w:r>
                            <w:proofErr w:type="gramEnd"/>
                            <w:r w:rsidRPr="00750EDA">
                              <w:rPr>
                                <w:rFonts w:ascii="Arial" w:hAnsi="Arial" w:cs="Arial"/>
                                <w:b/>
                                <w:color w:val="5D85B2"/>
                                <w:szCs w:val="20"/>
                              </w:rPr>
                              <w:br/>
                            </w:r>
                            <w:r w:rsidRPr="00750EDA">
                              <w:rPr>
                                <w:rFonts w:ascii="Arial" w:hAnsi="Arial" w:cs="Arial"/>
                                <w:color w:val="5D85B2"/>
                                <w:szCs w:val="20"/>
                              </w:rPr>
                              <w:t>University of Liverpool, UK, 4 – 6 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4.2pt;margin-top:-10.4pt;width:423.8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wogIAAJs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" filled="f" stroked="f">
                <v:path arrowok="t"/>
                <v:textbox>
                  <w:txbxContent>
                    <w:p w:rsidR="00845B0A" w:rsidRPr="00750EDA" w:rsidRDefault="00845B0A" w:rsidP="00845B0A">
                      <w:pPr>
                        <w:jc w:val="center"/>
                        <w:rPr>
                          <w:rFonts w:ascii="Arial" w:hAnsi="Arial" w:cs="Arial"/>
                          <w:b/>
                          <w:color w:val="5D85B2"/>
                          <w:szCs w:val="20"/>
                        </w:rPr>
                      </w:pPr>
                      <w:r w:rsidRPr="00750EDA">
                        <w:rPr>
                          <w:rFonts w:ascii="Arial" w:hAnsi="Arial" w:cs="Arial"/>
                          <w:b/>
                          <w:color w:val="5D85B2"/>
                          <w:szCs w:val="20"/>
                        </w:rPr>
                        <w:t>The 13th International Probabilistic Workshop (IPW2015</w:t>
                      </w:r>
                      <w:proofErr w:type="gramStart"/>
                      <w:r w:rsidRPr="00750EDA">
                        <w:rPr>
                          <w:rFonts w:ascii="Arial" w:hAnsi="Arial" w:cs="Arial"/>
                          <w:b/>
                          <w:color w:val="5D85B2"/>
                          <w:szCs w:val="20"/>
                        </w:rPr>
                        <w:t>)</w:t>
                      </w:r>
                      <w:proofErr w:type="gramEnd"/>
                      <w:r w:rsidRPr="00750EDA">
                        <w:rPr>
                          <w:rFonts w:ascii="Arial" w:hAnsi="Arial" w:cs="Arial"/>
                          <w:b/>
                          <w:color w:val="5D85B2"/>
                          <w:szCs w:val="20"/>
                        </w:rPr>
                        <w:br/>
                      </w:r>
                      <w:r w:rsidRPr="00750EDA">
                        <w:rPr>
                          <w:rFonts w:ascii="Arial" w:hAnsi="Arial" w:cs="Arial"/>
                          <w:color w:val="5D85B2"/>
                          <w:szCs w:val="20"/>
                        </w:rPr>
                        <w:t>University of Liverpool, UK, 4 – 6 November  2015</w:t>
                      </w:r>
                    </w:p>
                  </w:txbxContent>
                </v:textbox>
              </v:shape>
            </w:pict>
          </mc:Fallback>
        </mc:AlternateContent>
      </w:r>
      <w:r w:rsidR="00845B0A">
        <w:rPr>
          <w:b w:val="0"/>
          <w:bCs w:val="0"/>
          <w:noProof/>
          <w:sz w:val="20"/>
          <w:szCs w:val="22"/>
          <w:lang w:val="en-GB" w:eastAsia="en-GB"/>
        </w:rPr>
        <mc:AlternateContent>
          <mc:Choice Requires="wps">
            <w:drawing>
              <wp:anchor distT="0" distB="0" distL="114300" distR="114300" simplePos="0" relativeHeight="251665408" behindDoc="0" locked="0" layoutInCell="1" allowOverlap="1" wp14:anchorId="6381B1FD" wp14:editId="019614E0">
                <wp:simplePos x="0" y="0"/>
                <wp:positionH relativeFrom="column">
                  <wp:posOffset>53727</wp:posOffset>
                </wp:positionH>
                <wp:positionV relativeFrom="paragraph">
                  <wp:posOffset>-229566</wp:posOffset>
                </wp:positionV>
                <wp:extent cx="5700643" cy="0"/>
                <wp:effectExtent l="19050" t="19050" r="33655" b="38100"/>
                <wp:wrapNone/>
                <wp:docPr id="25" name="Straight Connector 25"/>
                <wp:cNvGraphicFramePr/>
                <a:graphic xmlns:a="http://schemas.openxmlformats.org/drawingml/2006/main">
                  <a:graphicData uri="http://schemas.microsoft.com/office/word/2010/wordprocessingShape">
                    <wps:wsp>
                      <wps:cNvCnPr/>
                      <wps:spPr>
                        <a:xfrm>
                          <a:off x="0" y="0"/>
                          <a:ext cx="5700643" cy="0"/>
                        </a:xfrm>
                        <a:prstGeom prst="line">
                          <a:avLst/>
                        </a:prstGeom>
                        <a:ln w="19050" cap="sq">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8.1pt" to="45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" strokecolor="#4579b8 [3044]" strokeweight="1.5pt">
                <v:stroke joinstyle="miter" endcap="square"/>
              </v:line>
            </w:pict>
          </mc:Fallback>
        </mc:AlternateContent>
      </w:r>
    </w:p>
    <w:p w:rsidR="008F23EF" w:rsidRDefault="008F23EF" w:rsidP="00E125D3">
      <w:pPr>
        <w:pStyle w:val="Abstracttitle14ptboldcentered"/>
        <w:spacing w:line="280" w:lineRule="exact"/>
      </w:pPr>
    </w:p>
    <w:p w:rsidR="00845B0A" w:rsidRDefault="003C75B0" w:rsidP="00E125D3">
      <w:pPr>
        <w:pStyle w:val="Abstracttitle14ptboldcentered"/>
        <w:spacing w:line="280" w:lineRule="exact"/>
      </w:pPr>
      <w:r>
        <w:rPr>
          <w:b w:val="0"/>
          <w:bCs w:val="0"/>
          <w:noProof/>
          <w:sz w:val="20"/>
          <w:szCs w:val="22"/>
          <w:lang w:val="en-GB" w:eastAsia="en-GB"/>
        </w:rPr>
        <mc:AlternateContent>
          <mc:Choice Requires="wps">
            <w:drawing>
              <wp:anchor distT="0" distB="0" distL="114300" distR="114300" simplePos="0" relativeHeight="251663360" behindDoc="0" locked="0" layoutInCell="1" allowOverlap="1" wp14:anchorId="1ED710B3" wp14:editId="3BA85B99">
                <wp:simplePos x="0" y="0"/>
                <wp:positionH relativeFrom="column">
                  <wp:posOffset>52705</wp:posOffset>
                </wp:positionH>
                <wp:positionV relativeFrom="paragraph">
                  <wp:posOffset>5715</wp:posOffset>
                </wp:positionV>
                <wp:extent cx="5701030" cy="0"/>
                <wp:effectExtent l="19050" t="19050" r="33020" b="38100"/>
                <wp:wrapNone/>
                <wp:docPr id="24" name="Straight Connector 24"/>
                <wp:cNvGraphicFramePr/>
                <a:graphic xmlns:a="http://schemas.openxmlformats.org/drawingml/2006/main">
                  <a:graphicData uri="http://schemas.microsoft.com/office/word/2010/wordprocessingShape">
                    <wps:wsp>
                      <wps:cNvCnPr/>
                      <wps:spPr>
                        <a:xfrm>
                          <a:off x="0" y="0"/>
                          <a:ext cx="5701030" cy="0"/>
                        </a:xfrm>
                        <a:prstGeom prst="line">
                          <a:avLst/>
                        </a:prstGeom>
                        <a:ln w="19050" cap="sq">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5pt" to="45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" strokecolor="#4579b8 [3044]" strokeweight="1.5pt">
                <v:stroke joinstyle="miter" endcap="square"/>
              </v:line>
            </w:pict>
          </mc:Fallback>
        </mc:AlternateContent>
      </w:r>
    </w:p>
    <w:p w:rsidR="00845B0A" w:rsidRDefault="00845B0A" w:rsidP="00E125D3">
      <w:pPr>
        <w:pStyle w:val="Abstracttitle14ptboldcentered"/>
        <w:spacing w:line="280" w:lineRule="exact"/>
      </w:pPr>
    </w:p>
    <w:p w:rsidR="00845B0A" w:rsidRDefault="00845B0A" w:rsidP="00E125D3">
      <w:pPr>
        <w:pStyle w:val="Abstracttitle14ptboldcentered"/>
        <w:spacing w:line="280" w:lineRule="exact"/>
      </w:pPr>
    </w:p>
    <w:p w:rsidR="00E125D3" w:rsidRPr="00B24EB9" w:rsidRDefault="00E125D3" w:rsidP="009F0B9D">
      <w:pPr>
        <w:pStyle w:val="Abstracttitle14ptboldcentered"/>
        <w:spacing w:line="280" w:lineRule="exact"/>
      </w:pPr>
      <w:r>
        <w:t>IPW 2015 THE POSSIBILITIES OF COAL POWER PLANTS REPLACEMENT WITH S</w:t>
      </w:r>
      <w:r w:rsidR="009F0B9D">
        <w:t xml:space="preserve">MALL </w:t>
      </w:r>
      <w:r>
        <w:t>M</w:t>
      </w:r>
      <w:r w:rsidR="009F0B9D">
        <w:t xml:space="preserve">ODULAR </w:t>
      </w:r>
      <w:r>
        <w:t>R</w:t>
      </w:r>
      <w:r w:rsidR="009F0B9D">
        <w:t>EACTOR</w:t>
      </w:r>
      <w:r>
        <w:t xml:space="preserve">S – A UK CASE STUDY </w:t>
      </w:r>
    </w:p>
    <w:p w:rsidR="00E125D3" w:rsidRDefault="00E125D3" w:rsidP="00E125D3">
      <w:pPr>
        <w:pStyle w:val="Abstracttitle14ptboldcentered"/>
        <w:spacing w:line="280" w:lineRule="exact"/>
      </w:pPr>
    </w:p>
    <w:p w:rsidR="00E125D3" w:rsidRPr="00EF79B4" w:rsidRDefault="00E125D3" w:rsidP="00E125D3">
      <w:pPr>
        <w:pStyle w:val="Author"/>
        <w:spacing w:line="240" w:lineRule="auto"/>
        <w:rPr>
          <w:sz w:val="20"/>
          <w:szCs w:val="20"/>
          <w:vertAlign w:val="superscript"/>
        </w:rPr>
      </w:pPr>
      <w:r>
        <w:rPr>
          <w:snapToGrid/>
          <w:sz w:val="20"/>
          <w:szCs w:val="20"/>
        </w:rPr>
        <w:t>PETRA MLEJNKOVA</w:t>
      </w:r>
      <w:r w:rsidRPr="00F5680B">
        <w:rPr>
          <w:sz w:val="20"/>
          <w:szCs w:val="20"/>
          <w:vertAlign w:val="superscript"/>
        </w:rPr>
        <w:t>1</w:t>
      </w:r>
      <w:r w:rsidR="00BA5FBC">
        <w:rPr>
          <w:snapToGrid/>
          <w:sz w:val="20"/>
          <w:szCs w:val="20"/>
        </w:rPr>
        <w:t xml:space="preserve"> and</w:t>
      </w:r>
      <w:r w:rsidR="00720010">
        <w:rPr>
          <w:snapToGrid/>
          <w:sz w:val="20"/>
          <w:szCs w:val="20"/>
        </w:rPr>
        <w:t xml:space="preserve"> EDOARDO PATELLI</w:t>
      </w:r>
      <w:r w:rsidR="00720010">
        <w:rPr>
          <w:snapToGrid/>
          <w:sz w:val="20"/>
          <w:szCs w:val="20"/>
          <w:vertAlign w:val="superscript"/>
        </w:rPr>
        <w:t>1</w:t>
      </w:r>
    </w:p>
    <w:p w:rsidR="00E125D3" w:rsidRPr="00DB65AF" w:rsidRDefault="00E125D3" w:rsidP="00E125D3">
      <w:pPr>
        <w:pStyle w:val="Heading2"/>
        <w:jc w:val="center"/>
        <w:rPr>
          <w:rStyle w:val="Hyperlink"/>
          <w:rFonts w:ascii="Times New Roman" w:hAnsi="Times New Roman"/>
          <w:b w:val="0"/>
          <w:i/>
          <w:sz w:val="20"/>
          <w:szCs w:val="20"/>
          <w:lang w:val="pt-PT"/>
        </w:rPr>
      </w:pPr>
      <w:proofErr w:type="gramStart"/>
      <w:r w:rsidRPr="00F5680B">
        <w:rPr>
          <w:b w:val="0"/>
          <w:i/>
          <w:color w:val="auto"/>
          <w:sz w:val="20"/>
          <w:szCs w:val="20"/>
          <w:vertAlign w:val="superscript"/>
        </w:rPr>
        <w:t>1</w:t>
      </w:r>
      <w:r w:rsidRPr="00F5680B">
        <w:rPr>
          <w:rFonts w:ascii="Times New Roman" w:hAnsi="Times New Roman"/>
          <w:b w:val="0"/>
          <w:i/>
          <w:color w:val="auto"/>
          <w:sz w:val="20"/>
          <w:szCs w:val="20"/>
        </w:rPr>
        <w:t>In</w:t>
      </w:r>
      <w:r>
        <w:rPr>
          <w:rFonts w:ascii="Times New Roman" w:hAnsi="Times New Roman"/>
          <w:b w:val="0"/>
          <w:i/>
          <w:color w:val="auto"/>
          <w:sz w:val="20"/>
          <w:szCs w:val="20"/>
        </w:rPr>
        <w:t>stitute for Risk and Uncertainty</w:t>
      </w:r>
      <w:r w:rsidRPr="00F5680B">
        <w:rPr>
          <w:rFonts w:ascii="Times New Roman" w:hAnsi="Times New Roman"/>
          <w:b w:val="0"/>
          <w:i/>
          <w:color w:val="auto"/>
          <w:sz w:val="20"/>
          <w:szCs w:val="20"/>
        </w:rPr>
        <w:t>/</w:t>
      </w:r>
      <w:r>
        <w:rPr>
          <w:rFonts w:ascii="Times New Roman" w:hAnsi="Times New Roman"/>
          <w:b w:val="0"/>
          <w:i/>
          <w:color w:val="auto"/>
          <w:sz w:val="20"/>
          <w:szCs w:val="20"/>
        </w:rPr>
        <w:t xml:space="preserve"> </w:t>
      </w:r>
      <w:r w:rsidRPr="00F5680B">
        <w:rPr>
          <w:rFonts w:ascii="Times New Roman" w:hAnsi="Times New Roman"/>
          <w:b w:val="0"/>
          <w:i/>
          <w:color w:val="auto"/>
          <w:sz w:val="20"/>
          <w:szCs w:val="20"/>
        </w:rPr>
        <w:t>University of Liverpool</w:t>
      </w:r>
      <w:r>
        <w:rPr>
          <w:rFonts w:ascii="Times New Roman" w:hAnsi="Times New Roman"/>
          <w:b w:val="0"/>
          <w:i/>
          <w:color w:val="auto"/>
          <w:sz w:val="20"/>
          <w:szCs w:val="20"/>
        </w:rPr>
        <w:t xml:space="preserve">/ </w:t>
      </w:r>
      <w:r w:rsidRPr="00F5680B">
        <w:rPr>
          <w:rFonts w:ascii="Times New Roman" w:hAnsi="Times New Roman"/>
          <w:b w:val="0"/>
          <w:i/>
          <w:color w:val="auto"/>
          <w:sz w:val="20"/>
          <w:szCs w:val="20"/>
        </w:rPr>
        <w:t>Brownlow Hill</w:t>
      </w:r>
      <w:r w:rsidRPr="00F5680B">
        <w:rPr>
          <w:rFonts w:ascii="Times New Roman" w:hAnsi="Times New Roman"/>
          <w:b w:val="0"/>
          <w:i/>
          <w:color w:val="auto"/>
          <w:sz w:val="20"/>
          <w:szCs w:val="20"/>
        </w:rPr>
        <w:br/>
        <w:t>Liverpool L69 3GH</w:t>
      </w:r>
      <w:r>
        <w:rPr>
          <w:rFonts w:ascii="Times New Roman" w:hAnsi="Times New Roman"/>
          <w:b w:val="0"/>
          <w:i/>
          <w:color w:val="auto"/>
          <w:sz w:val="20"/>
          <w:szCs w:val="20"/>
        </w:rPr>
        <w:t xml:space="preserve">, </w:t>
      </w:r>
      <w:r w:rsidRPr="00F5680B">
        <w:rPr>
          <w:rFonts w:ascii="Times New Roman" w:hAnsi="Times New Roman"/>
          <w:b w:val="0"/>
          <w:i/>
          <w:color w:val="auto"/>
          <w:sz w:val="20"/>
          <w:szCs w:val="20"/>
        </w:rPr>
        <w:t>United Kingdom.</w:t>
      </w:r>
      <w:proofErr w:type="gramEnd"/>
      <w:r w:rsidRPr="00F5680B">
        <w:rPr>
          <w:rFonts w:ascii="Times New Roman" w:hAnsi="Times New Roman"/>
          <w:b w:val="0"/>
          <w:i/>
          <w:color w:val="auto"/>
          <w:sz w:val="20"/>
          <w:szCs w:val="20"/>
        </w:rPr>
        <w:t xml:space="preserve"> </w:t>
      </w:r>
      <w:r w:rsidRPr="00F5680B">
        <w:rPr>
          <w:rFonts w:ascii="Times New Roman" w:hAnsi="Times New Roman"/>
          <w:b w:val="0"/>
          <w:i/>
          <w:color w:val="auto"/>
          <w:sz w:val="20"/>
          <w:szCs w:val="20"/>
        </w:rPr>
        <w:br/>
      </w:r>
      <w:r w:rsidRPr="00DB65AF">
        <w:rPr>
          <w:rFonts w:ascii="Times New Roman" w:hAnsi="Times New Roman"/>
          <w:b w:val="0"/>
          <w:i/>
          <w:color w:val="auto"/>
          <w:sz w:val="20"/>
          <w:szCs w:val="20"/>
          <w:lang w:val="pt-PT"/>
        </w:rPr>
        <w:t xml:space="preserve">E-mail: </w:t>
      </w:r>
      <w:r w:rsidR="00720010" w:rsidRPr="00292324">
        <w:rPr>
          <w:rFonts w:ascii="Times New Roman" w:hAnsi="Times New Roman"/>
          <w:b w:val="0"/>
          <w:i/>
          <w:color w:val="auto"/>
          <w:sz w:val="20"/>
          <w:szCs w:val="20"/>
          <w:lang w:val="pt-PT"/>
        </w:rPr>
        <w:t>petra.mlejnkova@liverpool.ac.uk</w:t>
      </w:r>
      <w:r w:rsidR="00292324">
        <w:rPr>
          <w:rFonts w:ascii="Times New Roman" w:hAnsi="Times New Roman"/>
          <w:b w:val="0"/>
          <w:i/>
          <w:color w:val="auto"/>
          <w:sz w:val="20"/>
          <w:szCs w:val="20"/>
          <w:lang w:val="pt-PT"/>
        </w:rPr>
        <w:t>;</w:t>
      </w:r>
    </w:p>
    <w:p w:rsidR="00A82C89" w:rsidRPr="00DB65AF" w:rsidRDefault="00A82C89" w:rsidP="00A82C89">
      <w:pPr>
        <w:rPr>
          <w:lang w:val="pt-PT"/>
        </w:rPr>
      </w:pPr>
      <w:r w:rsidRPr="00DB65AF">
        <w:rPr>
          <w:lang w:val="pt-PT"/>
        </w:rPr>
        <w:tab/>
      </w:r>
      <w:r w:rsidRPr="00DB65AF">
        <w:rPr>
          <w:lang w:val="pt-PT"/>
        </w:rPr>
        <w:tab/>
      </w:r>
      <w:r w:rsidRPr="00DB65AF">
        <w:rPr>
          <w:lang w:val="pt-PT"/>
        </w:rPr>
        <w:tab/>
      </w:r>
      <w:r w:rsidRPr="00DB65AF">
        <w:rPr>
          <w:lang w:val="pt-PT"/>
        </w:rPr>
        <w:tab/>
      </w:r>
      <w:r w:rsidRPr="00DB65AF">
        <w:rPr>
          <w:i/>
          <w:szCs w:val="20"/>
          <w:lang w:val="pt-PT"/>
        </w:rPr>
        <w:t xml:space="preserve">E-mail: </w:t>
      </w:r>
      <w:r w:rsidRPr="00DB65AF">
        <w:rPr>
          <w:i/>
          <w:lang w:val="pt-PT"/>
        </w:rPr>
        <w:t>edoardo.patelli@liverpool.ac.uk</w:t>
      </w:r>
      <w:r w:rsidR="00292324">
        <w:rPr>
          <w:i/>
          <w:lang w:val="pt-PT"/>
        </w:rPr>
        <w:t>.</w:t>
      </w:r>
    </w:p>
    <w:p w:rsidR="00E125D3" w:rsidRPr="00DB65AF" w:rsidRDefault="00E125D3" w:rsidP="00E125D3">
      <w:pPr>
        <w:pStyle w:val="AbstractHeader"/>
        <w:spacing w:before="0" w:afterLines="0" w:line="240" w:lineRule="auto"/>
        <w:rPr>
          <w:lang w:val="pt-PT"/>
        </w:rPr>
      </w:pPr>
    </w:p>
    <w:p w:rsidR="00E125D3" w:rsidRPr="00DB65AF" w:rsidRDefault="00E125D3" w:rsidP="00E125D3">
      <w:pPr>
        <w:pStyle w:val="AbstractBody"/>
        <w:rPr>
          <w:lang w:val="pt-PT"/>
        </w:rPr>
      </w:pPr>
    </w:p>
    <w:p w:rsidR="00A02C6D" w:rsidRDefault="00A02C6D" w:rsidP="00A02C6D">
      <w:pPr>
        <w:pStyle w:val="AbstractHeader"/>
        <w:spacing w:before="0" w:afterLines="0" w:line="240" w:lineRule="auto"/>
      </w:pPr>
      <w:r>
        <w:t>A</w:t>
      </w:r>
      <w:r>
        <w:rPr>
          <w:rFonts w:hint="eastAsia"/>
        </w:rPr>
        <w:t>BSTRACT</w:t>
      </w:r>
    </w:p>
    <w:p w:rsidR="00A02C6D" w:rsidRDefault="00A02C6D" w:rsidP="00A02C6D">
      <w:pPr>
        <w:pStyle w:val="AbstractBody"/>
      </w:pPr>
    </w:p>
    <w:p w:rsidR="00A02C6D" w:rsidRDefault="00A02C6D" w:rsidP="00A02C6D">
      <w:pPr>
        <w:rPr>
          <w:szCs w:val="20"/>
        </w:rPr>
      </w:pPr>
      <w:r w:rsidRPr="009F79FD">
        <w:rPr>
          <w:szCs w:val="20"/>
        </w:rPr>
        <w:t xml:space="preserve">This study aims to </w:t>
      </w:r>
      <w:r w:rsidR="00453D68">
        <w:rPr>
          <w:szCs w:val="20"/>
        </w:rPr>
        <w:t xml:space="preserve">analyze </w:t>
      </w:r>
      <w:r w:rsidR="008C3044">
        <w:rPr>
          <w:szCs w:val="20"/>
        </w:rPr>
        <w:t xml:space="preserve">the possibilities of Small Modular Reactors (SMRs) as a </w:t>
      </w:r>
      <w:r w:rsidR="00453D68">
        <w:rPr>
          <w:szCs w:val="20"/>
        </w:rPr>
        <w:t xml:space="preserve">potential replacement of coal power plants. </w:t>
      </w:r>
      <w:r w:rsidRPr="009F79FD">
        <w:rPr>
          <w:szCs w:val="20"/>
        </w:rPr>
        <w:t xml:space="preserve">As deriving from current UK energy policy to increase the share of low carbon energy sources, SMRs offers more </w:t>
      </w:r>
      <w:r>
        <w:rPr>
          <w:szCs w:val="20"/>
        </w:rPr>
        <w:t xml:space="preserve">timely </w:t>
      </w:r>
      <w:r w:rsidRPr="009F79FD">
        <w:rPr>
          <w:szCs w:val="20"/>
        </w:rPr>
        <w:t xml:space="preserve">viable option compare to large nuclear power plants. </w:t>
      </w:r>
      <w:r>
        <w:rPr>
          <w:szCs w:val="20"/>
        </w:rPr>
        <w:t>As shown in a case study, several units of currently leading designs of SMRs could be built in the UK if all coal power plants will be shut due to carbon price increase and CO</w:t>
      </w:r>
      <w:r w:rsidRPr="00954462">
        <w:rPr>
          <w:szCs w:val="20"/>
          <w:vertAlign w:val="subscript"/>
        </w:rPr>
        <w:t>2</w:t>
      </w:r>
      <w:r>
        <w:rPr>
          <w:szCs w:val="20"/>
        </w:rPr>
        <w:t xml:space="preserve"> emission restr</w:t>
      </w:r>
      <w:r w:rsidR="00453D68">
        <w:rPr>
          <w:szCs w:val="20"/>
        </w:rPr>
        <w:t>ictions. The case study shows t</w:t>
      </w:r>
      <w:r>
        <w:rPr>
          <w:szCs w:val="20"/>
        </w:rPr>
        <w:t>he time scheme of potential coal power plants shut down</w:t>
      </w:r>
      <w:r w:rsidR="00453D68">
        <w:rPr>
          <w:szCs w:val="20"/>
        </w:rPr>
        <w:t xml:space="preserve"> to comply with Carbon Budget emission limits. A</w:t>
      </w:r>
      <w:r>
        <w:rPr>
          <w:szCs w:val="20"/>
        </w:rPr>
        <w:t xml:space="preserve"> time scheme and number of units of construction commencement of six leading SMR designs is made to </w:t>
      </w:r>
      <w:r w:rsidR="00453D68">
        <w:rPr>
          <w:szCs w:val="20"/>
        </w:rPr>
        <w:t>show the feasibility of replacemen</w:t>
      </w:r>
      <w:r w:rsidR="00020E79">
        <w:rPr>
          <w:szCs w:val="20"/>
        </w:rPr>
        <w:t>t</w:t>
      </w:r>
      <w:r w:rsidR="00453D68">
        <w:rPr>
          <w:szCs w:val="20"/>
        </w:rPr>
        <w:t xml:space="preserve"> shut down coal plants</w:t>
      </w:r>
      <w:r>
        <w:rPr>
          <w:szCs w:val="20"/>
        </w:rPr>
        <w:t xml:space="preserve">. For comparison, a time scheme and number of rectors of conventional nuclear power plant to be built to replace potentially closed coal plants is done in the end of the study. </w:t>
      </w:r>
    </w:p>
    <w:p w:rsidR="003C75B0" w:rsidRDefault="003C75B0" w:rsidP="00A02C6D">
      <w:pPr>
        <w:rPr>
          <w:szCs w:val="20"/>
        </w:rPr>
      </w:pPr>
    </w:p>
    <w:p w:rsidR="00E125D3" w:rsidRDefault="00A02C6D" w:rsidP="00496B03">
      <w:pPr>
        <w:pStyle w:val="Keywords"/>
        <w:spacing w:before="0" w:afterLines="0" w:line="240" w:lineRule="auto"/>
        <w:rPr>
          <w:b w:val="0"/>
          <w:i w:val="0"/>
          <w:caps w:val="0"/>
        </w:rPr>
      </w:pPr>
      <w:r w:rsidRPr="00EB00E8">
        <w:rPr>
          <w:i w:val="0"/>
          <w:caps w:val="0"/>
        </w:rPr>
        <w:t xml:space="preserve">Keywords:  </w:t>
      </w:r>
      <w:r>
        <w:rPr>
          <w:b w:val="0"/>
          <w:i w:val="0"/>
          <w:caps w:val="0"/>
        </w:rPr>
        <w:t>Small Modular Reactors</w:t>
      </w:r>
      <w:r w:rsidRPr="003D5566">
        <w:rPr>
          <w:b w:val="0"/>
          <w:i w:val="0"/>
          <w:caps w:val="0"/>
        </w:rPr>
        <w:t>;</w:t>
      </w:r>
      <w:r>
        <w:rPr>
          <w:i w:val="0"/>
          <w:caps w:val="0"/>
        </w:rPr>
        <w:t xml:space="preserve"> </w:t>
      </w:r>
      <w:r>
        <w:rPr>
          <w:b w:val="0"/>
          <w:i w:val="0"/>
          <w:caps w:val="0"/>
        </w:rPr>
        <w:t xml:space="preserve">UK carbon reduction policy; coal power elimination. </w:t>
      </w:r>
    </w:p>
    <w:p w:rsidR="00496B03" w:rsidRPr="00496B03" w:rsidRDefault="00496B03" w:rsidP="00496B03">
      <w:pPr>
        <w:pStyle w:val="Keywords"/>
        <w:spacing w:before="0" w:afterLines="0" w:line="240" w:lineRule="auto"/>
        <w:rPr>
          <w:b w:val="0"/>
          <w:i w:val="0"/>
        </w:rPr>
      </w:pPr>
    </w:p>
    <w:p w:rsidR="00E125D3" w:rsidRDefault="00E125D3" w:rsidP="00E125D3">
      <w:pPr>
        <w:pStyle w:val="Heading1"/>
        <w:keepLines w:val="0"/>
        <w:spacing w:before="0" w:line="240" w:lineRule="auto"/>
        <w:rPr>
          <w:rFonts w:ascii="Times New Roman" w:eastAsia="MingLiU" w:hAnsi="Times New Roman"/>
          <w:bCs w:val="0"/>
          <w:color w:val="auto"/>
          <w:kern w:val="28"/>
          <w:sz w:val="24"/>
          <w:szCs w:val="20"/>
          <w:lang w:eastAsia="zh-TW"/>
        </w:rPr>
      </w:pPr>
      <w:r w:rsidRPr="00E70D6D">
        <w:rPr>
          <w:rFonts w:ascii="Times New Roman" w:eastAsia="MingLiU" w:hAnsi="Times New Roman"/>
          <w:bCs w:val="0"/>
          <w:color w:val="auto"/>
          <w:kern w:val="28"/>
          <w:sz w:val="24"/>
          <w:szCs w:val="20"/>
          <w:lang w:eastAsia="zh-TW"/>
        </w:rPr>
        <w:t>Introduction</w:t>
      </w:r>
    </w:p>
    <w:p w:rsidR="00E125D3" w:rsidRDefault="00E125D3" w:rsidP="00E125D3"/>
    <w:p w:rsidR="000C4BC8" w:rsidRDefault="00E125D3" w:rsidP="00C92EB0">
      <w:pPr>
        <w:rPr>
          <w:rFonts w:cs="Arial"/>
          <w:szCs w:val="24"/>
          <w:lang w:eastAsia="en-GB"/>
        </w:rPr>
      </w:pPr>
      <w:r>
        <w:rPr>
          <w:lang w:eastAsia="en-GB"/>
        </w:rPr>
        <w:t xml:space="preserve">There are several advantages that deployment of SMRs can bring to future generations. Building smaller units closer to point of use can reduce </w:t>
      </w:r>
      <w:r>
        <w:rPr>
          <w:lang w:val="en-GB" w:eastAsia="en-GB"/>
        </w:rPr>
        <w:t>transmission losses or provide district heating. People’s natural fear of nuclear power can be moderated by increased passive safety measures united with all SMR designs.</w:t>
      </w:r>
      <w:r w:rsidR="002F79F2">
        <w:rPr>
          <w:lang w:val="en-GB" w:eastAsia="en-GB"/>
        </w:rPr>
        <w:t xml:space="preserve"> </w:t>
      </w:r>
      <w:r w:rsidRPr="00587F2D">
        <w:rPr>
          <w:lang w:eastAsia="en-GB"/>
        </w:rPr>
        <w:t>Many recent studies have focused foremost on technological and economic aspects of SMRs</w:t>
      </w:r>
      <w:r>
        <w:rPr>
          <w:lang w:eastAsia="en-GB"/>
        </w:rPr>
        <w:t xml:space="preserve">. </w:t>
      </w:r>
      <w:r w:rsidRPr="00587F2D">
        <w:rPr>
          <w:lang w:eastAsia="en-GB"/>
        </w:rPr>
        <w:t>Liu</w:t>
      </w:r>
      <w:r>
        <w:rPr>
          <w:lang w:eastAsia="en-GB"/>
        </w:rPr>
        <w:t xml:space="preserve"> and</w:t>
      </w:r>
      <w:r w:rsidRPr="00587F2D">
        <w:rPr>
          <w:lang w:eastAsia="en-GB"/>
        </w:rPr>
        <w:t xml:space="preserve"> Fan</w:t>
      </w:r>
      <w:r>
        <w:rPr>
          <w:lang w:eastAsia="en-GB"/>
        </w:rPr>
        <w:t xml:space="preserve"> (</w:t>
      </w:r>
      <w:r w:rsidRPr="00587F2D">
        <w:rPr>
          <w:lang w:eastAsia="en-GB"/>
        </w:rPr>
        <w:t xml:space="preserve">2013) reviewed several representative SMR designs and their technology readiness. Namely they have focused on </w:t>
      </w:r>
      <w:proofErr w:type="spellStart"/>
      <w:r w:rsidRPr="00587F2D">
        <w:rPr>
          <w:lang w:eastAsia="en-GB"/>
        </w:rPr>
        <w:t>mPower</w:t>
      </w:r>
      <w:proofErr w:type="spellEnd"/>
      <w:r w:rsidRPr="00587F2D">
        <w:rPr>
          <w:lang w:eastAsia="en-GB"/>
        </w:rPr>
        <w:t xml:space="preserve"> by </w:t>
      </w:r>
      <w:proofErr w:type="spellStart"/>
      <w:r w:rsidRPr="00587F2D">
        <w:rPr>
          <w:lang w:eastAsia="en-GB"/>
        </w:rPr>
        <w:t>Babcock&amp;Wilcox</w:t>
      </w:r>
      <w:proofErr w:type="spellEnd"/>
      <w:r w:rsidRPr="00587F2D">
        <w:rPr>
          <w:lang w:eastAsia="en-GB"/>
        </w:rPr>
        <w:t>, th</w:t>
      </w:r>
      <w:r w:rsidR="005D4F2B">
        <w:rPr>
          <w:lang w:eastAsia="en-GB"/>
        </w:rPr>
        <w:t xml:space="preserve">e Westinghouse SMR and </w:t>
      </w:r>
      <w:proofErr w:type="spellStart"/>
      <w:r w:rsidR="005D4F2B">
        <w:rPr>
          <w:lang w:eastAsia="en-GB"/>
        </w:rPr>
        <w:t>NuScale</w:t>
      </w:r>
      <w:proofErr w:type="spellEnd"/>
      <w:r w:rsidR="005D4F2B">
        <w:rPr>
          <w:lang w:eastAsia="en-GB"/>
        </w:rPr>
        <w:t xml:space="preserve"> </w:t>
      </w:r>
      <w:r w:rsidRPr="00587F2D">
        <w:rPr>
          <w:lang w:eastAsia="en-GB"/>
        </w:rPr>
        <w:t xml:space="preserve">PWR. A study by </w:t>
      </w:r>
      <w:proofErr w:type="spellStart"/>
      <w:r w:rsidRPr="00587F2D">
        <w:rPr>
          <w:lang w:eastAsia="en-GB"/>
        </w:rPr>
        <w:t>Carelli</w:t>
      </w:r>
      <w:proofErr w:type="spellEnd"/>
      <w:r w:rsidRPr="00587F2D">
        <w:rPr>
          <w:lang w:eastAsia="en-GB"/>
        </w:rPr>
        <w:t xml:space="preserve"> et al. (2010)</w:t>
      </w:r>
      <w:r>
        <w:rPr>
          <w:lang w:eastAsia="en-GB"/>
        </w:rPr>
        <w:t xml:space="preserve"> pointed</w:t>
      </w:r>
      <w:r w:rsidRPr="00587F2D">
        <w:rPr>
          <w:lang w:eastAsia="en-GB"/>
        </w:rPr>
        <w:t xml:space="preserve"> out that the preliminary evaluation of the capital and </w:t>
      </w:r>
      <w:r w:rsidR="002F79F2">
        <w:rPr>
          <w:lang w:eastAsia="en-GB"/>
        </w:rPr>
        <w:t>Operations and Maintenance (</w:t>
      </w:r>
      <w:r w:rsidRPr="00587F2D">
        <w:rPr>
          <w:lang w:eastAsia="en-GB"/>
        </w:rPr>
        <w:t>O&amp;M</w:t>
      </w:r>
      <w:r w:rsidR="002F79F2">
        <w:rPr>
          <w:lang w:eastAsia="en-GB"/>
        </w:rPr>
        <w:t>)</w:t>
      </w:r>
      <w:r w:rsidRPr="00587F2D">
        <w:rPr>
          <w:lang w:eastAsia="en-GB"/>
        </w:rPr>
        <w:t xml:space="preserve"> costs shows that the negative effects of the economies of scale can be balanced by the integral and modular design strategy of SMRs. A paper by Locatelli et al (2013) is focused on assessment of </w:t>
      </w:r>
      <w:r w:rsidR="002F79F2">
        <w:rPr>
          <w:lang w:eastAsia="en-GB"/>
        </w:rPr>
        <w:t>Light Water Reactors (</w:t>
      </w:r>
      <w:r w:rsidRPr="00587F2D">
        <w:rPr>
          <w:lang w:eastAsia="en-GB"/>
        </w:rPr>
        <w:t>LWRs</w:t>
      </w:r>
      <w:r w:rsidR="002F79F2">
        <w:rPr>
          <w:lang w:eastAsia="en-GB"/>
        </w:rPr>
        <w:t>)</w:t>
      </w:r>
      <w:r w:rsidRPr="00587F2D">
        <w:rPr>
          <w:lang w:eastAsia="en-GB"/>
        </w:rPr>
        <w:t xml:space="preserve"> life cycle, along with a comparison of their relative merits with other base-load technologies.</w:t>
      </w:r>
      <w:r w:rsidR="000C4BC8">
        <w:rPr>
          <w:lang w:eastAsia="en-GB"/>
        </w:rPr>
        <w:t xml:space="preserve"> </w:t>
      </w:r>
      <w:r w:rsidRPr="00330183">
        <w:rPr>
          <w:rFonts w:cs="Arial"/>
          <w:szCs w:val="24"/>
          <w:lang w:eastAsia="en-GB"/>
        </w:rPr>
        <w:t xml:space="preserve">Technology readiness and feasibility study for SMRs have been also published by International Atomic Energy Agency. </w:t>
      </w:r>
    </w:p>
    <w:p w:rsidR="00017785" w:rsidRPr="000C4BC8" w:rsidRDefault="00E125D3" w:rsidP="00C92EB0">
      <w:pPr>
        <w:rPr>
          <w:lang w:eastAsia="en-GB"/>
        </w:rPr>
      </w:pPr>
      <w:r w:rsidRPr="00330183">
        <w:rPr>
          <w:rFonts w:cs="Arial"/>
          <w:szCs w:val="24"/>
          <w:lang w:eastAsia="en-GB"/>
        </w:rPr>
        <w:t>However,</w:t>
      </w:r>
      <w:r w:rsidR="005D4F2B">
        <w:rPr>
          <w:rFonts w:cs="Arial"/>
          <w:szCs w:val="24"/>
          <w:lang w:eastAsia="en-GB"/>
        </w:rPr>
        <w:t xml:space="preserve"> </w:t>
      </w:r>
      <w:r w:rsidR="003A267B">
        <w:rPr>
          <w:rFonts w:cs="Arial"/>
          <w:szCs w:val="24"/>
          <w:lang w:eastAsia="en-GB"/>
        </w:rPr>
        <w:t>this study aims to show the possible replacement of coal power plants in the UK by SMRs as coal plants may</w:t>
      </w:r>
      <w:r w:rsidR="00241630">
        <w:rPr>
          <w:rFonts w:cs="Arial"/>
          <w:szCs w:val="24"/>
          <w:lang w:eastAsia="en-GB"/>
        </w:rPr>
        <w:t xml:space="preserve"> begin to</w:t>
      </w:r>
      <w:r w:rsidR="003A267B">
        <w:rPr>
          <w:rFonts w:cs="Arial"/>
          <w:szCs w:val="24"/>
          <w:lang w:eastAsia="en-GB"/>
        </w:rPr>
        <w:t xml:space="preserve"> be shut down according to new Government requirements. </w:t>
      </w:r>
      <w:r w:rsidR="00241630">
        <w:rPr>
          <w:rFonts w:cs="Arial"/>
          <w:szCs w:val="24"/>
          <w:lang w:eastAsia="en-GB"/>
        </w:rPr>
        <w:t xml:space="preserve">The case study reveals </w:t>
      </w:r>
      <w:r w:rsidR="000C4BC8">
        <w:rPr>
          <w:rFonts w:cs="Arial"/>
          <w:szCs w:val="24"/>
          <w:lang w:eastAsia="en-GB"/>
        </w:rPr>
        <w:t>a</w:t>
      </w:r>
      <w:r w:rsidR="00241630">
        <w:rPr>
          <w:rFonts w:cs="Arial"/>
          <w:szCs w:val="24"/>
          <w:lang w:eastAsia="en-GB"/>
        </w:rPr>
        <w:t xml:space="preserve"> possible</w:t>
      </w:r>
      <w:r w:rsidR="00776884">
        <w:rPr>
          <w:rFonts w:cs="Arial"/>
          <w:szCs w:val="24"/>
          <w:lang w:eastAsia="en-GB"/>
        </w:rPr>
        <w:t xml:space="preserve"> prediction</w:t>
      </w:r>
      <w:r w:rsidR="00241630">
        <w:rPr>
          <w:rFonts w:cs="Arial"/>
          <w:szCs w:val="24"/>
          <w:lang w:eastAsia="en-GB"/>
        </w:rPr>
        <w:t xml:space="preserve"> model for the </w:t>
      </w:r>
      <w:r w:rsidR="000C4BC8">
        <w:rPr>
          <w:rFonts w:cs="Arial"/>
          <w:szCs w:val="24"/>
          <w:lang w:eastAsia="en-GB"/>
        </w:rPr>
        <w:t>carbon emissions limit</w:t>
      </w:r>
      <w:r w:rsidR="00241630">
        <w:rPr>
          <w:rFonts w:cs="Arial"/>
          <w:szCs w:val="24"/>
          <w:lang w:eastAsia="en-GB"/>
        </w:rPr>
        <w:t xml:space="preserve"> from power plants </w:t>
      </w:r>
      <w:r w:rsidR="001E0F46">
        <w:rPr>
          <w:rFonts w:cs="Arial"/>
          <w:szCs w:val="24"/>
          <w:lang w:eastAsia="en-GB"/>
        </w:rPr>
        <w:t xml:space="preserve">and predicts the time scheme in which UK </w:t>
      </w:r>
      <w:r w:rsidR="000C4BC8">
        <w:rPr>
          <w:rFonts w:cs="Arial"/>
          <w:szCs w:val="24"/>
          <w:lang w:eastAsia="en-GB"/>
        </w:rPr>
        <w:t xml:space="preserve">coal </w:t>
      </w:r>
      <w:r w:rsidR="001E0F46">
        <w:rPr>
          <w:rFonts w:cs="Arial"/>
          <w:szCs w:val="24"/>
          <w:lang w:eastAsia="en-GB"/>
        </w:rPr>
        <w:t>power plants may start to be shutting down. Based on the capacity of each coal plant being shut down another time scheme, this time for commen</w:t>
      </w:r>
      <w:r w:rsidR="000C4BC8">
        <w:rPr>
          <w:rFonts w:cs="Arial"/>
          <w:szCs w:val="24"/>
          <w:lang w:eastAsia="en-GB"/>
        </w:rPr>
        <w:t>cement of construction for the six</w:t>
      </w:r>
      <w:r w:rsidR="001E0F46">
        <w:rPr>
          <w:rFonts w:cs="Arial"/>
          <w:szCs w:val="24"/>
          <w:lang w:eastAsia="en-GB"/>
        </w:rPr>
        <w:t xml:space="preserve"> leading SMR designs</w:t>
      </w:r>
      <w:r w:rsidR="00776884">
        <w:rPr>
          <w:rFonts w:cs="Arial"/>
          <w:szCs w:val="24"/>
          <w:lang w:eastAsia="en-GB"/>
        </w:rPr>
        <w:t xml:space="preserve"> to replace coal plants capacity</w:t>
      </w:r>
      <w:r w:rsidR="001E0F46">
        <w:rPr>
          <w:rFonts w:cs="Arial"/>
          <w:szCs w:val="24"/>
          <w:lang w:eastAsia="en-GB"/>
        </w:rPr>
        <w:t xml:space="preserve"> is presented and number units that would need to build</w:t>
      </w:r>
      <w:r w:rsidR="00776884">
        <w:rPr>
          <w:rFonts w:cs="Arial"/>
          <w:szCs w:val="24"/>
          <w:lang w:eastAsia="en-GB"/>
        </w:rPr>
        <w:t xml:space="preserve"> is</w:t>
      </w:r>
      <w:r w:rsidR="001E0F46">
        <w:rPr>
          <w:rFonts w:cs="Arial"/>
          <w:szCs w:val="24"/>
          <w:lang w:eastAsia="en-GB"/>
        </w:rPr>
        <w:t xml:space="preserve"> shown. A comparison with number of rectors and commencement of construction for conventional nuclear power plant is made. </w:t>
      </w:r>
    </w:p>
    <w:p w:rsidR="000C4BC8" w:rsidRDefault="000C4BC8" w:rsidP="004521DC">
      <w:pPr>
        <w:pStyle w:val="Heading2"/>
        <w:rPr>
          <w:rFonts w:ascii="Times New Roman" w:hAnsi="Times New Roman"/>
          <w:color w:val="auto"/>
          <w:sz w:val="24"/>
          <w:szCs w:val="24"/>
        </w:rPr>
      </w:pPr>
    </w:p>
    <w:p w:rsidR="004521DC" w:rsidRDefault="004521DC" w:rsidP="004521DC">
      <w:pPr>
        <w:pStyle w:val="Heading2"/>
        <w:rPr>
          <w:rFonts w:ascii="Times New Roman" w:hAnsi="Times New Roman"/>
          <w:color w:val="auto"/>
          <w:sz w:val="24"/>
          <w:szCs w:val="24"/>
        </w:rPr>
      </w:pPr>
      <w:r w:rsidRPr="00332512">
        <w:rPr>
          <w:rFonts w:ascii="Times New Roman" w:hAnsi="Times New Roman"/>
          <w:color w:val="auto"/>
          <w:sz w:val="24"/>
          <w:szCs w:val="24"/>
        </w:rPr>
        <w:t xml:space="preserve">UK </w:t>
      </w:r>
      <w:r w:rsidR="000C4BC8">
        <w:rPr>
          <w:rFonts w:ascii="Times New Roman" w:hAnsi="Times New Roman"/>
          <w:color w:val="auto"/>
          <w:sz w:val="24"/>
          <w:szCs w:val="24"/>
        </w:rPr>
        <w:t>carbon dioxide</w:t>
      </w:r>
      <w:r w:rsidRPr="000C4BC8">
        <w:rPr>
          <w:rFonts w:ascii="Times New Roman" w:hAnsi="Times New Roman"/>
          <w:color w:val="auto"/>
          <w:sz w:val="24"/>
          <w:szCs w:val="24"/>
          <w:vertAlign w:val="subscript"/>
        </w:rPr>
        <w:t xml:space="preserve"> </w:t>
      </w:r>
      <w:r w:rsidRPr="00332512">
        <w:rPr>
          <w:rFonts w:ascii="Times New Roman" w:hAnsi="Times New Roman"/>
          <w:color w:val="auto"/>
          <w:sz w:val="24"/>
          <w:szCs w:val="24"/>
        </w:rPr>
        <w:t>reduction plan</w:t>
      </w:r>
    </w:p>
    <w:p w:rsidR="004521DC" w:rsidRPr="00BD6C44" w:rsidRDefault="004521DC" w:rsidP="004521DC"/>
    <w:p w:rsidR="004521DC" w:rsidRPr="00A33449" w:rsidRDefault="004521DC" w:rsidP="004521DC">
      <w:r w:rsidRPr="00334D6E">
        <w:t>The UK signed (1998) and ratified (2002) the Kyoto Protoco</w:t>
      </w:r>
      <w:r w:rsidRPr="008166FB">
        <w:t>l</w:t>
      </w:r>
      <w:r w:rsidRPr="008166FB">
        <w:rPr>
          <w:rStyle w:val="FootnoteReference"/>
        </w:rPr>
        <w:footnoteReference w:id="2"/>
      </w:r>
      <w:r w:rsidRPr="008166FB">
        <w:t xml:space="preserve"> </w:t>
      </w:r>
      <w:r>
        <w:t xml:space="preserve">which entered into force in February 2005 </w:t>
      </w:r>
      <w:r w:rsidRPr="00334D6E">
        <w:t xml:space="preserve">and it is therefore </w:t>
      </w:r>
      <w:r>
        <w:t>obliged</w:t>
      </w:r>
      <w:r w:rsidRPr="00334D6E">
        <w:t xml:space="preserve"> to lower its CO</w:t>
      </w:r>
      <w:r w:rsidRPr="00334D6E">
        <w:rPr>
          <w:vertAlign w:val="subscript"/>
        </w:rPr>
        <w:t>2</w:t>
      </w:r>
      <w:r w:rsidRPr="00334D6E">
        <w:t xml:space="preserve"> emissions. </w:t>
      </w:r>
      <w:r>
        <w:t>The provisions to meet the Kyoto Protocol requirements are stated in the UK Climate Change Act of 2008. Besides others, the Act added carbon reduction target into law and UK is therefore committed to reduce CO</w:t>
      </w:r>
      <w:r w:rsidRPr="0062128C">
        <w:rPr>
          <w:vertAlign w:val="subscript"/>
        </w:rPr>
        <w:t>2</w:t>
      </w:r>
      <w:r>
        <w:t xml:space="preserve"> emissions between 26% and 32% by 2020 and by 80% in 2050 from 1990 levels </w:t>
      </w:r>
      <w:r>
        <w:rPr>
          <w:rStyle w:val="selectable"/>
        </w:rPr>
        <w:t>(HM Government, 2011)</w:t>
      </w:r>
      <w:r>
        <w:t>. The emissions reduction needs to be targeted in the all of the three main sectors – electri</w:t>
      </w:r>
      <w:r w:rsidR="001463DD">
        <w:t>city, residential and transport, w</w:t>
      </w:r>
      <w:r>
        <w:t xml:space="preserve">ith electricity being produced by low-carbon sources (renewables, nuclear and Carbon Capture and Storage – CCS), houses being more efficient to save energy and </w:t>
      </w:r>
      <w:r>
        <w:rPr>
          <w:lang w:val="en-GB"/>
        </w:rPr>
        <w:t xml:space="preserve">vehicles with internal combustion engines to be </w:t>
      </w:r>
      <w:r w:rsidRPr="00D55F8C">
        <w:t>hybridized with electric motors,</w:t>
      </w:r>
      <w:r>
        <w:t xml:space="preserve"> </w:t>
      </w:r>
      <w:r>
        <w:rPr>
          <w:lang w:val="en-GB"/>
        </w:rPr>
        <w:t>replaced by all-electric battery vehicles, or fuel cell vehicles, probably fuelled by hydrogen (</w:t>
      </w:r>
      <w:r w:rsidR="00195056">
        <w:rPr>
          <w:szCs w:val="20"/>
        </w:rPr>
        <w:t>Ekins et al., 2013)</w:t>
      </w:r>
      <w:r>
        <w:rPr>
          <w:lang w:val="en-GB"/>
        </w:rPr>
        <w:t>.</w:t>
      </w:r>
    </w:p>
    <w:p w:rsidR="004521DC" w:rsidRPr="00E5351F" w:rsidRDefault="004521DC" w:rsidP="004521DC">
      <w:pPr>
        <w:rPr>
          <w:b/>
        </w:rPr>
      </w:pPr>
      <w:r>
        <w:t>The future of nuclear power in</w:t>
      </w:r>
      <w:r w:rsidRPr="0057619D">
        <w:t xml:space="preserve"> the UK is secured by the provisions of the Energy Act 2013 </w:t>
      </w:r>
      <w:r w:rsidRPr="0057619D">
        <w:rPr>
          <w:rStyle w:val="selectable"/>
        </w:rPr>
        <w:t>(</w:t>
      </w:r>
      <w:r>
        <w:rPr>
          <w:rStyle w:val="selectable"/>
        </w:rPr>
        <w:t xml:space="preserve">HM Government, 2013a) </w:t>
      </w:r>
      <w:r>
        <w:t xml:space="preserve">which commits to deliver secure, affordable and low carbon energy and establishes an independent nuclear regulator – Office for Nuclear Regulation (ONR). </w:t>
      </w:r>
      <w:r w:rsidRPr="007E6A98">
        <w:t xml:space="preserve">This Act puts in place measures to attract the £110 billion investment which is needed to replace current generating capacity </w:t>
      </w:r>
      <w:r>
        <w:t xml:space="preserve">with low-carbon </w:t>
      </w:r>
      <w:r w:rsidRPr="007E6A98">
        <w:t>capacity</w:t>
      </w:r>
      <w:r>
        <w:t xml:space="preserve"> </w:t>
      </w:r>
      <w:r w:rsidRPr="007E6A98">
        <w:t>and upgrade the grid by 2020, and to cope with a rising demand for electricity.</w:t>
      </w:r>
    </w:p>
    <w:p w:rsidR="004521DC" w:rsidRPr="0079553D" w:rsidRDefault="004521DC" w:rsidP="004521DC">
      <w:pPr>
        <w:pStyle w:val="Heading2"/>
        <w:rPr>
          <w:rFonts w:ascii="Times New Roman" w:hAnsi="Times New Roman"/>
          <w:b w:val="0"/>
          <w:i/>
          <w:color w:val="auto"/>
          <w:sz w:val="24"/>
          <w:szCs w:val="24"/>
        </w:rPr>
      </w:pPr>
      <w:r w:rsidRPr="0079553D">
        <w:rPr>
          <w:rFonts w:ascii="Times New Roman" w:hAnsi="Times New Roman"/>
          <w:b w:val="0"/>
          <w:i/>
          <w:color w:val="auto"/>
          <w:sz w:val="24"/>
          <w:szCs w:val="24"/>
        </w:rPr>
        <w:t xml:space="preserve">Power Stations to be shut down </w:t>
      </w:r>
    </w:p>
    <w:p w:rsidR="004521DC" w:rsidRDefault="004521DC" w:rsidP="004521DC">
      <w:pPr>
        <w:rPr>
          <w:color w:val="FF0000"/>
        </w:rPr>
      </w:pPr>
      <w:r>
        <w:t xml:space="preserve">Due to one of the proposals of the 2011 government Electricity Market Reform (EMR) white paper, the carbon floor price went up from £9.54 to £18.08 per </w:t>
      </w:r>
      <w:proofErr w:type="spellStart"/>
      <w:r>
        <w:t>tonne</w:t>
      </w:r>
      <w:proofErr w:type="spellEnd"/>
      <w:r>
        <w:t xml:space="preserve"> of CO</w:t>
      </w:r>
      <w:r w:rsidRPr="003344B2">
        <w:rPr>
          <w:vertAlign w:val="subscript"/>
        </w:rPr>
        <w:t>2</w:t>
      </w:r>
      <w:r>
        <w:t xml:space="preserve">, raising the cost of a </w:t>
      </w:r>
      <w:proofErr w:type="spellStart"/>
      <w:r>
        <w:t>tonne</w:t>
      </w:r>
      <w:proofErr w:type="spellEnd"/>
      <w:r>
        <w:t xml:space="preserve"> of carbon for British power plants to £23, when allowances on the EU’s emissions trading system (ETS) are factored in</w:t>
      </w:r>
      <w:r w:rsidRPr="00894CF5">
        <w:t xml:space="preserve"> </w:t>
      </w:r>
      <w:r>
        <w:rPr>
          <w:rStyle w:val="selectable"/>
        </w:rPr>
        <w:t>(The Guardian, 2015)</w:t>
      </w:r>
      <w:r>
        <w:t>.</w:t>
      </w:r>
      <w:r w:rsidRPr="003344B2">
        <w:rPr>
          <w:color w:val="FF0000"/>
        </w:rPr>
        <w:t xml:space="preserve"> </w:t>
      </w:r>
      <w:r w:rsidRPr="0004617B">
        <w:t>Nowadays 31%</w:t>
      </w:r>
      <w:r w:rsidR="0004617B" w:rsidRPr="0004617B">
        <w:t xml:space="preserve"> of UK electricity comes from 11</w:t>
      </w:r>
      <w:r w:rsidRPr="0004617B">
        <w:t xml:space="preserve"> coal stations across the country.  Increase of carbon price led to a shutdown of 3 coal power stations </w:t>
      </w:r>
      <w:r w:rsidR="00017785" w:rsidRPr="0004617B">
        <w:t>in the last three years, n</w:t>
      </w:r>
      <w:r w:rsidRPr="0004617B">
        <w:t>amely:</w:t>
      </w:r>
    </w:p>
    <w:p w:rsidR="004521DC" w:rsidRPr="00740D14" w:rsidRDefault="004521DC" w:rsidP="004521DC">
      <w:pPr>
        <w:pStyle w:val="ListParagraph"/>
        <w:numPr>
          <w:ilvl w:val="0"/>
          <w:numId w:val="2"/>
        </w:numPr>
        <w:wordWrap/>
        <w:spacing w:line="240" w:lineRule="exact"/>
        <w:rPr>
          <w:rFonts w:ascii="Times New Roman" w:hAnsi="Times New Roman"/>
          <w:sz w:val="20"/>
        </w:rPr>
      </w:pPr>
      <w:proofErr w:type="spellStart"/>
      <w:r>
        <w:rPr>
          <w:rFonts w:ascii="Times New Roman" w:hAnsi="Times New Roman"/>
          <w:sz w:val="20"/>
        </w:rPr>
        <w:t>Cockenzie</w:t>
      </w:r>
      <w:proofErr w:type="spellEnd"/>
      <w:r>
        <w:rPr>
          <w:rFonts w:ascii="Times New Roman" w:hAnsi="Times New Roman"/>
          <w:sz w:val="20"/>
        </w:rPr>
        <w:t xml:space="preserve"> Power Station (1152 MW)</w:t>
      </w:r>
    </w:p>
    <w:p w:rsidR="004521DC" w:rsidRPr="00740D14" w:rsidRDefault="004521DC" w:rsidP="004521DC">
      <w:pPr>
        <w:pStyle w:val="ListParagraph"/>
        <w:numPr>
          <w:ilvl w:val="0"/>
          <w:numId w:val="2"/>
        </w:numPr>
        <w:wordWrap/>
        <w:spacing w:line="240" w:lineRule="exact"/>
        <w:rPr>
          <w:rFonts w:ascii="Times New Roman" w:hAnsi="Times New Roman"/>
          <w:sz w:val="20"/>
        </w:rPr>
      </w:pPr>
      <w:r w:rsidRPr="00740D14">
        <w:rPr>
          <w:rFonts w:ascii="Times New Roman" w:hAnsi="Times New Roman"/>
          <w:sz w:val="20"/>
        </w:rPr>
        <w:t>Kingsnorth Power Station (1940 MW)</w:t>
      </w:r>
      <w:r>
        <w:rPr>
          <w:rFonts w:ascii="Times New Roman" w:hAnsi="Times New Roman"/>
          <w:sz w:val="20"/>
        </w:rPr>
        <w:t>;</w:t>
      </w:r>
    </w:p>
    <w:p w:rsidR="00017785" w:rsidRPr="00E5351F" w:rsidRDefault="004521DC" w:rsidP="00E5351F">
      <w:pPr>
        <w:pStyle w:val="ListParagraph"/>
        <w:numPr>
          <w:ilvl w:val="0"/>
          <w:numId w:val="2"/>
        </w:numPr>
        <w:wordWrap/>
        <w:spacing w:line="240" w:lineRule="exact"/>
        <w:jc w:val="left"/>
        <w:rPr>
          <w:rFonts w:ascii="Times New Roman" w:hAnsi="Times New Roman"/>
          <w:sz w:val="20"/>
        </w:rPr>
      </w:pPr>
      <w:proofErr w:type="spellStart"/>
      <w:r w:rsidRPr="006572D6">
        <w:rPr>
          <w:rFonts w:ascii="Times New Roman" w:hAnsi="Times New Roman"/>
          <w:sz w:val="20"/>
        </w:rPr>
        <w:t>Tilbury</w:t>
      </w:r>
      <w:proofErr w:type="spellEnd"/>
      <w:r w:rsidRPr="006572D6">
        <w:rPr>
          <w:rFonts w:ascii="Times New Roman" w:hAnsi="Times New Roman"/>
          <w:sz w:val="20"/>
        </w:rPr>
        <w:t xml:space="preserve"> Power Station (1131 MW) </w:t>
      </w:r>
      <w:r w:rsidRPr="006572D6">
        <w:rPr>
          <w:rStyle w:val="selectable"/>
          <w:rFonts w:ascii="Times New Roman" w:hAnsi="Times New Roman"/>
          <w:sz w:val="20"/>
        </w:rPr>
        <w:t>(</w:t>
      </w:r>
      <w:proofErr w:type="spellStart"/>
      <w:r w:rsidRPr="006572D6">
        <w:rPr>
          <w:rStyle w:val="selectable"/>
          <w:rFonts w:ascii="Times New Roman" w:hAnsi="Times New Roman"/>
          <w:sz w:val="20"/>
        </w:rPr>
        <w:t>Smeed</w:t>
      </w:r>
      <w:proofErr w:type="spellEnd"/>
      <w:r w:rsidRPr="006572D6">
        <w:rPr>
          <w:rStyle w:val="selectable"/>
          <w:rFonts w:ascii="Times New Roman" w:hAnsi="Times New Roman"/>
          <w:sz w:val="20"/>
        </w:rPr>
        <w:t>, 2015,</w:t>
      </w:r>
      <w:r>
        <w:rPr>
          <w:rFonts w:ascii="Times New Roman" w:hAnsi="Times New Roman"/>
          <w:sz w:val="20"/>
        </w:rPr>
        <w:t xml:space="preserve"> </w:t>
      </w:r>
      <w:r w:rsidRPr="006572D6">
        <w:rPr>
          <w:rStyle w:val="selectable"/>
          <w:rFonts w:ascii="Times New Roman" w:hAnsi="Times New Roman"/>
          <w:sz w:val="20"/>
        </w:rPr>
        <w:t>Processengineering.theengineer.co.uk, 2015).</w:t>
      </w:r>
    </w:p>
    <w:p w:rsidR="004521DC" w:rsidRPr="006572D6" w:rsidRDefault="004521DC" w:rsidP="004521DC">
      <w:r w:rsidRPr="006572D6">
        <w:t>About 20% of UK electricity in 2014 came from nuclear power. To sustain this contribution of nuclear power to the future energy mix, new nuclear power plants</w:t>
      </w:r>
      <w:r w:rsidR="00474DA7">
        <w:t xml:space="preserve"> (NPP)</w:t>
      </w:r>
      <w:r w:rsidRPr="006572D6">
        <w:t xml:space="preserve"> must begin to be built within few years as most of the currently operating power plants will be shut down by 2023 </w:t>
      </w:r>
      <w:r w:rsidRPr="006572D6">
        <w:rPr>
          <w:rStyle w:val="selectable"/>
        </w:rPr>
        <w:t>(World-nuclear.org, 2015a).</w:t>
      </w:r>
    </w:p>
    <w:p w:rsidR="004521DC" w:rsidRDefault="004521DC" w:rsidP="004521DC">
      <w:pPr>
        <w:rPr>
          <w:color w:val="FF0000"/>
        </w:rPr>
      </w:pPr>
      <w:r>
        <w:rPr>
          <w:color w:val="FF0000"/>
        </w:rPr>
        <w:t xml:space="preserve"> </w:t>
      </w:r>
    </w:p>
    <w:p w:rsidR="004521DC" w:rsidRPr="003C75B0" w:rsidRDefault="004521DC" w:rsidP="004521DC">
      <w:pPr>
        <w:jc w:val="center"/>
        <w:rPr>
          <w:rStyle w:val="Strong"/>
          <w:b w:val="0"/>
        </w:rPr>
      </w:pPr>
      <w:proofErr w:type="gramStart"/>
      <w:r>
        <w:rPr>
          <w:rStyle w:val="Strong"/>
        </w:rPr>
        <w:t>Table 1.</w:t>
      </w:r>
      <w:proofErr w:type="gramEnd"/>
      <w:r>
        <w:rPr>
          <w:rStyle w:val="Strong"/>
        </w:rPr>
        <w:t xml:space="preserve"> </w:t>
      </w:r>
      <w:proofErr w:type="gramStart"/>
      <w:r w:rsidRPr="003C75B0">
        <w:rPr>
          <w:rStyle w:val="Strong"/>
          <w:b w:val="0"/>
        </w:rPr>
        <w:t>Expected shutdown of nuclear</w:t>
      </w:r>
      <w:r w:rsidR="00BE133B" w:rsidRPr="003C75B0">
        <w:rPr>
          <w:rStyle w:val="Strong"/>
          <w:b w:val="0"/>
        </w:rPr>
        <w:t xml:space="preserve"> power </w:t>
      </w:r>
      <w:r w:rsidRPr="003C75B0">
        <w:rPr>
          <w:rStyle w:val="Strong"/>
          <w:b w:val="0"/>
        </w:rPr>
        <w:t>stations operating in the UK.</w:t>
      </w:r>
      <w:proofErr w:type="gramEnd"/>
    </w:p>
    <w:p w:rsidR="004521DC" w:rsidRPr="00740D14" w:rsidRDefault="004521DC" w:rsidP="004521DC">
      <w:pPr>
        <w:rPr>
          <w:b/>
          <w:color w:val="FF0000"/>
        </w:rPr>
      </w:pPr>
    </w:p>
    <w:tbl>
      <w:tblPr>
        <w:tblStyle w:val="TableGrid"/>
        <w:tblW w:w="0" w:type="auto"/>
        <w:jc w:val="center"/>
        <w:tblLook w:val="04A0" w:firstRow="1" w:lastRow="0" w:firstColumn="1" w:lastColumn="0" w:noHBand="0" w:noVBand="1"/>
      </w:tblPr>
      <w:tblGrid>
        <w:gridCol w:w="2093"/>
        <w:gridCol w:w="1417"/>
        <w:gridCol w:w="2127"/>
        <w:gridCol w:w="2127"/>
      </w:tblGrid>
      <w:tr w:rsidR="004521DC" w:rsidTr="003C75B0">
        <w:trPr>
          <w:trHeight w:hRule="exact" w:val="425"/>
          <w:jc w:val="center"/>
        </w:trPr>
        <w:tc>
          <w:tcPr>
            <w:tcW w:w="2093" w:type="dxa"/>
            <w:shd w:val="clear" w:color="auto" w:fill="auto"/>
            <w:vAlign w:val="center"/>
          </w:tcPr>
          <w:p w:rsidR="004521DC" w:rsidRPr="004B6625" w:rsidRDefault="004521DC" w:rsidP="00E809E5">
            <w:pPr>
              <w:jc w:val="center"/>
              <w:rPr>
                <w:b/>
                <w:sz w:val="16"/>
                <w:szCs w:val="16"/>
              </w:rPr>
            </w:pPr>
            <w:r w:rsidRPr="004B6625">
              <w:rPr>
                <w:sz w:val="16"/>
                <w:szCs w:val="16"/>
              </w:rPr>
              <w:br w:type="page"/>
            </w:r>
            <w:r w:rsidRPr="004B6625">
              <w:rPr>
                <w:b/>
                <w:sz w:val="16"/>
                <w:szCs w:val="16"/>
              </w:rPr>
              <w:t>Plant</w:t>
            </w:r>
          </w:p>
        </w:tc>
        <w:tc>
          <w:tcPr>
            <w:tcW w:w="1417" w:type="dxa"/>
            <w:shd w:val="clear" w:color="auto" w:fill="auto"/>
            <w:vAlign w:val="center"/>
          </w:tcPr>
          <w:p w:rsidR="004521DC" w:rsidRPr="004B6625" w:rsidRDefault="004521DC" w:rsidP="00E809E5">
            <w:pPr>
              <w:jc w:val="center"/>
              <w:rPr>
                <w:b/>
                <w:sz w:val="16"/>
                <w:szCs w:val="16"/>
              </w:rPr>
            </w:pPr>
            <w:r w:rsidRPr="004B6625">
              <w:rPr>
                <w:b/>
                <w:sz w:val="16"/>
                <w:szCs w:val="16"/>
              </w:rPr>
              <w:t>Type</w:t>
            </w:r>
          </w:p>
        </w:tc>
        <w:tc>
          <w:tcPr>
            <w:tcW w:w="2127" w:type="dxa"/>
            <w:shd w:val="clear" w:color="auto" w:fill="auto"/>
            <w:vAlign w:val="center"/>
          </w:tcPr>
          <w:p w:rsidR="004521DC" w:rsidRPr="004B6625" w:rsidRDefault="004521DC" w:rsidP="00E809E5">
            <w:pPr>
              <w:jc w:val="center"/>
              <w:rPr>
                <w:b/>
                <w:sz w:val="16"/>
                <w:szCs w:val="16"/>
              </w:rPr>
            </w:pPr>
            <w:r w:rsidRPr="004B6625">
              <w:rPr>
                <w:b/>
                <w:sz w:val="16"/>
                <w:szCs w:val="16"/>
              </w:rPr>
              <w:t>Capacity (</w:t>
            </w:r>
            <w:proofErr w:type="spellStart"/>
            <w:r w:rsidRPr="004B6625">
              <w:rPr>
                <w:b/>
                <w:sz w:val="16"/>
                <w:szCs w:val="16"/>
              </w:rPr>
              <w:t>MWe</w:t>
            </w:r>
            <w:proofErr w:type="spellEnd"/>
            <w:r w:rsidRPr="004B6625">
              <w:rPr>
                <w:b/>
                <w:sz w:val="16"/>
                <w:szCs w:val="16"/>
              </w:rPr>
              <w:t xml:space="preserve"> net)</w:t>
            </w:r>
          </w:p>
        </w:tc>
        <w:tc>
          <w:tcPr>
            <w:tcW w:w="2127" w:type="dxa"/>
            <w:shd w:val="clear" w:color="auto" w:fill="auto"/>
            <w:vAlign w:val="center"/>
          </w:tcPr>
          <w:p w:rsidR="004521DC" w:rsidRPr="004B6625" w:rsidRDefault="004521DC" w:rsidP="00E809E5">
            <w:pPr>
              <w:jc w:val="center"/>
              <w:rPr>
                <w:b/>
                <w:sz w:val="16"/>
                <w:szCs w:val="16"/>
              </w:rPr>
            </w:pPr>
            <w:r w:rsidRPr="004B6625">
              <w:rPr>
                <w:b/>
                <w:sz w:val="16"/>
                <w:szCs w:val="16"/>
              </w:rPr>
              <w:t>Expected Shutdown</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Wylfa</w:t>
            </w:r>
            <w:proofErr w:type="spellEnd"/>
            <w:r w:rsidRPr="004B6625">
              <w:rPr>
                <w:b/>
                <w:sz w:val="16"/>
                <w:szCs w:val="16"/>
              </w:rPr>
              <w:t xml:space="preserve"> 1</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Magnox</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490</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Dec 2015</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r w:rsidRPr="004B6625">
              <w:rPr>
                <w:b/>
                <w:sz w:val="16"/>
                <w:szCs w:val="16"/>
              </w:rPr>
              <w:t>Dungeness B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2x520</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2028</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Hartlepool</w:t>
            </w:r>
            <w:proofErr w:type="spellEnd"/>
            <w:r w:rsidRPr="004B6625">
              <w:rPr>
                <w:b/>
                <w:sz w:val="16"/>
                <w:szCs w:val="16"/>
              </w:rPr>
              <w:t xml:space="preserve">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595, 585</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2024</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Heysham</w:t>
            </w:r>
            <w:proofErr w:type="spellEnd"/>
            <w:r w:rsidRPr="004B6625">
              <w:rPr>
                <w:b/>
                <w:sz w:val="16"/>
                <w:szCs w:val="16"/>
              </w:rPr>
              <w:t xml:space="preserve"> I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580, 575</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2019</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Heysham</w:t>
            </w:r>
            <w:proofErr w:type="spellEnd"/>
            <w:r w:rsidRPr="004B6625">
              <w:rPr>
                <w:b/>
                <w:sz w:val="16"/>
                <w:szCs w:val="16"/>
              </w:rPr>
              <w:t xml:space="preserve"> II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2x 610</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2023</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Hinkley</w:t>
            </w:r>
            <w:proofErr w:type="spellEnd"/>
            <w:r w:rsidRPr="004B6625">
              <w:rPr>
                <w:b/>
                <w:sz w:val="16"/>
                <w:szCs w:val="16"/>
              </w:rPr>
              <w:t xml:space="preserve"> Point B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475, 470</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2023</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Hunterston</w:t>
            </w:r>
            <w:proofErr w:type="spellEnd"/>
            <w:r w:rsidRPr="004B6625">
              <w:rPr>
                <w:b/>
                <w:sz w:val="16"/>
                <w:szCs w:val="16"/>
              </w:rPr>
              <w:t xml:space="preserve"> B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475, 485</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2023</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proofErr w:type="spellStart"/>
            <w:r w:rsidRPr="004B6625">
              <w:rPr>
                <w:b/>
                <w:sz w:val="16"/>
                <w:szCs w:val="16"/>
              </w:rPr>
              <w:t>Torness</w:t>
            </w:r>
            <w:proofErr w:type="spellEnd"/>
            <w:r w:rsidRPr="004B6625">
              <w:rPr>
                <w:b/>
                <w:sz w:val="16"/>
                <w:szCs w:val="16"/>
              </w:rPr>
              <w:t xml:space="preserve"> 1&amp;2</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AGR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590, 595</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2023</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r w:rsidRPr="004B6625">
              <w:rPr>
                <w:b/>
                <w:sz w:val="16"/>
                <w:szCs w:val="16"/>
              </w:rPr>
              <w:t>Sizewell B</w:t>
            </w:r>
          </w:p>
        </w:tc>
        <w:tc>
          <w:tcPr>
            <w:tcW w:w="1417" w:type="dxa"/>
            <w:shd w:val="clear" w:color="auto" w:fill="auto"/>
            <w:vAlign w:val="bottom"/>
          </w:tcPr>
          <w:p w:rsidR="004521DC" w:rsidRPr="004B6625" w:rsidRDefault="004521DC" w:rsidP="00E809E5">
            <w:pPr>
              <w:jc w:val="center"/>
              <w:rPr>
                <w:sz w:val="16"/>
                <w:szCs w:val="16"/>
              </w:rPr>
            </w:pPr>
            <w:r w:rsidRPr="004B6625">
              <w:rPr>
                <w:sz w:val="16"/>
                <w:szCs w:val="16"/>
              </w:rPr>
              <w:t>PWR</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1198</w:t>
            </w:r>
          </w:p>
        </w:tc>
        <w:tc>
          <w:tcPr>
            <w:tcW w:w="2127" w:type="dxa"/>
            <w:shd w:val="clear" w:color="auto" w:fill="auto"/>
            <w:vAlign w:val="bottom"/>
          </w:tcPr>
          <w:p w:rsidR="004521DC" w:rsidRPr="004B6625" w:rsidRDefault="004521DC" w:rsidP="00E809E5">
            <w:pPr>
              <w:jc w:val="center"/>
              <w:rPr>
                <w:sz w:val="16"/>
                <w:szCs w:val="16"/>
              </w:rPr>
            </w:pPr>
            <w:r w:rsidRPr="004B6625">
              <w:rPr>
                <w:sz w:val="16"/>
                <w:szCs w:val="16"/>
              </w:rPr>
              <w:t>2035</w:t>
            </w:r>
          </w:p>
        </w:tc>
      </w:tr>
      <w:tr w:rsidR="004521DC" w:rsidTr="00E7120F">
        <w:trPr>
          <w:trHeight w:hRule="exact" w:val="284"/>
          <w:jc w:val="center"/>
        </w:trPr>
        <w:tc>
          <w:tcPr>
            <w:tcW w:w="2093" w:type="dxa"/>
            <w:shd w:val="clear" w:color="auto" w:fill="auto"/>
            <w:vAlign w:val="bottom"/>
          </w:tcPr>
          <w:p w:rsidR="004521DC" w:rsidRPr="004B6625" w:rsidRDefault="004521DC" w:rsidP="00E809E5">
            <w:pPr>
              <w:rPr>
                <w:b/>
                <w:sz w:val="16"/>
                <w:szCs w:val="16"/>
              </w:rPr>
            </w:pPr>
            <w:r w:rsidRPr="004B6625">
              <w:rPr>
                <w:b/>
                <w:sz w:val="16"/>
                <w:szCs w:val="16"/>
              </w:rPr>
              <w:t>Total: 16 units</w:t>
            </w:r>
          </w:p>
        </w:tc>
        <w:tc>
          <w:tcPr>
            <w:tcW w:w="1417" w:type="dxa"/>
            <w:shd w:val="clear" w:color="auto" w:fill="auto"/>
            <w:vAlign w:val="bottom"/>
          </w:tcPr>
          <w:p w:rsidR="004521DC" w:rsidRPr="004B6625" w:rsidRDefault="004521DC" w:rsidP="00E809E5">
            <w:pPr>
              <w:jc w:val="center"/>
              <w:rPr>
                <w:b/>
                <w:color w:val="FF0000"/>
                <w:sz w:val="16"/>
                <w:szCs w:val="16"/>
              </w:rPr>
            </w:pPr>
          </w:p>
        </w:tc>
        <w:tc>
          <w:tcPr>
            <w:tcW w:w="2127" w:type="dxa"/>
            <w:shd w:val="clear" w:color="auto" w:fill="auto"/>
            <w:vAlign w:val="bottom"/>
          </w:tcPr>
          <w:p w:rsidR="004521DC" w:rsidRPr="004B6625" w:rsidRDefault="004521DC" w:rsidP="00E809E5">
            <w:pPr>
              <w:jc w:val="center"/>
              <w:rPr>
                <w:b/>
                <w:color w:val="FF0000"/>
                <w:sz w:val="16"/>
                <w:szCs w:val="16"/>
              </w:rPr>
            </w:pPr>
            <w:r w:rsidRPr="004B6625">
              <w:rPr>
                <w:rStyle w:val="Strong"/>
                <w:sz w:val="16"/>
                <w:szCs w:val="16"/>
              </w:rPr>
              <w:t xml:space="preserve">9373 </w:t>
            </w:r>
            <w:proofErr w:type="spellStart"/>
            <w:r w:rsidRPr="004B6625">
              <w:rPr>
                <w:rStyle w:val="Strong"/>
                <w:sz w:val="16"/>
                <w:szCs w:val="16"/>
              </w:rPr>
              <w:t>MWe</w:t>
            </w:r>
            <w:proofErr w:type="spellEnd"/>
          </w:p>
        </w:tc>
        <w:tc>
          <w:tcPr>
            <w:tcW w:w="2127" w:type="dxa"/>
            <w:shd w:val="clear" w:color="auto" w:fill="auto"/>
            <w:vAlign w:val="bottom"/>
          </w:tcPr>
          <w:p w:rsidR="004521DC" w:rsidRPr="004B6625" w:rsidRDefault="004521DC" w:rsidP="00E809E5">
            <w:pPr>
              <w:jc w:val="center"/>
              <w:rPr>
                <w:b/>
                <w:color w:val="FF0000"/>
                <w:sz w:val="16"/>
                <w:szCs w:val="16"/>
              </w:rPr>
            </w:pPr>
          </w:p>
        </w:tc>
      </w:tr>
    </w:tbl>
    <w:p w:rsidR="004521DC" w:rsidRPr="006572D6" w:rsidRDefault="004521DC" w:rsidP="00265194">
      <w:pPr>
        <w:jc w:val="center"/>
      </w:pPr>
      <w:proofErr w:type="gramStart"/>
      <w:r w:rsidRPr="006572D6">
        <w:rPr>
          <w:rStyle w:val="selectable"/>
        </w:rPr>
        <w:t>(World-nuclear.org, 2015a).</w:t>
      </w:r>
      <w:proofErr w:type="gramEnd"/>
    </w:p>
    <w:p w:rsidR="004521DC" w:rsidRDefault="004521DC" w:rsidP="004521DC">
      <w:pPr>
        <w:rPr>
          <w:color w:val="FF0000"/>
        </w:rPr>
      </w:pPr>
      <w:r>
        <w:rPr>
          <w:color w:val="FF0000"/>
        </w:rPr>
        <w:t xml:space="preserve"> </w:t>
      </w:r>
    </w:p>
    <w:p w:rsidR="00E5351F" w:rsidRDefault="004521DC" w:rsidP="004521DC">
      <w:r w:rsidRPr="006572D6">
        <w:lastRenderedPageBreak/>
        <w:t xml:space="preserve">The planned start of Hinkley Point C (two EPR reactors - 3.2GW in total) operation in 2023 seems to be delayed and new nuclear power plant at </w:t>
      </w:r>
      <w:proofErr w:type="spellStart"/>
      <w:r w:rsidRPr="006572D6">
        <w:t>Wylfa</w:t>
      </w:r>
      <w:proofErr w:type="spellEnd"/>
      <w:r w:rsidRPr="006572D6">
        <w:t xml:space="preserve"> </w:t>
      </w:r>
      <w:proofErr w:type="spellStart"/>
      <w:r w:rsidRPr="006572D6">
        <w:t>Newydd</w:t>
      </w:r>
      <w:proofErr w:type="spellEnd"/>
      <w:r w:rsidRPr="006572D6">
        <w:t xml:space="preserve"> will not commence operating before 2025 </w:t>
      </w:r>
      <w:r w:rsidRPr="006572D6">
        <w:rPr>
          <w:rStyle w:val="selectable"/>
        </w:rPr>
        <w:t>(BBC, 2015, Daily Post, 2015)</w:t>
      </w:r>
      <w:r w:rsidRPr="006572D6">
        <w:t xml:space="preserve">. </w:t>
      </w:r>
    </w:p>
    <w:p w:rsidR="004521DC" w:rsidRPr="006572D6" w:rsidRDefault="004521DC" w:rsidP="004521DC">
      <w:r w:rsidRPr="006572D6">
        <w:t xml:space="preserve">New replacement gas plants have not yet been built, in part because Britain’s drive for more intermittent wind farms. Ministers are planning a new subsidy scheme to encourage new gas plants, but those built under this scheme will not be up and running until 2018 at the earliest. One gas plant, Carrington, is currently under construction and scheduled to open in 2016 </w:t>
      </w:r>
      <w:r w:rsidRPr="006572D6">
        <w:rPr>
          <w:rStyle w:val="selectable"/>
        </w:rPr>
        <w:t>(Telegraph, 2015)</w:t>
      </w:r>
      <w:r w:rsidRPr="006572D6">
        <w:t>.</w:t>
      </w:r>
    </w:p>
    <w:p w:rsidR="004521DC" w:rsidRPr="00A92653" w:rsidRDefault="004521DC" w:rsidP="004521DC">
      <w:pPr>
        <w:rPr>
          <w:rStyle w:val="hps"/>
          <w:lang w:val="en-GB" w:eastAsia="en-GB"/>
        </w:rPr>
      </w:pPr>
      <w:r w:rsidRPr="006572D6">
        <w:t>Carbon capture and storage technology offers a potential means of reducing the impact of CO</w:t>
      </w:r>
      <w:r w:rsidRPr="006572D6">
        <w:rPr>
          <w:vertAlign w:val="subscript"/>
        </w:rPr>
        <w:t>2</w:t>
      </w:r>
      <w:r w:rsidRPr="006572D6">
        <w:t xml:space="preserve"> emissions from coal-fired power stations. </w:t>
      </w:r>
      <w:r w:rsidR="001463DD">
        <w:t>Although still in development, t</w:t>
      </w:r>
      <w:r w:rsidRPr="006572D6">
        <w:t>he UK Government is encouraging investment in CCS to help reduce emissions</w:t>
      </w:r>
      <w:r w:rsidRPr="006572D6">
        <w:rPr>
          <w:rStyle w:val="FootnoteReference"/>
          <w:szCs w:val="20"/>
        </w:rPr>
        <w:footnoteReference w:id="3"/>
      </w:r>
      <w:r w:rsidR="00A92653">
        <w:t xml:space="preserve"> and </w:t>
      </w:r>
      <w:r w:rsidRPr="006572D6">
        <w:rPr>
          <w:rStyle w:val="hps"/>
          <w:szCs w:val="20"/>
          <w:lang w:val="en"/>
        </w:rPr>
        <w:t>the</w:t>
      </w:r>
      <w:r w:rsidRPr="006572D6">
        <w:rPr>
          <w:rStyle w:val="shorttext"/>
          <w:szCs w:val="20"/>
          <w:lang w:val="en"/>
        </w:rPr>
        <w:t xml:space="preserve"> </w:t>
      </w:r>
      <w:r w:rsidRPr="006572D6">
        <w:rPr>
          <w:rStyle w:val="hps"/>
          <w:szCs w:val="20"/>
          <w:lang w:val="en"/>
        </w:rPr>
        <w:t>timely deployment of this</w:t>
      </w:r>
      <w:r w:rsidRPr="006572D6">
        <w:rPr>
          <w:rStyle w:val="shorttext"/>
          <w:szCs w:val="20"/>
          <w:lang w:val="en"/>
        </w:rPr>
        <w:t xml:space="preserve"> </w:t>
      </w:r>
      <w:r w:rsidRPr="006572D6">
        <w:rPr>
          <w:rStyle w:val="hps"/>
          <w:szCs w:val="20"/>
          <w:lang w:val="en"/>
        </w:rPr>
        <w:t>technology. But this still does</w:t>
      </w:r>
      <w:r w:rsidR="00195056">
        <w:rPr>
          <w:rStyle w:val="hps"/>
          <w:szCs w:val="20"/>
          <w:lang w:val="en"/>
        </w:rPr>
        <w:t xml:space="preserve"> no</w:t>
      </w:r>
      <w:r w:rsidRPr="006572D6">
        <w:rPr>
          <w:rStyle w:val="hps"/>
          <w:szCs w:val="20"/>
          <w:lang w:val="en"/>
        </w:rPr>
        <w:t xml:space="preserve">t offer a solution for a near future. </w:t>
      </w:r>
    </w:p>
    <w:p w:rsidR="004521DC" w:rsidRPr="00140F42" w:rsidRDefault="004521DC" w:rsidP="004521DC">
      <w:pPr>
        <w:rPr>
          <w:szCs w:val="20"/>
          <w:lang w:val="en"/>
        </w:rPr>
      </w:pPr>
      <w:r w:rsidRPr="006572D6">
        <w:rPr>
          <w:rStyle w:val="hps"/>
          <w:szCs w:val="20"/>
          <w:lang w:val="en"/>
        </w:rPr>
        <w:t>SMRs can be built in a relatively short time compare to large NPP</w:t>
      </w:r>
      <w:r>
        <w:rPr>
          <w:rStyle w:val="hps"/>
          <w:szCs w:val="20"/>
          <w:lang w:val="en"/>
        </w:rPr>
        <w:t xml:space="preserve"> (</w:t>
      </w:r>
      <w:r>
        <w:rPr>
          <w:szCs w:val="20"/>
        </w:rPr>
        <w:t xml:space="preserve">World-nuclear.org, </w:t>
      </w:r>
      <w:r w:rsidRPr="00AE72A5">
        <w:rPr>
          <w:szCs w:val="20"/>
        </w:rPr>
        <w:t>2015</w:t>
      </w:r>
      <w:r>
        <w:rPr>
          <w:szCs w:val="20"/>
        </w:rPr>
        <w:t>b</w:t>
      </w:r>
      <w:r w:rsidRPr="00AE72A5">
        <w:rPr>
          <w:szCs w:val="20"/>
        </w:rPr>
        <w:t xml:space="preserve">). </w:t>
      </w:r>
      <w:r w:rsidRPr="006572D6">
        <w:rPr>
          <w:rStyle w:val="hps"/>
          <w:szCs w:val="20"/>
          <w:lang w:val="en"/>
        </w:rPr>
        <w:t>The issue with</w:t>
      </w:r>
      <w:r w:rsidR="006D488F">
        <w:rPr>
          <w:rStyle w:val="hps"/>
          <w:szCs w:val="20"/>
          <w:lang w:val="en"/>
        </w:rPr>
        <w:t xml:space="preserve"> SMRs that can raise now is public rejection </w:t>
      </w:r>
      <w:r w:rsidRPr="006572D6">
        <w:rPr>
          <w:rStyle w:val="hps"/>
          <w:szCs w:val="20"/>
          <w:lang w:val="en"/>
        </w:rPr>
        <w:t xml:space="preserve">and </w:t>
      </w:r>
      <w:r>
        <w:rPr>
          <w:rStyle w:val="hps"/>
          <w:szCs w:val="20"/>
          <w:lang w:val="en"/>
        </w:rPr>
        <w:t>similarly to</w:t>
      </w:r>
      <w:r w:rsidRPr="006572D6">
        <w:rPr>
          <w:rStyle w:val="hps"/>
          <w:szCs w:val="20"/>
          <w:lang w:val="en"/>
        </w:rPr>
        <w:t xml:space="preserve"> large NPP SMRs need to undergo licensing process which can be as time-expensive as for large </w:t>
      </w:r>
      <w:r w:rsidR="0061638E">
        <w:rPr>
          <w:rStyle w:val="hps"/>
          <w:szCs w:val="20"/>
          <w:lang w:val="en"/>
        </w:rPr>
        <w:t xml:space="preserve">power </w:t>
      </w:r>
      <w:r w:rsidRPr="006572D6">
        <w:rPr>
          <w:rStyle w:val="hps"/>
          <w:szCs w:val="20"/>
          <w:lang w:val="en"/>
        </w:rPr>
        <w:t xml:space="preserve">plants. With a four year licensing process and </w:t>
      </w:r>
      <w:r w:rsidR="00A92653">
        <w:rPr>
          <w:rStyle w:val="hps"/>
          <w:szCs w:val="20"/>
          <w:lang w:val="en"/>
        </w:rPr>
        <w:t xml:space="preserve">an average </w:t>
      </w:r>
      <w:r w:rsidRPr="006572D6">
        <w:rPr>
          <w:rStyle w:val="hps"/>
          <w:szCs w:val="20"/>
          <w:lang w:val="en"/>
        </w:rPr>
        <w:t xml:space="preserve">three year construction time, SMRs can still help substitute some of the </w:t>
      </w:r>
      <w:r w:rsidR="001463DD">
        <w:rPr>
          <w:rStyle w:val="hps"/>
          <w:szCs w:val="20"/>
          <w:lang w:val="en"/>
        </w:rPr>
        <w:t xml:space="preserve">nuclear </w:t>
      </w:r>
      <w:r w:rsidRPr="006572D6">
        <w:rPr>
          <w:rStyle w:val="hps"/>
          <w:szCs w:val="20"/>
          <w:lang w:val="en"/>
        </w:rPr>
        <w:t xml:space="preserve">plants to be shut in 2023.  </w:t>
      </w:r>
    </w:p>
    <w:p w:rsidR="004521DC" w:rsidRPr="006572D6" w:rsidRDefault="004521DC" w:rsidP="004521DC">
      <w:r w:rsidRPr="006572D6">
        <w:t xml:space="preserve">The Government’s Long Term Nuclear Energy Strategy, part of the Nuclear Industrial Strategy, sets out the need to keep an advanced and diverse range of options (including SMRs) open in terms of nuclear technology </w:t>
      </w:r>
      <w:r w:rsidRPr="006572D6">
        <w:rPr>
          <w:rStyle w:val="selectable"/>
        </w:rPr>
        <w:t>(HM Government, 2013</w:t>
      </w:r>
      <w:r>
        <w:rPr>
          <w:rStyle w:val="selectable"/>
        </w:rPr>
        <w:t>b</w:t>
      </w:r>
      <w:r w:rsidRPr="006572D6">
        <w:rPr>
          <w:rStyle w:val="selectable"/>
        </w:rPr>
        <w:t>)</w:t>
      </w:r>
      <w:r w:rsidRPr="006572D6">
        <w:t>.</w:t>
      </w:r>
    </w:p>
    <w:p w:rsidR="0061638E" w:rsidRDefault="004521DC" w:rsidP="008A11E8">
      <w:r w:rsidRPr="006572D6">
        <w:rPr>
          <w:rStyle w:val="recommendation"/>
          <w:szCs w:val="20"/>
        </w:rPr>
        <w:t>SMRs, particularly those based on known nuclear technologies, are a viable proposition for future deployment in the UK in the next decade. They could potentially have a key role to play in delivering low carbon energy at lower upfront capital cost compared to large conventional nuclear reactors.</w:t>
      </w:r>
      <w:r>
        <w:rPr>
          <w:rStyle w:val="recommendation"/>
          <w:szCs w:val="20"/>
        </w:rPr>
        <w:t xml:space="preserve"> </w:t>
      </w:r>
      <w:r w:rsidRPr="006572D6">
        <w:t xml:space="preserve">The planned shutdown of both coal and nuclear power plants can jeopardize energy supply in the UK </w:t>
      </w:r>
      <w:r w:rsidRPr="006572D6">
        <w:rPr>
          <w:rStyle w:val="selectable"/>
        </w:rPr>
        <w:t>(World-nuclear.org, 2015a)</w:t>
      </w:r>
      <w:r w:rsidRPr="006572D6">
        <w:t>. The potential distribution of UK energy mix up to 2050 was modeled</w:t>
      </w:r>
      <w:r w:rsidRPr="006572D6">
        <w:rPr>
          <w:rStyle w:val="FootnoteReference"/>
        </w:rPr>
        <w:footnoteReference w:id="4"/>
      </w:r>
      <w:r w:rsidRPr="006572D6">
        <w:t xml:space="preserve"> by the UK Energy Research Centre (UKERC). The</w:t>
      </w:r>
      <w:r w:rsidR="00D47D20">
        <w:t xml:space="preserve"> prediction</w:t>
      </w:r>
      <w:r w:rsidRPr="006572D6">
        <w:t xml:space="preserve"> model was</w:t>
      </w:r>
      <w:r w:rsidR="00D47D20">
        <w:t xml:space="preserve"> built on known and by the time </w:t>
      </w:r>
      <w:r w:rsidRPr="006572D6">
        <w:t xml:space="preserve">implemented energy legislation (cut-off date December 2012). </w:t>
      </w:r>
      <w:r w:rsidR="0061638E">
        <w:t xml:space="preserve">In </w:t>
      </w:r>
      <w:r w:rsidR="00845840">
        <w:t>Fig.</w:t>
      </w:r>
      <w:r w:rsidR="008A11E8">
        <w:t xml:space="preserve"> 1</w:t>
      </w:r>
      <w:r w:rsidR="0061638E">
        <w:t xml:space="preserve"> we can see</w:t>
      </w:r>
      <w:r w:rsidR="008A11E8">
        <w:t xml:space="preserve"> the combination of four modeled scenarios considering different evolution in UK energy policy</w:t>
      </w:r>
      <w:r w:rsidR="005F3328">
        <w:t xml:space="preserve">. </w:t>
      </w:r>
    </w:p>
    <w:p w:rsidR="0061638E" w:rsidRDefault="004B6625" w:rsidP="008A11E8">
      <w:r>
        <w:rPr>
          <w:noProof/>
          <w:lang w:val="en-GB" w:eastAsia="en-GB"/>
        </w:rPr>
        <w:drawing>
          <wp:anchor distT="0" distB="0" distL="114300" distR="114300" simplePos="0" relativeHeight="251660288" behindDoc="0" locked="0" layoutInCell="1" allowOverlap="1" wp14:anchorId="69E898C2" wp14:editId="1B39375A">
            <wp:simplePos x="0" y="0"/>
            <wp:positionH relativeFrom="margin">
              <wp:posOffset>1677670</wp:posOffset>
            </wp:positionH>
            <wp:positionV relativeFrom="margin">
              <wp:posOffset>3952875</wp:posOffset>
            </wp:positionV>
            <wp:extent cx="2578735" cy="3277870"/>
            <wp:effectExtent l="19050" t="19050" r="12065" b="177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rotWithShape="1">
                    <a:blip r:embed="rId9" cstate="print">
                      <a:extLst>
                        <a:ext uri="{28A0092B-C50C-407E-A947-70E740481C1C}">
                          <a14:useLocalDpi xmlns:a14="http://schemas.microsoft.com/office/drawing/2010/main" val="0"/>
                        </a:ext>
                      </a:extLst>
                    </a:blip>
                    <a:srcRect l="17868" t="19476" r="49823" b="7549"/>
                    <a:stretch/>
                  </pic:blipFill>
                  <pic:spPr bwMode="auto">
                    <a:xfrm>
                      <a:off x="0" y="0"/>
                      <a:ext cx="2578735" cy="327787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638E" w:rsidRDefault="0061638E" w:rsidP="008A11E8"/>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61638E" w:rsidRDefault="0061638E" w:rsidP="0061638E">
      <w:pPr>
        <w:jc w:val="center"/>
        <w:rPr>
          <w:b/>
          <w:lang w:val="en-GB"/>
        </w:rPr>
      </w:pPr>
    </w:p>
    <w:p w:rsidR="004B6625" w:rsidRDefault="004B6625" w:rsidP="004B6625">
      <w:pPr>
        <w:jc w:val="center"/>
        <w:rPr>
          <w:b/>
          <w:lang w:val="en-GB"/>
        </w:rPr>
      </w:pPr>
    </w:p>
    <w:p w:rsidR="0061638E" w:rsidRPr="004B6625" w:rsidRDefault="0061638E" w:rsidP="004B6625">
      <w:pPr>
        <w:jc w:val="center"/>
        <w:rPr>
          <w:lang w:val="en-GB"/>
        </w:rPr>
      </w:pPr>
      <w:proofErr w:type="gramStart"/>
      <w:r w:rsidRPr="00BD6C44">
        <w:rPr>
          <w:b/>
          <w:lang w:val="en-GB"/>
        </w:rPr>
        <w:t>Fig.</w:t>
      </w:r>
      <w:r>
        <w:rPr>
          <w:b/>
          <w:lang w:val="en-GB"/>
        </w:rPr>
        <w:t xml:space="preserve"> </w:t>
      </w:r>
      <w:r w:rsidRPr="00BD6C44">
        <w:rPr>
          <w:b/>
          <w:lang w:val="en-GB"/>
        </w:rPr>
        <w:t>1.</w:t>
      </w:r>
      <w:proofErr w:type="gramEnd"/>
      <w:r w:rsidRPr="00BD6C44">
        <w:rPr>
          <w:b/>
          <w:lang w:val="en-GB"/>
        </w:rPr>
        <w:t xml:space="preserve"> </w:t>
      </w:r>
      <w:r w:rsidR="004B6625">
        <w:rPr>
          <w:lang w:val="en-GB"/>
        </w:rPr>
        <w:t>Predicted UK energy mix up to 2050 by UKERC</w:t>
      </w:r>
      <w:r>
        <w:rPr>
          <w:lang w:val="en-GB"/>
        </w:rPr>
        <w:t xml:space="preserve"> </w:t>
      </w:r>
      <w:r>
        <w:rPr>
          <w:rStyle w:val="selectable"/>
        </w:rPr>
        <w:t>(Ekins et al., 2013).</w:t>
      </w:r>
      <w:r>
        <w:br w:type="page"/>
      </w:r>
    </w:p>
    <w:p w:rsidR="000F3C5B" w:rsidRDefault="004521DC" w:rsidP="0061638E">
      <w:r w:rsidRPr="00D47D20">
        <w:rPr>
          <w:lang w:val="en-GB"/>
        </w:rPr>
        <w:t xml:space="preserve">The level of changes needed in the energy sector to produce enough low-carbon energy </w:t>
      </w:r>
      <w:r w:rsidR="0061638E">
        <w:rPr>
          <w:lang w:val="en-GB"/>
        </w:rPr>
        <w:t xml:space="preserve">was by this model discovered to be </w:t>
      </w:r>
      <w:r w:rsidRPr="00D47D20">
        <w:rPr>
          <w:lang w:val="en-GB"/>
        </w:rPr>
        <w:t xml:space="preserve">very costly and politically demanding. </w:t>
      </w:r>
      <w:proofErr w:type="gramStart"/>
      <w:r w:rsidR="004B6625">
        <w:t>From Fig.1.</w:t>
      </w:r>
      <w:proofErr w:type="gramEnd"/>
      <w:r w:rsidR="005F3328">
        <w:t xml:space="preserve"> </w:t>
      </w:r>
      <w:proofErr w:type="gramStart"/>
      <w:r w:rsidR="005F3328">
        <w:t>we</w:t>
      </w:r>
      <w:proofErr w:type="gramEnd"/>
      <w:r w:rsidR="005F3328">
        <w:t xml:space="preserve"> can also see that</w:t>
      </w:r>
      <w:r w:rsidR="008A11E8">
        <w:t xml:space="preserve"> nuclear power plays important part in future energy mix scenario. The increase of nuclear energy contribution in the energy mix is evident between years 2025 to 2035. </w:t>
      </w:r>
      <w:r w:rsidR="005F3328">
        <w:t>W</w:t>
      </w:r>
      <w:r w:rsidR="008A11E8">
        <w:t>ith the fact that m</w:t>
      </w:r>
      <w:r w:rsidR="004F1A60">
        <w:t>ost of the currently producing NPP</w:t>
      </w:r>
      <w:r w:rsidR="008A11E8">
        <w:t xml:space="preserve"> are going to be shut </w:t>
      </w:r>
      <w:r w:rsidR="004F1A60">
        <w:t xml:space="preserve">down </w:t>
      </w:r>
      <w:r w:rsidR="008A11E8">
        <w:t>by 2023</w:t>
      </w:r>
      <w:r w:rsidR="004F1A60">
        <w:t>,</w:t>
      </w:r>
      <w:r w:rsidR="008A11E8" w:rsidRPr="006572D6">
        <w:t xml:space="preserve"> more than the two currently planned </w:t>
      </w:r>
      <w:r w:rsidR="004F1A60">
        <w:t xml:space="preserve">NPP </w:t>
      </w:r>
      <w:r w:rsidR="005F3328">
        <w:t xml:space="preserve">should </w:t>
      </w:r>
      <w:r w:rsidR="008A11E8">
        <w:t>start to</w:t>
      </w:r>
      <w:r w:rsidR="005F3328">
        <w:t xml:space="preserve"> be</w:t>
      </w:r>
      <w:r w:rsidR="008A11E8">
        <w:t xml:space="preserve"> </w:t>
      </w:r>
      <w:r w:rsidR="004F1A60">
        <w:t>built</w:t>
      </w:r>
      <w:r w:rsidR="008A11E8">
        <w:t xml:space="preserve"> soon </w:t>
      </w:r>
      <w:r w:rsidR="008A11E8">
        <w:rPr>
          <w:rStyle w:val="selectable"/>
        </w:rPr>
        <w:t>(World-nuclear.org, 2015a)</w:t>
      </w:r>
      <w:r w:rsidR="008A11E8">
        <w:t xml:space="preserve">. This gives an opportunity for SMRs to contribute to the energy demanded from nuclear source. </w:t>
      </w:r>
    </w:p>
    <w:p w:rsidR="0061638E" w:rsidRPr="0061638E" w:rsidRDefault="0061638E" w:rsidP="0061638E"/>
    <w:p w:rsidR="00803A3F" w:rsidRPr="003C75B0" w:rsidRDefault="00803A3F" w:rsidP="00803A3F">
      <w:pPr>
        <w:spacing w:after="200" w:line="276" w:lineRule="auto"/>
        <w:jc w:val="left"/>
        <w:rPr>
          <w:rFonts w:eastAsiaTheme="majorEastAsia" w:cstheme="majorBidi"/>
          <w:b/>
          <w:bCs/>
          <w:sz w:val="24"/>
          <w:szCs w:val="24"/>
        </w:rPr>
      </w:pPr>
      <w:r w:rsidRPr="003C75B0">
        <w:rPr>
          <w:rFonts w:eastAsiaTheme="majorEastAsia" w:cstheme="majorBidi"/>
          <w:b/>
          <w:bCs/>
          <w:sz w:val="24"/>
          <w:szCs w:val="24"/>
        </w:rPr>
        <w:t>Case Study – replacement of all UK coal plants with SMR</w:t>
      </w:r>
    </w:p>
    <w:p w:rsidR="00803A3F" w:rsidRPr="0004617B" w:rsidRDefault="00803A3F" w:rsidP="00803A3F">
      <w:pPr>
        <w:rPr>
          <w:color w:val="FF0000"/>
          <w:szCs w:val="20"/>
          <w:lang w:val="en-GB" w:eastAsia="en-GB"/>
        </w:rPr>
      </w:pPr>
      <w:r w:rsidRPr="0004617B">
        <w:rPr>
          <w:szCs w:val="20"/>
        </w:rPr>
        <w:t>Focus of this case study is to show how many SMR</w:t>
      </w:r>
      <w:r w:rsidR="004B6625">
        <w:rPr>
          <w:szCs w:val="20"/>
        </w:rPr>
        <w:t>s</w:t>
      </w:r>
      <w:r w:rsidRPr="0004617B">
        <w:rPr>
          <w:szCs w:val="20"/>
        </w:rPr>
        <w:t xml:space="preserve"> would need to be built to replace the current capacity of all UK operating coal power plants. </w:t>
      </w:r>
      <w:r w:rsidR="000F3C5B">
        <w:rPr>
          <w:szCs w:val="20"/>
        </w:rPr>
        <w:t xml:space="preserve">The SMRs </w:t>
      </w:r>
      <w:r w:rsidR="00A44742">
        <w:rPr>
          <w:szCs w:val="20"/>
        </w:rPr>
        <w:t>considered</w:t>
      </w:r>
      <w:r w:rsidRPr="0004617B">
        <w:rPr>
          <w:szCs w:val="20"/>
        </w:rPr>
        <w:t xml:space="preserve"> are either in their </w:t>
      </w:r>
      <w:r w:rsidR="00353350" w:rsidRPr="0004617B">
        <w:rPr>
          <w:szCs w:val="20"/>
          <w:lang w:val="en-GB" w:eastAsia="en-GB"/>
        </w:rPr>
        <w:t>n</w:t>
      </w:r>
      <w:r w:rsidRPr="0004617B">
        <w:rPr>
          <w:szCs w:val="20"/>
          <w:lang w:val="en-GB" w:eastAsia="en-GB"/>
        </w:rPr>
        <w:t xml:space="preserve">ear-term </w:t>
      </w:r>
      <w:r w:rsidR="00353350" w:rsidRPr="0004617B">
        <w:rPr>
          <w:szCs w:val="20"/>
          <w:lang w:val="en-GB" w:eastAsia="en-GB"/>
        </w:rPr>
        <w:t>d</w:t>
      </w:r>
      <w:r w:rsidRPr="0004617B">
        <w:rPr>
          <w:szCs w:val="20"/>
          <w:lang w:val="en-GB" w:eastAsia="en-GB"/>
        </w:rPr>
        <w:t>eployment</w:t>
      </w:r>
      <w:r w:rsidR="00353350" w:rsidRPr="0004617B">
        <w:rPr>
          <w:szCs w:val="20"/>
          <w:lang w:val="en-GB" w:eastAsia="en-GB"/>
        </w:rPr>
        <w:t xml:space="preserve"> stage or already u</w:t>
      </w:r>
      <w:r w:rsidRPr="0004617B">
        <w:rPr>
          <w:szCs w:val="20"/>
          <w:lang w:val="en-GB" w:eastAsia="en-GB"/>
        </w:rPr>
        <w:t xml:space="preserve">nder </w:t>
      </w:r>
      <w:r w:rsidR="00353350" w:rsidRPr="0004617B">
        <w:rPr>
          <w:szCs w:val="20"/>
          <w:lang w:val="en-GB" w:eastAsia="en-GB"/>
        </w:rPr>
        <w:t>c</w:t>
      </w:r>
      <w:r w:rsidRPr="0004617B">
        <w:rPr>
          <w:szCs w:val="20"/>
          <w:lang w:val="en-GB" w:eastAsia="en-GB"/>
        </w:rPr>
        <w:t xml:space="preserve">onstruction in some country according to International Atomic </w:t>
      </w:r>
      <w:r w:rsidR="00353350" w:rsidRPr="0004617B">
        <w:rPr>
          <w:szCs w:val="20"/>
          <w:lang w:val="en-GB" w:eastAsia="en-GB"/>
        </w:rPr>
        <w:t xml:space="preserve">Energy </w:t>
      </w:r>
      <w:r w:rsidRPr="0004617B">
        <w:rPr>
          <w:szCs w:val="20"/>
          <w:lang w:val="en-GB" w:eastAsia="en-GB"/>
        </w:rPr>
        <w:t xml:space="preserve">Agency (IAEA) </w:t>
      </w:r>
      <w:r w:rsidRPr="0004617B">
        <w:rPr>
          <w:rStyle w:val="selectable"/>
          <w:szCs w:val="20"/>
        </w:rPr>
        <w:t>(International Atomic Energy Agency, 2014a</w:t>
      </w:r>
      <w:proofErr w:type="gramStart"/>
      <w:r w:rsidRPr="0004617B">
        <w:rPr>
          <w:rStyle w:val="selectable"/>
          <w:szCs w:val="20"/>
        </w:rPr>
        <w:t>,b</w:t>
      </w:r>
      <w:proofErr w:type="gramEnd"/>
      <w:r w:rsidRPr="0004617B">
        <w:rPr>
          <w:rStyle w:val="selectable"/>
          <w:szCs w:val="20"/>
        </w:rPr>
        <w:t>)</w:t>
      </w:r>
      <w:r w:rsidRPr="0004617B">
        <w:rPr>
          <w:szCs w:val="20"/>
          <w:lang w:val="en-GB" w:eastAsia="en-GB"/>
        </w:rPr>
        <w:t xml:space="preserve">.  </w:t>
      </w:r>
    </w:p>
    <w:p w:rsidR="00803A3F" w:rsidRDefault="00803A3F" w:rsidP="00803A3F">
      <w:pPr>
        <w:jc w:val="center"/>
        <w:rPr>
          <w:rStyle w:val="Strong"/>
        </w:rPr>
      </w:pPr>
    </w:p>
    <w:p w:rsidR="00803A3F" w:rsidRDefault="00803A3F" w:rsidP="00207CCB">
      <w:pPr>
        <w:jc w:val="center"/>
        <w:rPr>
          <w:rStyle w:val="Strong"/>
          <w:szCs w:val="20"/>
        </w:rPr>
      </w:pPr>
      <w:proofErr w:type="gramStart"/>
      <w:r w:rsidRPr="00207CCB">
        <w:rPr>
          <w:rStyle w:val="Strong"/>
          <w:szCs w:val="20"/>
        </w:rPr>
        <w:t>Table 2.</w:t>
      </w:r>
      <w:proofErr w:type="gramEnd"/>
      <w:r w:rsidRPr="00207CCB">
        <w:rPr>
          <w:rStyle w:val="Strong"/>
          <w:szCs w:val="20"/>
        </w:rPr>
        <w:t xml:space="preserve"> </w:t>
      </w:r>
      <w:proofErr w:type="gramStart"/>
      <w:r w:rsidRPr="003C75B0">
        <w:rPr>
          <w:rStyle w:val="Strong"/>
          <w:b w:val="0"/>
          <w:szCs w:val="20"/>
        </w:rPr>
        <w:t>Currently operating coal power stations and their maximal electric power</w:t>
      </w:r>
      <w:r w:rsidR="008D79B7">
        <w:rPr>
          <w:rStyle w:val="Strong"/>
          <w:b w:val="0"/>
          <w:szCs w:val="20"/>
        </w:rPr>
        <w:t xml:space="preserve"> output</w:t>
      </w:r>
      <w:r w:rsidRPr="003C75B0">
        <w:rPr>
          <w:rStyle w:val="Strong"/>
          <w:b w:val="0"/>
          <w:szCs w:val="20"/>
        </w:rPr>
        <w:t>.</w:t>
      </w:r>
      <w:proofErr w:type="gramEnd"/>
    </w:p>
    <w:p w:rsidR="00207CCB" w:rsidRPr="00207CCB" w:rsidRDefault="00207CCB" w:rsidP="00207CCB">
      <w:pPr>
        <w:jc w:val="center"/>
        <w:rPr>
          <w:color w:val="FF0000"/>
          <w:szCs w:val="20"/>
          <w:lang w:val="en-GB" w:eastAsia="en-GB"/>
        </w:rPr>
      </w:pPr>
    </w:p>
    <w:tbl>
      <w:tblPr>
        <w:tblStyle w:val="TableGrid"/>
        <w:tblpPr w:leftFromText="180" w:rightFromText="180" w:vertAnchor="text" w:tblpXSpec="center" w:tblpY="1"/>
        <w:tblOverlap w:val="never"/>
        <w:tblW w:w="4440" w:type="dxa"/>
        <w:tblLook w:val="04A0" w:firstRow="1" w:lastRow="0" w:firstColumn="1" w:lastColumn="0" w:noHBand="0" w:noVBand="1"/>
      </w:tblPr>
      <w:tblGrid>
        <w:gridCol w:w="2480"/>
        <w:gridCol w:w="1960"/>
      </w:tblGrid>
      <w:tr w:rsidR="00C72462" w:rsidRPr="00C72462" w:rsidTr="00E5351F">
        <w:trPr>
          <w:trHeight w:hRule="exact" w:val="291"/>
        </w:trPr>
        <w:tc>
          <w:tcPr>
            <w:tcW w:w="2480" w:type="dxa"/>
            <w:shd w:val="clear" w:color="auto" w:fill="auto"/>
            <w:vAlign w:val="bottom"/>
          </w:tcPr>
          <w:p w:rsidR="00C72462" w:rsidRPr="004B6625" w:rsidRDefault="00C72462" w:rsidP="00C72462">
            <w:pPr>
              <w:jc w:val="center"/>
              <w:rPr>
                <w:b/>
                <w:sz w:val="16"/>
                <w:szCs w:val="16"/>
              </w:rPr>
            </w:pPr>
            <w:r w:rsidRPr="004B6625">
              <w:rPr>
                <w:sz w:val="16"/>
                <w:szCs w:val="16"/>
              </w:rPr>
              <w:br w:type="page"/>
            </w:r>
            <w:r w:rsidRPr="004B6625">
              <w:rPr>
                <w:b/>
                <w:sz w:val="16"/>
                <w:szCs w:val="16"/>
              </w:rPr>
              <w:t>Plant</w:t>
            </w:r>
          </w:p>
        </w:tc>
        <w:tc>
          <w:tcPr>
            <w:tcW w:w="1960" w:type="dxa"/>
            <w:shd w:val="clear" w:color="auto" w:fill="auto"/>
            <w:vAlign w:val="bottom"/>
          </w:tcPr>
          <w:p w:rsidR="00C72462" w:rsidRPr="004B6625" w:rsidRDefault="00C72462" w:rsidP="00C72462">
            <w:pPr>
              <w:jc w:val="center"/>
              <w:rPr>
                <w:b/>
                <w:sz w:val="16"/>
                <w:szCs w:val="16"/>
              </w:rPr>
            </w:pPr>
            <w:r w:rsidRPr="004B6625">
              <w:rPr>
                <w:b/>
                <w:sz w:val="16"/>
                <w:szCs w:val="16"/>
              </w:rPr>
              <w:t>Capacity</w:t>
            </w:r>
            <w:r w:rsidR="00C66202" w:rsidRPr="004B6625">
              <w:rPr>
                <w:b/>
                <w:sz w:val="16"/>
                <w:szCs w:val="16"/>
              </w:rPr>
              <w:t xml:space="preserve"> (</w:t>
            </w:r>
            <w:proofErr w:type="spellStart"/>
            <w:r w:rsidR="00C66202" w:rsidRPr="004B6625">
              <w:rPr>
                <w:b/>
                <w:sz w:val="16"/>
                <w:szCs w:val="16"/>
              </w:rPr>
              <w:t>MWe</w:t>
            </w:r>
            <w:proofErr w:type="spellEnd"/>
            <w:r w:rsidR="00C66202" w:rsidRPr="004B6625">
              <w:rPr>
                <w:b/>
                <w:sz w:val="16"/>
                <w:szCs w:val="16"/>
              </w:rPr>
              <w:t>)</w:t>
            </w:r>
            <w:r w:rsidRPr="004B6625">
              <w:rPr>
                <w:b/>
                <w:sz w:val="16"/>
                <w:szCs w:val="16"/>
              </w:rPr>
              <w:t xml:space="preserve">   (</w:t>
            </w:r>
            <w:proofErr w:type="spellStart"/>
            <w:r w:rsidRPr="004B6625">
              <w:rPr>
                <w:b/>
                <w:sz w:val="16"/>
                <w:szCs w:val="16"/>
              </w:rPr>
              <w:t>MWe</w:t>
            </w:r>
            <w:proofErr w:type="spellEnd"/>
            <w:r w:rsidRPr="004B6625">
              <w:rPr>
                <w:b/>
                <w:sz w:val="16"/>
                <w:szCs w:val="16"/>
              </w:rPr>
              <w:t>)(MWE(</w:t>
            </w:r>
            <w:proofErr w:type="spellStart"/>
            <w:r w:rsidRPr="004B6625">
              <w:rPr>
                <w:b/>
                <w:sz w:val="16"/>
                <w:szCs w:val="16"/>
              </w:rPr>
              <w:t>MWe</w:t>
            </w:r>
            <w:proofErr w:type="spellEnd"/>
            <w:r w:rsidRPr="004B6625">
              <w:rPr>
                <w:b/>
                <w:sz w:val="16"/>
                <w:szCs w:val="16"/>
              </w:rPr>
              <w:t xml:space="preserve"> net)</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Longanet</w:t>
            </w:r>
            <w:proofErr w:type="spellEnd"/>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1490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Kilroot</w:t>
            </w:r>
            <w:proofErr w:type="spellEnd"/>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520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r w:rsidRPr="004B6625">
              <w:rPr>
                <w:b/>
                <w:sz w:val="16"/>
                <w:szCs w:val="16"/>
              </w:rPr>
              <w:t>Fiddler’s Ferry</w:t>
            </w:r>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1980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Ferrybridge</w:t>
            </w:r>
            <w:proofErr w:type="spellEnd"/>
            <w:r w:rsidRPr="004B6625">
              <w:rPr>
                <w:b/>
                <w:sz w:val="16"/>
                <w:szCs w:val="16"/>
              </w:rPr>
              <w:t xml:space="preserve"> C</w:t>
            </w:r>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920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Eggborough</w:t>
            </w:r>
            <w:proofErr w:type="spellEnd"/>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1960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Drax</w:t>
            </w:r>
            <w:proofErr w:type="spellEnd"/>
          </w:p>
          <w:p w:rsidR="00C72462" w:rsidRPr="004B6625" w:rsidRDefault="00C72462" w:rsidP="00C72462">
            <w:pPr>
              <w:rPr>
                <w:b/>
                <w:sz w:val="16"/>
                <w:szCs w:val="16"/>
              </w:rPr>
            </w:pPr>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3870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r w:rsidRPr="004B6625">
              <w:rPr>
                <w:b/>
                <w:sz w:val="16"/>
                <w:szCs w:val="16"/>
              </w:rPr>
              <w:t>Cottam</w:t>
            </w:r>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2008</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r w:rsidRPr="004B6625">
              <w:rPr>
                <w:b/>
                <w:sz w:val="16"/>
                <w:szCs w:val="16"/>
              </w:rPr>
              <w:t>West Burton</w:t>
            </w:r>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2012</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Rugeley</w:t>
            </w:r>
            <w:proofErr w:type="spellEnd"/>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1006</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Ratcliffe</w:t>
            </w:r>
            <w:proofErr w:type="spellEnd"/>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2000</w:t>
            </w:r>
          </w:p>
        </w:tc>
      </w:tr>
      <w:tr w:rsidR="00C72462" w:rsidTr="00E5351F">
        <w:trPr>
          <w:trHeight w:hRule="exact" w:val="291"/>
        </w:trPr>
        <w:tc>
          <w:tcPr>
            <w:tcW w:w="2480" w:type="dxa"/>
            <w:shd w:val="clear" w:color="auto" w:fill="auto"/>
            <w:vAlign w:val="bottom"/>
          </w:tcPr>
          <w:p w:rsidR="00C72462" w:rsidRPr="004B6625" w:rsidRDefault="00C72462" w:rsidP="00C72462">
            <w:pPr>
              <w:rPr>
                <w:b/>
                <w:sz w:val="16"/>
                <w:szCs w:val="16"/>
              </w:rPr>
            </w:pPr>
            <w:proofErr w:type="spellStart"/>
            <w:r w:rsidRPr="004B6625">
              <w:rPr>
                <w:b/>
                <w:sz w:val="16"/>
                <w:szCs w:val="16"/>
              </w:rPr>
              <w:t>Aberthaw</w:t>
            </w:r>
            <w:proofErr w:type="spellEnd"/>
          </w:p>
        </w:tc>
        <w:tc>
          <w:tcPr>
            <w:tcW w:w="1960" w:type="dxa"/>
            <w:shd w:val="clear" w:color="auto" w:fill="auto"/>
            <w:vAlign w:val="bottom"/>
          </w:tcPr>
          <w:p w:rsidR="00C72462" w:rsidRPr="004B6625" w:rsidRDefault="00C72462" w:rsidP="00C72462">
            <w:pPr>
              <w:jc w:val="center"/>
              <w:rPr>
                <w:sz w:val="16"/>
                <w:szCs w:val="16"/>
              </w:rPr>
            </w:pPr>
            <w:r w:rsidRPr="004B6625">
              <w:rPr>
                <w:sz w:val="16"/>
                <w:szCs w:val="16"/>
              </w:rPr>
              <w:t>1586</w:t>
            </w:r>
          </w:p>
        </w:tc>
      </w:tr>
      <w:tr w:rsidR="00C72462" w:rsidTr="00E5351F">
        <w:trPr>
          <w:trHeight w:hRule="exact" w:val="354"/>
        </w:trPr>
        <w:tc>
          <w:tcPr>
            <w:tcW w:w="2480" w:type="dxa"/>
            <w:shd w:val="clear" w:color="auto" w:fill="auto"/>
            <w:vAlign w:val="center"/>
          </w:tcPr>
          <w:p w:rsidR="00C72462" w:rsidRPr="004B6625" w:rsidRDefault="00563103" w:rsidP="00563103">
            <w:pPr>
              <w:jc w:val="left"/>
              <w:rPr>
                <w:b/>
                <w:sz w:val="16"/>
                <w:szCs w:val="16"/>
              </w:rPr>
            </w:pPr>
            <w:r w:rsidRPr="004B6625">
              <w:rPr>
                <w:b/>
                <w:sz w:val="16"/>
                <w:szCs w:val="16"/>
              </w:rPr>
              <w:t xml:space="preserve">Total </w:t>
            </w:r>
            <w:r w:rsidR="00C72462" w:rsidRPr="004B6625">
              <w:rPr>
                <w:b/>
                <w:sz w:val="16"/>
                <w:szCs w:val="16"/>
              </w:rPr>
              <w:t>11 coal plants</w:t>
            </w:r>
          </w:p>
        </w:tc>
        <w:tc>
          <w:tcPr>
            <w:tcW w:w="1960" w:type="dxa"/>
            <w:shd w:val="clear" w:color="auto" w:fill="auto"/>
            <w:vAlign w:val="center"/>
          </w:tcPr>
          <w:p w:rsidR="00C72462" w:rsidRPr="004B6625" w:rsidRDefault="00C72462" w:rsidP="00563103">
            <w:pPr>
              <w:jc w:val="center"/>
              <w:rPr>
                <w:b/>
                <w:color w:val="FF0000"/>
                <w:sz w:val="16"/>
                <w:szCs w:val="16"/>
              </w:rPr>
            </w:pPr>
            <w:r w:rsidRPr="004B6625">
              <w:rPr>
                <w:rStyle w:val="Strong"/>
                <w:sz w:val="16"/>
                <w:szCs w:val="16"/>
              </w:rPr>
              <w:t xml:space="preserve">19 352 </w:t>
            </w:r>
            <w:proofErr w:type="spellStart"/>
            <w:r w:rsidRPr="004B6625">
              <w:rPr>
                <w:rStyle w:val="Strong"/>
                <w:sz w:val="16"/>
                <w:szCs w:val="16"/>
              </w:rPr>
              <w:t>MWe</w:t>
            </w:r>
            <w:proofErr w:type="spellEnd"/>
          </w:p>
        </w:tc>
      </w:tr>
    </w:tbl>
    <w:p w:rsidR="00265194" w:rsidRDefault="00C72462" w:rsidP="00563103">
      <w:pPr>
        <w:jc w:val="left"/>
        <w:rPr>
          <w:color w:val="FF0000"/>
          <w:szCs w:val="20"/>
          <w:lang w:val="en-GB" w:eastAsia="en-GB"/>
        </w:rPr>
      </w:pPr>
      <w:r>
        <w:rPr>
          <w:color w:val="FF0000"/>
          <w:szCs w:val="20"/>
          <w:lang w:val="en-GB" w:eastAsia="en-GB"/>
        </w:rPr>
        <w:br w:type="textWrapping" w:clear="all"/>
      </w:r>
    </w:p>
    <w:p w:rsidR="00803A3F" w:rsidRPr="00563103" w:rsidRDefault="00803A3F" w:rsidP="00803A3F">
      <w:pPr>
        <w:jc w:val="center"/>
        <w:rPr>
          <w:rStyle w:val="Strong"/>
          <w:b w:val="0"/>
          <w:szCs w:val="20"/>
        </w:rPr>
      </w:pPr>
      <w:proofErr w:type="gramStart"/>
      <w:r w:rsidRPr="00563103">
        <w:rPr>
          <w:rStyle w:val="Strong"/>
          <w:szCs w:val="20"/>
        </w:rPr>
        <w:t>Table 3.</w:t>
      </w:r>
      <w:proofErr w:type="gramEnd"/>
      <w:r w:rsidRPr="00563103">
        <w:rPr>
          <w:rStyle w:val="Strong"/>
          <w:szCs w:val="20"/>
        </w:rPr>
        <w:t xml:space="preserve"> </w:t>
      </w:r>
      <w:r w:rsidRPr="003C75B0">
        <w:rPr>
          <w:rStyle w:val="Strong"/>
          <w:b w:val="0"/>
          <w:szCs w:val="20"/>
        </w:rPr>
        <w:t>Characteristics of</w:t>
      </w:r>
      <w:r w:rsidR="004B6625">
        <w:rPr>
          <w:rStyle w:val="Strong"/>
          <w:b w:val="0"/>
          <w:szCs w:val="20"/>
        </w:rPr>
        <w:t xml:space="preserve"> the</w:t>
      </w:r>
      <w:r w:rsidRPr="003C75B0">
        <w:rPr>
          <w:rStyle w:val="Strong"/>
          <w:b w:val="0"/>
          <w:szCs w:val="20"/>
        </w:rPr>
        <w:t xml:space="preserve"> most developed SMR designs.</w:t>
      </w:r>
    </w:p>
    <w:p w:rsidR="00803A3F" w:rsidRPr="00491A08" w:rsidRDefault="00803A3F" w:rsidP="00803A3F">
      <w:pPr>
        <w:rPr>
          <w:szCs w:val="20"/>
          <w:lang w:val="en-GB" w:eastAsia="en-GB"/>
        </w:rPr>
      </w:pPr>
    </w:p>
    <w:tbl>
      <w:tblPr>
        <w:tblStyle w:val="TableGrid"/>
        <w:tblW w:w="9080" w:type="dxa"/>
        <w:jc w:val="center"/>
        <w:tblInd w:w="-648" w:type="dxa"/>
        <w:tblLayout w:type="fixed"/>
        <w:tblLook w:val="04A0" w:firstRow="1" w:lastRow="0" w:firstColumn="1" w:lastColumn="0" w:noHBand="0" w:noVBand="1"/>
      </w:tblPr>
      <w:tblGrid>
        <w:gridCol w:w="1443"/>
        <w:gridCol w:w="2025"/>
        <w:gridCol w:w="1478"/>
        <w:gridCol w:w="795"/>
        <w:gridCol w:w="3339"/>
      </w:tblGrid>
      <w:tr w:rsidR="00803A3F" w:rsidTr="003E40E8">
        <w:trPr>
          <w:trHeight w:hRule="exact" w:val="559"/>
          <w:jc w:val="center"/>
        </w:trPr>
        <w:tc>
          <w:tcPr>
            <w:tcW w:w="1443" w:type="dxa"/>
            <w:tcBorders>
              <w:bottom w:val="single" w:sz="4" w:space="0" w:color="auto"/>
            </w:tcBorders>
            <w:shd w:val="clear" w:color="auto" w:fill="auto"/>
            <w:vAlign w:val="center"/>
          </w:tcPr>
          <w:p w:rsidR="00803A3F" w:rsidRPr="004B6625" w:rsidRDefault="00803A3F" w:rsidP="00E809E5">
            <w:pPr>
              <w:jc w:val="center"/>
              <w:rPr>
                <w:b/>
                <w:sz w:val="16"/>
                <w:szCs w:val="16"/>
              </w:rPr>
            </w:pPr>
            <w:r w:rsidRPr="004B6625">
              <w:rPr>
                <w:sz w:val="16"/>
                <w:szCs w:val="16"/>
              </w:rPr>
              <w:br w:type="page"/>
            </w:r>
            <w:r w:rsidRPr="004B6625">
              <w:rPr>
                <w:b/>
                <w:sz w:val="16"/>
                <w:szCs w:val="16"/>
              </w:rPr>
              <w:t>SMR design</w:t>
            </w:r>
          </w:p>
        </w:tc>
        <w:tc>
          <w:tcPr>
            <w:tcW w:w="2025" w:type="dxa"/>
            <w:tcBorders>
              <w:bottom w:val="single" w:sz="4" w:space="0" w:color="auto"/>
            </w:tcBorders>
            <w:shd w:val="clear" w:color="auto" w:fill="auto"/>
            <w:vAlign w:val="center"/>
          </w:tcPr>
          <w:p w:rsidR="00803A3F" w:rsidRPr="004B6625" w:rsidRDefault="00803A3F" w:rsidP="00E809E5">
            <w:pPr>
              <w:jc w:val="center"/>
              <w:rPr>
                <w:b/>
                <w:sz w:val="16"/>
                <w:szCs w:val="16"/>
              </w:rPr>
            </w:pPr>
            <w:r w:rsidRPr="004B6625">
              <w:rPr>
                <w:b/>
                <w:sz w:val="16"/>
                <w:szCs w:val="16"/>
              </w:rPr>
              <w:t>Design Organization</w:t>
            </w:r>
          </w:p>
        </w:tc>
        <w:tc>
          <w:tcPr>
            <w:tcW w:w="1478" w:type="dxa"/>
            <w:tcBorders>
              <w:bottom w:val="single" w:sz="4" w:space="0" w:color="auto"/>
            </w:tcBorders>
            <w:shd w:val="clear" w:color="auto" w:fill="auto"/>
            <w:vAlign w:val="center"/>
          </w:tcPr>
          <w:p w:rsidR="00803A3F" w:rsidRPr="004B6625" w:rsidRDefault="00803A3F" w:rsidP="00E809E5">
            <w:pPr>
              <w:jc w:val="center"/>
              <w:rPr>
                <w:b/>
                <w:sz w:val="16"/>
                <w:szCs w:val="16"/>
              </w:rPr>
            </w:pPr>
            <w:r w:rsidRPr="004B6625">
              <w:rPr>
                <w:b/>
                <w:sz w:val="16"/>
                <w:szCs w:val="16"/>
              </w:rPr>
              <w:t>Country</w:t>
            </w:r>
          </w:p>
        </w:tc>
        <w:tc>
          <w:tcPr>
            <w:tcW w:w="795" w:type="dxa"/>
            <w:tcBorders>
              <w:bottom w:val="single" w:sz="4" w:space="0" w:color="auto"/>
            </w:tcBorders>
            <w:shd w:val="clear" w:color="auto" w:fill="auto"/>
            <w:vAlign w:val="center"/>
          </w:tcPr>
          <w:p w:rsidR="00803A3F" w:rsidRPr="004B6625" w:rsidRDefault="00803A3F" w:rsidP="00E809E5">
            <w:pPr>
              <w:jc w:val="center"/>
              <w:rPr>
                <w:b/>
                <w:sz w:val="16"/>
                <w:szCs w:val="16"/>
              </w:rPr>
            </w:pPr>
            <w:r w:rsidRPr="004B6625">
              <w:rPr>
                <w:b/>
                <w:sz w:val="16"/>
                <w:szCs w:val="16"/>
              </w:rPr>
              <w:t>Output (</w:t>
            </w:r>
            <w:proofErr w:type="spellStart"/>
            <w:r w:rsidRPr="004B6625">
              <w:rPr>
                <w:b/>
                <w:sz w:val="16"/>
                <w:szCs w:val="16"/>
              </w:rPr>
              <w:t>MWe</w:t>
            </w:r>
            <w:proofErr w:type="spellEnd"/>
            <w:r w:rsidRPr="004B6625">
              <w:rPr>
                <w:b/>
                <w:sz w:val="16"/>
                <w:szCs w:val="16"/>
              </w:rPr>
              <w:t>)</w:t>
            </w:r>
          </w:p>
        </w:tc>
        <w:tc>
          <w:tcPr>
            <w:tcW w:w="3339" w:type="dxa"/>
            <w:tcBorders>
              <w:bottom w:val="single" w:sz="4" w:space="0" w:color="auto"/>
            </w:tcBorders>
            <w:shd w:val="clear" w:color="auto" w:fill="auto"/>
            <w:vAlign w:val="center"/>
          </w:tcPr>
          <w:p w:rsidR="00803A3F" w:rsidRPr="004B6625" w:rsidRDefault="00803A3F" w:rsidP="003E40E8">
            <w:pPr>
              <w:jc w:val="center"/>
              <w:rPr>
                <w:b/>
                <w:sz w:val="16"/>
                <w:szCs w:val="16"/>
              </w:rPr>
            </w:pPr>
            <w:r w:rsidRPr="004B6625">
              <w:rPr>
                <w:b/>
                <w:sz w:val="16"/>
                <w:szCs w:val="16"/>
              </w:rPr>
              <w:t>Design Status/Commercial  Start</w:t>
            </w:r>
          </w:p>
        </w:tc>
      </w:tr>
      <w:tr w:rsidR="00803A3F" w:rsidTr="003E40E8">
        <w:trPr>
          <w:trHeight w:hRule="exact" w:val="402"/>
          <w:jc w:val="center"/>
        </w:trPr>
        <w:tc>
          <w:tcPr>
            <w:tcW w:w="1443" w:type="dxa"/>
            <w:tcBorders>
              <w:top w:val="single" w:sz="4" w:space="0" w:color="auto"/>
            </w:tcBorders>
            <w:shd w:val="clear" w:color="auto" w:fill="auto"/>
            <w:vAlign w:val="center"/>
          </w:tcPr>
          <w:p w:rsidR="00803A3F" w:rsidRPr="004B6625" w:rsidRDefault="00803A3F" w:rsidP="00E809E5">
            <w:pPr>
              <w:jc w:val="left"/>
              <w:rPr>
                <w:b/>
                <w:sz w:val="16"/>
                <w:szCs w:val="16"/>
              </w:rPr>
            </w:pPr>
            <w:r w:rsidRPr="004B6625">
              <w:rPr>
                <w:b/>
                <w:sz w:val="16"/>
                <w:szCs w:val="16"/>
              </w:rPr>
              <w:t>SMART</w:t>
            </w:r>
          </w:p>
        </w:tc>
        <w:tc>
          <w:tcPr>
            <w:tcW w:w="2025" w:type="dxa"/>
            <w:tcBorders>
              <w:top w:val="single" w:sz="4" w:space="0" w:color="auto"/>
            </w:tcBorders>
            <w:shd w:val="clear" w:color="auto" w:fill="auto"/>
            <w:vAlign w:val="center"/>
          </w:tcPr>
          <w:p w:rsidR="00803A3F" w:rsidRPr="004B6625" w:rsidRDefault="00803A3F" w:rsidP="00E809E5">
            <w:pPr>
              <w:spacing w:line="240" w:lineRule="auto"/>
              <w:jc w:val="left"/>
              <w:rPr>
                <w:sz w:val="16"/>
                <w:szCs w:val="16"/>
                <w:lang w:val="en-GB" w:eastAsia="en-GB"/>
              </w:rPr>
            </w:pPr>
            <w:r w:rsidRPr="004B6625">
              <w:rPr>
                <w:sz w:val="16"/>
                <w:szCs w:val="16"/>
                <w:lang w:val="en-GB" w:eastAsia="en-GB"/>
              </w:rPr>
              <w:t xml:space="preserve">Korea Atomic Energy </w:t>
            </w:r>
          </w:p>
          <w:p w:rsidR="00803A3F" w:rsidRPr="004B6625" w:rsidRDefault="00803A3F" w:rsidP="00E809E5">
            <w:pPr>
              <w:spacing w:line="240" w:lineRule="auto"/>
              <w:jc w:val="left"/>
              <w:rPr>
                <w:sz w:val="16"/>
                <w:szCs w:val="16"/>
                <w:lang w:val="en-GB" w:eastAsia="en-GB"/>
              </w:rPr>
            </w:pPr>
            <w:r w:rsidRPr="004B6625">
              <w:rPr>
                <w:sz w:val="16"/>
                <w:szCs w:val="16"/>
                <w:lang w:val="en-GB" w:eastAsia="en-GB"/>
              </w:rPr>
              <w:t>Research Institute</w:t>
            </w:r>
          </w:p>
          <w:p w:rsidR="00803A3F" w:rsidRPr="004B6625" w:rsidRDefault="00803A3F" w:rsidP="00E809E5">
            <w:pPr>
              <w:jc w:val="left"/>
              <w:rPr>
                <w:sz w:val="16"/>
                <w:szCs w:val="16"/>
              </w:rPr>
            </w:pPr>
          </w:p>
        </w:tc>
        <w:tc>
          <w:tcPr>
            <w:tcW w:w="1478" w:type="dxa"/>
            <w:tcBorders>
              <w:top w:val="single" w:sz="4" w:space="0" w:color="auto"/>
            </w:tcBorders>
            <w:shd w:val="clear" w:color="auto" w:fill="auto"/>
            <w:vAlign w:val="center"/>
          </w:tcPr>
          <w:p w:rsidR="00803A3F" w:rsidRPr="004B6625" w:rsidRDefault="00803A3F" w:rsidP="00E809E5">
            <w:pPr>
              <w:jc w:val="center"/>
              <w:rPr>
                <w:sz w:val="16"/>
                <w:szCs w:val="16"/>
              </w:rPr>
            </w:pPr>
            <w:r w:rsidRPr="004B6625">
              <w:rPr>
                <w:sz w:val="16"/>
                <w:szCs w:val="16"/>
              </w:rPr>
              <w:t>Republic of Korea</w:t>
            </w:r>
          </w:p>
        </w:tc>
        <w:tc>
          <w:tcPr>
            <w:tcW w:w="795" w:type="dxa"/>
            <w:tcBorders>
              <w:top w:val="single" w:sz="4" w:space="0" w:color="auto"/>
            </w:tcBorders>
            <w:shd w:val="clear" w:color="auto" w:fill="auto"/>
            <w:vAlign w:val="center"/>
          </w:tcPr>
          <w:p w:rsidR="00803A3F" w:rsidRPr="004B6625" w:rsidRDefault="00803A3F" w:rsidP="00E809E5">
            <w:pPr>
              <w:jc w:val="center"/>
              <w:rPr>
                <w:sz w:val="16"/>
                <w:szCs w:val="16"/>
              </w:rPr>
            </w:pPr>
            <w:r w:rsidRPr="004B6625">
              <w:rPr>
                <w:sz w:val="16"/>
                <w:szCs w:val="16"/>
              </w:rPr>
              <w:t>100</w:t>
            </w:r>
          </w:p>
        </w:tc>
        <w:tc>
          <w:tcPr>
            <w:tcW w:w="3339" w:type="dxa"/>
            <w:tcBorders>
              <w:top w:val="single" w:sz="4" w:space="0" w:color="auto"/>
            </w:tcBorders>
            <w:shd w:val="clear" w:color="auto" w:fill="auto"/>
            <w:vAlign w:val="center"/>
          </w:tcPr>
          <w:p w:rsidR="00803A3F" w:rsidRPr="004B6625" w:rsidRDefault="00803A3F" w:rsidP="00E809E5">
            <w:pPr>
              <w:spacing w:line="240" w:lineRule="auto"/>
              <w:jc w:val="left"/>
              <w:rPr>
                <w:sz w:val="16"/>
                <w:szCs w:val="16"/>
                <w:lang w:val="en-GB" w:eastAsia="en-GB"/>
              </w:rPr>
            </w:pPr>
            <w:r w:rsidRPr="004B6625">
              <w:rPr>
                <w:sz w:val="16"/>
                <w:szCs w:val="16"/>
                <w:lang w:val="en-GB" w:eastAsia="en-GB"/>
              </w:rPr>
              <w:t xml:space="preserve">Standard Design Approval  Received 4 July </w:t>
            </w:r>
            <w:r w:rsidRPr="004B6625">
              <w:rPr>
                <w:sz w:val="16"/>
                <w:szCs w:val="16"/>
              </w:rPr>
              <w:t>2</w:t>
            </w:r>
            <w:r w:rsidRPr="004B6625">
              <w:rPr>
                <w:sz w:val="16"/>
                <w:szCs w:val="16"/>
                <w:lang w:val="en-GB" w:eastAsia="en-GB"/>
              </w:rPr>
              <w:t>012</w:t>
            </w:r>
          </w:p>
          <w:p w:rsidR="00803A3F" w:rsidRPr="004B6625" w:rsidRDefault="00803A3F" w:rsidP="00E809E5">
            <w:pPr>
              <w:jc w:val="left"/>
              <w:rPr>
                <w:sz w:val="16"/>
                <w:szCs w:val="16"/>
              </w:rPr>
            </w:pPr>
          </w:p>
        </w:tc>
      </w:tr>
      <w:tr w:rsidR="00803A3F" w:rsidTr="003E40E8">
        <w:trPr>
          <w:trHeight w:hRule="exact" w:val="282"/>
          <w:jc w:val="center"/>
        </w:trPr>
        <w:tc>
          <w:tcPr>
            <w:tcW w:w="1443" w:type="dxa"/>
            <w:shd w:val="clear" w:color="auto" w:fill="auto"/>
            <w:vAlign w:val="center"/>
          </w:tcPr>
          <w:p w:rsidR="00803A3F" w:rsidRPr="004B6625" w:rsidRDefault="00803A3F" w:rsidP="00E809E5">
            <w:pPr>
              <w:jc w:val="left"/>
              <w:rPr>
                <w:b/>
                <w:sz w:val="16"/>
                <w:szCs w:val="16"/>
              </w:rPr>
            </w:pPr>
            <w:proofErr w:type="spellStart"/>
            <w:r w:rsidRPr="004B6625">
              <w:rPr>
                <w:b/>
                <w:sz w:val="16"/>
                <w:szCs w:val="16"/>
              </w:rPr>
              <w:t>mPower</w:t>
            </w:r>
            <w:proofErr w:type="spellEnd"/>
          </w:p>
        </w:tc>
        <w:tc>
          <w:tcPr>
            <w:tcW w:w="2025"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 xml:space="preserve">B&amp;W Generation </w:t>
            </w:r>
            <w:proofErr w:type="spellStart"/>
            <w:r w:rsidRPr="004B6625">
              <w:rPr>
                <w:sz w:val="16"/>
                <w:szCs w:val="16"/>
                <w:lang w:val="en-GB" w:eastAsia="en-GB"/>
              </w:rPr>
              <w:t>mPower</w:t>
            </w:r>
            <w:proofErr w:type="spellEnd"/>
          </w:p>
          <w:p w:rsidR="00803A3F" w:rsidRPr="004B6625" w:rsidRDefault="00803A3F" w:rsidP="00E809E5">
            <w:pPr>
              <w:jc w:val="left"/>
              <w:rPr>
                <w:sz w:val="16"/>
                <w:szCs w:val="16"/>
              </w:rPr>
            </w:pPr>
          </w:p>
        </w:tc>
        <w:tc>
          <w:tcPr>
            <w:tcW w:w="1478" w:type="dxa"/>
            <w:shd w:val="clear" w:color="auto" w:fill="auto"/>
            <w:vAlign w:val="center"/>
          </w:tcPr>
          <w:p w:rsidR="00803A3F" w:rsidRPr="004B6625" w:rsidRDefault="00563103" w:rsidP="00563103">
            <w:pPr>
              <w:jc w:val="center"/>
              <w:rPr>
                <w:sz w:val="16"/>
                <w:szCs w:val="16"/>
              </w:rPr>
            </w:pPr>
            <w:r w:rsidRPr="004B6625">
              <w:rPr>
                <w:sz w:val="16"/>
                <w:szCs w:val="16"/>
                <w:lang w:val="en-GB" w:eastAsia="en-GB"/>
              </w:rPr>
              <w:t>USA</w:t>
            </w:r>
          </w:p>
        </w:tc>
        <w:tc>
          <w:tcPr>
            <w:tcW w:w="795" w:type="dxa"/>
            <w:shd w:val="clear" w:color="auto" w:fill="auto"/>
            <w:vAlign w:val="center"/>
          </w:tcPr>
          <w:p w:rsidR="00803A3F" w:rsidRPr="004B6625" w:rsidRDefault="00803A3F" w:rsidP="00E809E5">
            <w:pPr>
              <w:jc w:val="center"/>
              <w:rPr>
                <w:sz w:val="16"/>
                <w:szCs w:val="16"/>
              </w:rPr>
            </w:pPr>
            <w:r w:rsidRPr="004B6625">
              <w:rPr>
                <w:sz w:val="16"/>
                <w:szCs w:val="16"/>
              </w:rPr>
              <w:t>180</w:t>
            </w:r>
          </w:p>
        </w:tc>
        <w:tc>
          <w:tcPr>
            <w:tcW w:w="3339"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Design Certification  Application  2015</w:t>
            </w:r>
          </w:p>
          <w:p w:rsidR="00803A3F" w:rsidRPr="004B6625" w:rsidRDefault="00803A3F" w:rsidP="00E809E5">
            <w:pPr>
              <w:jc w:val="left"/>
              <w:rPr>
                <w:sz w:val="16"/>
                <w:szCs w:val="16"/>
              </w:rPr>
            </w:pPr>
          </w:p>
        </w:tc>
      </w:tr>
      <w:tr w:rsidR="00803A3F" w:rsidTr="003E40E8">
        <w:trPr>
          <w:trHeight w:hRule="exact" w:val="271"/>
          <w:jc w:val="center"/>
        </w:trPr>
        <w:tc>
          <w:tcPr>
            <w:tcW w:w="1443" w:type="dxa"/>
            <w:shd w:val="clear" w:color="auto" w:fill="auto"/>
            <w:vAlign w:val="center"/>
          </w:tcPr>
          <w:p w:rsidR="00803A3F" w:rsidRPr="004B6625" w:rsidRDefault="00803A3F" w:rsidP="00E809E5">
            <w:pPr>
              <w:jc w:val="left"/>
              <w:rPr>
                <w:b/>
                <w:sz w:val="16"/>
                <w:szCs w:val="16"/>
              </w:rPr>
            </w:pPr>
            <w:proofErr w:type="spellStart"/>
            <w:r w:rsidRPr="004B6625">
              <w:rPr>
                <w:b/>
                <w:sz w:val="16"/>
                <w:szCs w:val="16"/>
              </w:rPr>
              <w:t>NuScale</w:t>
            </w:r>
            <w:proofErr w:type="spellEnd"/>
          </w:p>
        </w:tc>
        <w:tc>
          <w:tcPr>
            <w:tcW w:w="2025" w:type="dxa"/>
            <w:shd w:val="clear" w:color="auto" w:fill="auto"/>
            <w:vAlign w:val="center"/>
          </w:tcPr>
          <w:p w:rsidR="00803A3F" w:rsidRPr="004B6625" w:rsidRDefault="00803A3F" w:rsidP="00E809E5">
            <w:pPr>
              <w:jc w:val="left"/>
              <w:rPr>
                <w:sz w:val="16"/>
                <w:szCs w:val="16"/>
                <w:lang w:val="en-GB" w:eastAsia="en-GB"/>
              </w:rPr>
            </w:pPr>
            <w:proofErr w:type="spellStart"/>
            <w:r w:rsidRPr="004B6625">
              <w:rPr>
                <w:sz w:val="16"/>
                <w:szCs w:val="16"/>
                <w:lang w:val="en-GB" w:eastAsia="en-GB"/>
              </w:rPr>
              <w:t>NuScale</w:t>
            </w:r>
            <w:proofErr w:type="spellEnd"/>
            <w:r w:rsidRPr="004B6625">
              <w:rPr>
                <w:sz w:val="16"/>
                <w:szCs w:val="16"/>
                <w:lang w:val="en-GB" w:eastAsia="en-GB"/>
              </w:rPr>
              <w:t xml:space="preserve"> Power Inc.</w:t>
            </w:r>
          </w:p>
        </w:tc>
        <w:tc>
          <w:tcPr>
            <w:tcW w:w="1478" w:type="dxa"/>
            <w:shd w:val="clear" w:color="auto" w:fill="auto"/>
            <w:vAlign w:val="center"/>
          </w:tcPr>
          <w:p w:rsidR="00803A3F" w:rsidRPr="004B6625" w:rsidRDefault="00563103" w:rsidP="00E809E5">
            <w:pPr>
              <w:jc w:val="center"/>
              <w:rPr>
                <w:sz w:val="16"/>
                <w:szCs w:val="16"/>
              </w:rPr>
            </w:pPr>
            <w:r w:rsidRPr="004B6625">
              <w:rPr>
                <w:sz w:val="16"/>
                <w:szCs w:val="16"/>
                <w:lang w:val="en-GB" w:eastAsia="en-GB"/>
              </w:rPr>
              <w:t>USA</w:t>
            </w:r>
          </w:p>
        </w:tc>
        <w:tc>
          <w:tcPr>
            <w:tcW w:w="795" w:type="dxa"/>
            <w:shd w:val="clear" w:color="auto" w:fill="auto"/>
            <w:vAlign w:val="center"/>
          </w:tcPr>
          <w:p w:rsidR="00803A3F" w:rsidRPr="004B6625" w:rsidRDefault="00803A3F" w:rsidP="00E809E5">
            <w:pPr>
              <w:jc w:val="center"/>
              <w:rPr>
                <w:sz w:val="16"/>
                <w:szCs w:val="16"/>
              </w:rPr>
            </w:pPr>
            <w:r w:rsidRPr="004B6625">
              <w:rPr>
                <w:sz w:val="16"/>
                <w:szCs w:val="16"/>
              </w:rPr>
              <w:t>50</w:t>
            </w:r>
          </w:p>
        </w:tc>
        <w:tc>
          <w:tcPr>
            <w:tcW w:w="3339" w:type="dxa"/>
            <w:shd w:val="clear" w:color="auto" w:fill="auto"/>
            <w:vAlign w:val="center"/>
          </w:tcPr>
          <w:p w:rsidR="00803A3F" w:rsidRPr="004B6625" w:rsidRDefault="00563103" w:rsidP="00E809E5">
            <w:pPr>
              <w:jc w:val="left"/>
              <w:rPr>
                <w:sz w:val="16"/>
                <w:szCs w:val="16"/>
                <w:lang w:val="en-GB" w:eastAsia="en-GB"/>
              </w:rPr>
            </w:pPr>
            <w:r w:rsidRPr="004B6625">
              <w:rPr>
                <w:sz w:val="16"/>
                <w:szCs w:val="16"/>
                <w:lang w:val="en-GB" w:eastAsia="en-GB"/>
              </w:rPr>
              <w:t xml:space="preserve">Design Certification </w:t>
            </w:r>
            <w:r w:rsidR="00803A3F" w:rsidRPr="004B6625">
              <w:rPr>
                <w:sz w:val="16"/>
                <w:szCs w:val="16"/>
                <w:lang w:val="en-GB" w:eastAsia="en-GB"/>
              </w:rPr>
              <w:t>Application mid 2016</w:t>
            </w:r>
          </w:p>
          <w:p w:rsidR="00803A3F" w:rsidRPr="004B6625" w:rsidRDefault="00803A3F" w:rsidP="00E809E5">
            <w:pPr>
              <w:jc w:val="left"/>
              <w:rPr>
                <w:sz w:val="16"/>
                <w:szCs w:val="16"/>
              </w:rPr>
            </w:pPr>
          </w:p>
        </w:tc>
      </w:tr>
      <w:tr w:rsidR="00803A3F" w:rsidTr="003E40E8">
        <w:trPr>
          <w:trHeight w:hRule="exact" w:val="290"/>
          <w:jc w:val="center"/>
        </w:trPr>
        <w:tc>
          <w:tcPr>
            <w:tcW w:w="1443"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ACP100</w:t>
            </w:r>
          </w:p>
        </w:tc>
        <w:tc>
          <w:tcPr>
            <w:tcW w:w="2025" w:type="dxa"/>
            <w:shd w:val="clear" w:color="auto" w:fill="auto"/>
            <w:vAlign w:val="center"/>
          </w:tcPr>
          <w:p w:rsidR="00803A3F" w:rsidRPr="004B6625" w:rsidRDefault="00803A3F" w:rsidP="00E809E5">
            <w:pPr>
              <w:jc w:val="left"/>
              <w:rPr>
                <w:rFonts w:eastAsia="MingLiU"/>
                <w:bCs/>
                <w:kern w:val="28"/>
                <w:sz w:val="16"/>
                <w:szCs w:val="16"/>
                <w:lang w:eastAsia="zh-TW"/>
              </w:rPr>
            </w:pPr>
            <w:r w:rsidRPr="004B6625">
              <w:rPr>
                <w:sz w:val="16"/>
                <w:szCs w:val="16"/>
              </w:rPr>
              <w:t>CNNC/NPIC</w:t>
            </w:r>
          </w:p>
        </w:tc>
        <w:tc>
          <w:tcPr>
            <w:tcW w:w="1478" w:type="dxa"/>
            <w:shd w:val="clear" w:color="auto" w:fill="auto"/>
            <w:vAlign w:val="center"/>
          </w:tcPr>
          <w:p w:rsidR="00803A3F" w:rsidRPr="004B6625" w:rsidRDefault="00803A3F" w:rsidP="00E809E5">
            <w:pPr>
              <w:jc w:val="center"/>
              <w:rPr>
                <w:sz w:val="16"/>
                <w:szCs w:val="16"/>
              </w:rPr>
            </w:pPr>
            <w:r w:rsidRPr="004B6625">
              <w:rPr>
                <w:sz w:val="16"/>
                <w:szCs w:val="16"/>
              </w:rPr>
              <w:t>China</w:t>
            </w:r>
          </w:p>
        </w:tc>
        <w:tc>
          <w:tcPr>
            <w:tcW w:w="795" w:type="dxa"/>
            <w:shd w:val="clear" w:color="auto" w:fill="auto"/>
            <w:vAlign w:val="center"/>
          </w:tcPr>
          <w:p w:rsidR="00803A3F" w:rsidRPr="004B6625" w:rsidRDefault="00803A3F" w:rsidP="00E809E5">
            <w:pPr>
              <w:jc w:val="center"/>
              <w:rPr>
                <w:sz w:val="16"/>
                <w:szCs w:val="16"/>
              </w:rPr>
            </w:pPr>
            <w:r w:rsidRPr="004B6625">
              <w:rPr>
                <w:sz w:val="16"/>
                <w:szCs w:val="16"/>
              </w:rPr>
              <w:t>100</w:t>
            </w:r>
          </w:p>
        </w:tc>
        <w:tc>
          <w:tcPr>
            <w:tcW w:w="3339"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Detailed Design, Construction Starts in 2016</w:t>
            </w:r>
          </w:p>
          <w:p w:rsidR="00803A3F" w:rsidRPr="004B6625" w:rsidRDefault="00803A3F" w:rsidP="00E809E5">
            <w:pPr>
              <w:jc w:val="left"/>
              <w:rPr>
                <w:sz w:val="16"/>
                <w:szCs w:val="16"/>
              </w:rPr>
            </w:pPr>
          </w:p>
        </w:tc>
      </w:tr>
      <w:tr w:rsidR="00803A3F" w:rsidTr="003E40E8">
        <w:trPr>
          <w:trHeight w:hRule="exact" w:val="280"/>
          <w:jc w:val="center"/>
        </w:trPr>
        <w:tc>
          <w:tcPr>
            <w:tcW w:w="1443"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CAREM-25</w:t>
            </w:r>
          </w:p>
        </w:tc>
        <w:tc>
          <w:tcPr>
            <w:tcW w:w="2025" w:type="dxa"/>
            <w:shd w:val="clear" w:color="auto" w:fill="auto"/>
            <w:vAlign w:val="center"/>
          </w:tcPr>
          <w:p w:rsidR="00803A3F" w:rsidRPr="004B6625" w:rsidRDefault="00803A3F" w:rsidP="00E809E5">
            <w:pPr>
              <w:jc w:val="left"/>
              <w:rPr>
                <w:sz w:val="16"/>
                <w:szCs w:val="16"/>
              </w:rPr>
            </w:pPr>
            <w:r w:rsidRPr="004B6625">
              <w:rPr>
                <w:sz w:val="16"/>
                <w:szCs w:val="16"/>
              </w:rPr>
              <w:t>CNEA</w:t>
            </w:r>
          </w:p>
        </w:tc>
        <w:tc>
          <w:tcPr>
            <w:tcW w:w="1478" w:type="dxa"/>
            <w:shd w:val="clear" w:color="auto" w:fill="auto"/>
            <w:vAlign w:val="center"/>
          </w:tcPr>
          <w:p w:rsidR="00803A3F" w:rsidRPr="004B6625" w:rsidRDefault="00803A3F" w:rsidP="00E809E5">
            <w:pPr>
              <w:jc w:val="center"/>
              <w:rPr>
                <w:sz w:val="16"/>
                <w:szCs w:val="16"/>
              </w:rPr>
            </w:pPr>
            <w:r w:rsidRPr="004B6625">
              <w:rPr>
                <w:sz w:val="16"/>
                <w:szCs w:val="16"/>
              </w:rPr>
              <w:t>Argentina</w:t>
            </w:r>
          </w:p>
        </w:tc>
        <w:tc>
          <w:tcPr>
            <w:tcW w:w="795" w:type="dxa"/>
            <w:shd w:val="clear" w:color="auto" w:fill="auto"/>
            <w:vAlign w:val="center"/>
          </w:tcPr>
          <w:p w:rsidR="00803A3F" w:rsidRPr="004B6625" w:rsidRDefault="00803A3F" w:rsidP="00E809E5">
            <w:pPr>
              <w:jc w:val="center"/>
              <w:rPr>
                <w:sz w:val="16"/>
                <w:szCs w:val="16"/>
              </w:rPr>
            </w:pPr>
            <w:r w:rsidRPr="004B6625">
              <w:rPr>
                <w:sz w:val="16"/>
                <w:szCs w:val="16"/>
              </w:rPr>
              <w:t>27</w:t>
            </w:r>
          </w:p>
        </w:tc>
        <w:tc>
          <w:tcPr>
            <w:tcW w:w="3339"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Commercial start: 2017 ~ 2018</w:t>
            </w:r>
          </w:p>
          <w:p w:rsidR="00803A3F" w:rsidRPr="004B6625" w:rsidRDefault="00803A3F" w:rsidP="00E809E5">
            <w:pPr>
              <w:jc w:val="left"/>
              <w:rPr>
                <w:sz w:val="16"/>
                <w:szCs w:val="16"/>
              </w:rPr>
            </w:pPr>
          </w:p>
        </w:tc>
      </w:tr>
      <w:tr w:rsidR="00803A3F" w:rsidTr="003E40E8">
        <w:trPr>
          <w:trHeight w:hRule="exact" w:val="284"/>
          <w:jc w:val="center"/>
        </w:trPr>
        <w:tc>
          <w:tcPr>
            <w:tcW w:w="1443"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HTR-PM</w:t>
            </w:r>
          </w:p>
        </w:tc>
        <w:tc>
          <w:tcPr>
            <w:tcW w:w="2025"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Tsinghua Univ./Harbin</w:t>
            </w:r>
          </w:p>
          <w:p w:rsidR="00803A3F" w:rsidRPr="004B6625" w:rsidRDefault="00803A3F" w:rsidP="00E809E5">
            <w:pPr>
              <w:jc w:val="left"/>
              <w:rPr>
                <w:sz w:val="16"/>
                <w:szCs w:val="16"/>
              </w:rPr>
            </w:pPr>
          </w:p>
        </w:tc>
        <w:tc>
          <w:tcPr>
            <w:tcW w:w="1478" w:type="dxa"/>
            <w:shd w:val="clear" w:color="auto" w:fill="auto"/>
            <w:vAlign w:val="center"/>
          </w:tcPr>
          <w:p w:rsidR="00803A3F" w:rsidRPr="004B6625" w:rsidRDefault="00803A3F" w:rsidP="00E809E5">
            <w:pPr>
              <w:jc w:val="center"/>
              <w:rPr>
                <w:sz w:val="16"/>
                <w:szCs w:val="16"/>
              </w:rPr>
            </w:pPr>
            <w:r w:rsidRPr="004B6625">
              <w:rPr>
                <w:sz w:val="16"/>
                <w:szCs w:val="16"/>
              </w:rPr>
              <w:t>China</w:t>
            </w:r>
          </w:p>
        </w:tc>
        <w:tc>
          <w:tcPr>
            <w:tcW w:w="795" w:type="dxa"/>
            <w:shd w:val="clear" w:color="auto" w:fill="auto"/>
            <w:vAlign w:val="center"/>
          </w:tcPr>
          <w:p w:rsidR="00803A3F" w:rsidRPr="004B6625" w:rsidRDefault="00803A3F" w:rsidP="00E809E5">
            <w:pPr>
              <w:jc w:val="center"/>
              <w:rPr>
                <w:sz w:val="16"/>
                <w:szCs w:val="16"/>
              </w:rPr>
            </w:pPr>
            <w:r w:rsidRPr="004B6625">
              <w:rPr>
                <w:sz w:val="16"/>
                <w:szCs w:val="16"/>
              </w:rPr>
              <w:t>250</w:t>
            </w:r>
          </w:p>
        </w:tc>
        <w:tc>
          <w:tcPr>
            <w:tcW w:w="3339"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Commercial start: 2017 ~ 2018</w:t>
            </w:r>
          </w:p>
          <w:p w:rsidR="00803A3F" w:rsidRPr="004B6625" w:rsidRDefault="00803A3F" w:rsidP="00E809E5">
            <w:pPr>
              <w:jc w:val="left"/>
              <w:rPr>
                <w:sz w:val="16"/>
                <w:szCs w:val="16"/>
              </w:rPr>
            </w:pPr>
          </w:p>
        </w:tc>
      </w:tr>
      <w:tr w:rsidR="00803A3F" w:rsidTr="003E40E8">
        <w:trPr>
          <w:trHeight w:hRule="exact" w:val="287"/>
          <w:jc w:val="center"/>
        </w:trPr>
        <w:tc>
          <w:tcPr>
            <w:tcW w:w="1443"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PFBR-500</w:t>
            </w:r>
          </w:p>
        </w:tc>
        <w:tc>
          <w:tcPr>
            <w:tcW w:w="2025" w:type="dxa"/>
            <w:shd w:val="clear" w:color="auto" w:fill="auto"/>
            <w:vAlign w:val="center"/>
          </w:tcPr>
          <w:p w:rsidR="00803A3F" w:rsidRPr="004B6625" w:rsidRDefault="00803A3F" w:rsidP="00E809E5">
            <w:pPr>
              <w:jc w:val="left"/>
              <w:rPr>
                <w:sz w:val="16"/>
                <w:szCs w:val="16"/>
              </w:rPr>
            </w:pPr>
            <w:r w:rsidRPr="004B6625">
              <w:rPr>
                <w:sz w:val="16"/>
                <w:szCs w:val="16"/>
              </w:rPr>
              <w:t>IGCAR</w:t>
            </w:r>
          </w:p>
        </w:tc>
        <w:tc>
          <w:tcPr>
            <w:tcW w:w="1478" w:type="dxa"/>
            <w:shd w:val="clear" w:color="auto" w:fill="auto"/>
            <w:vAlign w:val="center"/>
          </w:tcPr>
          <w:p w:rsidR="00803A3F" w:rsidRPr="004B6625" w:rsidRDefault="00803A3F" w:rsidP="00E809E5">
            <w:pPr>
              <w:jc w:val="center"/>
              <w:rPr>
                <w:sz w:val="16"/>
                <w:szCs w:val="16"/>
              </w:rPr>
            </w:pPr>
            <w:r w:rsidRPr="004B6625">
              <w:rPr>
                <w:sz w:val="16"/>
                <w:szCs w:val="16"/>
              </w:rPr>
              <w:t>India</w:t>
            </w:r>
          </w:p>
        </w:tc>
        <w:tc>
          <w:tcPr>
            <w:tcW w:w="795" w:type="dxa"/>
            <w:shd w:val="clear" w:color="auto" w:fill="auto"/>
            <w:vAlign w:val="center"/>
          </w:tcPr>
          <w:p w:rsidR="00803A3F" w:rsidRPr="004B6625" w:rsidRDefault="00803A3F" w:rsidP="00E809E5">
            <w:pPr>
              <w:jc w:val="center"/>
              <w:rPr>
                <w:sz w:val="16"/>
                <w:szCs w:val="16"/>
              </w:rPr>
            </w:pPr>
            <w:r w:rsidRPr="004B6625">
              <w:rPr>
                <w:sz w:val="16"/>
                <w:szCs w:val="16"/>
              </w:rPr>
              <w:t>500</w:t>
            </w:r>
            <w:r w:rsidR="003E40E8">
              <w:rPr>
                <w:rStyle w:val="FootnoteReference"/>
                <w:sz w:val="16"/>
                <w:szCs w:val="16"/>
              </w:rPr>
              <w:footnoteReference w:id="5"/>
            </w:r>
          </w:p>
        </w:tc>
        <w:tc>
          <w:tcPr>
            <w:tcW w:w="3339" w:type="dxa"/>
            <w:shd w:val="clear" w:color="auto" w:fill="auto"/>
            <w:vAlign w:val="center"/>
          </w:tcPr>
          <w:p w:rsidR="00803A3F" w:rsidRPr="004B6625" w:rsidRDefault="00803A3F" w:rsidP="00E809E5">
            <w:pPr>
              <w:jc w:val="left"/>
              <w:rPr>
                <w:sz w:val="16"/>
                <w:szCs w:val="16"/>
                <w:lang w:val="en-GB" w:eastAsia="en-GB"/>
              </w:rPr>
            </w:pPr>
            <w:r w:rsidRPr="004B6625">
              <w:rPr>
                <w:sz w:val="16"/>
                <w:szCs w:val="16"/>
                <w:lang w:val="en-GB" w:eastAsia="en-GB"/>
              </w:rPr>
              <w:t>Commercial start: 2015 ~ 2018</w:t>
            </w:r>
          </w:p>
          <w:p w:rsidR="00803A3F" w:rsidRPr="004B6625" w:rsidRDefault="00803A3F" w:rsidP="00E809E5">
            <w:pPr>
              <w:jc w:val="left"/>
              <w:rPr>
                <w:sz w:val="16"/>
                <w:szCs w:val="16"/>
              </w:rPr>
            </w:pPr>
          </w:p>
        </w:tc>
      </w:tr>
    </w:tbl>
    <w:p w:rsidR="00705063" w:rsidRPr="00E5351F" w:rsidRDefault="00803A3F" w:rsidP="00E5351F">
      <w:pPr>
        <w:jc w:val="center"/>
        <w:rPr>
          <w:rStyle w:val="Strong"/>
          <w:b w:val="0"/>
          <w:bCs w:val="0"/>
        </w:rPr>
      </w:pPr>
      <w:r>
        <w:rPr>
          <w:rStyle w:val="selectable"/>
        </w:rPr>
        <w:t>(International Atomic Energy Agency, 2014a</w:t>
      </w:r>
      <w:proofErr w:type="gramStart"/>
      <w:r>
        <w:rPr>
          <w:rStyle w:val="selectable"/>
        </w:rPr>
        <w:t>,b</w:t>
      </w:r>
      <w:proofErr w:type="gramEnd"/>
      <w:r w:rsidRPr="0045395D">
        <w:rPr>
          <w:rStyle w:val="selectable"/>
        </w:rPr>
        <w:t>)</w:t>
      </w:r>
      <w:r>
        <w:rPr>
          <w:rStyle w:val="selectable"/>
        </w:rPr>
        <w:t>.</w:t>
      </w:r>
    </w:p>
    <w:p w:rsidR="00E5351F" w:rsidRDefault="00E5351F" w:rsidP="001525FB">
      <w:pPr>
        <w:spacing w:after="200" w:line="276" w:lineRule="auto"/>
        <w:jc w:val="center"/>
        <w:rPr>
          <w:rStyle w:val="Strong"/>
        </w:rPr>
      </w:pPr>
    </w:p>
    <w:p w:rsidR="00E5351F" w:rsidRDefault="00E5351F" w:rsidP="001525FB">
      <w:pPr>
        <w:spacing w:after="200" w:line="276" w:lineRule="auto"/>
        <w:jc w:val="center"/>
        <w:rPr>
          <w:rStyle w:val="Strong"/>
        </w:rPr>
      </w:pPr>
    </w:p>
    <w:p w:rsidR="00803A3F" w:rsidRPr="001525FB" w:rsidRDefault="00705063" w:rsidP="001525FB">
      <w:pPr>
        <w:spacing w:after="200" w:line="276" w:lineRule="auto"/>
        <w:jc w:val="center"/>
        <w:rPr>
          <w:bCs/>
          <w:szCs w:val="20"/>
        </w:rPr>
      </w:pPr>
      <w:proofErr w:type="gramStart"/>
      <w:r>
        <w:rPr>
          <w:rStyle w:val="Strong"/>
        </w:rPr>
        <w:t>T</w:t>
      </w:r>
      <w:r w:rsidR="001525FB">
        <w:rPr>
          <w:rStyle w:val="Strong"/>
          <w:szCs w:val="20"/>
        </w:rPr>
        <w:t>able 4</w:t>
      </w:r>
      <w:r w:rsidR="00803A3F" w:rsidRPr="00563103">
        <w:rPr>
          <w:rStyle w:val="Strong"/>
          <w:szCs w:val="20"/>
        </w:rPr>
        <w:t>.</w:t>
      </w:r>
      <w:proofErr w:type="gramEnd"/>
      <w:r w:rsidR="00803A3F" w:rsidRPr="00563103">
        <w:rPr>
          <w:rStyle w:val="Strong"/>
          <w:szCs w:val="20"/>
        </w:rPr>
        <w:t xml:space="preserve"> </w:t>
      </w:r>
      <w:r w:rsidR="00353350" w:rsidRPr="001525FB">
        <w:rPr>
          <w:rStyle w:val="Strong"/>
          <w:b w:val="0"/>
          <w:szCs w:val="20"/>
        </w:rPr>
        <w:t>The overall n</w:t>
      </w:r>
      <w:r w:rsidR="00803A3F" w:rsidRPr="001525FB">
        <w:rPr>
          <w:rStyle w:val="Strong"/>
          <w:b w:val="0"/>
          <w:szCs w:val="20"/>
        </w:rPr>
        <w:t>umber of units per reactor design needed to replace current operating capacity of coal power plants.</w:t>
      </w:r>
    </w:p>
    <w:tbl>
      <w:tblPr>
        <w:tblStyle w:val="TableGrid"/>
        <w:tblW w:w="5695" w:type="dxa"/>
        <w:jc w:val="center"/>
        <w:tblInd w:w="-489" w:type="dxa"/>
        <w:tblLayout w:type="fixed"/>
        <w:tblLook w:val="04A0" w:firstRow="1" w:lastRow="0" w:firstColumn="1" w:lastColumn="0" w:noHBand="0" w:noVBand="1"/>
      </w:tblPr>
      <w:tblGrid>
        <w:gridCol w:w="1410"/>
        <w:gridCol w:w="1450"/>
        <w:gridCol w:w="2835"/>
      </w:tblGrid>
      <w:tr w:rsidR="00803A3F" w:rsidTr="004B6625">
        <w:trPr>
          <w:trHeight w:hRule="exact" w:val="616"/>
          <w:jc w:val="center"/>
        </w:trPr>
        <w:tc>
          <w:tcPr>
            <w:tcW w:w="1410" w:type="dxa"/>
            <w:shd w:val="clear" w:color="auto" w:fill="auto"/>
            <w:vAlign w:val="center"/>
          </w:tcPr>
          <w:p w:rsidR="00803A3F" w:rsidRPr="004B6625" w:rsidRDefault="00803A3F" w:rsidP="00A44742">
            <w:pPr>
              <w:jc w:val="center"/>
              <w:rPr>
                <w:b/>
                <w:sz w:val="16"/>
                <w:szCs w:val="16"/>
              </w:rPr>
            </w:pPr>
            <w:r w:rsidRPr="004B6625">
              <w:rPr>
                <w:sz w:val="16"/>
                <w:szCs w:val="16"/>
              </w:rPr>
              <w:br w:type="page"/>
            </w:r>
            <w:r w:rsidRPr="004B6625">
              <w:rPr>
                <w:b/>
                <w:sz w:val="16"/>
                <w:szCs w:val="16"/>
              </w:rPr>
              <w:t>SMR design</w:t>
            </w:r>
          </w:p>
        </w:tc>
        <w:tc>
          <w:tcPr>
            <w:tcW w:w="1450" w:type="dxa"/>
            <w:shd w:val="clear" w:color="auto" w:fill="auto"/>
            <w:vAlign w:val="center"/>
          </w:tcPr>
          <w:p w:rsidR="00803A3F" w:rsidRPr="004B6625" w:rsidRDefault="00803A3F" w:rsidP="00A44742">
            <w:pPr>
              <w:jc w:val="center"/>
              <w:rPr>
                <w:b/>
                <w:sz w:val="16"/>
                <w:szCs w:val="16"/>
              </w:rPr>
            </w:pPr>
            <w:r w:rsidRPr="004B6625">
              <w:rPr>
                <w:b/>
                <w:sz w:val="16"/>
                <w:szCs w:val="16"/>
              </w:rPr>
              <w:t>Output (</w:t>
            </w:r>
            <w:proofErr w:type="spellStart"/>
            <w:r w:rsidRPr="004B6625">
              <w:rPr>
                <w:b/>
                <w:sz w:val="16"/>
                <w:szCs w:val="16"/>
              </w:rPr>
              <w:t>MWe</w:t>
            </w:r>
            <w:proofErr w:type="spellEnd"/>
            <w:r w:rsidRPr="004B6625">
              <w:rPr>
                <w:b/>
                <w:sz w:val="16"/>
                <w:szCs w:val="16"/>
              </w:rPr>
              <w:t>)</w:t>
            </w:r>
          </w:p>
        </w:tc>
        <w:tc>
          <w:tcPr>
            <w:tcW w:w="2835" w:type="dxa"/>
            <w:shd w:val="clear" w:color="auto" w:fill="auto"/>
            <w:vAlign w:val="center"/>
          </w:tcPr>
          <w:p w:rsidR="00803A3F" w:rsidRPr="004B6625" w:rsidRDefault="00803A3F" w:rsidP="00A44742">
            <w:pPr>
              <w:jc w:val="center"/>
              <w:rPr>
                <w:b/>
                <w:sz w:val="16"/>
                <w:szCs w:val="16"/>
              </w:rPr>
            </w:pPr>
            <w:r w:rsidRPr="004B6625">
              <w:rPr>
                <w:b/>
                <w:sz w:val="16"/>
                <w:szCs w:val="16"/>
              </w:rPr>
              <w:t>Number of modules needed to replace capacity of coal plants</w:t>
            </w:r>
          </w:p>
        </w:tc>
      </w:tr>
      <w:tr w:rsidR="00803A3F" w:rsidTr="004B6625">
        <w:trPr>
          <w:trHeight w:hRule="exact" w:val="307"/>
          <w:jc w:val="center"/>
        </w:trPr>
        <w:tc>
          <w:tcPr>
            <w:tcW w:w="1410" w:type="dxa"/>
            <w:shd w:val="clear" w:color="auto" w:fill="auto"/>
            <w:vAlign w:val="center"/>
          </w:tcPr>
          <w:p w:rsidR="00803A3F" w:rsidRPr="004B6625" w:rsidRDefault="00803A3F" w:rsidP="00E809E5">
            <w:pPr>
              <w:jc w:val="left"/>
              <w:rPr>
                <w:b/>
                <w:sz w:val="16"/>
                <w:szCs w:val="16"/>
              </w:rPr>
            </w:pPr>
            <w:r w:rsidRPr="004B6625">
              <w:rPr>
                <w:b/>
                <w:sz w:val="16"/>
                <w:szCs w:val="16"/>
              </w:rPr>
              <w:t>SMART</w:t>
            </w:r>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100</w:t>
            </w:r>
          </w:p>
        </w:tc>
        <w:tc>
          <w:tcPr>
            <w:tcW w:w="2835" w:type="dxa"/>
            <w:shd w:val="clear" w:color="auto" w:fill="auto"/>
            <w:vAlign w:val="bottom"/>
          </w:tcPr>
          <w:p w:rsidR="00803A3F" w:rsidRPr="004B6625" w:rsidRDefault="001A243C" w:rsidP="000F1BF4">
            <w:pPr>
              <w:jc w:val="center"/>
              <w:rPr>
                <w:color w:val="000000"/>
                <w:sz w:val="16"/>
                <w:szCs w:val="16"/>
              </w:rPr>
            </w:pPr>
            <w:r w:rsidRPr="004B6625">
              <w:rPr>
                <w:color w:val="000000"/>
                <w:sz w:val="16"/>
                <w:szCs w:val="16"/>
              </w:rPr>
              <w:t>194</w:t>
            </w:r>
          </w:p>
        </w:tc>
      </w:tr>
      <w:tr w:rsidR="00803A3F" w:rsidTr="004B6625">
        <w:trPr>
          <w:trHeight w:hRule="exact" w:val="283"/>
          <w:jc w:val="center"/>
        </w:trPr>
        <w:tc>
          <w:tcPr>
            <w:tcW w:w="1410" w:type="dxa"/>
            <w:shd w:val="clear" w:color="auto" w:fill="auto"/>
            <w:vAlign w:val="center"/>
          </w:tcPr>
          <w:p w:rsidR="00803A3F" w:rsidRPr="004B6625" w:rsidRDefault="00803A3F" w:rsidP="00E809E5">
            <w:pPr>
              <w:jc w:val="left"/>
              <w:rPr>
                <w:b/>
                <w:sz w:val="16"/>
                <w:szCs w:val="16"/>
              </w:rPr>
            </w:pPr>
            <w:proofErr w:type="spellStart"/>
            <w:r w:rsidRPr="004B6625">
              <w:rPr>
                <w:b/>
                <w:sz w:val="16"/>
                <w:szCs w:val="16"/>
              </w:rPr>
              <w:t>mPower</w:t>
            </w:r>
            <w:proofErr w:type="spellEnd"/>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180</w:t>
            </w:r>
          </w:p>
        </w:tc>
        <w:tc>
          <w:tcPr>
            <w:tcW w:w="2835" w:type="dxa"/>
            <w:shd w:val="clear" w:color="auto" w:fill="auto"/>
            <w:vAlign w:val="bottom"/>
          </w:tcPr>
          <w:p w:rsidR="00803A3F" w:rsidRPr="004B6625" w:rsidRDefault="001A243C" w:rsidP="00E809E5">
            <w:pPr>
              <w:jc w:val="center"/>
              <w:rPr>
                <w:color w:val="000000"/>
                <w:sz w:val="16"/>
                <w:szCs w:val="16"/>
              </w:rPr>
            </w:pPr>
            <w:r w:rsidRPr="004B6625">
              <w:rPr>
                <w:color w:val="000000"/>
                <w:sz w:val="16"/>
                <w:szCs w:val="16"/>
              </w:rPr>
              <w:t>108</w:t>
            </w:r>
          </w:p>
        </w:tc>
      </w:tr>
      <w:tr w:rsidR="00803A3F" w:rsidTr="004B6625">
        <w:trPr>
          <w:trHeight w:hRule="exact" w:val="273"/>
          <w:jc w:val="center"/>
        </w:trPr>
        <w:tc>
          <w:tcPr>
            <w:tcW w:w="1410" w:type="dxa"/>
            <w:shd w:val="clear" w:color="auto" w:fill="auto"/>
            <w:vAlign w:val="center"/>
          </w:tcPr>
          <w:p w:rsidR="00803A3F" w:rsidRPr="004B6625" w:rsidRDefault="00803A3F" w:rsidP="00E809E5">
            <w:pPr>
              <w:jc w:val="left"/>
              <w:rPr>
                <w:b/>
                <w:sz w:val="16"/>
                <w:szCs w:val="16"/>
              </w:rPr>
            </w:pPr>
            <w:proofErr w:type="spellStart"/>
            <w:r w:rsidRPr="004B6625">
              <w:rPr>
                <w:b/>
                <w:sz w:val="16"/>
                <w:szCs w:val="16"/>
              </w:rPr>
              <w:t>NuScale</w:t>
            </w:r>
            <w:proofErr w:type="spellEnd"/>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50</w:t>
            </w:r>
          </w:p>
        </w:tc>
        <w:tc>
          <w:tcPr>
            <w:tcW w:w="2835" w:type="dxa"/>
            <w:shd w:val="clear" w:color="auto" w:fill="auto"/>
            <w:vAlign w:val="bottom"/>
          </w:tcPr>
          <w:p w:rsidR="00803A3F" w:rsidRPr="004B6625" w:rsidRDefault="001A243C" w:rsidP="00E809E5">
            <w:pPr>
              <w:jc w:val="center"/>
              <w:rPr>
                <w:color w:val="000000"/>
                <w:sz w:val="16"/>
                <w:szCs w:val="16"/>
              </w:rPr>
            </w:pPr>
            <w:r w:rsidRPr="004B6625">
              <w:rPr>
                <w:color w:val="000000"/>
                <w:sz w:val="16"/>
                <w:szCs w:val="16"/>
              </w:rPr>
              <w:t>387</w:t>
            </w:r>
          </w:p>
        </w:tc>
      </w:tr>
      <w:tr w:rsidR="00803A3F" w:rsidTr="004B6625">
        <w:trPr>
          <w:trHeight w:hRule="exact" w:val="291"/>
          <w:jc w:val="center"/>
        </w:trPr>
        <w:tc>
          <w:tcPr>
            <w:tcW w:w="1410"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ACP100</w:t>
            </w:r>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100</w:t>
            </w:r>
          </w:p>
        </w:tc>
        <w:tc>
          <w:tcPr>
            <w:tcW w:w="2835" w:type="dxa"/>
            <w:shd w:val="clear" w:color="auto" w:fill="auto"/>
            <w:vAlign w:val="bottom"/>
          </w:tcPr>
          <w:p w:rsidR="00803A3F" w:rsidRPr="004B6625" w:rsidRDefault="001A243C" w:rsidP="00E809E5">
            <w:pPr>
              <w:jc w:val="center"/>
              <w:rPr>
                <w:color w:val="000000"/>
                <w:sz w:val="16"/>
                <w:szCs w:val="16"/>
              </w:rPr>
            </w:pPr>
            <w:r w:rsidRPr="004B6625">
              <w:rPr>
                <w:color w:val="000000"/>
                <w:sz w:val="16"/>
                <w:szCs w:val="16"/>
              </w:rPr>
              <w:t>194</w:t>
            </w:r>
          </w:p>
        </w:tc>
      </w:tr>
      <w:tr w:rsidR="00803A3F" w:rsidTr="004B6625">
        <w:trPr>
          <w:trHeight w:hRule="exact" w:val="281"/>
          <w:jc w:val="center"/>
        </w:trPr>
        <w:tc>
          <w:tcPr>
            <w:tcW w:w="1410"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CAREM-25</w:t>
            </w:r>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27</w:t>
            </w:r>
          </w:p>
        </w:tc>
        <w:tc>
          <w:tcPr>
            <w:tcW w:w="2835" w:type="dxa"/>
            <w:shd w:val="clear" w:color="auto" w:fill="auto"/>
            <w:vAlign w:val="bottom"/>
          </w:tcPr>
          <w:p w:rsidR="00803A3F" w:rsidRPr="004B6625" w:rsidRDefault="001A243C" w:rsidP="00E809E5">
            <w:pPr>
              <w:jc w:val="center"/>
              <w:rPr>
                <w:color w:val="000000"/>
                <w:sz w:val="16"/>
                <w:szCs w:val="16"/>
              </w:rPr>
            </w:pPr>
            <w:r w:rsidRPr="004B6625">
              <w:rPr>
                <w:color w:val="000000"/>
                <w:sz w:val="16"/>
                <w:szCs w:val="16"/>
              </w:rPr>
              <w:t>717</w:t>
            </w:r>
          </w:p>
        </w:tc>
      </w:tr>
      <w:tr w:rsidR="00803A3F" w:rsidTr="004B6625">
        <w:trPr>
          <w:trHeight w:hRule="exact" w:val="285"/>
          <w:jc w:val="center"/>
        </w:trPr>
        <w:tc>
          <w:tcPr>
            <w:tcW w:w="1410"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HTR-PM</w:t>
            </w:r>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250</w:t>
            </w:r>
          </w:p>
        </w:tc>
        <w:tc>
          <w:tcPr>
            <w:tcW w:w="2835" w:type="dxa"/>
            <w:shd w:val="clear" w:color="auto" w:fill="auto"/>
            <w:vAlign w:val="bottom"/>
          </w:tcPr>
          <w:p w:rsidR="00803A3F" w:rsidRPr="004B6625" w:rsidRDefault="001A243C" w:rsidP="00E809E5">
            <w:pPr>
              <w:jc w:val="center"/>
              <w:rPr>
                <w:color w:val="000000"/>
                <w:sz w:val="16"/>
                <w:szCs w:val="16"/>
              </w:rPr>
            </w:pPr>
            <w:r w:rsidRPr="004B6625">
              <w:rPr>
                <w:color w:val="000000"/>
                <w:sz w:val="16"/>
                <w:szCs w:val="16"/>
              </w:rPr>
              <w:t>77</w:t>
            </w:r>
          </w:p>
        </w:tc>
      </w:tr>
      <w:tr w:rsidR="00803A3F" w:rsidTr="004B6625">
        <w:trPr>
          <w:trHeight w:hRule="exact" w:val="275"/>
          <w:jc w:val="center"/>
        </w:trPr>
        <w:tc>
          <w:tcPr>
            <w:tcW w:w="1410" w:type="dxa"/>
            <w:shd w:val="clear" w:color="auto" w:fill="auto"/>
            <w:vAlign w:val="center"/>
          </w:tcPr>
          <w:p w:rsidR="00803A3F" w:rsidRPr="004B6625" w:rsidRDefault="00803A3F" w:rsidP="00E809E5">
            <w:pPr>
              <w:jc w:val="left"/>
              <w:rPr>
                <w:b/>
                <w:sz w:val="16"/>
                <w:szCs w:val="16"/>
                <w:lang w:val="en-GB" w:eastAsia="en-GB"/>
              </w:rPr>
            </w:pPr>
            <w:r w:rsidRPr="004B6625">
              <w:rPr>
                <w:b/>
                <w:sz w:val="16"/>
                <w:szCs w:val="16"/>
                <w:lang w:val="en-GB" w:eastAsia="en-GB"/>
              </w:rPr>
              <w:t>PFBR-500</w:t>
            </w:r>
          </w:p>
        </w:tc>
        <w:tc>
          <w:tcPr>
            <w:tcW w:w="1450" w:type="dxa"/>
            <w:shd w:val="clear" w:color="auto" w:fill="auto"/>
            <w:vAlign w:val="center"/>
          </w:tcPr>
          <w:p w:rsidR="00803A3F" w:rsidRPr="004B6625" w:rsidRDefault="00803A3F" w:rsidP="00E809E5">
            <w:pPr>
              <w:jc w:val="center"/>
              <w:rPr>
                <w:sz w:val="16"/>
                <w:szCs w:val="16"/>
              </w:rPr>
            </w:pPr>
            <w:r w:rsidRPr="004B6625">
              <w:rPr>
                <w:sz w:val="16"/>
                <w:szCs w:val="16"/>
              </w:rPr>
              <w:t>500</w:t>
            </w:r>
          </w:p>
        </w:tc>
        <w:tc>
          <w:tcPr>
            <w:tcW w:w="2835" w:type="dxa"/>
            <w:shd w:val="clear" w:color="auto" w:fill="auto"/>
            <w:vAlign w:val="bottom"/>
          </w:tcPr>
          <w:p w:rsidR="00803A3F" w:rsidRPr="004B6625" w:rsidRDefault="001A243C" w:rsidP="00E809E5">
            <w:pPr>
              <w:jc w:val="center"/>
              <w:rPr>
                <w:color w:val="000000"/>
                <w:sz w:val="16"/>
                <w:szCs w:val="16"/>
              </w:rPr>
            </w:pPr>
            <w:r w:rsidRPr="004B6625">
              <w:rPr>
                <w:color w:val="000000"/>
                <w:sz w:val="16"/>
                <w:szCs w:val="16"/>
              </w:rPr>
              <w:t>39</w:t>
            </w:r>
          </w:p>
        </w:tc>
      </w:tr>
    </w:tbl>
    <w:p w:rsidR="00803A3F" w:rsidRDefault="00803A3F" w:rsidP="00803A3F"/>
    <w:p w:rsidR="002244CB" w:rsidRDefault="007A6737" w:rsidP="007A6737">
      <w:r>
        <w:t>A</w:t>
      </w:r>
      <w:r w:rsidR="00292324">
        <w:t>s we can see from Tab. 4</w:t>
      </w:r>
      <w:r>
        <w:t xml:space="preserve"> the number of units that would have to be built to replace the capacity of coal power plants is very high. This raises a question whether this amount of units could be built from not only financial point of view but also from public acceptance or ecological point of view. </w:t>
      </w:r>
    </w:p>
    <w:p w:rsidR="008A3BE4" w:rsidRDefault="00A42288" w:rsidP="007A6737">
      <w:r>
        <w:t xml:space="preserve">Sitting issues for SMRs have not been solved yet, but due to their modular character and smaller radioactive material inventory, they can be built closer to densely populated places which may not be accepted by affected public. </w:t>
      </w:r>
      <w:r w:rsidR="008A3BE4">
        <w:t>This issue needs to be addresse</w:t>
      </w:r>
      <w:r w:rsidR="009F29CA">
        <w:t>d and will be focused on in future work</w:t>
      </w:r>
      <w:r w:rsidR="008A3BE4">
        <w:t xml:space="preserve">. </w:t>
      </w:r>
      <w:r w:rsidR="009F29CA">
        <w:t xml:space="preserve">More units may also require denser grid in particular places, which can raise some ecological opposition by disrupting landscapes etc. </w:t>
      </w:r>
    </w:p>
    <w:p w:rsidR="008A3BE4" w:rsidRDefault="008A3BE4" w:rsidP="007A6737">
      <w:r>
        <w:t xml:space="preserve">Financial issues have been excluded from this study because of their complexity and will </w:t>
      </w:r>
      <w:r w:rsidR="009F29CA">
        <w:t xml:space="preserve">also </w:t>
      </w:r>
      <w:r>
        <w:t>be of interest in one of future studies.</w:t>
      </w:r>
    </w:p>
    <w:p w:rsidR="007A6737" w:rsidRDefault="007A6737" w:rsidP="00175BB8">
      <w:pPr>
        <w:rPr>
          <w:b/>
          <w:sz w:val="24"/>
          <w:szCs w:val="24"/>
        </w:rPr>
      </w:pPr>
    </w:p>
    <w:p w:rsidR="00A44742" w:rsidRPr="00050D04" w:rsidRDefault="002244CB" w:rsidP="004B6625">
      <w:pPr>
        <w:rPr>
          <w:i/>
          <w:sz w:val="24"/>
          <w:szCs w:val="24"/>
        </w:rPr>
      </w:pPr>
      <w:r w:rsidRPr="003C75B0">
        <w:rPr>
          <w:i/>
          <w:sz w:val="24"/>
          <w:szCs w:val="24"/>
        </w:rPr>
        <w:t xml:space="preserve">Estimation of coal plants </w:t>
      </w:r>
      <w:r w:rsidR="00A44742">
        <w:rPr>
          <w:i/>
          <w:sz w:val="24"/>
          <w:szCs w:val="24"/>
        </w:rPr>
        <w:t xml:space="preserve">time scheme </w:t>
      </w:r>
      <w:r w:rsidRPr="003C75B0">
        <w:rPr>
          <w:i/>
          <w:sz w:val="24"/>
          <w:szCs w:val="24"/>
        </w:rPr>
        <w:t>shut down to comply wit</w:t>
      </w:r>
      <w:r w:rsidR="00175BB8">
        <w:rPr>
          <w:i/>
          <w:sz w:val="24"/>
          <w:szCs w:val="24"/>
        </w:rPr>
        <w:t>h Carbon Budget emission limits</w:t>
      </w:r>
    </w:p>
    <w:p w:rsidR="00C42624" w:rsidRPr="00772324" w:rsidRDefault="00C42624" w:rsidP="004B6625">
      <w:pPr>
        <w:rPr>
          <w:szCs w:val="20"/>
        </w:rPr>
      </w:pPr>
      <w:r w:rsidRPr="00772324">
        <w:rPr>
          <w:szCs w:val="20"/>
        </w:rPr>
        <w:t>Based on Carbon Budget CO</w:t>
      </w:r>
      <w:r w:rsidRPr="00772324">
        <w:rPr>
          <w:szCs w:val="20"/>
          <w:vertAlign w:val="subscript"/>
        </w:rPr>
        <w:t>2</w:t>
      </w:r>
      <w:r w:rsidRPr="00772324">
        <w:rPr>
          <w:szCs w:val="20"/>
        </w:rPr>
        <w:t xml:space="preserve"> emission limits a time scheme for coal plants shut </w:t>
      </w:r>
      <w:r w:rsidR="00B413A1" w:rsidRPr="00772324">
        <w:rPr>
          <w:szCs w:val="20"/>
        </w:rPr>
        <w:t xml:space="preserve">down </w:t>
      </w:r>
      <w:r w:rsidRPr="00772324">
        <w:rPr>
          <w:szCs w:val="20"/>
        </w:rPr>
        <w:t>was estimated. The emission limit for power plants was</w:t>
      </w:r>
      <w:r w:rsidR="007A2DA8" w:rsidRPr="00772324">
        <w:rPr>
          <w:szCs w:val="20"/>
        </w:rPr>
        <w:t xml:space="preserve"> estimated at 32</w:t>
      </w:r>
      <w:r w:rsidRPr="00772324">
        <w:rPr>
          <w:szCs w:val="20"/>
        </w:rPr>
        <w:t>% of the overall Carbon Budget emission limits</w:t>
      </w:r>
      <w:r w:rsidR="000F3C5B">
        <w:rPr>
          <w:szCs w:val="20"/>
        </w:rPr>
        <w:t>. The 32</w:t>
      </w:r>
      <w:r w:rsidRPr="00772324">
        <w:rPr>
          <w:szCs w:val="20"/>
        </w:rPr>
        <w:t>% estimate was based on historical data</w:t>
      </w:r>
      <w:r w:rsidR="00B413A1" w:rsidRPr="00772324">
        <w:rPr>
          <w:szCs w:val="20"/>
        </w:rPr>
        <w:t xml:space="preserve"> -</w:t>
      </w:r>
      <w:r w:rsidRPr="00772324">
        <w:rPr>
          <w:szCs w:val="20"/>
        </w:rPr>
        <w:t xml:space="preserve"> is it an average share of power plants CO</w:t>
      </w:r>
      <w:r w:rsidRPr="00772324">
        <w:rPr>
          <w:szCs w:val="20"/>
          <w:vertAlign w:val="subscript"/>
        </w:rPr>
        <w:t>2</w:t>
      </w:r>
      <w:r w:rsidRPr="00772324">
        <w:rPr>
          <w:szCs w:val="20"/>
        </w:rPr>
        <w:t xml:space="preserve"> </w:t>
      </w:r>
      <w:r w:rsidR="00B413A1" w:rsidRPr="00772324">
        <w:rPr>
          <w:szCs w:val="20"/>
        </w:rPr>
        <w:t xml:space="preserve">emissions </w:t>
      </w:r>
      <w:r w:rsidRPr="00772324">
        <w:rPr>
          <w:szCs w:val="20"/>
        </w:rPr>
        <w:t>on overall UK CO</w:t>
      </w:r>
      <w:r w:rsidRPr="00772324">
        <w:rPr>
          <w:szCs w:val="20"/>
          <w:vertAlign w:val="subscript"/>
        </w:rPr>
        <w:t xml:space="preserve">2 </w:t>
      </w:r>
      <w:r w:rsidRPr="00772324">
        <w:rPr>
          <w:szCs w:val="20"/>
        </w:rPr>
        <w:t>emission</w:t>
      </w:r>
      <w:r w:rsidR="00B413A1" w:rsidRPr="00772324">
        <w:rPr>
          <w:szCs w:val="20"/>
        </w:rPr>
        <w:t>s</w:t>
      </w:r>
      <w:r w:rsidRPr="00772324">
        <w:rPr>
          <w:szCs w:val="20"/>
        </w:rPr>
        <w:t xml:space="preserve"> between years 1970 and 2013</w:t>
      </w:r>
      <w:r w:rsidR="00C36AAD">
        <w:rPr>
          <w:szCs w:val="20"/>
        </w:rPr>
        <w:t xml:space="preserve"> </w:t>
      </w:r>
      <w:r w:rsidR="00C36AAD">
        <w:rPr>
          <w:rStyle w:val="selectable"/>
        </w:rPr>
        <w:t>(Department of Energy &amp; Climate Change, 2015)</w:t>
      </w:r>
      <w:r w:rsidRPr="00772324">
        <w:rPr>
          <w:szCs w:val="20"/>
        </w:rPr>
        <w:t xml:space="preserve">. </w:t>
      </w:r>
      <w:r w:rsidR="00134216" w:rsidRPr="00772324">
        <w:rPr>
          <w:szCs w:val="20"/>
        </w:rPr>
        <w:t>The option of reduction of CO</w:t>
      </w:r>
      <w:r w:rsidR="00134216" w:rsidRPr="00772324">
        <w:rPr>
          <w:szCs w:val="20"/>
          <w:vertAlign w:val="subscript"/>
        </w:rPr>
        <w:t>2</w:t>
      </w:r>
      <w:r w:rsidR="00134216" w:rsidRPr="00772324">
        <w:rPr>
          <w:szCs w:val="20"/>
        </w:rPr>
        <w:t xml:space="preserve"> emission from a different source was excluded from this study.</w:t>
      </w:r>
    </w:p>
    <w:p w:rsidR="00856630" w:rsidRDefault="00A44742" w:rsidP="004B6625">
      <w:pPr>
        <w:rPr>
          <w:szCs w:val="20"/>
        </w:rPr>
      </w:pPr>
      <w:r>
        <w:rPr>
          <w:szCs w:val="20"/>
        </w:rPr>
        <w:t>The</w:t>
      </w:r>
      <w:r w:rsidR="00ED44EB" w:rsidRPr="00772324">
        <w:rPr>
          <w:szCs w:val="20"/>
        </w:rPr>
        <w:t xml:space="preserve"> </w:t>
      </w:r>
      <w:r>
        <w:rPr>
          <w:szCs w:val="20"/>
        </w:rPr>
        <w:t>scenario</w:t>
      </w:r>
      <w:r w:rsidR="00134216" w:rsidRPr="00772324">
        <w:rPr>
          <w:szCs w:val="20"/>
        </w:rPr>
        <w:t xml:space="preserve"> of Carbon Budget emission limits development </w:t>
      </w:r>
      <w:r w:rsidR="00F24BD1" w:rsidRPr="00772324">
        <w:rPr>
          <w:szCs w:val="20"/>
        </w:rPr>
        <w:t xml:space="preserve">is </w:t>
      </w:r>
      <w:r w:rsidR="00AC224B" w:rsidRPr="00772324">
        <w:rPr>
          <w:szCs w:val="20"/>
        </w:rPr>
        <w:t>a linear</w:t>
      </w:r>
      <w:r w:rsidR="004B6625">
        <w:rPr>
          <w:szCs w:val="20"/>
        </w:rPr>
        <w:t xml:space="preserve"> prediction </w:t>
      </w:r>
      <w:r w:rsidR="00AC224B" w:rsidRPr="00772324">
        <w:rPr>
          <w:szCs w:val="20"/>
        </w:rPr>
        <w:t xml:space="preserve">model based on </w:t>
      </w:r>
      <w:r w:rsidR="00F24BD1" w:rsidRPr="00772324">
        <w:rPr>
          <w:szCs w:val="20"/>
        </w:rPr>
        <w:t xml:space="preserve">the </w:t>
      </w:r>
      <w:r w:rsidR="00AC224B" w:rsidRPr="00772324">
        <w:rPr>
          <w:szCs w:val="20"/>
        </w:rPr>
        <w:t>last value of the Carbon Budget power plant share emission limit (</w:t>
      </w:r>
      <w:r w:rsidR="00F24BD1" w:rsidRPr="00772324">
        <w:rPr>
          <w:szCs w:val="20"/>
        </w:rPr>
        <w:t xml:space="preserve">in </w:t>
      </w:r>
      <w:r w:rsidR="00AC224B" w:rsidRPr="00772324">
        <w:rPr>
          <w:szCs w:val="20"/>
        </w:rPr>
        <w:t>2027) and the targeted value for 2050 (80% of the 1990 CO</w:t>
      </w:r>
      <w:r w:rsidR="00AC224B" w:rsidRPr="00772324">
        <w:rPr>
          <w:szCs w:val="20"/>
          <w:vertAlign w:val="subscript"/>
        </w:rPr>
        <w:t>2</w:t>
      </w:r>
      <w:r w:rsidR="00AC224B" w:rsidRPr="00772324">
        <w:rPr>
          <w:szCs w:val="20"/>
        </w:rPr>
        <w:t xml:space="preserve"> levels). </w:t>
      </w:r>
    </w:p>
    <w:p w:rsidR="007A63D0" w:rsidRPr="00772324" w:rsidRDefault="007A63D0" w:rsidP="004B6625">
      <w:pPr>
        <w:rPr>
          <w:szCs w:val="20"/>
        </w:rPr>
      </w:pPr>
    </w:p>
    <w:p w:rsidR="00DB0ACA" w:rsidRDefault="00DB0ACA" w:rsidP="00DB0ACA">
      <w:pPr>
        <w:spacing w:line="360" w:lineRule="auto"/>
        <w:jc w:val="center"/>
        <w:rPr>
          <w:b/>
          <w:szCs w:val="20"/>
        </w:rPr>
      </w:pPr>
      <w:r>
        <w:rPr>
          <w:b/>
          <w:noProof/>
          <w:szCs w:val="20"/>
          <w:lang w:val="en-GB" w:eastAsia="en-GB"/>
        </w:rPr>
        <w:drawing>
          <wp:inline distT="0" distB="0" distL="0" distR="0" wp14:anchorId="2366B1F7" wp14:editId="35C60C39">
            <wp:extent cx="5943600" cy="2704672"/>
            <wp:effectExtent l="19050" t="19050" r="19050" b="19685"/>
            <wp:docPr id="18" name="Picture 18" descr="M:\MRes project\Coalplantsshutdow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Res project\Coalplantsshutdownlinea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35" r="6886"/>
                    <a:stretch/>
                  </pic:blipFill>
                  <pic:spPr bwMode="auto">
                    <a:xfrm>
                      <a:off x="0" y="0"/>
                      <a:ext cx="5944500" cy="270508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56630" w:rsidRDefault="00AC224B" w:rsidP="00475C56">
      <w:pPr>
        <w:spacing w:line="360" w:lineRule="auto"/>
        <w:jc w:val="center"/>
        <w:rPr>
          <w:szCs w:val="20"/>
        </w:rPr>
      </w:pPr>
      <w:proofErr w:type="gramStart"/>
      <w:r w:rsidRPr="003C75B0">
        <w:rPr>
          <w:b/>
          <w:szCs w:val="20"/>
        </w:rPr>
        <w:t xml:space="preserve">Fig. </w:t>
      </w:r>
      <w:r w:rsidR="001260DA" w:rsidRPr="003C75B0">
        <w:rPr>
          <w:b/>
          <w:szCs w:val="20"/>
        </w:rPr>
        <w:t>2</w:t>
      </w:r>
      <w:r w:rsidR="00856630" w:rsidRPr="003C75B0">
        <w:rPr>
          <w:b/>
          <w:szCs w:val="20"/>
        </w:rPr>
        <w:t>.</w:t>
      </w:r>
      <w:proofErr w:type="gramEnd"/>
      <w:r w:rsidR="00856630" w:rsidRPr="00772324">
        <w:rPr>
          <w:b/>
          <w:szCs w:val="20"/>
        </w:rPr>
        <w:t xml:space="preserve"> </w:t>
      </w:r>
      <w:r w:rsidR="00856630" w:rsidRPr="003C75B0">
        <w:rPr>
          <w:szCs w:val="20"/>
        </w:rPr>
        <w:t>Time scheme of coal power plants shut down to comply with</w:t>
      </w:r>
      <w:r w:rsidR="00CE3348">
        <w:rPr>
          <w:szCs w:val="20"/>
        </w:rPr>
        <w:t xml:space="preserve"> Carbon Budget emission limits.</w:t>
      </w:r>
    </w:p>
    <w:p w:rsidR="00CE3348" w:rsidRPr="00772324" w:rsidRDefault="00CE3348" w:rsidP="00475C56">
      <w:pPr>
        <w:spacing w:line="360" w:lineRule="auto"/>
        <w:jc w:val="center"/>
        <w:rPr>
          <w:b/>
          <w:szCs w:val="20"/>
        </w:rPr>
      </w:pPr>
    </w:p>
    <w:p w:rsidR="00265194" w:rsidRDefault="00AC224B" w:rsidP="00A44742">
      <w:pPr>
        <w:rPr>
          <w:szCs w:val="20"/>
        </w:rPr>
      </w:pPr>
      <w:r w:rsidRPr="000F3C5B">
        <w:rPr>
          <w:szCs w:val="20"/>
        </w:rPr>
        <w:t xml:space="preserve">In </w:t>
      </w:r>
      <w:r w:rsidR="009948D7">
        <w:rPr>
          <w:szCs w:val="20"/>
        </w:rPr>
        <w:t>Fig.</w:t>
      </w:r>
      <w:r w:rsidR="00285476">
        <w:rPr>
          <w:szCs w:val="20"/>
        </w:rPr>
        <w:t xml:space="preserve"> 2</w:t>
      </w:r>
      <w:r w:rsidRPr="00772324">
        <w:rPr>
          <w:b/>
          <w:szCs w:val="20"/>
        </w:rPr>
        <w:t xml:space="preserve"> </w:t>
      </w:r>
      <w:r w:rsidRPr="00772324">
        <w:rPr>
          <w:szCs w:val="20"/>
        </w:rPr>
        <w:t>we can see the estimated time frame</w:t>
      </w:r>
      <w:r w:rsidR="009948D7">
        <w:rPr>
          <w:szCs w:val="20"/>
        </w:rPr>
        <w:t xml:space="preserve"> of coal power plants shut down according to emission limits of chosen </w:t>
      </w:r>
      <w:r w:rsidR="00CE3348">
        <w:rPr>
          <w:szCs w:val="20"/>
        </w:rPr>
        <w:t>model</w:t>
      </w:r>
      <w:r w:rsidR="009948D7">
        <w:rPr>
          <w:szCs w:val="20"/>
        </w:rPr>
        <w:t xml:space="preserve">. </w:t>
      </w:r>
      <w:r w:rsidRPr="00772324">
        <w:rPr>
          <w:szCs w:val="20"/>
        </w:rPr>
        <w:t xml:space="preserve">In this </w:t>
      </w:r>
      <w:r w:rsidR="00CE3348">
        <w:rPr>
          <w:szCs w:val="20"/>
        </w:rPr>
        <w:t xml:space="preserve">graph </w:t>
      </w:r>
      <w:r w:rsidRPr="00772324">
        <w:rPr>
          <w:szCs w:val="20"/>
        </w:rPr>
        <w:t>we can see gradual scheme</w:t>
      </w:r>
      <w:r w:rsidR="00FA07E5" w:rsidRPr="00772324">
        <w:rPr>
          <w:szCs w:val="20"/>
        </w:rPr>
        <w:t xml:space="preserve"> of coal plants shut down due</w:t>
      </w:r>
      <w:r w:rsidR="00966D11">
        <w:rPr>
          <w:szCs w:val="20"/>
        </w:rPr>
        <w:t xml:space="preserve"> to</w:t>
      </w:r>
      <w:r w:rsidR="00FA07E5" w:rsidRPr="00772324">
        <w:rPr>
          <w:szCs w:val="20"/>
        </w:rPr>
        <w:t xml:space="preserve"> the linear properties of the model. We can see from the figure that shutting down all currently operating </w:t>
      </w:r>
      <w:r w:rsidR="00F24BD1" w:rsidRPr="00772324">
        <w:rPr>
          <w:szCs w:val="20"/>
        </w:rPr>
        <w:t>coal</w:t>
      </w:r>
      <w:r w:rsidR="00FA07E5" w:rsidRPr="00772324">
        <w:rPr>
          <w:szCs w:val="20"/>
        </w:rPr>
        <w:t xml:space="preserve"> power plants would be enough to comply with the strict Carbon Budget target for 2050 which for the power plants share is estimated to be 37.1 MtCO</w:t>
      </w:r>
      <w:r w:rsidR="00FA07E5" w:rsidRPr="00772324">
        <w:rPr>
          <w:szCs w:val="20"/>
          <w:vertAlign w:val="subscript"/>
        </w:rPr>
        <w:t>2</w:t>
      </w:r>
      <w:r w:rsidR="00FA07E5" w:rsidRPr="00772324">
        <w:rPr>
          <w:szCs w:val="20"/>
        </w:rPr>
        <w:t xml:space="preserve">/year. </w:t>
      </w:r>
    </w:p>
    <w:p w:rsidR="00265194" w:rsidRDefault="00265194" w:rsidP="00A44742">
      <w:pPr>
        <w:rPr>
          <w:szCs w:val="20"/>
        </w:rPr>
      </w:pPr>
    </w:p>
    <w:p w:rsidR="006256EB" w:rsidRDefault="006256EB" w:rsidP="00A44742">
      <w:pPr>
        <w:rPr>
          <w:szCs w:val="20"/>
        </w:rPr>
      </w:pPr>
      <w:r w:rsidRPr="00772324">
        <w:rPr>
          <w:szCs w:val="20"/>
        </w:rPr>
        <w:t xml:space="preserve">Uncertainty in </w:t>
      </w:r>
      <w:r w:rsidR="00C91B5C">
        <w:rPr>
          <w:szCs w:val="20"/>
        </w:rPr>
        <w:t xml:space="preserve">the prediction scenario </w:t>
      </w:r>
      <w:r w:rsidRPr="00772324">
        <w:rPr>
          <w:szCs w:val="20"/>
        </w:rPr>
        <w:t xml:space="preserve">has to be taken into account as the Carbon Budget share for power plants </w:t>
      </w:r>
      <w:r w:rsidR="00827547">
        <w:rPr>
          <w:szCs w:val="20"/>
        </w:rPr>
        <w:t>emissions was estimated to be 32</w:t>
      </w:r>
      <w:r w:rsidRPr="00772324">
        <w:rPr>
          <w:szCs w:val="20"/>
        </w:rPr>
        <w:t xml:space="preserve">% </w:t>
      </w:r>
      <w:r w:rsidR="00827547">
        <w:rPr>
          <w:szCs w:val="20"/>
        </w:rPr>
        <w:t xml:space="preserve">as the mean of historical share of power plants emissions on overall UK emissions. The </w:t>
      </w:r>
      <w:r w:rsidRPr="00772324">
        <w:rPr>
          <w:szCs w:val="20"/>
        </w:rPr>
        <w:t>historical share varies between</w:t>
      </w:r>
      <w:r w:rsidR="00827547">
        <w:rPr>
          <w:szCs w:val="20"/>
        </w:rPr>
        <w:t xml:space="preserve"> 26% and 35% </w:t>
      </w:r>
      <w:r w:rsidRPr="00827547">
        <w:rPr>
          <w:szCs w:val="20"/>
        </w:rPr>
        <w:t>with a standard deviation</w:t>
      </w:r>
      <w:r w:rsidR="00827547" w:rsidRPr="00827547">
        <w:rPr>
          <w:szCs w:val="20"/>
        </w:rPr>
        <w:t xml:space="preserve"> of these values of 2.4</w:t>
      </w:r>
      <w:r w:rsidRPr="00827547">
        <w:rPr>
          <w:szCs w:val="20"/>
        </w:rPr>
        <w:t xml:space="preserve">. </w:t>
      </w:r>
    </w:p>
    <w:p w:rsidR="003C75B0" w:rsidRDefault="003C75B0" w:rsidP="003C75B0">
      <w:pPr>
        <w:rPr>
          <w:szCs w:val="20"/>
        </w:rPr>
      </w:pPr>
    </w:p>
    <w:p w:rsidR="00292324" w:rsidRDefault="00A878D9" w:rsidP="00292324">
      <w:pPr>
        <w:spacing w:after="200" w:line="276" w:lineRule="auto"/>
        <w:jc w:val="center"/>
        <w:rPr>
          <w:szCs w:val="20"/>
        </w:rPr>
      </w:pPr>
      <w:r>
        <w:rPr>
          <w:noProof/>
          <w:szCs w:val="20"/>
          <w:lang w:val="en-GB" w:eastAsia="en-GB"/>
        </w:rPr>
        <w:drawing>
          <wp:inline distT="0" distB="0" distL="0" distR="0" wp14:anchorId="6E253B55" wp14:editId="25622C3C">
            <wp:extent cx="5172501" cy="2364811"/>
            <wp:effectExtent l="19050" t="19050" r="28575" b="16510"/>
            <wp:docPr id="16" name="Picture 16" descr="M:\MRes project\PP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Res project\PPshar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39" r="7033"/>
                    <a:stretch/>
                  </pic:blipFill>
                  <pic:spPr bwMode="auto">
                    <a:xfrm>
                      <a:off x="0" y="0"/>
                      <a:ext cx="5162164" cy="23600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82488" w:rsidRDefault="004F23BA" w:rsidP="00292324">
      <w:pPr>
        <w:spacing w:line="360" w:lineRule="auto"/>
        <w:jc w:val="center"/>
        <w:rPr>
          <w:szCs w:val="20"/>
        </w:rPr>
      </w:pPr>
      <w:proofErr w:type="gramStart"/>
      <w:r>
        <w:rPr>
          <w:b/>
          <w:szCs w:val="20"/>
        </w:rPr>
        <w:t>Fig. 3</w:t>
      </w:r>
      <w:r w:rsidR="001260DA" w:rsidRPr="003C75B0">
        <w:rPr>
          <w:b/>
          <w:szCs w:val="20"/>
        </w:rPr>
        <w:t>.</w:t>
      </w:r>
      <w:proofErr w:type="gramEnd"/>
      <w:r w:rsidR="001260DA" w:rsidRPr="003C75B0">
        <w:rPr>
          <w:b/>
          <w:szCs w:val="20"/>
        </w:rPr>
        <w:t xml:space="preserve"> </w:t>
      </w:r>
      <w:r w:rsidR="001260DA" w:rsidRPr="003C75B0">
        <w:rPr>
          <w:szCs w:val="20"/>
        </w:rPr>
        <w:t xml:space="preserve">Uncertainty in </w:t>
      </w:r>
      <w:r w:rsidR="00C91B5C">
        <w:rPr>
          <w:szCs w:val="20"/>
        </w:rPr>
        <w:t xml:space="preserve">the </w:t>
      </w:r>
      <w:r w:rsidR="00A878D9" w:rsidRPr="003C75B0">
        <w:rPr>
          <w:szCs w:val="20"/>
        </w:rPr>
        <w:t>share of power plants CO</w:t>
      </w:r>
      <w:r w:rsidR="00A878D9" w:rsidRPr="00F648D1">
        <w:rPr>
          <w:szCs w:val="20"/>
          <w:vertAlign w:val="subscript"/>
        </w:rPr>
        <w:t xml:space="preserve">2 </w:t>
      </w:r>
      <w:r w:rsidR="00F648D1">
        <w:rPr>
          <w:szCs w:val="20"/>
        </w:rPr>
        <w:t xml:space="preserve">Carbon Budget </w:t>
      </w:r>
      <w:r w:rsidR="00A878D9" w:rsidRPr="003C75B0">
        <w:rPr>
          <w:szCs w:val="20"/>
        </w:rPr>
        <w:t>emiss</w:t>
      </w:r>
      <w:r w:rsidR="00082488">
        <w:rPr>
          <w:szCs w:val="20"/>
        </w:rPr>
        <w:t>ions on overall CO</w:t>
      </w:r>
      <w:r w:rsidR="00082488" w:rsidRPr="00F648D1">
        <w:rPr>
          <w:szCs w:val="20"/>
          <w:vertAlign w:val="subscript"/>
        </w:rPr>
        <w:t>2</w:t>
      </w:r>
      <w:r w:rsidR="00082488">
        <w:rPr>
          <w:szCs w:val="20"/>
        </w:rPr>
        <w:t xml:space="preserve"> </w:t>
      </w:r>
      <w:r w:rsidR="00F648D1">
        <w:rPr>
          <w:szCs w:val="20"/>
        </w:rPr>
        <w:t xml:space="preserve">Carbon Budget </w:t>
      </w:r>
      <w:r w:rsidR="00082488">
        <w:rPr>
          <w:szCs w:val="20"/>
        </w:rPr>
        <w:t xml:space="preserve">emissions. </w:t>
      </w:r>
    </w:p>
    <w:p w:rsidR="00292324" w:rsidRPr="00292324" w:rsidRDefault="00292324" w:rsidP="00292324">
      <w:pPr>
        <w:spacing w:line="360" w:lineRule="auto"/>
        <w:jc w:val="center"/>
        <w:rPr>
          <w:szCs w:val="20"/>
        </w:rPr>
      </w:pPr>
    </w:p>
    <w:p w:rsidR="00082488" w:rsidRDefault="00082488" w:rsidP="00967EB1">
      <w:pPr>
        <w:spacing w:line="360" w:lineRule="auto"/>
        <w:jc w:val="center"/>
        <w:rPr>
          <w:b/>
          <w:szCs w:val="20"/>
        </w:rPr>
      </w:pPr>
      <w:r>
        <w:rPr>
          <w:b/>
          <w:noProof/>
          <w:szCs w:val="20"/>
          <w:lang w:val="en-GB" w:eastAsia="en-GB"/>
        </w:rPr>
        <w:drawing>
          <wp:inline distT="0" distB="0" distL="0" distR="0">
            <wp:extent cx="5503587" cy="2569653"/>
            <wp:effectExtent l="19050" t="19050" r="20955" b="21590"/>
            <wp:docPr id="22" name="Picture 22" descr="M:\matlab64\Boundslin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atlab64\Boundslinear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87" r="7903"/>
                    <a:stretch/>
                  </pic:blipFill>
                  <pic:spPr bwMode="auto">
                    <a:xfrm>
                      <a:off x="0" y="0"/>
                      <a:ext cx="5498913" cy="25674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67EB1" w:rsidRDefault="00967EB1" w:rsidP="00967EB1">
      <w:pPr>
        <w:spacing w:line="360" w:lineRule="auto"/>
        <w:jc w:val="center"/>
        <w:rPr>
          <w:szCs w:val="20"/>
        </w:rPr>
      </w:pPr>
      <w:proofErr w:type="gramStart"/>
      <w:r w:rsidRPr="003C75B0">
        <w:rPr>
          <w:b/>
          <w:szCs w:val="20"/>
        </w:rPr>
        <w:t xml:space="preserve">Fig. </w:t>
      </w:r>
      <w:r w:rsidR="004F23BA">
        <w:rPr>
          <w:b/>
          <w:szCs w:val="20"/>
        </w:rPr>
        <w:t>4</w:t>
      </w:r>
      <w:r w:rsidRPr="003C75B0">
        <w:rPr>
          <w:b/>
          <w:szCs w:val="20"/>
        </w:rPr>
        <w:t>.</w:t>
      </w:r>
      <w:proofErr w:type="gramEnd"/>
      <w:r w:rsidRPr="003C75B0">
        <w:rPr>
          <w:b/>
          <w:szCs w:val="20"/>
        </w:rPr>
        <w:t xml:space="preserve"> </w:t>
      </w:r>
      <w:proofErr w:type="gramStart"/>
      <w:r w:rsidRPr="003C75B0">
        <w:rPr>
          <w:szCs w:val="20"/>
        </w:rPr>
        <w:t>Uncertainty</w:t>
      </w:r>
      <w:r w:rsidR="00E27F58" w:rsidRPr="003C75B0">
        <w:rPr>
          <w:szCs w:val="20"/>
        </w:rPr>
        <w:t xml:space="preserve"> and observation bounds</w:t>
      </w:r>
      <w:r w:rsidRPr="003C75B0">
        <w:rPr>
          <w:szCs w:val="20"/>
        </w:rPr>
        <w:t xml:space="preserve"> </w:t>
      </w:r>
      <w:r w:rsidR="00174112" w:rsidRPr="003C75B0">
        <w:rPr>
          <w:szCs w:val="20"/>
        </w:rPr>
        <w:t xml:space="preserve">in </w:t>
      </w:r>
      <w:r w:rsidR="00207F99">
        <w:rPr>
          <w:szCs w:val="20"/>
        </w:rPr>
        <w:t>linear prediction model.</w:t>
      </w:r>
      <w:proofErr w:type="gramEnd"/>
    </w:p>
    <w:p w:rsidR="00CE3348" w:rsidRPr="003C75B0" w:rsidRDefault="00CE3348" w:rsidP="00967EB1">
      <w:pPr>
        <w:spacing w:line="360" w:lineRule="auto"/>
        <w:jc w:val="center"/>
        <w:rPr>
          <w:b/>
          <w:szCs w:val="20"/>
        </w:rPr>
      </w:pPr>
    </w:p>
    <w:p w:rsidR="003C75B0" w:rsidRDefault="00C91B5C" w:rsidP="003C75B0">
      <w:pPr>
        <w:rPr>
          <w:color w:val="000000" w:themeColor="text1"/>
        </w:rPr>
      </w:pPr>
      <w:r>
        <w:rPr>
          <w:szCs w:val="20"/>
        </w:rPr>
        <w:t>Fig.</w:t>
      </w:r>
      <w:r w:rsidR="00967EB1">
        <w:rPr>
          <w:szCs w:val="20"/>
        </w:rPr>
        <w:t xml:space="preserve"> 4 shows the observation bounds for linear curve fitted to</w:t>
      </w:r>
      <w:r w:rsidRPr="00C91B5C">
        <w:rPr>
          <w:szCs w:val="20"/>
        </w:rPr>
        <w:t xml:space="preserve"> </w:t>
      </w:r>
      <w:r>
        <w:rPr>
          <w:szCs w:val="20"/>
        </w:rPr>
        <w:t>linear prediction model scenario</w:t>
      </w:r>
      <w:r w:rsidR="00967EB1">
        <w:rPr>
          <w:szCs w:val="20"/>
        </w:rPr>
        <w:t xml:space="preserve">. </w:t>
      </w:r>
      <w:r w:rsidR="00583AD3" w:rsidRPr="00DE19C5">
        <w:rPr>
          <w:color w:val="000000" w:themeColor="text1"/>
        </w:rPr>
        <w:t xml:space="preserve">Observation </w:t>
      </w:r>
      <w:r w:rsidR="00DE19C5" w:rsidRPr="00DE19C5">
        <w:rPr>
          <w:color w:val="000000" w:themeColor="text1"/>
        </w:rPr>
        <w:t xml:space="preserve">simultaneous </w:t>
      </w:r>
      <w:r w:rsidR="00583AD3" w:rsidRPr="00DE19C5">
        <w:rPr>
          <w:color w:val="000000" w:themeColor="text1"/>
        </w:rPr>
        <w:t xml:space="preserve">bounds </w:t>
      </w:r>
      <w:r w:rsidR="00DE19C5" w:rsidRPr="00DE19C5">
        <w:rPr>
          <w:color w:val="000000" w:themeColor="text1"/>
        </w:rPr>
        <w:t xml:space="preserve">were chosen for this model as they </w:t>
      </w:r>
      <w:r w:rsidR="00583AD3" w:rsidRPr="00DE19C5">
        <w:rPr>
          <w:color w:val="000000" w:themeColor="text1"/>
        </w:rPr>
        <w:t>measure the uncertainty of predicting the fitted curve plus the random variation in the new observation</w:t>
      </w:r>
      <w:r w:rsidR="00DE19C5" w:rsidRPr="00DE19C5">
        <w:rPr>
          <w:color w:val="000000" w:themeColor="text1"/>
        </w:rPr>
        <w:t xml:space="preserve"> and are for all elements of x</w:t>
      </w:r>
      <w:r w:rsidR="00583AD3" w:rsidRPr="00DE19C5">
        <w:rPr>
          <w:color w:val="000000" w:themeColor="text1"/>
        </w:rPr>
        <w:t xml:space="preserve">. </w:t>
      </w:r>
    </w:p>
    <w:p w:rsidR="007A63D0" w:rsidRDefault="007A63D0" w:rsidP="008371B4">
      <w:pPr>
        <w:spacing w:after="200" w:line="276" w:lineRule="auto"/>
        <w:rPr>
          <w:b/>
          <w:sz w:val="24"/>
          <w:szCs w:val="24"/>
        </w:rPr>
      </w:pPr>
      <w:bookmarkStart w:id="0" w:name="_GoBack"/>
      <w:bookmarkEnd w:id="0"/>
    </w:p>
    <w:p w:rsidR="00FF5592" w:rsidRPr="00705063" w:rsidRDefault="00FF5592" w:rsidP="008371B4">
      <w:pPr>
        <w:spacing w:after="200" w:line="276" w:lineRule="auto"/>
        <w:rPr>
          <w:sz w:val="24"/>
          <w:szCs w:val="24"/>
        </w:rPr>
      </w:pPr>
      <w:r w:rsidRPr="00705063">
        <w:rPr>
          <w:b/>
          <w:sz w:val="24"/>
          <w:szCs w:val="24"/>
        </w:rPr>
        <w:t>Small Modular reactors</w:t>
      </w:r>
    </w:p>
    <w:p w:rsidR="008371B4" w:rsidRPr="00772324" w:rsidRDefault="008371B4" w:rsidP="003C75B0">
      <w:pPr>
        <w:rPr>
          <w:szCs w:val="20"/>
        </w:rPr>
      </w:pPr>
      <w:r w:rsidRPr="00772324">
        <w:rPr>
          <w:szCs w:val="20"/>
        </w:rPr>
        <w:t xml:space="preserve">The next part of the study aims to show the time frame and </w:t>
      </w:r>
      <w:r w:rsidR="00CF11FF" w:rsidRPr="00772324">
        <w:rPr>
          <w:szCs w:val="20"/>
        </w:rPr>
        <w:t xml:space="preserve">a </w:t>
      </w:r>
      <w:r w:rsidRPr="00772324">
        <w:rPr>
          <w:szCs w:val="20"/>
        </w:rPr>
        <w:t xml:space="preserve">number of </w:t>
      </w:r>
      <w:r w:rsidR="00CF11FF" w:rsidRPr="00772324">
        <w:rPr>
          <w:szCs w:val="20"/>
        </w:rPr>
        <w:t>SMR units</w:t>
      </w:r>
      <w:r w:rsidR="00244504">
        <w:rPr>
          <w:szCs w:val="20"/>
        </w:rPr>
        <w:t xml:space="preserve"> (considering only designs in n</w:t>
      </w:r>
      <w:r w:rsidRPr="00772324">
        <w:rPr>
          <w:szCs w:val="20"/>
        </w:rPr>
        <w:t>ear-term deployment or designs already unde</w:t>
      </w:r>
      <w:r w:rsidR="004B506B">
        <w:rPr>
          <w:szCs w:val="20"/>
        </w:rPr>
        <w:t>r construction stated in Tab. 3</w:t>
      </w:r>
      <w:r w:rsidRPr="00772324">
        <w:rPr>
          <w:szCs w:val="20"/>
        </w:rPr>
        <w:t>.) should be built in order to replace the capacity of potentially shut down coal plants to comply with Carbon Budget emissions.</w:t>
      </w:r>
    </w:p>
    <w:p w:rsidR="00082488" w:rsidRDefault="008371B4" w:rsidP="0054229B">
      <w:pPr>
        <w:rPr>
          <w:szCs w:val="20"/>
        </w:rPr>
      </w:pPr>
      <w:r w:rsidRPr="00772324">
        <w:rPr>
          <w:szCs w:val="20"/>
        </w:rPr>
        <w:t xml:space="preserve">The graphs shows the time frame </w:t>
      </w:r>
      <w:r w:rsidR="00EB661C" w:rsidRPr="00772324">
        <w:rPr>
          <w:szCs w:val="20"/>
        </w:rPr>
        <w:t>of construct</w:t>
      </w:r>
      <w:r w:rsidR="00966D11">
        <w:rPr>
          <w:szCs w:val="20"/>
        </w:rPr>
        <w:t>ion commencement as stated by Ro</w:t>
      </w:r>
      <w:r w:rsidR="00A06C52">
        <w:rPr>
          <w:szCs w:val="20"/>
        </w:rPr>
        <w:t>thwell and Ganda (2014)</w:t>
      </w:r>
      <w:r w:rsidR="00EB661C" w:rsidRPr="00772324">
        <w:rPr>
          <w:szCs w:val="20"/>
        </w:rPr>
        <w:t>, with an estimated construction lead mean time (for water-cooled designs) of 2.9</w:t>
      </w:r>
      <w:r w:rsidR="00860C88" w:rsidRPr="00772324">
        <w:rPr>
          <w:szCs w:val="20"/>
        </w:rPr>
        <w:t xml:space="preserve"> </w:t>
      </w:r>
      <w:r w:rsidR="00CF11FF" w:rsidRPr="00772324">
        <w:rPr>
          <w:szCs w:val="20"/>
        </w:rPr>
        <w:t xml:space="preserve">years </w:t>
      </w:r>
      <w:r w:rsidR="00860C88" w:rsidRPr="00772324">
        <w:rPr>
          <w:szCs w:val="20"/>
        </w:rPr>
        <w:t xml:space="preserve">with 95% confidence interval between 4 years and 2.2 years fitted to lognormal density.  </w:t>
      </w:r>
    </w:p>
    <w:p w:rsidR="0054229B" w:rsidRPr="0054229B" w:rsidRDefault="0054229B" w:rsidP="0054229B">
      <w:pPr>
        <w:rPr>
          <w:szCs w:val="20"/>
        </w:rPr>
      </w:pPr>
    </w:p>
    <w:p w:rsidR="00082488" w:rsidRDefault="00082488" w:rsidP="00082488">
      <w:pPr>
        <w:spacing w:after="200" w:line="276" w:lineRule="auto"/>
        <w:jc w:val="center"/>
        <w:rPr>
          <w:b/>
          <w:szCs w:val="20"/>
        </w:rPr>
      </w:pPr>
      <w:r>
        <w:rPr>
          <w:b/>
          <w:noProof/>
          <w:szCs w:val="20"/>
          <w:lang w:val="en-GB" w:eastAsia="en-GB"/>
        </w:rPr>
        <w:drawing>
          <wp:inline distT="0" distB="0" distL="0" distR="0" wp14:anchorId="533CB98C" wp14:editId="5BA70CD8">
            <wp:extent cx="5857336" cy="2691486"/>
            <wp:effectExtent l="19050" t="19050" r="10160" b="13970"/>
            <wp:docPr id="26" name="Picture 26" descr="M:\MRes project\SMAR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Res project\SMART1a.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37" r="7003"/>
                    <a:stretch/>
                  </pic:blipFill>
                  <pic:spPr bwMode="auto">
                    <a:xfrm>
                      <a:off x="0" y="0"/>
                      <a:ext cx="5851601" cy="268885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371B4" w:rsidRPr="003C75B0" w:rsidRDefault="008D79B7" w:rsidP="00B74B93">
      <w:pPr>
        <w:spacing w:after="200" w:line="276" w:lineRule="auto"/>
        <w:jc w:val="center"/>
        <w:rPr>
          <w:b/>
          <w:szCs w:val="20"/>
        </w:rPr>
      </w:pPr>
      <w:proofErr w:type="gramStart"/>
      <w:r>
        <w:rPr>
          <w:b/>
          <w:szCs w:val="20"/>
        </w:rPr>
        <w:t>Fig. 5</w:t>
      </w:r>
      <w:r w:rsidR="00B74B93" w:rsidRPr="003C75B0">
        <w:rPr>
          <w:b/>
          <w:szCs w:val="20"/>
        </w:rPr>
        <w:t>.</w:t>
      </w:r>
      <w:proofErr w:type="gramEnd"/>
      <w:r w:rsidR="00B74B93" w:rsidRPr="003C75B0">
        <w:rPr>
          <w:b/>
          <w:szCs w:val="20"/>
        </w:rPr>
        <w:t xml:space="preserve"> </w:t>
      </w:r>
      <w:proofErr w:type="gramStart"/>
      <w:r w:rsidR="00B74B93" w:rsidRPr="003C75B0">
        <w:rPr>
          <w:szCs w:val="20"/>
        </w:rPr>
        <w:t>Time scheme and number of units of SMART SMR</w:t>
      </w:r>
      <w:r w:rsidR="0054229B">
        <w:rPr>
          <w:szCs w:val="20"/>
        </w:rPr>
        <w:t>s units</w:t>
      </w:r>
      <w:r w:rsidR="00B74B93" w:rsidRPr="003C75B0">
        <w:rPr>
          <w:szCs w:val="20"/>
        </w:rPr>
        <w:t xml:space="preserve"> to be built to replace the capacity of shut down coal plants</w:t>
      </w:r>
      <w:r w:rsidR="00F84299">
        <w:rPr>
          <w:szCs w:val="20"/>
        </w:rPr>
        <w:t>.</w:t>
      </w:r>
      <w:proofErr w:type="gramEnd"/>
    </w:p>
    <w:p w:rsidR="00F51E7D" w:rsidRDefault="00F84299" w:rsidP="00C0487E">
      <w:pPr>
        <w:rPr>
          <w:szCs w:val="20"/>
        </w:rPr>
      </w:pPr>
      <w:r>
        <w:rPr>
          <w:szCs w:val="20"/>
        </w:rPr>
        <w:t>From Fig.</w:t>
      </w:r>
      <w:r w:rsidR="006421EF">
        <w:rPr>
          <w:szCs w:val="20"/>
        </w:rPr>
        <w:t xml:space="preserve"> </w:t>
      </w:r>
      <w:r w:rsidR="00845840">
        <w:rPr>
          <w:szCs w:val="20"/>
        </w:rPr>
        <w:t>5</w:t>
      </w:r>
      <w:r w:rsidR="006421EF">
        <w:rPr>
          <w:szCs w:val="20"/>
        </w:rPr>
        <w:t xml:space="preserve"> </w:t>
      </w:r>
      <w:r w:rsidR="00B74B93" w:rsidRPr="00772324">
        <w:rPr>
          <w:szCs w:val="20"/>
        </w:rPr>
        <w:t>we can see that the time frame to start building first 20 units of</w:t>
      </w:r>
      <w:r w:rsidR="003E5237" w:rsidRPr="00772324">
        <w:rPr>
          <w:szCs w:val="20"/>
        </w:rPr>
        <w:t xml:space="preserve"> SMART SMR is between </w:t>
      </w:r>
      <w:r w:rsidR="00BC0FBC" w:rsidRPr="00772324">
        <w:rPr>
          <w:szCs w:val="20"/>
        </w:rPr>
        <w:t>the end of 2018 (11/2018) and  the end of 2020 (10/2020)</w:t>
      </w:r>
      <w:r w:rsidR="003E5237" w:rsidRPr="00772324">
        <w:rPr>
          <w:szCs w:val="20"/>
        </w:rPr>
        <w:t xml:space="preserve"> to replace the 1960</w:t>
      </w:r>
      <w:r w:rsidR="00EE76CF">
        <w:rPr>
          <w:szCs w:val="20"/>
        </w:rPr>
        <w:t xml:space="preserve"> </w:t>
      </w:r>
      <w:proofErr w:type="spellStart"/>
      <w:r w:rsidR="003E5237" w:rsidRPr="00772324">
        <w:rPr>
          <w:szCs w:val="20"/>
        </w:rPr>
        <w:t>MWe</w:t>
      </w:r>
      <w:proofErr w:type="spellEnd"/>
      <w:r w:rsidR="003E5237" w:rsidRPr="00772324">
        <w:rPr>
          <w:szCs w:val="20"/>
        </w:rPr>
        <w:t xml:space="preserve"> </w:t>
      </w:r>
      <w:r w:rsidR="00F51E7D" w:rsidRPr="00772324">
        <w:rPr>
          <w:szCs w:val="20"/>
        </w:rPr>
        <w:t>of the</w:t>
      </w:r>
      <w:r w:rsidR="00D26316" w:rsidRPr="00772324">
        <w:rPr>
          <w:szCs w:val="20"/>
        </w:rPr>
        <w:t xml:space="preserve"> first</w:t>
      </w:r>
      <w:r w:rsidR="00F51E7D" w:rsidRPr="00772324">
        <w:rPr>
          <w:szCs w:val="20"/>
        </w:rPr>
        <w:t xml:space="preserve"> coal plant </w:t>
      </w:r>
      <w:r w:rsidR="003E5237" w:rsidRPr="00772324">
        <w:rPr>
          <w:szCs w:val="20"/>
        </w:rPr>
        <w:t>being shut down in 2023. If we</w:t>
      </w:r>
      <w:r w:rsidR="00D26316" w:rsidRPr="00772324">
        <w:rPr>
          <w:szCs w:val="20"/>
        </w:rPr>
        <w:t xml:space="preserve"> also</w:t>
      </w:r>
      <w:r w:rsidR="003E5237" w:rsidRPr="00772324">
        <w:rPr>
          <w:szCs w:val="20"/>
        </w:rPr>
        <w:t xml:space="preserve"> consider that no SMR has been yet licensed in the UK we have </w:t>
      </w:r>
      <w:r w:rsidR="00D26316" w:rsidRPr="00772324">
        <w:rPr>
          <w:szCs w:val="20"/>
        </w:rPr>
        <w:t xml:space="preserve">to </w:t>
      </w:r>
      <w:r w:rsidR="003E5237" w:rsidRPr="00772324">
        <w:rPr>
          <w:szCs w:val="20"/>
        </w:rPr>
        <w:t>add 4 years for a licensing process</w:t>
      </w:r>
      <w:r w:rsidR="00EE76CF">
        <w:rPr>
          <w:szCs w:val="20"/>
        </w:rPr>
        <w:t xml:space="preserve"> (Halper</w:t>
      </w:r>
      <w:r w:rsidR="00F51E7D" w:rsidRPr="00772324">
        <w:rPr>
          <w:szCs w:val="20"/>
        </w:rPr>
        <w:t>, 2014)</w:t>
      </w:r>
      <w:r w:rsidR="003E5237" w:rsidRPr="00772324">
        <w:rPr>
          <w:szCs w:val="20"/>
        </w:rPr>
        <w:t xml:space="preserve">. </w:t>
      </w:r>
    </w:p>
    <w:p w:rsidR="007A63D0" w:rsidRDefault="007E7328" w:rsidP="00292324">
      <w:pPr>
        <w:rPr>
          <w:rStyle w:val="Strong"/>
          <w:szCs w:val="20"/>
        </w:rPr>
      </w:pPr>
      <w:r w:rsidRPr="00772324">
        <w:rPr>
          <w:szCs w:val="20"/>
        </w:rPr>
        <w:t>Time scheme and number of units for the remaining 5 types of SMR</w:t>
      </w:r>
      <w:r w:rsidR="00895441" w:rsidRPr="00772324">
        <w:rPr>
          <w:szCs w:val="20"/>
        </w:rPr>
        <w:t xml:space="preserve"> and comparison with a conventional NPP</w:t>
      </w:r>
      <w:r w:rsidRPr="00772324">
        <w:rPr>
          <w:szCs w:val="20"/>
        </w:rPr>
        <w:t xml:space="preserve"> </w:t>
      </w:r>
      <w:r w:rsidR="00244504">
        <w:rPr>
          <w:szCs w:val="20"/>
        </w:rPr>
        <w:t xml:space="preserve">are summarized in </w:t>
      </w:r>
      <w:r w:rsidR="00244504" w:rsidRPr="00244504">
        <w:rPr>
          <w:szCs w:val="20"/>
        </w:rPr>
        <w:t>T</w:t>
      </w:r>
      <w:r w:rsidR="000202EF">
        <w:rPr>
          <w:szCs w:val="20"/>
        </w:rPr>
        <w:t>ab.</w:t>
      </w:r>
      <w:r w:rsidRPr="00244504">
        <w:rPr>
          <w:szCs w:val="20"/>
        </w:rPr>
        <w:t xml:space="preserve"> </w:t>
      </w:r>
      <w:r w:rsidR="00244504" w:rsidRPr="00244504">
        <w:rPr>
          <w:szCs w:val="20"/>
        </w:rPr>
        <w:t>5</w:t>
      </w:r>
      <w:r w:rsidRPr="00244504">
        <w:rPr>
          <w:szCs w:val="20"/>
        </w:rPr>
        <w:t>.</w:t>
      </w:r>
      <w:r w:rsidR="00895441" w:rsidRPr="00244504">
        <w:rPr>
          <w:szCs w:val="20"/>
        </w:rPr>
        <w:t xml:space="preserve"> </w:t>
      </w:r>
      <w:r w:rsidR="00895441" w:rsidRPr="00772324">
        <w:rPr>
          <w:szCs w:val="20"/>
        </w:rPr>
        <w:t xml:space="preserve">The construction time for </w:t>
      </w:r>
      <w:proofErr w:type="spellStart"/>
      <w:r w:rsidR="00895441" w:rsidRPr="00772324">
        <w:rPr>
          <w:szCs w:val="20"/>
        </w:rPr>
        <w:t>mPower</w:t>
      </w:r>
      <w:proofErr w:type="spellEnd"/>
      <w:r w:rsidR="00895441" w:rsidRPr="00772324">
        <w:rPr>
          <w:szCs w:val="20"/>
        </w:rPr>
        <w:t xml:space="preserve"> and </w:t>
      </w:r>
      <w:proofErr w:type="spellStart"/>
      <w:r w:rsidR="00895441" w:rsidRPr="00772324">
        <w:rPr>
          <w:szCs w:val="20"/>
        </w:rPr>
        <w:t>NuScale</w:t>
      </w:r>
      <w:proofErr w:type="spellEnd"/>
      <w:r w:rsidR="00895441" w:rsidRPr="00772324">
        <w:rPr>
          <w:szCs w:val="20"/>
        </w:rPr>
        <w:t xml:space="preserve"> SMR</w:t>
      </w:r>
      <w:r w:rsidR="00E10C37" w:rsidRPr="00772324">
        <w:rPr>
          <w:szCs w:val="20"/>
        </w:rPr>
        <w:t>s is assumed</w:t>
      </w:r>
      <w:r w:rsidR="00895441" w:rsidRPr="00772324">
        <w:rPr>
          <w:szCs w:val="20"/>
        </w:rPr>
        <w:t xml:space="preserve"> to be t</w:t>
      </w:r>
      <w:r w:rsidR="00E10C37" w:rsidRPr="00772324">
        <w:rPr>
          <w:szCs w:val="20"/>
        </w:rPr>
        <w:t>he same as for SMART SMR as all three</w:t>
      </w:r>
      <w:r w:rsidR="00895441" w:rsidRPr="00772324">
        <w:rPr>
          <w:szCs w:val="20"/>
        </w:rPr>
        <w:t xml:space="preserve"> are water-cooled designs and more </w:t>
      </w:r>
      <w:r w:rsidR="00E10C37" w:rsidRPr="00772324">
        <w:rPr>
          <w:szCs w:val="20"/>
        </w:rPr>
        <w:t xml:space="preserve">accurate construction time estimate is not available. </w:t>
      </w:r>
      <w:r w:rsidR="00895441" w:rsidRPr="00772324">
        <w:rPr>
          <w:szCs w:val="20"/>
        </w:rPr>
        <w:t>The expected construction ti</w:t>
      </w:r>
      <w:r w:rsidR="0027061E">
        <w:rPr>
          <w:szCs w:val="20"/>
        </w:rPr>
        <w:t xml:space="preserve">me for ACP100 is 36-40 months (World-nuclear.org, </w:t>
      </w:r>
      <w:r w:rsidR="0027061E" w:rsidRPr="00AE72A5">
        <w:rPr>
          <w:szCs w:val="20"/>
        </w:rPr>
        <w:t>2015</w:t>
      </w:r>
      <w:r w:rsidR="0027061E">
        <w:rPr>
          <w:szCs w:val="20"/>
        </w:rPr>
        <w:t>b</w:t>
      </w:r>
      <w:r w:rsidR="0027061E" w:rsidRPr="00AE72A5">
        <w:rPr>
          <w:szCs w:val="20"/>
        </w:rPr>
        <w:t>)</w:t>
      </w:r>
      <w:r w:rsidR="00FF17A5" w:rsidRPr="00772324">
        <w:rPr>
          <w:szCs w:val="20"/>
        </w:rPr>
        <w:t xml:space="preserve"> </w:t>
      </w:r>
      <w:r w:rsidR="00895441" w:rsidRPr="00772324">
        <w:rPr>
          <w:szCs w:val="20"/>
        </w:rPr>
        <w:t>for</w:t>
      </w:r>
      <w:r w:rsidR="00AC65BD" w:rsidRPr="00772324">
        <w:rPr>
          <w:szCs w:val="20"/>
        </w:rPr>
        <w:t xml:space="preserve"> </w:t>
      </w:r>
      <w:r w:rsidR="00895441" w:rsidRPr="00772324">
        <w:rPr>
          <w:noProof/>
          <w:szCs w:val="20"/>
          <w:lang w:val="en-GB" w:eastAsia="en-GB"/>
        </w:rPr>
        <w:t xml:space="preserve">HTR-PM is expected to be </w:t>
      </w:r>
      <w:r w:rsidR="00FF17A5" w:rsidRPr="00772324">
        <w:rPr>
          <w:noProof/>
          <w:szCs w:val="20"/>
          <w:lang w:val="en-GB" w:eastAsia="en-GB"/>
        </w:rPr>
        <w:t>50 months</w:t>
      </w:r>
      <w:r w:rsidR="00895441" w:rsidRPr="00772324">
        <w:rPr>
          <w:noProof/>
          <w:szCs w:val="20"/>
          <w:lang w:val="en-GB" w:eastAsia="en-GB"/>
        </w:rPr>
        <w:t xml:space="preserve"> </w:t>
      </w:r>
      <w:r w:rsidR="0027061E">
        <w:rPr>
          <w:rStyle w:val="selectable"/>
        </w:rPr>
        <w:t>(Zhang et al., 2009)</w:t>
      </w:r>
      <w:r w:rsidR="0027061E" w:rsidRPr="00772324">
        <w:rPr>
          <w:noProof/>
          <w:szCs w:val="20"/>
          <w:lang w:val="en-GB" w:eastAsia="en-GB"/>
        </w:rPr>
        <w:t xml:space="preserve"> </w:t>
      </w:r>
      <w:r w:rsidR="00895441" w:rsidRPr="00772324">
        <w:rPr>
          <w:rFonts w:eastAsiaTheme="minorHAnsi"/>
          <w:szCs w:val="20"/>
          <w:lang w:val="en-GB"/>
        </w:rPr>
        <w:t xml:space="preserve">and </w:t>
      </w:r>
      <w:r w:rsidR="00EE76CF">
        <w:rPr>
          <w:rFonts w:eastAsiaTheme="minorHAnsi"/>
          <w:szCs w:val="20"/>
          <w:lang w:val="en-GB"/>
        </w:rPr>
        <w:t xml:space="preserve">a </w:t>
      </w:r>
      <w:r w:rsidR="00895441" w:rsidRPr="00772324">
        <w:rPr>
          <w:rFonts w:eastAsiaTheme="minorHAnsi"/>
          <w:szCs w:val="20"/>
          <w:lang w:val="en-GB"/>
        </w:rPr>
        <w:t>5</w:t>
      </w:r>
      <w:r w:rsidR="00EE76CF">
        <w:rPr>
          <w:rFonts w:eastAsiaTheme="minorHAnsi"/>
          <w:szCs w:val="20"/>
          <w:lang w:val="en-GB"/>
        </w:rPr>
        <w:t xml:space="preserve"> year construction time</w:t>
      </w:r>
      <w:r w:rsidR="00895441" w:rsidRPr="00772324">
        <w:rPr>
          <w:rFonts w:eastAsiaTheme="minorHAnsi"/>
          <w:szCs w:val="20"/>
          <w:lang w:val="en-GB"/>
        </w:rPr>
        <w:t xml:space="preserve"> for </w:t>
      </w:r>
      <w:r w:rsidR="00AC65BD">
        <w:rPr>
          <w:szCs w:val="20"/>
        </w:rPr>
        <w:t xml:space="preserve">PFBR-500 </w:t>
      </w:r>
      <w:r w:rsidR="00AC65BD">
        <w:rPr>
          <w:rStyle w:val="selectable"/>
        </w:rPr>
        <w:t>(Dae.nic.in, 2015).</w:t>
      </w:r>
      <w:r w:rsidR="007A63D0">
        <w:rPr>
          <w:rStyle w:val="Strong"/>
          <w:szCs w:val="20"/>
        </w:rPr>
        <w:br w:type="page"/>
      </w:r>
    </w:p>
    <w:p w:rsidR="008D79B7" w:rsidRPr="00754B92" w:rsidRDefault="008D79B7" w:rsidP="00170923">
      <w:pPr>
        <w:spacing w:after="240"/>
        <w:jc w:val="left"/>
        <w:rPr>
          <w:bCs/>
          <w:szCs w:val="20"/>
        </w:rPr>
      </w:pPr>
      <w:r>
        <w:rPr>
          <w:rStyle w:val="Strong"/>
          <w:szCs w:val="20"/>
        </w:rPr>
        <w:t xml:space="preserve">Table </w:t>
      </w:r>
      <w:proofErr w:type="gramStart"/>
      <w:r>
        <w:rPr>
          <w:rStyle w:val="Strong"/>
          <w:szCs w:val="20"/>
        </w:rPr>
        <w:t>5</w:t>
      </w:r>
      <w:r w:rsidRPr="00563103">
        <w:rPr>
          <w:rStyle w:val="Strong"/>
          <w:szCs w:val="20"/>
        </w:rPr>
        <w:t xml:space="preserve"> .</w:t>
      </w:r>
      <w:proofErr w:type="gramEnd"/>
      <w:r w:rsidRPr="00563103">
        <w:rPr>
          <w:rStyle w:val="Strong"/>
          <w:szCs w:val="20"/>
        </w:rPr>
        <w:t xml:space="preserve"> </w:t>
      </w:r>
      <w:proofErr w:type="gramStart"/>
      <w:r w:rsidRPr="003C75B0">
        <w:rPr>
          <w:rStyle w:val="Strong"/>
          <w:b w:val="0"/>
          <w:szCs w:val="20"/>
        </w:rPr>
        <w:t>The time scheme and number of units of the remaining 5 designs</w:t>
      </w:r>
      <w:r w:rsidR="00170923">
        <w:rPr>
          <w:rStyle w:val="Strong"/>
          <w:b w:val="0"/>
          <w:szCs w:val="20"/>
        </w:rPr>
        <w:t xml:space="preserve"> of SMRs and conventional NPP.</w:t>
      </w:r>
      <w:proofErr w:type="gramEnd"/>
    </w:p>
    <w:p w:rsidR="00170923" w:rsidRPr="003F509B" w:rsidRDefault="003F509B" w:rsidP="00E05F77">
      <w:pPr>
        <w:spacing w:after="200" w:line="276" w:lineRule="auto"/>
        <w:jc w:val="left"/>
        <w:rPr>
          <w:b/>
          <w:bCs/>
          <w:szCs w:val="20"/>
        </w:rPr>
      </w:pPr>
      <w:r w:rsidRPr="003F509B">
        <w:rPr>
          <w:noProof/>
          <w:lang w:val="en-GB" w:eastAsia="en-GB"/>
        </w:rPr>
        <w:drawing>
          <wp:inline distT="0" distB="0" distL="0" distR="0" wp14:anchorId="6D4F6502" wp14:editId="19E2E967">
            <wp:extent cx="5904230" cy="5425826"/>
            <wp:effectExtent l="0" t="0" r="127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5425826"/>
                    </a:xfrm>
                    <a:prstGeom prst="rect">
                      <a:avLst/>
                    </a:prstGeom>
                    <a:noFill/>
                    <a:ln>
                      <a:noFill/>
                    </a:ln>
                  </pic:spPr>
                </pic:pic>
              </a:graphicData>
            </a:graphic>
          </wp:inline>
        </w:drawing>
      </w:r>
    </w:p>
    <w:p w:rsidR="00DE0D65" w:rsidRPr="003C75B0" w:rsidRDefault="00E05F77" w:rsidP="00E05F77">
      <w:pPr>
        <w:spacing w:after="200" w:line="276" w:lineRule="auto"/>
        <w:jc w:val="left"/>
        <w:rPr>
          <w:b/>
          <w:noProof/>
          <w:sz w:val="24"/>
          <w:szCs w:val="24"/>
          <w:lang w:val="en-GB" w:eastAsia="en-GB"/>
        </w:rPr>
      </w:pPr>
      <w:r w:rsidRPr="003C75B0">
        <w:rPr>
          <w:b/>
          <w:noProof/>
          <w:sz w:val="24"/>
          <w:szCs w:val="24"/>
          <w:lang w:val="en-GB" w:eastAsia="en-GB"/>
        </w:rPr>
        <w:t>Conventional N</w:t>
      </w:r>
      <w:r w:rsidR="003C75B0">
        <w:rPr>
          <w:b/>
          <w:noProof/>
          <w:sz w:val="24"/>
          <w:szCs w:val="24"/>
          <w:lang w:val="en-GB" w:eastAsia="en-GB"/>
        </w:rPr>
        <w:t xml:space="preserve">uclear </w:t>
      </w:r>
      <w:r w:rsidRPr="003C75B0">
        <w:rPr>
          <w:b/>
          <w:noProof/>
          <w:sz w:val="24"/>
          <w:szCs w:val="24"/>
          <w:lang w:val="en-GB" w:eastAsia="en-GB"/>
        </w:rPr>
        <w:t>P</w:t>
      </w:r>
      <w:r w:rsidR="003C75B0">
        <w:rPr>
          <w:b/>
          <w:noProof/>
          <w:sz w:val="24"/>
          <w:szCs w:val="24"/>
          <w:lang w:val="en-GB" w:eastAsia="en-GB"/>
        </w:rPr>
        <w:t xml:space="preserve">ower </w:t>
      </w:r>
      <w:r w:rsidRPr="003C75B0">
        <w:rPr>
          <w:b/>
          <w:noProof/>
          <w:sz w:val="24"/>
          <w:szCs w:val="24"/>
          <w:lang w:val="en-GB" w:eastAsia="en-GB"/>
        </w:rPr>
        <w:t>P</w:t>
      </w:r>
      <w:r w:rsidR="003C75B0">
        <w:rPr>
          <w:b/>
          <w:noProof/>
          <w:sz w:val="24"/>
          <w:szCs w:val="24"/>
          <w:lang w:val="en-GB" w:eastAsia="en-GB"/>
        </w:rPr>
        <w:t>lant</w:t>
      </w:r>
    </w:p>
    <w:p w:rsidR="00582505" w:rsidRPr="00772324" w:rsidRDefault="00E05F77" w:rsidP="003C75B0">
      <w:pPr>
        <w:rPr>
          <w:szCs w:val="20"/>
        </w:rPr>
      </w:pPr>
      <w:r w:rsidRPr="00772324">
        <w:rPr>
          <w:szCs w:val="20"/>
        </w:rPr>
        <w:t xml:space="preserve">For comparison a time scheme and number of reactors of a conventional nuclear power plant was estimated. In the model a </w:t>
      </w:r>
      <w:r w:rsidR="00D21E94" w:rsidRPr="00772324">
        <w:rPr>
          <w:szCs w:val="20"/>
        </w:rPr>
        <w:t xml:space="preserve">nuclear </w:t>
      </w:r>
      <w:r w:rsidRPr="00772324">
        <w:rPr>
          <w:szCs w:val="20"/>
        </w:rPr>
        <w:t xml:space="preserve">power plant with </w:t>
      </w:r>
      <w:r w:rsidR="00E02BBE" w:rsidRPr="00772324">
        <w:rPr>
          <w:szCs w:val="20"/>
        </w:rPr>
        <w:t xml:space="preserve">electrical output of 1040 </w:t>
      </w:r>
      <w:proofErr w:type="spellStart"/>
      <w:r w:rsidR="00E02BBE" w:rsidRPr="00772324">
        <w:rPr>
          <w:szCs w:val="20"/>
        </w:rPr>
        <w:t>MWe</w:t>
      </w:r>
      <w:proofErr w:type="spellEnd"/>
      <w:r w:rsidR="00E02BBE" w:rsidRPr="00772324">
        <w:rPr>
          <w:szCs w:val="20"/>
        </w:rPr>
        <w:t xml:space="preserve"> </w:t>
      </w:r>
      <w:r w:rsidR="00D21E94" w:rsidRPr="00772324">
        <w:rPr>
          <w:szCs w:val="20"/>
        </w:rPr>
        <w:t>was considered. This number is an</w:t>
      </w:r>
      <w:r w:rsidR="00E02BBE" w:rsidRPr="00772324">
        <w:rPr>
          <w:szCs w:val="20"/>
        </w:rPr>
        <w:t xml:space="preserve"> average of</w:t>
      </w:r>
      <w:r w:rsidR="00D21E94" w:rsidRPr="00772324">
        <w:rPr>
          <w:szCs w:val="20"/>
        </w:rPr>
        <w:t xml:space="preserve"> electrical</w:t>
      </w:r>
      <w:r w:rsidR="00E02BBE" w:rsidRPr="00772324">
        <w:rPr>
          <w:szCs w:val="20"/>
        </w:rPr>
        <w:t xml:space="preserve"> outputs of currently operating NPP in the UK. The time frame for construction of one reactor was taken from a</w:t>
      </w:r>
      <w:r w:rsidR="00001B93">
        <w:rPr>
          <w:szCs w:val="20"/>
        </w:rPr>
        <w:t xml:space="preserve"> report by </w:t>
      </w:r>
      <w:r w:rsidR="00BA6F3C">
        <w:rPr>
          <w:rStyle w:val="selectable"/>
        </w:rPr>
        <w:t>Schneider et al., (2013)</w:t>
      </w:r>
      <w:r w:rsidR="00BA6F3C">
        <w:rPr>
          <w:szCs w:val="20"/>
        </w:rPr>
        <w:t>,</w:t>
      </w:r>
      <w:r w:rsidR="00E02BBE" w:rsidRPr="00772324">
        <w:rPr>
          <w:szCs w:val="20"/>
        </w:rPr>
        <w:t xml:space="preserve"> </w:t>
      </w:r>
      <w:r w:rsidR="002A06BD" w:rsidRPr="00772324">
        <w:rPr>
          <w:szCs w:val="20"/>
        </w:rPr>
        <w:t xml:space="preserve">which considered conventional reactor construction times between years 2003 and 2013 worldwide and estimated total average mean time of 9.4 years with </w:t>
      </w:r>
      <w:r w:rsidR="009C5974" w:rsidRPr="00772324">
        <w:rPr>
          <w:szCs w:val="20"/>
        </w:rPr>
        <w:t xml:space="preserve">a </w:t>
      </w:r>
      <w:r w:rsidR="002A06BD" w:rsidRPr="00772324">
        <w:rPr>
          <w:szCs w:val="20"/>
        </w:rPr>
        <w:t xml:space="preserve">minimum construction time 3.8 years and maximum construction time of 26.8 years. </w:t>
      </w:r>
      <w:r w:rsidR="00582505" w:rsidRPr="00772324">
        <w:rPr>
          <w:szCs w:val="20"/>
        </w:rPr>
        <w:t>Fig</w:t>
      </w:r>
      <w:r w:rsidR="009628D9">
        <w:rPr>
          <w:szCs w:val="20"/>
        </w:rPr>
        <w:t>.</w:t>
      </w:r>
      <w:r w:rsidR="00705063">
        <w:rPr>
          <w:szCs w:val="20"/>
        </w:rPr>
        <w:t xml:space="preserve"> </w:t>
      </w:r>
      <w:r w:rsidR="009628D9">
        <w:rPr>
          <w:szCs w:val="20"/>
        </w:rPr>
        <w:t>6</w:t>
      </w:r>
      <w:r w:rsidR="00353350" w:rsidRPr="00772324">
        <w:rPr>
          <w:szCs w:val="20"/>
        </w:rPr>
        <w:t xml:space="preserve"> show</w:t>
      </w:r>
      <w:r w:rsidR="009628D9">
        <w:rPr>
          <w:szCs w:val="20"/>
        </w:rPr>
        <w:t>s</w:t>
      </w:r>
      <w:r w:rsidR="00582505" w:rsidRPr="00772324">
        <w:rPr>
          <w:szCs w:val="20"/>
        </w:rPr>
        <w:t xml:space="preserve"> the average construction mea</w:t>
      </w:r>
      <w:r w:rsidR="009628D9">
        <w:rPr>
          <w:szCs w:val="20"/>
        </w:rPr>
        <w:t>n time for a conventional reactor</w:t>
      </w:r>
      <w:r w:rsidR="00582505" w:rsidRPr="00772324">
        <w:rPr>
          <w:szCs w:val="20"/>
        </w:rPr>
        <w:t xml:space="preserve">. </w:t>
      </w:r>
    </w:p>
    <w:p w:rsidR="00C37688" w:rsidRDefault="00C37688" w:rsidP="00E05F77">
      <w:pPr>
        <w:spacing w:line="360" w:lineRule="auto"/>
        <w:rPr>
          <w:szCs w:val="20"/>
        </w:rPr>
      </w:pPr>
    </w:p>
    <w:p w:rsidR="00491A2E" w:rsidRPr="00772324" w:rsidRDefault="00491A2E" w:rsidP="00E05F77">
      <w:pPr>
        <w:spacing w:line="360" w:lineRule="auto"/>
        <w:rPr>
          <w:szCs w:val="20"/>
        </w:rPr>
      </w:pPr>
      <w:r>
        <w:rPr>
          <w:noProof/>
          <w:szCs w:val="20"/>
          <w:lang w:val="en-GB" w:eastAsia="en-GB"/>
        </w:rPr>
        <w:drawing>
          <wp:inline distT="0" distB="0" distL="0" distR="0">
            <wp:extent cx="5923671" cy="2707667"/>
            <wp:effectExtent l="19050" t="19050" r="20320" b="16510"/>
            <wp:docPr id="2" name="Picture 2" descr="M:\MRes project\Conventionall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es project\Conventionalln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087" r="6406"/>
                    <a:stretch/>
                  </pic:blipFill>
                  <pic:spPr bwMode="auto">
                    <a:xfrm>
                      <a:off x="0" y="0"/>
                      <a:ext cx="5922611" cy="270718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C37688" w:rsidRPr="00491A2E" w:rsidRDefault="008D79B7" w:rsidP="00001B93">
      <w:pPr>
        <w:jc w:val="center"/>
        <w:rPr>
          <w:b/>
          <w:szCs w:val="20"/>
          <w:highlight w:val="yellow"/>
        </w:rPr>
      </w:pPr>
      <w:proofErr w:type="gramStart"/>
      <w:r>
        <w:rPr>
          <w:b/>
          <w:szCs w:val="20"/>
        </w:rPr>
        <w:t>Fig. 6</w:t>
      </w:r>
      <w:r w:rsidR="00C37688" w:rsidRPr="003C75B0">
        <w:rPr>
          <w:b/>
          <w:szCs w:val="20"/>
        </w:rPr>
        <w:t>.</w:t>
      </w:r>
      <w:proofErr w:type="gramEnd"/>
      <w:r w:rsidR="00C37688" w:rsidRPr="003C75B0">
        <w:rPr>
          <w:b/>
          <w:szCs w:val="20"/>
        </w:rPr>
        <w:t xml:space="preserve"> </w:t>
      </w:r>
      <w:proofErr w:type="gramStart"/>
      <w:r w:rsidR="00C37688" w:rsidRPr="00491A2E">
        <w:rPr>
          <w:szCs w:val="20"/>
        </w:rPr>
        <w:t>Time scheme and number of reactors of an average conventional NPP to be built to replace the ca</w:t>
      </w:r>
      <w:r w:rsidR="009D140E" w:rsidRPr="00491A2E">
        <w:rPr>
          <w:szCs w:val="20"/>
        </w:rPr>
        <w:t>pacity of shut down coal plants.</w:t>
      </w:r>
      <w:proofErr w:type="gramEnd"/>
    </w:p>
    <w:p w:rsidR="004521DC" w:rsidRPr="003C75B0" w:rsidRDefault="004521DC" w:rsidP="004521DC">
      <w:pPr>
        <w:pStyle w:val="Heading1"/>
        <w:rPr>
          <w:rFonts w:ascii="Times New Roman" w:hAnsi="Times New Roman" w:cs="Times New Roman"/>
          <w:color w:val="auto"/>
          <w:sz w:val="24"/>
          <w:szCs w:val="24"/>
        </w:rPr>
      </w:pPr>
      <w:r w:rsidRPr="00491A2E">
        <w:rPr>
          <w:rFonts w:ascii="Times New Roman" w:hAnsi="Times New Roman" w:cs="Times New Roman"/>
          <w:color w:val="auto"/>
          <w:sz w:val="24"/>
          <w:szCs w:val="24"/>
        </w:rPr>
        <w:t>Discussion</w:t>
      </w:r>
    </w:p>
    <w:p w:rsidR="004521DC" w:rsidRPr="00772324" w:rsidRDefault="004521DC" w:rsidP="004521DC">
      <w:pPr>
        <w:rPr>
          <w:szCs w:val="20"/>
        </w:rPr>
      </w:pPr>
    </w:p>
    <w:p w:rsidR="00AE6895" w:rsidRDefault="00001B93" w:rsidP="003C75B0">
      <w:pPr>
        <w:rPr>
          <w:szCs w:val="20"/>
        </w:rPr>
      </w:pPr>
      <w:r>
        <w:rPr>
          <w:szCs w:val="20"/>
        </w:rPr>
        <w:t>Based on the Carbon Budget CO</w:t>
      </w:r>
      <w:r w:rsidRPr="00001B93">
        <w:rPr>
          <w:szCs w:val="20"/>
          <w:vertAlign w:val="subscript"/>
        </w:rPr>
        <w:t>2</w:t>
      </w:r>
      <w:r>
        <w:rPr>
          <w:szCs w:val="20"/>
        </w:rPr>
        <w:t xml:space="preserve"> emission limits it is very likely that UK coal power </w:t>
      </w:r>
      <w:r w:rsidR="00F6436F">
        <w:rPr>
          <w:szCs w:val="20"/>
        </w:rPr>
        <w:t xml:space="preserve">plants </w:t>
      </w:r>
      <w:r>
        <w:rPr>
          <w:szCs w:val="20"/>
        </w:rPr>
        <w:t>will soon need to be shut down</w:t>
      </w:r>
      <w:r w:rsidR="00884D0E">
        <w:rPr>
          <w:szCs w:val="20"/>
        </w:rPr>
        <w:t>,</w:t>
      </w:r>
      <w:r>
        <w:rPr>
          <w:szCs w:val="20"/>
        </w:rPr>
        <w:t xml:space="preserve"> </w:t>
      </w:r>
      <w:proofErr w:type="gramStart"/>
      <w:r>
        <w:rPr>
          <w:szCs w:val="20"/>
        </w:rPr>
        <w:t xml:space="preserve">if </w:t>
      </w:r>
      <w:r w:rsidR="000A0AD0">
        <w:rPr>
          <w:szCs w:val="20"/>
        </w:rPr>
        <w:t xml:space="preserve">no </w:t>
      </w:r>
      <w:r>
        <w:rPr>
          <w:szCs w:val="20"/>
        </w:rPr>
        <w:t>other technology for carbon emission reduction like Carbon Capture and Storage will not soon become available</w:t>
      </w:r>
      <w:proofErr w:type="gramEnd"/>
      <w:r>
        <w:rPr>
          <w:szCs w:val="20"/>
        </w:rPr>
        <w:t>.</w:t>
      </w:r>
      <w:r w:rsidR="00F6436F">
        <w:rPr>
          <w:szCs w:val="20"/>
        </w:rPr>
        <w:t xml:space="preserve"> As the overall capacity of UK coal power plants is high we can see from the results of the case study that</w:t>
      </w:r>
      <w:r w:rsidR="00702CCB">
        <w:rPr>
          <w:szCs w:val="20"/>
        </w:rPr>
        <w:t xml:space="preserve"> quite high number of</w:t>
      </w:r>
      <w:r w:rsidR="00F6436F">
        <w:rPr>
          <w:szCs w:val="20"/>
        </w:rPr>
        <w:t xml:space="preserve"> Small modular reactors would need to be built to replace them.</w:t>
      </w:r>
      <w:r w:rsidR="004C6C68">
        <w:rPr>
          <w:szCs w:val="20"/>
        </w:rPr>
        <w:t xml:space="preserve"> This can r</w:t>
      </w:r>
      <w:r w:rsidR="000A0AD0">
        <w:rPr>
          <w:szCs w:val="20"/>
        </w:rPr>
        <w:t>a</w:t>
      </w:r>
      <w:r w:rsidR="004C6C68">
        <w:rPr>
          <w:szCs w:val="20"/>
        </w:rPr>
        <w:t xml:space="preserve">ise a question whether this amount of nuclear reactors even though significantly smaller than conventional </w:t>
      </w:r>
      <w:r w:rsidR="00DB5ED5">
        <w:rPr>
          <w:szCs w:val="20"/>
        </w:rPr>
        <w:t>NPP</w:t>
      </w:r>
      <w:r w:rsidR="004C6C68">
        <w:rPr>
          <w:szCs w:val="20"/>
        </w:rPr>
        <w:t xml:space="preserve"> would be accepted by public.</w:t>
      </w:r>
      <w:r w:rsidR="00F6436F">
        <w:rPr>
          <w:szCs w:val="20"/>
        </w:rPr>
        <w:t xml:space="preserve"> Time – wise </w:t>
      </w:r>
      <w:r w:rsidR="004C6C68">
        <w:rPr>
          <w:szCs w:val="20"/>
        </w:rPr>
        <w:t>we can see that the</w:t>
      </w:r>
      <w:r w:rsidR="00F6436F">
        <w:rPr>
          <w:szCs w:val="20"/>
        </w:rPr>
        <w:t xml:space="preserve"> option is still feasible</w:t>
      </w:r>
      <w:r w:rsidR="004C6C68">
        <w:rPr>
          <w:szCs w:val="20"/>
        </w:rPr>
        <w:t>, but only</w:t>
      </w:r>
      <w:r w:rsidR="00F6436F">
        <w:rPr>
          <w:szCs w:val="20"/>
        </w:rPr>
        <w:t xml:space="preserve"> in case licensing process woul</w:t>
      </w:r>
      <w:r w:rsidR="003F1458">
        <w:rPr>
          <w:szCs w:val="20"/>
        </w:rPr>
        <w:t xml:space="preserve">d begin this year. </w:t>
      </w:r>
      <w:r w:rsidR="004C6C68">
        <w:rPr>
          <w:szCs w:val="20"/>
        </w:rPr>
        <w:t>There can be also q</w:t>
      </w:r>
      <w:r w:rsidR="00AE6895">
        <w:rPr>
          <w:szCs w:val="20"/>
        </w:rPr>
        <w:t xml:space="preserve">uestions about financing </w:t>
      </w:r>
      <w:r w:rsidR="003F1458">
        <w:rPr>
          <w:szCs w:val="20"/>
        </w:rPr>
        <w:t xml:space="preserve">such a significant investment in a new technology. </w:t>
      </w:r>
      <w:r w:rsidR="00AE6895">
        <w:rPr>
          <w:szCs w:val="20"/>
        </w:rPr>
        <w:t>Also price per MWh of electricity produced by SMR is not very clear and issues some questions</w:t>
      </w:r>
      <w:r w:rsidR="001A1332">
        <w:rPr>
          <w:szCs w:val="20"/>
        </w:rPr>
        <w:t xml:space="preserve"> about competitiveness</w:t>
      </w:r>
      <w:r w:rsidR="00AE6895">
        <w:rPr>
          <w:szCs w:val="20"/>
        </w:rPr>
        <w:t xml:space="preserve">. </w:t>
      </w:r>
      <w:r w:rsidR="000A0AD0">
        <w:rPr>
          <w:szCs w:val="20"/>
        </w:rPr>
        <w:t>Undoubtedly, t</w:t>
      </w:r>
      <w:r w:rsidR="008D669B">
        <w:rPr>
          <w:szCs w:val="20"/>
        </w:rPr>
        <w:t xml:space="preserve">he financial feasibility of coal replacement with SMRs requires further investigation. From the comparison with an average conventional nuclear power plant we can see that way </w:t>
      </w:r>
      <w:r w:rsidR="001A1332">
        <w:rPr>
          <w:szCs w:val="20"/>
        </w:rPr>
        <w:t>fewer</w:t>
      </w:r>
      <w:r w:rsidR="008D669B">
        <w:rPr>
          <w:szCs w:val="20"/>
        </w:rPr>
        <w:t xml:space="preserve"> reactors would </w:t>
      </w:r>
      <w:r w:rsidR="001A1332">
        <w:rPr>
          <w:szCs w:val="20"/>
        </w:rPr>
        <w:t xml:space="preserve">need </w:t>
      </w:r>
      <w:r w:rsidR="008D669B">
        <w:rPr>
          <w:szCs w:val="20"/>
        </w:rPr>
        <w:t xml:space="preserve">to be built but with way higher uncertainty in construction times and </w:t>
      </w:r>
      <w:r w:rsidR="001A1332">
        <w:rPr>
          <w:szCs w:val="20"/>
        </w:rPr>
        <w:t xml:space="preserve">with </w:t>
      </w:r>
      <w:r w:rsidR="008D669B">
        <w:rPr>
          <w:szCs w:val="20"/>
        </w:rPr>
        <w:t xml:space="preserve">some of the first reactors </w:t>
      </w:r>
      <w:r w:rsidR="001A1332">
        <w:rPr>
          <w:szCs w:val="20"/>
        </w:rPr>
        <w:t>being already</w:t>
      </w:r>
      <w:r w:rsidR="008D669B">
        <w:rPr>
          <w:szCs w:val="20"/>
        </w:rPr>
        <w:t xml:space="preserve"> few years behind </w:t>
      </w:r>
      <w:r w:rsidR="00C62793">
        <w:rPr>
          <w:szCs w:val="20"/>
        </w:rPr>
        <w:t>commencement of construction.</w:t>
      </w:r>
    </w:p>
    <w:p w:rsidR="00DB5ED5" w:rsidRPr="001C1227" w:rsidRDefault="008D669B" w:rsidP="001C1227">
      <w:pPr>
        <w:rPr>
          <w:szCs w:val="20"/>
        </w:rPr>
      </w:pPr>
      <w:r>
        <w:rPr>
          <w:szCs w:val="20"/>
        </w:rPr>
        <w:t>There is also uncertainty in the Carbon Budget emission prediction</w:t>
      </w:r>
      <w:r w:rsidR="000A0AD0">
        <w:rPr>
          <w:szCs w:val="20"/>
        </w:rPr>
        <w:t xml:space="preserve"> trends</w:t>
      </w:r>
      <w:r>
        <w:rPr>
          <w:szCs w:val="20"/>
        </w:rPr>
        <w:t xml:space="preserve"> as we are looking at quite distant </w:t>
      </w:r>
      <w:r w:rsidRPr="00C92EB0">
        <w:rPr>
          <w:szCs w:val="20"/>
        </w:rPr>
        <w:t>future and the prediction model</w:t>
      </w:r>
      <w:r w:rsidR="00DB5ED5">
        <w:rPr>
          <w:szCs w:val="20"/>
        </w:rPr>
        <w:t xml:space="preserve"> represents</w:t>
      </w:r>
      <w:r w:rsidRPr="00C92EB0">
        <w:rPr>
          <w:szCs w:val="20"/>
        </w:rPr>
        <w:t xml:space="preserve"> only</w:t>
      </w:r>
      <w:r w:rsidR="00DB5ED5">
        <w:rPr>
          <w:szCs w:val="20"/>
        </w:rPr>
        <w:t xml:space="preserve"> a</w:t>
      </w:r>
      <w:r w:rsidRPr="00C92EB0">
        <w:rPr>
          <w:szCs w:val="20"/>
        </w:rPr>
        <w:t xml:space="preserve"> trend and do not </w:t>
      </w:r>
      <w:r w:rsidR="00DB5ED5">
        <w:rPr>
          <w:szCs w:val="20"/>
        </w:rPr>
        <w:t>reveal</w:t>
      </w:r>
      <w:r w:rsidRPr="00C92EB0">
        <w:rPr>
          <w:szCs w:val="20"/>
        </w:rPr>
        <w:t xml:space="preserve"> exact values of the power plants CO</w:t>
      </w:r>
      <w:r w:rsidRPr="00C92EB0">
        <w:rPr>
          <w:szCs w:val="20"/>
          <w:vertAlign w:val="subscript"/>
        </w:rPr>
        <w:t xml:space="preserve">2 </w:t>
      </w:r>
      <w:r w:rsidRPr="00C92EB0">
        <w:rPr>
          <w:szCs w:val="20"/>
        </w:rPr>
        <w:t>emission share.</w:t>
      </w:r>
      <w:r w:rsidR="00DB5ED5">
        <w:rPr>
          <w:szCs w:val="20"/>
        </w:rPr>
        <w:t xml:space="preserve"> </w:t>
      </w:r>
      <w:r w:rsidR="00702CCB">
        <w:rPr>
          <w:szCs w:val="20"/>
        </w:rPr>
        <w:t>Future work will be focused on comparison of prediction model presented in this case study with different scenarios in emission li</w:t>
      </w:r>
      <w:r w:rsidR="00AB19E4">
        <w:rPr>
          <w:szCs w:val="20"/>
        </w:rPr>
        <w:t xml:space="preserve">mit development. This should offer a comprehensive overview on application of SMRs as a coal power plants replacement. There is also a gap in SMR public acceptance investigation which offers many interesting topics that can be look at. From a point of view of new technology acceptance, preferences in electric energy providers or </w:t>
      </w:r>
      <w:r w:rsidR="00C077BE">
        <w:rPr>
          <w:szCs w:val="20"/>
        </w:rPr>
        <w:t xml:space="preserve">popularity </w:t>
      </w:r>
      <w:r w:rsidR="00AB19E4">
        <w:rPr>
          <w:szCs w:val="20"/>
        </w:rPr>
        <w:t xml:space="preserve">comparison with other representatives of small energy generation. </w:t>
      </w:r>
    </w:p>
    <w:p w:rsidR="001C1227" w:rsidRDefault="001C1227">
      <w:pPr>
        <w:spacing w:after="200" w:line="276" w:lineRule="auto"/>
        <w:jc w:val="left"/>
        <w:rPr>
          <w:b/>
          <w:sz w:val="24"/>
          <w:szCs w:val="24"/>
        </w:rPr>
      </w:pPr>
    </w:p>
    <w:p w:rsidR="00754B92" w:rsidRDefault="00C92EB0">
      <w:pPr>
        <w:spacing w:after="200" w:line="276" w:lineRule="auto"/>
        <w:jc w:val="left"/>
        <w:rPr>
          <w:b/>
          <w:sz w:val="24"/>
          <w:szCs w:val="24"/>
        </w:rPr>
      </w:pPr>
      <w:r w:rsidRPr="00C92EB0">
        <w:rPr>
          <w:b/>
          <w:sz w:val="24"/>
          <w:szCs w:val="24"/>
        </w:rPr>
        <w:t>Conclusion</w:t>
      </w:r>
      <w:r w:rsidR="00754B92" w:rsidRPr="00754B92">
        <w:rPr>
          <w:b/>
          <w:sz w:val="24"/>
          <w:szCs w:val="24"/>
        </w:rPr>
        <w:t xml:space="preserve"> </w:t>
      </w:r>
    </w:p>
    <w:p w:rsidR="00CD3F13" w:rsidRPr="002702E3" w:rsidRDefault="00CD3F13" w:rsidP="002702E3">
      <w:pPr>
        <w:rPr>
          <w:szCs w:val="20"/>
        </w:rPr>
      </w:pPr>
      <w:r w:rsidRPr="002702E3">
        <w:rPr>
          <w:szCs w:val="20"/>
        </w:rPr>
        <w:t xml:space="preserve">This study looked at </w:t>
      </w:r>
      <w:r w:rsidR="005E7B6B" w:rsidRPr="002702E3">
        <w:rPr>
          <w:szCs w:val="20"/>
        </w:rPr>
        <w:t>one of the many possible applications of SMRs and its feasibility. From the current UK CO</w:t>
      </w:r>
      <w:r w:rsidR="005E7B6B" w:rsidRPr="002702E3">
        <w:rPr>
          <w:szCs w:val="20"/>
          <w:vertAlign w:val="subscript"/>
        </w:rPr>
        <w:t xml:space="preserve">2 </w:t>
      </w:r>
      <w:r w:rsidR="005E7B6B" w:rsidRPr="002702E3">
        <w:rPr>
          <w:szCs w:val="20"/>
        </w:rPr>
        <w:t>emissions legal limits</w:t>
      </w:r>
      <w:r w:rsidR="0033518D" w:rsidRPr="002702E3">
        <w:rPr>
          <w:szCs w:val="20"/>
        </w:rPr>
        <w:t xml:space="preserve"> became</w:t>
      </w:r>
      <w:r w:rsidR="005E7B6B" w:rsidRPr="002702E3">
        <w:rPr>
          <w:szCs w:val="20"/>
        </w:rPr>
        <w:t xml:space="preserve"> obvious that coal power plants cannot remain a</w:t>
      </w:r>
      <w:r w:rsidR="00366256" w:rsidRPr="002702E3">
        <w:rPr>
          <w:szCs w:val="20"/>
        </w:rPr>
        <w:t xml:space="preserve"> dominant energy provider and t</w:t>
      </w:r>
      <w:r w:rsidR="0033518D" w:rsidRPr="002702E3">
        <w:rPr>
          <w:szCs w:val="20"/>
        </w:rPr>
        <w:t>heir part of future energy mix cannot be very significant</w:t>
      </w:r>
      <w:r w:rsidR="00AE31D2" w:rsidRPr="002702E3">
        <w:rPr>
          <w:szCs w:val="20"/>
        </w:rPr>
        <w:t xml:space="preserve"> if any</w:t>
      </w:r>
      <w:r w:rsidR="0033518D" w:rsidRPr="002702E3">
        <w:rPr>
          <w:szCs w:val="20"/>
        </w:rPr>
        <w:t>. Based on current Carbon Budget emission limit</w:t>
      </w:r>
      <w:r w:rsidR="00F32EBE" w:rsidRPr="002702E3">
        <w:rPr>
          <w:szCs w:val="20"/>
        </w:rPr>
        <w:t>s an emission limit prediction model</w:t>
      </w:r>
      <w:r w:rsidR="0033518D" w:rsidRPr="002702E3">
        <w:rPr>
          <w:szCs w:val="20"/>
        </w:rPr>
        <w:t xml:space="preserve"> </w:t>
      </w:r>
      <w:r w:rsidR="00F32EBE" w:rsidRPr="002702E3">
        <w:rPr>
          <w:szCs w:val="20"/>
        </w:rPr>
        <w:t xml:space="preserve">for power plants </w:t>
      </w:r>
      <w:r w:rsidR="0033518D" w:rsidRPr="002702E3">
        <w:rPr>
          <w:szCs w:val="20"/>
        </w:rPr>
        <w:t xml:space="preserve">was </w:t>
      </w:r>
      <w:r w:rsidR="00AE31D2" w:rsidRPr="002702E3">
        <w:rPr>
          <w:szCs w:val="20"/>
        </w:rPr>
        <w:t xml:space="preserve">estimated and </w:t>
      </w:r>
      <w:r w:rsidR="00F610CF">
        <w:rPr>
          <w:szCs w:val="20"/>
        </w:rPr>
        <w:t xml:space="preserve">a </w:t>
      </w:r>
      <w:r w:rsidR="00AE31D2" w:rsidRPr="002702E3">
        <w:rPr>
          <w:szCs w:val="20"/>
        </w:rPr>
        <w:t>time scheme of coal power plants shut down to comply with</w:t>
      </w:r>
      <w:r w:rsidR="00F32EBE" w:rsidRPr="002702E3">
        <w:rPr>
          <w:szCs w:val="20"/>
        </w:rPr>
        <w:t xml:space="preserve"> this limit</w:t>
      </w:r>
      <w:r w:rsidR="00AE31D2" w:rsidRPr="002702E3">
        <w:rPr>
          <w:szCs w:val="20"/>
        </w:rPr>
        <w:t xml:space="preserve"> was established. </w:t>
      </w:r>
      <w:r w:rsidR="000C5607" w:rsidRPr="002702E3">
        <w:rPr>
          <w:szCs w:val="20"/>
        </w:rPr>
        <w:t>According to this scheme the first coal power would need to be shut down in 2023 (emitting 11.5 Mt of CO</w:t>
      </w:r>
      <w:r w:rsidR="000C5607" w:rsidRPr="002702E3">
        <w:rPr>
          <w:szCs w:val="20"/>
          <w:vertAlign w:val="subscript"/>
        </w:rPr>
        <w:t>2</w:t>
      </w:r>
      <w:r w:rsidR="000C5607" w:rsidRPr="002702E3">
        <w:rPr>
          <w:szCs w:val="20"/>
        </w:rPr>
        <w:t>/year) and the last one to be shut down in 2046 (emitting 10.9 Mt of CO</w:t>
      </w:r>
      <w:r w:rsidR="000C5607" w:rsidRPr="002702E3">
        <w:rPr>
          <w:szCs w:val="20"/>
          <w:vertAlign w:val="subscript"/>
        </w:rPr>
        <w:t>2</w:t>
      </w:r>
      <w:r w:rsidR="000C5607" w:rsidRPr="002702E3">
        <w:rPr>
          <w:szCs w:val="20"/>
        </w:rPr>
        <w:t xml:space="preserve">/year). Based on </w:t>
      </w:r>
      <w:r w:rsidR="003C2278" w:rsidRPr="002702E3">
        <w:rPr>
          <w:szCs w:val="20"/>
        </w:rPr>
        <w:t xml:space="preserve">electric </w:t>
      </w:r>
      <w:r w:rsidR="00BC1487" w:rsidRPr="002702E3">
        <w:rPr>
          <w:szCs w:val="20"/>
        </w:rPr>
        <w:t xml:space="preserve">capacity of each coal plant and a </w:t>
      </w:r>
      <w:r w:rsidR="004E024B" w:rsidRPr="002702E3">
        <w:rPr>
          <w:szCs w:val="20"/>
        </w:rPr>
        <w:t xml:space="preserve">construction time of each chosen SMR design a time scheme for construction commencement of each SMR to replace the missing electric energy </w:t>
      </w:r>
      <w:r w:rsidR="003C2278" w:rsidRPr="002702E3">
        <w:rPr>
          <w:szCs w:val="20"/>
        </w:rPr>
        <w:t>capacity was made. It was found out that SMRs can still be built on time to replace the missing capacity from coal plants if these will be shut down. The mean time of commencement of most designs was estimated to year 2020. Because of uncertainty in construction times and likely delays in first-of-a-kind engineering construction of firs</w:t>
      </w:r>
      <w:r w:rsidR="006E3ECF" w:rsidRPr="002702E3">
        <w:rPr>
          <w:szCs w:val="20"/>
        </w:rPr>
        <w:t>t unit</w:t>
      </w:r>
      <w:r w:rsidR="00F610CF">
        <w:rPr>
          <w:szCs w:val="20"/>
        </w:rPr>
        <w:t>s</w:t>
      </w:r>
      <w:r w:rsidR="006E3ECF" w:rsidRPr="002702E3">
        <w:rPr>
          <w:szCs w:val="20"/>
        </w:rPr>
        <w:t xml:space="preserve"> should be </w:t>
      </w:r>
      <w:r w:rsidR="00F610CF">
        <w:rPr>
          <w:szCs w:val="20"/>
        </w:rPr>
        <w:t xml:space="preserve">taken </w:t>
      </w:r>
      <w:r w:rsidR="006E3ECF" w:rsidRPr="002702E3">
        <w:rPr>
          <w:szCs w:val="20"/>
        </w:rPr>
        <w:t xml:space="preserve">to be around the upper bound </w:t>
      </w:r>
      <w:r w:rsidR="00E14A18" w:rsidRPr="002702E3">
        <w:rPr>
          <w:szCs w:val="20"/>
        </w:rPr>
        <w:t>of estimated construction time which is 4 years for most of the chosen designs. Time for licensing process has to be added on top the construction time as no SMR design has been yet licensed in the UK. Therefore the estimated year for licensing process start gives us year 2015</w:t>
      </w:r>
      <w:r w:rsidR="002702E3">
        <w:rPr>
          <w:szCs w:val="20"/>
        </w:rPr>
        <w:t xml:space="preserve">. </w:t>
      </w:r>
      <w:r w:rsidR="00157120" w:rsidRPr="002702E3">
        <w:rPr>
          <w:szCs w:val="20"/>
        </w:rPr>
        <w:t>A time scheme for construction commencement of a conventional NPP was made as a comparison. If a conventional NPP should serve as a replacement for coal plants</w:t>
      </w:r>
      <w:r w:rsidR="002702E3">
        <w:rPr>
          <w:szCs w:val="20"/>
        </w:rPr>
        <w:t xml:space="preserve"> being shut down</w:t>
      </w:r>
      <w:r w:rsidR="00157120" w:rsidRPr="002702E3">
        <w:rPr>
          <w:szCs w:val="20"/>
        </w:rPr>
        <w:t xml:space="preserve">, first reactor would have to be under construction since 2013.   </w:t>
      </w:r>
      <w:r w:rsidR="00E14A18" w:rsidRPr="002702E3">
        <w:rPr>
          <w:szCs w:val="20"/>
        </w:rPr>
        <w:t xml:space="preserve">    </w:t>
      </w:r>
      <w:r w:rsidR="003C2278" w:rsidRPr="002702E3">
        <w:rPr>
          <w:szCs w:val="20"/>
        </w:rPr>
        <w:t xml:space="preserve">  </w:t>
      </w:r>
    </w:p>
    <w:p w:rsidR="00884D0E" w:rsidRDefault="00884D0E">
      <w:pPr>
        <w:spacing w:after="200" w:line="276" w:lineRule="auto"/>
        <w:jc w:val="left"/>
        <w:rPr>
          <w:b/>
          <w:sz w:val="24"/>
          <w:szCs w:val="24"/>
        </w:rPr>
      </w:pPr>
    </w:p>
    <w:p w:rsidR="00E22266" w:rsidRPr="003C75B0" w:rsidRDefault="00E22266" w:rsidP="004521DC">
      <w:pPr>
        <w:rPr>
          <w:b/>
          <w:sz w:val="24"/>
          <w:szCs w:val="24"/>
        </w:rPr>
      </w:pPr>
      <w:r w:rsidRPr="003C75B0">
        <w:rPr>
          <w:b/>
          <w:sz w:val="24"/>
          <w:szCs w:val="24"/>
        </w:rPr>
        <w:t>References</w:t>
      </w:r>
    </w:p>
    <w:p w:rsidR="00E22266" w:rsidRDefault="00E22266" w:rsidP="00EF4885">
      <w:pPr>
        <w:widowControl w:val="0"/>
        <w:autoSpaceDE w:val="0"/>
        <w:autoSpaceDN w:val="0"/>
        <w:adjustRightInd w:val="0"/>
        <w:spacing w:before="240" w:after="240"/>
        <w:ind w:left="499" w:hanging="499"/>
        <w:jc w:val="left"/>
        <w:rPr>
          <w:szCs w:val="20"/>
        </w:rPr>
      </w:pPr>
      <w:proofErr w:type="gramStart"/>
      <w:r w:rsidRPr="00AE72A5">
        <w:rPr>
          <w:szCs w:val="20"/>
        </w:rPr>
        <w:t>BBC, (2015).</w:t>
      </w:r>
      <w:proofErr w:type="gramEnd"/>
      <w:r w:rsidRPr="00AE72A5">
        <w:rPr>
          <w:szCs w:val="20"/>
        </w:rPr>
        <w:t xml:space="preserve"> </w:t>
      </w:r>
      <w:proofErr w:type="spellStart"/>
      <w:r w:rsidRPr="00AE72A5">
        <w:rPr>
          <w:i/>
          <w:iCs/>
          <w:szCs w:val="20"/>
        </w:rPr>
        <w:t>Hinkley</w:t>
      </w:r>
      <w:proofErr w:type="spellEnd"/>
      <w:r w:rsidRPr="00AE72A5">
        <w:rPr>
          <w:i/>
          <w:iCs/>
          <w:szCs w:val="20"/>
        </w:rPr>
        <w:t xml:space="preserve"> Point nuclear plant delayed, says EDF</w:t>
      </w:r>
      <w:r w:rsidRPr="00AE72A5">
        <w:rPr>
          <w:szCs w:val="20"/>
        </w:rPr>
        <w:t>. [</w:t>
      </w:r>
      <w:proofErr w:type="gramStart"/>
      <w:r w:rsidRPr="00AE72A5">
        <w:rPr>
          <w:szCs w:val="20"/>
        </w:rPr>
        <w:t>online</w:t>
      </w:r>
      <w:proofErr w:type="gramEnd"/>
      <w:r w:rsidRPr="00AE72A5">
        <w:rPr>
          <w:szCs w:val="20"/>
        </w:rPr>
        <w:t>] Available at: http://www.bbc.co.uk/news/business-34149392 [Accessed 11 Sep. 2015].</w:t>
      </w:r>
    </w:p>
    <w:p w:rsidR="00BB756B" w:rsidRPr="00AE72A5" w:rsidRDefault="00E22266" w:rsidP="00EF4885">
      <w:pPr>
        <w:widowControl w:val="0"/>
        <w:autoSpaceDE w:val="0"/>
        <w:autoSpaceDN w:val="0"/>
        <w:adjustRightInd w:val="0"/>
        <w:spacing w:before="240" w:after="240"/>
        <w:ind w:left="499" w:hanging="499"/>
        <w:jc w:val="left"/>
        <w:rPr>
          <w:szCs w:val="20"/>
        </w:rPr>
      </w:pPr>
      <w:proofErr w:type="gramStart"/>
      <w:r w:rsidRPr="00AE72A5">
        <w:rPr>
          <w:szCs w:val="20"/>
        </w:rPr>
        <w:t>Change, U. (2015).</w:t>
      </w:r>
      <w:proofErr w:type="gramEnd"/>
      <w:r w:rsidRPr="00AE72A5">
        <w:rPr>
          <w:szCs w:val="20"/>
        </w:rPr>
        <w:t xml:space="preserve"> </w:t>
      </w:r>
      <w:proofErr w:type="gramStart"/>
      <w:r w:rsidRPr="00AE72A5">
        <w:rPr>
          <w:i/>
          <w:iCs/>
          <w:szCs w:val="20"/>
        </w:rPr>
        <w:t>Kyoto Protocol</w:t>
      </w:r>
      <w:r w:rsidRPr="00AE72A5">
        <w:rPr>
          <w:szCs w:val="20"/>
        </w:rPr>
        <w:t>.</w:t>
      </w:r>
      <w:proofErr w:type="gramEnd"/>
      <w:r w:rsidRPr="00AE72A5">
        <w:rPr>
          <w:szCs w:val="20"/>
        </w:rPr>
        <w:t xml:space="preserve"> [</w:t>
      </w:r>
      <w:proofErr w:type="gramStart"/>
      <w:r w:rsidRPr="00AE72A5">
        <w:rPr>
          <w:szCs w:val="20"/>
        </w:rPr>
        <w:t>online</w:t>
      </w:r>
      <w:proofErr w:type="gramEnd"/>
      <w:r w:rsidRPr="00AE72A5">
        <w:rPr>
          <w:szCs w:val="20"/>
        </w:rPr>
        <w:t>] Unfccc.int. Available at: http://unfccc.int/kyoto_protocol/items/2830.php [Accessed 10 Sep. 2015].</w:t>
      </w:r>
    </w:p>
    <w:p w:rsidR="00BB756B" w:rsidRDefault="00BB756B" w:rsidP="00EF4885">
      <w:pPr>
        <w:widowControl w:val="0"/>
        <w:autoSpaceDE w:val="0"/>
        <w:autoSpaceDN w:val="0"/>
        <w:adjustRightInd w:val="0"/>
        <w:spacing w:before="240" w:after="240"/>
        <w:ind w:left="499" w:hanging="499"/>
        <w:rPr>
          <w:szCs w:val="20"/>
        </w:rPr>
      </w:pPr>
      <w:proofErr w:type="gramStart"/>
      <w:r w:rsidRPr="00AE72A5">
        <w:rPr>
          <w:szCs w:val="20"/>
        </w:rPr>
        <w:t>Daily Post, (2015).</w:t>
      </w:r>
      <w:proofErr w:type="gramEnd"/>
      <w:r w:rsidRPr="00AE72A5">
        <w:rPr>
          <w:szCs w:val="20"/>
        </w:rPr>
        <w:t xml:space="preserve"> </w:t>
      </w:r>
      <w:proofErr w:type="spellStart"/>
      <w:proofErr w:type="gramStart"/>
      <w:r w:rsidRPr="00AE72A5">
        <w:rPr>
          <w:i/>
          <w:iCs/>
          <w:szCs w:val="20"/>
        </w:rPr>
        <w:t>Wylfa</w:t>
      </w:r>
      <w:proofErr w:type="spellEnd"/>
      <w:r w:rsidRPr="00AE72A5">
        <w:rPr>
          <w:i/>
          <w:iCs/>
          <w:szCs w:val="20"/>
        </w:rPr>
        <w:t xml:space="preserve"> </w:t>
      </w:r>
      <w:proofErr w:type="spellStart"/>
      <w:r w:rsidRPr="00AE72A5">
        <w:rPr>
          <w:i/>
          <w:iCs/>
          <w:szCs w:val="20"/>
        </w:rPr>
        <w:t>Newydd</w:t>
      </w:r>
      <w:proofErr w:type="spellEnd"/>
      <w:r w:rsidRPr="00AE72A5">
        <w:rPr>
          <w:i/>
          <w:iCs/>
          <w:szCs w:val="20"/>
        </w:rPr>
        <w:t xml:space="preserve"> developers still aiming for 2025 despite EDF's </w:t>
      </w:r>
      <w:proofErr w:type="spellStart"/>
      <w:r w:rsidRPr="00AE72A5">
        <w:rPr>
          <w:i/>
          <w:iCs/>
          <w:szCs w:val="20"/>
        </w:rPr>
        <w:t>Hinkley</w:t>
      </w:r>
      <w:proofErr w:type="spellEnd"/>
      <w:r w:rsidRPr="00AE72A5">
        <w:rPr>
          <w:i/>
          <w:iCs/>
          <w:szCs w:val="20"/>
        </w:rPr>
        <w:t xml:space="preserve"> Point delays</w:t>
      </w:r>
      <w:r w:rsidRPr="00AE72A5">
        <w:rPr>
          <w:szCs w:val="20"/>
        </w:rPr>
        <w:t>.</w:t>
      </w:r>
      <w:proofErr w:type="gramEnd"/>
      <w:r w:rsidRPr="00AE72A5">
        <w:rPr>
          <w:szCs w:val="20"/>
        </w:rPr>
        <w:t xml:space="preserve"> [</w:t>
      </w:r>
      <w:proofErr w:type="gramStart"/>
      <w:r w:rsidRPr="00AE72A5">
        <w:rPr>
          <w:szCs w:val="20"/>
        </w:rPr>
        <w:t>online</w:t>
      </w:r>
      <w:proofErr w:type="gramEnd"/>
      <w:r w:rsidRPr="00AE72A5">
        <w:rPr>
          <w:szCs w:val="20"/>
        </w:rPr>
        <w:t>] Available at: http://www.dailypost.co.uk/business/business-news/wylfa-newydd-developers-still-aiming-9993883 [Accessed 11 Sep. 2015].</w:t>
      </w:r>
    </w:p>
    <w:p w:rsidR="00AC65BD" w:rsidRDefault="00AC65BD" w:rsidP="00EF4885">
      <w:pPr>
        <w:widowControl w:val="0"/>
        <w:autoSpaceDE w:val="0"/>
        <w:autoSpaceDN w:val="0"/>
        <w:adjustRightInd w:val="0"/>
        <w:spacing w:before="240" w:after="240"/>
        <w:ind w:left="499" w:hanging="499"/>
        <w:rPr>
          <w:szCs w:val="20"/>
        </w:rPr>
      </w:pPr>
      <w:proofErr w:type="gramStart"/>
      <w:r>
        <w:rPr>
          <w:rStyle w:val="selectable"/>
        </w:rPr>
        <w:t>Dae.nic.in, (2015).</w:t>
      </w:r>
      <w:proofErr w:type="gramEnd"/>
      <w:r>
        <w:rPr>
          <w:rStyle w:val="selectable"/>
        </w:rPr>
        <w:t xml:space="preserve"> </w:t>
      </w:r>
      <w:proofErr w:type="gramStart"/>
      <w:r>
        <w:rPr>
          <w:rStyle w:val="selectable"/>
          <w:i/>
          <w:iCs/>
        </w:rPr>
        <w:t xml:space="preserve">Fast Breeder </w:t>
      </w:r>
      <w:proofErr w:type="spellStart"/>
      <w:r>
        <w:rPr>
          <w:rStyle w:val="selectable"/>
          <w:i/>
          <w:iCs/>
        </w:rPr>
        <w:t>Programme</w:t>
      </w:r>
      <w:proofErr w:type="spellEnd"/>
      <w:r>
        <w:rPr>
          <w:rStyle w:val="selectable"/>
          <w:i/>
          <w:iCs/>
        </w:rPr>
        <w:t xml:space="preserve"> | Department of Atomic Energy</w:t>
      </w:r>
      <w:r>
        <w:rPr>
          <w:rStyle w:val="selectable"/>
        </w:rPr>
        <w:t>.</w:t>
      </w:r>
      <w:proofErr w:type="gramEnd"/>
      <w:r>
        <w:rPr>
          <w:rStyle w:val="selectable"/>
        </w:rPr>
        <w:t xml:space="preserve"> [</w:t>
      </w:r>
      <w:proofErr w:type="gramStart"/>
      <w:r>
        <w:rPr>
          <w:rStyle w:val="selectable"/>
        </w:rPr>
        <w:t>online</w:t>
      </w:r>
      <w:proofErr w:type="gramEnd"/>
      <w:r>
        <w:rPr>
          <w:rStyle w:val="selectable"/>
        </w:rPr>
        <w:t>] Available at: http://dae.nic.in/?q=node/208 [Accessed 14 Oct. 2015].</w:t>
      </w:r>
    </w:p>
    <w:p w:rsidR="00EF4885" w:rsidRDefault="00BB756B" w:rsidP="00EF4885">
      <w:pPr>
        <w:widowControl w:val="0"/>
        <w:autoSpaceDE w:val="0"/>
        <w:autoSpaceDN w:val="0"/>
        <w:adjustRightInd w:val="0"/>
        <w:spacing w:before="240" w:after="240"/>
        <w:ind w:left="500" w:hanging="500"/>
        <w:rPr>
          <w:szCs w:val="20"/>
        </w:rPr>
      </w:pPr>
      <w:proofErr w:type="gramStart"/>
      <w:r>
        <w:rPr>
          <w:rStyle w:val="selectable"/>
        </w:rPr>
        <w:t>Department of Energy and Climate Change, (2011a).</w:t>
      </w:r>
      <w:proofErr w:type="gramEnd"/>
      <w:r>
        <w:rPr>
          <w:rStyle w:val="selectable"/>
        </w:rPr>
        <w:t xml:space="preserve"> </w:t>
      </w:r>
      <w:r>
        <w:rPr>
          <w:rStyle w:val="selectable"/>
          <w:i/>
          <w:iCs/>
        </w:rPr>
        <w:t>Electricity Generation Cost Model - 2011 Update Revision 1</w:t>
      </w:r>
      <w:r>
        <w:rPr>
          <w:rStyle w:val="selectable"/>
        </w:rPr>
        <w:t xml:space="preserve">. </w:t>
      </w:r>
      <w:proofErr w:type="gramStart"/>
      <w:r>
        <w:rPr>
          <w:rStyle w:val="selectable"/>
        </w:rPr>
        <w:t>Parsons Brinckerhoff.</w:t>
      </w:r>
      <w:proofErr w:type="gramEnd"/>
      <w:r w:rsidR="00EF4885" w:rsidRPr="00EF4885">
        <w:rPr>
          <w:szCs w:val="20"/>
        </w:rPr>
        <w:t xml:space="preserve"> </w:t>
      </w:r>
    </w:p>
    <w:p w:rsidR="00BB756B" w:rsidRDefault="00EF4885" w:rsidP="00EF4885">
      <w:pPr>
        <w:widowControl w:val="0"/>
        <w:autoSpaceDE w:val="0"/>
        <w:autoSpaceDN w:val="0"/>
        <w:adjustRightInd w:val="0"/>
        <w:spacing w:before="240" w:after="240"/>
        <w:ind w:left="500" w:hanging="500"/>
        <w:rPr>
          <w:szCs w:val="20"/>
        </w:rPr>
      </w:pPr>
      <w:proofErr w:type="gramStart"/>
      <w:r w:rsidRPr="00EF4885">
        <w:rPr>
          <w:szCs w:val="20"/>
        </w:rPr>
        <w:t>Department of Energy &amp; Climate Change, (2015).</w:t>
      </w:r>
      <w:proofErr w:type="gramEnd"/>
      <w:r w:rsidRPr="00EF4885">
        <w:rPr>
          <w:szCs w:val="20"/>
        </w:rPr>
        <w:t xml:space="preserve"> </w:t>
      </w:r>
      <w:r w:rsidRPr="00EF4885">
        <w:rPr>
          <w:i/>
          <w:iCs/>
          <w:szCs w:val="20"/>
        </w:rPr>
        <w:t>2013 UK greenhouse gas emissions: final figures - statistical release</w:t>
      </w:r>
      <w:r w:rsidRPr="00EF4885">
        <w:rPr>
          <w:szCs w:val="20"/>
        </w:rPr>
        <w:t xml:space="preserve">. </w:t>
      </w:r>
      <w:proofErr w:type="gramStart"/>
      <w:r w:rsidRPr="00EF4885">
        <w:rPr>
          <w:szCs w:val="20"/>
        </w:rPr>
        <w:t>Departm</w:t>
      </w:r>
      <w:r>
        <w:rPr>
          <w:szCs w:val="20"/>
        </w:rPr>
        <w:t>ent of Energy &amp; Climate Change.</w:t>
      </w:r>
      <w:proofErr w:type="gramEnd"/>
    </w:p>
    <w:p w:rsidR="00EF4885" w:rsidRPr="00EF4885" w:rsidRDefault="00EF4885" w:rsidP="00EF4885">
      <w:pPr>
        <w:widowControl w:val="0"/>
        <w:autoSpaceDE w:val="0"/>
        <w:autoSpaceDN w:val="0"/>
        <w:adjustRightInd w:val="0"/>
        <w:spacing w:before="240" w:after="240"/>
        <w:ind w:left="500" w:hanging="500"/>
        <w:rPr>
          <w:szCs w:val="20"/>
        </w:rPr>
      </w:pPr>
      <w:proofErr w:type="gramStart"/>
      <w:r w:rsidRPr="00EF4885">
        <w:rPr>
          <w:szCs w:val="20"/>
        </w:rPr>
        <w:t>Eia.gov, (2015).</w:t>
      </w:r>
      <w:proofErr w:type="gramEnd"/>
      <w:r w:rsidRPr="00EF4885">
        <w:rPr>
          <w:szCs w:val="20"/>
        </w:rPr>
        <w:t xml:space="preserve"> </w:t>
      </w:r>
      <w:proofErr w:type="gramStart"/>
      <w:r w:rsidRPr="00EF4885">
        <w:rPr>
          <w:i/>
          <w:iCs/>
          <w:szCs w:val="20"/>
        </w:rPr>
        <w:t>Environment - U.S. Energy Information Administration (EIA) - U.S. Energy Information Administration (EIA)</w:t>
      </w:r>
      <w:r w:rsidRPr="00EF4885">
        <w:rPr>
          <w:szCs w:val="20"/>
        </w:rPr>
        <w:t>.</w:t>
      </w:r>
      <w:proofErr w:type="gramEnd"/>
      <w:r w:rsidRPr="00EF4885">
        <w:rPr>
          <w:szCs w:val="20"/>
        </w:rPr>
        <w:t xml:space="preserve"> [</w:t>
      </w:r>
      <w:proofErr w:type="gramStart"/>
      <w:r w:rsidRPr="00EF4885">
        <w:rPr>
          <w:szCs w:val="20"/>
        </w:rPr>
        <w:t>online</w:t>
      </w:r>
      <w:proofErr w:type="gramEnd"/>
      <w:r w:rsidRPr="00EF4885">
        <w:rPr>
          <w:szCs w:val="20"/>
        </w:rPr>
        <w:t>] Available at: http://www.eia.gov/environment/emissions/co2_vol_mass.cfm [Accessed 19 Oct. 2015].</w:t>
      </w:r>
    </w:p>
    <w:p w:rsidR="00BB756B" w:rsidRDefault="00BB756B" w:rsidP="00EF4885">
      <w:pPr>
        <w:widowControl w:val="0"/>
        <w:autoSpaceDE w:val="0"/>
        <w:autoSpaceDN w:val="0"/>
        <w:adjustRightInd w:val="0"/>
        <w:spacing w:before="240" w:after="240"/>
        <w:ind w:left="499" w:hanging="499"/>
        <w:rPr>
          <w:szCs w:val="20"/>
        </w:rPr>
      </w:pPr>
      <w:r w:rsidRPr="00AE72A5">
        <w:rPr>
          <w:szCs w:val="20"/>
        </w:rPr>
        <w:t xml:space="preserve">Ekins, P., Strachan, N., </w:t>
      </w:r>
      <w:proofErr w:type="spellStart"/>
      <w:r w:rsidRPr="00AE72A5">
        <w:rPr>
          <w:szCs w:val="20"/>
        </w:rPr>
        <w:t>Keppo</w:t>
      </w:r>
      <w:proofErr w:type="spellEnd"/>
      <w:r w:rsidRPr="00AE72A5">
        <w:rPr>
          <w:szCs w:val="20"/>
        </w:rPr>
        <w:t xml:space="preserve">, I., Usher, W., </w:t>
      </w:r>
      <w:proofErr w:type="spellStart"/>
      <w:r w:rsidRPr="00AE72A5">
        <w:rPr>
          <w:szCs w:val="20"/>
        </w:rPr>
        <w:t>Skea</w:t>
      </w:r>
      <w:proofErr w:type="spellEnd"/>
      <w:r w:rsidRPr="00AE72A5">
        <w:rPr>
          <w:szCs w:val="20"/>
        </w:rPr>
        <w:t xml:space="preserve">, J. and </w:t>
      </w:r>
      <w:proofErr w:type="spellStart"/>
      <w:r w:rsidRPr="00AE72A5">
        <w:rPr>
          <w:szCs w:val="20"/>
        </w:rPr>
        <w:t>Anandarajah</w:t>
      </w:r>
      <w:proofErr w:type="spellEnd"/>
      <w:r w:rsidRPr="00AE72A5">
        <w:rPr>
          <w:szCs w:val="20"/>
        </w:rPr>
        <w:t xml:space="preserve">, G. (2013). </w:t>
      </w:r>
      <w:r w:rsidRPr="00AE72A5">
        <w:rPr>
          <w:i/>
          <w:iCs/>
          <w:szCs w:val="20"/>
        </w:rPr>
        <w:t>The UK energy system in 2050: Comparing Low-Carbon, Resilient Scenarios</w:t>
      </w:r>
      <w:r w:rsidRPr="00AE72A5">
        <w:rPr>
          <w:szCs w:val="20"/>
        </w:rPr>
        <w:t>. [</w:t>
      </w:r>
      <w:proofErr w:type="gramStart"/>
      <w:r w:rsidRPr="00AE72A5">
        <w:rPr>
          <w:szCs w:val="20"/>
        </w:rPr>
        <w:t>online</w:t>
      </w:r>
      <w:proofErr w:type="gramEnd"/>
      <w:r w:rsidRPr="00AE72A5">
        <w:rPr>
          <w:szCs w:val="20"/>
        </w:rPr>
        <w:t>] London: UK Energy Research Centre. Available at: http://www.ukerc.ac.uk/publications/the-uk-energy-system-in-2050-comparing-low-carbon-resilient-scenarios.html [Accessed 11 Sep. 2015].</w:t>
      </w:r>
    </w:p>
    <w:p w:rsidR="00EF4885" w:rsidRDefault="00EF4885" w:rsidP="00EF4885">
      <w:pPr>
        <w:widowControl w:val="0"/>
        <w:autoSpaceDE w:val="0"/>
        <w:autoSpaceDN w:val="0"/>
        <w:adjustRightInd w:val="0"/>
        <w:spacing w:before="240" w:after="240"/>
        <w:ind w:left="500" w:hanging="500"/>
        <w:rPr>
          <w:szCs w:val="20"/>
        </w:rPr>
      </w:pPr>
      <w:proofErr w:type="gramStart"/>
      <w:r w:rsidRPr="00EF4885">
        <w:rPr>
          <w:szCs w:val="20"/>
        </w:rPr>
        <w:t>Engineeringtoolbox.com, (2015).</w:t>
      </w:r>
      <w:proofErr w:type="gramEnd"/>
      <w:r w:rsidRPr="00EF4885">
        <w:rPr>
          <w:szCs w:val="20"/>
        </w:rPr>
        <w:t xml:space="preserve"> </w:t>
      </w:r>
      <w:proofErr w:type="gramStart"/>
      <w:r w:rsidRPr="00EF4885">
        <w:rPr>
          <w:i/>
          <w:iCs/>
          <w:szCs w:val="20"/>
        </w:rPr>
        <w:t>Combustion Fuels - Carbon Dioxide Emission</w:t>
      </w:r>
      <w:r w:rsidRPr="00EF4885">
        <w:rPr>
          <w:szCs w:val="20"/>
        </w:rPr>
        <w:t>.</w:t>
      </w:r>
      <w:proofErr w:type="gramEnd"/>
      <w:r w:rsidRPr="00EF4885">
        <w:rPr>
          <w:szCs w:val="20"/>
        </w:rPr>
        <w:t xml:space="preserve"> [</w:t>
      </w:r>
      <w:proofErr w:type="gramStart"/>
      <w:r w:rsidRPr="00EF4885">
        <w:rPr>
          <w:szCs w:val="20"/>
        </w:rPr>
        <w:t>online</w:t>
      </w:r>
      <w:proofErr w:type="gramEnd"/>
      <w:r w:rsidRPr="00EF4885">
        <w:rPr>
          <w:szCs w:val="20"/>
        </w:rPr>
        <w:t>] Available at: http://www.engineeringtoolbox.com/co2-emission-fuels-d_108</w:t>
      </w:r>
      <w:r>
        <w:rPr>
          <w:szCs w:val="20"/>
        </w:rPr>
        <w:t>5.html [Accessed 26 Oct. 2015].</w:t>
      </w:r>
    </w:p>
    <w:p w:rsidR="00EF4885" w:rsidRPr="00EF4885" w:rsidRDefault="00EF4885" w:rsidP="00EF4885">
      <w:pPr>
        <w:widowControl w:val="0"/>
        <w:autoSpaceDE w:val="0"/>
        <w:autoSpaceDN w:val="0"/>
        <w:adjustRightInd w:val="0"/>
        <w:spacing w:before="240" w:after="240"/>
        <w:ind w:left="500" w:hanging="500"/>
        <w:rPr>
          <w:szCs w:val="20"/>
        </w:rPr>
      </w:pPr>
      <w:proofErr w:type="gramStart"/>
      <w:r w:rsidRPr="00EF4885">
        <w:rPr>
          <w:szCs w:val="20"/>
        </w:rPr>
        <w:t>Halper, M. (2014).</w:t>
      </w:r>
      <w:proofErr w:type="gramEnd"/>
      <w:r w:rsidRPr="00EF4885">
        <w:rPr>
          <w:szCs w:val="20"/>
        </w:rPr>
        <w:t xml:space="preserve"> UK prepared to regulate small modular reactors. </w:t>
      </w:r>
      <w:proofErr w:type="gramStart"/>
      <w:r w:rsidRPr="00EF4885">
        <w:rPr>
          <w:i/>
          <w:iCs/>
          <w:szCs w:val="20"/>
        </w:rPr>
        <w:t>Energy 2.0</w:t>
      </w:r>
      <w:r w:rsidRPr="00EF4885">
        <w:rPr>
          <w:szCs w:val="20"/>
        </w:rPr>
        <w:t>.</w:t>
      </w:r>
      <w:proofErr w:type="gramEnd"/>
    </w:p>
    <w:p w:rsidR="00BB756B" w:rsidRDefault="00BB756B" w:rsidP="00EF4885">
      <w:pPr>
        <w:widowControl w:val="0"/>
        <w:autoSpaceDE w:val="0"/>
        <w:autoSpaceDN w:val="0"/>
        <w:adjustRightInd w:val="0"/>
        <w:spacing w:before="240" w:after="240"/>
        <w:ind w:left="499" w:hanging="499"/>
        <w:rPr>
          <w:szCs w:val="20"/>
        </w:rPr>
      </w:pPr>
      <w:proofErr w:type="gramStart"/>
      <w:r w:rsidRPr="00AE72A5">
        <w:rPr>
          <w:szCs w:val="20"/>
        </w:rPr>
        <w:t>HM Government, (2011).</w:t>
      </w:r>
      <w:proofErr w:type="gramEnd"/>
      <w:r w:rsidRPr="00AE72A5">
        <w:rPr>
          <w:szCs w:val="20"/>
        </w:rPr>
        <w:t xml:space="preserve"> </w:t>
      </w:r>
      <w:r w:rsidRPr="00AE72A5">
        <w:rPr>
          <w:i/>
          <w:iCs/>
          <w:szCs w:val="20"/>
        </w:rPr>
        <w:t>The Carbon Plan: Delivering our low carbon future</w:t>
      </w:r>
      <w:r w:rsidRPr="00AE72A5">
        <w:rPr>
          <w:szCs w:val="20"/>
        </w:rPr>
        <w:t>. London: Department of Energy &amp; Climate Change.</w:t>
      </w:r>
    </w:p>
    <w:p w:rsidR="00BB756B" w:rsidRPr="00AE72A5" w:rsidRDefault="00BB756B" w:rsidP="00EF4885">
      <w:pPr>
        <w:widowControl w:val="0"/>
        <w:autoSpaceDE w:val="0"/>
        <w:autoSpaceDN w:val="0"/>
        <w:adjustRightInd w:val="0"/>
        <w:spacing w:before="240" w:after="240"/>
        <w:ind w:left="499" w:hanging="499"/>
        <w:rPr>
          <w:szCs w:val="20"/>
        </w:rPr>
      </w:pPr>
      <w:proofErr w:type="gramStart"/>
      <w:r>
        <w:rPr>
          <w:rStyle w:val="selectable"/>
        </w:rPr>
        <w:t>HM Government, (2013a).</w:t>
      </w:r>
      <w:proofErr w:type="gramEnd"/>
      <w:r>
        <w:rPr>
          <w:rStyle w:val="selectable"/>
        </w:rPr>
        <w:t xml:space="preserve"> </w:t>
      </w:r>
      <w:proofErr w:type="gramStart"/>
      <w:r>
        <w:rPr>
          <w:rStyle w:val="selectable"/>
          <w:i/>
          <w:iCs/>
        </w:rPr>
        <w:t>Energy Act 2013</w:t>
      </w:r>
      <w:r>
        <w:rPr>
          <w:rStyle w:val="selectable"/>
        </w:rPr>
        <w:t>.</w:t>
      </w:r>
      <w:proofErr w:type="gramEnd"/>
      <w:r>
        <w:rPr>
          <w:rStyle w:val="selectable"/>
        </w:rPr>
        <w:t xml:space="preserve"> London: HM Government.</w:t>
      </w:r>
    </w:p>
    <w:p w:rsidR="00BB756B" w:rsidRPr="00AE72A5" w:rsidRDefault="00BB756B" w:rsidP="00EF4885">
      <w:pPr>
        <w:widowControl w:val="0"/>
        <w:autoSpaceDE w:val="0"/>
        <w:autoSpaceDN w:val="0"/>
        <w:adjustRightInd w:val="0"/>
        <w:spacing w:before="240" w:after="240"/>
        <w:ind w:left="499" w:hanging="499"/>
        <w:rPr>
          <w:szCs w:val="20"/>
        </w:rPr>
      </w:pPr>
      <w:proofErr w:type="gramStart"/>
      <w:r w:rsidRPr="00AE72A5">
        <w:rPr>
          <w:szCs w:val="20"/>
        </w:rPr>
        <w:t>HM Government, (2013</w:t>
      </w:r>
      <w:r>
        <w:rPr>
          <w:szCs w:val="20"/>
        </w:rPr>
        <w:t>b</w:t>
      </w:r>
      <w:r w:rsidRPr="00AE72A5">
        <w:rPr>
          <w:szCs w:val="20"/>
        </w:rPr>
        <w:t>).</w:t>
      </w:r>
      <w:proofErr w:type="gramEnd"/>
      <w:r w:rsidRPr="00AE72A5">
        <w:rPr>
          <w:szCs w:val="20"/>
        </w:rPr>
        <w:t xml:space="preserve"> </w:t>
      </w:r>
      <w:r w:rsidRPr="00AE72A5">
        <w:rPr>
          <w:i/>
          <w:iCs/>
          <w:szCs w:val="20"/>
        </w:rPr>
        <w:t xml:space="preserve">Long-term Nuclear </w:t>
      </w:r>
      <w:proofErr w:type="gramStart"/>
      <w:r w:rsidRPr="00AE72A5">
        <w:rPr>
          <w:i/>
          <w:iCs/>
          <w:szCs w:val="20"/>
        </w:rPr>
        <w:t>Energy  Strategy</w:t>
      </w:r>
      <w:proofErr w:type="gramEnd"/>
      <w:r w:rsidR="00AD0B8A">
        <w:rPr>
          <w:szCs w:val="20"/>
        </w:rPr>
        <w:t>. London: Department of Ener</w:t>
      </w:r>
      <w:r w:rsidRPr="00AE72A5">
        <w:rPr>
          <w:szCs w:val="20"/>
        </w:rPr>
        <w:t>gy and Climate Change.</w:t>
      </w:r>
    </w:p>
    <w:p w:rsidR="00BB756B" w:rsidRDefault="00BB756B" w:rsidP="00EF4885">
      <w:pPr>
        <w:widowControl w:val="0"/>
        <w:autoSpaceDE w:val="0"/>
        <w:autoSpaceDN w:val="0"/>
        <w:adjustRightInd w:val="0"/>
        <w:spacing w:before="240" w:after="240"/>
        <w:ind w:left="499" w:hanging="499"/>
        <w:rPr>
          <w:rStyle w:val="selectable"/>
        </w:rPr>
      </w:pPr>
      <w:proofErr w:type="gramStart"/>
      <w:r>
        <w:rPr>
          <w:rStyle w:val="selectable"/>
        </w:rPr>
        <w:t>International Atomic Energy Agency, (2014a).</w:t>
      </w:r>
      <w:proofErr w:type="gramEnd"/>
      <w:r>
        <w:rPr>
          <w:rStyle w:val="selectable"/>
        </w:rPr>
        <w:t xml:space="preserve"> </w:t>
      </w:r>
      <w:r>
        <w:rPr>
          <w:rStyle w:val="selectable"/>
          <w:i/>
          <w:iCs/>
        </w:rPr>
        <w:t xml:space="preserve">SMRs </w:t>
      </w:r>
      <w:proofErr w:type="gramStart"/>
      <w:r>
        <w:rPr>
          <w:rStyle w:val="selectable"/>
          <w:i/>
          <w:iCs/>
        </w:rPr>
        <w:t>Under</w:t>
      </w:r>
      <w:proofErr w:type="gramEnd"/>
      <w:r>
        <w:rPr>
          <w:rStyle w:val="selectable"/>
          <w:i/>
          <w:iCs/>
        </w:rPr>
        <w:t xml:space="preserve"> Construction for Immediate Deployment</w:t>
      </w:r>
      <w:r>
        <w:rPr>
          <w:rStyle w:val="selectable"/>
        </w:rPr>
        <w:t>. Vienna: International Atomic Energy Agency.</w:t>
      </w:r>
    </w:p>
    <w:p w:rsidR="00BB756B" w:rsidRPr="00AE72A5" w:rsidRDefault="00BB756B" w:rsidP="00EF4885">
      <w:pPr>
        <w:widowControl w:val="0"/>
        <w:autoSpaceDE w:val="0"/>
        <w:autoSpaceDN w:val="0"/>
        <w:adjustRightInd w:val="0"/>
        <w:spacing w:before="240" w:after="240"/>
        <w:ind w:left="499" w:hanging="499"/>
        <w:rPr>
          <w:szCs w:val="20"/>
        </w:rPr>
      </w:pPr>
      <w:proofErr w:type="gramStart"/>
      <w:r>
        <w:rPr>
          <w:rStyle w:val="selectable"/>
        </w:rPr>
        <w:t>International Atomic Energy Agency, (2014b).</w:t>
      </w:r>
      <w:proofErr w:type="gramEnd"/>
      <w:r>
        <w:rPr>
          <w:rStyle w:val="selectable"/>
        </w:rPr>
        <w:t xml:space="preserve"> </w:t>
      </w:r>
      <w:r>
        <w:rPr>
          <w:rStyle w:val="selectable"/>
          <w:i/>
          <w:iCs/>
        </w:rPr>
        <w:t xml:space="preserve">SMRs under development for </w:t>
      </w:r>
      <w:proofErr w:type="gramStart"/>
      <w:r>
        <w:rPr>
          <w:rStyle w:val="selectable"/>
          <w:i/>
          <w:iCs/>
        </w:rPr>
        <w:t>Near</w:t>
      </w:r>
      <w:proofErr w:type="gramEnd"/>
      <w:r>
        <w:rPr>
          <w:rStyle w:val="selectable"/>
          <w:i/>
          <w:iCs/>
        </w:rPr>
        <w:t xml:space="preserve"> - term Deployment</w:t>
      </w:r>
      <w:r>
        <w:rPr>
          <w:rStyle w:val="selectable"/>
        </w:rPr>
        <w:t>. Vienna: International Atomic Energy Agency.</w:t>
      </w:r>
    </w:p>
    <w:p w:rsidR="008C65F5" w:rsidRDefault="008C65F5" w:rsidP="00EF4885">
      <w:pPr>
        <w:widowControl w:val="0"/>
        <w:autoSpaceDE w:val="0"/>
        <w:autoSpaceDN w:val="0"/>
        <w:adjustRightInd w:val="0"/>
        <w:spacing w:before="240" w:after="240"/>
        <w:ind w:left="499" w:hanging="499"/>
        <w:rPr>
          <w:szCs w:val="20"/>
        </w:rPr>
      </w:pPr>
      <w:proofErr w:type="gramStart"/>
      <w:r w:rsidRPr="00AE72A5">
        <w:rPr>
          <w:szCs w:val="20"/>
        </w:rPr>
        <w:t>Liu, Z. and Fan, J. (2014).</w:t>
      </w:r>
      <w:proofErr w:type="gramEnd"/>
      <w:r w:rsidRPr="00AE72A5">
        <w:rPr>
          <w:szCs w:val="20"/>
        </w:rPr>
        <w:t xml:space="preserve"> Technology readiness assessment of Small Modular Reactor (SMR) designs. </w:t>
      </w:r>
      <w:proofErr w:type="gramStart"/>
      <w:r w:rsidRPr="00AE72A5">
        <w:rPr>
          <w:i/>
          <w:iCs/>
          <w:szCs w:val="20"/>
        </w:rPr>
        <w:t>Progress in Nuclear Energy</w:t>
      </w:r>
      <w:r w:rsidRPr="00AE72A5">
        <w:rPr>
          <w:szCs w:val="20"/>
        </w:rPr>
        <w:t>, 70, pp.20-28.</w:t>
      </w:r>
      <w:proofErr w:type="gramEnd"/>
    </w:p>
    <w:p w:rsidR="008C65F5" w:rsidRPr="00AE72A5" w:rsidRDefault="008C65F5" w:rsidP="00EF4885">
      <w:pPr>
        <w:widowControl w:val="0"/>
        <w:autoSpaceDE w:val="0"/>
        <w:autoSpaceDN w:val="0"/>
        <w:adjustRightInd w:val="0"/>
        <w:spacing w:before="240" w:after="240"/>
        <w:ind w:left="499" w:hanging="499"/>
        <w:rPr>
          <w:szCs w:val="20"/>
        </w:rPr>
      </w:pPr>
      <w:proofErr w:type="gramStart"/>
      <w:r w:rsidRPr="00AE72A5">
        <w:rPr>
          <w:szCs w:val="20"/>
        </w:rPr>
        <w:t>Processengineering.theengineer.co.uk, (2015).</w:t>
      </w:r>
      <w:proofErr w:type="gramEnd"/>
      <w:r w:rsidRPr="00AE72A5">
        <w:rPr>
          <w:szCs w:val="20"/>
        </w:rPr>
        <w:t xml:space="preserve"> </w:t>
      </w:r>
      <w:proofErr w:type="spellStart"/>
      <w:proofErr w:type="gramStart"/>
      <w:r w:rsidRPr="00AE72A5">
        <w:rPr>
          <w:i/>
          <w:iCs/>
          <w:szCs w:val="20"/>
        </w:rPr>
        <w:t>Ferrybridge</w:t>
      </w:r>
      <w:proofErr w:type="spellEnd"/>
      <w:r w:rsidRPr="00AE72A5">
        <w:rPr>
          <w:i/>
          <w:iCs/>
          <w:szCs w:val="20"/>
        </w:rPr>
        <w:t xml:space="preserve"> power station to close | Business news | Process Engineering</w:t>
      </w:r>
      <w:r w:rsidRPr="00AE72A5">
        <w:rPr>
          <w:szCs w:val="20"/>
        </w:rPr>
        <w:t>.</w:t>
      </w:r>
      <w:proofErr w:type="gramEnd"/>
      <w:r w:rsidRPr="00AE72A5">
        <w:rPr>
          <w:szCs w:val="20"/>
        </w:rPr>
        <w:t xml:space="preserve"> [</w:t>
      </w:r>
      <w:proofErr w:type="gramStart"/>
      <w:r w:rsidRPr="00AE72A5">
        <w:rPr>
          <w:szCs w:val="20"/>
        </w:rPr>
        <w:t>online</w:t>
      </w:r>
      <w:proofErr w:type="gramEnd"/>
      <w:r w:rsidRPr="00AE72A5">
        <w:rPr>
          <w:szCs w:val="20"/>
        </w:rPr>
        <w:t>] Available at: http://processengineering.theengineer.co.uk/power-and-water/ferrybridge-</w:t>
      </w:r>
      <w:proofErr w:type="gramStart"/>
      <w:r w:rsidRPr="00AE72A5">
        <w:rPr>
          <w:szCs w:val="20"/>
        </w:rPr>
        <w:t>power-station-to-close/1020393.article</w:t>
      </w:r>
      <w:proofErr w:type="gramEnd"/>
      <w:r w:rsidRPr="00AE72A5">
        <w:rPr>
          <w:szCs w:val="20"/>
        </w:rPr>
        <w:t xml:space="preserve"> [Accessed 10 Sep. 2015].</w:t>
      </w:r>
    </w:p>
    <w:p w:rsidR="00EF4885" w:rsidRPr="00AE72A5" w:rsidRDefault="008C65F5" w:rsidP="000B427E">
      <w:pPr>
        <w:widowControl w:val="0"/>
        <w:autoSpaceDE w:val="0"/>
        <w:autoSpaceDN w:val="0"/>
        <w:adjustRightInd w:val="0"/>
        <w:spacing w:before="240" w:after="240"/>
        <w:ind w:left="499" w:hanging="499"/>
        <w:rPr>
          <w:szCs w:val="20"/>
        </w:rPr>
      </w:pPr>
      <w:proofErr w:type="spellStart"/>
      <w:proofErr w:type="gramStart"/>
      <w:r w:rsidRPr="00AE72A5">
        <w:rPr>
          <w:szCs w:val="20"/>
        </w:rPr>
        <w:t>Ramana</w:t>
      </w:r>
      <w:proofErr w:type="spellEnd"/>
      <w:r w:rsidRPr="00AE72A5">
        <w:rPr>
          <w:szCs w:val="20"/>
        </w:rPr>
        <w:t>, M., Hopkins, L. and Glaser, A. (2013).</w:t>
      </w:r>
      <w:proofErr w:type="gramEnd"/>
      <w:r w:rsidRPr="00AE72A5">
        <w:rPr>
          <w:szCs w:val="20"/>
        </w:rPr>
        <w:t xml:space="preserve"> </w:t>
      </w:r>
      <w:proofErr w:type="gramStart"/>
      <w:r w:rsidRPr="00AE72A5">
        <w:rPr>
          <w:szCs w:val="20"/>
        </w:rPr>
        <w:t>Licensing small modular reactors.</w:t>
      </w:r>
      <w:proofErr w:type="gramEnd"/>
      <w:r w:rsidRPr="00AE72A5">
        <w:rPr>
          <w:szCs w:val="20"/>
        </w:rPr>
        <w:t xml:space="preserve"> </w:t>
      </w:r>
      <w:proofErr w:type="gramStart"/>
      <w:r w:rsidRPr="00AE72A5">
        <w:rPr>
          <w:i/>
          <w:iCs/>
          <w:szCs w:val="20"/>
        </w:rPr>
        <w:t>Energy</w:t>
      </w:r>
      <w:r w:rsidRPr="00AE72A5">
        <w:rPr>
          <w:szCs w:val="20"/>
        </w:rPr>
        <w:t>, 61, pp.555-564.</w:t>
      </w:r>
      <w:proofErr w:type="gramEnd"/>
    </w:p>
    <w:p w:rsidR="00EF4885" w:rsidRDefault="00EF4885" w:rsidP="00EF4885">
      <w:pPr>
        <w:widowControl w:val="0"/>
        <w:autoSpaceDE w:val="0"/>
        <w:autoSpaceDN w:val="0"/>
        <w:adjustRightInd w:val="0"/>
        <w:spacing w:before="240" w:after="240"/>
        <w:ind w:left="500" w:hanging="500"/>
        <w:rPr>
          <w:szCs w:val="20"/>
        </w:rPr>
      </w:pPr>
      <w:proofErr w:type="gramStart"/>
      <w:r w:rsidRPr="00EF4885">
        <w:rPr>
          <w:szCs w:val="20"/>
        </w:rPr>
        <w:t>Rothwell, G. and Ganda, F. (2014).</w:t>
      </w:r>
      <w:proofErr w:type="gramEnd"/>
      <w:r w:rsidRPr="00EF4885">
        <w:rPr>
          <w:szCs w:val="20"/>
        </w:rPr>
        <w:t xml:space="preserve"> </w:t>
      </w:r>
      <w:proofErr w:type="gramStart"/>
      <w:r w:rsidRPr="00EF4885">
        <w:rPr>
          <w:i/>
          <w:iCs/>
          <w:szCs w:val="20"/>
        </w:rPr>
        <w:t>Electricity  Generating</w:t>
      </w:r>
      <w:proofErr w:type="gramEnd"/>
      <w:r w:rsidRPr="00EF4885">
        <w:rPr>
          <w:i/>
          <w:iCs/>
          <w:szCs w:val="20"/>
        </w:rPr>
        <w:t xml:space="preserve">  Portfolio s with  Small Modular Reactors</w:t>
      </w:r>
      <w:r w:rsidRPr="00EF4885">
        <w:rPr>
          <w:szCs w:val="20"/>
        </w:rPr>
        <w:t>. Argonne: Nuclear Engineering Division.</w:t>
      </w:r>
    </w:p>
    <w:p w:rsidR="000B427E" w:rsidRPr="00EF4885" w:rsidRDefault="000B427E" w:rsidP="00EF4885">
      <w:pPr>
        <w:widowControl w:val="0"/>
        <w:autoSpaceDE w:val="0"/>
        <w:autoSpaceDN w:val="0"/>
        <w:adjustRightInd w:val="0"/>
        <w:spacing w:before="240" w:after="240"/>
        <w:ind w:left="500" w:hanging="500"/>
        <w:rPr>
          <w:szCs w:val="20"/>
        </w:rPr>
      </w:pPr>
      <w:r>
        <w:rPr>
          <w:rStyle w:val="selectable"/>
        </w:rPr>
        <w:t xml:space="preserve">Schneider, M., Froggatt, A., Hosokawa, K., Thomas, S., Yamaguchi, Y. and </w:t>
      </w:r>
      <w:proofErr w:type="spellStart"/>
      <w:r>
        <w:rPr>
          <w:rStyle w:val="selectable"/>
        </w:rPr>
        <w:t>Hazemann</w:t>
      </w:r>
      <w:proofErr w:type="spellEnd"/>
      <w:r>
        <w:rPr>
          <w:rStyle w:val="selectable"/>
        </w:rPr>
        <w:t xml:space="preserve">, J. (2013). </w:t>
      </w:r>
      <w:proofErr w:type="gramStart"/>
      <w:r>
        <w:rPr>
          <w:rStyle w:val="selectable"/>
          <w:i/>
          <w:iCs/>
        </w:rPr>
        <w:t>The World Nuclear Industry Status Report 2013</w:t>
      </w:r>
      <w:r>
        <w:rPr>
          <w:rStyle w:val="selectable"/>
        </w:rPr>
        <w:t>.</w:t>
      </w:r>
      <w:proofErr w:type="gramEnd"/>
      <w:r>
        <w:rPr>
          <w:rStyle w:val="selectable"/>
        </w:rPr>
        <w:t xml:space="preserve"> Paris, London: </w:t>
      </w:r>
      <w:proofErr w:type="spellStart"/>
      <w:r>
        <w:rPr>
          <w:rStyle w:val="selectable"/>
        </w:rPr>
        <w:t>Mycle</w:t>
      </w:r>
      <w:proofErr w:type="spellEnd"/>
      <w:r>
        <w:rPr>
          <w:rStyle w:val="selectable"/>
        </w:rPr>
        <w:t xml:space="preserve"> Schneider Consulting.</w:t>
      </w:r>
    </w:p>
    <w:p w:rsidR="008C65F5" w:rsidRPr="00AE72A5" w:rsidRDefault="008C65F5" w:rsidP="00EF4885">
      <w:pPr>
        <w:widowControl w:val="0"/>
        <w:autoSpaceDE w:val="0"/>
        <w:autoSpaceDN w:val="0"/>
        <w:adjustRightInd w:val="0"/>
        <w:spacing w:before="240" w:after="240"/>
        <w:ind w:left="499" w:hanging="499"/>
        <w:rPr>
          <w:szCs w:val="20"/>
        </w:rPr>
      </w:pPr>
      <w:proofErr w:type="spellStart"/>
      <w:proofErr w:type="gramStart"/>
      <w:r w:rsidRPr="00AE72A5">
        <w:rPr>
          <w:szCs w:val="20"/>
        </w:rPr>
        <w:t>Smeed</w:t>
      </w:r>
      <w:proofErr w:type="spellEnd"/>
      <w:r w:rsidRPr="00AE72A5">
        <w:rPr>
          <w:szCs w:val="20"/>
        </w:rPr>
        <w:t>, M. (2015).</w:t>
      </w:r>
      <w:proofErr w:type="gramEnd"/>
      <w:r w:rsidRPr="00AE72A5">
        <w:rPr>
          <w:szCs w:val="20"/>
        </w:rPr>
        <w:t xml:space="preserve"> </w:t>
      </w:r>
      <w:proofErr w:type="gramStart"/>
      <w:r w:rsidRPr="00AE72A5">
        <w:rPr>
          <w:i/>
          <w:iCs/>
          <w:szCs w:val="20"/>
        </w:rPr>
        <w:t>Coal generation | Energy UK</w:t>
      </w:r>
      <w:r w:rsidRPr="00AE72A5">
        <w:rPr>
          <w:szCs w:val="20"/>
        </w:rPr>
        <w:t>.</w:t>
      </w:r>
      <w:proofErr w:type="gramEnd"/>
      <w:r w:rsidRPr="00AE72A5">
        <w:rPr>
          <w:szCs w:val="20"/>
        </w:rPr>
        <w:t xml:space="preserve"> [</w:t>
      </w:r>
      <w:proofErr w:type="gramStart"/>
      <w:r w:rsidRPr="00AE72A5">
        <w:rPr>
          <w:szCs w:val="20"/>
        </w:rPr>
        <w:t>online</w:t>
      </w:r>
      <w:proofErr w:type="gramEnd"/>
      <w:r w:rsidRPr="00AE72A5">
        <w:rPr>
          <w:szCs w:val="20"/>
        </w:rPr>
        <w:t>] Energy-uk.org.uk. Available at: http://www.energy-uk.org.uk/energy-industry/coal-generation.html [Accessed 5 Sep. 2015].</w:t>
      </w:r>
    </w:p>
    <w:p w:rsidR="008C65F5" w:rsidRPr="00AE72A5" w:rsidRDefault="008C65F5" w:rsidP="00EF4885">
      <w:pPr>
        <w:widowControl w:val="0"/>
        <w:autoSpaceDE w:val="0"/>
        <w:autoSpaceDN w:val="0"/>
        <w:adjustRightInd w:val="0"/>
        <w:spacing w:before="240" w:after="240"/>
        <w:ind w:left="499" w:hanging="499"/>
        <w:rPr>
          <w:szCs w:val="20"/>
        </w:rPr>
      </w:pPr>
      <w:proofErr w:type="gramStart"/>
      <w:r w:rsidRPr="00AE72A5">
        <w:rPr>
          <w:szCs w:val="20"/>
        </w:rPr>
        <w:t>Telegraph, (2015).</w:t>
      </w:r>
      <w:proofErr w:type="gramEnd"/>
      <w:r w:rsidRPr="00AE72A5">
        <w:rPr>
          <w:szCs w:val="20"/>
        </w:rPr>
        <w:t xml:space="preserve"> </w:t>
      </w:r>
      <w:r w:rsidRPr="00AE72A5">
        <w:rPr>
          <w:i/>
          <w:iCs/>
          <w:szCs w:val="20"/>
        </w:rPr>
        <w:t>Why Britain's power plants have closed - and more will be closing</w:t>
      </w:r>
      <w:r w:rsidRPr="00AE72A5">
        <w:rPr>
          <w:szCs w:val="20"/>
        </w:rPr>
        <w:t>. [</w:t>
      </w:r>
      <w:proofErr w:type="gramStart"/>
      <w:r w:rsidRPr="00AE72A5">
        <w:rPr>
          <w:szCs w:val="20"/>
        </w:rPr>
        <w:t>online</w:t>
      </w:r>
      <w:proofErr w:type="gramEnd"/>
      <w:r w:rsidRPr="00AE72A5">
        <w:rPr>
          <w:szCs w:val="20"/>
        </w:rPr>
        <w:t>] Available at: http://www.telegraph.co.uk/finance/newsbysector/energy/11175700/Didcot-fire-Why-Britains-power-plants-have-closed-and-more-will-be-closing.html [Accessed 8 Sep. 2015].</w:t>
      </w:r>
    </w:p>
    <w:p w:rsidR="008C65F5" w:rsidRPr="00AE72A5" w:rsidRDefault="008C65F5" w:rsidP="00EF4885">
      <w:pPr>
        <w:widowControl w:val="0"/>
        <w:autoSpaceDE w:val="0"/>
        <w:autoSpaceDN w:val="0"/>
        <w:adjustRightInd w:val="0"/>
        <w:spacing w:before="240" w:after="240"/>
        <w:ind w:left="499" w:hanging="499"/>
        <w:rPr>
          <w:szCs w:val="20"/>
        </w:rPr>
      </w:pPr>
      <w:proofErr w:type="gramStart"/>
      <w:r w:rsidRPr="00AE72A5">
        <w:rPr>
          <w:szCs w:val="20"/>
        </w:rPr>
        <w:t>The Guardian, (2009).</w:t>
      </w:r>
      <w:proofErr w:type="gramEnd"/>
      <w:r w:rsidRPr="00AE72A5">
        <w:rPr>
          <w:szCs w:val="20"/>
        </w:rPr>
        <w:t xml:space="preserve"> </w:t>
      </w:r>
      <w:r w:rsidRPr="00AE72A5">
        <w:rPr>
          <w:i/>
          <w:iCs/>
          <w:szCs w:val="20"/>
        </w:rPr>
        <w:t>Carbon capture plans threaten shutdown of all UK coal-fired power stations</w:t>
      </w:r>
      <w:r w:rsidRPr="00AE72A5">
        <w:rPr>
          <w:szCs w:val="20"/>
        </w:rPr>
        <w:t>. [</w:t>
      </w:r>
      <w:proofErr w:type="gramStart"/>
      <w:r w:rsidRPr="00AE72A5">
        <w:rPr>
          <w:szCs w:val="20"/>
        </w:rPr>
        <w:t>online</w:t>
      </w:r>
      <w:proofErr w:type="gramEnd"/>
      <w:r w:rsidRPr="00AE72A5">
        <w:rPr>
          <w:szCs w:val="20"/>
        </w:rPr>
        <w:t>] Available at: http://www.theguardian.com/business/2009/jun/17/coal-power-stations-face-shutdown [Accessed 7 Sep. 2015].</w:t>
      </w:r>
    </w:p>
    <w:p w:rsidR="008C65F5" w:rsidRPr="00AE72A5" w:rsidRDefault="008C65F5" w:rsidP="00EF4885">
      <w:pPr>
        <w:widowControl w:val="0"/>
        <w:autoSpaceDE w:val="0"/>
        <w:autoSpaceDN w:val="0"/>
        <w:adjustRightInd w:val="0"/>
        <w:spacing w:before="240" w:after="240"/>
        <w:ind w:left="499" w:hanging="499"/>
        <w:rPr>
          <w:szCs w:val="20"/>
        </w:rPr>
      </w:pPr>
      <w:proofErr w:type="gramStart"/>
      <w:r w:rsidRPr="00AE72A5">
        <w:rPr>
          <w:szCs w:val="20"/>
        </w:rPr>
        <w:t>The Guardian, (2015).</w:t>
      </w:r>
      <w:proofErr w:type="gramEnd"/>
      <w:r w:rsidRPr="00AE72A5">
        <w:rPr>
          <w:szCs w:val="20"/>
        </w:rPr>
        <w:t xml:space="preserve"> </w:t>
      </w:r>
      <w:r w:rsidRPr="00AE72A5">
        <w:rPr>
          <w:i/>
          <w:iCs/>
          <w:szCs w:val="20"/>
        </w:rPr>
        <w:t>Carbon floor price hike will trigger UK coal slowdown, say analysts</w:t>
      </w:r>
      <w:r w:rsidRPr="00AE72A5">
        <w:rPr>
          <w:szCs w:val="20"/>
        </w:rPr>
        <w:t>. [</w:t>
      </w:r>
      <w:proofErr w:type="gramStart"/>
      <w:r w:rsidRPr="00AE72A5">
        <w:rPr>
          <w:szCs w:val="20"/>
        </w:rPr>
        <w:t>online</w:t>
      </w:r>
      <w:proofErr w:type="gramEnd"/>
      <w:r w:rsidRPr="00AE72A5">
        <w:rPr>
          <w:szCs w:val="20"/>
        </w:rPr>
        <w:t>] Available at: http://www.theguardian.com/environment/2015/apr/02/carbon-floor-price-hike-will-trigger-uk-coal-slowdown-say-analysts [Accessed 11 Sep. 2015].</w:t>
      </w:r>
    </w:p>
    <w:p w:rsidR="008C65F5" w:rsidRPr="00AE72A5" w:rsidRDefault="008C65F5" w:rsidP="00EF4885">
      <w:pPr>
        <w:widowControl w:val="0"/>
        <w:autoSpaceDE w:val="0"/>
        <w:autoSpaceDN w:val="0"/>
        <w:adjustRightInd w:val="0"/>
        <w:spacing w:before="240" w:after="240"/>
        <w:ind w:left="499" w:hanging="499"/>
        <w:rPr>
          <w:szCs w:val="20"/>
        </w:rPr>
      </w:pPr>
      <w:proofErr w:type="gramStart"/>
      <w:r w:rsidRPr="00AE72A5">
        <w:rPr>
          <w:szCs w:val="20"/>
        </w:rPr>
        <w:t>World-nuclear.org, (2015</w:t>
      </w:r>
      <w:r>
        <w:rPr>
          <w:szCs w:val="20"/>
        </w:rPr>
        <w:t>a</w:t>
      </w:r>
      <w:r w:rsidRPr="00AE72A5">
        <w:rPr>
          <w:szCs w:val="20"/>
        </w:rPr>
        <w:t>).</w:t>
      </w:r>
      <w:proofErr w:type="gramEnd"/>
      <w:r w:rsidRPr="00AE72A5">
        <w:rPr>
          <w:szCs w:val="20"/>
        </w:rPr>
        <w:t xml:space="preserve"> </w:t>
      </w:r>
      <w:proofErr w:type="gramStart"/>
      <w:r w:rsidRPr="00AE72A5">
        <w:rPr>
          <w:i/>
          <w:iCs/>
          <w:szCs w:val="20"/>
        </w:rPr>
        <w:t>Nuclear Power in the United Kingdom |UK Nuclear Energy</w:t>
      </w:r>
      <w:r w:rsidRPr="00AE72A5">
        <w:rPr>
          <w:szCs w:val="20"/>
        </w:rPr>
        <w:t>.</w:t>
      </w:r>
      <w:proofErr w:type="gramEnd"/>
      <w:r w:rsidRPr="00AE72A5">
        <w:rPr>
          <w:szCs w:val="20"/>
        </w:rPr>
        <w:t xml:space="preserve"> [</w:t>
      </w:r>
      <w:proofErr w:type="gramStart"/>
      <w:r w:rsidRPr="00AE72A5">
        <w:rPr>
          <w:szCs w:val="20"/>
        </w:rPr>
        <w:t>online</w:t>
      </w:r>
      <w:proofErr w:type="gramEnd"/>
      <w:r w:rsidRPr="00AE72A5">
        <w:rPr>
          <w:szCs w:val="20"/>
        </w:rPr>
        <w:t>] Available at: http://www.world-nuclear.org/info/Country-Profiles/Countries-T-Z/United-Kingdom/#SSA [Accessed 15 Sep. 2015].</w:t>
      </w:r>
    </w:p>
    <w:p w:rsidR="008C65F5" w:rsidRDefault="008C65F5" w:rsidP="00EF4885">
      <w:pPr>
        <w:widowControl w:val="0"/>
        <w:autoSpaceDE w:val="0"/>
        <w:autoSpaceDN w:val="0"/>
        <w:adjustRightInd w:val="0"/>
        <w:spacing w:before="240" w:after="240"/>
        <w:ind w:left="499" w:hanging="499"/>
        <w:rPr>
          <w:szCs w:val="20"/>
        </w:rPr>
      </w:pPr>
      <w:proofErr w:type="gramStart"/>
      <w:r w:rsidRPr="00AE72A5">
        <w:rPr>
          <w:szCs w:val="20"/>
        </w:rPr>
        <w:t>World-nuclear.org, (2015</w:t>
      </w:r>
      <w:r>
        <w:rPr>
          <w:szCs w:val="20"/>
        </w:rPr>
        <w:t>b</w:t>
      </w:r>
      <w:r w:rsidRPr="00AE72A5">
        <w:rPr>
          <w:szCs w:val="20"/>
        </w:rPr>
        <w:t>).</w:t>
      </w:r>
      <w:proofErr w:type="gramEnd"/>
      <w:r w:rsidRPr="00AE72A5">
        <w:rPr>
          <w:szCs w:val="20"/>
        </w:rPr>
        <w:t xml:space="preserve"> </w:t>
      </w:r>
      <w:proofErr w:type="gramStart"/>
      <w:r w:rsidRPr="00AE72A5">
        <w:rPr>
          <w:i/>
          <w:iCs/>
          <w:szCs w:val="20"/>
        </w:rPr>
        <w:t>Small Nuclear Power Reactors</w:t>
      </w:r>
      <w:r w:rsidRPr="00AE72A5">
        <w:rPr>
          <w:szCs w:val="20"/>
        </w:rPr>
        <w:t>.</w:t>
      </w:r>
      <w:proofErr w:type="gramEnd"/>
      <w:r w:rsidRPr="00AE72A5">
        <w:rPr>
          <w:szCs w:val="20"/>
        </w:rPr>
        <w:t xml:space="preserve"> [</w:t>
      </w:r>
      <w:proofErr w:type="gramStart"/>
      <w:r w:rsidRPr="00AE72A5">
        <w:rPr>
          <w:szCs w:val="20"/>
        </w:rPr>
        <w:t>online</w:t>
      </w:r>
      <w:proofErr w:type="gramEnd"/>
      <w:r w:rsidRPr="00AE72A5">
        <w:rPr>
          <w:szCs w:val="20"/>
        </w:rPr>
        <w:t>] Available at: http://www.world-nuclear.org/info/Nuclear-Fuel-Cycle/Power-Reactors/Small-Nuclear-Power-Reactors/ [Accessed 6 Sep. 2015].</w:t>
      </w:r>
    </w:p>
    <w:p w:rsidR="0027061E" w:rsidRPr="00AE72A5" w:rsidRDefault="0027061E" w:rsidP="00EF4885">
      <w:pPr>
        <w:widowControl w:val="0"/>
        <w:autoSpaceDE w:val="0"/>
        <w:autoSpaceDN w:val="0"/>
        <w:adjustRightInd w:val="0"/>
        <w:spacing w:before="240" w:after="240"/>
        <w:ind w:left="499" w:hanging="499"/>
        <w:rPr>
          <w:szCs w:val="20"/>
        </w:rPr>
      </w:pPr>
      <w:proofErr w:type="gramStart"/>
      <w:r>
        <w:rPr>
          <w:rStyle w:val="selectable"/>
        </w:rPr>
        <w:t>Zhang, Z., Wu, Z., Wang, D., Xu, Y., Sun, Y., Li, F. and Dong, Y. (2009).</w:t>
      </w:r>
      <w:proofErr w:type="gramEnd"/>
      <w:r>
        <w:rPr>
          <w:rStyle w:val="selectable"/>
        </w:rPr>
        <w:t xml:space="preserve"> </w:t>
      </w:r>
      <w:proofErr w:type="gramStart"/>
      <w:r>
        <w:rPr>
          <w:rStyle w:val="selectable"/>
        </w:rPr>
        <w:t>Current status and technical description of Chinese 2×250MWth HTR-PM demonstration plant.</w:t>
      </w:r>
      <w:proofErr w:type="gramEnd"/>
      <w:r>
        <w:rPr>
          <w:rStyle w:val="selectable"/>
        </w:rPr>
        <w:t xml:space="preserve"> </w:t>
      </w:r>
      <w:proofErr w:type="gramStart"/>
      <w:r>
        <w:rPr>
          <w:rStyle w:val="selectable"/>
          <w:i/>
          <w:iCs/>
        </w:rPr>
        <w:t>Nuclear Engineering and Design</w:t>
      </w:r>
      <w:r>
        <w:rPr>
          <w:rStyle w:val="selectable"/>
        </w:rPr>
        <w:t>, 239(7), pp.1212-1219.</w:t>
      </w:r>
      <w:proofErr w:type="gramEnd"/>
    </w:p>
    <w:p w:rsidR="00EF4885" w:rsidRPr="00772324" w:rsidRDefault="00EF4885" w:rsidP="004521DC">
      <w:pPr>
        <w:rPr>
          <w:szCs w:val="20"/>
        </w:rPr>
      </w:pPr>
    </w:p>
    <w:sectPr w:rsidR="00EF4885" w:rsidRPr="00772324" w:rsidSect="00496B03">
      <w:headerReference w:type="default" r:id="rId16"/>
      <w:pgSz w:w="11906" w:h="16838" w:code="9"/>
      <w:pgMar w:top="1134" w:right="1474"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E5" w:rsidRDefault="00E809E5" w:rsidP="00803A3F">
      <w:pPr>
        <w:spacing w:line="240" w:lineRule="auto"/>
      </w:pPr>
      <w:r>
        <w:separator/>
      </w:r>
    </w:p>
  </w:endnote>
  <w:endnote w:type="continuationSeparator" w:id="0">
    <w:p w:rsidR="00E809E5" w:rsidRDefault="00E809E5" w:rsidP="00803A3F">
      <w:pPr>
        <w:spacing w:line="240" w:lineRule="auto"/>
      </w:pPr>
      <w:r>
        <w:continuationSeparator/>
      </w:r>
    </w:p>
  </w:endnote>
  <w:endnote w:type="continuationNotice" w:id="1">
    <w:p w:rsidR="00E809E5" w:rsidRDefault="00E809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E5" w:rsidRDefault="00E809E5" w:rsidP="00803A3F">
      <w:pPr>
        <w:spacing w:line="240" w:lineRule="auto"/>
      </w:pPr>
      <w:r>
        <w:separator/>
      </w:r>
    </w:p>
  </w:footnote>
  <w:footnote w:type="continuationSeparator" w:id="0">
    <w:p w:rsidR="00E809E5" w:rsidRDefault="00E809E5" w:rsidP="00803A3F">
      <w:pPr>
        <w:spacing w:line="240" w:lineRule="auto"/>
      </w:pPr>
      <w:r>
        <w:continuationSeparator/>
      </w:r>
    </w:p>
  </w:footnote>
  <w:footnote w:type="continuationNotice" w:id="1">
    <w:p w:rsidR="00E809E5" w:rsidRDefault="00E809E5">
      <w:pPr>
        <w:spacing w:line="240" w:lineRule="auto"/>
      </w:pPr>
    </w:p>
  </w:footnote>
  <w:footnote w:id="2">
    <w:p w:rsidR="004521DC" w:rsidRPr="00835196" w:rsidRDefault="004521DC" w:rsidP="004521DC">
      <w:pPr>
        <w:pStyle w:val="FootnoteText"/>
        <w:spacing w:before="120" w:after="120"/>
        <w:rPr>
          <w:rFonts w:ascii="Times New Roman" w:hAnsi="Times New Roman"/>
          <w:sz w:val="16"/>
          <w:szCs w:val="16"/>
          <w:lang w:val="cs-CZ"/>
        </w:rPr>
      </w:pPr>
      <w:r w:rsidRPr="00835196">
        <w:rPr>
          <w:rStyle w:val="FootnoteReference"/>
          <w:rFonts w:ascii="Times New Roman" w:hAnsi="Times New Roman"/>
          <w:sz w:val="16"/>
          <w:szCs w:val="16"/>
        </w:rPr>
        <w:footnoteRef/>
      </w:r>
      <w:r w:rsidRPr="00835196">
        <w:rPr>
          <w:rFonts w:ascii="Times New Roman" w:hAnsi="Times New Roman"/>
          <w:sz w:val="16"/>
          <w:szCs w:val="16"/>
        </w:rPr>
        <w:t xml:space="preserve"> The Kyoto Protocol is an international agreement linked to the United Nations Framework Convention on Climate Change, which commits its Parties by setting internationally binding emission reduction targets</w:t>
      </w:r>
      <w:r>
        <w:rPr>
          <w:rFonts w:ascii="Times New Roman" w:hAnsi="Times New Roman"/>
          <w:sz w:val="16"/>
          <w:szCs w:val="16"/>
        </w:rPr>
        <w:t xml:space="preserve"> </w:t>
      </w:r>
      <w:r w:rsidRPr="00345E87">
        <w:rPr>
          <w:rFonts w:ascii="Times New Roman" w:hAnsi="Times New Roman"/>
          <w:sz w:val="16"/>
          <w:szCs w:val="16"/>
        </w:rPr>
        <w:t>(Change, 2015)</w:t>
      </w:r>
      <w:r>
        <w:rPr>
          <w:rFonts w:ascii="Times New Roman" w:hAnsi="Times New Roman"/>
          <w:sz w:val="16"/>
          <w:szCs w:val="16"/>
        </w:rPr>
        <w:t>.</w:t>
      </w:r>
    </w:p>
  </w:footnote>
  <w:footnote w:id="3">
    <w:p w:rsidR="004521DC" w:rsidRPr="00921B02" w:rsidRDefault="004521DC" w:rsidP="004521DC">
      <w:pPr>
        <w:rPr>
          <w:i/>
          <w:sz w:val="16"/>
          <w:szCs w:val="16"/>
          <w:lang w:val="en-GB"/>
        </w:rPr>
      </w:pPr>
      <w:r w:rsidRPr="00921B02">
        <w:rPr>
          <w:rStyle w:val="FootnoteReference"/>
          <w:sz w:val="16"/>
          <w:szCs w:val="16"/>
        </w:rPr>
        <w:footnoteRef/>
      </w:r>
      <w:r w:rsidRPr="00921B02">
        <w:rPr>
          <w:sz w:val="16"/>
          <w:szCs w:val="16"/>
        </w:rPr>
        <w:t xml:space="preserve"> For example: In 2006 </w:t>
      </w:r>
      <w:proofErr w:type="spellStart"/>
      <w:r w:rsidRPr="00921B02">
        <w:rPr>
          <w:rFonts w:eastAsiaTheme="majorEastAsia"/>
          <w:sz w:val="16"/>
          <w:szCs w:val="16"/>
        </w:rPr>
        <w:t>Drax</w:t>
      </w:r>
      <w:proofErr w:type="spellEnd"/>
      <w:r w:rsidRPr="00921B02">
        <w:rPr>
          <w:rFonts w:eastAsiaTheme="majorEastAsia"/>
          <w:sz w:val="16"/>
          <w:szCs w:val="16"/>
        </w:rPr>
        <w:t xml:space="preserve"> Power Limited</w:t>
      </w:r>
      <w:r w:rsidRPr="00921B02">
        <w:rPr>
          <w:sz w:val="16"/>
          <w:szCs w:val="16"/>
        </w:rPr>
        <w:t xml:space="preserve">, in response to a government consultation, stated they were sponsoring development studies into </w:t>
      </w:r>
      <w:r w:rsidRPr="00921B02">
        <w:rPr>
          <w:rFonts w:eastAsiaTheme="majorEastAsia"/>
          <w:sz w:val="16"/>
          <w:szCs w:val="16"/>
        </w:rPr>
        <w:t>carbon capture and storage</w:t>
      </w:r>
      <w:r w:rsidRPr="00921B02">
        <w:rPr>
          <w:sz w:val="16"/>
          <w:szCs w:val="16"/>
        </w:rPr>
        <w:t xml:space="preserve"> (CCS), but noted that it was not then commercially viable, with costs comparable with nuclear or offshore wind power</w:t>
      </w:r>
      <w:r>
        <w:rPr>
          <w:sz w:val="16"/>
          <w:szCs w:val="16"/>
        </w:rPr>
        <w:t xml:space="preserve"> </w:t>
      </w:r>
      <w:r w:rsidRPr="006A7F09">
        <w:rPr>
          <w:rStyle w:val="selectable"/>
          <w:sz w:val="16"/>
          <w:szCs w:val="16"/>
        </w:rPr>
        <w:t>(The Guardian, 2009)</w:t>
      </w:r>
      <w:r>
        <w:rPr>
          <w:rStyle w:val="selectable"/>
          <w:sz w:val="16"/>
          <w:szCs w:val="16"/>
        </w:rPr>
        <w:t>.</w:t>
      </w:r>
    </w:p>
  </w:footnote>
  <w:footnote w:id="4">
    <w:p w:rsidR="004521DC" w:rsidRPr="009D67A2" w:rsidRDefault="004521DC" w:rsidP="004521DC">
      <w:pPr>
        <w:rPr>
          <w:lang w:val="en-GB"/>
        </w:rPr>
      </w:pPr>
      <w:r w:rsidRPr="00921B02">
        <w:rPr>
          <w:rStyle w:val="FootnoteReference"/>
          <w:sz w:val="16"/>
          <w:szCs w:val="16"/>
        </w:rPr>
        <w:footnoteRef/>
      </w:r>
      <w:r w:rsidRPr="00921B02">
        <w:rPr>
          <w:sz w:val="16"/>
          <w:szCs w:val="16"/>
        </w:rPr>
        <w:t xml:space="preserve"> The model was built in MARKAL software. MARKAL is a well-established linear optimization, energy system model, developed by the Energy Technology Systems Analysis </w:t>
      </w:r>
      <w:proofErr w:type="spellStart"/>
      <w:proofErr w:type="gramStart"/>
      <w:r w:rsidRPr="00921B02">
        <w:rPr>
          <w:sz w:val="16"/>
          <w:szCs w:val="16"/>
        </w:rPr>
        <w:t>Programme</w:t>
      </w:r>
      <w:proofErr w:type="spellEnd"/>
      <w:r w:rsidRPr="00921B02">
        <w:rPr>
          <w:sz w:val="16"/>
          <w:szCs w:val="16"/>
        </w:rPr>
        <w:t xml:space="preserve"> </w:t>
      </w:r>
      <w:r>
        <w:rPr>
          <w:sz w:val="16"/>
          <w:szCs w:val="16"/>
        </w:rPr>
        <w:t xml:space="preserve"> </w:t>
      </w:r>
      <w:r w:rsidRPr="00921B02">
        <w:rPr>
          <w:sz w:val="16"/>
          <w:szCs w:val="16"/>
        </w:rPr>
        <w:t>(</w:t>
      </w:r>
      <w:proofErr w:type="gramEnd"/>
      <w:r w:rsidRPr="00921B02">
        <w:rPr>
          <w:sz w:val="16"/>
          <w:szCs w:val="16"/>
        </w:rPr>
        <w:t>ETSAP) of the International Energy Agency (IEA)</w:t>
      </w:r>
      <w:r>
        <w:rPr>
          <w:sz w:val="16"/>
          <w:szCs w:val="16"/>
        </w:rPr>
        <w:t xml:space="preserve"> </w:t>
      </w:r>
      <w:r w:rsidRPr="000F3763">
        <w:rPr>
          <w:rStyle w:val="selectable"/>
          <w:sz w:val="16"/>
          <w:szCs w:val="16"/>
        </w:rPr>
        <w:t>(Ekins et al., 2013)</w:t>
      </w:r>
      <w:r>
        <w:rPr>
          <w:rStyle w:val="selectable"/>
          <w:sz w:val="16"/>
          <w:szCs w:val="16"/>
        </w:rPr>
        <w:t>.</w:t>
      </w:r>
    </w:p>
  </w:footnote>
  <w:footnote w:id="5">
    <w:p w:rsidR="003E40E8" w:rsidRPr="003E40E8" w:rsidRDefault="003E40E8">
      <w:pPr>
        <w:pStyle w:val="FootnoteText"/>
        <w:rPr>
          <w:lang w:val="en-GB"/>
        </w:rPr>
      </w:pPr>
      <w:r>
        <w:rPr>
          <w:rStyle w:val="FootnoteReference"/>
        </w:rPr>
        <w:footnoteRef/>
      </w:r>
      <w:r>
        <w:t xml:space="preserve"> </w:t>
      </w:r>
      <w:r w:rsidRPr="0000171C">
        <w:rPr>
          <w:rFonts w:ascii="Times New Roman" w:hAnsi="Times New Roman"/>
          <w:sz w:val="16"/>
          <w:szCs w:val="16"/>
          <w:lang w:val="en-GB"/>
        </w:rPr>
        <w:t>According to electric output of the PFBR-500 it falls more into a category of medium sized modular reactors. For greater diversity in chosen designs and comparison, we will consider PFBR-500 to be an SMR</w:t>
      </w:r>
      <w:r w:rsidR="0000171C" w:rsidRPr="0000171C">
        <w:rPr>
          <w:rFonts w:ascii="Times New Roman" w:hAnsi="Times New Roman"/>
          <w:sz w:val="16"/>
          <w:szCs w:val="16"/>
          <w:lang w:val="en-GB"/>
        </w:rPr>
        <w:t xml:space="preserve"> for purposes of this study and the nomenclature between medium and small reactors will not be distinguished from now on in this this study</w:t>
      </w:r>
      <w:r w:rsidR="0000171C">
        <w:rPr>
          <w:rFonts w:ascii="Times New Roman" w:hAnsi="Times New Roman"/>
          <w:sz w:val="16"/>
          <w:szCs w:val="16"/>
          <w:lang w:val="en-GB"/>
        </w:rPr>
        <w:t>.</w:t>
      </w:r>
      <w:r w:rsidR="0000171C" w:rsidRPr="0000171C">
        <w:rPr>
          <w:rFonts w:ascii="Times New Roman" w:hAnsi="Times New Roman"/>
          <w:sz w:val="16"/>
          <w:szCs w:val="16"/>
          <w:lang w:val="en-GB"/>
        </w:rPr>
        <w:t>PFBR-500 will be taken as SMR</w:t>
      </w:r>
      <w:r w:rsidR="0000171C">
        <w:rPr>
          <w:rFonts w:ascii="Times New Roman" w:hAnsi="Times New Roman"/>
          <w:sz w:val="16"/>
          <w:szCs w:val="16"/>
          <w:lang w:val="en-GB"/>
        </w:rPr>
        <w:t xml:space="preserve"> as it still meet the conditions of being modular</w:t>
      </w:r>
      <w:r w:rsidR="0000171C" w:rsidRPr="0000171C">
        <w:rPr>
          <w:rFonts w:ascii="Times New Roman" w:hAnsi="Times New Roman"/>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0F" w:rsidRDefault="00E7120F" w:rsidP="00E7120F">
    <w:pPr>
      <w:pStyle w:val="Header"/>
      <w:jc w:val="right"/>
      <w:rPr>
        <w:i/>
        <w:sz w:val="18"/>
        <w:szCs w:val="18"/>
      </w:rPr>
    </w:pPr>
    <w:r w:rsidRPr="007E4652">
      <w:rPr>
        <w:i/>
        <w:sz w:val="18"/>
        <w:szCs w:val="18"/>
      </w:rPr>
      <w:t>The 13th International Probabilistic Workshop (IPW2015)</w:t>
    </w:r>
  </w:p>
  <w:p w:rsidR="00E7120F" w:rsidRPr="002B7491" w:rsidRDefault="00E7120F" w:rsidP="00E7120F">
    <w:pPr>
      <w:pStyle w:val="Header"/>
      <w:jc w:val="right"/>
      <w:rPr>
        <w:i/>
        <w:sz w:val="18"/>
        <w:szCs w:val="18"/>
      </w:rPr>
    </w:pPr>
    <w:r>
      <w:rPr>
        <w:i/>
        <w:sz w:val="18"/>
        <w:szCs w:val="18"/>
      </w:rPr>
      <w:t>4</w:t>
    </w:r>
    <w:r w:rsidRPr="002B7491">
      <w:rPr>
        <w:i/>
        <w:sz w:val="18"/>
        <w:szCs w:val="18"/>
      </w:rPr>
      <w:t xml:space="preserve"> - </w:t>
    </w:r>
    <w:r>
      <w:rPr>
        <w:i/>
        <w:sz w:val="18"/>
        <w:szCs w:val="18"/>
      </w:rPr>
      <w:t>6</w:t>
    </w:r>
    <w:r w:rsidRPr="002B7491">
      <w:rPr>
        <w:i/>
        <w:sz w:val="18"/>
        <w:szCs w:val="18"/>
      </w:rPr>
      <w:t xml:space="preserve"> </w:t>
    </w:r>
    <w:r>
      <w:rPr>
        <w:i/>
        <w:sz w:val="18"/>
        <w:szCs w:val="18"/>
      </w:rPr>
      <w:t>November 2015</w:t>
    </w:r>
    <w:r w:rsidRPr="002B7491">
      <w:rPr>
        <w:i/>
        <w:sz w:val="18"/>
        <w:szCs w:val="18"/>
      </w:rPr>
      <w:t>, University of Liverpool, UK</w:t>
    </w:r>
  </w:p>
  <w:p w:rsidR="00E7120F" w:rsidRPr="0079137A" w:rsidRDefault="00E7120F" w:rsidP="00E7120F">
    <w:pPr>
      <w:pStyle w:val="Header"/>
      <w:jc w:val="right"/>
      <w:rPr>
        <w:i/>
        <w:sz w:val="18"/>
        <w:szCs w:val="18"/>
      </w:rPr>
    </w:pPr>
    <w:proofErr w:type="spellStart"/>
    <w:r>
      <w:rPr>
        <w:i/>
        <w:sz w:val="18"/>
        <w:szCs w:val="18"/>
      </w:rPr>
      <w:t>Edoardo</w:t>
    </w:r>
    <w:proofErr w:type="spellEnd"/>
    <w:r>
      <w:rPr>
        <w:i/>
        <w:sz w:val="18"/>
        <w:szCs w:val="18"/>
      </w:rPr>
      <w:t xml:space="preserve"> </w:t>
    </w:r>
    <w:proofErr w:type="spellStart"/>
    <w:r>
      <w:rPr>
        <w:i/>
        <w:sz w:val="18"/>
        <w:szCs w:val="18"/>
      </w:rPr>
      <w:t>Patelli</w:t>
    </w:r>
    <w:proofErr w:type="spellEnd"/>
    <w:r>
      <w:rPr>
        <w:i/>
        <w:sz w:val="18"/>
        <w:szCs w:val="18"/>
      </w:rPr>
      <w:t xml:space="preserve"> &amp;</w:t>
    </w:r>
    <w:r w:rsidRPr="002B7491">
      <w:rPr>
        <w:i/>
        <w:sz w:val="18"/>
        <w:szCs w:val="18"/>
      </w:rPr>
      <w:t xml:space="preserve"> </w:t>
    </w:r>
    <w:proofErr w:type="spellStart"/>
    <w:r w:rsidRPr="002B7491">
      <w:rPr>
        <w:i/>
        <w:sz w:val="18"/>
        <w:szCs w:val="18"/>
      </w:rPr>
      <w:t>Ioannis</w:t>
    </w:r>
    <w:proofErr w:type="spellEnd"/>
    <w:r w:rsidRPr="002B7491">
      <w:rPr>
        <w:i/>
        <w:sz w:val="18"/>
        <w:szCs w:val="18"/>
      </w:rPr>
      <w:t xml:space="preserve"> </w:t>
    </w:r>
    <w:proofErr w:type="spellStart"/>
    <w:r w:rsidRPr="002B7491">
      <w:rPr>
        <w:i/>
        <w:sz w:val="18"/>
        <w:szCs w:val="18"/>
      </w:rPr>
      <w:t>Kougioumtzoglou</w:t>
    </w:r>
    <w:proofErr w:type="spellEnd"/>
    <w:r w:rsidRPr="002B7491">
      <w:rPr>
        <w:i/>
        <w:sz w:val="18"/>
        <w:szCs w:val="18"/>
      </w:rPr>
      <w:t xml:space="preserve"> (editors)</w:t>
    </w:r>
  </w:p>
  <w:p w:rsidR="00E7120F" w:rsidRDefault="00E7120F">
    <w:pPr>
      <w:pStyle w:val="Header"/>
    </w:pPr>
  </w:p>
  <w:p w:rsidR="0072203D" w:rsidRDefault="00722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60A7"/>
    <w:multiLevelType w:val="hybridMultilevel"/>
    <w:tmpl w:val="5446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FF5249"/>
    <w:multiLevelType w:val="hybridMultilevel"/>
    <w:tmpl w:val="022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F"/>
    <w:rsid w:val="0000171C"/>
    <w:rsid w:val="00001B93"/>
    <w:rsid w:val="00014B26"/>
    <w:rsid w:val="00017785"/>
    <w:rsid w:val="000202EF"/>
    <w:rsid w:val="00020E79"/>
    <w:rsid w:val="0004617B"/>
    <w:rsid w:val="00050D04"/>
    <w:rsid w:val="00076172"/>
    <w:rsid w:val="00082488"/>
    <w:rsid w:val="00085991"/>
    <w:rsid w:val="000A0AD0"/>
    <w:rsid w:val="000B427E"/>
    <w:rsid w:val="000C4BC8"/>
    <w:rsid w:val="000C5607"/>
    <w:rsid w:val="000F1BF4"/>
    <w:rsid w:val="000F3C5B"/>
    <w:rsid w:val="00115A09"/>
    <w:rsid w:val="00117D50"/>
    <w:rsid w:val="001260DA"/>
    <w:rsid w:val="00134216"/>
    <w:rsid w:val="0014099C"/>
    <w:rsid w:val="00145195"/>
    <w:rsid w:val="001463DD"/>
    <w:rsid w:val="001525FB"/>
    <w:rsid w:val="00157120"/>
    <w:rsid w:val="001602DF"/>
    <w:rsid w:val="00170923"/>
    <w:rsid w:val="00174112"/>
    <w:rsid w:val="00175BB8"/>
    <w:rsid w:val="0019149F"/>
    <w:rsid w:val="00195056"/>
    <w:rsid w:val="001A1332"/>
    <w:rsid w:val="001A243C"/>
    <w:rsid w:val="001A62BA"/>
    <w:rsid w:val="001A7E52"/>
    <w:rsid w:val="001C1227"/>
    <w:rsid w:val="001E0F46"/>
    <w:rsid w:val="001E469F"/>
    <w:rsid w:val="00207CCB"/>
    <w:rsid w:val="00207F99"/>
    <w:rsid w:val="002244CB"/>
    <w:rsid w:val="00241630"/>
    <w:rsid w:val="00244504"/>
    <w:rsid w:val="00265194"/>
    <w:rsid w:val="002702E3"/>
    <w:rsid w:val="0027061E"/>
    <w:rsid w:val="00285476"/>
    <w:rsid w:val="00292324"/>
    <w:rsid w:val="002A06BD"/>
    <w:rsid w:val="002B46CB"/>
    <w:rsid w:val="002E314D"/>
    <w:rsid w:val="002F79F2"/>
    <w:rsid w:val="00304F15"/>
    <w:rsid w:val="00326CBE"/>
    <w:rsid w:val="0033518D"/>
    <w:rsid w:val="003415E0"/>
    <w:rsid w:val="00343E66"/>
    <w:rsid w:val="00353350"/>
    <w:rsid w:val="00366256"/>
    <w:rsid w:val="00383F3F"/>
    <w:rsid w:val="00387027"/>
    <w:rsid w:val="003A267B"/>
    <w:rsid w:val="003C2278"/>
    <w:rsid w:val="003C75B0"/>
    <w:rsid w:val="003E40E8"/>
    <w:rsid w:val="003E5237"/>
    <w:rsid w:val="003F1458"/>
    <w:rsid w:val="003F509B"/>
    <w:rsid w:val="003F7A20"/>
    <w:rsid w:val="00445DC9"/>
    <w:rsid w:val="004521DC"/>
    <w:rsid w:val="00453D68"/>
    <w:rsid w:val="00474DA7"/>
    <w:rsid w:val="00475C56"/>
    <w:rsid w:val="00491A2E"/>
    <w:rsid w:val="00496B03"/>
    <w:rsid w:val="004A17E2"/>
    <w:rsid w:val="004B506B"/>
    <w:rsid w:val="004B6625"/>
    <w:rsid w:val="004C6C68"/>
    <w:rsid w:val="004D416C"/>
    <w:rsid w:val="004E024B"/>
    <w:rsid w:val="004F1A60"/>
    <w:rsid w:val="004F23BA"/>
    <w:rsid w:val="004F798E"/>
    <w:rsid w:val="005046DE"/>
    <w:rsid w:val="00507650"/>
    <w:rsid w:val="005202CF"/>
    <w:rsid w:val="0054229B"/>
    <w:rsid w:val="00563103"/>
    <w:rsid w:val="0056549D"/>
    <w:rsid w:val="00582505"/>
    <w:rsid w:val="00583AD3"/>
    <w:rsid w:val="005C4F67"/>
    <w:rsid w:val="005D4F2B"/>
    <w:rsid w:val="005E7B6B"/>
    <w:rsid w:val="005F3328"/>
    <w:rsid w:val="0061638E"/>
    <w:rsid w:val="006256EB"/>
    <w:rsid w:val="006421EF"/>
    <w:rsid w:val="00665006"/>
    <w:rsid w:val="00667095"/>
    <w:rsid w:val="006D488F"/>
    <w:rsid w:val="006E3ECF"/>
    <w:rsid w:val="006E43A4"/>
    <w:rsid w:val="00702CCB"/>
    <w:rsid w:val="00705063"/>
    <w:rsid w:val="00720010"/>
    <w:rsid w:val="0072203D"/>
    <w:rsid w:val="00750EDA"/>
    <w:rsid w:val="00754B92"/>
    <w:rsid w:val="007623CA"/>
    <w:rsid w:val="00766DD0"/>
    <w:rsid w:val="00772324"/>
    <w:rsid w:val="00776884"/>
    <w:rsid w:val="007A2DA8"/>
    <w:rsid w:val="007A63D0"/>
    <w:rsid w:val="007A6737"/>
    <w:rsid w:val="007C36A3"/>
    <w:rsid w:val="007E7328"/>
    <w:rsid w:val="00803A3F"/>
    <w:rsid w:val="00827547"/>
    <w:rsid w:val="00836E63"/>
    <w:rsid w:val="008371B4"/>
    <w:rsid w:val="00845840"/>
    <w:rsid w:val="00845B0A"/>
    <w:rsid w:val="00856630"/>
    <w:rsid w:val="00860C88"/>
    <w:rsid w:val="00884D0E"/>
    <w:rsid w:val="008859AB"/>
    <w:rsid w:val="00895441"/>
    <w:rsid w:val="008A11E8"/>
    <w:rsid w:val="008A3BE4"/>
    <w:rsid w:val="008C3044"/>
    <w:rsid w:val="008C35E4"/>
    <w:rsid w:val="008C65F5"/>
    <w:rsid w:val="008D669B"/>
    <w:rsid w:val="008D79B7"/>
    <w:rsid w:val="008F07FC"/>
    <w:rsid w:val="008F23EF"/>
    <w:rsid w:val="00913AA6"/>
    <w:rsid w:val="009628D9"/>
    <w:rsid w:val="00966D11"/>
    <w:rsid w:val="00967EB1"/>
    <w:rsid w:val="009948D7"/>
    <w:rsid w:val="009A6A4F"/>
    <w:rsid w:val="009C5974"/>
    <w:rsid w:val="009D140E"/>
    <w:rsid w:val="009D2F86"/>
    <w:rsid w:val="009F0B9D"/>
    <w:rsid w:val="009F29CA"/>
    <w:rsid w:val="00A02C6D"/>
    <w:rsid w:val="00A06C52"/>
    <w:rsid w:val="00A2397E"/>
    <w:rsid w:val="00A42288"/>
    <w:rsid w:val="00A44742"/>
    <w:rsid w:val="00A82C89"/>
    <w:rsid w:val="00A878D9"/>
    <w:rsid w:val="00A92653"/>
    <w:rsid w:val="00AB19E4"/>
    <w:rsid w:val="00AC224B"/>
    <w:rsid w:val="00AC3566"/>
    <w:rsid w:val="00AC65BD"/>
    <w:rsid w:val="00AD0B8A"/>
    <w:rsid w:val="00AE31D2"/>
    <w:rsid w:val="00AE6895"/>
    <w:rsid w:val="00B30689"/>
    <w:rsid w:val="00B413A1"/>
    <w:rsid w:val="00B74B93"/>
    <w:rsid w:val="00B87AF5"/>
    <w:rsid w:val="00BA5FBC"/>
    <w:rsid w:val="00BA6F3C"/>
    <w:rsid w:val="00BB7006"/>
    <w:rsid w:val="00BB756B"/>
    <w:rsid w:val="00BC0FBC"/>
    <w:rsid w:val="00BC1487"/>
    <w:rsid w:val="00BD230E"/>
    <w:rsid w:val="00BE133B"/>
    <w:rsid w:val="00BF3C11"/>
    <w:rsid w:val="00C0487E"/>
    <w:rsid w:val="00C077BE"/>
    <w:rsid w:val="00C11F60"/>
    <w:rsid w:val="00C36AAD"/>
    <w:rsid w:val="00C37688"/>
    <w:rsid w:val="00C42624"/>
    <w:rsid w:val="00C62793"/>
    <w:rsid w:val="00C66202"/>
    <w:rsid w:val="00C72462"/>
    <w:rsid w:val="00C91B5C"/>
    <w:rsid w:val="00C92EB0"/>
    <w:rsid w:val="00C94218"/>
    <w:rsid w:val="00C94C50"/>
    <w:rsid w:val="00CA4046"/>
    <w:rsid w:val="00CC2B03"/>
    <w:rsid w:val="00CD3F13"/>
    <w:rsid w:val="00CE3348"/>
    <w:rsid w:val="00CF11FF"/>
    <w:rsid w:val="00D03CCB"/>
    <w:rsid w:val="00D21E94"/>
    <w:rsid w:val="00D26316"/>
    <w:rsid w:val="00D47D20"/>
    <w:rsid w:val="00D70AB5"/>
    <w:rsid w:val="00DB0ACA"/>
    <w:rsid w:val="00DB5920"/>
    <w:rsid w:val="00DB5ED5"/>
    <w:rsid w:val="00DB65AF"/>
    <w:rsid w:val="00DE0D65"/>
    <w:rsid w:val="00DE19C5"/>
    <w:rsid w:val="00DE726E"/>
    <w:rsid w:val="00DF3C43"/>
    <w:rsid w:val="00E02BBE"/>
    <w:rsid w:val="00E05F77"/>
    <w:rsid w:val="00E10C37"/>
    <w:rsid w:val="00E125D3"/>
    <w:rsid w:val="00E14931"/>
    <w:rsid w:val="00E14A18"/>
    <w:rsid w:val="00E22266"/>
    <w:rsid w:val="00E22A81"/>
    <w:rsid w:val="00E243D4"/>
    <w:rsid w:val="00E27F58"/>
    <w:rsid w:val="00E5351F"/>
    <w:rsid w:val="00E7120F"/>
    <w:rsid w:val="00E809E5"/>
    <w:rsid w:val="00E84DAE"/>
    <w:rsid w:val="00EB661C"/>
    <w:rsid w:val="00ED44EB"/>
    <w:rsid w:val="00EE76CF"/>
    <w:rsid w:val="00EF4885"/>
    <w:rsid w:val="00F02221"/>
    <w:rsid w:val="00F04B40"/>
    <w:rsid w:val="00F24BD1"/>
    <w:rsid w:val="00F2572D"/>
    <w:rsid w:val="00F32EBE"/>
    <w:rsid w:val="00F51E7D"/>
    <w:rsid w:val="00F610CF"/>
    <w:rsid w:val="00F6436F"/>
    <w:rsid w:val="00F648D1"/>
    <w:rsid w:val="00F84299"/>
    <w:rsid w:val="00FA07E5"/>
    <w:rsid w:val="00FC4061"/>
    <w:rsid w:val="00FD2487"/>
    <w:rsid w:val="00FF17A5"/>
    <w:rsid w:val="00FF5592"/>
    <w:rsid w:val="00FF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3F"/>
    <w:pPr>
      <w:spacing w:after="0" w:line="240" w:lineRule="exact"/>
      <w:jc w:val="both"/>
    </w:pPr>
    <w:rPr>
      <w:rFonts w:ascii="Times New Roman" w:eastAsia="Times New Roman" w:hAnsi="Times New Roman" w:cs="Times New Roman"/>
      <w:sz w:val="20"/>
      <w:lang w:val="en-US"/>
    </w:rPr>
  </w:style>
  <w:style w:type="paragraph" w:styleId="Heading1">
    <w:name w:val="heading 1"/>
    <w:basedOn w:val="Normal"/>
    <w:next w:val="Normal"/>
    <w:link w:val="Heading1Char"/>
    <w:uiPriority w:val="9"/>
    <w:qFormat/>
    <w:rsid w:val="00224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21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803A3F"/>
  </w:style>
  <w:style w:type="paragraph" w:styleId="FootnoteText">
    <w:name w:val="footnote text"/>
    <w:basedOn w:val="Normal"/>
    <w:link w:val="FootnoteTextChar"/>
    <w:uiPriority w:val="99"/>
    <w:semiHidden/>
    <w:unhideWhenUsed/>
    <w:rsid w:val="00803A3F"/>
    <w:pPr>
      <w:widowControl w:val="0"/>
      <w:wordWrap w:val="0"/>
      <w:autoSpaceDE w:val="0"/>
      <w:autoSpaceDN w:val="0"/>
    </w:pPr>
    <w:rPr>
      <w:rFonts w:asciiTheme="majorHAnsi" w:eastAsia="Batang" w:hAnsiTheme="majorHAnsi"/>
      <w:kern w:val="2"/>
      <w:szCs w:val="20"/>
      <w:lang w:eastAsia="ko-KR"/>
    </w:rPr>
  </w:style>
  <w:style w:type="character" w:customStyle="1" w:styleId="FootnoteTextChar">
    <w:name w:val="Footnote Text Char"/>
    <w:basedOn w:val="DefaultParagraphFont"/>
    <w:link w:val="FootnoteText"/>
    <w:uiPriority w:val="99"/>
    <w:semiHidden/>
    <w:rsid w:val="00803A3F"/>
    <w:rPr>
      <w:rFonts w:asciiTheme="majorHAnsi" w:eastAsia="Batang" w:hAnsiTheme="majorHAnsi" w:cs="Times New Roman"/>
      <w:kern w:val="2"/>
      <w:sz w:val="20"/>
      <w:szCs w:val="20"/>
      <w:lang w:val="en-US" w:eastAsia="ko-KR"/>
    </w:rPr>
  </w:style>
  <w:style w:type="character" w:styleId="FootnoteReference">
    <w:name w:val="footnote reference"/>
    <w:basedOn w:val="DefaultParagraphFont"/>
    <w:uiPriority w:val="99"/>
    <w:semiHidden/>
    <w:unhideWhenUsed/>
    <w:rsid w:val="00803A3F"/>
    <w:rPr>
      <w:vertAlign w:val="superscript"/>
    </w:rPr>
  </w:style>
  <w:style w:type="paragraph" w:styleId="ListParagraph">
    <w:name w:val="List Paragraph"/>
    <w:basedOn w:val="Normal"/>
    <w:uiPriority w:val="34"/>
    <w:qFormat/>
    <w:rsid w:val="00803A3F"/>
    <w:pPr>
      <w:widowControl w:val="0"/>
      <w:wordWrap w:val="0"/>
      <w:autoSpaceDE w:val="0"/>
      <w:autoSpaceDN w:val="0"/>
      <w:spacing w:line="360" w:lineRule="auto"/>
      <w:ind w:left="720"/>
      <w:contextualSpacing/>
    </w:pPr>
    <w:rPr>
      <w:rFonts w:asciiTheme="majorHAnsi" w:eastAsia="Batang" w:hAnsiTheme="majorHAnsi"/>
      <w:kern w:val="2"/>
      <w:sz w:val="22"/>
      <w:szCs w:val="20"/>
      <w:lang w:eastAsia="ko-KR"/>
    </w:rPr>
  </w:style>
  <w:style w:type="character" w:styleId="Strong">
    <w:name w:val="Strong"/>
    <w:basedOn w:val="DefaultParagraphFont"/>
    <w:uiPriority w:val="22"/>
    <w:qFormat/>
    <w:rsid w:val="00803A3F"/>
    <w:rPr>
      <w:b/>
      <w:bCs/>
    </w:rPr>
  </w:style>
  <w:style w:type="table" w:styleId="TableGrid">
    <w:name w:val="Table Grid"/>
    <w:basedOn w:val="TableNormal"/>
    <w:uiPriority w:val="59"/>
    <w:rsid w:val="00803A3F"/>
    <w:pPr>
      <w:spacing w:after="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44CB"/>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BD23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0E"/>
    <w:rPr>
      <w:rFonts w:ascii="Tahoma" w:eastAsia="Times New Roman" w:hAnsi="Tahoma" w:cs="Tahoma"/>
      <w:sz w:val="16"/>
      <w:szCs w:val="16"/>
      <w:lang w:val="en-US"/>
    </w:rPr>
  </w:style>
  <w:style w:type="character" w:styleId="Hyperlink">
    <w:name w:val="Hyperlink"/>
    <w:basedOn w:val="DefaultParagraphFont"/>
    <w:uiPriority w:val="99"/>
    <w:unhideWhenUsed/>
    <w:rsid w:val="00076172"/>
    <w:rPr>
      <w:color w:val="0000FF" w:themeColor="hyperlink"/>
      <w:u w:val="single"/>
    </w:rPr>
  </w:style>
  <w:style w:type="paragraph" w:styleId="Header">
    <w:name w:val="header"/>
    <w:basedOn w:val="Normal"/>
    <w:link w:val="HeaderChar"/>
    <w:unhideWhenUsed/>
    <w:rsid w:val="0072203D"/>
    <w:pPr>
      <w:tabs>
        <w:tab w:val="center" w:pos="4513"/>
        <w:tab w:val="right" w:pos="9026"/>
      </w:tabs>
      <w:spacing w:line="240" w:lineRule="auto"/>
    </w:pPr>
  </w:style>
  <w:style w:type="character" w:customStyle="1" w:styleId="HeaderChar">
    <w:name w:val="Header Char"/>
    <w:basedOn w:val="DefaultParagraphFont"/>
    <w:link w:val="Header"/>
    <w:uiPriority w:val="99"/>
    <w:rsid w:val="0072203D"/>
    <w:rPr>
      <w:rFonts w:ascii="Times New Roman" w:eastAsia="Times New Roman" w:hAnsi="Times New Roman" w:cs="Times New Roman"/>
      <w:sz w:val="20"/>
      <w:lang w:val="en-US"/>
    </w:rPr>
  </w:style>
  <w:style w:type="paragraph" w:styleId="Footer">
    <w:name w:val="footer"/>
    <w:basedOn w:val="Normal"/>
    <w:link w:val="FooterChar"/>
    <w:uiPriority w:val="99"/>
    <w:unhideWhenUsed/>
    <w:rsid w:val="0072203D"/>
    <w:pPr>
      <w:tabs>
        <w:tab w:val="center" w:pos="4513"/>
        <w:tab w:val="right" w:pos="9026"/>
      </w:tabs>
      <w:spacing w:line="240" w:lineRule="auto"/>
    </w:pPr>
  </w:style>
  <w:style w:type="character" w:customStyle="1" w:styleId="FooterChar">
    <w:name w:val="Footer Char"/>
    <w:basedOn w:val="DefaultParagraphFont"/>
    <w:link w:val="Footer"/>
    <w:uiPriority w:val="99"/>
    <w:rsid w:val="0072203D"/>
    <w:rPr>
      <w:rFonts w:ascii="Times New Roman" w:eastAsia="Times New Roman" w:hAnsi="Times New Roman" w:cs="Times New Roman"/>
      <w:sz w:val="20"/>
      <w:lang w:val="en-US"/>
    </w:rPr>
  </w:style>
  <w:style w:type="paragraph" w:styleId="Revision">
    <w:name w:val="Revision"/>
    <w:hidden/>
    <w:uiPriority w:val="99"/>
    <w:semiHidden/>
    <w:rsid w:val="0072203D"/>
    <w:pPr>
      <w:spacing w:after="0" w:line="240" w:lineRule="auto"/>
    </w:pPr>
    <w:rPr>
      <w:rFonts w:ascii="Times New Roman" w:eastAsia="Times New Roman" w:hAnsi="Times New Roman" w:cs="Times New Roman"/>
      <w:sz w:val="20"/>
      <w:lang w:val="en-US"/>
    </w:rPr>
  </w:style>
  <w:style w:type="character" w:customStyle="1" w:styleId="Heading2Char">
    <w:name w:val="Heading 2 Char"/>
    <w:basedOn w:val="DefaultParagraphFont"/>
    <w:link w:val="Heading2"/>
    <w:uiPriority w:val="9"/>
    <w:semiHidden/>
    <w:rsid w:val="004521DC"/>
    <w:rPr>
      <w:rFonts w:asciiTheme="majorHAnsi" w:eastAsiaTheme="majorEastAsia" w:hAnsiTheme="majorHAnsi" w:cstheme="majorBidi"/>
      <w:b/>
      <w:bCs/>
      <w:color w:val="4F81BD" w:themeColor="accent1"/>
      <w:sz w:val="26"/>
      <w:szCs w:val="26"/>
      <w:lang w:val="en-US"/>
    </w:rPr>
  </w:style>
  <w:style w:type="character" w:customStyle="1" w:styleId="hps">
    <w:name w:val="hps"/>
    <w:basedOn w:val="DefaultParagraphFont"/>
    <w:rsid w:val="004521DC"/>
  </w:style>
  <w:style w:type="character" w:customStyle="1" w:styleId="recommendation">
    <w:name w:val="recommendation"/>
    <w:basedOn w:val="DefaultParagraphFont"/>
    <w:rsid w:val="004521DC"/>
  </w:style>
  <w:style w:type="character" w:customStyle="1" w:styleId="shorttext">
    <w:name w:val="short_text"/>
    <w:basedOn w:val="DefaultParagraphFont"/>
    <w:rsid w:val="004521DC"/>
  </w:style>
  <w:style w:type="paragraph" w:customStyle="1" w:styleId="Abstracttitle14ptboldcentered">
    <w:name w:val="Abstract title 14pt bold centered"/>
    <w:basedOn w:val="Normal"/>
    <w:rsid w:val="00E125D3"/>
    <w:pPr>
      <w:spacing w:line="240" w:lineRule="auto"/>
      <w:jc w:val="center"/>
    </w:pPr>
    <w:rPr>
      <w:b/>
      <w:bCs/>
      <w:sz w:val="28"/>
      <w:szCs w:val="20"/>
    </w:rPr>
  </w:style>
  <w:style w:type="paragraph" w:customStyle="1" w:styleId="AbstractHeader">
    <w:name w:val="Abstract Header"/>
    <w:basedOn w:val="Heading1"/>
    <w:next w:val="AbstractBody"/>
    <w:rsid w:val="00E125D3"/>
    <w:pPr>
      <w:keepLines w:val="0"/>
      <w:spacing w:before="120" w:afterLines="50"/>
    </w:pPr>
    <w:rPr>
      <w:rFonts w:ascii="Times New Roman" w:eastAsia="MingLiU" w:hAnsi="Times New Roman" w:cs="Times New Roman"/>
      <w:bCs w:val="0"/>
      <w:color w:val="auto"/>
      <w:kern w:val="28"/>
      <w:sz w:val="20"/>
      <w:szCs w:val="20"/>
      <w:lang w:eastAsia="zh-TW"/>
    </w:rPr>
  </w:style>
  <w:style w:type="paragraph" w:customStyle="1" w:styleId="AbstractBody">
    <w:name w:val="Abstract Body"/>
    <w:basedOn w:val="Normal"/>
    <w:next w:val="Heading1"/>
    <w:rsid w:val="00E125D3"/>
    <w:rPr>
      <w:rFonts w:eastAsia="MingLiU"/>
      <w:szCs w:val="20"/>
      <w:lang w:eastAsia="zh-TW"/>
    </w:rPr>
  </w:style>
  <w:style w:type="paragraph" w:customStyle="1" w:styleId="Keywords">
    <w:name w:val="Keywords"/>
    <w:basedOn w:val="AbstractHeader"/>
    <w:rsid w:val="00E125D3"/>
    <w:pPr>
      <w:spacing w:after="120"/>
    </w:pPr>
    <w:rPr>
      <w:i/>
      <w:caps/>
    </w:rPr>
  </w:style>
  <w:style w:type="paragraph" w:customStyle="1" w:styleId="Author">
    <w:name w:val="Author"/>
    <w:basedOn w:val="Normal"/>
    <w:rsid w:val="00E125D3"/>
    <w:pPr>
      <w:spacing w:before="40" w:after="100" w:line="260" w:lineRule="exact"/>
      <w:ind w:right="288"/>
      <w:jc w:val="center"/>
    </w:pPr>
    <w:rPr>
      <w:snapToGrid w:val="0"/>
      <w:sz w:val="16"/>
      <w:szCs w:val="24"/>
    </w:rPr>
  </w:style>
  <w:style w:type="character" w:styleId="HTMLCode">
    <w:name w:val="HTML Code"/>
    <w:basedOn w:val="DefaultParagraphFont"/>
    <w:uiPriority w:val="99"/>
    <w:semiHidden/>
    <w:unhideWhenUsed/>
    <w:rsid w:val="00583AD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3F"/>
    <w:pPr>
      <w:spacing w:after="0" w:line="240" w:lineRule="exact"/>
      <w:jc w:val="both"/>
    </w:pPr>
    <w:rPr>
      <w:rFonts w:ascii="Times New Roman" w:eastAsia="Times New Roman" w:hAnsi="Times New Roman" w:cs="Times New Roman"/>
      <w:sz w:val="20"/>
      <w:lang w:val="en-US"/>
    </w:rPr>
  </w:style>
  <w:style w:type="paragraph" w:styleId="Heading1">
    <w:name w:val="heading 1"/>
    <w:basedOn w:val="Normal"/>
    <w:next w:val="Normal"/>
    <w:link w:val="Heading1Char"/>
    <w:uiPriority w:val="9"/>
    <w:qFormat/>
    <w:rsid w:val="002244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21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803A3F"/>
  </w:style>
  <w:style w:type="paragraph" w:styleId="FootnoteText">
    <w:name w:val="footnote text"/>
    <w:basedOn w:val="Normal"/>
    <w:link w:val="FootnoteTextChar"/>
    <w:uiPriority w:val="99"/>
    <w:semiHidden/>
    <w:unhideWhenUsed/>
    <w:rsid w:val="00803A3F"/>
    <w:pPr>
      <w:widowControl w:val="0"/>
      <w:wordWrap w:val="0"/>
      <w:autoSpaceDE w:val="0"/>
      <w:autoSpaceDN w:val="0"/>
    </w:pPr>
    <w:rPr>
      <w:rFonts w:asciiTheme="majorHAnsi" w:eastAsia="Batang" w:hAnsiTheme="majorHAnsi"/>
      <w:kern w:val="2"/>
      <w:szCs w:val="20"/>
      <w:lang w:eastAsia="ko-KR"/>
    </w:rPr>
  </w:style>
  <w:style w:type="character" w:customStyle="1" w:styleId="FootnoteTextChar">
    <w:name w:val="Footnote Text Char"/>
    <w:basedOn w:val="DefaultParagraphFont"/>
    <w:link w:val="FootnoteText"/>
    <w:uiPriority w:val="99"/>
    <w:semiHidden/>
    <w:rsid w:val="00803A3F"/>
    <w:rPr>
      <w:rFonts w:asciiTheme="majorHAnsi" w:eastAsia="Batang" w:hAnsiTheme="majorHAnsi" w:cs="Times New Roman"/>
      <w:kern w:val="2"/>
      <w:sz w:val="20"/>
      <w:szCs w:val="20"/>
      <w:lang w:val="en-US" w:eastAsia="ko-KR"/>
    </w:rPr>
  </w:style>
  <w:style w:type="character" w:styleId="FootnoteReference">
    <w:name w:val="footnote reference"/>
    <w:basedOn w:val="DefaultParagraphFont"/>
    <w:uiPriority w:val="99"/>
    <w:semiHidden/>
    <w:unhideWhenUsed/>
    <w:rsid w:val="00803A3F"/>
    <w:rPr>
      <w:vertAlign w:val="superscript"/>
    </w:rPr>
  </w:style>
  <w:style w:type="paragraph" w:styleId="ListParagraph">
    <w:name w:val="List Paragraph"/>
    <w:basedOn w:val="Normal"/>
    <w:uiPriority w:val="34"/>
    <w:qFormat/>
    <w:rsid w:val="00803A3F"/>
    <w:pPr>
      <w:widowControl w:val="0"/>
      <w:wordWrap w:val="0"/>
      <w:autoSpaceDE w:val="0"/>
      <w:autoSpaceDN w:val="0"/>
      <w:spacing w:line="360" w:lineRule="auto"/>
      <w:ind w:left="720"/>
      <w:contextualSpacing/>
    </w:pPr>
    <w:rPr>
      <w:rFonts w:asciiTheme="majorHAnsi" w:eastAsia="Batang" w:hAnsiTheme="majorHAnsi"/>
      <w:kern w:val="2"/>
      <w:sz w:val="22"/>
      <w:szCs w:val="20"/>
      <w:lang w:eastAsia="ko-KR"/>
    </w:rPr>
  </w:style>
  <w:style w:type="character" w:styleId="Strong">
    <w:name w:val="Strong"/>
    <w:basedOn w:val="DefaultParagraphFont"/>
    <w:uiPriority w:val="22"/>
    <w:qFormat/>
    <w:rsid w:val="00803A3F"/>
    <w:rPr>
      <w:b/>
      <w:bCs/>
    </w:rPr>
  </w:style>
  <w:style w:type="table" w:styleId="TableGrid">
    <w:name w:val="Table Grid"/>
    <w:basedOn w:val="TableNormal"/>
    <w:uiPriority w:val="59"/>
    <w:rsid w:val="00803A3F"/>
    <w:pPr>
      <w:spacing w:after="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44CB"/>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BD23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0E"/>
    <w:rPr>
      <w:rFonts w:ascii="Tahoma" w:eastAsia="Times New Roman" w:hAnsi="Tahoma" w:cs="Tahoma"/>
      <w:sz w:val="16"/>
      <w:szCs w:val="16"/>
      <w:lang w:val="en-US"/>
    </w:rPr>
  </w:style>
  <w:style w:type="character" w:styleId="Hyperlink">
    <w:name w:val="Hyperlink"/>
    <w:basedOn w:val="DefaultParagraphFont"/>
    <w:uiPriority w:val="99"/>
    <w:unhideWhenUsed/>
    <w:rsid w:val="00076172"/>
    <w:rPr>
      <w:color w:val="0000FF" w:themeColor="hyperlink"/>
      <w:u w:val="single"/>
    </w:rPr>
  </w:style>
  <w:style w:type="paragraph" w:styleId="Header">
    <w:name w:val="header"/>
    <w:basedOn w:val="Normal"/>
    <w:link w:val="HeaderChar"/>
    <w:unhideWhenUsed/>
    <w:rsid w:val="0072203D"/>
    <w:pPr>
      <w:tabs>
        <w:tab w:val="center" w:pos="4513"/>
        <w:tab w:val="right" w:pos="9026"/>
      </w:tabs>
      <w:spacing w:line="240" w:lineRule="auto"/>
    </w:pPr>
  </w:style>
  <w:style w:type="character" w:customStyle="1" w:styleId="HeaderChar">
    <w:name w:val="Header Char"/>
    <w:basedOn w:val="DefaultParagraphFont"/>
    <w:link w:val="Header"/>
    <w:uiPriority w:val="99"/>
    <w:rsid w:val="0072203D"/>
    <w:rPr>
      <w:rFonts w:ascii="Times New Roman" w:eastAsia="Times New Roman" w:hAnsi="Times New Roman" w:cs="Times New Roman"/>
      <w:sz w:val="20"/>
      <w:lang w:val="en-US"/>
    </w:rPr>
  </w:style>
  <w:style w:type="paragraph" w:styleId="Footer">
    <w:name w:val="footer"/>
    <w:basedOn w:val="Normal"/>
    <w:link w:val="FooterChar"/>
    <w:uiPriority w:val="99"/>
    <w:unhideWhenUsed/>
    <w:rsid w:val="0072203D"/>
    <w:pPr>
      <w:tabs>
        <w:tab w:val="center" w:pos="4513"/>
        <w:tab w:val="right" w:pos="9026"/>
      </w:tabs>
      <w:spacing w:line="240" w:lineRule="auto"/>
    </w:pPr>
  </w:style>
  <w:style w:type="character" w:customStyle="1" w:styleId="FooterChar">
    <w:name w:val="Footer Char"/>
    <w:basedOn w:val="DefaultParagraphFont"/>
    <w:link w:val="Footer"/>
    <w:uiPriority w:val="99"/>
    <w:rsid w:val="0072203D"/>
    <w:rPr>
      <w:rFonts w:ascii="Times New Roman" w:eastAsia="Times New Roman" w:hAnsi="Times New Roman" w:cs="Times New Roman"/>
      <w:sz w:val="20"/>
      <w:lang w:val="en-US"/>
    </w:rPr>
  </w:style>
  <w:style w:type="paragraph" w:styleId="Revision">
    <w:name w:val="Revision"/>
    <w:hidden/>
    <w:uiPriority w:val="99"/>
    <w:semiHidden/>
    <w:rsid w:val="0072203D"/>
    <w:pPr>
      <w:spacing w:after="0" w:line="240" w:lineRule="auto"/>
    </w:pPr>
    <w:rPr>
      <w:rFonts w:ascii="Times New Roman" w:eastAsia="Times New Roman" w:hAnsi="Times New Roman" w:cs="Times New Roman"/>
      <w:sz w:val="20"/>
      <w:lang w:val="en-US"/>
    </w:rPr>
  </w:style>
  <w:style w:type="character" w:customStyle="1" w:styleId="Heading2Char">
    <w:name w:val="Heading 2 Char"/>
    <w:basedOn w:val="DefaultParagraphFont"/>
    <w:link w:val="Heading2"/>
    <w:uiPriority w:val="9"/>
    <w:semiHidden/>
    <w:rsid w:val="004521DC"/>
    <w:rPr>
      <w:rFonts w:asciiTheme="majorHAnsi" w:eastAsiaTheme="majorEastAsia" w:hAnsiTheme="majorHAnsi" w:cstheme="majorBidi"/>
      <w:b/>
      <w:bCs/>
      <w:color w:val="4F81BD" w:themeColor="accent1"/>
      <w:sz w:val="26"/>
      <w:szCs w:val="26"/>
      <w:lang w:val="en-US"/>
    </w:rPr>
  </w:style>
  <w:style w:type="character" w:customStyle="1" w:styleId="hps">
    <w:name w:val="hps"/>
    <w:basedOn w:val="DefaultParagraphFont"/>
    <w:rsid w:val="004521DC"/>
  </w:style>
  <w:style w:type="character" w:customStyle="1" w:styleId="recommendation">
    <w:name w:val="recommendation"/>
    <w:basedOn w:val="DefaultParagraphFont"/>
    <w:rsid w:val="004521DC"/>
  </w:style>
  <w:style w:type="character" w:customStyle="1" w:styleId="shorttext">
    <w:name w:val="short_text"/>
    <w:basedOn w:val="DefaultParagraphFont"/>
    <w:rsid w:val="004521DC"/>
  </w:style>
  <w:style w:type="paragraph" w:customStyle="1" w:styleId="Abstracttitle14ptboldcentered">
    <w:name w:val="Abstract title 14pt bold centered"/>
    <w:basedOn w:val="Normal"/>
    <w:rsid w:val="00E125D3"/>
    <w:pPr>
      <w:spacing w:line="240" w:lineRule="auto"/>
      <w:jc w:val="center"/>
    </w:pPr>
    <w:rPr>
      <w:b/>
      <w:bCs/>
      <w:sz w:val="28"/>
      <w:szCs w:val="20"/>
    </w:rPr>
  </w:style>
  <w:style w:type="paragraph" w:customStyle="1" w:styleId="AbstractHeader">
    <w:name w:val="Abstract Header"/>
    <w:basedOn w:val="Heading1"/>
    <w:next w:val="AbstractBody"/>
    <w:rsid w:val="00E125D3"/>
    <w:pPr>
      <w:keepLines w:val="0"/>
      <w:spacing w:before="120" w:afterLines="50"/>
    </w:pPr>
    <w:rPr>
      <w:rFonts w:ascii="Times New Roman" w:eastAsia="MingLiU" w:hAnsi="Times New Roman" w:cs="Times New Roman"/>
      <w:bCs w:val="0"/>
      <w:color w:val="auto"/>
      <w:kern w:val="28"/>
      <w:sz w:val="20"/>
      <w:szCs w:val="20"/>
      <w:lang w:eastAsia="zh-TW"/>
    </w:rPr>
  </w:style>
  <w:style w:type="paragraph" w:customStyle="1" w:styleId="AbstractBody">
    <w:name w:val="Abstract Body"/>
    <w:basedOn w:val="Normal"/>
    <w:next w:val="Heading1"/>
    <w:rsid w:val="00E125D3"/>
    <w:rPr>
      <w:rFonts w:eastAsia="MingLiU"/>
      <w:szCs w:val="20"/>
      <w:lang w:eastAsia="zh-TW"/>
    </w:rPr>
  </w:style>
  <w:style w:type="paragraph" w:customStyle="1" w:styleId="Keywords">
    <w:name w:val="Keywords"/>
    <w:basedOn w:val="AbstractHeader"/>
    <w:rsid w:val="00E125D3"/>
    <w:pPr>
      <w:spacing w:after="120"/>
    </w:pPr>
    <w:rPr>
      <w:i/>
      <w:caps/>
    </w:rPr>
  </w:style>
  <w:style w:type="paragraph" w:customStyle="1" w:styleId="Author">
    <w:name w:val="Author"/>
    <w:basedOn w:val="Normal"/>
    <w:rsid w:val="00E125D3"/>
    <w:pPr>
      <w:spacing w:before="40" w:after="100" w:line="260" w:lineRule="exact"/>
      <w:ind w:right="288"/>
      <w:jc w:val="center"/>
    </w:pPr>
    <w:rPr>
      <w:snapToGrid w:val="0"/>
      <w:sz w:val="16"/>
      <w:szCs w:val="24"/>
    </w:rPr>
  </w:style>
  <w:style w:type="character" w:styleId="HTMLCode">
    <w:name w:val="HTML Code"/>
    <w:basedOn w:val="DefaultParagraphFont"/>
    <w:uiPriority w:val="99"/>
    <w:semiHidden/>
    <w:unhideWhenUsed/>
    <w:rsid w:val="00583A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3885">
      <w:bodyDiv w:val="1"/>
      <w:marLeft w:val="0"/>
      <w:marRight w:val="0"/>
      <w:marTop w:val="0"/>
      <w:marBottom w:val="0"/>
      <w:divBdr>
        <w:top w:val="none" w:sz="0" w:space="0" w:color="auto"/>
        <w:left w:val="none" w:sz="0" w:space="0" w:color="auto"/>
        <w:bottom w:val="none" w:sz="0" w:space="0" w:color="auto"/>
        <w:right w:val="none" w:sz="0" w:space="0" w:color="auto"/>
      </w:divBdr>
    </w:div>
    <w:div w:id="711223830">
      <w:bodyDiv w:val="1"/>
      <w:marLeft w:val="0"/>
      <w:marRight w:val="0"/>
      <w:marTop w:val="0"/>
      <w:marBottom w:val="0"/>
      <w:divBdr>
        <w:top w:val="none" w:sz="0" w:space="0" w:color="auto"/>
        <w:left w:val="none" w:sz="0" w:space="0" w:color="auto"/>
        <w:bottom w:val="none" w:sz="0" w:space="0" w:color="auto"/>
        <w:right w:val="none" w:sz="0" w:space="0" w:color="auto"/>
      </w:divBdr>
    </w:div>
    <w:div w:id="822738989">
      <w:bodyDiv w:val="1"/>
      <w:marLeft w:val="0"/>
      <w:marRight w:val="0"/>
      <w:marTop w:val="0"/>
      <w:marBottom w:val="0"/>
      <w:divBdr>
        <w:top w:val="none" w:sz="0" w:space="0" w:color="auto"/>
        <w:left w:val="none" w:sz="0" w:space="0" w:color="auto"/>
        <w:bottom w:val="none" w:sz="0" w:space="0" w:color="auto"/>
        <w:right w:val="none" w:sz="0" w:space="0" w:color="auto"/>
      </w:divBdr>
    </w:div>
    <w:div w:id="1064598000">
      <w:bodyDiv w:val="1"/>
      <w:marLeft w:val="0"/>
      <w:marRight w:val="0"/>
      <w:marTop w:val="0"/>
      <w:marBottom w:val="0"/>
      <w:divBdr>
        <w:top w:val="none" w:sz="0" w:space="0" w:color="auto"/>
        <w:left w:val="none" w:sz="0" w:space="0" w:color="auto"/>
        <w:bottom w:val="none" w:sz="0" w:space="0" w:color="auto"/>
        <w:right w:val="none" w:sz="0" w:space="0" w:color="auto"/>
      </w:divBdr>
      <w:divsChild>
        <w:div w:id="843320273">
          <w:marLeft w:val="0"/>
          <w:marRight w:val="0"/>
          <w:marTop w:val="0"/>
          <w:marBottom w:val="0"/>
          <w:divBdr>
            <w:top w:val="none" w:sz="0" w:space="0" w:color="auto"/>
            <w:left w:val="none" w:sz="0" w:space="0" w:color="auto"/>
            <w:bottom w:val="none" w:sz="0" w:space="0" w:color="auto"/>
            <w:right w:val="none" w:sz="0" w:space="0" w:color="auto"/>
          </w:divBdr>
        </w:div>
      </w:divsChild>
    </w:div>
    <w:div w:id="1113401203">
      <w:bodyDiv w:val="1"/>
      <w:marLeft w:val="0"/>
      <w:marRight w:val="0"/>
      <w:marTop w:val="0"/>
      <w:marBottom w:val="0"/>
      <w:divBdr>
        <w:top w:val="none" w:sz="0" w:space="0" w:color="auto"/>
        <w:left w:val="none" w:sz="0" w:space="0" w:color="auto"/>
        <w:bottom w:val="none" w:sz="0" w:space="0" w:color="auto"/>
        <w:right w:val="none" w:sz="0" w:space="0" w:color="auto"/>
      </w:divBdr>
    </w:div>
    <w:div w:id="11542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FC32248-F797-4CE1-94A1-A3D677C2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11</Pages>
  <Words>3829</Words>
  <Characters>21831</Characters>
  <Application>Microsoft Office Word</Application>
  <DocSecurity>0</DocSecurity>
  <Lines>181</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The University of Liverpool</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Mlejnkova, Petra</dc:creator>
  <cp:lastModifiedBy>Mlejnkova, Petra</cp:lastModifiedBy>
  <cp:revision>13</cp:revision>
  <cp:lastPrinted>2015-10-31T13:45:00Z</cp:lastPrinted>
  <dcterms:created xsi:type="dcterms:W3CDTF">2015-10-29T17:20:00Z</dcterms:created>
  <dcterms:modified xsi:type="dcterms:W3CDTF">2015-11-02T16:07:00Z</dcterms:modified>
</cp:coreProperties>
</file>