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E9" w:rsidRPr="00B303C4" w:rsidRDefault="00691CE9" w:rsidP="00B303C4">
      <w:pPr>
        <w:pStyle w:val="Default"/>
        <w:jc w:val="both"/>
        <w:rPr>
          <w:rFonts w:ascii="Arial" w:hAnsi="Arial" w:cs="Arial"/>
          <w:b/>
          <w:sz w:val="20"/>
          <w:szCs w:val="20"/>
        </w:rPr>
      </w:pPr>
      <w:r w:rsidRPr="00B303C4">
        <w:rPr>
          <w:rFonts w:ascii="Arial" w:hAnsi="Arial" w:cs="Arial"/>
          <w:b/>
          <w:sz w:val="20"/>
          <w:szCs w:val="20"/>
        </w:rPr>
        <w:t>Towards a</w:t>
      </w:r>
      <w:r w:rsidRPr="00B303C4">
        <w:rPr>
          <w:rFonts w:ascii="Arial" w:hAnsi="Arial" w:cs="Arial"/>
          <w:sz w:val="20"/>
          <w:szCs w:val="20"/>
        </w:rPr>
        <w:t xml:space="preserve"> </w:t>
      </w:r>
      <w:r w:rsidRPr="00B303C4">
        <w:rPr>
          <w:rFonts w:ascii="Arial" w:hAnsi="Arial" w:cs="Arial"/>
          <w:b/>
          <w:sz w:val="20"/>
          <w:szCs w:val="20"/>
        </w:rPr>
        <w:t>Children’s Rights Judgment: Five Factors that Judges Might Wish to Consider</w:t>
      </w:r>
    </w:p>
    <w:p w:rsidR="00691CE9" w:rsidRPr="00B303C4" w:rsidRDefault="00691CE9" w:rsidP="00B303C4">
      <w:pPr>
        <w:pStyle w:val="Default"/>
        <w:jc w:val="both"/>
        <w:rPr>
          <w:rFonts w:ascii="Arial" w:hAnsi="Arial" w:cs="Arial"/>
          <w:b/>
          <w:sz w:val="20"/>
          <w:szCs w:val="20"/>
        </w:rPr>
      </w:pPr>
    </w:p>
    <w:p w:rsidR="00691CE9" w:rsidRPr="00B303C4" w:rsidRDefault="00691CE9" w:rsidP="00B303C4">
      <w:pPr>
        <w:spacing w:line="240" w:lineRule="auto"/>
        <w:jc w:val="both"/>
        <w:rPr>
          <w:rFonts w:ascii="Arial" w:hAnsi="Arial" w:cs="Arial"/>
          <w:sz w:val="20"/>
          <w:szCs w:val="20"/>
        </w:rPr>
      </w:pPr>
      <w:r w:rsidRPr="00B303C4">
        <w:rPr>
          <w:rFonts w:ascii="Arial" w:hAnsi="Arial" w:cs="Arial"/>
          <w:sz w:val="20"/>
          <w:szCs w:val="20"/>
        </w:rPr>
        <w:t>Helen Stalford</w:t>
      </w:r>
      <w:r w:rsidRPr="005B6343">
        <w:rPr>
          <w:rStyle w:val="FootnoteReference"/>
          <w:rFonts w:ascii="Arial" w:hAnsi="Arial" w:cs="Arial"/>
          <w:sz w:val="20"/>
          <w:szCs w:val="20"/>
        </w:rPr>
        <w:footnoteReference w:customMarkFollows="1" w:id="1"/>
        <w:sym w:font="Symbol" w:char="F059"/>
      </w:r>
      <w:r w:rsidRPr="00B303C4">
        <w:rPr>
          <w:rFonts w:ascii="Arial" w:hAnsi="Arial" w:cs="Arial"/>
          <w:sz w:val="20"/>
          <w:szCs w:val="20"/>
          <w:vertAlign w:val="superscript"/>
        </w:rPr>
        <w:t xml:space="preserve"> </w:t>
      </w:r>
      <w:r w:rsidRPr="00B303C4">
        <w:rPr>
          <w:rFonts w:ascii="Arial" w:hAnsi="Arial" w:cs="Arial"/>
          <w:sz w:val="20"/>
          <w:szCs w:val="20"/>
        </w:rPr>
        <w:t>and Kathryn Hollingsworth</w:t>
      </w:r>
      <w:r w:rsidRPr="005B6343">
        <w:rPr>
          <w:rStyle w:val="FootnoteReference"/>
          <w:rFonts w:ascii="Arial" w:hAnsi="Arial" w:cs="Arial"/>
          <w:sz w:val="20"/>
          <w:szCs w:val="20"/>
        </w:rPr>
        <w:footnoteReference w:customMarkFollows="1" w:id="2"/>
        <w:sym w:font="Symbol" w:char="F06C"/>
      </w:r>
      <w:r w:rsidRPr="005B6343">
        <w:rPr>
          <w:rFonts w:ascii="Arial" w:hAnsi="Arial" w:cs="Arial"/>
          <w:sz w:val="20"/>
          <w:szCs w:val="20"/>
        </w:rPr>
        <w:t xml:space="preserve">  </w:t>
      </w:r>
    </w:p>
    <w:p w:rsidR="00691CE9" w:rsidRPr="00B303C4" w:rsidRDefault="00691CE9" w:rsidP="00B303C4">
      <w:pPr>
        <w:spacing w:line="240" w:lineRule="auto"/>
        <w:jc w:val="both"/>
        <w:rPr>
          <w:rFonts w:ascii="Arial" w:hAnsi="Arial" w:cs="Arial"/>
          <w:sz w:val="20"/>
          <w:szCs w:val="20"/>
        </w:rPr>
      </w:pPr>
    </w:p>
    <w:p w:rsidR="00691CE9" w:rsidRPr="00B303C4" w:rsidRDefault="00691CE9" w:rsidP="005B6343">
      <w:pPr>
        <w:spacing w:after="0" w:line="240" w:lineRule="auto"/>
        <w:jc w:val="both"/>
        <w:rPr>
          <w:rFonts w:ascii="Arial" w:hAnsi="Arial" w:cs="Arial"/>
          <w:b/>
          <w:sz w:val="20"/>
          <w:szCs w:val="20"/>
        </w:rPr>
      </w:pPr>
      <w:r w:rsidRPr="00B303C4">
        <w:rPr>
          <w:rFonts w:ascii="Arial" w:hAnsi="Arial" w:cs="Arial"/>
          <w:b/>
          <w:sz w:val="20"/>
          <w:szCs w:val="20"/>
        </w:rPr>
        <w:t xml:space="preserve">Introduction </w:t>
      </w:r>
    </w:p>
    <w:p w:rsidR="00691CE9" w:rsidRPr="00B303C4" w:rsidRDefault="00691CE9" w:rsidP="005B6343">
      <w:pPr>
        <w:autoSpaceDE w:val="0"/>
        <w:autoSpaceDN w:val="0"/>
        <w:adjustRightInd w:val="0"/>
        <w:spacing w:after="60" w:line="240" w:lineRule="auto"/>
        <w:jc w:val="both"/>
        <w:rPr>
          <w:rFonts w:ascii="Arial" w:hAnsi="Arial" w:cs="Arial"/>
          <w:sz w:val="20"/>
          <w:szCs w:val="20"/>
        </w:rPr>
      </w:pPr>
      <w:r w:rsidRPr="00B303C4">
        <w:rPr>
          <w:rFonts w:ascii="Arial" w:hAnsi="Arial" w:cs="Arial"/>
          <w:sz w:val="20"/>
          <w:szCs w:val="20"/>
        </w:rPr>
        <w:t>In January 2017 we published a short article in this Chronicle introducing a two-year project,</w:t>
      </w:r>
      <w:r w:rsidRPr="00B303C4">
        <w:rPr>
          <w:rFonts w:ascii="Arial" w:hAnsi="Arial" w:cs="Arial"/>
          <w:i/>
          <w:sz w:val="20"/>
          <w:szCs w:val="20"/>
        </w:rPr>
        <w:t xml:space="preserve"> Children’s Rights Judgments, </w:t>
      </w:r>
      <w:r w:rsidRPr="00B303C4">
        <w:rPr>
          <w:rFonts w:ascii="Arial" w:hAnsi="Arial" w:cs="Arial"/>
          <w:sz w:val="20"/>
          <w:szCs w:val="20"/>
        </w:rPr>
        <w:t xml:space="preserve">funded by the Arts and Humanities Research Council. That project has now been completed: it involved nearly 60 academic experts and legal practitioners working in the field of children’s rights across the world. This presented a unique collaborative opportunity to bring </w:t>
      </w:r>
      <w:r w:rsidRPr="00B303C4">
        <w:rPr>
          <w:rFonts w:ascii="Arial" w:hAnsi="Arial" w:cs="Arial"/>
          <w:sz w:val="20"/>
          <w:szCs w:val="20"/>
          <w:lang w:val="en-GB"/>
        </w:rPr>
        <w:t>children’s rights scholars and legal practice together, providing the latter with access to the latest theoretical and empirical intelligence from childhood research, and the former with a more profound appreciation of judges’ unique experience of transposing rights from abstract expressions into meaningful, fruitful and enduring commitments in relation to children implicated in legal proceedings.</w:t>
      </w:r>
    </w:p>
    <w:p w:rsidR="00691CE9" w:rsidRPr="00B303C4" w:rsidRDefault="00691CE9" w:rsidP="005B6343">
      <w:pPr>
        <w:autoSpaceDE w:val="0"/>
        <w:autoSpaceDN w:val="0"/>
        <w:adjustRightInd w:val="0"/>
        <w:spacing w:after="60" w:line="240" w:lineRule="auto"/>
        <w:jc w:val="both"/>
        <w:rPr>
          <w:rFonts w:ascii="Arial" w:hAnsi="Arial" w:cs="Arial"/>
          <w:sz w:val="20"/>
          <w:szCs w:val="20"/>
        </w:rPr>
      </w:pPr>
      <w:r w:rsidRPr="00B303C4">
        <w:rPr>
          <w:rFonts w:ascii="Arial" w:hAnsi="Arial" w:cs="Arial"/>
          <w:sz w:val="20"/>
          <w:szCs w:val="20"/>
        </w:rPr>
        <w:t xml:space="preserve">Contributors were tasked with revisiting existing judgments and redrafting </w:t>
      </w:r>
      <w:smartTag w:uri="urn:schemas-microsoft-com:office:smarttags" w:element="PersonName">
        <w:r w:rsidRPr="00B303C4">
          <w:rPr>
            <w:rFonts w:ascii="Arial" w:hAnsi="Arial" w:cs="Arial"/>
            <w:sz w:val="20"/>
            <w:szCs w:val="20"/>
          </w:rPr>
          <w:t>au</w:t>
        </w:r>
      </w:smartTag>
      <w:r w:rsidRPr="00B303C4">
        <w:rPr>
          <w:rFonts w:ascii="Arial" w:hAnsi="Arial" w:cs="Arial"/>
          <w:sz w:val="20"/>
          <w:szCs w:val="20"/>
        </w:rPr>
        <w:t>thentic, alternative versions in an attempt to illustrate, on judges’ own terms and adhering to judicial conventions, how they might have looked if reasoned through a children’s rights lens. The resulting collection</w:t>
      </w:r>
      <w:r w:rsidRPr="00B303C4">
        <w:rPr>
          <w:rStyle w:val="FootnoteReference"/>
          <w:rFonts w:ascii="Arial" w:hAnsi="Arial" w:cs="Arial"/>
          <w:sz w:val="20"/>
          <w:szCs w:val="20"/>
        </w:rPr>
        <w:footnoteReference w:id="3"/>
      </w:r>
      <w:r w:rsidRPr="00B303C4">
        <w:rPr>
          <w:rFonts w:ascii="Arial" w:hAnsi="Arial" w:cs="Arial"/>
          <w:sz w:val="20"/>
          <w:szCs w:val="20"/>
        </w:rPr>
        <w:t xml:space="preserve"> features 28 judgments and accompanying commentaries spanning </w:t>
      </w:r>
      <w:r w:rsidRPr="00B303C4">
        <w:rPr>
          <w:rFonts w:ascii="Arial" w:hAnsi="Arial" w:cs="Arial"/>
          <w:sz w:val="20"/>
          <w:szCs w:val="20"/>
          <w:lang w:val="en-GB"/>
        </w:rPr>
        <w:t>seven domestic jurisdictions (14 from England and Wales; and one each from Australia, the Netherlands, the USA, South Africa, Canada and Pakistan), as well as eight judgments from</w:t>
      </w:r>
      <w:r w:rsidRPr="00B303C4">
        <w:rPr>
          <w:rFonts w:ascii="Arial" w:hAnsi="Arial" w:cs="Arial"/>
          <w:sz w:val="20"/>
          <w:szCs w:val="20"/>
        </w:rPr>
        <w:t xml:space="preserve"> the international courts.</w:t>
      </w:r>
      <w:r w:rsidRPr="00B303C4">
        <w:rPr>
          <w:rStyle w:val="FootnoteReference"/>
          <w:rFonts w:ascii="Arial" w:hAnsi="Arial" w:cs="Arial"/>
          <w:sz w:val="20"/>
          <w:szCs w:val="20"/>
        </w:rPr>
        <w:footnoteReference w:id="4"/>
      </w:r>
      <w:r w:rsidRPr="00B303C4">
        <w:rPr>
          <w:rFonts w:ascii="Arial" w:hAnsi="Arial" w:cs="Arial"/>
          <w:sz w:val="20"/>
          <w:szCs w:val="20"/>
        </w:rPr>
        <w:t xml:space="preserve"> The judgments also cover a range of legal areas, including</w:t>
      </w:r>
      <w:r w:rsidRPr="00B303C4">
        <w:rPr>
          <w:rFonts w:ascii="Arial" w:hAnsi="Arial" w:cs="Arial"/>
          <w:sz w:val="20"/>
          <w:szCs w:val="20"/>
          <w:lang w:val="en-GB"/>
        </w:rPr>
        <w:t xml:space="preserve"> public and private care proceedings, medical decision-making, public order, immigration and asylum, criminal justice, housing, media privacy and parental child abduction.  </w:t>
      </w:r>
    </w:p>
    <w:p w:rsidR="00691CE9" w:rsidRPr="00B303C4" w:rsidRDefault="00691CE9" w:rsidP="00B303C4">
      <w:pPr>
        <w:spacing w:line="240" w:lineRule="auto"/>
        <w:jc w:val="both"/>
        <w:rPr>
          <w:rFonts w:ascii="Arial" w:hAnsi="Arial" w:cs="Arial"/>
          <w:sz w:val="20"/>
          <w:szCs w:val="20"/>
        </w:rPr>
      </w:pPr>
      <w:r w:rsidRPr="00B303C4">
        <w:rPr>
          <w:rFonts w:ascii="Arial" w:hAnsi="Arial" w:cs="Arial"/>
          <w:sz w:val="20"/>
          <w:szCs w:val="20"/>
        </w:rPr>
        <w:t xml:space="preserve">More broadly, the project aimed to confront some of the legal, political, economic, cultural and personal issues that so often limit judges’ ability to endorse children’s rights more boldly in the courts.  In an attempt to develop some constructive suggestions as to how to overcome these limitations, we identify five main factors that characterise a children’s rights-based approach to judgment writing and illustrate, through the rewritten judgments, what difference their application can make to the adjudication of cases involving children.  Those five factors involve: </w:t>
      </w:r>
    </w:p>
    <w:p w:rsidR="00691CE9" w:rsidRPr="00B303C4" w:rsidRDefault="00691CE9" w:rsidP="00B303C4">
      <w:pPr>
        <w:pStyle w:val="ListParagraph"/>
        <w:numPr>
          <w:ilvl w:val="0"/>
          <w:numId w:val="2"/>
        </w:num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Explicitly using children’s rights principles, including the UN Convention on the Rights of the Child, to inform judicial decision-making; </w:t>
      </w:r>
    </w:p>
    <w:p w:rsidR="00691CE9" w:rsidRPr="00B303C4" w:rsidRDefault="00691CE9" w:rsidP="00B303C4">
      <w:pPr>
        <w:pStyle w:val="ListParagraph"/>
        <w:numPr>
          <w:ilvl w:val="0"/>
          <w:numId w:val="2"/>
        </w:num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Drawing on theoretical and empirical scholarship to inform (and challenge!) established notions of children and childhood;</w:t>
      </w:r>
    </w:p>
    <w:p w:rsidR="00691CE9" w:rsidRPr="00B303C4" w:rsidRDefault="00691CE9" w:rsidP="00B303C4">
      <w:pPr>
        <w:pStyle w:val="ListParagraph"/>
        <w:numPr>
          <w:ilvl w:val="0"/>
          <w:numId w:val="2"/>
        </w:num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Applying and advocating child friendly procedures to maximise children’s participation in the legal process; </w:t>
      </w:r>
    </w:p>
    <w:p w:rsidR="00691CE9" w:rsidRPr="00B303C4" w:rsidRDefault="00691CE9" w:rsidP="00B303C4">
      <w:pPr>
        <w:pStyle w:val="ListParagraph"/>
        <w:numPr>
          <w:ilvl w:val="0"/>
          <w:numId w:val="2"/>
        </w:num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Placing the child’s voice, interests and experiences at the heart of the judgment narrative; </w:t>
      </w:r>
    </w:p>
    <w:p w:rsidR="00691CE9" w:rsidRPr="00B303C4" w:rsidRDefault="00691CE9" w:rsidP="005B6343">
      <w:pPr>
        <w:pStyle w:val="ListParagraph"/>
        <w:numPr>
          <w:ilvl w:val="0"/>
          <w:numId w:val="2"/>
        </w:numPr>
        <w:autoSpaceDE w:val="0"/>
        <w:autoSpaceDN w:val="0"/>
        <w:adjustRightInd w:val="0"/>
        <w:spacing w:after="60" w:line="240" w:lineRule="auto"/>
        <w:jc w:val="both"/>
        <w:rPr>
          <w:rFonts w:ascii="Arial" w:hAnsi="Arial" w:cs="Arial"/>
          <w:sz w:val="20"/>
          <w:szCs w:val="20"/>
        </w:rPr>
      </w:pPr>
      <w:r w:rsidRPr="00B303C4">
        <w:rPr>
          <w:rFonts w:ascii="Arial" w:hAnsi="Arial" w:cs="Arial"/>
          <w:sz w:val="20"/>
          <w:szCs w:val="20"/>
          <w:lang w:val="en-GB"/>
        </w:rPr>
        <w:t>Communicating the judgment in a child-friendly way.</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rPr>
        <w:t xml:space="preserve">The following discussion summarises some of the limitations inherent in judicial approaches to cases involving children before exemplifying how each of the above children’s rights factors were applied to the rewritten judgments included in the project. Whilst </w:t>
      </w:r>
      <w:r w:rsidRPr="00B303C4">
        <w:rPr>
          <w:rFonts w:ascii="Arial" w:hAnsi="Arial" w:cs="Arial"/>
          <w:sz w:val="20"/>
          <w:szCs w:val="20"/>
          <w:lang w:val="en-GB"/>
        </w:rPr>
        <w:t>some, perhaps predictably, apply a different reasoning or different sources of children’s rights to arrive at a different outcome to the original, other equally interesting contributions arrive at the same outcome as the original but via a more explicit children’s rights reasoning.</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Of course we recognise the limitations of our attempts to rewrite judgments, some of which were spelled out in our first article. As a group composed primarily of career academics, our judicial ‘experience’ was limited to 30-minute training session with </w:t>
      </w:r>
      <w:r w:rsidRPr="008D7DFA">
        <w:rPr>
          <w:rFonts w:ascii="Arial" w:hAnsi="Arial" w:cs="Arial"/>
          <w:sz w:val="20"/>
          <w:szCs w:val="20"/>
          <w:lang w:val="en-GB"/>
        </w:rPr>
        <w:t>Sir Mark Hedley</w:t>
      </w:r>
      <w:r w:rsidRPr="008D7DFA">
        <w:rPr>
          <w:rStyle w:val="FootnoteReference"/>
          <w:rFonts w:ascii="Arial" w:hAnsi="Arial"/>
          <w:sz w:val="20"/>
          <w:szCs w:val="20"/>
          <w:lang w:val="en-GB"/>
        </w:rPr>
        <w:footnoteReference w:id="5"/>
      </w:r>
      <w:r w:rsidRPr="008D7DFA">
        <w:rPr>
          <w:rFonts w:ascii="Arial" w:hAnsi="Arial" w:cs="Arial"/>
          <w:sz w:val="20"/>
          <w:szCs w:val="20"/>
          <w:lang w:val="en-GB"/>
        </w:rPr>
        <w:t xml:space="preserve"> at the beginning of the project, supported by some feedback from Lady Hale</w:t>
      </w:r>
      <w:r w:rsidRPr="008D7DFA">
        <w:rPr>
          <w:rStyle w:val="FootnoteReference"/>
          <w:rFonts w:ascii="Arial" w:hAnsi="Arial" w:cs="Arial"/>
          <w:sz w:val="20"/>
          <w:szCs w:val="20"/>
          <w:lang w:val="en-GB"/>
        </w:rPr>
        <w:footnoteReference w:id="6"/>
      </w:r>
      <w:r w:rsidRPr="008D7DFA">
        <w:rPr>
          <w:rFonts w:ascii="Arial" w:hAnsi="Arial" w:cs="Arial"/>
          <w:sz w:val="20"/>
          <w:szCs w:val="20"/>
          <w:lang w:val="en-GB"/>
        </w:rPr>
        <w:t>, Sir Mathew Thorpe</w:t>
      </w:r>
      <w:r w:rsidRPr="008D7DFA">
        <w:rPr>
          <w:rStyle w:val="FootnoteReference"/>
          <w:rFonts w:ascii="Arial" w:hAnsi="Arial"/>
          <w:sz w:val="20"/>
          <w:szCs w:val="20"/>
          <w:lang w:val="en-GB"/>
        </w:rPr>
        <w:footnoteReference w:id="7"/>
      </w:r>
      <w:r w:rsidRPr="00B303C4">
        <w:rPr>
          <w:rFonts w:ascii="Arial" w:hAnsi="Arial" w:cs="Arial"/>
          <w:sz w:val="20"/>
          <w:szCs w:val="20"/>
          <w:lang w:val="en-GB"/>
        </w:rPr>
        <w:t xml:space="preserve"> and Sir Mark Hedley on a handful of draft judgments. Given the large number of contributions, we had to limit re-drafted judgments to 5,000 words, requiring some of our ‘judges’ to focus on specific aspects of the original and present only the most essential details in terms of factual background and supporting evidence.  For the sake of </w:t>
      </w:r>
      <w:smartTag w:uri="urn:schemas-microsoft-com:office:smarttags" w:element="PersonName">
        <w:r w:rsidRPr="00B303C4">
          <w:rPr>
            <w:rFonts w:ascii="Arial" w:hAnsi="Arial" w:cs="Arial"/>
            <w:sz w:val="20"/>
            <w:szCs w:val="20"/>
            <w:lang w:val="en-GB"/>
          </w:rPr>
          <w:lastRenderedPageBreak/>
          <w:t>au</w:t>
        </w:r>
      </w:smartTag>
      <w:r w:rsidRPr="00B303C4">
        <w:rPr>
          <w:rFonts w:ascii="Arial" w:hAnsi="Arial" w:cs="Arial"/>
          <w:sz w:val="20"/>
          <w:szCs w:val="20"/>
          <w:lang w:val="en-GB"/>
        </w:rPr>
        <w:t xml:space="preserve">thenticity, each case could only draw on the legal, evidential and children’s rights sources available at the time of the original, and had to conform as closely as possible to the judicial conventions of the relevant court. Again, this posed something of a challenge, particularly for those judgments that predated any serious recognition of children as rights-holders (including a child burglary case dating from the 1780s). </w:t>
      </w:r>
    </w:p>
    <w:p w:rsidR="00691CE9" w:rsidRPr="00B303C4" w:rsidRDefault="00691CE9" w:rsidP="00B303C4">
      <w:pPr>
        <w:pStyle w:val="ListParagraph"/>
        <w:numPr>
          <w:ilvl w:val="0"/>
          <w:numId w:val="9"/>
        </w:numPr>
        <w:autoSpaceDE w:val="0"/>
        <w:autoSpaceDN w:val="0"/>
        <w:adjustRightInd w:val="0"/>
        <w:spacing w:after="0" w:line="240" w:lineRule="auto"/>
        <w:ind w:left="360"/>
        <w:jc w:val="both"/>
        <w:rPr>
          <w:rFonts w:ascii="Arial" w:hAnsi="Arial" w:cs="Arial"/>
          <w:b/>
          <w:sz w:val="20"/>
          <w:szCs w:val="20"/>
          <w:lang w:val="en-GB"/>
        </w:rPr>
      </w:pPr>
      <w:r w:rsidRPr="00B303C4">
        <w:rPr>
          <w:rFonts w:ascii="Arial" w:hAnsi="Arial" w:cs="Arial"/>
          <w:b/>
          <w:sz w:val="20"/>
          <w:szCs w:val="20"/>
          <w:lang w:val="en-GB"/>
        </w:rPr>
        <w:t>What prevents judges from engaging with children’s rights?</w:t>
      </w:r>
    </w:p>
    <w:p w:rsidR="00691CE9" w:rsidRPr="00B303C4" w:rsidRDefault="00691CE9" w:rsidP="00B303C4">
      <w:p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Whilst it may be a trite statement, it is important to remind ourselves that judges play an ever more critical role in giving effect to children’s rights. They step in where those responsible for children, including state actors, parents and medical practitioners, fail in their duties or cannot agree on what is best for a child.  They uphold basic standards for children in the face of what may be hostile political, economic and legal regimes and confront populist and neoliberal trends that threaten to undermine their rights. It is in the courts [and tribunals] that children, theoretically at least, acquire an independent legal voice that is denied them in other private and public decision-making processes.</w:t>
      </w:r>
      <w:r w:rsidRPr="00B303C4">
        <w:rPr>
          <w:rStyle w:val="FootnoteReference"/>
          <w:rFonts w:ascii="Arial" w:hAnsi="Arial" w:cs="Arial"/>
          <w:sz w:val="20"/>
          <w:szCs w:val="20"/>
          <w:lang w:val="en-GB"/>
        </w:rPr>
        <w:footnoteReference w:id="8"/>
      </w:r>
    </w:p>
    <w:p w:rsidR="00691CE9" w:rsidRPr="00B303C4" w:rsidRDefault="00691CE9" w:rsidP="00B303C4">
      <w:pPr>
        <w:autoSpaceDE w:val="0"/>
        <w:autoSpaceDN w:val="0"/>
        <w:adjustRightInd w:val="0"/>
        <w:spacing w:after="0" w:line="240" w:lineRule="auto"/>
        <w:jc w:val="both"/>
        <w:rPr>
          <w:rFonts w:ascii="Arial" w:hAnsi="Arial" w:cs="Arial"/>
          <w:sz w:val="20"/>
          <w:szCs w:val="20"/>
        </w:rPr>
      </w:pPr>
      <w:r w:rsidRPr="00B303C4">
        <w:rPr>
          <w:rFonts w:ascii="Arial" w:hAnsi="Arial" w:cs="Arial"/>
          <w:sz w:val="20"/>
          <w:szCs w:val="20"/>
          <w:lang w:val="en-GB"/>
        </w:rPr>
        <w:t xml:space="preserve">Notwithstanding their function as children’s rights enablers and activators, judges are all too often prone to poor decision-making tendencies and processes, often with damaging consequences for children as individuals and for children’s rights more broadly. Our analysis of specific cases and of the extensive literature on children’s experiences of the legal process during the course of this project revealed a number of specific tendencies on the part of the judiciary which hamper their capacity to endorse what we, as children’s rights scholars, define as a children’s rights based approach. These include: </w:t>
      </w:r>
      <w:r w:rsidRPr="00B303C4">
        <w:rPr>
          <w:rFonts w:ascii="Arial" w:hAnsi="Arial" w:cs="Arial"/>
          <w:sz w:val="20"/>
          <w:szCs w:val="20"/>
        </w:rPr>
        <w:t xml:space="preserve">a resistance to seeing children as rights-holders; unsupported or rigid conceptualisations of children and childhood; obscure and inconsistent approaches to assessing best interests; the tendency to side-line children in court proceedings; and a lack of support for children’s </w:t>
      </w:r>
      <w:smartTag w:uri="urn:schemas-microsoft-com:office:smarttags" w:element="PersonName">
        <w:r w:rsidRPr="00B303C4">
          <w:rPr>
            <w:rFonts w:ascii="Arial" w:hAnsi="Arial" w:cs="Arial"/>
            <w:sz w:val="20"/>
            <w:szCs w:val="20"/>
          </w:rPr>
          <w:t>au</w:t>
        </w:r>
      </w:smartTag>
      <w:r w:rsidRPr="00B303C4">
        <w:rPr>
          <w:rFonts w:ascii="Arial" w:hAnsi="Arial" w:cs="Arial"/>
          <w:sz w:val="20"/>
          <w:szCs w:val="20"/>
        </w:rPr>
        <w:t>tonomy. We explain each of these limitations and tendencies in turn before moving on, in section 2, to illustrate how these can be addressed.</w:t>
      </w:r>
    </w:p>
    <w:p w:rsidR="00691CE9" w:rsidRPr="00B303C4" w:rsidRDefault="00691CE9" w:rsidP="00B303C4">
      <w:pPr>
        <w:pStyle w:val="ListParagraph"/>
        <w:numPr>
          <w:ilvl w:val="0"/>
          <w:numId w:val="12"/>
        </w:numPr>
        <w:autoSpaceDE w:val="0"/>
        <w:autoSpaceDN w:val="0"/>
        <w:adjustRightInd w:val="0"/>
        <w:spacing w:after="0" w:line="240" w:lineRule="auto"/>
        <w:jc w:val="both"/>
        <w:rPr>
          <w:rFonts w:ascii="Arial" w:hAnsi="Arial" w:cs="Arial"/>
          <w:b/>
          <w:i/>
          <w:sz w:val="20"/>
          <w:szCs w:val="20"/>
        </w:rPr>
      </w:pPr>
      <w:r w:rsidRPr="00B303C4">
        <w:rPr>
          <w:rFonts w:ascii="Arial" w:hAnsi="Arial" w:cs="Arial"/>
          <w:b/>
          <w:i/>
          <w:sz w:val="20"/>
          <w:szCs w:val="20"/>
        </w:rPr>
        <w:t>Resistance to seeing children as rights-holders</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Even though children’s rights are now embedded in international, regional and domestic law, many judges remain resistant to applying the language and tools of children’s </w:t>
      </w:r>
      <w:r w:rsidRPr="00B303C4">
        <w:rPr>
          <w:rFonts w:ascii="Arial" w:hAnsi="Arial" w:cs="Arial"/>
          <w:iCs/>
          <w:sz w:val="20"/>
          <w:szCs w:val="20"/>
          <w:lang w:val="en-GB"/>
        </w:rPr>
        <w:t>right</w:t>
      </w:r>
      <w:r w:rsidRPr="00B303C4">
        <w:rPr>
          <w:rFonts w:ascii="Arial" w:hAnsi="Arial" w:cs="Arial"/>
          <w:sz w:val="20"/>
          <w:szCs w:val="20"/>
          <w:lang w:val="en-GB"/>
        </w:rPr>
        <w:t xml:space="preserve">s in their case work. Perhaps most notable is a widespread judicial reluctance to refer explicitly to the UNCRC to support their interpretation of children’s entitlement unless they are explicitly advanced in the legal arguments put before them by counsel or manifested in the domestic legislation at issue. Our project includes many examples of this, including the House of Lords’ majority decision in </w:t>
      </w:r>
      <w:r w:rsidRPr="00B303C4">
        <w:rPr>
          <w:rFonts w:ascii="Arial" w:hAnsi="Arial" w:cs="Arial"/>
          <w:i/>
          <w:iCs/>
          <w:sz w:val="20"/>
          <w:szCs w:val="20"/>
          <w:lang w:val="en-GB"/>
        </w:rPr>
        <w:t xml:space="preserve">Begum </w:t>
      </w:r>
      <w:r w:rsidRPr="00B303C4">
        <w:rPr>
          <w:rFonts w:ascii="Arial" w:hAnsi="Arial" w:cs="Arial"/>
          <w:sz w:val="20"/>
          <w:szCs w:val="20"/>
          <w:lang w:val="en-GB"/>
        </w:rPr>
        <w:t>(</w:t>
      </w:r>
      <w:r w:rsidRPr="00B303C4">
        <w:rPr>
          <w:rFonts w:ascii="Arial" w:hAnsi="Arial" w:cs="Arial"/>
          <w:i/>
          <w:iCs/>
          <w:sz w:val="20"/>
          <w:szCs w:val="20"/>
          <w:lang w:val="en-GB"/>
        </w:rPr>
        <w:t xml:space="preserve">R (On the application of Begum) v Head teacher and Governors of </w:t>
      </w:r>
      <w:smartTag w:uri="urn:schemas-microsoft-com:office:smarttags" w:element="place">
        <w:smartTag w:uri="urn:schemas-microsoft-com:office:smarttags" w:element="PlaceName">
          <w:r w:rsidRPr="00B303C4">
            <w:rPr>
              <w:rFonts w:ascii="Arial" w:hAnsi="Arial" w:cs="Arial"/>
              <w:i/>
              <w:iCs/>
              <w:sz w:val="20"/>
              <w:szCs w:val="20"/>
              <w:lang w:val="en-GB"/>
            </w:rPr>
            <w:t>Denbigh</w:t>
          </w:r>
        </w:smartTag>
        <w:r w:rsidRPr="00B303C4">
          <w:rPr>
            <w:rFonts w:ascii="Arial" w:hAnsi="Arial" w:cs="Arial"/>
            <w:i/>
            <w:iCs/>
            <w:sz w:val="20"/>
            <w:szCs w:val="20"/>
            <w:lang w:val="en-GB"/>
          </w:rPr>
          <w:t xml:space="preserve"> </w:t>
        </w:r>
        <w:smartTag w:uri="urn:schemas-microsoft-com:office:smarttags" w:element="PlaceType">
          <w:r w:rsidRPr="00B303C4">
            <w:rPr>
              <w:rFonts w:ascii="Arial" w:hAnsi="Arial" w:cs="Arial"/>
              <w:i/>
              <w:iCs/>
              <w:sz w:val="20"/>
              <w:szCs w:val="20"/>
              <w:lang w:val="en-GB"/>
            </w:rPr>
            <w:t>High School</w:t>
          </w:r>
        </w:smartTag>
      </w:smartTag>
      <w:r w:rsidRPr="00B303C4">
        <w:rPr>
          <w:rFonts w:ascii="Arial" w:hAnsi="Arial" w:cs="Arial"/>
          <w:i/>
          <w:iCs/>
          <w:sz w:val="20"/>
          <w:szCs w:val="20"/>
          <w:lang w:val="en-GB"/>
        </w:rPr>
        <w:t xml:space="preserve"> </w:t>
      </w:r>
      <w:r w:rsidRPr="00B303C4">
        <w:rPr>
          <w:rFonts w:ascii="Arial" w:hAnsi="Arial" w:cs="Arial"/>
          <w:sz w:val="20"/>
          <w:szCs w:val="20"/>
          <w:lang w:val="en-GB"/>
        </w:rPr>
        <w:t xml:space="preserve">[2006] UKHL 15). This concerned a Muslim schoolgirl, Shabina Begum, who wished to attend school wearing a </w:t>
      </w:r>
      <w:proofErr w:type="spellStart"/>
      <w:r w:rsidRPr="008D7DFA">
        <w:rPr>
          <w:rFonts w:ascii="Arial" w:hAnsi="Arial" w:cs="Arial"/>
          <w:sz w:val="20"/>
          <w:szCs w:val="20"/>
          <w:lang w:val="en-GB"/>
        </w:rPr>
        <w:t>jilbab</w:t>
      </w:r>
      <w:proofErr w:type="spellEnd"/>
      <w:r w:rsidRPr="00B303C4">
        <w:rPr>
          <w:rFonts w:ascii="Arial" w:hAnsi="Arial" w:cs="Arial"/>
          <w:sz w:val="20"/>
          <w:szCs w:val="20"/>
          <w:lang w:val="en-GB"/>
        </w:rPr>
        <w:t xml:space="preserve"> in contravention of the school’s uniform policy. Begum claimed that the policy violated Articles 9 and 2 of the ECHR, but the court focused almost entirely on the </w:t>
      </w:r>
      <w:smartTag w:uri="urn:schemas-microsoft-com:office:smarttags" w:element="PersonName">
        <w:r w:rsidRPr="00B303C4">
          <w:rPr>
            <w:rFonts w:ascii="Arial" w:hAnsi="Arial" w:cs="Arial"/>
            <w:sz w:val="20"/>
            <w:szCs w:val="20"/>
            <w:lang w:val="en-GB"/>
          </w:rPr>
          <w:t>au</w:t>
        </w:r>
      </w:smartTag>
      <w:r w:rsidRPr="00B303C4">
        <w:rPr>
          <w:rFonts w:ascii="Arial" w:hAnsi="Arial" w:cs="Arial"/>
          <w:sz w:val="20"/>
          <w:szCs w:val="20"/>
          <w:lang w:val="en-GB"/>
        </w:rPr>
        <w:t xml:space="preserve">thorities’ discretion to derogate from such rights. There was virtually no consideration of what these rights entailed for the child herself and whether this was proportionate in the light of her circumstances, and certainly no attempt to engage directly with the corresponding provisions of the UNCRC to inform this assessment. </w:t>
      </w:r>
    </w:p>
    <w:p w:rsidR="00691CE9" w:rsidRPr="00B303C4" w:rsidRDefault="00691CE9" w:rsidP="00B303C4">
      <w:pPr>
        <w:pStyle w:val="ListParagraph"/>
        <w:numPr>
          <w:ilvl w:val="0"/>
          <w:numId w:val="12"/>
        </w:numPr>
        <w:autoSpaceDE w:val="0"/>
        <w:autoSpaceDN w:val="0"/>
        <w:adjustRightInd w:val="0"/>
        <w:spacing w:after="0" w:line="240" w:lineRule="auto"/>
        <w:jc w:val="both"/>
        <w:rPr>
          <w:rFonts w:ascii="Arial" w:hAnsi="Arial" w:cs="Arial"/>
          <w:b/>
          <w:sz w:val="20"/>
          <w:szCs w:val="20"/>
        </w:rPr>
      </w:pPr>
      <w:r w:rsidRPr="00B303C4">
        <w:rPr>
          <w:rFonts w:ascii="Arial" w:hAnsi="Arial" w:cs="Arial"/>
          <w:b/>
          <w:i/>
          <w:sz w:val="20"/>
          <w:szCs w:val="20"/>
        </w:rPr>
        <w:t>Fixed or rigid judicial conceptualisations of children and childhood</w:t>
      </w:r>
      <w:r w:rsidRPr="00B303C4">
        <w:rPr>
          <w:rFonts w:ascii="Arial" w:hAnsi="Arial" w:cs="Arial"/>
          <w:b/>
          <w:sz w:val="20"/>
          <w:szCs w:val="20"/>
        </w:rPr>
        <w:t xml:space="preserve"> </w:t>
      </w:r>
    </w:p>
    <w:p w:rsidR="00691CE9" w:rsidRPr="00B303C4" w:rsidRDefault="00691CE9" w:rsidP="00B303C4">
      <w:p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Another symptom of judging children’s cases in a rights vacuum is that we see judges replacing children’s rights – and an understanding of what each of those rights should entail – with other constructs of children and childhood which are, more often than not, informed by the judges’ personal and professional experience, instincts and even prejudices. Such an approach typically constructs children as vulnerable, highly dependent, immature and lacking rationality. </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This is compounded by the fact that the prescribed age-based boundary between adulthood and childhood is fixed (somewhat arbitrarily). The process of gaining the wisdom, insight and maturity needed to determine the direction of one’s own life is presumed to occur in seemingly predictable developmental stages. Where children do not act in conformity with those prescribed stages, one of two approaches are usually taken: they are either no longer regarded as children in need of special attention (for instance, children who commit criminal offences); or, they must go beyond what is required even for adults in similar circumstances in order to acquire entitlement to self-determination. For example, a high threshold of capacity must be reached before a child can influence decisions around parental care and custody, or their own medical treatment.</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Rigid age-based or socially-embedded presumptions exert a significant influence on judicial decision-making. Take, for instance, the original ruling of the Dutch Supreme Court (</w:t>
      </w:r>
      <w:proofErr w:type="spellStart"/>
      <w:r w:rsidRPr="00B303C4">
        <w:rPr>
          <w:rFonts w:ascii="Arial" w:hAnsi="Arial" w:cs="Arial"/>
          <w:i/>
          <w:iCs/>
          <w:sz w:val="20"/>
          <w:szCs w:val="20"/>
          <w:lang w:val="en-GB"/>
        </w:rPr>
        <w:t>Hoge</w:t>
      </w:r>
      <w:proofErr w:type="spellEnd"/>
      <w:r w:rsidRPr="00B303C4">
        <w:rPr>
          <w:rFonts w:ascii="Arial" w:hAnsi="Arial" w:cs="Arial"/>
          <w:i/>
          <w:iCs/>
          <w:sz w:val="20"/>
          <w:szCs w:val="20"/>
          <w:lang w:val="en-GB"/>
        </w:rPr>
        <w:t xml:space="preserve"> </w:t>
      </w:r>
      <w:proofErr w:type="spellStart"/>
      <w:r w:rsidRPr="00B303C4">
        <w:rPr>
          <w:rFonts w:ascii="Arial" w:hAnsi="Arial" w:cs="Arial"/>
          <w:i/>
          <w:iCs/>
          <w:sz w:val="20"/>
          <w:szCs w:val="20"/>
          <w:lang w:val="en-GB"/>
        </w:rPr>
        <w:t>Raad</w:t>
      </w:r>
      <w:proofErr w:type="spellEnd"/>
      <w:r w:rsidRPr="00B303C4">
        <w:rPr>
          <w:rFonts w:ascii="Arial" w:hAnsi="Arial" w:cs="Arial"/>
          <w:i/>
          <w:iCs/>
          <w:sz w:val="20"/>
          <w:szCs w:val="20"/>
          <w:lang w:val="en-GB"/>
        </w:rPr>
        <w:t xml:space="preserve">, </w:t>
      </w:r>
      <w:r w:rsidRPr="00B303C4">
        <w:rPr>
          <w:rFonts w:ascii="Arial" w:hAnsi="Arial" w:cs="Arial"/>
          <w:sz w:val="20"/>
          <w:szCs w:val="20"/>
          <w:lang w:val="en-GB"/>
        </w:rPr>
        <w:t xml:space="preserve">ECLI:NL:HR:2014:3535 5 December 2014), rewritten for our project by Professors Marielle </w:t>
      </w:r>
      <w:proofErr w:type="spellStart"/>
      <w:r w:rsidRPr="00B303C4">
        <w:rPr>
          <w:rFonts w:ascii="Arial" w:hAnsi="Arial" w:cs="Arial"/>
          <w:sz w:val="20"/>
          <w:szCs w:val="20"/>
          <w:lang w:val="en-GB"/>
        </w:rPr>
        <w:t>Bruning</w:t>
      </w:r>
      <w:proofErr w:type="spellEnd"/>
      <w:r w:rsidRPr="00B303C4">
        <w:rPr>
          <w:rFonts w:ascii="Arial" w:hAnsi="Arial" w:cs="Arial"/>
          <w:sz w:val="20"/>
          <w:szCs w:val="20"/>
          <w:lang w:val="en-GB"/>
        </w:rPr>
        <w:t xml:space="preserve"> and </w:t>
      </w:r>
      <w:proofErr w:type="spellStart"/>
      <w:r w:rsidRPr="00B303C4">
        <w:rPr>
          <w:rFonts w:ascii="Arial" w:hAnsi="Arial" w:cs="Arial"/>
          <w:sz w:val="20"/>
          <w:szCs w:val="20"/>
          <w:lang w:val="en-GB"/>
        </w:rPr>
        <w:t>Ton</w:t>
      </w:r>
      <w:proofErr w:type="spellEnd"/>
      <w:r w:rsidRPr="00B303C4">
        <w:rPr>
          <w:rFonts w:ascii="Arial" w:hAnsi="Arial" w:cs="Arial"/>
          <w:sz w:val="20"/>
          <w:szCs w:val="20"/>
          <w:lang w:val="en-GB"/>
        </w:rPr>
        <w:t xml:space="preserve"> </w:t>
      </w:r>
      <w:proofErr w:type="spellStart"/>
      <w:r w:rsidRPr="00B303C4">
        <w:rPr>
          <w:rFonts w:ascii="Arial" w:hAnsi="Arial" w:cs="Arial"/>
          <w:sz w:val="20"/>
          <w:szCs w:val="20"/>
          <w:lang w:val="en-GB"/>
        </w:rPr>
        <w:t>Liefaard</w:t>
      </w:r>
      <w:proofErr w:type="spellEnd"/>
      <w:r w:rsidRPr="00B303C4">
        <w:rPr>
          <w:rFonts w:ascii="Arial" w:hAnsi="Arial" w:cs="Arial"/>
          <w:sz w:val="20"/>
          <w:szCs w:val="20"/>
          <w:lang w:val="en-GB"/>
        </w:rPr>
        <w:t xml:space="preserve"> of Leiden University. In prescribing that ‘competent’ children only have a right to be heard </w:t>
      </w:r>
      <w:r w:rsidRPr="00B303C4">
        <w:rPr>
          <w:rFonts w:ascii="Arial" w:hAnsi="Arial" w:cs="Arial"/>
          <w:sz w:val="20"/>
          <w:szCs w:val="20"/>
          <w:lang w:val="en-GB"/>
        </w:rPr>
        <w:lastRenderedPageBreak/>
        <w:t xml:space="preserve">in court proceedings if they are 12 years or older, Dutch law significantly limits younger children’s ability to have a say in family-related decisions, no matter how competent they might be. Whilst judges have discretion to allow younger children to be heard in such proceedings, we are told that permission is rarely granted, such that the judiciary perpetuates and promotes an entirely arbitrary age threshold as if it were a verified point of transition into higher maturity and resilience. </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Being prepared to confront such presumptions and engage more critically with empirically and theoretically-informed perspectives of children and childhood is key to empowering children in the justice process. </w:t>
      </w:r>
    </w:p>
    <w:p w:rsidR="00691CE9" w:rsidRPr="00B303C4" w:rsidRDefault="00691CE9" w:rsidP="00B303C4">
      <w:pPr>
        <w:pStyle w:val="ListParagraph"/>
        <w:numPr>
          <w:ilvl w:val="0"/>
          <w:numId w:val="12"/>
        </w:numPr>
        <w:autoSpaceDE w:val="0"/>
        <w:autoSpaceDN w:val="0"/>
        <w:adjustRightInd w:val="0"/>
        <w:spacing w:after="0" w:line="240" w:lineRule="auto"/>
        <w:jc w:val="both"/>
        <w:rPr>
          <w:rFonts w:ascii="Arial" w:hAnsi="Arial" w:cs="Arial"/>
          <w:b/>
          <w:i/>
          <w:sz w:val="20"/>
          <w:szCs w:val="20"/>
        </w:rPr>
      </w:pPr>
      <w:r w:rsidRPr="00B303C4">
        <w:rPr>
          <w:rFonts w:ascii="Arial" w:hAnsi="Arial" w:cs="Arial"/>
          <w:b/>
          <w:i/>
          <w:sz w:val="20"/>
          <w:szCs w:val="20"/>
        </w:rPr>
        <w:t>Obscure and inconsistent approaches to assessing best interests</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rPr>
        <w:t>A related, common concern around judges’ reasoning on substantive children’s rights issues is their treatment of the best interests principle.</w:t>
      </w:r>
      <w:r w:rsidRPr="00B303C4">
        <w:rPr>
          <w:rFonts w:ascii="Arial" w:hAnsi="Arial" w:cs="Arial"/>
          <w:i/>
          <w:sz w:val="20"/>
          <w:szCs w:val="20"/>
        </w:rPr>
        <w:t xml:space="preserve">  </w:t>
      </w:r>
      <w:r w:rsidRPr="00B303C4">
        <w:rPr>
          <w:rFonts w:ascii="Arial" w:hAnsi="Arial" w:cs="Arial"/>
          <w:sz w:val="20"/>
          <w:szCs w:val="20"/>
          <w:lang w:val="en-GB"/>
        </w:rPr>
        <w:t>This is a cornerstone of decision-making in cases involving children and has become neat shorthand for promoting the best outcome for children. One does not have to look too hard to find some reference to best interests in most cases involving children, but the project exposed significant variance and a lack of transparency and, in some cases, rigour, in best interests assessments by the judiciary, even in relation to factually and legally comparable cases. This is compounded by the blurry distinction between ‘welfare’ (a common legal concept in England and Wales, particularly in family proceedings)</w:t>
      </w:r>
      <w:r w:rsidRPr="00B303C4">
        <w:rPr>
          <w:rFonts w:ascii="Arial" w:hAnsi="Arial" w:cs="Arial"/>
          <w:i/>
          <w:sz w:val="20"/>
          <w:szCs w:val="20"/>
        </w:rPr>
        <w:t xml:space="preserve"> </w:t>
      </w:r>
      <w:r w:rsidRPr="00B303C4">
        <w:rPr>
          <w:rFonts w:ascii="Arial" w:hAnsi="Arial" w:cs="Arial"/>
          <w:sz w:val="20"/>
          <w:szCs w:val="20"/>
        </w:rPr>
        <w:t xml:space="preserve">and best interests. The </w:t>
      </w:r>
      <w:r w:rsidRPr="00B303C4">
        <w:rPr>
          <w:rFonts w:ascii="Arial" w:hAnsi="Arial" w:cs="Arial"/>
          <w:sz w:val="20"/>
          <w:szCs w:val="20"/>
          <w:lang w:val="en-GB"/>
        </w:rPr>
        <w:t xml:space="preserve">conflation of these two concepts has obscured and even undermined the currency of best interests as a distinct ‘right’ or a concept supporting other children’s rights (as we know from Article 3(1) of the UNCRC and the accompanying General Comment No.14). Instead, best interests or welfare assessments are commonly characterised by narrower paternalistic assessments in a manner that is exclusive of, rather than informed by children’s views. A good example of a vacuous assessment of children’s best interests is found in the case of </w:t>
      </w:r>
      <w:r w:rsidRPr="00B303C4">
        <w:rPr>
          <w:rFonts w:ascii="Arial" w:hAnsi="Arial" w:cs="Arial"/>
          <w:i/>
          <w:iCs/>
          <w:sz w:val="20"/>
          <w:szCs w:val="20"/>
          <w:lang w:val="en-GB"/>
        </w:rPr>
        <w:t>Collins v Secretary of State for Communities and Local Government</w:t>
      </w:r>
      <w:r w:rsidRPr="00B303C4">
        <w:rPr>
          <w:rFonts w:ascii="Arial" w:hAnsi="Arial" w:cs="Arial"/>
          <w:sz w:val="20"/>
          <w:szCs w:val="20"/>
          <w:lang w:val="en-GB"/>
        </w:rPr>
        <w:t xml:space="preserve"> [2013] EWCA </w:t>
      </w:r>
      <w:proofErr w:type="spellStart"/>
      <w:r w:rsidRPr="00B303C4">
        <w:rPr>
          <w:rFonts w:ascii="Arial" w:hAnsi="Arial" w:cs="Arial"/>
          <w:sz w:val="20"/>
          <w:szCs w:val="20"/>
          <w:lang w:val="en-GB"/>
        </w:rPr>
        <w:t>Civ</w:t>
      </w:r>
      <w:proofErr w:type="spellEnd"/>
      <w:r w:rsidRPr="00B303C4">
        <w:rPr>
          <w:rFonts w:ascii="Arial" w:hAnsi="Arial" w:cs="Arial"/>
          <w:sz w:val="20"/>
          <w:szCs w:val="20"/>
          <w:lang w:val="en-GB"/>
        </w:rPr>
        <w:t xml:space="preserve"> 1865 CA. This case concerned an appeal by an extended family of Irish Travellers, including 39 children, against the refusal of planning permission to stay on their land. There is little evidence in the original judgment of the court considering the impact that forced eviction and relocation would have on the children’s educational, emotional, social and financial best interests. Instead the court entirely conflates the interests of the adult parties with those of their children.  </w:t>
      </w:r>
    </w:p>
    <w:p w:rsidR="00691CE9" w:rsidRPr="00B303C4" w:rsidRDefault="00691CE9" w:rsidP="00B303C4">
      <w:pPr>
        <w:pStyle w:val="ListParagraph"/>
        <w:numPr>
          <w:ilvl w:val="0"/>
          <w:numId w:val="12"/>
        </w:numPr>
        <w:autoSpaceDE w:val="0"/>
        <w:autoSpaceDN w:val="0"/>
        <w:adjustRightInd w:val="0"/>
        <w:spacing w:after="0" w:line="240" w:lineRule="auto"/>
        <w:jc w:val="both"/>
        <w:rPr>
          <w:rFonts w:ascii="Arial" w:hAnsi="Arial" w:cs="Arial"/>
          <w:b/>
          <w:sz w:val="20"/>
          <w:szCs w:val="20"/>
          <w:lang w:val="en-GB"/>
        </w:rPr>
      </w:pPr>
      <w:r w:rsidRPr="00B303C4">
        <w:rPr>
          <w:rFonts w:ascii="Arial" w:hAnsi="Arial" w:cs="Arial"/>
          <w:b/>
          <w:i/>
          <w:sz w:val="20"/>
          <w:szCs w:val="20"/>
        </w:rPr>
        <w:t>Side-lining children in court proceedings</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The project identified the judicial tendency to marginalise children in court proceedings, both in terms of their active participation in proceedings, and in their propensity to consider questions relating to the child from a distinctly adult perspective. </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This is perhaps unsurprising given the legal, procedural and practical obstacles to engaging children directly in court proceedings: it is logistically difficult for children to bring a legal claim on their own behalf. In some cases they are legally barred from doing so or they may require permission of the court to be party to proceedings. Legal proceedings before the international courts have little or no mechanism for involving children directly in proceedings (an issue addressed in our project by the rewritten version of </w:t>
      </w:r>
      <w:proofErr w:type="spellStart"/>
      <w:r w:rsidRPr="00B303C4">
        <w:rPr>
          <w:rFonts w:ascii="Arial" w:hAnsi="Arial" w:cs="Arial"/>
          <w:i/>
          <w:sz w:val="20"/>
          <w:szCs w:val="20"/>
          <w:lang w:val="en-GB"/>
        </w:rPr>
        <w:t>Lubanga</w:t>
      </w:r>
      <w:proofErr w:type="spellEnd"/>
      <w:r w:rsidRPr="00B303C4">
        <w:rPr>
          <w:rFonts w:ascii="Arial" w:hAnsi="Arial" w:cs="Arial"/>
          <w:sz w:val="20"/>
          <w:szCs w:val="20"/>
          <w:lang w:val="en-GB"/>
        </w:rPr>
        <w:t>, the seminal ‘child soldiers’ case heard by the International Criminal Court in 2012).</w:t>
      </w:r>
      <w:r w:rsidRPr="00B303C4">
        <w:rPr>
          <w:rStyle w:val="FootnoteReference"/>
          <w:rFonts w:ascii="Arial" w:hAnsi="Arial" w:cs="Arial"/>
          <w:sz w:val="20"/>
          <w:szCs w:val="20"/>
          <w:lang w:val="en-GB"/>
        </w:rPr>
        <w:footnoteReference w:id="9"/>
      </w:r>
      <w:r w:rsidRPr="00B303C4">
        <w:rPr>
          <w:rFonts w:ascii="Arial" w:hAnsi="Arial" w:cs="Arial"/>
          <w:sz w:val="20"/>
          <w:szCs w:val="20"/>
          <w:lang w:val="en-GB"/>
        </w:rPr>
        <w:t xml:space="preserve"> Children generally have limited knowledge about their legal rights and therefore often have no idea that they have been infringed, and they usually lack the knowledge or financial resources to access appropriate legal advice and representation. </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Consequently, adults usually pursue challenges on children’s behalf with little or no direct participation of children in proceedings. The onus is entirely on adults, therefore, to ensure that children’s interests are not distorted or </w:t>
      </w:r>
      <w:proofErr w:type="spellStart"/>
      <w:r w:rsidRPr="00B303C4">
        <w:rPr>
          <w:rFonts w:ascii="Arial" w:hAnsi="Arial" w:cs="Arial"/>
          <w:sz w:val="20"/>
          <w:szCs w:val="20"/>
          <w:lang w:val="en-GB"/>
        </w:rPr>
        <w:t>instrumentalised</w:t>
      </w:r>
      <w:proofErr w:type="spellEnd"/>
      <w:r w:rsidRPr="00B303C4">
        <w:rPr>
          <w:rFonts w:ascii="Arial" w:hAnsi="Arial" w:cs="Arial"/>
          <w:sz w:val="20"/>
          <w:szCs w:val="20"/>
          <w:lang w:val="en-GB"/>
        </w:rPr>
        <w:t xml:space="preserve"> in pursuit of their own </w:t>
      </w:r>
      <w:proofErr w:type="spellStart"/>
      <w:r w:rsidRPr="00B303C4">
        <w:rPr>
          <w:rFonts w:ascii="Arial" w:hAnsi="Arial" w:cs="Arial"/>
          <w:sz w:val="20"/>
          <w:szCs w:val="20"/>
          <w:lang w:val="en-GB"/>
        </w:rPr>
        <w:t>adultist</w:t>
      </w:r>
      <w:proofErr w:type="spellEnd"/>
      <w:r w:rsidRPr="00B303C4">
        <w:rPr>
          <w:rFonts w:ascii="Arial" w:hAnsi="Arial" w:cs="Arial"/>
          <w:sz w:val="20"/>
          <w:szCs w:val="20"/>
          <w:lang w:val="en-GB"/>
        </w:rPr>
        <w:t xml:space="preserve"> agendas. A good example of the risks arising from this is provided by the case of </w:t>
      </w:r>
      <w:r w:rsidRPr="00B303C4">
        <w:rPr>
          <w:rFonts w:ascii="Arial" w:hAnsi="Arial" w:cs="Arial"/>
          <w:i/>
          <w:iCs/>
          <w:sz w:val="20"/>
          <w:szCs w:val="20"/>
          <w:lang w:val="en-GB"/>
        </w:rPr>
        <w:t xml:space="preserve">AAA v Associated News </w:t>
      </w:r>
      <w:r w:rsidRPr="00B303C4">
        <w:rPr>
          <w:rFonts w:ascii="Arial" w:hAnsi="Arial" w:cs="Arial"/>
          <w:sz w:val="20"/>
          <w:szCs w:val="20"/>
          <w:lang w:val="en-GB"/>
        </w:rPr>
        <w:t xml:space="preserve">[2013] EWCA </w:t>
      </w:r>
      <w:proofErr w:type="spellStart"/>
      <w:r w:rsidRPr="00B303C4">
        <w:rPr>
          <w:rFonts w:ascii="Arial" w:hAnsi="Arial" w:cs="Arial"/>
          <w:sz w:val="20"/>
          <w:szCs w:val="20"/>
          <w:lang w:val="en-GB"/>
        </w:rPr>
        <w:t>Civ</w:t>
      </w:r>
      <w:proofErr w:type="spellEnd"/>
      <w:r w:rsidRPr="00B303C4">
        <w:rPr>
          <w:rFonts w:ascii="Arial" w:hAnsi="Arial" w:cs="Arial"/>
          <w:sz w:val="20"/>
          <w:szCs w:val="20"/>
          <w:lang w:val="en-GB"/>
        </w:rPr>
        <w:t xml:space="preserve"> 554. This concerned a claim for damages and an injunction to prevent disclosure of paternity in a newspaper by a woman who had ‘confessed’ to a publisher to having a child as a result of an affair with a high profile public figure. The original claim was pursued unsuccessfully on the basis of the mother’s right to privacy, with no consideration that the child had an independent right to privacy that could not simply be waived by the mother’s indiscretion. </w:t>
      </w:r>
    </w:p>
    <w:p w:rsidR="00691CE9" w:rsidRPr="00B303C4" w:rsidRDefault="00691CE9" w:rsidP="005B6343">
      <w:pPr>
        <w:pStyle w:val="ListParagraph"/>
        <w:numPr>
          <w:ilvl w:val="0"/>
          <w:numId w:val="12"/>
        </w:numPr>
        <w:autoSpaceDE w:val="0"/>
        <w:autoSpaceDN w:val="0"/>
        <w:adjustRightInd w:val="0"/>
        <w:spacing w:after="0" w:line="240" w:lineRule="auto"/>
        <w:ind w:left="1077"/>
        <w:jc w:val="both"/>
        <w:rPr>
          <w:rFonts w:ascii="Arial" w:hAnsi="Arial" w:cs="Arial"/>
          <w:b/>
          <w:i/>
          <w:sz w:val="20"/>
          <w:szCs w:val="20"/>
        </w:rPr>
      </w:pPr>
      <w:r w:rsidRPr="00B303C4">
        <w:rPr>
          <w:rFonts w:ascii="Arial" w:hAnsi="Arial" w:cs="Arial"/>
          <w:b/>
          <w:i/>
          <w:sz w:val="20"/>
          <w:szCs w:val="20"/>
        </w:rPr>
        <w:t>A lack of conviction in children’s autonomy.</w:t>
      </w:r>
    </w:p>
    <w:p w:rsidR="00691CE9" w:rsidRPr="00B303C4" w:rsidRDefault="00691CE9" w:rsidP="005B6343">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Perhaps the most common shortcoming on the part of the judiciary is to minimise or even obstruct children’s active participation in decision-making, or to pay mere lip service to their views and wishes. This is commonly justified on the basis that giving too much credence to children’s views would </w:t>
      </w:r>
      <w:r w:rsidRPr="00B303C4">
        <w:rPr>
          <w:rFonts w:ascii="Arial" w:hAnsi="Arial" w:cs="Arial"/>
          <w:sz w:val="20"/>
          <w:szCs w:val="20"/>
          <w:lang w:val="en-GB"/>
        </w:rPr>
        <w:lastRenderedPageBreak/>
        <w:t xml:space="preserve">undermine their welfare, particularly if the child is perceived to have little or no insight into the implications of what they are asking of the judge. </w:t>
      </w:r>
    </w:p>
    <w:p w:rsidR="00691CE9" w:rsidRPr="00B303C4" w:rsidRDefault="00691CE9" w:rsidP="00B303C4">
      <w:p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The project revealed that, in the absence of a hard and fast age-threshold by which they acquire legal autonomy, a high threshold of understanding and capacity is required of children before they are deemed sufficiently reliable as autonomous decision-makers - higher, in some cases, than that expected of adults. Even when this threshold is reached, judges are extremely resistant to contravening the advice and opinions of adult professionals and their parents, particularly in matters of life and death. This is illustrated by the child protection case of </w:t>
      </w:r>
      <w:r w:rsidRPr="00B303C4">
        <w:rPr>
          <w:rFonts w:ascii="Arial" w:hAnsi="Arial" w:cs="Arial"/>
          <w:i/>
          <w:iCs/>
          <w:sz w:val="20"/>
          <w:szCs w:val="20"/>
          <w:lang w:val="en-GB"/>
        </w:rPr>
        <w:t xml:space="preserve">P-S (Children) </w:t>
      </w:r>
      <w:r w:rsidRPr="00B303C4">
        <w:rPr>
          <w:rFonts w:ascii="Arial" w:hAnsi="Arial" w:cs="Arial"/>
          <w:sz w:val="20"/>
          <w:szCs w:val="20"/>
          <w:lang w:val="en-GB"/>
        </w:rPr>
        <w:t xml:space="preserve">[2013] EWCA </w:t>
      </w:r>
      <w:proofErr w:type="spellStart"/>
      <w:r w:rsidRPr="00B303C4">
        <w:rPr>
          <w:rFonts w:ascii="Arial" w:hAnsi="Arial" w:cs="Arial"/>
          <w:sz w:val="20"/>
          <w:szCs w:val="20"/>
          <w:lang w:val="en-GB"/>
        </w:rPr>
        <w:t>Civ</w:t>
      </w:r>
      <w:proofErr w:type="spellEnd"/>
      <w:r w:rsidRPr="00B303C4">
        <w:rPr>
          <w:rFonts w:ascii="Arial" w:hAnsi="Arial" w:cs="Arial"/>
          <w:sz w:val="20"/>
          <w:szCs w:val="20"/>
          <w:lang w:val="en-GB"/>
        </w:rPr>
        <w:t xml:space="preserve"> 223 in which a 15-year-old boy’s expressed desire to </w:t>
      </w:r>
      <w:r w:rsidRPr="00B303C4">
        <w:rPr>
          <w:rFonts w:ascii="Arial" w:hAnsi="Arial" w:cs="Arial"/>
          <w:iCs/>
          <w:sz w:val="20"/>
          <w:szCs w:val="20"/>
          <w:lang w:val="en-GB"/>
        </w:rPr>
        <w:t>withdraw from foster care and return to his mother, was ignored.</w:t>
      </w:r>
      <w:r w:rsidRPr="00B303C4">
        <w:rPr>
          <w:rFonts w:ascii="Arial" w:hAnsi="Arial" w:cs="Arial"/>
          <w:i/>
          <w:iCs/>
          <w:sz w:val="20"/>
          <w:szCs w:val="20"/>
          <w:lang w:val="en-GB"/>
        </w:rPr>
        <w:t xml:space="preserve"> </w:t>
      </w:r>
      <w:r w:rsidRPr="00B303C4">
        <w:rPr>
          <w:rFonts w:ascii="Arial" w:hAnsi="Arial" w:cs="Arial"/>
          <w:sz w:val="20"/>
          <w:szCs w:val="20"/>
          <w:lang w:val="en-GB"/>
        </w:rPr>
        <w:t xml:space="preserve">In her short meeting with the child at the trial, the judge did not afford him an opportunity to express his wishes and feelings, limiting her communication with him to an explanation of the court process. When the child applied to give evidence via video link, his application was refused on the basis that it would be detrimental to his well-being and potentially make him feel responsible for the resulting decision.  </w:t>
      </w:r>
    </w:p>
    <w:p w:rsidR="00691CE9" w:rsidRPr="00B303C4" w:rsidRDefault="00691CE9" w:rsidP="00B303C4">
      <w:pPr>
        <w:pStyle w:val="ListParagraph"/>
        <w:numPr>
          <w:ilvl w:val="0"/>
          <w:numId w:val="9"/>
        </w:numPr>
        <w:autoSpaceDE w:val="0"/>
        <w:autoSpaceDN w:val="0"/>
        <w:adjustRightInd w:val="0"/>
        <w:spacing w:after="0" w:line="240" w:lineRule="auto"/>
        <w:ind w:left="360"/>
        <w:jc w:val="both"/>
        <w:rPr>
          <w:rFonts w:ascii="Arial" w:hAnsi="Arial" w:cs="Arial"/>
          <w:b/>
          <w:sz w:val="20"/>
          <w:szCs w:val="20"/>
          <w:lang w:val="en-GB"/>
        </w:rPr>
      </w:pPr>
      <w:r w:rsidRPr="00B303C4">
        <w:rPr>
          <w:rFonts w:ascii="Arial" w:hAnsi="Arial" w:cs="Arial"/>
          <w:b/>
          <w:sz w:val="20"/>
          <w:szCs w:val="20"/>
          <w:lang w:val="en-GB"/>
        </w:rPr>
        <w:t xml:space="preserve">What does it mean to adopt a children’s rights based approach to judicial decision-making? </w:t>
      </w:r>
    </w:p>
    <w:p w:rsidR="00691CE9" w:rsidRPr="00B303C4" w:rsidRDefault="00691CE9" w:rsidP="00B303C4">
      <w:pPr>
        <w:autoSpaceDE w:val="0"/>
        <w:autoSpaceDN w:val="0"/>
        <w:adjustRightInd w:val="0"/>
        <w:spacing w:after="60" w:line="240" w:lineRule="auto"/>
        <w:jc w:val="both"/>
        <w:rPr>
          <w:rFonts w:ascii="Arial" w:hAnsi="Arial" w:cs="Arial"/>
          <w:b/>
          <w:sz w:val="20"/>
          <w:szCs w:val="20"/>
          <w:highlight w:val="yellow"/>
          <w:lang w:val="en-GB"/>
        </w:rPr>
      </w:pPr>
      <w:r w:rsidRPr="00B303C4">
        <w:rPr>
          <w:rFonts w:ascii="Arial" w:hAnsi="Arial" w:cs="Arial"/>
          <w:sz w:val="20"/>
          <w:szCs w:val="20"/>
          <w:lang w:val="en-GB"/>
        </w:rPr>
        <w:t>The project recognises the plethora of cultural, jurisprudential, evidential, institutional, constitutional and political constraints that limit judicial freedom. Nonetheless, we suggest that judges can navigate the pitfalls identified above and adopt a more explicit children’s rights-based approach. We have already alluded to five broad strategies to support this, and we now elaborate on each in turn by reference to some of the rewritten judgments.</w:t>
      </w:r>
    </w:p>
    <w:p w:rsidR="00691CE9" w:rsidRPr="00B303C4" w:rsidRDefault="00691CE9" w:rsidP="00B303C4">
      <w:pPr>
        <w:pStyle w:val="ListParagraph"/>
        <w:numPr>
          <w:ilvl w:val="0"/>
          <w:numId w:val="10"/>
        </w:numPr>
        <w:autoSpaceDE w:val="0"/>
        <w:autoSpaceDN w:val="0"/>
        <w:adjustRightInd w:val="0"/>
        <w:spacing w:after="0" w:line="240" w:lineRule="auto"/>
        <w:ind w:left="360"/>
        <w:jc w:val="both"/>
        <w:rPr>
          <w:rFonts w:ascii="Arial" w:hAnsi="Arial" w:cs="Arial"/>
          <w:b/>
          <w:i/>
          <w:sz w:val="20"/>
          <w:szCs w:val="20"/>
          <w:lang w:val="en-GB"/>
        </w:rPr>
      </w:pPr>
      <w:r w:rsidRPr="00B303C4">
        <w:rPr>
          <w:rFonts w:ascii="Arial" w:hAnsi="Arial" w:cs="Arial"/>
          <w:b/>
          <w:i/>
          <w:sz w:val="20"/>
          <w:szCs w:val="20"/>
          <w:lang w:val="en-GB"/>
        </w:rPr>
        <w:t xml:space="preserve">Bringing children’s rights principles to bear on judicial decision-making </w:t>
      </w:r>
    </w:p>
    <w:p w:rsidR="00691CE9" w:rsidRPr="00B303C4" w:rsidRDefault="00691CE9" w:rsidP="00B303C4">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The first strategy, and the one adopted by the majority of our fictive judges, is to draw more explicitly on children’s rights principles when reasoning and deciding disputes. These principles – which include: recognising the child as a rights-holder; facilitating and giving effect to the voice of the child; prioritising the child’s best interests; protecting against non-discrimination; and supporting the child’s familial relationships - are often to be found within national law.</w:t>
      </w:r>
      <w:r w:rsidRPr="00B303C4">
        <w:rPr>
          <w:rStyle w:val="FootnoteReference"/>
          <w:rFonts w:ascii="Arial" w:hAnsi="Arial" w:cs="Arial"/>
          <w:sz w:val="20"/>
          <w:szCs w:val="20"/>
          <w:lang w:val="en-GB"/>
        </w:rPr>
        <w:footnoteReference w:id="10"/>
      </w:r>
      <w:r w:rsidRPr="00B303C4">
        <w:rPr>
          <w:rFonts w:ascii="Arial" w:hAnsi="Arial" w:cs="Arial"/>
          <w:sz w:val="20"/>
          <w:szCs w:val="20"/>
          <w:lang w:val="en-GB"/>
        </w:rPr>
        <w:t xml:space="preserve"> Sometimes, as is the case in South Africa, they are even embedded in the constitution. However, the principles are most comprehensively articulated in international children’s rights standards, most notably the UNCRC but also, for example, in Article 24 of the Charter of Fundamental Rights of the European Union. Even where these international standards are not directly enforceable in a particular domestic or supra-national legal system (for example, in the European Court of Human Rights (ECtHR) or the International Criminal Court), they can nonetheless be utilised by judges to push the boundaries in the interpretation, development and application of the law. Laura Lundy’s rewritten ECtHR judgment in </w:t>
      </w:r>
      <w:proofErr w:type="spellStart"/>
      <w:r w:rsidRPr="00B303C4">
        <w:rPr>
          <w:rFonts w:ascii="Arial" w:hAnsi="Arial" w:cs="Arial"/>
          <w:i/>
          <w:sz w:val="20"/>
          <w:szCs w:val="20"/>
          <w:lang w:val="en-GB"/>
        </w:rPr>
        <w:t>Valsamis</w:t>
      </w:r>
      <w:proofErr w:type="spellEnd"/>
      <w:r w:rsidRPr="00B303C4">
        <w:rPr>
          <w:rFonts w:ascii="Arial" w:hAnsi="Arial" w:cs="Arial"/>
          <w:i/>
          <w:sz w:val="20"/>
          <w:szCs w:val="20"/>
          <w:lang w:val="en-GB"/>
        </w:rPr>
        <w:t xml:space="preserve"> v Greece </w:t>
      </w:r>
      <w:r w:rsidRPr="00B303C4">
        <w:rPr>
          <w:rFonts w:ascii="Arial" w:hAnsi="Arial" w:cs="Arial"/>
          <w:sz w:val="20"/>
          <w:szCs w:val="20"/>
          <w:lang w:val="en-GB"/>
        </w:rPr>
        <w:t>(App no 21787/93, 18 December 1996)</w:t>
      </w:r>
      <w:r w:rsidRPr="00B303C4">
        <w:rPr>
          <w:rFonts w:ascii="Arial" w:hAnsi="Arial" w:cs="Arial"/>
          <w:i/>
          <w:sz w:val="20"/>
          <w:szCs w:val="20"/>
          <w:lang w:val="en-GB"/>
        </w:rPr>
        <w:t xml:space="preserve"> </w:t>
      </w:r>
      <w:r w:rsidRPr="00B303C4">
        <w:rPr>
          <w:rFonts w:ascii="Arial" w:hAnsi="Arial" w:cs="Arial"/>
          <w:sz w:val="20"/>
          <w:szCs w:val="20"/>
          <w:lang w:val="en-GB"/>
        </w:rPr>
        <w:t xml:space="preserve">makes extensive use of the UNCRC as well as its ‘soft law’ which can be derived from the Committee on the Rights of the Child’s General Comments, Concluding Observations, and other UN rules (which can be used to flesh out the bare bones of the ECHR and to assist judges in interpreting and understanding the articles of the UNCRC). By doing this, Lundy was able to ‘cross pollinate’ children’s rights standards, in a comprehensive and detailed way, to support the child’s educational, religious and political freedoms. Similarly, Kirsty Hughes’ rewritten </w:t>
      </w:r>
      <w:r w:rsidRPr="008D7DFA">
        <w:rPr>
          <w:rFonts w:ascii="Arial" w:hAnsi="Arial" w:cs="Arial"/>
          <w:sz w:val="20"/>
          <w:szCs w:val="20"/>
          <w:lang w:val="en-GB"/>
        </w:rPr>
        <w:t xml:space="preserve">judgment in the tortious damages claim in </w:t>
      </w:r>
      <w:r w:rsidRPr="008D7DFA">
        <w:rPr>
          <w:rFonts w:ascii="Arial" w:hAnsi="Arial" w:cs="Arial"/>
          <w:i/>
          <w:sz w:val="20"/>
          <w:szCs w:val="20"/>
          <w:lang w:val="en-GB"/>
        </w:rPr>
        <w:t xml:space="preserve">AAA </w:t>
      </w:r>
      <w:r w:rsidRPr="008D7DFA">
        <w:rPr>
          <w:rFonts w:ascii="Arial" w:hAnsi="Arial" w:cs="Arial"/>
          <w:sz w:val="20"/>
          <w:szCs w:val="20"/>
          <w:lang w:val="en-GB"/>
        </w:rPr>
        <w:t>(above) gave prominence to Article 3 UNCRC (the best interests principle),</w:t>
      </w:r>
      <w:r w:rsidRPr="00B303C4">
        <w:rPr>
          <w:rFonts w:ascii="Arial" w:hAnsi="Arial" w:cs="Arial"/>
          <w:sz w:val="20"/>
          <w:szCs w:val="20"/>
          <w:lang w:val="en-GB"/>
        </w:rPr>
        <w:t xml:space="preserve"> thus extending the Convention’s horizontal reach (that is, in actions between citizens) into private law proceedings. Even in those cases where the UNCRC was unavailable to our judges either temporally (because the case pre-dated the Convention; see the 200-year-old case of </w:t>
      </w:r>
      <w:r w:rsidRPr="00B303C4">
        <w:rPr>
          <w:rFonts w:ascii="Arial" w:hAnsi="Arial" w:cs="Arial"/>
          <w:i/>
          <w:sz w:val="20"/>
          <w:szCs w:val="20"/>
          <w:lang w:val="en-GB"/>
        </w:rPr>
        <w:t xml:space="preserve">John Hudson, </w:t>
      </w:r>
      <w:r w:rsidRPr="00B303C4">
        <w:rPr>
          <w:rFonts w:ascii="Arial" w:hAnsi="Arial" w:cs="Arial"/>
          <w:sz w:val="20"/>
          <w:szCs w:val="20"/>
          <w:lang w:val="en-GB"/>
        </w:rPr>
        <w:t>t17831210-19</w:t>
      </w:r>
      <w:r w:rsidRPr="00B303C4">
        <w:rPr>
          <w:rFonts w:ascii="Arial" w:hAnsi="Arial" w:cs="Arial"/>
          <w:i/>
          <w:sz w:val="20"/>
          <w:szCs w:val="20"/>
          <w:lang w:val="en-GB"/>
        </w:rPr>
        <w:t xml:space="preserve">) </w:t>
      </w:r>
      <w:r w:rsidRPr="00B303C4">
        <w:rPr>
          <w:rFonts w:ascii="Arial" w:hAnsi="Arial" w:cs="Arial"/>
          <w:sz w:val="20"/>
          <w:szCs w:val="20"/>
          <w:lang w:val="en-GB"/>
        </w:rPr>
        <w:t xml:space="preserve">or due to non-ratification (see Barbara Bennett </w:t>
      </w:r>
      <w:proofErr w:type="spellStart"/>
      <w:r w:rsidRPr="00B303C4">
        <w:rPr>
          <w:rFonts w:ascii="Arial" w:hAnsi="Arial" w:cs="Arial"/>
          <w:sz w:val="20"/>
          <w:szCs w:val="20"/>
          <w:lang w:val="en-GB"/>
        </w:rPr>
        <w:t>Woodhouse’s</w:t>
      </w:r>
      <w:proofErr w:type="spellEnd"/>
      <w:r w:rsidRPr="00B303C4">
        <w:rPr>
          <w:rFonts w:ascii="Arial" w:hAnsi="Arial" w:cs="Arial"/>
          <w:sz w:val="20"/>
          <w:szCs w:val="20"/>
          <w:lang w:val="en-GB"/>
        </w:rPr>
        <w:t xml:space="preserve"> rewritten US Supreme Court judgment in </w:t>
      </w:r>
      <w:r w:rsidRPr="00B303C4">
        <w:rPr>
          <w:rFonts w:ascii="Arial" w:hAnsi="Arial" w:cs="Arial"/>
          <w:i/>
          <w:sz w:val="20"/>
          <w:szCs w:val="20"/>
          <w:lang w:val="en-GB"/>
        </w:rPr>
        <w:t xml:space="preserve">Roper v Simmons </w:t>
      </w:r>
      <w:r w:rsidRPr="00B303C4">
        <w:rPr>
          <w:rFonts w:ascii="Arial" w:hAnsi="Arial" w:cs="Arial"/>
          <w:sz w:val="20"/>
          <w:szCs w:val="20"/>
          <w:lang w:val="en-GB"/>
        </w:rPr>
        <w:t>543 US 551 (2005))</w:t>
      </w:r>
      <w:r w:rsidRPr="00B303C4">
        <w:rPr>
          <w:rFonts w:ascii="Arial" w:hAnsi="Arial" w:cs="Arial"/>
          <w:i/>
          <w:sz w:val="20"/>
          <w:szCs w:val="20"/>
          <w:lang w:val="en-GB"/>
        </w:rPr>
        <w:t xml:space="preserve"> </w:t>
      </w:r>
      <w:r w:rsidRPr="00B303C4">
        <w:rPr>
          <w:rFonts w:ascii="Arial" w:hAnsi="Arial" w:cs="Arial"/>
          <w:sz w:val="20"/>
          <w:szCs w:val="20"/>
          <w:lang w:val="en-GB"/>
        </w:rPr>
        <w:t xml:space="preserve">the central principles of the Convention nonetheless infused the judicial approach. </w:t>
      </w:r>
    </w:p>
    <w:p w:rsidR="00691CE9" w:rsidRPr="00B303C4" w:rsidRDefault="00691CE9" w:rsidP="00B303C4">
      <w:pPr>
        <w:pStyle w:val="ListParagraph"/>
        <w:numPr>
          <w:ilvl w:val="0"/>
          <w:numId w:val="10"/>
        </w:numPr>
        <w:autoSpaceDE w:val="0"/>
        <w:autoSpaceDN w:val="0"/>
        <w:adjustRightInd w:val="0"/>
        <w:spacing w:after="0" w:line="240" w:lineRule="auto"/>
        <w:ind w:left="360"/>
        <w:jc w:val="both"/>
        <w:rPr>
          <w:rFonts w:ascii="Arial" w:hAnsi="Arial" w:cs="Arial"/>
          <w:b/>
          <w:i/>
          <w:sz w:val="20"/>
          <w:szCs w:val="20"/>
          <w:lang w:val="en-GB"/>
        </w:rPr>
      </w:pPr>
      <w:r w:rsidRPr="00B303C4">
        <w:rPr>
          <w:rFonts w:ascii="Arial" w:hAnsi="Arial" w:cs="Arial"/>
          <w:b/>
          <w:i/>
          <w:sz w:val="20"/>
          <w:szCs w:val="20"/>
          <w:lang w:val="en-GB"/>
        </w:rPr>
        <w:t>Bringing theoretical and empirical scholarship to bear on judicial decision-making</w:t>
      </w:r>
    </w:p>
    <w:p w:rsidR="00691CE9" w:rsidRPr="00B303C4" w:rsidRDefault="00691CE9" w:rsidP="00B303C4">
      <w:pPr>
        <w:autoSpaceDE w:val="0"/>
        <w:autoSpaceDN w:val="0"/>
        <w:adjustRightInd w:val="0"/>
        <w:spacing w:after="0" w:line="240" w:lineRule="auto"/>
        <w:jc w:val="both"/>
        <w:rPr>
          <w:rFonts w:ascii="Arial" w:hAnsi="Arial" w:cs="Arial"/>
          <w:sz w:val="20"/>
          <w:szCs w:val="20"/>
          <w:lang w:val="en-GB"/>
        </w:rPr>
      </w:pPr>
      <w:r w:rsidRPr="00B303C4">
        <w:rPr>
          <w:rFonts w:ascii="Arial" w:hAnsi="Arial" w:cs="Arial"/>
          <w:sz w:val="20"/>
          <w:szCs w:val="20"/>
          <w:lang w:val="en-GB"/>
        </w:rPr>
        <w:t xml:space="preserve">Children’s rights scholars spend much of their time grappling with tricky doctrinal, conceptual and empirically-informed legal issues that affect children. Much of this ‘intelligence’ does not reach the courtroom however, and though it is not uncommon for judges to cite doctrinal scholarship (where counsel have drawn on it in legal argument) it is much less usual for other types of academic research to be found (explicitly or implicitly) in judgments. And yet conceptual and empirical research can enhance the children’s rights credentials of a judgment. </w:t>
      </w:r>
    </w:p>
    <w:p w:rsidR="00691CE9" w:rsidRPr="00B303C4" w:rsidRDefault="00691CE9" w:rsidP="00B303C4">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Scholarship informed the decisions of our fictional judges in various ways. In a number of cases, the theoretical work of authors such as Michael Freeman, John </w:t>
      </w:r>
      <w:proofErr w:type="spellStart"/>
      <w:r w:rsidRPr="00B303C4">
        <w:rPr>
          <w:rFonts w:ascii="Arial" w:hAnsi="Arial" w:cs="Arial"/>
          <w:sz w:val="20"/>
          <w:szCs w:val="20"/>
          <w:lang w:val="en-GB"/>
        </w:rPr>
        <w:t>Eekelaar</w:t>
      </w:r>
      <w:proofErr w:type="spellEnd"/>
      <w:r w:rsidRPr="00B303C4">
        <w:rPr>
          <w:rFonts w:ascii="Arial" w:hAnsi="Arial" w:cs="Arial"/>
          <w:sz w:val="20"/>
          <w:szCs w:val="20"/>
          <w:lang w:val="en-GB"/>
        </w:rPr>
        <w:t xml:space="preserve">, Rosalind Dixon and Martha Nussbaum provided the implicit justification to treat children differently from adult rights-holders: sometimes to set the parameters of the child’s own decision-making (for example in medical cases such as </w:t>
      </w:r>
      <w:r w:rsidRPr="00B303C4">
        <w:rPr>
          <w:rFonts w:ascii="Arial" w:hAnsi="Arial" w:cs="Arial"/>
          <w:i/>
          <w:sz w:val="20"/>
          <w:szCs w:val="20"/>
          <w:lang w:val="en-GB"/>
        </w:rPr>
        <w:t xml:space="preserve">Re W (A Minor)(Consent to Medical Treatment) </w:t>
      </w:r>
      <w:r w:rsidRPr="00B303C4">
        <w:rPr>
          <w:rFonts w:ascii="Arial" w:hAnsi="Arial" w:cs="Arial"/>
          <w:sz w:val="20"/>
          <w:szCs w:val="20"/>
          <w:lang w:val="en-GB"/>
        </w:rPr>
        <w:t xml:space="preserve">[1993] Fam 64 and </w:t>
      </w:r>
      <w:r w:rsidRPr="00B303C4">
        <w:rPr>
          <w:rFonts w:ascii="Arial" w:hAnsi="Arial" w:cs="Arial"/>
          <w:i/>
          <w:sz w:val="20"/>
          <w:szCs w:val="20"/>
          <w:lang w:val="en-GB"/>
        </w:rPr>
        <w:t xml:space="preserve">F v F </w:t>
      </w:r>
      <w:r w:rsidRPr="00B303C4">
        <w:rPr>
          <w:rFonts w:ascii="Arial" w:hAnsi="Arial" w:cs="Arial"/>
          <w:sz w:val="20"/>
          <w:szCs w:val="20"/>
          <w:lang w:val="en-GB"/>
        </w:rPr>
        <w:t xml:space="preserve">[2013] EWHC 2683 (Fam)); </w:t>
      </w:r>
      <w:r w:rsidRPr="00B303C4">
        <w:rPr>
          <w:rFonts w:ascii="Arial" w:hAnsi="Arial" w:cs="Arial"/>
          <w:sz w:val="20"/>
          <w:szCs w:val="20"/>
          <w:lang w:val="en-GB"/>
        </w:rPr>
        <w:lastRenderedPageBreak/>
        <w:t xml:space="preserve">and sometimes to provide the requisite justification for preferential treatment of children over adults (for example, in the South African housing case of </w:t>
      </w:r>
      <w:r w:rsidRPr="00B303C4">
        <w:rPr>
          <w:rFonts w:ascii="Arial" w:hAnsi="Arial" w:cs="Arial"/>
          <w:i/>
          <w:iCs/>
          <w:sz w:val="20"/>
          <w:szCs w:val="20"/>
          <w:lang w:val="en-GB"/>
        </w:rPr>
        <w:t xml:space="preserve">Government of the Republic of South Africa and Others v </w:t>
      </w:r>
      <w:proofErr w:type="spellStart"/>
      <w:r w:rsidRPr="00B303C4">
        <w:rPr>
          <w:rFonts w:ascii="Arial" w:hAnsi="Arial" w:cs="Arial"/>
          <w:i/>
          <w:iCs/>
          <w:sz w:val="20"/>
          <w:szCs w:val="20"/>
          <w:lang w:val="en-GB"/>
        </w:rPr>
        <w:t>Grootboom</w:t>
      </w:r>
      <w:proofErr w:type="spellEnd"/>
      <w:r w:rsidRPr="00B303C4">
        <w:rPr>
          <w:rFonts w:ascii="Arial" w:hAnsi="Arial" w:cs="Arial"/>
          <w:i/>
          <w:iCs/>
          <w:sz w:val="20"/>
          <w:szCs w:val="20"/>
          <w:lang w:val="en-GB"/>
        </w:rPr>
        <w:t xml:space="preserve"> </w:t>
      </w:r>
      <w:r w:rsidRPr="00B303C4">
        <w:rPr>
          <w:rFonts w:ascii="Arial" w:hAnsi="Arial" w:cs="Arial"/>
          <w:sz w:val="20"/>
          <w:szCs w:val="20"/>
          <w:lang w:val="en-GB"/>
        </w:rPr>
        <w:t>2001 (1) SA 46 (CC)).</w:t>
      </w:r>
      <w:r w:rsidRPr="00B303C4">
        <w:rPr>
          <w:rFonts w:ascii="Arial" w:hAnsi="Arial" w:cs="Arial"/>
          <w:i/>
          <w:sz w:val="20"/>
          <w:szCs w:val="20"/>
          <w:lang w:val="en-GB"/>
        </w:rPr>
        <w:t xml:space="preserve"> </w:t>
      </w:r>
      <w:r w:rsidRPr="00B303C4">
        <w:rPr>
          <w:rFonts w:ascii="Arial" w:hAnsi="Arial" w:cs="Arial"/>
          <w:sz w:val="20"/>
          <w:szCs w:val="20"/>
          <w:lang w:val="en-GB"/>
        </w:rPr>
        <w:t xml:space="preserve">Elsewhere the work of relational theorists, including Jonathan Herring, underpins reasoning that challenges the orthodoxy that a rights-holder is a self-contained, rational individual who needs rights to protect against interference from others (a description that is unsuited to children), and which views rights instead as supportive of connection and inter-dependency. This is seen in </w:t>
      </w:r>
      <w:proofErr w:type="spellStart"/>
      <w:r w:rsidRPr="00B303C4">
        <w:rPr>
          <w:rFonts w:ascii="Arial" w:hAnsi="Arial" w:cs="Arial"/>
          <w:sz w:val="20"/>
          <w:szCs w:val="20"/>
          <w:lang w:val="en-GB"/>
        </w:rPr>
        <w:t>Amel</w:t>
      </w:r>
      <w:proofErr w:type="spellEnd"/>
      <w:r w:rsidRPr="00B303C4">
        <w:rPr>
          <w:rFonts w:ascii="Arial" w:hAnsi="Arial" w:cs="Arial"/>
          <w:sz w:val="20"/>
          <w:szCs w:val="20"/>
          <w:lang w:val="en-GB"/>
        </w:rPr>
        <w:t xml:space="preserve"> </w:t>
      </w:r>
      <w:proofErr w:type="spellStart"/>
      <w:r w:rsidRPr="00B303C4">
        <w:rPr>
          <w:rFonts w:ascii="Arial" w:hAnsi="Arial" w:cs="Arial"/>
          <w:sz w:val="20"/>
          <w:szCs w:val="20"/>
          <w:lang w:val="en-GB"/>
        </w:rPr>
        <w:t>Alghrani’s</w:t>
      </w:r>
      <w:proofErr w:type="spellEnd"/>
      <w:r w:rsidRPr="00B303C4">
        <w:rPr>
          <w:rFonts w:ascii="Arial" w:hAnsi="Arial" w:cs="Arial"/>
          <w:sz w:val="20"/>
          <w:szCs w:val="20"/>
          <w:lang w:val="en-GB"/>
        </w:rPr>
        <w:t xml:space="preserve"> approach in the heart-breaking case of </w:t>
      </w:r>
      <w:r w:rsidRPr="00B303C4">
        <w:rPr>
          <w:rFonts w:ascii="Arial" w:hAnsi="Arial" w:cs="Arial"/>
          <w:i/>
          <w:sz w:val="20"/>
          <w:szCs w:val="20"/>
          <w:lang w:val="en-GB"/>
        </w:rPr>
        <w:t xml:space="preserve">Re A (Conjoined Twins) </w:t>
      </w:r>
      <w:r w:rsidRPr="00B303C4">
        <w:rPr>
          <w:rFonts w:ascii="Arial" w:hAnsi="Arial" w:cs="Arial"/>
          <w:sz w:val="20"/>
          <w:szCs w:val="20"/>
          <w:lang w:val="en-GB"/>
        </w:rPr>
        <w:t xml:space="preserve">[2000] EWCA </w:t>
      </w:r>
      <w:proofErr w:type="spellStart"/>
      <w:r w:rsidRPr="00B303C4">
        <w:rPr>
          <w:rFonts w:ascii="Arial" w:hAnsi="Arial" w:cs="Arial"/>
          <w:sz w:val="20"/>
          <w:szCs w:val="20"/>
          <w:lang w:val="en-GB"/>
        </w:rPr>
        <w:t>Civ</w:t>
      </w:r>
      <w:proofErr w:type="spellEnd"/>
      <w:r w:rsidRPr="00B303C4">
        <w:rPr>
          <w:rFonts w:ascii="Arial" w:hAnsi="Arial" w:cs="Arial"/>
          <w:sz w:val="20"/>
          <w:szCs w:val="20"/>
          <w:lang w:val="en-GB"/>
        </w:rPr>
        <w:t xml:space="preserve"> 254. In other cases our fictive judges drew on research to argue that ‘best interests’ must be understood holistically, capturing </w:t>
      </w:r>
      <w:r w:rsidRPr="00B303C4">
        <w:rPr>
          <w:rFonts w:ascii="Arial" w:hAnsi="Arial" w:cs="Arial"/>
          <w:i/>
          <w:sz w:val="20"/>
          <w:szCs w:val="20"/>
          <w:lang w:val="en-GB"/>
        </w:rPr>
        <w:t xml:space="preserve">all </w:t>
      </w:r>
      <w:r w:rsidRPr="00B303C4">
        <w:rPr>
          <w:rFonts w:ascii="Arial" w:hAnsi="Arial" w:cs="Arial"/>
          <w:sz w:val="20"/>
          <w:szCs w:val="20"/>
          <w:lang w:val="en-GB"/>
        </w:rPr>
        <w:t xml:space="preserve">of the child’s rights rather than simply reflecting a narrow, paternalistic, conception of welfare. A good example is the rewritten version of </w:t>
      </w:r>
      <w:r w:rsidRPr="00B303C4">
        <w:rPr>
          <w:rFonts w:ascii="Arial" w:hAnsi="Arial" w:cs="Arial"/>
          <w:i/>
          <w:sz w:val="20"/>
          <w:szCs w:val="20"/>
          <w:lang w:val="en-GB"/>
        </w:rPr>
        <w:t xml:space="preserve">C v XYZ County </w:t>
      </w:r>
      <w:r w:rsidRPr="00B303C4">
        <w:rPr>
          <w:rFonts w:ascii="Arial" w:hAnsi="Arial" w:cs="Arial"/>
          <w:sz w:val="20"/>
          <w:szCs w:val="20"/>
          <w:lang w:val="en-GB"/>
        </w:rPr>
        <w:t xml:space="preserve">Council [2007] EWCA </w:t>
      </w:r>
      <w:proofErr w:type="spellStart"/>
      <w:r w:rsidRPr="00B303C4">
        <w:rPr>
          <w:rFonts w:ascii="Arial" w:hAnsi="Arial" w:cs="Arial"/>
          <w:sz w:val="20"/>
          <w:szCs w:val="20"/>
          <w:lang w:val="en-GB"/>
        </w:rPr>
        <w:t>Civ</w:t>
      </w:r>
      <w:proofErr w:type="spellEnd"/>
      <w:r w:rsidRPr="00B303C4">
        <w:rPr>
          <w:rFonts w:ascii="Arial" w:hAnsi="Arial" w:cs="Arial"/>
          <w:sz w:val="20"/>
          <w:szCs w:val="20"/>
          <w:lang w:val="en-GB"/>
        </w:rPr>
        <w:t xml:space="preserve"> 1206 which brings the child’s right to identity to bear on the judicial assessment of the child’s best interests in adoption proceedings.  Finally, empirical research was used to fill gaps in judicial knowledge, to assist future predictions about a child’s best interests, and to counter strong political and economic factors that otherwise are used to justify limiting the child’s rights (see, for example, the rewritten version of the immigration case of </w:t>
      </w:r>
      <w:r w:rsidRPr="00B303C4">
        <w:rPr>
          <w:rFonts w:ascii="Arial" w:hAnsi="Arial" w:cs="Arial"/>
          <w:i/>
          <w:sz w:val="20"/>
          <w:szCs w:val="20"/>
          <w:lang w:val="en-GB"/>
        </w:rPr>
        <w:t>Zambrano</w:t>
      </w:r>
      <w:r w:rsidRPr="00B303C4">
        <w:rPr>
          <w:rFonts w:ascii="Arial" w:hAnsi="Arial" w:cs="Arial"/>
          <w:sz w:val="20"/>
          <w:szCs w:val="20"/>
          <w:lang w:val="en-GB"/>
        </w:rPr>
        <w:t xml:space="preserve"> (Case C-34/09 </w:t>
      </w:r>
      <w:r w:rsidRPr="00B303C4">
        <w:rPr>
          <w:rFonts w:ascii="Arial" w:hAnsi="Arial" w:cs="Arial"/>
          <w:i/>
          <w:iCs/>
          <w:sz w:val="20"/>
          <w:szCs w:val="20"/>
          <w:lang w:val="en-GB"/>
        </w:rPr>
        <w:t xml:space="preserve">Gerardo Ruiz Zambrano v Office national de </w:t>
      </w:r>
      <w:proofErr w:type="spellStart"/>
      <w:r w:rsidRPr="00B303C4">
        <w:rPr>
          <w:rFonts w:ascii="Arial" w:hAnsi="Arial" w:cs="Arial"/>
          <w:i/>
          <w:iCs/>
          <w:sz w:val="20"/>
          <w:szCs w:val="20"/>
          <w:lang w:val="en-GB"/>
        </w:rPr>
        <w:t>l’emploi</w:t>
      </w:r>
      <w:proofErr w:type="spellEnd"/>
      <w:r w:rsidRPr="00B303C4">
        <w:rPr>
          <w:rFonts w:ascii="Arial" w:hAnsi="Arial" w:cs="Arial"/>
          <w:i/>
          <w:iCs/>
          <w:sz w:val="20"/>
          <w:szCs w:val="20"/>
          <w:lang w:val="en-GB"/>
        </w:rPr>
        <w:t xml:space="preserve"> (</w:t>
      </w:r>
      <w:proofErr w:type="spellStart"/>
      <w:r w:rsidRPr="00B303C4">
        <w:rPr>
          <w:rFonts w:ascii="Arial" w:hAnsi="Arial" w:cs="Arial"/>
          <w:i/>
          <w:iCs/>
          <w:sz w:val="20"/>
          <w:szCs w:val="20"/>
          <w:lang w:val="en-GB"/>
        </w:rPr>
        <w:t>ONEm</w:t>
      </w:r>
      <w:proofErr w:type="spellEnd"/>
      <w:r w:rsidRPr="00B303C4">
        <w:rPr>
          <w:rFonts w:ascii="Arial" w:hAnsi="Arial" w:cs="Arial"/>
          <w:i/>
          <w:iCs/>
          <w:sz w:val="20"/>
          <w:szCs w:val="20"/>
          <w:lang w:val="en-GB"/>
        </w:rPr>
        <w:t xml:space="preserve">) </w:t>
      </w:r>
      <w:r w:rsidRPr="00B303C4">
        <w:rPr>
          <w:rFonts w:ascii="Arial" w:hAnsi="Arial" w:cs="Arial"/>
          <w:sz w:val="20"/>
          <w:szCs w:val="20"/>
          <w:lang w:val="en-GB"/>
        </w:rPr>
        <w:t xml:space="preserve">[2011] ECR I-01177 8 March 2011).  </w:t>
      </w:r>
    </w:p>
    <w:p w:rsidR="00691CE9" w:rsidRPr="00B303C4" w:rsidRDefault="00691CE9" w:rsidP="00B303C4">
      <w:pPr>
        <w:autoSpaceDE w:val="0"/>
        <w:autoSpaceDN w:val="0"/>
        <w:adjustRightInd w:val="0"/>
        <w:spacing w:after="60" w:line="240" w:lineRule="auto"/>
        <w:jc w:val="both"/>
        <w:rPr>
          <w:rFonts w:ascii="Arial" w:hAnsi="Arial" w:cs="Arial"/>
          <w:sz w:val="20"/>
          <w:szCs w:val="20"/>
          <w:lang w:val="en-GB"/>
        </w:rPr>
      </w:pPr>
      <w:r w:rsidRPr="00B303C4">
        <w:rPr>
          <w:rFonts w:ascii="Arial" w:hAnsi="Arial" w:cs="Arial"/>
          <w:sz w:val="20"/>
          <w:szCs w:val="20"/>
          <w:lang w:val="en-GB"/>
        </w:rPr>
        <w:t xml:space="preserve">Space precludes a comprehensive explanation of the multiple ways in which the judiciary might draw on academic intelligence. Suffice to say, given the wide amount of available children’s rights scholarship it is incumbent on academics to ensure they disseminate their research to judges and to legal practitioners in ways that are useful to them, so that it can, where appropriate, inform judicial thinking whilst also being subject to the scrutiny and challenge within the court context.  </w:t>
      </w:r>
    </w:p>
    <w:p w:rsidR="00691CE9" w:rsidRPr="00B303C4" w:rsidRDefault="00691CE9" w:rsidP="00B303C4">
      <w:pPr>
        <w:pStyle w:val="ListParagraph"/>
        <w:numPr>
          <w:ilvl w:val="0"/>
          <w:numId w:val="10"/>
        </w:numPr>
        <w:autoSpaceDE w:val="0"/>
        <w:autoSpaceDN w:val="0"/>
        <w:adjustRightInd w:val="0"/>
        <w:spacing w:after="0" w:line="240" w:lineRule="auto"/>
        <w:ind w:left="360"/>
        <w:jc w:val="both"/>
        <w:rPr>
          <w:rFonts w:ascii="Arial" w:hAnsi="Arial" w:cs="Arial"/>
          <w:b/>
          <w:i/>
          <w:sz w:val="20"/>
          <w:szCs w:val="20"/>
          <w:lang w:val="en-GB"/>
        </w:rPr>
      </w:pPr>
      <w:r w:rsidRPr="00B303C4">
        <w:rPr>
          <w:rFonts w:ascii="Arial" w:hAnsi="Arial" w:cs="Arial"/>
          <w:b/>
          <w:i/>
          <w:sz w:val="20"/>
          <w:szCs w:val="20"/>
          <w:lang w:val="en-GB"/>
        </w:rPr>
        <w:t xml:space="preserve">Endorsing child friendly procedures </w:t>
      </w:r>
    </w:p>
    <w:p w:rsidR="00691CE9" w:rsidRPr="00B303C4" w:rsidRDefault="00691CE9" w:rsidP="00B303C4">
      <w:pPr>
        <w:pStyle w:val="FootnoteText"/>
        <w:spacing w:after="60"/>
        <w:jc w:val="both"/>
        <w:rPr>
          <w:rFonts w:ascii="Arial" w:hAnsi="Arial" w:cs="Arial"/>
          <w:lang w:val="en-GB"/>
        </w:rPr>
      </w:pPr>
      <w:r w:rsidRPr="00B303C4">
        <w:rPr>
          <w:rFonts w:ascii="Arial" w:hAnsi="Arial" w:cs="Arial"/>
          <w:lang w:val="en-GB"/>
        </w:rPr>
        <w:t xml:space="preserve">Central to a children’s rights judgment is facilitating the child’s participation prior to the decision being made and the judgment written. All judicial and administrative proceedings should conform to child-friendly principles including those set out in the 2010 Council of Europe </w:t>
      </w:r>
      <w:r w:rsidRPr="00B303C4">
        <w:rPr>
          <w:rFonts w:ascii="Arial" w:hAnsi="Arial" w:cs="Arial"/>
          <w:i/>
          <w:lang w:val="en-GB"/>
        </w:rPr>
        <w:t xml:space="preserve">Child-friendly Justice Guidelines </w:t>
      </w:r>
      <w:r w:rsidRPr="00B303C4">
        <w:rPr>
          <w:rFonts w:ascii="Arial" w:hAnsi="Arial" w:cs="Arial"/>
          <w:lang w:val="en-GB"/>
        </w:rPr>
        <w:t xml:space="preserve">and, more recently, in the </w:t>
      </w:r>
      <w:r w:rsidRPr="00B303C4">
        <w:rPr>
          <w:rFonts w:ascii="Arial" w:hAnsi="Arial" w:cs="Arial"/>
          <w:i/>
        </w:rPr>
        <w:t>Guidelines on Children in Contact with the Justice System</w:t>
      </w:r>
      <w:r w:rsidRPr="00B303C4">
        <w:rPr>
          <w:rStyle w:val="FootnoteReference"/>
          <w:rFonts w:ascii="Arial" w:hAnsi="Arial" w:cs="Arial"/>
          <w:i/>
        </w:rPr>
        <w:footnoteReference w:id="11"/>
      </w:r>
      <w:r w:rsidRPr="00B303C4">
        <w:rPr>
          <w:rFonts w:ascii="Arial" w:hAnsi="Arial" w:cs="Arial"/>
        </w:rPr>
        <w:t>,</w:t>
      </w:r>
      <w:r w:rsidRPr="00B303C4">
        <w:rPr>
          <w:rFonts w:ascii="Arial" w:hAnsi="Arial" w:cs="Arial"/>
          <w:color w:val="222222"/>
        </w:rPr>
        <w:t xml:space="preserve"> published by the International Association of Youth and Family Judges and Magistrates in 2017. Both reinforce the duty of judges to </w:t>
      </w:r>
      <w:r w:rsidRPr="00B303C4">
        <w:rPr>
          <w:rFonts w:ascii="Arial" w:hAnsi="Arial" w:cs="Arial"/>
          <w:lang w:val="en-GB"/>
        </w:rPr>
        <w:t>ensure that children’s voices are genuinely heard and, where possible, given effect to</w:t>
      </w:r>
      <w:r w:rsidRPr="00B303C4">
        <w:rPr>
          <w:rFonts w:ascii="Arial" w:hAnsi="Arial" w:cs="Arial"/>
          <w:i/>
          <w:lang w:val="en-GB"/>
        </w:rPr>
        <w:t xml:space="preserve">. </w:t>
      </w:r>
      <w:r w:rsidRPr="00B303C4">
        <w:rPr>
          <w:rFonts w:ascii="Arial" w:hAnsi="Arial" w:cs="Arial"/>
          <w:lang w:val="en-GB"/>
        </w:rPr>
        <w:t xml:space="preserve">Our judges were somewhat constrained in this regard in that they could not retrospectively include new evidence or processes which were not part of the original proceedings (even where, as in the rewrite of </w:t>
      </w:r>
      <w:r w:rsidRPr="00B303C4">
        <w:rPr>
          <w:rFonts w:ascii="Arial" w:hAnsi="Arial" w:cs="Arial"/>
          <w:i/>
          <w:lang w:val="en-GB"/>
        </w:rPr>
        <w:t>Begum</w:t>
      </w:r>
      <w:r w:rsidRPr="00B303C4">
        <w:rPr>
          <w:rFonts w:ascii="Arial" w:hAnsi="Arial" w:cs="Arial"/>
          <w:lang w:val="en-GB"/>
        </w:rPr>
        <w:t xml:space="preserve">, our authors had interviewed the child (now adult) at the heart of the proceedings). Nonetheless, the substantive focus of a number of our cases was children’s participation in legal proceedings (including </w:t>
      </w:r>
      <w:r w:rsidRPr="00B303C4">
        <w:rPr>
          <w:rFonts w:ascii="Arial" w:hAnsi="Arial" w:cs="Arial"/>
          <w:i/>
          <w:lang w:val="en-GB"/>
        </w:rPr>
        <w:t xml:space="preserve">P-S </w:t>
      </w:r>
      <w:r w:rsidRPr="00B303C4">
        <w:rPr>
          <w:rFonts w:ascii="Arial" w:hAnsi="Arial" w:cs="Arial"/>
          <w:lang w:val="en-GB"/>
        </w:rPr>
        <w:t xml:space="preserve">and </w:t>
      </w:r>
      <w:proofErr w:type="spellStart"/>
      <w:r w:rsidRPr="00B303C4">
        <w:rPr>
          <w:rFonts w:ascii="Arial" w:hAnsi="Arial" w:cs="Arial"/>
          <w:i/>
          <w:lang w:val="en-GB"/>
        </w:rPr>
        <w:t>Hoge</w:t>
      </w:r>
      <w:proofErr w:type="spellEnd"/>
      <w:r w:rsidRPr="00B303C4">
        <w:rPr>
          <w:rFonts w:ascii="Arial" w:hAnsi="Arial" w:cs="Arial"/>
          <w:i/>
          <w:lang w:val="en-GB"/>
        </w:rPr>
        <w:t xml:space="preserve"> </w:t>
      </w:r>
      <w:proofErr w:type="spellStart"/>
      <w:r w:rsidRPr="00B303C4">
        <w:rPr>
          <w:rFonts w:ascii="Arial" w:hAnsi="Arial" w:cs="Arial"/>
          <w:i/>
          <w:lang w:val="en-GB"/>
        </w:rPr>
        <w:t>Raad</w:t>
      </w:r>
      <w:proofErr w:type="spellEnd"/>
      <w:r w:rsidRPr="00B303C4">
        <w:rPr>
          <w:rFonts w:ascii="Arial" w:hAnsi="Arial" w:cs="Arial"/>
          <w:i/>
          <w:lang w:val="en-GB"/>
        </w:rPr>
        <w:t xml:space="preserve"> </w:t>
      </w:r>
      <w:r w:rsidRPr="00B303C4">
        <w:rPr>
          <w:rFonts w:ascii="Arial" w:hAnsi="Arial" w:cs="Arial"/>
          <w:lang w:val="en-GB"/>
        </w:rPr>
        <w:t xml:space="preserve">above), and (fictional) dicta emphasised that children much be </w:t>
      </w:r>
      <w:r w:rsidRPr="00B303C4">
        <w:rPr>
          <w:rFonts w:ascii="Arial" w:hAnsi="Arial" w:cs="Arial"/>
          <w:i/>
          <w:lang w:val="en-GB"/>
        </w:rPr>
        <w:t xml:space="preserve">enabled </w:t>
      </w:r>
      <w:r w:rsidRPr="00B303C4">
        <w:rPr>
          <w:rFonts w:ascii="Arial" w:hAnsi="Arial" w:cs="Arial"/>
          <w:lang w:val="en-GB"/>
        </w:rPr>
        <w:t xml:space="preserve">to participate and that their views and wishes should </w:t>
      </w:r>
      <w:r w:rsidRPr="00B303C4">
        <w:rPr>
          <w:rFonts w:ascii="Arial" w:hAnsi="Arial" w:cs="Arial"/>
          <w:i/>
          <w:lang w:val="en-GB"/>
        </w:rPr>
        <w:t xml:space="preserve">inform </w:t>
      </w:r>
      <w:r w:rsidRPr="00B303C4">
        <w:rPr>
          <w:rFonts w:ascii="Arial" w:hAnsi="Arial" w:cs="Arial"/>
          <w:lang w:val="en-GB"/>
        </w:rPr>
        <w:t xml:space="preserve">the decision, rather than mere lip service paid through their symbolic inclusion.  </w:t>
      </w:r>
    </w:p>
    <w:p w:rsidR="00691CE9" w:rsidRPr="00B303C4" w:rsidRDefault="00691CE9" w:rsidP="00B303C4">
      <w:pPr>
        <w:pStyle w:val="ListParagraph"/>
        <w:numPr>
          <w:ilvl w:val="0"/>
          <w:numId w:val="10"/>
        </w:numPr>
        <w:autoSpaceDE w:val="0"/>
        <w:autoSpaceDN w:val="0"/>
        <w:adjustRightInd w:val="0"/>
        <w:spacing w:after="0" w:line="240" w:lineRule="auto"/>
        <w:ind w:left="360"/>
        <w:jc w:val="both"/>
        <w:rPr>
          <w:rFonts w:ascii="Arial" w:hAnsi="Arial" w:cs="Arial"/>
          <w:b/>
          <w:i/>
          <w:sz w:val="20"/>
          <w:szCs w:val="20"/>
          <w:lang w:val="en-GB"/>
        </w:rPr>
      </w:pPr>
      <w:r w:rsidRPr="00B303C4">
        <w:rPr>
          <w:rFonts w:ascii="Arial" w:hAnsi="Arial" w:cs="Arial"/>
          <w:b/>
          <w:i/>
          <w:sz w:val="20"/>
          <w:szCs w:val="20"/>
          <w:lang w:val="en-GB"/>
        </w:rPr>
        <w:t xml:space="preserve">Placing the child’s voice, interests and experiences at the heart of the judgment narrative </w:t>
      </w:r>
    </w:p>
    <w:p w:rsidR="00691CE9" w:rsidRPr="00B303C4" w:rsidRDefault="00691CE9" w:rsidP="00B303C4">
      <w:pPr>
        <w:spacing w:after="60" w:line="240" w:lineRule="auto"/>
        <w:jc w:val="both"/>
        <w:rPr>
          <w:rFonts w:ascii="Arial" w:hAnsi="Arial" w:cs="Arial"/>
          <w:sz w:val="20"/>
          <w:szCs w:val="20"/>
        </w:rPr>
      </w:pPr>
      <w:r w:rsidRPr="00B303C4">
        <w:rPr>
          <w:rFonts w:ascii="Arial" w:hAnsi="Arial" w:cs="Arial"/>
          <w:sz w:val="20"/>
          <w:szCs w:val="20"/>
        </w:rPr>
        <w:t xml:space="preserve">The fourth strategy we identify concerns the </w:t>
      </w:r>
      <w:r w:rsidRPr="00B303C4">
        <w:rPr>
          <w:rFonts w:ascii="Arial" w:hAnsi="Arial" w:cs="Arial"/>
          <w:i/>
          <w:sz w:val="20"/>
          <w:szCs w:val="20"/>
        </w:rPr>
        <w:t xml:space="preserve">way </w:t>
      </w:r>
      <w:r w:rsidRPr="00B303C4">
        <w:rPr>
          <w:rFonts w:ascii="Arial" w:hAnsi="Arial" w:cs="Arial"/>
          <w:sz w:val="20"/>
          <w:szCs w:val="20"/>
        </w:rPr>
        <w:t>in which the judgment is written – the ‘how’ rather than the ‘what’.</w:t>
      </w:r>
      <w:r w:rsidRPr="00B303C4">
        <w:rPr>
          <w:rStyle w:val="FootnoteReference"/>
          <w:rFonts w:ascii="Arial" w:hAnsi="Arial" w:cs="Arial"/>
          <w:sz w:val="20"/>
          <w:szCs w:val="20"/>
        </w:rPr>
        <w:footnoteReference w:id="12"/>
      </w:r>
      <w:r w:rsidRPr="00B303C4">
        <w:rPr>
          <w:rFonts w:ascii="Arial" w:hAnsi="Arial" w:cs="Arial"/>
          <w:sz w:val="20"/>
          <w:szCs w:val="20"/>
        </w:rPr>
        <w:t xml:space="preserve">  We only have to think of Lord Denning to be reminded of how judgments are, after-all, a form of story-telling and that judges use narrative to persuade their audience (the parties, the public, the legislature, or the appeal courts) that they have come to the right decision and have done so on the correct basis. Judges do this through fact-selection, style, tone, and structure. A children’s rights judgment is one where that narrative is child-centric: the facts are told and the decision reasoned from the experience of the child. The adoption of the child’s perspective can expose certain legal principles and concepts as adult-focussed (as our cases on criminal responsibility demonstrate). It also ensures that reasoning is based on the concrete, lived experiences of the individual child rather than abstract principles or generalised presumptions about childhood that otherwise </w:t>
      </w:r>
      <w:proofErr w:type="spellStart"/>
      <w:r w:rsidRPr="00B303C4">
        <w:rPr>
          <w:rFonts w:ascii="Arial" w:hAnsi="Arial" w:cs="Arial"/>
          <w:sz w:val="20"/>
          <w:szCs w:val="20"/>
        </w:rPr>
        <w:t>sideline</w:t>
      </w:r>
      <w:proofErr w:type="spellEnd"/>
      <w:r w:rsidRPr="00B303C4">
        <w:rPr>
          <w:rFonts w:ascii="Arial" w:hAnsi="Arial" w:cs="Arial"/>
          <w:sz w:val="20"/>
          <w:szCs w:val="20"/>
        </w:rPr>
        <w:t xml:space="preserve"> the individual child at centre of the proceedings.  </w:t>
      </w:r>
    </w:p>
    <w:p w:rsidR="00691CE9" w:rsidRPr="00B303C4" w:rsidRDefault="00691CE9" w:rsidP="00B303C4">
      <w:pPr>
        <w:spacing w:line="240" w:lineRule="auto"/>
        <w:jc w:val="both"/>
        <w:rPr>
          <w:rFonts w:ascii="Arial" w:hAnsi="Arial" w:cs="Arial"/>
          <w:sz w:val="20"/>
          <w:szCs w:val="20"/>
        </w:rPr>
      </w:pPr>
      <w:r w:rsidRPr="00B303C4">
        <w:rPr>
          <w:rFonts w:ascii="Arial" w:hAnsi="Arial" w:cs="Arial"/>
          <w:sz w:val="20"/>
          <w:szCs w:val="20"/>
        </w:rPr>
        <w:t xml:space="preserve">Various techniques can be used by judges to ensure that the child is central to the narrative, and thus to the reasoning and outcome. First, the legitimate aim to preserve a child’s anonymity should be achieved not by referring to the child with an initial, but through the use of a pseudonym. This brings the child ‘to life’, humanises her, and ensures we are reminded that there is an actual child at the heart of the case.  In judgments where the child </w:t>
      </w:r>
      <w:r w:rsidRPr="00B303C4">
        <w:rPr>
          <w:rFonts w:ascii="Arial" w:hAnsi="Arial" w:cs="Arial"/>
          <w:i/>
          <w:sz w:val="20"/>
          <w:szCs w:val="20"/>
        </w:rPr>
        <w:t>is</w:t>
      </w:r>
      <w:r w:rsidRPr="00B303C4">
        <w:rPr>
          <w:rFonts w:ascii="Arial" w:hAnsi="Arial" w:cs="Arial"/>
          <w:sz w:val="20"/>
          <w:szCs w:val="20"/>
        </w:rPr>
        <w:t xml:space="preserve"> named, for example in some criminal cases, the use of the child’s first name rather than surname achieves a similar objective, and also helps to reveal the power differential between the child and the state (the rewritten </w:t>
      </w:r>
      <w:r w:rsidRPr="00B303C4">
        <w:rPr>
          <w:rFonts w:ascii="Arial" w:hAnsi="Arial" w:cs="Arial"/>
          <w:i/>
          <w:sz w:val="20"/>
          <w:szCs w:val="20"/>
        </w:rPr>
        <w:t xml:space="preserve">Roper v Simmons </w:t>
      </w:r>
      <w:r w:rsidRPr="00B303C4">
        <w:rPr>
          <w:rFonts w:ascii="Arial" w:hAnsi="Arial" w:cs="Arial"/>
          <w:sz w:val="20"/>
          <w:szCs w:val="20"/>
        </w:rPr>
        <w:t xml:space="preserve">employs this technique to </w:t>
      </w:r>
      <w:r w:rsidRPr="00B303C4">
        <w:rPr>
          <w:rFonts w:ascii="Arial" w:hAnsi="Arial" w:cs="Arial"/>
          <w:sz w:val="20"/>
          <w:szCs w:val="20"/>
        </w:rPr>
        <w:lastRenderedPageBreak/>
        <w:t xml:space="preserve">good effect).  Second, the facts should focus on the child’s experience and understanding rather than the adults’ or those of the state. This is seen, for instance, in </w:t>
      </w:r>
      <w:r w:rsidRPr="00B303C4">
        <w:rPr>
          <w:rFonts w:ascii="Arial" w:hAnsi="Arial" w:cs="Arial"/>
          <w:i/>
          <w:sz w:val="20"/>
          <w:szCs w:val="20"/>
        </w:rPr>
        <w:t xml:space="preserve">Gas v Dubois v France </w:t>
      </w:r>
      <w:r w:rsidRPr="00B303C4">
        <w:rPr>
          <w:rFonts w:ascii="Arial" w:hAnsi="Arial" w:cs="Arial"/>
          <w:sz w:val="20"/>
          <w:szCs w:val="20"/>
        </w:rPr>
        <w:t xml:space="preserve">(App no 25951/07 15 March 2012) where there was a failure legally to recognise the child’s social parent. </w:t>
      </w:r>
      <w:r w:rsidRPr="00B303C4">
        <w:rPr>
          <w:rFonts w:ascii="Arial" w:hAnsi="Arial" w:cs="Arial"/>
          <w:sz w:val="20"/>
          <w:szCs w:val="20"/>
          <w:lang w:val="en-US"/>
        </w:rPr>
        <w:t xml:space="preserve">In these and others ways, the crafting of a judgment - as well as the reasoning, outcomes and proceedings - can become a vehicle for the child’s right to be heard and for </w:t>
      </w:r>
      <w:proofErr w:type="spellStart"/>
      <w:r w:rsidRPr="00B303C4">
        <w:rPr>
          <w:rFonts w:ascii="Arial" w:hAnsi="Arial" w:cs="Arial"/>
          <w:sz w:val="20"/>
          <w:szCs w:val="20"/>
          <w:lang w:val="en-US"/>
        </w:rPr>
        <w:t>recognising</w:t>
      </w:r>
      <w:proofErr w:type="spellEnd"/>
      <w:r w:rsidRPr="00B303C4">
        <w:rPr>
          <w:rFonts w:ascii="Arial" w:hAnsi="Arial" w:cs="Arial"/>
          <w:sz w:val="20"/>
          <w:szCs w:val="20"/>
          <w:lang w:val="en-US"/>
        </w:rPr>
        <w:t xml:space="preserve"> children as active, rights-bearing agents.</w:t>
      </w:r>
      <w:r w:rsidRPr="00B303C4">
        <w:rPr>
          <w:rFonts w:ascii="Arial" w:hAnsi="Arial" w:cs="Arial"/>
          <w:sz w:val="20"/>
          <w:szCs w:val="20"/>
        </w:rPr>
        <w:t xml:space="preserve"> </w:t>
      </w:r>
    </w:p>
    <w:p w:rsidR="00691CE9" w:rsidRPr="00B303C4" w:rsidRDefault="00691CE9" w:rsidP="00B303C4">
      <w:pPr>
        <w:pStyle w:val="ListParagraph"/>
        <w:numPr>
          <w:ilvl w:val="0"/>
          <w:numId w:val="10"/>
        </w:numPr>
        <w:spacing w:after="0" w:line="240" w:lineRule="auto"/>
        <w:ind w:left="714" w:hanging="357"/>
        <w:jc w:val="both"/>
        <w:rPr>
          <w:rFonts w:ascii="Arial" w:hAnsi="Arial" w:cs="Arial"/>
          <w:b/>
          <w:i/>
          <w:sz w:val="20"/>
          <w:szCs w:val="20"/>
        </w:rPr>
      </w:pPr>
      <w:r w:rsidRPr="00B303C4">
        <w:rPr>
          <w:rFonts w:ascii="Arial" w:hAnsi="Arial" w:cs="Arial"/>
          <w:b/>
          <w:i/>
          <w:sz w:val="20"/>
          <w:szCs w:val="20"/>
          <w:lang w:val="en-GB"/>
        </w:rPr>
        <w:t>Communicating the judgment in a child-friendly way</w:t>
      </w:r>
    </w:p>
    <w:p w:rsidR="00691CE9" w:rsidRPr="00B303C4" w:rsidRDefault="00691CE9" w:rsidP="00B303C4">
      <w:pPr>
        <w:spacing w:line="240" w:lineRule="auto"/>
        <w:jc w:val="both"/>
        <w:rPr>
          <w:rFonts w:ascii="Arial" w:hAnsi="Arial" w:cs="Arial"/>
          <w:sz w:val="20"/>
          <w:szCs w:val="20"/>
        </w:rPr>
      </w:pPr>
      <w:r w:rsidRPr="00B303C4">
        <w:rPr>
          <w:rFonts w:ascii="Arial" w:hAnsi="Arial" w:cs="Arial"/>
          <w:sz w:val="20"/>
          <w:szCs w:val="20"/>
        </w:rPr>
        <w:t xml:space="preserve">The final strategy we advocate here is that the judgment should be drafted in a way that addresses the child, or children in general, as the audience. This may be in the primary judgment or, if the case involves complex legal reasoning, in an adjunct version written in a child-friendly way. Certain areas of law, for example many family cases which involve the application of discretion to a well-settled area of law, lend themselves to child-friendly versions. There are a number of examples emerging in real-life; some of </w:t>
      </w:r>
      <w:r w:rsidRPr="008D7DFA">
        <w:rPr>
          <w:rFonts w:ascii="Arial" w:hAnsi="Arial" w:cs="Arial"/>
          <w:sz w:val="20"/>
          <w:szCs w:val="20"/>
        </w:rPr>
        <w:t>Lord Justice Peter Jackson’s</w:t>
      </w:r>
      <w:r w:rsidRPr="00B303C4">
        <w:rPr>
          <w:rFonts w:ascii="Arial" w:hAnsi="Arial" w:cs="Arial"/>
          <w:sz w:val="20"/>
          <w:szCs w:val="20"/>
        </w:rPr>
        <w:t xml:space="preserve"> recent judgments stand out amongst the English judiciary for example.</w:t>
      </w:r>
      <w:r w:rsidRPr="00B303C4">
        <w:rPr>
          <w:rStyle w:val="FootnoteReference"/>
          <w:rFonts w:ascii="Arial" w:hAnsi="Arial" w:cs="Arial"/>
          <w:sz w:val="20"/>
          <w:szCs w:val="20"/>
        </w:rPr>
        <w:footnoteReference w:id="13"/>
      </w:r>
      <w:r w:rsidRPr="00B303C4">
        <w:rPr>
          <w:rFonts w:ascii="Arial" w:hAnsi="Arial" w:cs="Arial"/>
          <w:sz w:val="20"/>
          <w:szCs w:val="20"/>
        </w:rPr>
        <w:t xml:space="preserve"> But these remain the exception rather than the rule and there is far greater scope for judgments to be written </w:t>
      </w:r>
      <w:r w:rsidRPr="00B303C4">
        <w:rPr>
          <w:rFonts w:ascii="Arial" w:hAnsi="Arial" w:cs="Arial"/>
          <w:i/>
          <w:sz w:val="20"/>
          <w:szCs w:val="20"/>
        </w:rPr>
        <w:t xml:space="preserve">for </w:t>
      </w:r>
      <w:r w:rsidRPr="00B303C4">
        <w:rPr>
          <w:rFonts w:ascii="Arial" w:hAnsi="Arial" w:cs="Arial"/>
          <w:sz w:val="20"/>
          <w:szCs w:val="20"/>
        </w:rPr>
        <w:t xml:space="preserve">children. </w:t>
      </w:r>
    </w:p>
    <w:p w:rsidR="00691CE9" w:rsidRPr="00B303C4" w:rsidRDefault="00691CE9" w:rsidP="00B303C4">
      <w:pPr>
        <w:spacing w:line="240" w:lineRule="auto"/>
        <w:jc w:val="both"/>
        <w:rPr>
          <w:rFonts w:ascii="Arial" w:hAnsi="Arial" w:cs="Arial"/>
          <w:b/>
          <w:sz w:val="20"/>
          <w:szCs w:val="20"/>
        </w:rPr>
      </w:pPr>
      <w:r w:rsidRPr="00B303C4">
        <w:rPr>
          <w:rFonts w:ascii="Arial" w:hAnsi="Arial" w:cs="Arial"/>
          <w:sz w:val="20"/>
          <w:szCs w:val="20"/>
        </w:rPr>
        <w:t>Some of our judges wrote additional versions specifically for children (</w:t>
      </w:r>
      <w:proofErr w:type="spellStart"/>
      <w:r w:rsidRPr="00B303C4">
        <w:rPr>
          <w:rFonts w:ascii="Arial" w:hAnsi="Arial" w:cs="Arial"/>
          <w:i/>
          <w:sz w:val="20"/>
          <w:szCs w:val="20"/>
        </w:rPr>
        <w:t>Valsamis</w:t>
      </w:r>
      <w:proofErr w:type="spellEnd"/>
      <w:r w:rsidRPr="00B303C4">
        <w:rPr>
          <w:rFonts w:ascii="Arial" w:hAnsi="Arial" w:cs="Arial"/>
          <w:i/>
          <w:sz w:val="20"/>
          <w:szCs w:val="20"/>
        </w:rPr>
        <w:t xml:space="preserve"> v Greece; </w:t>
      </w:r>
      <w:proofErr w:type="spellStart"/>
      <w:r w:rsidRPr="00B303C4">
        <w:rPr>
          <w:rFonts w:ascii="Arial" w:hAnsi="Arial" w:cs="Arial"/>
          <w:i/>
          <w:sz w:val="20"/>
          <w:szCs w:val="20"/>
        </w:rPr>
        <w:t>Grootboom</w:t>
      </w:r>
      <w:proofErr w:type="spellEnd"/>
      <w:r w:rsidRPr="00B303C4">
        <w:rPr>
          <w:rFonts w:ascii="Arial" w:hAnsi="Arial" w:cs="Arial"/>
          <w:i/>
          <w:sz w:val="20"/>
          <w:szCs w:val="20"/>
        </w:rPr>
        <w:t>, Re T (A Minor)(</w:t>
      </w:r>
      <w:proofErr w:type="spellStart"/>
      <w:r w:rsidRPr="00B303C4">
        <w:rPr>
          <w:rFonts w:ascii="Arial" w:hAnsi="Arial" w:cs="Arial"/>
          <w:i/>
          <w:sz w:val="20"/>
          <w:szCs w:val="20"/>
        </w:rPr>
        <w:t>Wardship:Medical</w:t>
      </w:r>
      <w:proofErr w:type="spellEnd"/>
      <w:r w:rsidRPr="00B303C4">
        <w:rPr>
          <w:rFonts w:ascii="Arial" w:hAnsi="Arial" w:cs="Arial"/>
          <w:i/>
          <w:sz w:val="20"/>
          <w:szCs w:val="20"/>
        </w:rPr>
        <w:t xml:space="preserve"> Treatment) </w:t>
      </w:r>
      <w:r w:rsidRPr="00B303C4">
        <w:rPr>
          <w:rFonts w:ascii="Arial" w:hAnsi="Arial" w:cs="Arial"/>
          <w:sz w:val="20"/>
          <w:szCs w:val="20"/>
        </w:rPr>
        <w:t xml:space="preserve">[1997] 1 FLR 502); others attempted to adopt a more child-friendly tone throughout the main judgment. But even amongst our judges there was considerable disparity, as there is in real life. We recently reviewed 30 child abduction cases and found some judges adopted simple, clear, language and structure that might readily be understood by an older child. Others, however, employed idioms and similes that even we did not </w:t>
      </w:r>
      <w:proofErr w:type="spellStart"/>
      <w:r w:rsidRPr="00B303C4">
        <w:rPr>
          <w:rFonts w:ascii="Arial" w:hAnsi="Arial" w:cs="Arial"/>
          <w:sz w:val="20"/>
          <w:szCs w:val="20"/>
        </w:rPr>
        <w:t>recogise</w:t>
      </w:r>
      <w:proofErr w:type="spellEnd"/>
      <w:r w:rsidRPr="00B303C4">
        <w:rPr>
          <w:rFonts w:ascii="Arial" w:hAnsi="Arial" w:cs="Arial"/>
          <w:sz w:val="20"/>
          <w:szCs w:val="20"/>
        </w:rPr>
        <w:t xml:space="preserve"> (!), or had a tone that was authoritarian, old-fashioned, or patronising. Such an approach alienates any child reading the judgment, and potentially harms a child’s trust in, and respect for, the law and the legal system.  An essential element of the rule of law is not only that the law is correctly interpreted and applied,</w:t>
      </w:r>
      <w:r w:rsidRPr="00B303C4">
        <w:rPr>
          <w:rFonts w:ascii="Arial" w:hAnsi="Arial" w:cs="Arial"/>
          <w:i/>
          <w:sz w:val="20"/>
          <w:szCs w:val="20"/>
        </w:rPr>
        <w:t xml:space="preserve"> </w:t>
      </w:r>
      <w:r w:rsidRPr="00B303C4">
        <w:rPr>
          <w:rFonts w:ascii="Arial" w:hAnsi="Arial" w:cs="Arial"/>
          <w:sz w:val="20"/>
          <w:szCs w:val="20"/>
        </w:rPr>
        <w:t xml:space="preserve">but that it can be </w:t>
      </w:r>
      <w:r w:rsidRPr="00B303C4">
        <w:rPr>
          <w:rFonts w:ascii="Arial" w:hAnsi="Arial" w:cs="Arial"/>
          <w:i/>
          <w:sz w:val="20"/>
          <w:szCs w:val="20"/>
        </w:rPr>
        <w:t xml:space="preserve">understood </w:t>
      </w:r>
      <w:r w:rsidRPr="00B303C4">
        <w:rPr>
          <w:rFonts w:ascii="Arial" w:hAnsi="Arial" w:cs="Arial"/>
          <w:sz w:val="20"/>
          <w:szCs w:val="20"/>
        </w:rPr>
        <w:t xml:space="preserve">by those seeking to enforce it. The judiciary play a crucial role in this regard. </w:t>
      </w:r>
    </w:p>
    <w:p w:rsidR="00691CE9" w:rsidRPr="00B303C4" w:rsidRDefault="00691CE9" w:rsidP="00B303C4">
      <w:pPr>
        <w:spacing w:after="0" w:line="240" w:lineRule="auto"/>
        <w:jc w:val="both"/>
        <w:rPr>
          <w:rFonts w:ascii="Arial" w:hAnsi="Arial" w:cs="Arial"/>
          <w:b/>
          <w:sz w:val="20"/>
          <w:szCs w:val="20"/>
        </w:rPr>
      </w:pPr>
      <w:r w:rsidRPr="00B303C4">
        <w:rPr>
          <w:rFonts w:ascii="Arial" w:hAnsi="Arial" w:cs="Arial"/>
          <w:b/>
          <w:sz w:val="20"/>
          <w:szCs w:val="20"/>
        </w:rPr>
        <w:t>Conclusion</w:t>
      </w:r>
    </w:p>
    <w:p w:rsidR="00691CE9" w:rsidRPr="00B303C4" w:rsidRDefault="00691CE9" w:rsidP="00B303C4">
      <w:pPr>
        <w:pStyle w:val="ListParagraph"/>
        <w:spacing w:line="240" w:lineRule="auto"/>
        <w:ind w:left="0"/>
        <w:jc w:val="both"/>
        <w:rPr>
          <w:rFonts w:ascii="Arial" w:hAnsi="Arial" w:cs="Arial"/>
          <w:sz w:val="20"/>
          <w:szCs w:val="20"/>
        </w:rPr>
      </w:pPr>
      <w:r w:rsidRPr="00B303C4">
        <w:rPr>
          <w:rFonts w:ascii="Arial" w:hAnsi="Arial" w:cs="Arial"/>
          <w:sz w:val="20"/>
          <w:szCs w:val="20"/>
        </w:rPr>
        <w:t>We approached this project as academics with lots to learn and with an enthusiasm to bridge the academic/practice divide by sharing our findings with practitioners and members of the judiciary. With the endorsement of some leading judges (including the President of the UK Supreme Court, Lady Hale, who has written the Foreword for the published collection of rewritten judgments), we hope that our insights into children’s rights norms, methods and research offer a new and interesting perspective for judges and magistrates and a platform for more constructive, open dialogue and collaboration.  Certainly, by stepping outside our academic comfort zone and genuinely trying to put ourselves into the shoes of the judiciary, we have learned a great deal about the challenges of crafting persuasive judgments that can respond to a diverse range of interests, often in the face of acute evidential, ethical and resource-related concerns.</w:t>
      </w:r>
      <w:bookmarkStart w:id="0" w:name="_GoBack"/>
      <w:bookmarkEnd w:id="0"/>
    </w:p>
    <w:p w:rsidR="00691CE9" w:rsidRPr="00B303C4" w:rsidRDefault="00691CE9" w:rsidP="00B303C4">
      <w:pPr>
        <w:pStyle w:val="ListParagraph"/>
        <w:spacing w:line="240" w:lineRule="auto"/>
        <w:ind w:left="0"/>
        <w:jc w:val="both"/>
        <w:rPr>
          <w:rFonts w:ascii="Arial" w:hAnsi="Arial" w:cs="Arial"/>
          <w:sz w:val="20"/>
          <w:szCs w:val="20"/>
        </w:rPr>
      </w:pPr>
      <w:r w:rsidRPr="00B303C4">
        <w:rPr>
          <w:rFonts w:ascii="Arial" w:hAnsi="Arial" w:cs="Arial"/>
          <w:sz w:val="20"/>
          <w:szCs w:val="20"/>
        </w:rPr>
        <w:t xml:space="preserve">The main output of the project, the book </w:t>
      </w:r>
      <w:r w:rsidRPr="00B303C4">
        <w:rPr>
          <w:rFonts w:ascii="Arial" w:hAnsi="Arial" w:cs="Arial"/>
          <w:i/>
          <w:sz w:val="20"/>
          <w:szCs w:val="20"/>
        </w:rPr>
        <w:t xml:space="preserve">Rewriting Children’s Rights Judgment: From Academic Vision to New Practice, </w:t>
      </w:r>
      <w:r w:rsidRPr="00B303C4">
        <w:rPr>
          <w:rFonts w:ascii="Arial" w:hAnsi="Arial" w:cs="Arial"/>
          <w:sz w:val="20"/>
          <w:szCs w:val="20"/>
        </w:rPr>
        <w:t xml:space="preserve">is now available from Hart Bloomsbury. Our focus turns now to working collaboratively with judges to develop training materials in order to influence real-life judicial practice.  If you would be interested in getting involved or receiving the training materials that emerge from this follow-on work, please contact </w:t>
      </w:r>
      <w:hyperlink r:id="rId7" w:history="1">
        <w:r w:rsidRPr="00B303C4">
          <w:rPr>
            <w:rStyle w:val="Hyperlink"/>
            <w:rFonts w:ascii="Arial" w:hAnsi="Arial" w:cs="Arial"/>
            <w:sz w:val="20"/>
            <w:szCs w:val="20"/>
          </w:rPr>
          <w:t>Stalford@liverpool.ac.uk</w:t>
        </w:r>
      </w:hyperlink>
      <w:r w:rsidRPr="00B303C4">
        <w:rPr>
          <w:rFonts w:ascii="Arial" w:hAnsi="Arial" w:cs="Arial"/>
          <w:sz w:val="20"/>
          <w:szCs w:val="20"/>
        </w:rPr>
        <w:t xml:space="preserve"> and </w:t>
      </w:r>
      <w:hyperlink r:id="rId8" w:history="1">
        <w:r w:rsidRPr="00B303C4">
          <w:rPr>
            <w:rStyle w:val="Hyperlink"/>
            <w:rFonts w:ascii="Arial" w:hAnsi="Arial" w:cs="Arial"/>
            <w:sz w:val="20"/>
            <w:szCs w:val="20"/>
          </w:rPr>
          <w:t>Kathryn.hollingsworth@newcastle.ac.uk</w:t>
        </w:r>
      </w:hyperlink>
      <w:r w:rsidRPr="00B303C4">
        <w:rPr>
          <w:rFonts w:ascii="Arial" w:hAnsi="Arial" w:cs="Arial"/>
          <w:sz w:val="20"/>
          <w:szCs w:val="20"/>
        </w:rPr>
        <w:t xml:space="preserve"> </w:t>
      </w:r>
    </w:p>
    <w:p w:rsidR="00691CE9" w:rsidRPr="00B303C4" w:rsidRDefault="00691CE9" w:rsidP="00B303C4">
      <w:pPr>
        <w:spacing w:line="240" w:lineRule="auto"/>
        <w:jc w:val="both"/>
        <w:rPr>
          <w:rFonts w:ascii="Arial" w:hAnsi="Arial" w:cs="Arial"/>
          <w:sz w:val="20"/>
          <w:szCs w:val="20"/>
        </w:rPr>
      </w:pPr>
    </w:p>
    <w:p w:rsidR="00691CE9" w:rsidRPr="005B6343" w:rsidRDefault="00691CE9" w:rsidP="005B6343">
      <w:pPr>
        <w:pStyle w:val="FootnoteText"/>
        <w:rPr>
          <w:rFonts w:ascii="Arial" w:hAnsi="Arial" w:cs="Arial"/>
          <w:color w:val="0000FF"/>
          <w:sz w:val="22"/>
          <w:szCs w:val="22"/>
        </w:rPr>
      </w:pPr>
      <w:r w:rsidRPr="005B6343">
        <w:rPr>
          <w:rFonts w:ascii="Arial" w:hAnsi="Arial" w:cs="Arial"/>
          <w:b/>
          <w:color w:val="0000FF"/>
          <w:sz w:val="22"/>
          <w:szCs w:val="22"/>
        </w:rPr>
        <w:t>Professor Helen Stalford</w:t>
      </w:r>
      <w:r w:rsidRPr="005B6343">
        <w:rPr>
          <w:rFonts w:ascii="Arial" w:hAnsi="Arial" w:cs="Arial"/>
          <w:color w:val="0000FF"/>
          <w:sz w:val="22"/>
          <w:szCs w:val="22"/>
        </w:rPr>
        <w:t>, School of Law and Social Justice, University of Liverpool</w:t>
      </w:r>
    </w:p>
    <w:p w:rsidR="00691CE9" w:rsidRPr="005B6343" w:rsidRDefault="00691CE9" w:rsidP="005B6343">
      <w:pPr>
        <w:pStyle w:val="FootnoteText"/>
        <w:rPr>
          <w:rFonts w:ascii="Arial" w:hAnsi="Arial" w:cs="Arial"/>
          <w:color w:val="0000FF"/>
          <w:sz w:val="22"/>
          <w:szCs w:val="22"/>
        </w:rPr>
      </w:pPr>
      <w:r w:rsidRPr="005B6343">
        <w:rPr>
          <w:rFonts w:ascii="Arial" w:hAnsi="Arial" w:cs="Arial"/>
          <w:b/>
          <w:color w:val="0000FF"/>
          <w:sz w:val="22"/>
          <w:szCs w:val="22"/>
        </w:rPr>
        <w:t>Professor Kathryn Hollingsworth</w:t>
      </w:r>
      <w:r w:rsidRPr="005B6343">
        <w:rPr>
          <w:rFonts w:ascii="Arial" w:hAnsi="Arial" w:cs="Arial"/>
          <w:color w:val="0000FF"/>
          <w:sz w:val="22"/>
          <w:szCs w:val="22"/>
        </w:rPr>
        <w:t xml:space="preserve">, School of Law, Newcastle University </w:t>
      </w:r>
    </w:p>
    <w:p w:rsidR="00691CE9" w:rsidRPr="005B6343" w:rsidRDefault="00691CE9" w:rsidP="00B303C4">
      <w:pPr>
        <w:spacing w:line="240" w:lineRule="auto"/>
        <w:jc w:val="both"/>
        <w:rPr>
          <w:rFonts w:ascii="Arial" w:hAnsi="Arial" w:cs="Arial"/>
          <w:color w:val="0000FF"/>
        </w:rPr>
      </w:pPr>
    </w:p>
    <w:sectPr w:rsidR="00691CE9" w:rsidRPr="005B6343" w:rsidSect="005101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41" w:rsidRDefault="00507241" w:rsidP="00213E08">
      <w:pPr>
        <w:spacing w:after="0" w:line="240" w:lineRule="auto"/>
      </w:pPr>
      <w:r>
        <w:separator/>
      </w:r>
    </w:p>
  </w:endnote>
  <w:endnote w:type="continuationSeparator" w:id="0">
    <w:p w:rsidR="00507241" w:rsidRDefault="00507241" w:rsidP="0021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Italic">
    <w:altName w:val="Cambria"/>
    <w:panose1 w:val="00000000000000000000"/>
    <w:charset w:val="00"/>
    <w:family w:val="roman"/>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E9" w:rsidRDefault="00507241">
    <w:pPr>
      <w:pStyle w:val="Footer"/>
      <w:jc w:val="right"/>
    </w:pPr>
    <w:r>
      <w:fldChar w:fldCharType="begin"/>
    </w:r>
    <w:r>
      <w:instrText xml:space="preserve"> PAGE   \* MERGEFORMAT </w:instrText>
    </w:r>
    <w:r>
      <w:fldChar w:fldCharType="separate"/>
    </w:r>
    <w:r w:rsidR="00CA0C25">
      <w:rPr>
        <w:noProof/>
      </w:rPr>
      <w:t>6</w:t>
    </w:r>
    <w:r>
      <w:rPr>
        <w:noProof/>
      </w:rPr>
      <w:fldChar w:fldCharType="end"/>
    </w:r>
  </w:p>
  <w:p w:rsidR="00691CE9" w:rsidRDefault="00691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41" w:rsidRDefault="00507241" w:rsidP="00213E08">
      <w:pPr>
        <w:spacing w:after="0" w:line="240" w:lineRule="auto"/>
      </w:pPr>
      <w:r>
        <w:separator/>
      </w:r>
    </w:p>
  </w:footnote>
  <w:footnote w:type="continuationSeparator" w:id="0">
    <w:p w:rsidR="00507241" w:rsidRDefault="00507241" w:rsidP="00213E08">
      <w:pPr>
        <w:spacing w:after="0" w:line="240" w:lineRule="auto"/>
      </w:pPr>
      <w:r>
        <w:continuationSeparator/>
      </w:r>
    </w:p>
  </w:footnote>
  <w:footnote w:id="1">
    <w:p w:rsidR="00691CE9" w:rsidRDefault="00691CE9">
      <w:pPr>
        <w:pStyle w:val="FootnoteText"/>
      </w:pPr>
    </w:p>
  </w:footnote>
  <w:footnote w:id="2">
    <w:p w:rsidR="00691CE9" w:rsidRDefault="00691CE9">
      <w:pPr>
        <w:pStyle w:val="FootnoteText"/>
      </w:pPr>
    </w:p>
  </w:footnote>
  <w:footnote w:id="3">
    <w:p w:rsidR="00691CE9" w:rsidRDefault="00691CE9">
      <w:pPr>
        <w:pStyle w:val="FootnoteText"/>
      </w:pPr>
      <w:r w:rsidRPr="005B6343">
        <w:rPr>
          <w:rStyle w:val="FootnoteReference"/>
          <w:rFonts w:ascii="Arial" w:hAnsi="Arial" w:cs="Arial"/>
          <w:sz w:val="16"/>
          <w:szCs w:val="16"/>
        </w:rPr>
        <w:footnoteRef/>
      </w:r>
      <w:r w:rsidRPr="005B6343">
        <w:rPr>
          <w:rFonts w:ascii="Arial" w:hAnsi="Arial" w:cs="Arial"/>
          <w:sz w:val="16"/>
          <w:szCs w:val="16"/>
        </w:rPr>
        <w:t xml:space="preserve"> Stalford, H., Hollingsworth, K. and Gilmore, S. (</w:t>
      </w:r>
      <w:proofErr w:type="spellStart"/>
      <w:r w:rsidRPr="005B6343">
        <w:rPr>
          <w:rFonts w:ascii="Arial" w:hAnsi="Arial" w:cs="Arial"/>
          <w:sz w:val="16"/>
          <w:szCs w:val="16"/>
        </w:rPr>
        <w:t>eds</w:t>
      </w:r>
      <w:proofErr w:type="spellEnd"/>
      <w:r w:rsidRPr="005B6343">
        <w:rPr>
          <w:rFonts w:ascii="Arial" w:hAnsi="Arial" w:cs="Arial"/>
          <w:sz w:val="16"/>
          <w:szCs w:val="16"/>
        </w:rPr>
        <w:t xml:space="preserve">) </w:t>
      </w:r>
      <w:r w:rsidRPr="005B6343">
        <w:rPr>
          <w:rFonts w:ascii="Arial" w:hAnsi="Arial" w:cs="Arial"/>
          <w:i/>
          <w:sz w:val="16"/>
          <w:szCs w:val="16"/>
        </w:rPr>
        <w:t xml:space="preserve">Rewriting Children’s Rights Judgments: From Academic Vision to New Practice, </w:t>
      </w:r>
      <w:r w:rsidRPr="005B6343">
        <w:rPr>
          <w:rFonts w:ascii="Arial" w:hAnsi="Arial" w:cs="Arial"/>
          <w:sz w:val="16"/>
          <w:szCs w:val="16"/>
          <w:lang w:val="en-GB"/>
        </w:rPr>
        <w:t xml:space="preserve">published by Hart in October 2017. </w:t>
      </w:r>
    </w:p>
  </w:footnote>
  <w:footnote w:id="4">
    <w:p w:rsidR="00691CE9" w:rsidRDefault="00691CE9">
      <w:pPr>
        <w:pStyle w:val="FootnoteText"/>
      </w:pPr>
      <w:r w:rsidRPr="005B6343">
        <w:rPr>
          <w:rStyle w:val="FootnoteReference"/>
          <w:rFonts w:ascii="Arial" w:hAnsi="Arial" w:cs="Arial"/>
          <w:sz w:val="16"/>
          <w:szCs w:val="16"/>
        </w:rPr>
        <w:footnoteRef/>
      </w:r>
      <w:r w:rsidRPr="005B6343">
        <w:rPr>
          <w:rFonts w:ascii="Arial" w:hAnsi="Arial" w:cs="Arial"/>
          <w:sz w:val="16"/>
          <w:szCs w:val="16"/>
        </w:rPr>
        <w:t xml:space="preserve"> One from the International Criminal Court, two from the Court of Justice of the European Union, one from the Committee on Economic and Social Rights, and four from the European Court of Human Rights.</w:t>
      </w:r>
    </w:p>
  </w:footnote>
  <w:footnote w:id="5">
    <w:p w:rsidR="00691CE9" w:rsidRDefault="00691CE9">
      <w:pPr>
        <w:pStyle w:val="FootnoteText"/>
      </w:pPr>
      <w:r w:rsidRPr="00325BC6">
        <w:rPr>
          <w:rStyle w:val="FootnoteReference"/>
          <w:rFonts w:ascii="Arial" w:hAnsi="Arial" w:cs="Arial"/>
          <w:sz w:val="16"/>
          <w:szCs w:val="16"/>
        </w:rPr>
        <w:footnoteRef/>
      </w:r>
      <w:r w:rsidRPr="00325BC6">
        <w:rPr>
          <w:rFonts w:ascii="Arial" w:hAnsi="Arial" w:cs="Arial"/>
          <w:sz w:val="16"/>
          <w:szCs w:val="16"/>
        </w:rPr>
        <w:t xml:space="preserve"> F</w:t>
      </w:r>
      <w:r w:rsidRPr="00325BC6">
        <w:rPr>
          <w:rStyle w:val="st"/>
          <w:rFonts w:ascii="Arial" w:hAnsi="Arial" w:cs="Arial"/>
          <w:sz w:val="16"/>
          <w:szCs w:val="16"/>
        </w:rPr>
        <w:t xml:space="preserve">ormer British Judge of the High Court of England and </w:t>
      </w:r>
      <w:smartTag w:uri="urn:schemas-microsoft-com:office:smarttags" w:element="place">
        <w:smartTag w:uri="urn:schemas-microsoft-com:office:smarttags" w:element="country-region">
          <w:r w:rsidRPr="00325BC6">
            <w:rPr>
              <w:rStyle w:val="st"/>
              <w:rFonts w:ascii="Arial" w:hAnsi="Arial" w:cs="Arial"/>
              <w:sz w:val="16"/>
              <w:szCs w:val="16"/>
            </w:rPr>
            <w:t>Wales</w:t>
          </w:r>
        </w:smartTag>
      </w:smartTag>
      <w:r w:rsidRPr="00325BC6">
        <w:rPr>
          <w:rStyle w:val="st"/>
          <w:rFonts w:ascii="Arial" w:hAnsi="Arial" w:cs="Arial"/>
          <w:sz w:val="16"/>
          <w:szCs w:val="16"/>
        </w:rPr>
        <w:t>.</w:t>
      </w:r>
    </w:p>
  </w:footnote>
  <w:footnote w:id="6">
    <w:p w:rsidR="00691CE9" w:rsidRDefault="00691CE9">
      <w:pPr>
        <w:pStyle w:val="FootnoteText"/>
      </w:pPr>
      <w:r w:rsidRPr="005B6343">
        <w:rPr>
          <w:rStyle w:val="FootnoteReference"/>
          <w:rFonts w:ascii="Arial" w:hAnsi="Arial" w:cs="Arial"/>
          <w:sz w:val="16"/>
          <w:szCs w:val="16"/>
        </w:rPr>
        <w:footnoteRef/>
      </w:r>
      <w:r w:rsidRPr="005B6343">
        <w:rPr>
          <w:rFonts w:ascii="Arial" w:hAnsi="Arial" w:cs="Arial"/>
          <w:sz w:val="16"/>
          <w:szCs w:val="16"/>
        </w:rPr>
        <w:t xml:space="preserve"> President of the </w:t>
      </w:r>
      <w:smartTag w:uri="urn:schemas-microsoft-com:office:smarttags" w:element="country-region">
        <w:smartTag w:uri="urn:schemas-microsoft-com:office:smarttags" w:element="place">
          <w:r w:rsidRPr="005B6343">
            <w:rPr>
              <w:rFonts w:ascii="Arial" w:hAnsi="Arial" w:cs="Arial"/>
              <w:sz w:val="16"/>
              <w:szCs w:val="16"/>
            </w:rPr>
            <w:t>UK</w:t>
          </w:r>
        </w:smartTag>
      </w:smartTag>
      <w:r w:rsidRPr="005B6343">
        <w:rPr>
          <w:rFonts w:ascii="Arial" w:hAnsi="Arial" w:cs="Arial"/>
          <w:sz w:val="16"/>
          <w:szCs w:val="16"/>
        </w:rPr>
        <w:t xml:space="preserve"> Supreme Court</w:t>
      </w:r>
    </w:p>
  </w:footnote>
  <w:footnote w:id="7">
    <w:p w:rsidR="00691CE9" w:rsidRDefault="00691CE9">
      <w:pPr>
        <w:pStyle w:val="FootnoteText"/>
      </w:pPr>
      <w:r w:rsidRPr="00325BC6">
        <w:rPr>
          <w:rStyle w:val="FootnoteReference"/>
          <w:rFonts w:ascii="Arial" w:hAnsi="Arial" w:cs="Arial"/>
          <w:sz w:val="16"/>
          <w:szCs w:val="16"/>
        </w:rPr>
        <w:footnoteRef/>
      </w:r>
      <w:r w:rsidRPr="00325BC6">
        <w:rPr>
          <w:rFonts w:ascii="Arial" w:hAnsi="Arial" w:cs="Arial"/>
          <w:sz w:val="16"/>
          <w:szCs w:val="16"/>
        </w:rPr>
        <w:t xml:space="preserve"> Former Lord Justice of </w:t>
      </w:r>
      <w:smartTag w:uri="urn:schemas-microsoft-com:office:smarttags" w:element="City">
        <w:r w:rsidRPr="00325BC6">
          <w:rPr>
            <w:rFonts w:ascii="Arial" w:hAnsi="Arial" w:cs="Arial"/>
            <w:sz w:val="16"/>
            <w:szCs w:val="16"/>
          </w:rPr>
          <w:t>Appeal</w:t>
        </w:r>
      </w:smartTag>
      <w:r w:rsidRPr="00325BC6">
        <w:rPr>
          <w:rFonts w:ascii="Arial" w:hAnsi="Arial" w:cs="Arial"/>
          <w:sz w:val="16"/>
          <w:szCs w:val="16"/>
        </w:rPr>
        <w:t xml:space="preserve">, </w:t>
      </w:r>
      <w:smartTag w:uri="urn:schemas-microsoft-com:office:smarttags" w:element="country-region">
        <w:r w:rsidRPr="00325BC6">
          <w:rPr>
            <w:rFonts w:ascii="Arial" w:hAnsi="Arial" w:cs="Arial"/>
            <w:sz w:val="16"/>
            <w:szCs w:val="16"/>
          </w:rPr>
          <w:t>England</w:t>
        </w:r>
      </w:smartTag>
      <w:r w:rsidRPr="00325BC6">
        <w:rPr>
          <w:rFonts w:ascii="Arial" w:hAnsi="Arial" w:cs="Arial"/>
          <w:sz w:val="16"/>
          <w:szCs w:val="16"/>
        </w:rPr>
        <w:t xml:space="preserve"> and </w:t>
      </w:r>
      <w:smartTag w:uri="urn:schemas-microsoft-com:office:smarttags" w:element="place">
        <w:smartTag w:uri="urn:schemas-microsoft-com:office:smarttags" w:element="country-region">
          <w:r w:rsidRPr="00325BC6">
            <w:rPr>
              <w:rFonts w:ascii="Arial" w:hAnsi="Arial" w:cs="Arial"/>
              <w:sz w:val="16"/>
              <w:szCs w:val="16"/>
            </w:rPr>
            <w:t>Wales</w:t>
          </w:r>
        </w:smartTag>
      </w:smartTag>
    </w:p>
  </w:footnote>
  <w:footnote w:id="8">
    <w:p w:rsidR="00691CE9" w:rsidRDefault="00691CE9">
      <w:pPr>
        <w:pStyle w:val="FootnoteText"/>
      </w:pPr>
      <w:r w:rsidRPr="005B6343">
        <w:rPr>
          <w:rStyle w:val="FootnoteReference"/>
          <w:rFonts w:ascii="Arial" w:hAnsi="Arial" w:cs="Arial"/>
          <w:sz w:val="16"/>
          <w:szCs w:val="16"/>
        </w:rPr>
        <w:footnoteRef/>
      </w:r>
      <w:r w:rsidRPr="005B6343">
        <w:rPr>
          <w:rFonts w:ascii="Arial" w:hAnsi="Arial" w:cs="Arial"/>
          <w:sz w:val="16"/>
          <w:szCs w:val="16"/>
        </w:rPr>
        <w:t xml:space="preserve"> For a detailed analysis of the role of the courts in giving expression to children’s democratic citizenship, see </w:t>
      </w:r>
      <w:r w:rsidRPr="005B6343">
        <w:rPr>
          <w:rFonts w:ascii="Arial" w:hAnsi="Arial" w:cs="Arial"/>
          <w:sz w:val="16"/>
          <w:szCs w:val="16"/>
          <w:lang w:val="en-GB"/>
        </w:rPr>
        <w:t xml:space="preserve">A Nolan, </w:t>
      </w:r>
      <w:r w:rsidRPr="005B6343">
        <w:rPr>
          <w:rFonts w:ascii="Arial" w:hAnsi="Arial" w:cs="Arial"/>
          <w:i/>
          <w:iCs/>
          <w:sz w:val="16"/>
          <w:szCs w:val="16"/>
          <w:lang w:val="en-GB"/>
        </w:rPr>
        <w:t xml:space="preserve">Children’ s Socio-Economic Rights, Democracy and the Courts </w:t>
      </w:r>
      <w:r w:rsidRPr="005B6343">
        <w:rPr>
          <w:rFonts w:ascii="Arial" w:hAnsi="Arial" w:cs="Arial"/>
          <w:sz w:val="16"/>
          <w:szCs w:val="16"/>
          <w:lang w:val="en-GB"/>
        </w:rPr>
        <w:t>(Oxford, Hart Publishing, 2011).</w:t>
      </w:r>
    </w:p>
  </w:footnote>
  <w:footnote w:id="9">
    <w:p w:rsidR="00691CE9" w:rsidRDefault="00691CE9" w:rsidP="000C665E">
      <w:pPr>
        <w:autoSpaceDE w:val="0"/>
        <w:autoSpaceDN w:val="0"/>
        <w:adjustRightInd w:val="0"/>
        <w:spacing w:after="0" w:line="240" w:lineRule="auto"/>
      </w:pPr>
      <w:r>
        <w:rPr>
          <w:rStyle w:val="FootnoteReference"/>
        </w:rPr>
        <w:footnoteRef/>
      </w:r>
      <w:r>
        <w:t xml:space="preserve"> </w:t>
      </w:r>
      <w:r>
        <w:rPr>
          <w:rFonts w:ascii="Minion-Italic" w:hAnsi="Minion-Italic" w:cs="Minion-Italic"/>
          <w:i/>
          <w:iCs/>
          <w:sz w:val="20"/>
          <w:szCs w:val="20"/>
          <w:lang w:val="en-GB"/>
        </w:rPr>
        <w:t xml:space="preserve">Prosecutor v Thomas </w:t>
      </w:r>
      <w:proofErr w:type="spellStart"/>
      <w:r>
        <w:rPr>
          <w:rFonts w:ascii="Minion-Italic" w:hAnsi="Minion-Italic" w:cs="Minion-Italic"/>
          <w:i/>
          <w:iCs/>
          <w:sz w:val="20"/>
          <w:szCs w:val="20"/>
          <w:lang w:val="en-GB"/>
        </w:rPr>
        <w:t>Lubanga</w:t>
      </w:r>
      <w:proofErr w:type="spellEnd"/>
      <w:r>
        <w:rPr>
          <w:rFonts w:ascii="Minion-Italic" w:hAnsi="Minion-Italic" w:cs="Minion-Italic"/>
          <w:i/>
          <w:iCs/>
          <w:sz w:val="20"/>
          <w:szCs w:val="20"/>
          <w:lang w:val="en-GB"/>
        </w:rPr>
        <w:t xml:space="preserve"> </w:t>
      </w:r>
      <w:proofErr w:type="spellStart"/>
      <w:r>
        <w:rPr>
          <w:rFonts w:ascii="Minion-Italic" w:hAnsi="Minion-Italic" w:cs="Minion-Italic"/>
          <w:i/>
          <w:iCs/>
          <w:sz w:val="20"/>
          <w:szCs w:val="20"/>
          <w:lang w:val="en-GB"/>
        </w:rPr>
        <w:t>Dyilo</w:t>
      </w:r>
      <w:proofErr w:type="spellEnd"/>
      <w:r>
        <w:rPr>
          <w:rFonts w:ascii="Minion-Italic" w:hAnsi="Minion-Italic" w:cs="Minion-Italic"/>
          <w:i/>
          <w:iCs/>
          <w:sz w:val="20"/>
          <w:szCs w:val="20"/>
          <w:lang w:val="en-GB"/>
        </w:rPr>
        <w:t xml:space="preserve"> (Judgment), </w:t>
      </w:r>
      <w:r>
        <w:rPr>
          <w:rFonts w:ascii="Minion-Regular" w:hAnsi="Minion-Regular" w:cs="Minion-Regular"/>
          <w:sz w:val="20"/>
          <w:szCs w:val="20"/>
          <w:lang w:val="en-GB"/>
        </w:rPr>
        <w:t>International Criminal Court, Trial Chamber I, Case No ICC-01/04-01/06 14 March 2012.</w:t>
      </w:r>
    </w:p>
  </w:footnote>
  <w:footnote w:id="10">
    <w:p w:rsidR="00691CE9" w:rsidRDefault="00691CE9">
      <w:pPr>
        <w:pStyle w:val="FootnoteText"/>
      </w:pPr>
      <w:r w:rsidRPr="00FD601F">
        <w:rPr>
          <w:rStyle w:val="FootnoteReference"/>
          <w:rFonts w:ascii="Times New Roman" w:hAnsi="Times New Roman"/>
        </w:rPr>
        <w:footnoteRef/>
      </w:r>
      <w:r w:rsidRPr="00FD601F">
        <w:rPr>
          <w:rFonts w:ascii="Times New Roman" w:hAnsi="Times New Roman"/>
        </w:rPr>
        <w:t xml:space="preserve"> </w:t>
      </w:r>
      <w:r w:rsidRPr="00FD601F">
        <w:rPr>
          <w:rFonts w:ascii="Times New Roman" w:hAnsi="Times New Roman"/>
          <w:lang w:val="en-US"/>
        </w:rPr>
        <w:t xml:space="preserve">For </w:t>
      </w:r>
      <w:proofErr w:type="gramStart"/>
      <w:r w:rsidRPr="00FD601F">
        <w:rPr>
          <w:rFonts w:ascii="Times New Roman" w:hAnsi="Times New Roman"/>
          <w:lang w:val="en-US"/>
        </w:rPr>
        <w:t>example</w:t>
      </w:r>
      <w:proofErr w:type="gramEnd"/>
      <w:r w:rsidRPr="00FD601F">
        <w:rPr>
          <w:rFonts w:ascii="Times New Roman" w:hAnsi="Times New Roman"/>
          <w:lang w:val="en-US"/>
        </w:rPr>
        <w:t xml:space="preserve"> in the Children Acts 1989 and 2004 (in England and Wales).  </w:t>
      </w:r>
    </w:p>
  </w:footnote>
  <w:footnote w:id="11">
    <w:p w:rsidR="00691CE9" w:rsidRDefault="00691CE9">
      <w:pPr>
        <w:pStyle w:val="FootnoteText"/>
      </w:pPr>
      <w:r>
        <w:rPr>
          <w:rStyle w:val="FootnoteReference"/>
        </w:rPr>
        <w:footnoteRef/>
      </w:r>
      <w:r>
        <w:t xml:space="preserve"> </w:t>
      </w:r>
      <w:r>
        <w:rPr>
          <w:lang w:val="en-GB"/>
        </w:rPr>
        <w:t xml:space="preserve"> See </w:t>
      </w:r>
      <w:hyperlink r:id="rId1" w:history="1">
        <w:r w:rsidRPr="002D3064">
          <w:rPr>
            <w:rStyle w:val="Hyperlink"/>
            <w:lang w:val="en-GB"/>
          </w:rPr>
          <w:t>www.aimjf.org</w:t>
        </w:r>
      </w:hyperlink>
      <w:r>
        <w:rPr>
          <w:lang w:val="en-GB"/>
        </w:rPr>
        <w:t xml:space="preserve"> in English, French and Spanish</w:t>
      </w:r>
    </w:p>
  </w:footnote>
  <w:footnote w:id="12">
    <w:p w:rsidR="00691CE9" w:rsidRDefault="00691CE9">
      <w:pPr>
        <w:pStyle w:val="FootnoteText"/>
      </w:pPr>
      <w:r>
        <w:rPr>
          <w:rStyle w:val="FootnoteReference"/>
        </w:rPr>
        <w:footnoteRef/>
      </w:r>
      <w:r>
        <w:rPr>
          <w:rFonts w:ascii="Times New Roman" w:hAnsi="Times New Roman"/>
        </w:rPr>
        <w:t xml:space="preserve"> See E </w:t>
      </w:r>
      <w:proofErr w:type="spellStart"/>
      <w:r>
        <w:rPr>
          <w:rFonts w:ascii="Times New Roman" w:hAnsi="Times New Roman"/>
        </w:rPr>
        <w:t>Rackley</w:t>
      </w:r>
      <w:proofErr w:type="spellEnd"/>
      <w:r>
        <w:rPr>
          <w:rFonts w:ascii="Times New Roman" w:hAnsi="Times New Roman"/>
        </w:rPr>
        <w:t xml:space="preserve">, ‘The Art and Craft of Writing Judgments: Notes on the Feminist Judgments Project’ in R Hunter, C </w:t>
      </w:r>
      <w:proofErr w:type="spellStart"/>
      <w:r>
        <w:rPr>
          <w:rFonts w:ascii="Times New Roman" w:hAnsi="Times New Roman"/>
        </w:rPr>
        <w:t>McGlynn</w:t>
      </w:r>
      <w:proofErr w:type="spellEnd"/>
      <w:r>
        <w:rPr>
          <w:rFonts w:ascii="Times New Roman" w:hAnsi="Times New Roman"/>
        </w:rPr>
        <w:t xml:space="preserve">, and E </w:t>
      </w:r>
      <w:proofErr w:type="spellStart"/>
      <w:r>
        <w:rPr>
          <w:rFonts w:ascii="Times New Roman" w:hAnsi="Times New Roman"/>
        </w:rPr>
        <w:t>Rackley</w:t>
      </w:r>
      <w:proofErr w:type="spellEnd"/>
      <w:r>
        <w:rPr>
          <w:rFonts w:ascii="Times New Roman" w:hAnsi="Times New Roman"/>
        </w:rPr>
        <w:t xml:space="preserve"> (</w:t>
      </w:r>
      <w:proofErr w:type="spellStart"/>
      <w:r>
        <w:rPr>
          <w:rFonts w:ascii="Times New Roman" w:hAnsi="Times New Roman"/>
        </w:rPr>
        <w:t>eds</w:t>
      </w:r>
      <w:proofErr w:type="spellEnd"/>
      <w:r>
        <w:rPr>
          <w:rFonts w:ascii="Times New Roman" w:hAnsi="Times New Roman"/>
        </w:rPr>
        <w:t xml:space="preserve">), </w:t>
      </w:r>
      <w:r>
        <w:rPr>
          <w:rFonts w:ascii="Times New Roman" w:hAnsi="Times New Roman"/>
          <w:i/>
        </w:rPr>
        <w:t xml:space="preserve">Feminist Judgments: From Theory to Practice </w:t>
      </w:r>
      <w:r>
        <w:rPr>
          <w:rFonts w:ascii="Times New Roman" w:hAnsi="Times New Roman"/>
        </w:rPr>
        <w:t>(Oxford, Hart Publishing, 2010).</w:t>
      </w:r>
    </w:p>
  </w:footnote>
  <w:footnote w:id="13">
    <w:p w:rsidR="00691CE9" w:rsidRDefault="00691CE9">
      <w:pPr>
        <w:pStyle w:val="FootnoteText"/>
      </w:pPr>
      <w:r>
        <w:rPr>
          <w:rStyle w:val="FootnoteReference"/>
        </w:rPr>
        <w:footnoteRef/>
      </w:r>
      <w:r>
        <w:t xml:space="preserve"> </w:t>
      </w:r>
      <w:r>
        <w:rPr>
          <w:rFonts w:ascii="Times New Roman" w:hAnsi="Times New Roman"/>
          <w:i/>
          <w:lang w:val="en-US"/>
        </w:rPr>
        <w:t xml:space="preserve">Lancashire County Council v M &amp; </w:t>
      </w:r>
      <w:proofErr w:type="spellStart"/>
      <w:r>
        <w:rPr>
          <w:rFonts w:ascii="Times New Roman" w:hAnsi="Times New Roman"/>
          <w:i/>
          <w:lang w:val="en-US"/>
        </w:rPr>
        <w:t>Ors</w:t>
      </w:r>
      <w:proofErr w:type="spellEnd"/>
      <w:r>
        <w:rPr>
          <w:rFonts w:ascii="Times New Roman" w:hAnsi="Times New Roman"/>
          <w:i/>
          <w:lang w:val="en-US"/>
        </w:rPr>
        <w:t xml:space="preserve"> (Rev 1) </w:t>
      </w:r>
      <w:r>
        <w:rPr>
          <w:rFonts w:ascii="Times New Roman" w:hAnsi="Times New Roman"/>
          <w:lang w:val="en-US"/>
        </w:rPr>
        <w:t xml:space="preserve">[2016] EWFC 9; </w:t>
      </w:r>
      <w:r>
        <w:rPr>
          <w:rFonts w:ascii="Times New Roman" w:hAnsi="Times New Roman"/>
          <w:i/>
          <w:lang w:val="en-US"/>
        </w:rPr>
        <w:t xml:space="preserve">A (Letter to a Young Person) </w:t>
      </w:r>
      <w:r>
        <w:rPr>
          <w:rFonts w:ascii="Times New Roman" w:hAnsi="Times New Roman"/>
          <w:lang w:val="en-US"/>
        </w:rPr>
        <w:t>[2017] EWFC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AE1"/>
    <w:multiLevelType w:val="hybridMultilevel"/>
    <w:tmpl w:val="58C88626"/>
    <w:lvl w:ilvl="0" w:tplc="703A055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D1C1B19"/>
    <w:multiLevelType w:val="hybridMultilevel"/>
    <w:tmpl w:val="6B32D32A"/>
    <w:lvl w:ilvl="0" w:tplc="4C6408B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D206430"/>
    <w:multiLevelType w:val="hybridMultilevel"/>
    <w:tmpl w:val="58C88626"/>
    <w:lvl w:ilvl="0" w:tplc="703A055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DB23343"/>
    <w:multiLevelType w:val="hybridMultilevel"/>
    <w:tmpl w:val="F8BAC4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28009FA"/>
    <w:multiLevelType w:val="hybridMultilevel"/>
    <w:tmpl w:val="58C88626"/>
    <w:lvl w:ilvl="0" w:tplc="703A055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6294438"/>
    <w:multiLevelType w:val="hybridMultilevel"/>
    <w:tmpl w:val="766A23C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85057EA"/>
    <w:multiLevelType w:val="hybridMultilevel"/>
    <w:tmpl w:val="063EBC5E"/>
    <w:lvl w:ilvl="0" w:tplc="821602AE">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E4445"/>
    <w:multiLevelType w:val="hybridMultilevel"/>
    <w:tmpl w:val="8346A854"/>
    <w:lvl w:ilvl="0" w:tplc="331AF3F4">
      <w:start w:val="1"/>
      <w:numFmt w:val="lowerRoman"/>
      <w:lvlText w:val="%1."/>
      <w:lvlJc w:val="left"/>
      <w:pPr>
        <w:ind w:left="1080" w:hanging="720"/>
      </w:pPr>
      <w:rPr>
        <w:rFonts w:cs="Times New Roman" w:hint="default"/>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1A123C1"/>
    <w:multiLevelType w:val="hybridMultilevel"/>
    <w:tmpl w:val="C150A894"/>
    <w:lvl w:ilvl="0" w:tplc="07C6B34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C4F0D"/>
    <w:multiLevelType w:val="hybridMultilevel"/>
    <w:tmpl w:val="58C88626"/>
    <w:lvl w:ilvl="0" w:tplc="703A055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F7F27BF"/>
    <w:multiLevelType w:val="hybridMultilevel"/>
    <w:tmpl w:val="271A7D0E"/>
    <w:lvl w:ilvl="0" w:tplc="4C6408BE">
      <w:start w:val="1"/>
      <w:numFmt w:val="lowerRoman"/>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13535"/>
    <w:multiLevelType w:val="hybridMultilevel"/>
    <w:tmpl w:val="C5E0C938"/>
    <w:lvl w:ilvl="0" w:tplc="1B34F59C">
      <w:start w:val="1"/>
      <w:numFmt w:val="lowerRoman"/>
      <w:lvlText w:val="%1."/>
      <w:lvlJc w:val="left"/>
      <w:pPr>
        <w:ind w:left="1080" w:hanging="720"/>
      </w:pPr>
      <w:rPr>
        <w:rFonts w:cs="Times New Roman" w:hint="default"/>
        <w:b/>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FF23DBE"/>
    <w:multiLevelType w:val="hybridMultilevel"/>
    <w:tmpl w:val="461AE95C"/>
    <w:lvl w:ilvl="0" w:tplc="69E28CA6">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2"/>
  </w:num>
  <w:num w:numId="5">
    <w:abstractNumId w:val="0"/>
  </w:num>
  <w:num w:numId="6">
    <w:abstractNumId w:val="2"/>
  </w:num>
  <w:num w:numId="7">
    <w:abstractNumId w:val="9"/>
  </w:num>
  <w:num w:numId="8">
    <w:abstractNumId w:val="5"/>
  </w:num>
  <w:num w:numId="9">
    <w:abstractNumId w:val="3"/>
  </w:num>
  <w:num w:numId="10">
    <w:abstractNumId w:val="1"/>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BC"/>
    <w:rsid w:val="00000D92"/>
    <w:rsid w:val="00005020"/>
    <w:rsid w:val="00006D4F"/>
    <w:rsid w:val="00026C31"/>
    <w:rsid w:val="00027BBC"/>
    <w:rsid w:val="000355C8"/>
    <w:rsid w:val="00062410"/>
    <w:rsid w:val="00070867"/>
    <w:rsid w:val="00073FEC"/>
    <w:rsid w:val="00082987"/>
    <w:rsid w:val="000A38CF"/>
    <w:rsid w:val="000B0E52"/>
    <w:rsid w:val="000B3BB2"/>
    <w:rsid w:val="000B7250"/>
    <w:rsid w:val="000C665E"/>
    <w:rsid w:val="000D1CC4"/>
    <w:rsid w:val="000D2AC3"/>
    <w:rsid w:val="000E6852"/>
    <w:rsid w:val="000F4B71"/>
    <w:rsid w:val="001016FC"/>
    <w:rsid w:val="00106440"/>
    <w:rsid w:val="0013334F"/>
    <w:rsid w:val="00136B7A"/>
    <w:rsid w:val="00153340"/>
    <w:rsid w:val="00175914"/>
    <w:rsid w:val="001A00BE"/>
    <w:rsid w:val="001A676E"/>
    <w:rsid w:val="001B46B3"/>
    <w:rsid w:val="001C2A7B"/>
    <w:rsid w:val="001D3BD8"/>
    <w:rsid w:val="001D4FB3"/>
    <w:rsid w:val="001F494D"/>
    <w:rsid w:val="001F769A"/>
    <w:rsid w:val="00207090"/>
    <w:rsid w:val="00212250"/>
    <w:rsid w:val="00213E08"/>
    <w:rsid w:val="002261C8"/>
    <w:rsid w:val="00242903"/>
    <w:rsid w:val="00257DA6"/>
    <w:rsid w:val="00283079"/>
    <w:rsid w:val="00287E45"/>
    <w:rsid w:val="00290F32"/>
    <w:rsid w:val="002A0EE1"/>
    <w:rsid w:val="002A47E8"/>
    <w:rsid w:val="002C2846"/>
    <w:rsid w:val="002D3064"/>
    <w:rsid w:val="002D754B"/>
    <w:rsid w:val="002E12B1"/>
    <w:rsid w:val="002F67C4"/>
    <w:rsid w:val="00307568"/>
    <w:rsid w:val="00312B73"/>
    <w:rsid w:val="00325BC6"/>
    <w:rsid w:val="00327354"/>
    <w:rsid w:val="003346CF"/>
    <w:rsid w:val="00341185"/>
    <w:rsid w:val="00357AD7"/>
    <w:rsid w:val="003767A8"/>
    <w:rsid w:val="003A2A84"/>
    <w:rsid w:val="003B4A6A"/>
    <w:rsid w:val="003C5785"/>
    <w:rsid w:val="003D3409"/>
    <w:rsid w:val="003D53FC"/>
    <w:rsid w:val="003E4A83"/>
    <w:rsid w:val="003F326F"/>
    <w:rsid w:val="003F3E30"/>
    <w:rsid w:val="0041307B"/>
    <w:rsid w:val="0041491C"/>
    <w:rsid w:val="004247D2"/>
    <w:rsid w:val="00424861"/>
    <w:rsid w:val="004323AE"/>
    <w:rsid w:val="00440E5C"/>
    <w:rsid w:val="00446526"/>
    <w:rsid w:val="00451DDA"/>
    <w:rsid w:val="004555B1"/>
    <w:rsid w:val="00464B88"/>
    <w:rsid w:val="0048446E"/>
    <w:rsid w:val="00497286"/>
    <w:rsid w:val="004B7D98"/>
    <w:rsid w:val="004C0D7A"/>
    <w:rsid w:val="004D1C48"/>
    <w:rsid w:val="004D539B"/>
    <w:rsid w:val="00507241"/>
    <w:rsid w:val="00510128"/>
    <w:rsid w:val="0052193A"/>
    <w:rsid w:val="005472AE"/>
    <w:rsid w:val="0056059A"/>
    <w:rsid w:val="00572F51"/>
    <w:rsid w:val="00592F8B"/>
    <w:rsid w:val="0059403E"/>
    <w:rsid w:val="00597D8F"/>
    <w:rsid w:val="005B223C"/>
    <w:rsid w:val="005B6343"/>
    <w:rsid w:val="005C6191"/>
    <w:rsid w:val="005D26B0"/>
    <w:rsid w:val="005E0365"/>
    <w:rsid w:val="005E4D80"/>
    <w:rsid w:val="005E6CF2"/>
    <w:rsid w:val="005E6F73"/>
    <w:rsid w:val="00615082"/>
    <w:rsid w:val="006242FA"/>
    <w:rsid w:val="00656384"/>
    <w:rsid w:val="00680A32"/>
    <w:rsid w:val="00687999"/>
    <w:rsid w:val="00691CE9"/>
    <w:rsid w:val="00696384"/>
    <w:rsid w:val="0069638B"/>
    <w:rsid w:val="00696DF3"/>
    <w:rsid w:val="006B48AE"/>
    <w:rsid w:val="006D5E99"/>
    <w:rsid w:val="006F28CD"/>
    <w:rsid w:val="006F3CDA"/>
    <w:rsid w:val="00714860"/>
    <w:rsid w:val="007156D4"/>
    <w:rsid w:val="00722509"/>
    <w:rsid w:val="00736448"/>
    <w:rsid w:val="00741228"/>
    <w:rsid w:val="007511E2"/>
    <w:rsid w:val="00764158"/>
    <w:rsid w:val="0079479A"/>
    <w:rsid w:val="007A3D45"/>
    <w:rsid w:val="007A617C"/>
    <w:rsid w:val="007B325F"/>
    <w:rsid w:val="007C24A3"/>
    <w:rsid w:val="007C38F4"/>
    <w:rsid w:val="007D1E13"/>
    <w:rsid w:val="007F0958"/>
    <w:rsid w:val="007F2F58"/>
    <w:rsid w:val="0080004F"/>
    <w:rsid w:val="00814B84"/>
    <w:rsid w:val="00814FE7"/>
    <w:rsid w:val="00822864"/>
    <w:rsid w:val="00836883"/>
    <w:rsid w:val="00842049"/>
    <w:rsid w:val="008536D1"/>
    <w:rsid w:val="00877C68"/>
    <w:rsid w:val="008849FE"/>
    <w:rsid w:val="008A265D"/>
    <w:rsid w:val="008A5A33"/>
    <w:rsid w:val="008B0F31"/>
    <w:rsid w:val="008B2237"/>
    <w:rsid w:val="008C48F1"/>
    <w:rsid w:val="008C4DAE"/>
    <w:rsid w:val="008D7DFA"/>
    <w:rsid w:val="008F0F26"/>
    <w:rsid w:val="00904BAF"/>
    <w:rsid w:val="00906892"/>
    <w:rsid w:val="0091139D"/>
    <w:rsid w:val="00922F8C"/>
    <w:rsid w:val="00923B1F"/>
    <w:rsid w:val="00924458"/>
    <w:rsid w:val="0095256F"/>
    <w:rsid w:val="0096027A"/>
    <w:rsid w:val="00970304"/>
    <w:rsid w:val="00982D49"/>
    <w:rsid w:val="0099283D"/>
    <w:rsid w:val="00993EBE"/>
    <w:rsid w:val="009A3CCE"/>
    <w:rsid w:val="009A5BA8"/>
    <w:rsid w:val="009C04D6"/>
    <w:rsid w:val="009C0A77"/>
    <w:rsid w:val="009C1943"/>
    <w:rsid w:val="009C2669"/>
    <w:rsid w:val="009C406C"/>
    <w:rsid w:val="009D2995"/>
    <w:rsid w:val="009E2B0F"/>
    <w:rsid w:val="009E2BF2"/>
    <w:rsid w:val="009E3733"/>
    <w:rsid w:val="009E46C9"/>
    <w:rsid w:val="009E5963"/>
    <w:rsid w:val="009E7083"/>
    <w:rsid w:val="009F17B8"/>
    <w:rsid w:val="009F7CA7"/>
    <w:rsid w:val="00A03E41"/>
    <w:rsid w:val="00A05290"/>
    <w:rsid w:val="00A10C70"/>
    <w:rsid w:val="00A12AD2"/>
    <w:rsid w:val="00A22E38"/>
    <w:rsid w:val="00A31736"/>
    <w:rsid w:val="00A34A54"/>
    <w:rsid w:val="00A4383F"/>
    <w:rsid w:val="00A57862"/>
    <w:rsid w:val="00A637D0"/>
    <w:rsid w:val="00A7390D"/>
    <w:rsid w:val="00A77099"/>
    <w:rsid w:val="00A84AFA"/>
    <w:rsid w:val="00A85AF5"/>
    <w:rsid w:val="00A874BA"/>
    <w:rsid w:val="00A9071D"/>
    <w:rsid w:val="00A926ED"/>
    <w:rsid w:val="00AB1120"/>
    <w:rsid w:val="00AB4CAC"/>
    <w:rsid w:val="00AB596C"/>
    <w:rsid w:val="00AD3DA0"/>
    <w:rsid w:val="00B06E4C"/>
    <w:rsid w:val="00B0798C"/>
    <w:rsid w:val="00B1127E"/>
    <w:rsid w:val="00B303C4"/>
    <w:rsid w:val="00B40222"/>
    <w:rsid w:val="00B44C0D"/>
    <w:rsid w:val="00B44E7C"/>
    <w:rsid w:val="00B4552C"/>
    <w:rsid w:val="00B61324"/>
    <w:rsid w:val="00B937E5"/>
    <w:rsid w:val="00BA6E8C"/>
    <w:rsid w:val="00BB6665"/>
    <w:rsid w:val="00BC23EE"/>
    <w:rsid w:val="00BC6BEE"/>
    <w:rsid w:val="00BE3670"/>
    <w:rsid w:val="00BF50EE"/>
    <w:rsid w:val="00BF620B"/>
    <w:rsid w:val="00C151A0"/>
    <w:rsid w:val="00C46B3A"/>
    <w:rsid w:val="00C5239C"/>
    <w:rsid w:val="00C532B8"/>
    <w:rsid w:val="00C55814"/>
    <w:rsid w:val="00C6190E"/>
    <w:rsid w:val="00C7069C"/>
    <w:rsid w:val="00C9458A"/>
    <w:rsid w:val="00CA0C25"/>
    <w:rsid w:val="00CE633F"/>
    <w:rsid w:val="00CF17E8"/>
    <w:rsid w:val="00D142B2"/>
    <w:rsid w:val="00D142D0"/>
    <w:rsid w:val="00D1699F"/>
    <w:rsid w:val="00D205A4"/>
    <w:rsid w:val="00D30B48"/>
    <w:rsid w:val="00D331AF"/>
    <w:rsid w:val="00D52A68"/>
    <w:rsid w:val="00D5449E"/>
    <w:rsid w:val="00D63654"/>
    <w:rsid w:val="00D6450D"/>
    <w:rsid w:val="00D82FF7"/>
    <w:rsid w:val="00D870C9"/>
    <w:rsid w:val="00DA26F9"/>
    <w:rsid w:val="00DA27FB"/>
    <w:rsid w:val="00DE0E44"/>
    <w:rsid w:val="00DE2B98"/>
    <w:rsid w:val="00DE4D91"/>
    <w:rsid w:val="00DE516A"/>
    <w:rsid w:val="00DE70CF"/>
    <w:rsid w:val="00E01099"/>
    <w:rsid w:val="00E31B53"/>
    <w:rsid w:val="00E44B7C"/>
    <w:rsid w:val="00E634FA"/>
    <w:rsid w:val="00E66924"/>
    <w:rsid w:val="00E80AF2"/>
    <w:rsid w:val="00E851C6"/>
    <w:rsid w:val="00E8532C"/>
    <w:rsid w:val="00E97AC5"/>
    <w:rsid w:val="00EA69FC"/>
    <w:rsid w:val="00EA6E5E"/>
    <w:rsid w:val="00EB634D"/>
    <w:rsid w:val="00EE5757"/>
    <w:rsid w:val="00F04F05"/>
    <w:rsid w:val="00F14CFF"/>
    <w:rsid w:val="00F32568"/>
    <w:rsid w:val="00F352CA"/>
    <w:rsid w:val="00F5262B"/>
    <w:rsid w:val="00F531BA"/>
    <w:rsid w:val="00F548E6"/>
    <w:rsid w:val="00F5547D"/>
    <w:rsid w:val="00F82F44"/>
    <w:rsid w:val="00F9046C"/>
    <w:rsid w:val="00F94828"/>
    <w:rsid w:val="00F96E20"/>
    <w:rsid w:val="00FA19F6"/>
    <w:rsid w:val="00FC6767"/>
    <w:rsid w:val="00FD228A"/>
    <w:rsid w:val="00FD48D7"/>
    <w:rsid w:val="00FD526C"/>
    <w:rsid w:val="00FD601F"/>
    <w:rsid w:val="00F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E971AE41-AFDA-4F2B-83C0-4273E450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27BBC"/>
    <w:pPr>
      <w:spacing w:after="160" w:line="256" w:lineRule="auto"/>
    </w:pPr>
    <w:rPr>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7BBC"/>
    <w:pPr>
      <w:autoSpaceDE w:val="0"/>
      <w:autoSpaceDN w:val="0"/>
      <w:adjustRightInd w:val="0"/>
    </w:pPr>
    <w:rPr>
      <w:rFonts w:cs="Calibri"/>
      <w:color w:val="000000"/>
      <w:sz w:val="24"/>
      <w:szCs w:val="24"/>
      <w:lang w:val="en-IE" w:eastAsia="en-US"/>
    </w:rPr>
  </w:style>
  <w:style w:type="paragraph" w:styleId="FootnoteText">
    <w:name w:val="footnote text"/>
    <w:aliases w:val="fn,Footnote ak,Footnotes,ft,fn cafc,Footnote Text Char1,fn Char Char,footnote text Char Char,Footnotes Char Char,Footnote ak Char Char,Char1,f t,ft Char Char,Table text,Table text1,Table text2,Table text3,Table text4,ft Char"/>
    <w:basedOn w:val="Normal"/>
    <w:link w:val="FootnoteTextChar2"/>
    <w:uiPriority w:val="99"/>
    <w:rsid w:val="00213E08"/>
    <w:pPr>
      <w:spacing w:after="0" w:line="240" w:lineRule="auto"/>
    </w:pPr>
    <w:rPr>
      <w:sz w:val="20"/>
      <w:szCs w:val="20"/>
    </w:rPr>
  </w:style>
  <w:style w:type="character" w:customStyle="1" w:styleId="FootnoteTextChar">
    <w:name w:val="Footnote Text Char"/>
    <w:aliases w:val="fn Char,Footnote ak Char,Footnotes Char,ft Char1,fn cafc Char,Footnote Text Char1 Char,fn Char Char Char,footnote text Char Char Char,Footnotes Char Char Char,Footnote ak Char Char Char,Char1 Char,f t Char,ft Char Char Char"/>
    <w:basedOn w:val="DefaultParagraphFont"/>
    <w:uiPriority w:val="99"/>
    <w:semiHidden/>
    <w:rsid w:val="00B846DB"/>
    <w:rPr>
      <w:sz w:val="20"/>
      <w:szCs w:val="20"/>
      <w:lang w:val="en-IE" w:eastAsia="en-US"/>
    </w:rPr>
  </w:style>
  <w:style w:type="character" w:customStyle="1" w:styleId="FootnoteTextChar2">
    <w:name w:val="Footnote Text Char2"/>
    <w:aliases w:val="fn Char1,Footnote ak Char1,Footnotes Char1,ft Char2,fn cafc Char1,Footnote Text Char1 Char1,fn Char Char Char1,footnote text Char Char Char1,Footnotes Char Char Char1,Footnote ak Char Char Char1,Char1 Char1,f t Char1,Table text Char"/>
    <w:basedOn w:val="DefaultParagraphFont"/>
    <w:link w:val="FootnoteText"/>
    <w:uiPriority w:val="99"/>
    <w:locked/>
    <w:rsid w:val="00213E08"/>
    <w:rPr>
      <w:rFonts w:cs="Times New Roman"/>
      <w:sz w:val="20"/>
      <w:szCs w:val="20"/>
      <w:lang w:val="en-IE"/>
    </w:rPr>
  </w:style>
  <w:style w:type="character" w:styleId="FootnoteReference">
    <w:name w:val="footnote reference"/>
    <w:basedOn w:val="DefaultParagraphFont"/>
    <w:uiPriority w:val="99"/>
    <w:rsid w:val="00213E08"/>
    <w:rPr>
      <w:rFonts w:cs="Times New Roman"/>
      <w:vertAlign w:val="superscript"/>
    </w:rPr>
  </w:style>
  <w:style w:type="paragraph" w:styleId="ListParagraph">
    <w:name w:val="List Paragraph"/>
    <w:basedOn w:val="Normal"/>
    <w:uiPriority w:val="99"/>
    <w:qFormat/>
    <w:rsid w:val="00687999"/>
    <w:pPr>
      <w:ind w:left="720"/>
      <w:contextualSpacing/>
    </w:pPr>
  </w:style>
  <w:style w:type="character" w:styleId="CommentReference">
    <w:name w:val="annotation reference"/>
    <w:basedOn w:val="DefaultParagraphFont"/>
    <w:uiPriority w:val="99"/>
    <w:semiHidden/>
    <w:rsid w:val="0052193A"/>
    <w:rPr>
      <w:rFonts w:cs="Times New Roman"/>
      <w:sz w:val="16"/>
      <w:szCs w:val="16"/>
    </w:rPr>
  </w:style>
  <w:style w:type="paragraph" w:styleId="CommentText">
    <w:name w:val="annotation text"/>
    <w:basedOn w:val="Normal"/>
    <w:link w:val="CommentTextChar"/>
    <w:uiPriority w:val="99"/>
    <w:semiHidden/>
    <w:rsid w:val="0052193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2193A"/>
    <w:rPr>
      <w:rFonts w:cs="Times New Roman"/>
      <w:sz w:val="20"/>
      <w:szCs w:val="20"/>
      <w:lang w:val="en-IE"/>
    </w:rPr>
  </w:style>
  <w:style w:type="paragraph" w:styleId="CommentSubject">
    <w:name w:val="annotation subject"/>
    <w:basedOn w:val="CommentText"/>
    <w:next w:val="CommentText"/>
    <w:link w:val="CommentSubjectChar"/>
    <w:uiPriority w:val="99"/>
    <w:semiHidden/>
    <w:rsid w:val="0052193A"/>
    <w:rPr>
      <w:b/>
      <w:bCs/>
    </w:rPr>
  </w:style>
  <w:style w:type="character" w:customStyle="1" w:styleId="CommentSubjectChar">
    <w:name w:val="Comment Subject Char"/>
    <w:basedOn w:val="CommentTextChar"/>
    <w:link w:val="CommentSubject"/>
    <w:uiPriority w:val="99"/>
    <w:semiHidden/>
    <w:locked/>
    <w:rsid w:val="0052193A"/>
    <w:rPr>
      <w:rFonts w:cs="Times New Roman"/>
      <w:b/>
      <w:bCs/>
      <w:sz w:val="20"/>
      <w:szCs w:val="20"/>
      <w:lang w:val="en-IE"/>
    </w:rPr>
  </w:style>
  <w:style w:type="paragraph" w:styleId="BalloonText">
    <w:name w:val="Balloon Text"/>
    <w:basedOn w:val="Normal"/>
    <w:link w:val="BalloonTextChar"/>
    <w:uiPriority w:val="99"/>
    <w:semiHidden/>
    <w:rsid w:val="0052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2193A"/>
    <w:rPr>
      <w:rFonts w:ascii="Segoe UI" w:hAnsi="Segoe UI" w:cs="Segoe UI"/>
      <w:sz w:val="18"/>
      <w:szCs w:val="18"/>
      <w:lang w:val="en-IE"/>
    </w:rPr>
  </w:style>
  <w:style w:type="paragraph" w:styleId="Header">
    <w:name w:val="header"/>
    <w:basedOn w:val="Normal"/>
    <w:link w:val="HeaderChar"/>
    <w:uiPriority w:val="99"/>
    <w:rsid w:val="007156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56D4"/>
    <w:rPr>
      <w:rFonts w:cs="Times New Roman"/>
      <w:lang w:val="en-IE"/>
    </w:rPr>
  </w:style>
  <w:style w:type="paragraph" w:styleId="Footer">
    <w:name w:val="footer"/>
    <w:basedOn w:val="Normal"/>
    <w:link w:val="FooterChar"/>
    <w:uiPriority w:val="99"/>
    <w:rsid w:val="007156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56D4"/>
    <w:rPr>
      <w:rFonts w:cs="Times New Roman"/>
      <w:lang w:val="en-IE"/>
    </w:rPr>
  </w:style>
  <w:style w:type="character" w:styleId="Hyperlink">
    <w:name w:val="Hyperlink"/>
    <w:basedOn w:val="DefaultParagraphFont"/>
    <w:uiPriority w:val="99"/>
    <w:rsid w:val="009E2B0F"/>
    <w:rPr>
      <w:rFonts w:cs="Times New Roman"/>
      <w:color w:val="0563C1"/>
      <w:u w:val="single"/>
    </w:rPr>
  </w:style>
  <w:style w:type="character" w:customStyle="1" w:styleId="st">
    <w:name w:val="st"/>
    <w:basedOn w:val="DefaultParagraphFont"/>
    <w:uiPriority w:val="99"/>
    <w:rsid w:val="00325B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ryn.hollingsworth@newcastle.ac.uk" TargetMode="External"/><Relationship Id="rId3" Type="http://schemas.openxmlformats.org/officeDocument/2006/relationships/settings" Target="settings.xml"/><Relationship Id="rId7" Type="http://schemas.openxmlformats.org/officeDocument/2006/relationships/hyperlink" Target="mailto:Stalford@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imj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2017-10-17T15:06:00Z</dcterms:created>
  <dcterms:modified xsi:type="dcterms:W3CDTF">2017-10-17T15:06:00Z</dcterms:modified>
</cp:coreProperties>
</file>