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72EB" w14:textId="77777777" w:rsidR="00C03DA8" w:rsidRPr="008319F4" w:rsidRDefault="00FA2EB5" w:rsidP="006A69BC">
      <w:pPr>
        <w:spacing w:line="480" w:lineRule="auto"/>
        <w:jc w:val="center"/>
        <w:rPr>
          <w:b/>
          <w:sz w:val="32"/>
          <w:lang w:val="en-US"/>
        </w:rPr>
      </w:pPr>
      <w:r w:rsidRPr="008319F4">
        <w:rPr>
          <w:b/>
          <w:sz w:val="32"/>
          <w:lang w:val="en-US"/>
        </w:rPr>
        <w:t xml:space="preserve">Overreaction to growth </w:t>
      </w:r>
      <w:r w:rsidR="00BA7CDA" w:rsidRPr="008319F4">
        <w:rPr>
          <w:b/>
          <w:sz w:val="32"/>
          <w:lang w:val="en-US"/>
        </w:rPr>
        <w:t>opportunities: an explanation of the</w:t>
      </w:r>
      <w:r w:rsidRPr="008319F4">
        <w:rPr>
          <w:b/>
          <w:sz w:val="32"/>
          <w:lang w:val="en-US"/>
        </w:rPr>
        <w:t xml:space="preserve"> asset growth anomaly</w:t>
      </w:r>
    </w:p>
    <w:p w14:paraId="0C3F015F" w14:textId="182703C3" w:rsidR="00F36353" w:rsidRPr="008319F4" w:rsidRDefault="008319F4" w:rsidP="00F36353">
      <w:pPr>
        <w:tabs>
          <w:tab w:val="right" w:pos="9072"/>
        </w:tabs>
        <w:spacing w:line="480" w:lineRule="auto"/>
        <w:jc w:val="center"/>
        <w:rPr>
          <w:sz w:val="24"/>
          <w:u w:color="000000"/>
        </w:rPr>
      </w:pPr>
      <w:r w:rsidRPr="008319F4">
        <w:rPr>
          <w:sz w:val="24"/>
        </w:rPr>
        <w:t>Charl</w:t>
      </w:r>
      <w:r>
        <w:rPr>
          <w:sz w:val="24"/>
        </w:rPr>
        <w:t xml:space="preserve">ie X. Cai*, </w:t>
      </w:r>
      <w:r w:rsidRPr="008319F4">
        <w:rPr>
          <w:sz w:val="24"/>
        </w:rPr>
        <w:t xml:space="preserve"> </w:t>
      </w:r>
      <w:r>
        <w:rPr>
          <w:sz w:val="24"/>
        </w:rPr>
        <w:t>Peng Li** and Qi Zhang***</w:t>
      </w:r>
    </w:p>
    <w:p w14:paraId="1C7F9E0E" w14:textId="77777777" w:rsidR="00746DAF" w:rsidRPr="008319F4" w:rsidRDefault="00746DAF" w:rsidP="00746DAF">
      <w:pPr>
        <w:pStyle w:val="Default"/>
      </w:pPr>
    </w:p>
    <w:p w14:paraId="66DF3C27" w14:textId="18E4755B" w:rsidR="00FA2EB5" w:rsidRPr="008319F4" w:rsidRDefault="005C18AA" w:rsidP="00E81B5D">
      <w:pPr>
        <w:spacing w:line="480" w:lineRule="auto"/>
        <w:jc w:val="center"/>
        <w:rPr>
          <w:sz w:val="24"/>
          <w:lang w:val="en-US"/>
        </w:rPr>
      </w:pPr>
      <w:r w:rsidRPr="008319F4">
        <w:rPr>
          <w:sz w:val="24"/>
          <w:lang w:val="en-US"/>
        </w:rPr>
        <w:t>This draft</w:t>
      </w:r>
      <w:r w:rsidR="00202F5C" w:rsidRPr="008319F4">
        <w:rPr>
          <w:sz w:val="24"/>
          <w:lang w:val="en-US"/>
        </w:rPr>
        <w:t xml:space="preserve">: </w:t>
      </w:r>
      <w:r w:rsidR="00E33822">
        <w:rPr>
          <w:sz w:val="24"/>
          <w:lang w:val="en-US"/>
        </w:rPr>
        <w:t>20 Jan</w:t>
      </w:r>
      <w:r w:rsidR="0074569E" w:rsidRPr="008319F4">
        <w:rPr>
          <w:sz w:val="24"/>
          <w:lang w:val="en-US"/>
        </w:rPr>
        <w:t xml:space="preserve"> </w:t>
      </w:r>
      <w:r w:rsidR="00E81B5D" w:rsidRPr="008319F4">
        <w:rPr>
          <w:sz w:val="24"/>
          <w:lang w:val="en-US"/>
        </w:rPr>
        <w:t>201</w:t>
      </w:r>
      <w:r w:rsidR="0074569E" w:rsidRPr="008319F4">
        <w:rPr>
          <w:sz w:val="24"/>
          <w:lang w:val="en-US"/>
        </w:rPr>
        <w:t>7</w:t>
      </w:r>
    </w:p>
    <w:p w14:paraId="100C81F2" w14:textId="77777777" w:rsidR="00FA2EB5" w:rsidRPr="008319F4" w:rsidRDefault="00FA2EB5" w:rsidP="00FA2EB5">
      <w:pPr>
        <w:spacing w:line="480" w:lineRule="auto"/>
        <w:jc w:val="center"/>
        <w:rPr>
          <w:b/>
          <w:sz w:val="24"/>
          <w:lang w:val="en-US"/>
        </w:rPr>
      </w:pPr>
      <w:r w:rsidRPr="008319F4">
        <w:rPr>
          <w:b/>
          <w:sz w:val="28"/>
          <w:lang w:val="en-US"/>
        </w:rPr>
        <w:t>Abstract</w:t>
      </w:r>
    </w:p>
    <w:p w14:paraId="4AE1D25E" w14:textId="67EA3559" w:rsidR="00FA2EB5" w:rsidRPr="008319F4" w:rsidRDefault="006A69BC" w:rsidP="006A69BC">
      <w:pPr>
        <w:spacing w:line="480" w:lineRule="auto"/>
        <w:jc w:val="both"/>
        <w:rPr>
          <w:sz w:val="24"/>
          <w:vertAlign w:val="subscript"/>
          <w:lang w:val="en-US"/>
        </w:rPr>
      </w:pPr>
      <w:r w:rsidRPr="008319F4">
        <w:rPr>
          <w:sz w:val="24"/>
          <w:lang w:val="en-US"/>
        </w:rPr>
        <w:t xml:space="preserve">The negative relation between asset growth and subsequent stock returns </w:t>
      </w:r>
      <w:r w:rsidR="00B934CA" w:rsidRPr="008319F4">
        <w:rPr>
          <w:sz w:val="24"/>
          <w:lang w:val="en-US"/>
        </w:rPr>
        <w:t>is</w:t>
      </w:r>
      <w:r w:rsidRPr="008319F4">
        <w:rPr>
          <w:sz w:val="24"/>
          <w:lang w:val="en-US"/>
        </w:rPr>
        <w:t xml:space="preserve"> referred to </w:t>
      </w:r>
      <w:r w:rsidR="00B934CA" w:rsidRPr="008319F4">
        <w:rPr>
          <w:sz w:val="24"/>
          <w:lang w:val="en-US"/>
        </w:rPr>
        <w:t xml:space="preserve">as the </w:t>
      </w:r>
      <w:r w:rsidRPr="008319F4">
        <w:rPr>
          <w:sz w:val="24"/>
          <w:lang w:val="en-US"/>
        </w:rPr>
        <w:t xml:space="preserve">asset growth anomaly. </w:t>
      </w:r>
      <w:r w:rsidR="00A005F7" w:rsidRPr="008319F4">
        <w:rPr>
          <w:sz w:val="24"/>
          <w:lang w:val="en-US"/>
        </w:rPr>
        <w:t xml:space="preserve">We propose that overreaction to growth opportunities is the source of the asset growth anomaly.  </w:t>
      </w:r>
      <w:r w:rsidR="00204946" w:rsidRPr="008319F4">
        <w:rPr>
          <w:sz w:val="24"/>
          <w:lang w:val="en-US"/>
        </w:rPr>
        <w:t>T</w:t>
      </w:r>
      <w:r w:rsidR="002B4FE7" w:rsidRPr="008319F4">
        <w:rPr>
          <w:sz w:val="24"/>
          <w:lang w:val="en-US"/>
        </w:rPr>
        <w:t>his</w:t>
      </w:r>
      <w:r w:rsidR="00204946" w:rsidRPr="008319F4">
        <w:rPr>
          <w:sz w:val="24"/>
          <w:lang w:val="en-US"/>
        </w:rPr>
        <w:t xml:space="preserve"> </w:t>
      </w:r>
      <w:r w:rsidR="00A005F7" w:rsidRPr="008319F4">
        <w:rPr>
          <w:sz w:val="24"/>
          <w:lang w:val="en-US"/>
        </w:rPr>
        <w:t>suggests</w:t>
      </w:r>
      <w:r w:rsidR="005F288F" w:rsidRPr="008319F4">
        <w:rPr>
          <w:sz w:val="24"/>
          <w:lang w:val="en-US"/>
        </w:rPr>
        <w:t xml:space="preserve"> that g</w:t>
      </w:r>
      <w:r w:rsidRPr="008319F4">
        <w:rPr>
          <w:sz w:val="24"/>
          <w:lang w:val="en-US"/>
        </w:rPr>
        <w:t>rowth</w:t>
      </w:r>
      <w:r w:rsidR="00A83BC1">
        <w:rPr>
          <w:sz w:val="24"/>
          <w:lang w:val="en-US"/>
        </w:rPr>
        <w:t>,</w:t>
      </w:r>
      <w:r w:rsidRPr="008319F4">
        <w:rPr>
          <w:sz w:val="24"/>
          <w:lang w:val="en-US"/>
        </w:rPr>
        <w:t xml:space="preserve"> </w:t>
      </w:r>
      <w:r w:rsidR="00A83BC1" w:rsidRPr="00A83BC1">
        <w:rPr>
          <w:sz w:val="24"/>
          <w:lang w:val="en-US"/>
        </w:rPr>
        <w:t>as opposed to mature</w:t>
      </w:r>
      <w:r w:rsidR="00A83BC1">
        <w:rPr>
          <w:sz w:val="24"/>
          <w:lang w:val="en-US"/>
        </w:rPr>
        <w:t>,</w:t>
      </w:r>
      <w:r w:rsidR="00A83BC1" w:rsidRPr="00A83BC1">
        <w:rPr>
          <w:sz w:val="24"/>
          <w:lang w:val="en-US"/>
        </w:rPr>
        <w:t xml:space="preserve"> </w:t>
      </w:r>
      <w:r w:rsidRPr="008319F4">
        <w:rPr>
          <w:sz w:val="24"/>
          <w:lang w:val="en-US"/>
        </w:rPr>
        <w:t>firm</w:t>
      </w:r>
      <w:r w:rsidR="005F288F" w:rsidRPr="008319F4">
        <w:rPr>
          <w:sz w:val="24"/>
          <w:lang w:val="en-US"/>
        </w:rPr>
        <w:t>s and</w:t>
      </w:r>
      <w:r w:rsidRPr="008319F4">
        <w:rPr>
          <w:sz w:val="24"/>
          <w:lang w:val="en-US"/>
        </w:rPr>
        <w:t xml:space="preserve"> firms with longer series of asset growth </w:t>
      </w:r>
      <w:r w:rsidR="00A005F7" w:rsidRPr="008319F4">
        <w:rPr>
          <w:sz w:val="24"/>
          <w:lang w:val="en-US"/>
        </w:rPr>
        <w:t xml:space="preserve">should </w:t>
      </w:r>
      <w:r w:rsidRPr="008319F4">
        <w:rPr>
          <w:sz w:val="24"/>
          <w:lang w:val="en-US"/>
        </w:rPr>
        <w:t xml:space="preserve">experience </w:t>
      </w:r>
      <w:r w:rsidR="005F288F" w:rsidRPr="008319F4">
        <w:rPr>
          <w:sz w:val="24"/>
          <w:lang w:val="en-US"/>
        </w:rPr>
        <w:t xml:space="preserve">a </w:t>
      </w:r>
      <w:r w:rsidRPr="008319F4">
        <w:rPr>
          <w:sz w:val="24"/>
          <w:lang w:val="en-US"/>
        </w:rPr>
        <w:t>str</w:t>
      </w:r>
      <w:r w:rsidR="005F288F" w:rsidRPr="008319F4">
        <w:rPr>
          <w:sz w:val="24"/>
          <w:lang w:val="en-US"/>
        </w:rPr>
        <w:t>onger asset growth anomaly</w:t>
      </w:r>
      <w:r w:rsidRPr="008319F4">
        <w:rPr>
          <w:sz w:val="24"/>
          <w:lang w:val="en-US"/>
        </w:rPr>
        <w:t>.</w:t>
      </w:r>
      <w:r w:rsidR="000101AE" w:rsidRPr="008319F4">
        <w:rPr>
          <w:sz w:val="24"/>
          <w:lang w:val="en-US"/>
        </w:rPr>
        <w:t xml:space="preserve"> </w:t>
      </w:r>
      <w:r w:rsidR="00A005F7" w:rsidRPr="008319F4">
        <w:rPr>
          <w:sz w:val="24"/>
          <w:lang w:val="en-US"/>
        </w:rPr>
        <w:t>Our evidence supports these predictions</w:t>
      </w:r>
      <w:r w:rsidR="000101AE" w:rsidRPr="008319F4">
        <w:rPr>
          <w:sz w:val="24"/>
          <w:lang w:val="en-US"/>
        </w:rPr>
        <w:t>.</w:t>
      </w:r>
      <w:r w:rsidR="00416692" w:rsidRPr="008319F4">
        <w:rPr>
          <w:sz w:val="24"/>
          <w:lang w:val="en-US"/>
        </w:rPr>
        <w:t xml:space="preserve"> </w:t>
      </w:r>
      <w:r w:rsidR="000101AE" w:rsidRPr="008319F4">
        <w:rPr>
          <w:sz w:val="24"/>
          <w:lang w:val="en-US"/>
        </w:rPr>
        <w:t xml:space="preserve"> </w:t>
      </w:r>
      <w:r w:rsidRPr="008319F4">
        <w:rPr>
          <w:sz w:val="24"/>
          <w:lang w:val="en-US"/>
        </w:rPr>
        <w:t xml:space="preserve">   </w:t>
      </w:r>
      <w:r w:rsidR="00D53837" w:rsidRPr="008319F4">
        <w:rPr>
          <w:sz w:val="24"/>
          <w:lang w:val="en-US"/>
        </w:rPr>
        <w:softHyphen/>
      </w:r>
      <w:r w:rsidR="00D53837" w:rsidRPr="008319F4">
        <w:rPr>
          <w:sz w:val="24"/>
          <w:lang w:val="en-US"/>
        </w:rPr>
        <w:softHyphen/>
      </w:r>
    </w:p>
    <w:p w14:paraId="24D42C5A" w14:textId="3F1B3D32" w:rsidR="009118C0" w:rsidRPr="008319F4" w:rsidRDefault="005C18AA" w:rsidP="009118C0">
      <w:pPr>
        <w:spacing w:line="480" w:lineRule="auto"/>
        <w:rPr>
          <w:sz w:val="24"/>
        </w:rPr>
      </w:pPr>
      <w:r w:rsidRPr="008319F4">
        <w:rPr>
          <w:sz w:val="24"/>
        </w:rPr>
        <w:t xml:space="preserve">Keywords: Asset Growth, </w:t>
      </w:r>
      <w:r w:rsidR="009118C0" w:rsidRPr="008319F4">
        <w:rPr>
          <w:sz w:val="24"/>
        </w:rPr>
        <w:t>Anomaly, Overreaction, Growth Opportunities, US market</w:t>
      </w:r>
    </w:p>
    <w:p w14:paraId="7AB650E2" w14:textId="77777777" w:rsidR="009118C0" w:rsidRPr="008319F4" w:rsidRDefault="009118C0" w:rsidP="009118C0">
      <w:pPr>
        <w:spacing w:line="480" w:lineRule="auto"/>
        <w:rPr>
          <w:sz w:val="24"/>
        </w:rPr>
      </w:pPr>
      <w:r w:rsidRPr="008319F4">
        <w:rPr>
          <w:sz w:val="24"/>
        </w:rPr>
        <w:t>GEL codes: G1, M4</w:t>
      </w:r>
    </w:p>
    <w:p w14:paraId="73499A1E" w14:textId="434B2BFB" w:rsidR="008319F4" w:rsidRPr="008319F4" w:rsidRDefault="008319F4" w:rsidP="008319F4">
      <w:pPr>
        <w:tabs>
          <w:tab w:val="right" w:pos="9072"/>
        </w:tabs>
        <w:ind w:left="567" w:hanging="567"/>
        <w:rPr>
          <w:b/>
          <w:bCs/>
          <w:u w:color="000000"/>
        </w:rPr>
      </w:pPr>
      <w:r w:rsidRPr="008319F4">
        <w:t xml:space="preserve">* </w:t>
      </w:r>
      <w:r w:rsidRPr="008319F4">
        <w:tab/>
        <w:t>Corresponding Author; Professor of Finance, University of Liverpool Management School, University of Liverpool, Chatham Street,  Liverpool, L69 7ZH,  UK. Email: x.cai7@liverpool.ac.uk.</w:t>
      </w:r>
    </w:p>
    <w:p w14:paraId="4118AB26" w14:textId="5C471E07" w:rsidR="00F36353" w:rsidRPr="008319F4" w:rsidRDefault="00F36353" w:rsidP="00F36353">
      <w:pPr>
        <w:tabs>
          <w:tab w:val="right" w:pos="9072"/>
        </w:tabs>
        <w:ind w:left="567" w:hanging="567"/>
      </w:pPr>
      <w:r w:rsidRPr="008319F4">
        <w:t>*</w:t>
      </w:r>
      <w:r w:rsidR="00A803C4">
        <w:t>*</w:t>
      </w:r>
      <w:r w:rsidRPr="008319F4">
        <w:t xml:space="preserve"> </w:t>
      </w:r>
      <w:r w:rsidRPr="008319F4">
        <w:tab/>
      </w:r>
      <w:r w:rsidR="008B3349" w:rsidRPr="008B3349">
        <w:t>Centre for Advanced Studies in Finance (CASIF), Leeds University Business School, University of Leeds, Leeds, LS2 9JT, UK. Email: p.li@leeds.ac.uk.</w:t>
      </w:r>
    </w:p>
    <w:p w14:paraId="6A6ABA00" w14:textId="38A8750C" w:rsidR="00F36353" w:rsidRPr="008319F4" w:rsidRDefault="005C18AA" w:rsidP="00F36353">
      <w:pPr>
        <w:tabs>
          <w:tab w:val="right" w:pos="9072"/>
        </w:tabs>
        <w:ind w:left="567" w:hanging="567"/>
      </w:pPr>
      <w:r w:rsidRPr="008319F4">
        <w:t>**</w:t>
      </w:r>
      <w:r w:rsidR="008319F4">
        <w:t>*</w:t>
      </w:r>
      <w:r w:rsidRPr="008319F4">
        <w:t xml:space="preserve"> </w:t>
      </w:r>
      <w:r w:rsidRPr="008319F4">
        <w:tab/>
      </w:r>
      <w:r w:rsidR="008319F4" w:rsidRPr="008319F4">
        <w:t>Reader in Finance, Durham University Business School, Durham University, Durham, DH1 3LE, UK. Email: qi.zhang2@durham.ac.uk.</w:t>
      </w:r>
    </w:p>
    <w:p w14:paraId="0351576F" w14:textId="5AA4405C" w:rsidR="007B08EB" w:rsidRPr="007B08EB" w:rsidRDefault="00AA1FE9" w:rsidP="007B08EB">
      <w:pPr>
        <w:pStyle w:val="PaperContent"/>
        <w:rPr>
          <w:sz w:val="22"/>
        </w:rPr>
      </w:pPr>
      <w:r w:rsidRPr="007B08EB">
        <w:rPr>
          <w:sz w:val="22"/>
        </w:rPr>
        <w:t xml:space="preserve">We are grateful for the constructed comments from </w:t>
      </w:r>
      <w:r w:rsidR="00C069F1">
        <w:rPr>
          <w:sz w:val="22"/>
        </w:rPr>
        <w:t xml:space="preserve">the Editor </w:t>
      </w:r>
      <w:r w:rsidR="00E935CE">
        <w:rPr>
          <w:sz w:val="22"/>
        </w:rPr>
        <w:t xml:space="preserve">John </w:t>
      </w:r>
      <w:r w:rsidR="00C069F1" w:rsidRPr="00C069F1">
        <w:rPr>
          <w:sz w:val="22"/>
        </w:rPr>
        <w:t>Doukas</w:t>
      </w:r>
      <w:r w:rsidR="00C069F1">
        <w:rPr>
          <w:sz w:val="22"/>
        </w:rPr>
        <w:t xml:space="preserve">, the </w:t>
      </w:r>
      <w:r w:rsidR="00E935CE">
        <w:rPr>
          <w:sz w:val="22"/>
        </w:rPr>
        <w:t>two anonymous reviewer</w:t>
      </w:r>
      <w:r w:rsidR="00C069F1">
        <w:rPr>
          <w:sz w:val="22"/>
        </w:rPr>
        <w:t xml:space="preserve">s, </w:t>
      </w:r>
      <w:r w:rsidR="007B08EB" w:rsidRPr="007B08EB">
        <w:rPr>
          <w:sz w:val="22"/>
        </w:rPr>
        <w:t>Kevin Keas</w:t>
      </w:r>
      <w:r w:rsidR="00FF3BEF">
        <w:rPr>
          <w:sz w:val="22"/>
        </w:rPr>
        <w:t>e</w:t>
      </w:r>
      <w:r w:rsidR="007B08EB" w:rsidRPr="007B08EB">
        <w:rPr>
          <w:sz w:val="22"/>
        </w:rPr>
        <w:t>y</w:t>
      </w:r>
      <w:r w:rsidRPr="007B08EB">
        <w:rPr>
          <w:sz w:val="22"/>
        </w:rPr>
        <w:t xml:space="preserve"> and the participants of the</w:t>
      </w:r>
      <w:r w:rsidR="007B08EB" w:rsidRPr="007B08EB">
        <w:rPr>
          <w:sz w:val="22"/>
        </w:rPr>
        <w:t xml:space="preserve"> 7th International Accounting &amp; Finance Doctoral Symposium, Trondheim, 2014</w:t>
      </w:r>
      <w:r w:rsidRPr="007B08EB">
        <w:rPr>
          <w:sz w:val="22"/>
        </w:rPr>
        <w:t xml:space="preserve"> </w:t>
      </w:r>
      <w:r w:rsidR="007B08EB" w:rsidRPr="007B08EB">
        <w:rPr>
          <w:sz w:val="22"/>
        </w:rPr>
        <w:t>and American Accounting Association Annual Meeting, Atlanta 2014.</w:t>
      </w:r>
    </w:p>
    <w:p w14:paraId="0B76B2AF" w14:textId="77777777" w:rsidR="007B08EB" w:rsidRPr="007B08EB" w:rsidRDefault="007B08EB">
      <w:pPr>
        <w:rPr>
          <w:szCs w:val="24"/>
          <w:lang w:val="en-US"/>
        </w:rPr>
      </w:pPr>
      <w:r w:rsidRPr="007B08EB">
        <w:rPr>
          <w:sz w:val="20"/>
        </w:rPr>
        <w:br w:type="page"/>
      </w:r>
    </w:p>
    <w:p w14:paraId="723D7AC5" w14:textId="77777777" w:rsidR="00FA2EB5" w:rsidRPr="008319F4" w:rsidRDefault="00FA2EB5" w:rsidP="00214CCE">
      <w:pPr>
        <w:pStyle w:val="PaperTitle1"/>
      </w:pPr>
      <w:r w:rsidRPr="008319F4">
        <w:lastRenderedPageBreak/>
        <w:t>1. Introduction</w:t>
      </w:r>
    </w:p>
    <w:p w14:paraId="6A0386C5" w14:textId="4C648AD7" w:rsidR="00BA145D" w:rsidRPr="008319F4" w:rsidRDefault="004305D8" w:rsidP="00204946">
      <w:pPr>
        <w:spacing w:line="480" w:lineRule="auto"/>
        <w:jc w:val="both"/>
        <w:rPr>
          <w:sz w:val="24"/>
          <w:szCs w:val="24"/>
          <w:lang w:val="en-US"/>
        </w:rPr>
      </w:pPr>
      <w:r w:rsidRPr="008319F4">
        <w:rPr>
          <w:sz w:val="24"/>
          <w:szCs w:val="24"/>
          <w:lang w:val="en-US"/>
        </w:rPr>
        <w:t xml:space="preserve">The efficient market hypothesis has faced a long line of challenges from anomalies (see Schwert, 2003, for a survey). The asset growth anomaly (where subsequent returns are negatively related to asset growth) is one of the latest challenges to be investigated. </w:t>
      </w:r>
      <w:r w:rsidR="00FB128B" w:rsidRPr="008319F4">
        <w:rPr>
          <w:sz w:val="24"/>
          <w:szCs w:val="24"/>
          <w:lang w:val="en-US"/>
        </w:rPr>
        <w:t xml:space="preserve">Cooper, </w:t>
      </w:r>
      <w:r w:rsidR="00FB128B" w:rsidRPr="00D9200C">
        <w:rPr>
          <w:noProof/>
          <w:sz w:val="24"/>
          <w:szCs w:val="24"/>
          <w:lang w:val="en-US"/>
        </w:rPr>
        <w:t>Gulen</w:t>
      </w:r>
      <w:r w:rsidR="00FB128B" w:rsidRPr="008319F4">
        <w:rPr>
          <w:sz w:val="24"/>
          <w:szCs w:val="24"/>
          <w:lang w:val="en-US"/>
        </w:rPr>
        <w:t xml:space="preserve"> and Schill (2008) and Fama and French (2008) show that firms with high asset g</w:t>
      </w:r>
      <w:r w:rsidR="00BA7CDA" w:rsidRPr="008319F4">
        <w:rPr>
          <w:sz w:val="24"/>
          <w:szCs w:val="24"/>
          <w:lang w:val="en-US"/>
        </w:rPr>
        <w:t>rowth have lower future returns:</w:t>
      </w:r>
      <w:r w:rsidR="00FB128B" w:rsidRPr="008319F4">
        <w:rPr>
          <w:sz w:val="24"/>
          <w:szCs w:val="24"/>
          <w:lang w:val="en-US"/>
        </w:rPr>
        <w:t xml:space="preserve"> that is, firms earn lower subsequent return</w:t>
      </w:r>
      <w:r w:rsidR="00AB5AE7" w:rsidRPr="008319F4">
        <w:rPr>
          <w:sz w:val="24"/>
          <w:szCs w:val="24"/>
          <w:lang w:val="en-US"/>
        </w:rPr>
        <w:t>s when they expand their assets;</w:t>
      </w:r>
      <w:r w:rsidR="00FB128B" w:rsidRPr="008319F4">
        <w:rPr>
          <w:sz w:val="24"/>
          <w:szCs w:val="24"/>
          <w:lang w:val="en-US"/>
        </w:rPr>
        <w:t xml:space="preserve"> whereas firms earn higher subsequent returns when they experience a contraction of their assets</w:t>
      </w:r>
      <w:r w:rsidR="00FB128B" w:rsidRPr="008319F4">
        <w:rPr>
          <w:sz w:val="24"/>
          <w:szCs w:val="24"/>
          <w:vertAlign w:val="superscript"/>
          <w:lang w:val="en-US"/>
        </w:rPr>
        <w:footnoteReference w:id="1"/>
      </w:r>
      <w:r w:rsidR="00FB128B" w:rsidRPr="008319F4">
        <w:rPr>
          <w:sz w:val="24"/>
          <w:szCs w:val="24"/>
          <w:lang w:val="en-US"/>
        </w:rPr>
        <w:t xml:space="preserve">. Furthermore, as the Fama-French 3-factor model cannot explain the returns of portfolios sorted by asset growth, this negative relationship between asset growth and future stock returns </w:t>
      </w:r>
      <w:r w:rsidR="00BA7CDA" w:rsidRPr="008319F4">
        <w:rPr>
          <w:sz w:val="24"/>
          <w:szCs w:val="24"/>
          <w:lang w:val="en-US"/>
        </w:rPr>
        <w:t>at the</w:t>
      </w:r>
      <w:r w:rsidR="00AB5AE7" w:rsidRPr="008319F4">
        <w:rPr>
          <w:sz w:val="24"/>
          <w:szCs w:val="24"/>
          <w:lang w:val="en-US"/>
        </w:rPr>
        <w:t xml:space="preserve"> </w:t>
      </w:r>
      <w:r w:rsidR="00AB5AE7" w:rsidRPr="00D9200C">
        <w:rPr>
          <w:noProof/>
          <w:sz w:val="24"/>
          <w:szCs w:val="24"/>
          <w:lang w:val="en-US"/>
        </w:rPr>
        <w:t>cross</w:t>
      </w:r>
      <w:r w:rsidR="00D9200C">
        <w:rPr>
          <w:noProof/>
          <w:sz w:val="24"/>
          <w:szCs w:val="24"/>
          <w:lang w:val="en-US"/>
        </w:rPr>
        <w:t>-</w:t>
      </w:r>
      <w:r w:rsidR="00AB5AE7" w:rsidRPr="00D9200C">
        <w:rPr>
          <w:noProof/>
          <w:sz w:val="24"/>
          <w:szCs w:val="24"/>
          <w:lang w:val="en-US"/>
        </w:rPr>
        <w:t>sectional</w:t>
      </w:r>
      <w:r w:rsidR="00AB5AE7" w:rsidRPr="008319F4">
        <w:rPr>
          <w:sz w:val="24"/>
          <w:szCs w:val="24"/>
          <w:lang w:val="en-US"/>
        </w:rPr>
        <w:t xml:space="preserve"> level is referred to </w:t>
      </w:r>
      <w:r w:rsidR="00BA7CDA" w:rsidRPr="008319F4">
        <w:rPr>
          <w:sz w:val="24"/>
          <w:szCs w:val="24"/>
          <w:lang w:val="en-US"/>
        </w:rPr>
        <w:t xml:space="preserve">as the </w:t>
      </w:r>
      <w:r w:rsidR="00AB5AE7" w:rsidRPr="008319F4">
        <w:rPr>
          <w:sz w:val="24"/>
          <w:szCs w:val="24"/>
          <w:lang w:val="en-US"/>
        </w:rPr>
        <w:t>asset growth</w:t>
      </w:r>
      <w:r w:rsidR="00FB128B" w:rsidRPr="008319F4">
        <w:rPr>
          <w:sz w:val="24"/>
          <w:szCs w:val="24"/>
          <w:lang w:val="en-US"/>
        </w:rPr>
        <w:t xml:space="preserve"> anomaly.</w:t>
      </w:r>
    </w:p>
    <w:p w14:paraId="2456222A" w14:textId="17A797B8" w:rsidR="00972B81" w:rsidRPr="008319F4" w:rsidRDefault="00CA5F68" w:rsidP="00913E65">
      <w:pPr>
        <w:spacing w:line="480" w:lineRule="auto"/>
        <w:ind w:firstLine="720"/>
        <w:jc w:val="both"/>
        <w:rPr>
          <w:sz w:val="24"/>
          <w:szCs w:val="24"/>
          <w:lang w:val="en-US"/>
        </w:rPr>
      </w:pPr>
      <w:r w:rsidRPr="008319F4">
        <w:rPr>
          <w:sz w:val="24"/>
          <w:szCs w:val="24"/>
          <w:lang w:val="en-US"/>
        </w:rPr>
        <w:t xml:space="preserve">While both mispricing </w:t>
      </w:r>
      <w:r w:rsidR="0020435B" w:rsidRPr="008319F4">
        <w:rPr>
          <w:sz w:val="24"/>
          <w:szCs w:val="24"/>
          <w:lang w:val="en-US"/>
        </w:rPr>
        <w:t>and rational explanations of the asset growth anomaly have</w:t>
      </w:r>
      <w:r w:rsidRPr="008319F4">
        <w:rPr>
          <w:sz w:val="24"/>
          <w:szCs w:val="24"/>
          <w:lang w:val="en-US"/>
        </w:rPr>
        <w:t xml:space="preserve"> been proposed, much of the recent evidence in the li</w:t>
      </w:r>
      <w:r w:rsidR="005C18AA" w:rsidRPr="008319F4">
        <w:rPr>
          <w:sz w:val="24"/>
          <w:szCs w:val="24"/>
          <w:lang w:val="en-US"/>
        </w:rPr>
        <w:t>terature has been focused on</w:t>
      </w:r>
      <w:r w:rsidRPr="008319F4">
        <w:rPr>
          <w:sz w:val="24"/>
          <w:szCs w:val="24"/>
          <w:lang w:val="en-US"/>
        </w:rPr>
        <w:t xml:space="preserve"> rational explanat</w:t>
      </w:r>
      <w:r w:rsidR="005C18AA" w:rsidRPr="008319F4">
        <w:rPr>
          <w:sz w:val="24"/>
          <w:szCs w:val="24"/>
          <w:lang w:val="en-US"/>
        </w:rPr>
        <w:t>ions via</w:t>
      </w:r>
      <w:r w:rsidR="0020435B" w:rsidRPr="008319F4">
        <w:rPr>
          <w:sz w:val="24"/>
          <w:szCs w:val="24"/>
          <w:lang w:val="en-US"/>
        </w:rPr>
        <w:t xml:space="preserve"> Q theory and it is largely inconclusive</w:t>
      </w:r>
      <w:r w:rsidRPr="008319F4">
        <w:rPr>
          <w:rStyle w:val="FootnoteReference"/>
          <w:sz w:val="24"/>
          <w:szCs w:val="24"/>
          <w:lang w:val="en-US"/>
        </w:rPr>
        <w:footnoteReference w:id="2"/>
      </w:r>
      <w:r w:rsidR="00204946" w:rsidRPr="008319F4">
        <w:rPr>
          <w:sz w:val="24"/>
          <w:szCs w:val="24"/>
          <w:lang w:val="en-US"/>
        </w:rPr>
        <w:t>, with m</w:t>
      </w:r>
      <w:r w:rsidR="00962AB1" w:rsidRPr="008319F4">
        <w:rPr>
          <w:sz w:val="24"/>
          <w:szCs w:val="24"/>
          <w:lang w:val="en-US"/>
        </w:rPr>
        <w:t>ispricing as an explanation</w:t>
      </w:r>
      <w:r w:rsidR="00204946" w:rsidRPr="008319F4">
        <w:rPr>
          <w:sz w:val="24"/>
          <w:szCs w:val="24"/>
          <w:lang w:val="en-US"/>
        </w:rPr>
        <w:t xml:space="preserve"> receiving</w:t>
      </w:r>
      <w:r w:rsidR="00962AB1" w:rsidRPr="008319F4">
        <w:rPr>
          <w:sz w:val="24"/>
          <w:szCs w:val="24"/>
          <w:lang w:val="en-US"/>
        </w:rPr>
        <w:t xml:space="preserve"> </w:t>
      </w:r>
      <w:r w:rsidR="0020435B" w:rsidRPr="008319F4">
        <w:rPr>
          <w:sz w:val="24"/>
          <w:szCs w:val="24"/>
          <w:lang w:val="en-US"/>
        </w:rPr>
        <w:t xml:space="preserve">a lot </w:t>
      </w:r>
      <w:r w:rsidR="00962AB1" w:rsidRPr="008319F4">
        <w:rPr>
          <w:sz w:val="24"/>
          <w:szCs w:val="24"/>
          <w:lang w:val="en-US"/>
        </w:rPr>
        <w:t xml:space="preserve">less attention.  </w:t>
      </w:r>
      <w:r w:rsidR="00026C3E" w:rsidRPr="008319F4">
        <w:rPr>
          <w:sz w:val="24"/>
          <w:szCs w:val="24"/>
          <w:lang w:val="en-US"/>
        </w:rPr>
        <w:t>Given the mixed evidence to</w:t>
      </w:r>
      <w:r w:rsidR="00826ED0" w:rsidRPr="008319F4">
        <w:rPr>
          <w:sz w:val="24"/>
          <w:szCs w:val="24"/>
          <w:lang w:val="en-US"/>
        </w:rPr>
        <w:t xml:space="preserve"> date, the purpose of this paper</w:t>
      </w:r>
      <w:r w:rsidR="00026C3E" w:rsidRPr="008319F4">
        <w:rPr>
          <w:sz w:val="24"/>
          <w:szCs w:val="24"/>
          <w:lang w:val="en-US"/>
        </w:rPr>
        <w:t xml:space="preserve"> is to </w:t>
      </w:r>
      <w:r w:rsidR="00D73DD7" w:rsidRPr="008319F4">
        <w:rPr>
          <w:sz w:val="24"/>
          <w:szCs w:val="24"/>
          <w:lang w:val="en-US"/>
        </w:rPr>
        <w:t xml:space="preserve">extend our understanding of the drivers of this anomaly by </w:t>
      </w:r>
      <w:r w:rsidR="00026C3E" w:rsidRPr="008319F4">
        <w:rPr>
          <w:sz w:val="24"/>
          <w:szCs w:val="24"/>
          <w:lang w:val="en-US"/>
        </w:rPr>
        <w:t>focus</w:t>
      </w:r>
      <w:r w:rsidR="00D73DD7" w:rsidRPr="008319F4">
        <w:rPr>
          <w:sz w:val="24"/>
          <w:szCs w:val="24"/>
          <w:lang w:val="en-US"/>
        </w:rPr>
        <w:t>ing</w:t>
      </w:r>
      <w:r w:rsidR="00204946" w:rsidRPr="008319F4">
        <w:rPr>
          <w:sz w:val="24"/>
          <w:szCs w:val="24"/>
          <w:lang w:val="en-US"/>
        </w:rPr>
        <w:t xml:space="preserve"> </w:t>
      </w:r>
      <w:r w:rsidR="00204946" w:rsidRPr="008319F4">
        <w:rPr>
          <w:sz w:val="24"/>
          <w:szCs w:val="24"/>
          <w:lang w:val="en-US"/>
        </w:rPr>
        <w:lastRenderedPageBreak/>
        <w:t xml:space="preserve">on </w:t>
      </w:r>
      <w:r w:rsidR="001712C5" w:rsidRPr="008319F4">
        <w:rPr>
          <w:sz w:val="24"/>
          <w:szCs w:val="24"/>
          <w:lang w:val="en-US"/>
        </w:rPr>
        <w:t xml:space="preserve">investor </w:t>
      </w:r>
      <w:r w:rsidR="00026C3E" w:rsidRPr="008319F4">
        <w:rPr>
          <w:sz w:val="24"/>
          <w:szCs w:val="24"/>
          <w:lang w:val="en-US"/>
        </w:rPr>
        <w:t xml:space="preserve">overreaction </w:t>
      </w:r>
      <w:r w:rsidR="001712C5" w:rsidRPr="008319F4">
        <w:rPr>
          <w:sz w:val="24"/>
          <w:szCs w:val="24"/>
          <w:lang w:val="en-US"/>
        </w:rPr>
        <w:t>as an explanation of</w:t>
      </w:r>
      <w:r w:rsidR="00026C3E" w:rsidRPr="008319F4">
        <w:rPr>
          <w:sz w:val="24"/>
          <w:szCs w:val="24"/>
          <w:lang w:val="en-US"/>
        </w:rPr>
        <w:t xml:space="preserve"> the asset growth anomaly</w:t>
      </w:r>
      <w:r w:rsidR="00133228" w:rsidRPr="008319F4">
        <w:rPr>
          <w:sz w:val="24"/>
          <w:szCs w:val="24"/>
          <w:lang w:val="en-US"/>
        </w:rPr>
        <w:t xml:space="preserve">. </w:t>
      </w:r>
      <w:r w:rsidR="001712C5" w:rsidRPr="008319F4">
        <w:rPr>
          <w:sz w:val="24"/>
          <w:szCs w:val="24"/>
          <w:lang w:val="en-US"/>
        </w:rPr>
        <w:t xml:space="preserve">Such </w:t>
      </w:r>
      <w:r w:rsidR="00204946" w:rsidRPr="008319F4">
        <w:rPr>
          <w:sz w:val="24"/>
          <w:szCs w:val="24"/>
          <w:lang w:val="en-US"/>
        </w:rPr>
        <w:t xml:space="preserve">a </w:t>
      </w:r>
      <w:r w:rsidR="001712C5" w:rsidRPr="008319F4">
        <w:rPr>
          <w:sz w:val="24"/>
          <w:szCs w:val="24"/>
          <w:lang w:val="en-US"/>
        </w:rPr>
        <w:t>conjecture has its origin in the anomaly literature</w:t>
      </w:r>
      <w:r w:rsidR="008F2C50" w:rsidRPr="008319F4">
        <w:rPr>
          <w:sz w:val="24"/>
          <w:szCs w:val="24"/>
          <w:lang w:val="en-US"/>
        </w:rPr>
        <w:t xml:space="preserve"> (Coope</w:t>
      </w:r>
      <w:r w:rsidR="00062B0C" w:rsidRPr="008319F4">
        <w:rPr>
          <w:sz w:val="24"/>
          <w:szCs w:val="24"/>
          <w:lang w:val="en-US"/>
        </w:rPr>
        <w:t>r</w:t>
      </w:r>
      <w:r w:rsidR="008F2C50" w:rsidRPr="008319F4">
        <w:rPr>
          <w:sz w:val="24"/>
          <w:szCs w:val="24"/>
          <w:lang w:val="en-US"/>
        </w:rPr>
        <w:t xml:space="preserve"> et al., 2008)</w:t>
      </w:r>
      <w:r w:rsidR="001712C5" w:rsidRPr="008319F4">
        <w:rPr>
          <w:sz w:val="24"/>
          <w:szCs w:val="24"/>
          <w:lang w:val="en-US"/>
        </w:rPr>
        <w:t xml:space="preserve">.  </w:t>
      </w:r>
      <w:r w:rsidR="00972B81" w:rsidRPr="008319F4">
        <w:rPr>
          <w:sz w:val="24"/>
          <w:szCs w:val="24"/>
          <w:lang w:val="en-US"/>
        </w:rPr>
        <w:t>If the asset growth anomaly is driven by investor overreaction to asset growth news, it follows that growth firms will be more likely to experi</w:t>
      </w:r>
      <w:r w:rsidR="000469E0" w:rsidRPr="008319F4">
        <w:rPr>
          <w:sz w:val="24"/>
          <w:szCs w:val="24"/>
          <w:lang w:val="en-US"/>
        </w:rPr>
        <w:t>ence such an anomaly as they should</w:t>
      </w:r>
      <w:r w:rsidR="00972B81" w:rsidRPr="008319F4">
        <w:rPr>
          <w:sz w:val="24"/>
          <w:szCs w:val="24"/>
          <w:lang w:val="en-US"/>
        </w:rPr>
        <w:t xml:space="preserve"> have more growth news to be extrapolated by investors. </w:t>
      </w:r>
    </w:p>
    <w:p w14:paraId="17695CA2" w14:textId="36B16819" w:rsidR="0054602C" w:rsidRPr="008319F4" w:rsidRDefault="00620441" w:rsidP="00913E65">
      <w:pPr>
        <w:spacing w:line="480" w:lineRule="auto"/>
        <w:ind w:firstLine="720"/>
        <w:jc w:val="both"/>
        <w:rPr>
          <w:sz w:val="24"/>
          <w:szCs w:val="24"/>
          <w:lang w:val="en-US"/>
        </w:rPr>
      </w:pPr>
      <w:r w:rsidRPr="008319F4">
        <w:rPr>
          <w:sz w:val="24"/>
          <w:szCs w:val="24"/>
          <w:lang w:val="en-US"/>
        </w:rPr>
        <w:t>We</w:t>
      </w:r>
      <w:r w:rsidR="000469E0" w:rsidRPr="008319F4">
        <w:rPr>
          <w:sz w:val="24"/>
          <w:szCs w:val="24"/>
          <w:lang w:val="en-US"/>
        </w:rPr>
        <w:t>,</w:t>
      </w:r>
      <w:r w:rsidRPr="008319F4">
        <w:rPr>
          <w:sz w:val="24"/>
          <w:szCs w:val="24"/>
          <w:lang w:val="en-US"/>
        </w:rPr>
        <w:t xml:space="preserve"> </w:t>
      </w:r>
      <w:r w:rsidR="00793246" w:rsidRPr="008319F4">
        <w:rPr>
          <w:sz w:val="24"/>
          <w:szCs w:val="24"/>
          <w:lang w:val="en-US"/>
        </w:rPr>
        <w:t>therefore</w:t>
      </w:r>
      <w:r w:rsidR="000469E0" w:rsidRPr="008319F4">
        <w:rPr>
          <w:sz w:val="24"/>
          <w:szCs w:val="24"/>
          <w:lang w:val="en-US"/>
        </w:rPr>
        <w:t>,</w:t>
      </w:r>
      <w:r w:rsidR="00793246" w:rsidRPr="008319F4">
        <w:rPr>
          <w:sz w:val="24"/>
          <w:szCs w:val="24"/>
          <w:lang w:val="en-US"/>
        </w:rPr>
        <w:t xml:space="preserve"> </w:t>
      </w:r>
      <w:r w:rsidR="000469E0" w:rsidRPr="008319F4">
        <w:rPr>
          <w:sz w:val="24"/>
          <w:szCs w:val="24"/>
          <w:lang w:val="en-US"/>
        </w:rPr>
        <w:t>develop</w:t>
      </w:r>
      <w:r w:rsidRPr="008319F4">
        <w:rPr>
          <w:sz w:val="24"/>
          <w:szCs w:val="24"/>
          <w:lang w:val="en-US"/>
        </w:rPr>
        <w:t xml:space="preserve"> two hypotheses relating to investors’ reaction to growth. </w:t>
      </w:r>
      <w:r w:rsidR="00B4716C" w:rsidRPr="008319F4">
        <w:rPr>
          <w:sz w:val="24"/>
          <w:szCs w:val="24"/>
          <w:lang w:val="en-US"/>
        </w:rPr>
        <w:t xml:space="preserve">First, </w:t>
      </w:r>
      <w:r w:rsidR="00CC28A1" w:rsidRPr="008319F4">
        <w:rPr>
          <w:sz w:val="24"/>
          <w:szCs w:val="24"/>
          <w:lang w:val="en-US"/>
        </w:rPr>
        <w:t xml:space="preserve">if overreaction to growth is the explanation of the anomaly, then </w:t>
      </w:r>
      <w:r w:rsidR="00B4716C" w:rsidRPr="008319F4">
        <w:rPr>
          <w:sz w:val="24"/>
          <w:szCs w:val="24"/>
          <w:lang w:val="en-US"/>
        </w:rPr>
        <w:t xml:space="preserve">growth firms </w:t>
      </w:r>
      <w:r w:rsidR="00826ED0" w:rsidRPr="008319F4">
        <w:rPr>
          <w:sz w:val="24"/>
          <w:szCs w:val="24"/>
          <w:lang w:val="en-US"/>
        </w:rPr>
        <w:t xml:space="preserve">should </w:t>
      </w:r>
      <w:r w:rsidR="00B4716C" w:rsidRPr="008319F4">
        <w:rPr>
          <w:sz w:val="24"/>
          <w:szCs w:val="24"/>
          <w:lang w:val="en-US"/>
        </w:rPr>
        <w:t xml:space="preserve">show </w:t>
      </w:r>
      <w:r w:rsidR="00CC28A1" w:rsidRPr="008319F4">
        <w:rPr>
          <w:sz w:val="24"/>
          <w:szCs w:val="24"/>
          <w:lang w:val="en-US"/>
        </w:rPr>
        <w:t xml:space="preserve">a </w:t>
      </w:r>
      <w:r w:rsidR="00B4716C" w:rsidRPr="008319F4">
        <w:rPr>
          <w:sz w:val="24"/>
          <w:szCs w:val="24"/>
          <w:lang w:val="en-US"/>
        </w:rPr>
        <w:t>stronger asset growth</w:t>
      </w:r>
      <w:r w:rsidR="00CC28A1" w:rsidRPr="008319F4">
        <w:rPr>
          <w:sz w:val="24"/>
          <w:szCs w:val="24"/>
          <w:lang w:val="en-US"/>
        </w:rPr>
        <w:t xml:space="preserve"> anomaly than mature firms</w:t>
      </w:r>
      <w:r w:rsidR="00847A10">
        <w:rPr>
          <w:rStyle w:val="FootnoteReference"/>
          <w:sz w:val="24"/>
          <w:szCs w:val="24"/>
          <w:lang w:val="en-US"/>
        </w:rPr>
        <w:footnoteReference w:id="3"/>
      </w:r>
      <w:r w:rsidR="009C5D63" w:rsidRPr="008319F4">
        <w:rPr>
          <w:sz w:val="24"/>
          <w:szCs w:val="24"/>
          <w:lang w:val="en-US"/>
        </w:rPr>
        <w:t>.</w:t>
      </w:r>
      <w:r w:rsidR="00B67958" w:rsidRPr="008319F4">
        <w:rPr>
          <w:sz w:val="24"/>
          <w:szCs w:val="24"/>
          <w:lang w:val="en-US"/>
        </w:rPr>
        <w:t xml:space="preserve">  </w:t>
      </w:r>
      <w:r w:rsidR="00B4716C" w:rsidRPr="008319F4">
        <w:rPr>
          <w:sz w:val="24"/>
          <w:szCs w:val="24"/>
          <w:lang w:val="en-US"/>
        </w:rPr>
        <w:t xml:space="preserve">Second, </w:t>
      </w:r>
      <w:r w:rsidR="00CC28A1" w:rsidRPr="008319F4">
        <w:rPr>
          <w:sz w:val="24"/>
          <w:szCs w:val="24"/>
          <w:lang w:val="en-US"/>
        </w:rPr>
        <w:t>the behavioral bias of representativeness suggests investors tend to overreact more to a series of events and</w:t>
      </w:r>
      <w:r w:rsidR="00062B0C" w:rsidRPr="008319F4">
        <w:rPr>
          <w:sz w:val="24"/>
          <w:szCs w:val="24"/>
          <w:lang w:val="en-US"/>
        </w:rPr>
        <w:t>,</w:t>
      </w:r>
      <w:r w:rsidR="00CC28A1" w:rsidRPr="008319F4">
        <w:rPr>
          <w:sz w:val="24"/>
          <w:szCs w:val="24"/>
          <w:lang w:val="en-US"/>
        </w:rPr>
        <w:t xml:space="preserve"> therefore, if overreaction is the explanation, firms experiencing a longer series of high (low) asset growth should</w:t>
      </w:r>
      <w:r w:rsidR="0054602C" w:rsidRPr="008319F4">
        <w:rPr>
          <w:sz w:val="24"/>
          <w:szCs w:val="24"/>
          <w:lang w:val="en-US"/>
        </w:rPr>
        <w:t xml:space="preserve"> </w:t>
      </w:r>
      <w:r w:rsidRPr="008319F4">
        <w:rPr>
          <w:sz w:val="24"/>
          <w:szCs w:val="24"/>
          <w:lang w:val="en-US"/>
        </w:rPr>
        <w:t xml:space="preserve">experience lower (higher) subsequent return.  In other words, the anomaly will be </w:t>
      </w:r>
      <w:r w:rsidR="0054602C" w:rsidRPr="008319F4">
        <w:rPr>
          <w:sz w:val="24"/>
          <w:szCs w:val="24"/>
          <w:lang w:val="en-US"/>
        </w:rPr>
        <w:t xml:space="preserve">stronger </w:t>
      </w:r>
      <w:r w:rsidR="000469E0" w:rsidRPr="008319F4">
        <w:rPr>
          <w:sz w:val="24"/>
          <w:szCs w:val="24"/>
          <w:lang w:val="en-US"/>
        </w:rPr>
        <w:t>for firms experiencing</w:t>
      </w:r>
      <w:r w:rsidR="00392A4B" w:rsidRPr="008319F4">
        <w:rPr>
          <w:sz w:val="24"/>
          <w:szCs w:val="24"/>
          <w:lang w:val="en-US"/>
        </w:rPr>
        <w:t xml:space="preserve"> a </w:t>
      </w:r>
      <w:r w:rsidR="00EF4787">
        <w:rPr>
          <w:sz w:val="24"/>
          <w:szCs w:val="24"/>
          <w:lang w:val="en-US"/>
        </w:rPr>
        <w:t>sequence</w:t>
      </w:r>
      <w:r w:rsidR="00392A4B" w:rsidRPr="008319F4">
        <w:rPr>
          <w:sz w:val="24"/>
          <w:szCs w:val="24"/>
          <w:lang w:val="en-US"/>
        </w:rPr>
        <w:t xml:space="preserve"> in their growth pattern</w:t>
      </w:r>
      <w:r w:rsidR="00000E67" w:rsidRPr="008319F4">
        <w:rPr>
          <w:sz w:val="24"/>
          <w:szCs w:val="24"/>
          <w:vertAlign w:val="superscript"/>
          <w:lang w:val="en-US"/>
        </w:rPr>
        <w:footnoteReference w:id="4"/>
      </w:r>
      <w:r w:rsidR="00000E67" w:rsidRPr="008319F4">
        <w:rPr>
          <w:sz w:val="24"/>
          <w:szCs w:val="24"/>
          <w:lang w:val="en-US"/>
        </w:rPr>
        <w:t xml:space="preserve">.  </w:t>
      </w:r>
      <w:r w:rsidR="008F2C50" w:rsidRPr="008319F4">
        <w:rPr>
          <w:sz w:val="24"/>
          <w:szCs w:val="24"/>
          <w:lang w:val="en-US"/>
        </w:rPr>
        <w:t xml:space="preserve">It is often argued that investors extrapolate a sequence of same signed news that results in an overreaction to the information (see, for example, the theoretical model of Barberis, </w:t>
      </w:r>
      <w:r w:rsidR="008F2C50" w:rsidRPr="00D9200C">
        <w:rPr>
          <w:noProof/>
          <w:sz w:val="24"/>
          <w:szCs w:val="24"/>
          <w:lang w:val="en-US"/>
        </w:rPr>
        <w:t>Shleifer</w:t>
      </w:r>
      <w:r w:rsidR="008F2C50" w:rsidRPr="008319F4">
        <w:rPr>
          <w:sz w:val="24"/>
          <w:szCs w:val="24"/>
          <w:lang w:val="en-US"/>
        </w:rPr>
        <w:t xml:space="preserve"> and Vishny, 1998)</w:t>
      </w:r>
      <w:r w:rsidR="00FF3BEF">
        <w:rPr>
          <w:rStyle w:val="FootnoteReference"/>
          <w:sz w:val="24"/>
          <w:szCs w:val="24"/>
          <w:lang w:val="en-US"/>
        </w:rPr>
        <w:footnoteReference w:id="5"/>
      </w:r>
      <w:r w:rsidR="008F2C50" w:rsidRPr="008319F4">
        <w:rPr>
          <w:sz w:val="24"/>
          <w:szCs w:val="24"/>
          <w:lang w:val="en-US"/>
        </w:rPr>
        <w:t>.</w:t>
      </w:r>
    </w:p>
    <w:p w14:paraId="40136F3E" w14:textId="46AE6A40" w:rsidR="00793246" w:rsidRPr="008319F4" w:rsidRDefault="003938C5" w:rsidP="00913E65">
      <w:pPr>
        <w:spacing w:line="480" w:lineRule="auto"/>
        <w:ind w:firstLine="720"/>
        <w:jc w:val="both"/>
        <w:rPr>
          <w:sz w:val="24"/>
          <w:szCs w:val="24"/>
          <w:lang w:val="en-US"/>
        </w:rPr>
      </w:pPr>
      <w:r w:rsidRPr="008319F4">
        <w:rPr>
          <w:sz w:val="24"/>
          <w:szCs w:val="24"/>
          <w:lang w:val="en-US"/>
        </w:rPr>
        <w:t xml:space="preserve">To test the </w:t>
      </w:r>
      <w:r w:rsidR="00681A6F" w:rsidRPr="008319F4">
        <w:rPr>
          <w:sz w:val="24"/>
          <w:szCs w:val="24"/>
          <w:lang w:val="en-US"/>
        </w:rPr>
        <w:t>first hypothesis</w:t>
      </w:r>
      <w:r w:rsidRPr="008319F4">
        <w:rPr>
          <w:sz w:val="24"/>
          <w:szCs w:val="24"/>
          <w:lang w:val="en-US"/>
        </w:rPr>
        <w:t xml:space="preserve"> we employ three growth type proxies: retained earnings scaled by firm total assets</w:t>
      </w:r>
      <w:r w:rsidR="00C4301D" w:rsidRPr="008319F4">
        <w:rPr>
          <w:sz w:val="24"/>
          <w:szCs w:val="24"/>
          <w:lang w:val="en-US"/>
        </w:rPr>
        <w:t xml:space="preserve"> (RE)</w:t>
      </w:r>
      <w:r w:rsidRPr="008319F4">
        <w:rPr>
          <w:sz w:val="24"/>
          <w:szCs w:val="24"/>
          <w:lang w:val="en-US"/>
        </w:rPr>
        <w:t xml:space="preserve">, </w:t>
      </w:r>
      <w:r w:rsidR="00115285" w:rsidRPr="008319F4">
        <w:rPr>
          <w:sz w:val="24"/>
          <w:szCs w:val="24"/>
          <w:lang w:val="en-US"/>
        </w:rPr>
        <w:t xml:space="preserve">the </w:t>
      </w:r>
      <w:r w:rsidRPr="008319F4">
        <w:rPr>
          <w:sz w:val="24"/>
          <w:szCs w:val="24"/>
          <w:lang w:val="en-US"/>
        </w:rPr>
        <w:t xml:space="preserve">dividends to income ratio </w:t>
      </w:r>
      <w:r w:rsidR="00C4301D" w:rsidRPr="008319F4">
        <w:rPr>
          <w:sz w:val="24"/>
          <w:szCs w:val="24"/>
          <w:lang w:val="en-US"/>
        </w:rPr>
        <w:t xml:space="preserve">(DIV) </w:t>
      </w:r>
      <w:r w:rsidRPr="008319F4">
        <w:rPr>
          <w:sz w:val="24"/>
          <w:szCs w:val="24"/>
          <w:lang w:val="en-US"/>
        </w:rPr>
        <w:t xml:space="preserve">and cash </w:t>
      </w:r>
      <w:r w:rsidRPr="008319F4">
        <w:rPr>
          <w:sz w:val="24"/>
          <w:szCs w:val="24"/>
          <w:lang w:val="en-US"/>
        </w:rPr>
        <w:lastRenderedPageBreak/>
        <w:t>flows scaled by</w:t>
      </w:r>
      <w:r w:rsidR="00681A6F" w:rsidRPr="008319F4">
        <w:rPr>
          <w:sz w:val="24"/>
          <w:szCs w:val="24"/>
          <w:lang w:val="en-US"/>
        </w:rPr>
        <w:t xml:space="preserve"> firm total assets</w:t>
      </w:r>
      <w:r w:rsidR="00C4301D" w:rsidRPr="008319F4">
        <w:rPr>
          <w:sz w:val="24"/>
          <w:szCs w:val="24"/>
          <w:lang w:val="en-US"/>
        </w:rPr>
        <w:t xml:space="preserve"> (CF)</w:t>
      </w:r>
      <w:r w:rsidR="00681A6F" w:rsidRPr="008319F4">
        <w:rPr>
          <w:sz w:val="24"/>
          <w:szCs w:val="24"/>
          <w:lang w:val="en-US"/>
        </w:rPr>
        <w:t xml:space="preserve">. </w:t>
      </w:r>
      <w:r w:rsidRPr="008319F4">
        <w:rPr>
          <w:sz w:val="24"/>
          <w:szCs w:val="24"/>
          <w:lang w:val="en-US"/>
        </w:rPr>
        <w:t xml:space="preserve"> </w:t>
      </w:r>
      <w:r w:rsidR="003B7A87" w:rsidRPr="008319F4">
        <w:rPr>
          <w:sz w:val="24"/>
          <w:szCs w:val="24"/>
          <w:lang w:val="en-US"/>
        </w:rPr>
        <w:t>Growth fi</w:t>
      </w:r>
      <w:r w:rsidR="00FE255B" w:rsidRPr="008319F4">
        <w:rPr>
          <w:sz w:val="24"/>
          <w:szCs w:val="24"/>
          <w:lang w:val="en-US"/>
        </w:rPr>
        <w:t xml:space="preserve">rms </w:t>
      </w:r>
      <w:r w:rsidR="003B7A87" w:rsidRPr="008319F4">
        <w:rPr>
          <w:sz w:val="24"/>
          <w:szCs w:val="24"/>
          <w:lang w:val="en-US"/>
        </w:rPr>
        <w:t>tend to ha</w:t>
      </w:r>
      <w:r w:rsidR="00410A8D" w:rsidRPr="008319F4">
        <w:rPr>
          <w:sz w:val="24"/>
          <w:szCs w:val="24"/>
          <w:lang w:val="en-US"/>
        </w:rPr>
        <w:t xml:space="preserve">ve less retained earnings, fewer </w:t>
      </w:r>
      <w:r w:rsidR="00133580" w:rsidRPr="008319F4">
        <w:rPr>
          <w:sz w:val="24"/>
          <w:szCs w:val="24"/>
          <w:lang w:val="en-US"/>
        </w:rPr>
        <w:t>dividends and lower</w:t>
      </w:r>
      <w:r w:rsidR="003B7A87" w:rsidRPr="008319F4">
        <w:rPr>
          <w:sz w:val="24"/>
          <w:szCs w:val="24"/>
          <w:lang w:val="en-US"/>
        </w:rPr>
        <w:t xml:space="preserve"> cash flo</w:t>
      </w:r>
      <w:r w:rsidR="00133580" w:rsidRPr="008319F4">
        <w:rPr>
          <w:sz w:val="24"/>
          <w:szCs w:val="24"/>
          <w:lang w:val="en-US"/>
        </w:rPr>
        <w:t xml:space="preserve">ws than </w:t>
      </w:r>
      <w:r w:rsidR="003B7A87" w:rsidRPr="008319F4">
        <w:rPr>
          <w:sz w:val="24"/>
          <w:szCs w:val="24"/>
          <w:lang w:val="en-US"/>
        </w:rPr>
        <w:t>mature firms</w:t>
      </w:r>
      <w:r w:rsidR="00C4301D" w:rsidRPr="008319F4">
        <w:rPr>
          <w:sz w:val="24"/>
          <w:szCs w:val="24"/>
          <w:lang w:val="en-US"/>
        </w:rPr>
        <w:t xml:space="preserve"> (s</w:t>
      </w:r>
      <w:r w:rsidR="003020C5" w:rsidRPr="008319F4">
        <w:rPr>
          <w:sz w:val="24"/>
          <w:szCs w:val="24"/>
          <w:lang w:val="en-US"/>
        </w:rPr>
        <w:t xml:space="preserve">ee </w:t>
      </w:r>
      <w:r w:rsidR="00062B0C" w:rsidRPr="008319F4">
        <w:rPr>
          <w:sz w:val="24"/>
          <w:szCs w:val="24"/>
          <w:lang w:val="en-US"/>
        </w:rPr>
        <w:t xml:space="preserve">Anthony and Ramesh, 1992; </w:t>
      </w:r>
      <w:r w:rsidR="000577FD" w:rsidRPr="008319F4">
        <w:rPr>
          <w:sz w:val="24"/>
          <w:szCs w:val="24"/>
          <w:lang w:val="en-US"/>
        </w:rPr>
        <w:t>DeAngelo et al</w:t>
      </w:r>
      <w:r w:rsidR="001D056C" w:rsidRPr="008319F4">
        <w:rPr>
          <w:sz w:val="24"/>
          <w:szCs w:val="24"/>
          <w:lang w:val="en-US"/>
        </w:rPr>
        <w:t>.</w:t>
      </w:r>
      <w:r w:rsidR="003020C5" w:rsidRPr="008319F4">
        <w:rPr>
          <w:sz w:val="24"/>
          <w:szCs w:val="24"/>
          <w:lang w:val="en-US"/>
        </w:rPr>
        <w:t>,</w:t>
      </w:r>
      <w:r w:rsidR="000577FD" w:rsidRPr="008319F4">
        <w:rPr>
          <w:sz w:val="24"/>
          <w:szCs w:val="24"/>
          <w:lang w:val="en-US"/>
        </w:rPr>
        <w:t xml:space="preserve"> 2006</w:t>
      </w:r>
      <w:r w:rsidR="003020C5" w:rsidRPr="008319F4">
        <w:rPr>
          <w:sz w:val="24"/>
          <w:szCs w:val="24"/>
          <w:lang w:val="en-US"/>
        </w:rPr>
        <w:t>;</w:t>
      </w:r>
      <w:r w:rsidR="000577FD" w:rsidRPr="008319F4">
        <w:rPr>
          <w:sz w:val="24"/>
          <w:szCs w:val="24"/>
          <w:lang w:val="en-US"/>
        </w:rPr>
        <w:t xml:space="preserve"> </w:t>
      </w:r>
      <w:r w:rsidR="0003202E" w:rsidRPr="008319F4">
        <w:rPr>
          <w:sz w:val="24"/>
          <w:szCs w:val="24"/>
          <w:lang w:val="en-US"/>
        </w:rPr>
        <w:t>Dickinson</w:t>
      </w:r>
      <w:r w:rsidR="003020C5" w:rsidRPr="008319F4">
        <w:rPr>
          <w:sz w:val="24"/>
          <w:szCs w:val="24"/>
          <w:lang w:val="en-US"/>
        </w:rPr>
        <w:t>,</w:t>
      </w:r>
      <w:r w:rsidR="00CD0A2F" w:rsidRPr="008319F4">
        <w:rPr>
          <w:sz w:val="24"/>
          <w:szCs w:val="24"/>
          <w:lang w:val="en-US"/>
        </w:rPr>
        <w:t xml:space="preserve"> 2011</w:t>
      </w:r>
      <w:r w:rsidR="003020C5" w:rsidRPr="008319F4">
        <w:rPr>
          <w:sz w:val="24"/>
          <w:szCs w:val="24"/>
          <w:lang w:val="en-US"/>
        </w:rPr>
        <w:t>)</w:t>
      </w:r>
      <w:r w:rsidR="00793246" w:rsidRPr="008319F4">
        <w:rPr>
          <w:sz w:val="24"/>
          <w:szCs w:val="24"/>
          <w:lang w:val="en-US"/>
        </w:rPr>
        <w:t>. Using US data from 1963 to 2011, we show, by comparing the hedge returns of asset growth sorted portfolio for growth and mature firms, that growth firms have a stronger asset growth anomaly. By sorting asset growth within growth firms and mature firms, the annualized return difference between g</w:t>
      </w:r>
      <w:r w:rsidR="00062B0C" w:rsidRPr="008319F4">
        <w:rPr>
          <w:sz w:val="24"/>
          <w:szCs w:val="24"/>
          <w:lang w:val="en-US"/>
        </w:rPr>
        <w:t>rowth firms and mature firms is</w:t>
      </w:r>
      <w:r w:rsidR="00793246" w:rsidRPr="008319F4">
        <w:rPr>
          <w:sz w:val="24"/>
          <w:szCs w:val="24"/>
          <w:lang w:val="en-US"/>
        </w:rPr>
        <w:t xml:space="preserve"> 20%, </w:t>
      </w:r>
      <w:r w:rsidR="00793246" w:rsidRPr="00D9200C">
        <w:rPr>
          <w:noProof/>
          <w:sz w:val="24"/>
          <w:szCs w:val="24"/>
          <w:lang w:val="en-US"/>
        </w:rPr>
        <w:t>18%</w:t>
      </w:r>
      <w:r w:rsidR="00793246" w:rsidRPr="008319F4">
        <w:rPr>
          <w:sz w:val="24"/>
          <w:szCs w:val="24"/>
          <w:lang w:val="en-US"/>
        </w:rPr>
        <w:t xml:space="preserve"> and 13% respectively for three proxies of growth type--RE, DIV and CF. The </w:t>
      </w:r>
      <w:r w:rsidR="00092028" w:rsidRPr="008319F4">
        <w:rPr>
          <w:sz w:val="24"/>
          <w:szCs w:val="24"/>
          <w:lang w:val="en-US"/>
        </w:rPr>
        <w:t xml:space="preserve">Fama-MacBeth </w:t>
      </w:r>
      <w:r w:rsidR="00793246" w:rsidRPr="008319F4">
        <w:rPr>
          <w:sz w:val="24"/>
          <w:szCs w:val="24"/>
          <w:lang w:val="en-US"/>
        </w:rPr>
        <w:t xml:space="preserve">regression results </w:t>
      </w:r>
      <w:r w:rsidR="00062B0C" w:rsidRPr="008319F4">
        <w:rPr>
          <w:sz w:val="24"/>
          <w:szCs w:val="24"/>
          <w:lang w:val="en-US"/>
        </w:rPr>
        <w:t>provide</w:t>
      </w:r>
      <w:r w:rsidR="001D056C" w:rsidRPr="008319F4">
        <w:rPr>
          <w:sz w:val="24"/>
          <w:szCs w:val="24"/>
          <w:lang w:val="en-US"/>
        </w:rPr>
        <w:t xml:space="preserve"> further support</w:t>
      </w:r>
      <w:r w:rsidR="00062B0C" w:rsidRPr="008319F4">
        <w:rPr>
          <w:sz w:val="24"/>
          <w:szCs w:val="24"/>
          <w:lang w:val="en-US"/>
        </w:rPr>
        <w:t>.  For example, they show</w:t>
      </w:r>
      <w:r w:rsidR="00092028" w:rsidRPr="008319F4">
        <w:rPr>
          <w:sz w:val="24"/>
          <w:szCs w:val="24"/>
          <w:lang w:val="en-US"/>
        </w:rPr>
        <w:t xml:space="preserve"> </w:t>
      </w:r>
      <w:r w:rsidR="00793246" w:rsidRPr="008319F4">
        <w:rPr>
          <w:sz w:val="24"/>
          <w:szCs w:val="24"/>
          <w:lang w:val="en-US"/>
        </w:rPr>
        <w:t>that the slope of asset growth for growth firm</w:t>
      </w:r>
      <w:r w:rsidR="00C4301D" w:rsidRPr="008319F4">
        <w:rPr>
          <w:sz w:val="24"/>
          <w:szCs w:val="24"/>
          <w:lang w:val="en-US"/>
        </w:rPr>
        <w:t>s</w:t>
      </w:r>
      <w:r w:rsidR="00062B0C" w:rsidRPr="008319F4">
        <w:rPr>
          <w:sz w:val="24"/>
          <w:szCs w:val="24"/>
          <w:lang w:val="en-US"/>
        </w:rPr>
        <w:t xml:space="preserve"> is -</w:t>
      </w:r>
      <w:r w:rsidR="00793246" w:rsidRPr="008319F4">
        <w:rPr>
          <w:sz w:val="24"/>
          <w:szCs w:val="24"/>
          <w:lang w:val="en-US"/>
        </w:rPr>
        <w:t>0.0124</w:t>
      </w:r>
      <w:r w:rsidR="00062B0C" w:rsidRPr="008319F4">
        <w:rPr>
          <w:sz w:val="24"/>
          <w:szCs w:val="24"/>
          <w:lang w:val="en-US"/>
        </w:rPr>
        <w:t xml:space="preserve">, </w:t>
      </w:r>
      <w:r w:rsidR="00793246" w:rsidRPr="008319F4">
        <w:rPr>
          <w:sz w:val="24"/>
          <w:szCs w:val="24"/>
          <w:lang w:val="en-US"/>
        </w:rPr>
        <w:t xml:space="preserve">while it is -0.0042 for mature firms when </w:t>
      </w:r>
      <w:r w:rsidR="00F53A33" w:rsidRPr="008319F4">
        <w:rPr>
          <w:sz w:val="24"/>
          <w:szCs w:val="24"/>
          <w:lang w:val="en-US"/>
        </w:rPr>
        <w:t xml:space="preserve">the </w:t>
      </w:r>
      <w:r w:rsidR="00793246" w:rsidRPr="008319F4">
        <w:rPr>
          <w:sz w:val="24"/>
          <w:szCs w:val="24"/>
          <w:lang w:val="en-US"/>
        </w:rPr>
        <w:t>growth type proxy is RE.</w:t>
      </w:r>
      <w:r w:rsidR="001D056C" w:rsidRPr="008319F4">
        <w:rPr>
          <w:sz w:val="24"/>
          <w:szCs w:val="24"/>
          <w:lang w:val="en-US"/>
        </w:rPr>
        <w:t xml:space="preserve"> </w:t>
      </w:r>
    </w:p>
    <w:p w14:paraId="5F0AEDEA" w14:textId="2CEF7EB9" w:rsidR="00624B63" w:rsidRPr="008319F4" w:rsidRDefault="00727CD2" w:rsidP="00913E65">
      <w:pPr>
        <w:spacing w:line="480" w:lineRule="auto"/>
        <w:ind w:firstLine="720"/>
        <w:jc w:val="both"/>
        <w:rPr>
          <w:sz w:val="24"/>
          <w:szCs w:val="24"/>
          <w:lang w:val="en-US"/>
        </w:rPr>
      </w:pPr>
      <w:r w:rsidRPr="008319F4">
        <w:rPr>
          <w:sz w:val="24"/>
          <w:szCs w:val="24"/>
          <w:lang w:val="en-US"/>
        </w:rPr>
        <w:t xml:space="preserve">To test the second hypothesis, we construct </w:t>
      </w:r>
      <w:r w:rsidR="00D95033" w:rsidRPr="008319F4">
        <w:rPr>
          <w:sz w:val="24"/>
          <w:szCs w:val="24"/>
          <w:lang w:val="en-US"/>
        </w:rPr>
        <w:t xml:space="preserve">four </w:t>
      </w:r>
      <w:r w:rsidRPr="008319F4">
        <w:rPr>
          <w:sz w:val="24"/>
          <w:szCs w:val="24"/>
          <w:lang w:val="en-US"/>
        </w:rPr>
        <w:t xml:space="preserve">asset growth sequence portfolios for high </w:t>
      </w:r>
      <w:r w:rsidR="00D95033" w:rsidRPr="008319F4">
        <w:rPr>
          <w:sz w:val="24"/>
          <w:szCs w:val="24"/>
          <w:lang w:val="en-US"/>
        </w:rPr>
        <w:t xml:space="preserve">and </w:t>
      </w:r>
      <w:r w:rsidR="0078006B" w:rsidRPr="008319F4">
        <w:rPr>
          <w:sz w:val="24"/>
          <w:szCs w:val="24"/>
          <w:lang w:val="en-US"/>
        </w:rPr>
        <w:t xml:space="preserve">low </w:t>
      </w:r>
      <w:r w:rsidRPr="008319F4">
        <w:rPr>
          <w:sz w:val="24"/>
          <w:szCs w:val="24"/>
          <w:lang w:val="en-US"/>
        </w:rPr>
        <w:t>asset growth firms</w:t>
      </w:r>
      <w:r w:rsidR="00D95033" w:rsidRPr="008319F4">
        <w:rPr>
          <w:sz w:val="24"/>
          <w:szCs w:val="24"/>
          <w:lang w:val="en-US"/>
        </w:rPr>
        <w:t xml:space="preserve"> respectively.  For high asset growth sequence portfolios, we construct four portfolios for firms that experience high asset growth (in </w:t>
      </w:r>
      <w:r w:rsidR="001D056C" w:rsidRPr="008319F4">
        <w:rPr>
          <w:sz w:val="24"/>
          <w:szCs w:val="24"/>
          <w:lang w:val="en-US"/>
        </w:rPr>
        <w:t xml:space="preserve">the </w:t>
      </w:r>
      <w:r w:rsidR="00D95033" w:rsidRPr="008319F4">
        <w:rPr>
          <w:sz w:val="24"/>
          <w:szCs w:val="24"/>
          <w:lang w:val="en-US"/>
        </w:rPr>
        <w:t>top t</w:t>
      </w:r>
      <w:r w:rsidR="002E204F" w:rsidRPr="008319F4">
        <w:rPr>
          <w:sz w:val="24"/>
          <w:szCs w:val="24"/>
          <w:lang w:val="en-US"/>
        </w:rPr>
        <w:t xml:space="preserve">wo asset growth deciles) in one </w:t>
      </w:r>
      <w:r w:rsidR="00D95033" w:rsidRPr="008319F4">
        <w:rPr>
          <w:sz w:val="24"/>
          <w:szCs w:val="24"/>
          <w:lang w:val="en-US"/>
        </w:rPr>
        <w:t xml:space="preserve">year and consecutively for two, three, and four years respectively.  The four low asset growth sequences are constructed similarly. </w:t>
      </w:r>
      <w:r w:rsidR="00031E20" w:rsidRPr="008319F4">
        <w:rPr>
          <w:sz w:val="24"/>
          <w:szCs w:val="24"/>
          <w:lang w:val="en-US"/>
        </w:rPr>
        <w:t>W</w:t>
      </w:r>
      <w:r w:rsidR="008C6529" w:rsidRPr="008319F4">
        <w:rPr>
          <w:sz w:val="24"/>
          <w:szCs w:val="24"/>
          <w:lang w:val="en-US"/>
        </w:rPr>
        <w:t xml:space="preserve">e </w:t>
      </w:r>
      <w:r w:rsidR="00031E20" w:rsidRPr="008319F4">
        <w:rPr>
          <w:sz w:val="24"/>
          <w:szCs w:val="24"/>
          <w:lang w:val="en-US"/>
        </w:rPr>
        <w:t>find, by comparing the slope of</w:t>
      </w:r>
      <w:r w:rsidR="002E204F" w:rsidRPr="008319F4">
        <w:rPr>
          <w:sz w:val="24"/>
          <w:szCs w:val="24"/>
          <w:lang w:val="en-US"/>
        </w:rPr>
        <w:t xml:space="preserve"> each growth sequence portfolio,</w:t>
      </w:r>
      <w:r w:rsidR="00031E20" w:rsidRPr="008319F4">
        <w:rPr>
          <w:sz w:val="24"/>
          <w:szCs w:val="24"/>
          <w:lang w:val="en-US"/>
        </w:rPr>
        <w:t xml:space="preserve"> </w:t>
      </w:r>
      <w:r w:rsidR="008C6529" w:rsidRPr="008319F4">
        <w:rPr>
          <w:sz w:val="24"/>
          <w:szCs w:val="24"/>
          <w:lang w:val="en-US"/>
        </w:rPr>
        <w:t>that as the a</w:t>
      </w:r>
      <w:r w:rsidR="00031E20" w:rsidRPr="008319F4">
        <w:rPr>
          <w:sz w:val="24"/>
          <w:szCs w:val="24"/>
          <w:lang w:val="en-US"/>
        </w:rPr>
        <w:t xml:space="preserve">sset growth sequence increases the </w:t>
      </w:r>
      <w:r w:rsidR="008C6529" w:rsidRPr="008319F4">
        <w:rPr>
          <w:sz w:val="24"/>
          <w:szCs w:val="24"/>
          <w:lang w:val="en-US"/>
        </w:rPr>
        <w:t>asset growth anomaly becomes s</w:t>
      </w:r>
      <w:r w:rsidR="00031E20" w:rsidRPr="008319F4">
        <w:rPr>
          <w:sz w:val="24"/>
          <w:szCs w:val="24"/>
          <w:lang w:val="en-US"/>
        </w:rPr>
        <w:t>tronger</w:t>
      </w:r>
      <w:r w:rsidR="008C6529" w:rsidRPr="008319F4">
        <w:rPr>
          <w:sz w:val="24"/>
          <w:szCs w:val="24"/>
          <w:lang w:val="en-US"/>
        </w:rPr>
        <w:t xml:space="preserve">. </w:t>
      </w:r>
      <w:r w:rsidR="00624B63" w:rsidRPr="008319F4">
        <w:rPr>
          <w:sz w:val="24"/>
          <w:szCs w:val="24"/>
          <w:lang w:val="en-US"/>
        </w:rPr>
        <w:t xml:space="preserve"> This is especially the case for high-growth sequence</w:t>
      </w:r>
      <w:r w:rsidR="00233695" w:rsidRPr="008319F4">
        <w:rPr>
          <w:sz w:val="24"/>
          <w:szCs w:val="24"/>
          <w:lang w:val="en-US"/>
        </w:rPr>
        <w:t>s</w:t>
      </w:r>
      <w:r w:rsidR="00624B63" w:rsidRPr="008319F4">
        <w:rPr>
          <w:sz w:val="24"/>
          <w:szCs w:val="24"/>
          <w:lang w:val="en-US"/>
        </w:rPr>
        <w:t xml:space="preserve">.  </w:t>
      </w:r>
      <w:r w:rsidR="008C6529" w:rsidRPr="008319F4">
        <w:rPr>
          <w:sz w:val="24"/>
          <w:szCs w:val="24"/>
          <w:lang w:val="en-US"/>
        </w:rPr>
        <w:t>In addition to univariate test</w:t>
      </w:r>
      <w:r w:rsidR="00031E20" w:rsidRPr="008319F4">
        <w:rPr>
          <w:sz w:val="24"/>
          <w:szCs w:val="24"/>
          <w:lang w:val="en-US"/>
        </w:rPr>
        <w:t>s</w:t>
      </w:r>
      <w:r w:rsidR="008C6529" w:rsidRPr="008319F4">
        <w:rPr>
          <w:sz w:val="24"/>
          <w:szCs w:val="24"/>
          <w:lang w:val="en-US"/>
        </w:rPr>
        <w:t>, we further e</w:t>
      </w:r>
      <w:r w:rsidR="003938C5" w:rsidRPr="008319F4">
        <w:rPr>
          <w:sz w:val="24"/>
          <w:szCs w:val="24"/>
          <w:lang w:val="en-US"/>
        </w:rPr>
        <w:t>xamine the interactive effect between</w:t>
      </w:r>
      <w:r w:rsidR="008C6529" w:rsidRPr="008319F4">
        <w:rPr>
          <w:sz w:val="24"/>
          <w:szCs w:val="24"/>
          <w:lang w:val="en-US"/>
        </w:rPr>
        <w:t xml:space="preserve"> growth type and </w:t>
      </w:r>
      <w:r w:rsidR="003938C5" w:rsidRPr="008319F4">
        <w:rPr>
          <w:sz w:val="24"/>
          <w:szCs w:val="24"/>
          <w:lang w:val="en-US"/>
        </w:rPr>
        <w:t xml:space="preserve">asset </w:t>
      </w:r>
      <w:r w:rsidR="008C6529" w:rsidRPr="008319F4">
        <w:rPr>
          <w:sz w:val="24"/>
          <w:szCs w:val="24"/>
          <w:lang w:val="en-US"/>
        </w:rPr>
        <w:t xml:space="preserve">growth </w:t>
      </w:r>
      <w:r w:rsidR="003938C5" w:rsidRPr="008319F4">
        <w:rPr>
          <w:sz w:val="24"/>
          <w:szCs w:val="24"/>
          <w:lang w:val="en-US"/>
        </w:rPr>
        <w:t>and between</w:t>
      </w:r>
      <w:r w:rsidR="006C6FA4" w:rsidRPr="008319F4">
        <w:rPr>
          <w:sz w:val="24"/>
          <w:szCs w:val="24"/>
          <w:lang w:val="en-US"/>
        </w:rPr>
        <w:t xml:space="preserve"> the</w:t>
      </w:r>
      <w:r w:rsidR="003938C5" w:rsidRPr="008319F4">
        <w:rPr>
          <w:sz w:val="24"/>
          <w:szCs w:val="24"/>
          <w:lang w:val="en-US"/>
        </w:rPr>
        <w:t xml:space="preserve"> growth </w:t>
      </w:r>
      <w:r w:rsidR="008C6529" w:rsidRPr="008319F4">
        <w:rPr>
          <w:sz w:val="24"/>
          <w:szCs w:val="24"/>
          <w:lang w:val="en-US"/>
        </w:rPr>
        <w:t>sequence</w:t>
      </w:r>
      <w:r w:rsidR="003938C5" w:rsidRPr="008319F4">
        <w:rPr>
          <w:sz w:val="24"/>
          <w:szCs w:val="24"/>
          <w:lang w:val="en-US"/>
        </w:rPr>
        <w:t xml:space="preserve"> and asset growth</w:t>
      </w:r>
      <w:r w:rsidR="008C6529" w:rsidRPr="008319F4">
        <w:rPr>
          <w:sz w:val="24"/>
          <w:szCs w:val="24"/>
          <w:lang w:val="en-US"/>
        </w:rPr>
        <w:t xml:space="preserve"> after controlling </w:t>
      </w:r>
      <w:r w:rsidR="00624B63" w:rsidRPr="008319F4">
        <w:rPr>
          <w:sz w:val="24"/>
          <w:szCs w:val="24"/>
          <w:lang w:val="en-US"/>
        </w:rPr>
        <w:t>for the two prominent explanations</w:t>
      </w:r>
      <w:r w:rsidR="003257FA" w:rsidRPr="008319F4">
        <w:rPr>
          <w:sz w:val="24"/>
          <w:szCs w:val="24"/>
          <w:lang w:val="en-US"/>
        </w:rPr>
        <w:t xml:space="preserve"> of the asset growth anomaly</w:t>
      </w:r>
      <w:r w:rsidR="00624B63" w:rsidRPr="008319F4">
        <w:rPr>
          <w:sz w:val="24"/>
          <w:szCs w:val="24"/>
          <w:lang w:val="en-US"/>
        </w:rPr>
        <w:t>—limits-to-arbitrage and q theory with investment frictions.  We use five limits-to-arbitrage proxies including idiosyncratic volatility, bid-ask spread, analyst coverage, dispersion of analyst</w:t>
      </w:r>
      <w:r w:rsidR="002E204F" w:rsidRPr="008319F4">
        <w:rPr>
          <w:sz w:val="24"/>
          <w:szCs w:val="24"/>
          <w:lang w:val="en-US"/>
        </w:rPr>
        <w:t>s’</w:t>
      </w:r>
      <w:r w:rsidR="00624B63" w:rsidRPr="008319F4">
        <w:rPr>
          <w:sz w:val="24"/>
          <w:szCs w:val="24"/>
          <w:lang w:val="en-US"/>
        </w:rPr>
        <w:t xml:space="preserve"> forecast</w:t>
      </w:r>
      <w:r w:rsidR="002E204F" w:rsidRPr="008319F4">
        <w:rPr>
          <w:sz w:val="24"/>
          <w:szCs w:val="24"/>
          <w:lang w:val="en-US"/>
        </w:rPr>
        <w:t>s</w:t>
      </w:r>
      <w:r w:rsidR="00624B63" w:rsidRPr="008319F4">
        <w:rPr>
          <w:sz w:val="24"/>
          <w:szCs w:val="24"/>
          <w:lang w:val="en-US"/>
        </w:rPr>
        <w:t xml:space="preserve"> and dollar trading volume and two investment frictions proxies including firm age and firm total assets. </w:t>
      </w:r>
      <w:r w:rsidR="003938C5" w:rsidRPr="008319F4">
        <w:rPr>
          <w:sz w:val="24"/>
          <w:szCs w:val="24"/>
          <w:lang w:val="en-US"/>
        </w:rPr>
        <w:t>In</w:t>
      </w:r>
      <w:r w:rsidR="006C6FA4" w:rsidRPr="008319F4">
        <w:rPr>
          <w:sz w:val="24"/>
          <w:szCs w:val="24"/>
          <w:lang w:val="en-US"/>
        </w:rPr>
        <w:t xml:space="preserve"> the</w:t>
      </w:r>
      <w:r w:rsidR="003938C5" w:rsidRPr="008319F4">
        <w:rPr>
          <w:sz w:val="24"/>
          <w:szCs w:val="24"/>
          <w:lang w:val="en-US"/>
        </w:rPr>
        <w:t xml:space="preserve"> majority </w:t>
      </w:r>
      <w:r w:rsidR="006C6FA4" w:rsidRPr="008319F4">
        <w:rPr>
          <w:sz w:val="24"/>
          <w:szCs w:val="24"/>
          <w:lang w:val="en-US"/>
        </w:rPr>
        <w:t xml:space="preserve">of </w:t>
      </w:r>
      <w:r w:rsidR="003938C5" w:rsidRPr="008319F4">
        <w:rPr>
          <w:sz w:val="24"/>
          <w:szCs w:val="24"/>
          <w:lang w:val="en-US"/>
        </w:rPr>
        <w:t>cases</w:t>
      </w:r>
      <w:r w:rsidR="006C6FA4" w:rsidRPr="008319F4">
        <w:rPr>
          <w:sz w:val="24"/>
          <w:szCs w:val="24"/>
          <w:lang w:val="en-US"/>
        </w:rPr>
        <w:t>, t</w:t>
      </w:r>
      <w:r w:rsidR="003938C5" w:rsidRPr="008319F4">
        <w:rPr>
          <w:sz w:val="24"/>
          <w:szCs w:val="24"/>
          <w:lang w:val="en-US"/>
        </w:rPr>
        <w:t>he evidence suggests that growth firm</w:t>
      </w:r>
      <w:r w:rsidR="006C6FA4" w:rsidRPr="008319F4">
        <w:rPr>
          <w:sz w:val="24"/>
          <w:szCs w:val="24"/>
          <w:lang w:val="en-US"/>
        </w:rPr>
        <w:t>s</w:t>
      </w:r>
      <w:r w:rsidR="003938C5" w:rsidRPr="008319F4">
        <w:rPr>
          <w:sz w:val="24"/>
          <w:szCs w:val="24"/>
          <w:lang w:val="en-US"/>
        </w:rPr>
        <w:t xml:space="preserve"> and longer </w:t>
      </w:r>
      <w:r w:rsidR="006C6FA4" w:rsidRPr="008319F4">
        <w:rPr>
          <w:sz w:val="24"/>
          <w:szCs w:val="24"/>
          <w:lang w:val="en-US"/>
        </w:rPr>
        <w:t xml:space="preserve">growth </w:t>
      </w:r>
      <w:r w:rsidR="003938C5" w:rsidRPr="008319F4">
        <w:rPr>
          <w:sz w:val="24"/>
          <w:szCs w:val="24"/>
          <w:lang w:val="en-US"/>
        </w:rPr>
        <w:t>sequence</w:t>
      </w:r>
      <w:r w:rsidR="006C6FA4" w:rsidRPr="008319F4">
        <w:rPr>
          <w:sz w:val="24"/>
          <w:szCs w:val="24"/>
          <w:lang w:val="en-US"/>
        </w:rPr>
        <w:t>s</w:t>
      </w:r>
      <w:r w:rsidR="003938C5" w:rsidRPr="008319F4">
        <w:rPr>
          <w:sz w:val="24"/>
          <w:szCs w:val="24"/>
          <w:lang w:val="en-US"/>
        </w:rPr>
        <w:t xml:space="preserve"> make </w:t>
      </w:r>
      <w:r w:rsidR="006C6FA4" w:rsidRPr="008319F4">
        <w:rPr>
          <w:sz w:val="24"/>
          <w:szCs w:val="24"/>
          <w:lang w:val="en-US"/>
        </w:rPr>
        <w:t xml:space="preserve">the </w:t>
      </w:r>
      <w:r w:rsidR="003938C5" w:rsidRPr="008319F4">
        <w:rPr>
          <w:sz w:val="24"/>
          <w:szCs w:val="24"/>
          <w:lang w:val="en-US"/>
        </w:rPr>
        <w:lastRenderedPageBreak/>
        <w:t>asset growth anomaly stronger.</w:t>
      </w:r>
      <w:r w:rsidR="006E223A" w:rsidRPr="008319F4">
        <w:rPr>
          <w:sz w:val="24"/>
          <w:szCs w:val="24"/>
          <w:lang w:val="en-US"/>
        </w:rPr>
        <w:t xml:space="preserve"> </w:t>
      </w:r>
      <w:r w:rsidR="00624B63" w:rsidRPr="008319F4">
        <w:rPr>
          <w:sz w:val="24"/>
          <w:szCs w:val="24"/>
          <w:lang w:val="en-US"/>
        </w:rPr>
        <w:t>The evi</w:t>
      </w:r>
      <w:r w:rsidR="00233695" w:rsidRPr="008319F4">
        <w:rPr>
          <w:sz w:val="24"/>
          <w:szCs w:val="24"/>
          <w:lang w:val="en-US"/>
        </w:rPr>
        <w:t>dence of investor over</w:t>
      </w:r>
      <w:r w:rsidR="00624B63" w:rsidRPr="008319F4">
        <w:rPr>
          <w:sz w:val="24"/>
          <w:szCs w:val="24"/>
          <w:lang w:val="en-US"/>
        </w:rPr>
        <w:t>r</w:t>
      </w:r>
      <w:r w:rsidR="00233695" w:rsidRPr="008319F4">
        <w:rPr>
          <w:sz w:val="24"/>
          <w:szCs w:val="24"/>
          <w:lang w:val="en-US"/>
        </w:rPr>
        <w:t>e</w:t>
      </w:r>
      <w:r w:rsidR="00624B63" w:rsidRPr="008319F4">
        <w:rPr>
          <w:sz w:val="24"/>
          <w:szCs w:val="24"/>
          <w:lang w:val="en-US"/>
        </w:rPr>
        <w:t>action only to positive sequence</w:t>
      </w:r>
      <w:r w:rsidR="00233695" w:rsidRPr="008319F4">
        <w:rPr>
          <w:sz w:val="24"/>
          <w:szCs w:val="24"/>
          <w:lang w:val="en-US"/>
        </w:rPr>
        <w:t>s</w:t>
      </w:r>
      <w:r w:rsidR="00624B63" w:rsidRPr="008319F4">
        <w:rPr>
          <w:sz w:val="24"/>
          <w:szCs w:val="24"/>
          <w:lang w:val="en-US"/>
        </w:rPr>
        <w:t xml:space="preserve"> b</w:t>
      </w:r>
      <w:r w:rsidR="00233695" w:rsidRPr="008319F4">
        <w:rPr>
          <w:sz w:val="24"/>
          <w:szCs w:val="24"/>
          <w:lang w:val="en-US"/>
        </w:rPr>
        <w:t xml:space="preserve">ut not to the negative sequences </w:t>
      </w:r>
      <w:r w:rsidR="00624B63" w:rsidRPr="008319F4">
        <w:rPr>
          <w:sz w:val="24"/>
          <w:szCs w:val="24"/>
          <w:lang w:val="en-US"/>
        </w:rPr>
        <w:t>provide</w:t>
      </w:r>
      <w:r w:rsidR="00233695" w:rsidRPr="008319F4">
        <w:rPr>
          <w:sz w:val="24"/>
          <w:szCs w:val="24"/>
          <w:lang w:val="en-US"/>
        </w:rPr>
        <w:t>s</w:t>
      </w:r>
      <w:r w:rsidR="00624B63" w:rsidRPr="008319F4">
        <w:rPr>
          <w:sz w:val="24"/>
          <w:szCs w:val="24"/>
          <w:lang w:val="en-US"/>
        </w:rPr>
        <w:t xml:space="preserve"> further support to the argument that it is ‘Growth’ that investors overreact to. </w:t>
      </w:r>
    </w:p>
    <w:p w14:paraId="370321D1" w14:textId="18E40BAF" w:rsidR="00727CD2" w:rsidRPr="008319F4" w:rsidRDefault="006E223A" w:rsidP="00F430F5">
      <w:pPr>
        <w:spacing w:line="480" w:lineRule="auto"/>
        <w:ind w:firstLine="720"/>
        <w:jc w:val="both"/>
        <w:rPr>
          <w:sz w:val="24"/>
          <w:szCs w:val="24"/>
          <w:lang w:val="en-US"/>
        </w:rPr>
      </w:pPr>
      <w:r w:rsidRPr="008319F4">
        <w:rPr>
          <w:sz w:val="24"/>
          <w:szCs w:val="24"/>
          <w:lang w:val="en-US"/>
        </w:rPr>
        <w:t xml:space="preserve">In summary, we find </w:t>
      </w:r>
      <w:r w:rsidR="006C6FA4" w:rsidRPr="008319F4">
        <w:rPr>
          <w:sz w:val="24"/>
          <w:szCs w:val="24"/>
          <w:lang w:val="en-US"/>
        </w:rPr>
        <w:t xml:space="preserve">strong </w:t>
      </w:r>
      <w:r w:rsidRPr="008319F4">
        <w:rPr>
          <w:sz w:val="24"/>
          <w:szCs w:val="24"/>
          <w:lang w:val="en-US"/>
        </w:rPr>
        <w:t xml:space="preserve">evidence to support </w:t>
      </w:r>
      <w:r w:rsidR="006C6FA4" w:rsidRPr="008319F4">
        <w:rPr>
          <w:sz w:val="24"/>
          <w:szCs w:val="24"/>
          <w:lang w:val="en-US"/>
        </w:rPr>
        <w:t>the overreaction explanation of the</w:t>
      </w:r>
      <w:r w:rsidRPr="008319F4">
        <w:rPr>
          <w:sz w:val="24"/>
          <w:szCs w:val="24"/>
          <w:lang w:val="en-US"/>
        </w:rPr>
        <w:t xml:space="preserve"> asset growth anomaly</w:t>
      </w:r>
      <w:r w:rsidR="00F430F5" w:rsidRPr="008319F4">
        <w:rPr>
          <w:sz w:val="24"/>
          <w:szCs w:val="24"/>
          <w:lang w:val="en-US"/>
        </w:rPr>
        <w:t xml:space="preserve">. </w:t>
      </w:r>
      <w:r w:rsidR="00727CD2" w:rsidRPr="008319F4">
        <w:rPr>
          <w:sz w:val="24"/>
          <w:szCs w:val="24"/>
          <w:lang w:val="en-US"/>
        </w:rPr>
        <w:t>Our paper contribut</w:t>
      </w:r>
      <w:r w:rsidR="00F41F88" w:rsidRPr="008319F4">
        <w:rPr>
          <w:sz w:val="24"/>
          <w:szCs w:val="24"/>
          <w:lang w:val="en-US"/>
        </w:rPr>
        <w:t>es</w:t>
      </w:r>
      <w:r w:rsidR="00727CD2" w:rsidRPr="008319F4">
        <w:rPr>
          <w:sz w:val="24"/>
          <w:szCs w:val="24"/>
          <w:lang w:val="en-US"/>
        </w:rPr>
        <w:t xml:space="preserve"> to the literature in the following ways. </w:t>
      </w:r>
      <w:r w:rsidR="00624B63" w:rsidRPr="008319F4">
        <w:rPr>
          <w:sz w:val="24"/>
          <w:szCs w:val="24"/>
          <w:lang w:val="en-US"/>
        </w:rPr>
        <w:t>Compleme</w:t>
      </w:r>
      <w:r w:rsidR="00233695" w:rsidRPr="008319F4">
        <w:rPr>
          <w:sz w:val="24"/>
          <w:szCs w:val="24"/>
          <w:lang w:val="en-US"/>
        </w:rPr>
        <w:t>nting evidence from Cooper et al.</w:t>
      </w:r>
      <w:r w:rsidR="00624B63" w:rsidRPr="008319F4">
        <w:rPr>
          <w:sz w:val="24"/>
          <w:szCs w:val="24"/>
          <w:lang w:val="en-US"/>
        </w:rPr>
        <w:t xml:space="preserve"> (2008) w</w:t>
      </w:r>
      <w:r w:rsidR="00727CD2" w:rsidRPr="008319F4">
        <w:rPr>
          <w:sz w:val="24"/>
          <w:szCs w:val="24"/>
          <w:lang w:val="en-US"/>
        </w:rPr>
        <w:t xml:space="preserve">e provide strong evidence that </w:t>
      </w:r>
      <w:r w:rsidR="00570ECE" w:rsidRPr="008319F4">
        <w:rPr>
          <w:sz w:val="24"/>
          <w:szCs w:val="24"/>
          <w:lang w:val="en-US"/>
        </w:rPr>
        <w:t xml:space="preserve">a </w:t>
      </w:r>
      <w:r w:rsidR="00727CD2" w:rsidRPr="008319F4">
        <w:rPr>
          <w:sz w:val="24"/>
          <w:szCs w:val="24"/>
          <w:lang w:val="en-US"/>
        </w:rPr>
        <w:t>firm’s growth status affect</w:t>
      </w:r>
      <w:r w:rsidR="00570ECE" w:rsidRPr="008319F4">
        <w:rPr>
          <w:sz w:val="24"/>
          <w:szCs w:val="24"/>
          <w:lang w:val="en-US"/>
        </w:rPr>
        <w:t>s the</w:t>
      </w:r>
      <w:r w:rsidR="00727CD2" w:rsidRPr="008319F4">
        <w:rPr>
          <w:sz w:val="24"/>
          <w:szCs w:val="24"/>
          <w:lang w:val="en-US"/>
        </w:rPr>
        <w:t xml:space="preserve"> </w:t>
      </w:r>
      <w:r w:rsidR="008E61EE" w:rsidRPr="008319F4">
        <w:rPr>
          <w:sz w:val="24"/>
          <w:szCs w:val="24"/>
          <w:lang w:val="en-US"/>
        </w:rPr>
        <w:t xml:space="preserve">reaction </w:t>
      </w:r>
      <w:r w:rsidR="00570ECE" w:rsidRPr="008319F4">
        <w:rPr>
          <w:sz w:val="24"/>
          <w:szCs w:val="24"/>
          <w:lang w:val="en-US"/>
        </w:rPr>
        <w:t xml:space="preserve">of investors to its </w:t>
      </w:r>
      <w:r w:rsidR="008E61EE" w:rsidRPr="008319F4">
        <w:rPr>
          <w:sz w:val="24"/>
          <w:szCs w:val="24"/>
          <w:lang w:val="en-US"/>
        </w:rPr>
        <w:t>news</w:t>
      </w:r>
      <w:r w:rsidR="003033F6" w:rsidRPr="008319F4">
        <w:rPr>
          <w:sz w:val="24"/>
          <w:szCs w:val="24"/>
          <w:lang w:val="en-US"/>
        </w:rPr>
        <w:t xml:space="preserve"> of asset</w:t>
      </w:r>
      <w:r w:rsidR="008E61EE" w:rsidRPr="008319F4">
        <w:rPr>
          <w:sz w:val="24"/>
          <w:szCs w:val="24"/>
          <w:lang w:val="en-US"/>
        </w:rPr>
        <w:t xml:space="preserve"> growth. </w:t>
      </w:r>
      <w:r w:rsidR="00727CD2" w:rsidRPr="008319F4">
        <w:rPr>
          <w:sz w:val="24"/>
          <w:szCs w:val="24"/>
          <w:lang w:val="en-US"/>
        </w:rPr>
        <w:t>More importantly, we pr</w:t>
      </w:r>
      <w:r w:rsidR="00F41F88" w:rsidRPr="008319F4">
        <w:rPr>
          <w:sz w:val="24"/>
          <w:szCs w:val="24"/>
          <w:lang w:val="en-US"/>
        </w:rPr>
        <w:t>ov</w:t>
      </w:r>
      <w:r w:rsidR="00727CD2" w:rsidRPr="008319F4">
        <w:rPr>
          <w:sz w:val="24"/>
          <w:szCs w:val="24"/>
          <w:lang w:val="en-US"/>
        </w:rPr>
        <w:t xml:space="preserve">ide </w:t>
      </w:r>
      <w:r w:rsidR="00F41F88" w:rsidRPr="008319F4">
        <w:rPr>
          <w:sz w:val="24"/>
          <w:szCs w:val="24"/>
          <w:lang w:val="en-US"/>
        </w:rPr>
        <w:t>new</w:t>
      </w:r>
      <w:r w:rsidR="00727CD2" w:rsidRPr="008319F4">
        <w:rPr>
          <w:sz w:val="24"/>
          <w:szCs w:val="24"/>
          <w:lang w:val="en-US"/>
        </w:rPr>
        <w:t xml:space="preserve"> evidence to support that overrea</w:t>
      </w:r>
      <w:r w:rsidR="00565B82" w:rsidRPr="008319F4">
        <w:rPr>
          <w:sz w:val="24"/>
          <w:szCs w:val="24"/>
          <w:lang w:val="en-US"/>
        </w:rPr>
        <w:t>ction is a key driver of the</w:t>
      </w:r>
      <w:r w:rsidR="00727CD2" w:rsidRPr="008319F4">
        <w:rPr>
          <w:sz w:val="24"/>
          <w:szCs w:val="24"/>
          <w:lang w:val="en-US"/>
        </w:rPr>
        <w:t xml:space="preserve"> asset growth </w:t>
      </w:r>
      <w:r w:rsidR="005808F6" w:rsidRPr="008319F4">
        <w:rPr>
          <w:sz w:val="24"/>
          <w:szCs w:val="24"/>
          <w:lang w:val="en-US"/>
        </w:rPr>
        <w:t xml:space="preserve">anomaly. </w:t>
      </w:r>
      <w:r w:rsidR="008E61EE" w:rsidRPr="008319F4">
        <w:rPr>
          <w:sz w:val="24"/>
          <w:szCs w:val="24"/>
          <w:lang w:val="en-US"/>
        </w:rPr>
        <w:t>Therefore, growth type and grow</w:t>
      </w:r>
      <w:r w:rsidR="00570ECE" w:rsidRPr="008319F4">
        <w:rPr>
          <w:sz w:val="24"/>
          <w:szCs w:val="24"/>
          <w:lang w:val="en-US"/>
        </w:rPr>
        <w:t>th sequence</w:t>
      </w:r>
      <w:r w:rsidR="008E61EE" w:rsidRPr="008319F4">
        <w:rPr>
          <w:sz w:val="24"/>
          <w:szCs w:val="24"/>
          <w:lang w:val="en-US"/>
        </w:rPr>
        <w:t xml:space="preserve"> are able to capture investors’ overreaction and provide additional information to explain </w:t>
      </w:r>
      <w:r w:rsidR="00570ECE" w:rsidRPr="008319F4">
        <w:rPr>
          <w:sz w:val="24"/>
          <w:szCs w:val="24"/>
          <w:lang w:val="en-US"/>
        </w:rPr>
        <w:t xml:space="preserve">the </w:t>
      </w:r>
      <w:r w:rsidR="008E61EE" w:rsidRPr="008319F4">
        <w:rPr>
          <w:sz w:val="24"/>
          <w:szCs w:val="24"/>
          <w:lang w:val="en-US"/>
        </w:rPr>
        <w:t>asset growth anomaly</w:t>
      </w:r>
      <w:r w:rsidR="00847A10">
        <w:rPr>
          <w:rStyle w:val="FootnoteReference"/>
          <w:sz w:val="24"/>
          <w:szCs w:val="24"/>
          <w:lang w:val="en-US"/>
        </w:rPr>
        <w:footnoteReference w:id="6"/>
      </w:r>
      <w:r w:rsidR="008E61EE" w:rsidRPr="008319F4">
        <w:rPr>
          <w:sz w:val="24"/>
          <w:szCs w:val="24"/>
          <w:lang w:val="en-US"/>
        </w:rPr>
        <w:t>.</w:t>
      </w:r>
      <w:r w:rsidR="005808F6" w:rsidRPr="008319F4">
        <w:rPr>
          <w:sz w:val="24"/>
          <w:szCs w:val="24"/>
          <w:lang w:val="en-US"/>
        </w:rPr>
        <w:t xml:space="preserve"> </w:t>
      </w:r>
    </w:p>
    <w:p w14:paraId="511E8A62" w14:textId="7DA3019F" w:rsidR="005E0F51" w:rsidRPr="008319F4" w:rsidRDefault="005808F6" w:rsidP="00913E65">
      <w:pPr>
        <w:spacing w:line="480" w:lineRule="auto"/>
        <w:ind w:firstLine="720"/>
        <w:jc w:val="both"/>
        <w:rPr>
          <w:sz w:val="24"/>
          <w:szCs w:val="24"/>
          <w:lang w:val="en-US"/>
        </w:rPr>
      </w:pPr>
      <w:r w:rsidRPr="008319F4">
        <w:rPr>
          <w:sz w:val="24"/>
          <w:szCs w:val="24"/>
          <w:lang w:val="en-US"/>
        </w:rPr>
        <w:t>T</w:t>
      </w:r>
      <w:r w:rsidR="00727CD2" w:rsidRPr="008319F4">
        <w:rPr>
          <w:sz w:val="24"/>
          <w:szCs w:val="24"/>
          <w:lang w:val="en-US"/>
        </w:rPr>
        <w:t>he prior literature related to mispricing explanations mainly test whether firms with different limits-to-arbitrage levels show different degrees of the asset growth anomaly (</w:t>
      </w:r>
      <w:r w:rsidR="00E41C36" w:rsidRPr="008319F4">
        <w:rPr>
          <w:sz w:val="24"/>
          <w:szCs w:val="24"/>
          <w:lang w:val="en-US"/>
        </w:rPr>
        <w:t xml:space="preserve">Lam and Wei, 2011; </w:t>
      </w:r>
      <w:r w:rsidR="00F430F5" w:rsidRPr="008319F4">
        <w:rPr>
          <w:sz w:val="24"/>
          <w:szCs w:val="24"/>
          <w:lang w:val="en-US"/>
        </w:rPr>
        <w:t>Watanabe et al.,</w:t>
      </w:r>
      <w:r w:rsidR="00E41C36" w:rsidRPr="008319F4">
        <w:rPr>
          <w:sz w:val="24"/>
          <w:szCs w:val="24"/>
          <w:lang w:val="en-US"/>
        </w:rPr>
        <w:t xml:space="preserve"> 2013</w:t>
      </w:r>
      <w:r w:rsidR="00BB63D0" w:rsidRPr="008319F4">
        <w:rPr>
          <w:sz w:val="24"/>
          <w:szCs w:val="24"/>
          <w:lang w:val="en-US"/>
        </w:rPr>
        <w:t>).</w:t>
      </w:r>
      <w:r w:rsidR="00727CD2" w:rsidRPr="008319F4">
        <w:rPr>
          <w:sz w:val="24"/>
          <w:szCs w:val="24"/>
          <w:lang w:val="en-US"/>
        </w:rPr>
        <w:t xml:space="preserve"> However, the limits-to-arbitrage approach only </w:t>
      </w:r>
      <w:r w:rsidR="002E204F" w:rsidRPr="008319F4">
        <w:rPr>
          <w:sz w:val="24"/>
          <w:szCs w:val="24"/>
          <w:lang w:val="en-US"/>
        </w:rPr>
        <w:t>studies</w:t>
      </w:r>
      <w:r w:rsidR="00FC5CAB" w:rsidRPr="008319F4">
        <w:rPr>
          <w:sz w:val="24"/>
          <w:szCs w:val="24"/>
          <w:lang w:val="en-US"/>
        </w:rPr>
        <w:t xml:space="preserve"> </w:t>
      </w:r>
      <w:r w:rsidR="00727CD2" w:rsidRPr="008319F4">
        <w:rPr>
          <w:sz w:val="24"/>
          <w:szCs w:val="24"/>
          <w:lang w:val="en-US"/>
        </w:rPr>
        <w:t xml:space="preserve">the </w:t>
      </w:r>
      <w:r w:rsidR="00FC5CAB" w:rsidRPr="008319F4">
        <w:rPr>
          <w:sz w:val="24"/>
          <w:szCs w:val="24"/>
          <w:lang w:val="en-US"/>
        </w:rPr>
        <w:t>constrain</w:t>
      </w:r>
      <w:r w:rsidR="002E204F" w:rsidRPr="008319F4">
        <w:rPr>
          <w:sz w:val="24"/>
          <w:szCs w:val="24"/>
          <w:lang w:val="en-US"/>
        </w:rPr>
        <w:t xml:space="preserve">ts to </w:t>
      </w:r>
      <w:r w:rsidR="00FC5CAB" w:rsidRPr="008319F4">
        <w:rPr>
          <w:sz w:val="24"/>
          <w:szCs w:val="24"/>
          <w:lang w:val="en-US"/>
        </w:rPr>
        <w:t xml:space="preserve">the </w:t>
      </w:r>
      <w:r w:rsidR="00727CD2" w:rsidRPr="008319F4">
        <w:rPr>
          <w:sz w:val="24"/>
          <w:szCs w:val="24"/>
          <w:lang w:val="en-US"/>
        </w:rPr>
        <w:t xml:space="preserve">correction </w:t>
      </w:r>
      <w:r w:rsidR="00FC5CAB" w:rsidRPr="008319F4">
        <w:rPr>
          <w:sz w:val="24"/>
          <w:szCs w:val="24"/>
          <w:lang w:val="en-US"/>
        </w:rPr>
        <w:t>to</w:t>
      </w:r>
      <w:r w:rsidR="00727CD2" w:rsidRPr="008319F4">
        <w:rPr>
          <w:sz w:val="24"/>
          <w:szCs w:val="24"/>
          <w:lang w:val="en-US"/>
        </w:rPr>
        <w:t xml:space="preserve"> the initial mispricing, it does not explicitly analyze whether the mispricing is </w:t>
      </w:r>
      <w:r w:rsidR="00BB63D0" w:rsidRPr="008319F4">
        <w:rPr>
          <w:sz w:val="24"/>
          <w:szCs w:val="24"/>
          <w:lang w:val="en-US"/>
        </w:rPr>
        <w:t>due to over- or under-reaction.</w:t>
      </w:r>
      <w:r w:rsidR="00727CD2" w:rsidRPr="008319F4">
        <w:rPr>
          <w:sz w:val="24"/>
          <w:szCs w:val="24"/>
          <w:lang w:val="en-US"/>
        </w:rPr>
        <w:t xml:space="preserve"> </w:t>
      </w:r>
      <w:r w:rsidR="005E0F51" w:rsidRPr="008319F4">
        <w:rPr>
          <w:sz w:val="24"/>
          <w:szCs w:val="24"/>
          <w:lang w:val="en-US"/>
        </w:rPr>
        <w:t xml:space="preserve">We contribute to this line of literature by studying the source of mispricing: overreaction. </w:t>
      </w:r>
    </w:p>
    <w:p w14:paraId="12E27900" w14:textId="424E95B9" w:rsidR="001610E7" w:rsidRPr="008319F4" w:rsidRDefault="002E204F" w:rsidP="00913E65">
      <w:pPr>
        <w:spacing w:line="480" w:lineRule="auto"/>
        <w:ind w:firstLine="720"/>
        <w:jc w:val="both"/>
        <w:rPr>
          <w:sz w:val="24"/>
          <w:szCs w:val="24"/>
          <w:lang w:val="en-US"/>
        </w:rPr>
      </w:pPr>
      <w:r w:rsidRPr="008319F4">
        <w:rPr>
          <w:sz w:val="24"/>
          <w:szCs w:val="24"/>
          <w:lang w:val="en-US"/>
        </w:rPr>
        <w:t>However</w:t>
      </w:r>
      <w:r w:rsidR="00452372" w:rsidRPr="008319F4">
        <w:rPr>
          <w:sz w:val="24"/>
          <w:szCs w:val="24"/>
          <w:lang w:val="en-US"/>
        </w:rPr>
        <w:t xml:space="preserve">, </w:t>
      </w:r>
      <w:r w:rsidR="00727CD2" w:rsidRPr="008319F4">
        <w:rPr>
          <w:sz w:val="24"/>
          <w:szCs w:val="24"/>
          <w:lang w:val="en-US"/>
        </w:rPr>
        <w:t>Cooper et al</w:t>
      </w:r>
      <w:r w:rsidR="00233695" w:rsidRPr="008319F4">
        <w:rPr>
          <w:sz w:val="24"/>
          <w:szCs w:val="24"/>
          <w:lang w:val="en-US"/>
        </w:rPr>
        <w:t>.</w:t>
      </w:r>
      <w:r w:rsidR="00727CD2" w:rsidRPr="008319F4">
        <w:rPr>
          <w:sz w:val="24"/>
          <w:szCs w:val="24"/>
          <w:lang w:val="en-US"/>
        </w:rPr>
        <w:t xml:space="preserve"> (2008) </w:t>
      </w:r>
      <w:r w:rsidR="00727CD2" w:rsidRPr="00D9200C">
        <w:rPr>
          <w:noProof/>
          <w:sz w:val="24"/>
          <w:szCs w:val="24"/>
          <w:lang w:val="en-US"/>
        </w:rPr>
        <w:t>provide</w:t>
      </w:r>
      <w:r w:rsidR="00727CD2" w:rsidRPr="008319F4">
        <w:rPr>
          <w:sz w:val="24"/>
          <w:szCs w:val="24"/>
          <w:lang w:val="en-US"/>
        </w:rPr>
        <w:t xml:space="preserve"> some evidence on testi</w:t>
      </w:r>
      <w:r w:rsidR="00BB63D0" w:rsidRPr="008319F4">
        <w:rPr>
          <w:sz w:val="24"/>
          <w:szCs w:val="24"/>
          <w:lang w:val="en-US"/>
        </w:rPr>
        <w:t xml:space="preserve">ng the overreaction to </w:t>
      </w:r>
      <w:r w:rsidR="00452372" w:rsidRPr="008319F4">
        <w:rPr>
          <w:sz w:val="24"/>
          <w:szCs w:val="24"/>
          <w:lang w:val="en-US"/>
        </w:rPr>
        <w:t>past earnings</w:t>
      </w:r>
      <w:r w:rsidR="00BB63D0" w:rsidRPr="008319F4">
        <w:rPr>
          <w:sz w:val="24"/>
          <w:szCs w:val="24"/>
          <w:lang w:val="en-US"/>
        </w:rPr>
        <w:t xml:space="preserve">. </w:t>
      </w:r>
      <w:r w:rsidR="00727CD2" w:rsidRPr="008319F4">
        <w:rPr>
          <w:sz w:val="24"/>
          <w:szCs w:val="24"/>
          <w:lang w:val="en-US"/>
        </w:rPr>
        <w:t xml:space="preserve">They show that investors </w:t>
      </w:r>
      <w:r w:rsidRPr="008319F4">
        <w:rPr>
          <w:sz w:val="24"/>
          <w:szCs w:val="24"/>
          <w:lang w:val="en-US"/>
        </w:rPr>
        <w:t xml:space="preserve">are indeed </w:t>
      </w:r>
      <w:r w:rsidR="00727CD2" w:rsidRPr="008319F4">
        <w:rPr>
          <w:sz w:val="24"/>
          <w:szCs w:val="24"/>
          <w:lang w:val="en-US"/>
        </w:rPr>
        <w:t>surprised by the subsequent bad (good) earnings for the high (low) as</w:t>
      </w:r>
      <w:r w:rsidR="00570ECE" w:rsidRPr="008319F4">
        <w:rPr>
          <w:sz w:val="24"/>
          <w:szCs w:val="24"/>
          <w:lang w:val="en-US"/>
        </w:rPr>
        <w:t>set growth firm</w:t>
      </w:r>
      <w:r w:rsidR="005E0F51" w:rsidRPr="008319F4">
        <w:rPr>
          <w:sz w:val="24"/>
          <w:szCs w:val="24"/>
          <w:lang w:val="en-US"/>
        </w:rPr>
        <w:t xml:space="preserve">.  </w:t>
      </w:r>
      <w:r w:rsidR="00452372" w:rsidRPr="008319F4">
        <w:rPr>
          <w:sz w:val="24"/>
          <w:szCs w:val="24"/>
          <w:lang w:val="en-US"/>
        </w:rPr>
        <w:t>Although s</w:t>
      </w:r>
      <w:r w:rsidR="005E0F51" w:rsidRPr="008319F4">
        <w:rPr>
          <w:sz w:val="24"/>
          <w:szCs w:val="24"/>
          <w:lang w:val="en-US"/>
        </w:rPr>
        <w:t xml:space="preserve">uch evidence </w:t>
      </w:r>
      <w:r w:rsidR="00452372" w:rsidRPr="008319F4">
        <w:rPr>
          <w:sz w:val="24"/>
          <w:szCs w:val="24"/>
          <w:lang w:val="en-US"/>
        </w:rPr>
        <w:t>supports</w:t>
      </w:r>
      <w:r w:rsidR="005E0F51" w:rsidRPr="008319F4">
        <w:rPr>
          <w:sz w:val="24"/>
          <w:szCs w:val="24"/>
          <w:lang w:val="en-US"/>
        </w:rPr>
        <w:t xml:space="preserve"> </w:t>
      </w:r>
      <w:r w:rsidR="00452372" w:rsidRPr="008319F4">
        <w:rPr>
          <w:sz w:val="24"/>
          <w:szCs w:val="24"/>
          <w:lang w:val="en-US"/>
        </w:rPr>
        <w:t xml:space="preserve">that it is </w:t>
      </w:r>
      <w:r w:rsidR="001610E7" w:rsidRPr="008319F4">
        <w:rPr>
          <w:sz w:val="24"/>
          <w:szCs w:val="24"/>
          <w:lang w:val="en-US"/>
        </w:rPr>
        <w:t>expectation</w:t>
      </w:r>
      <w:r w:rsidR="005E0F51" w:rsidRPr="008319F4">
        <w:rPr>
          <w:sz w:val="24"/>
          <w:szCs w:val="24"/>
          <w:lang w:val="en-US"/>
        </w:rPr>
        <w:t xml:space="preserve"> errors </w:t>
      </w:r>
      <w:r w:rsidR="00570ECE" w:rsidRPr="008319F4">
        <w:rPr>
          <w:sz w:val="24"/>
          <w:szCs w:val="24"/>
          <w:lang w:val="en-US"/>
        </w:rPr>
        <w:t>that</w:t>
      </w:r>
      <w:r w:rsidR="001610E7" w:rsidRPr="008319F4">
        <w:rPr>
          <w:sz w:val="24"/>
          <w:szCs w:val="24"/>
          <w:lang w:val="en-US"/>
        </w:rPr>
        <w:t xml:space="preserve"> </w:t>
      </w:r>
      <w:r w:rsidR="001610E7" w:rsidRPr="00D9200C">
        <w:rPr>
          <w:noProof/>
          <w:sz w:val="24"/>
          <w:szCs w:val="24"/>
          <w:lang w:val="en-US"/>
        </w:rPr>
        <w:t>cause</w:t>
      </w:r>
      <w:r w:rsidR="00452372" w:rsidRPr="00D9200C">
        <w:rPr>
          <w:noProof/>
          <w:sz w:val="24"/>
          <w:szCs w:val="24"/>
          <w:lang w:val="en-US"/>
        </w:rPr>
        <w:t>s</w:t>
      </w:r>
      <w:r w:rsidR="001610E7" w:rsidRPr="008319F4">
        <w:rPr>
          <w:sz w:val="24"/>
          <w:szCs w:val="24"/>
          <w:lang w:val="en-US"/>
        </w:rPr>
        <w:t xml:space="preserve"> mispricing (Laporta et al</w:t>
      </w:r>
      <w:r w:rsidRPr="008319F4">
        <w:rPr>
          <w:sz w:val="24"/>
          <w:szCs w:val="24"/>
          <w:lang w:val="en-US"/>
        </w:rPr>
        <w:t>.</w:t>
      </w:r>
      <w:r w:rsidR="001610E7" w:rsidRPr="008319F4">
        <w:rPr>
          <w:sz w:val="24"/>
          <w:szCs w:val="24"/>
          <w:lang w:val="en-US"/>
        </w:rPr>
        <w:t>, 1994)</w:t>
      </w:r>
      <w:r w:rsidR="00452372" w:rsidRPr="008319F4">
        <w:rPr>
          <w:sz w:val="24"/>
          <w:szCs w:val="24"/>
          <w:lang w:val="en-US"/>
        </w:rPr>
        <w:t xml:space="preserve">, it does not </w:t>
      </w:r>
      <w:r w:rsidR="00452372" w:rsidRPr="008319F4">
        <w:rPr>
          <w:sz w:val="24"/>
          <w:szCs w:val="24"/>
          <w:lang w:val="en-US"/>
        </w:rPr>
        <w:lastRenderedPageBreak/>
        <w:t>identify the sources of expectation</w:t>
      </w:r>
      <w:r w:rsidR="001610E7" w:rsidRPr="008319F4">
        <w:rPr>
          <w:sz w:val="24"/>
          <w:szCs w:val="24"/>
          <w:lang w:val="en-US"/>
        </w:rPr>
        <w:t xml:space="preserve"> errors </w:t>
      </w:r>
      <w:r w:rsidR="00452372" w:rsidRPr="008319F4">
        <w:rPr>
          <w:sz w:val="24"/>
          <w:szCs w:val="24"/>
          <w:lang w:val="en-US"/>
        </w:rPr>
        <w:t>explicitly.  W</w:t>
      </w:r>
      <w:r w:rsidRPr="008319F4">
        <w:rPr>
          <w:sz w:val="24"/>
          <w:szCs w:val="24"/>
          <w:lang w:val="en-US"/>
        </w:rPr>
        <w:t>e show that it is</w:t>
      </w:r>
      <w:r w:rsidR="001610E7" w:rsidRPr="008319F4">
        <w:rPr>
          <w:sz w:val="24"/>
          <w:szCs w:val="24"/>
          <w:lang w:val="en-US"/>
        </w:rPr>
        <w:t xml:space="preserve"> investors’ overreacti</w:t>
      </w:r>
      <w:r w:rsidRPr="008319F4">
        <w:rPr>
          <w:sz w:val="24"/>
          <w:szCs w:val="24"/>
          <w:lang w:val="en-US"/>
        </w:rPr>
        <w:t>on to growth opportunities that</w:t>
      </w:r>
      <w:r w:rsidR="001610E7" w:rsidRPr="008319F4">
        <w:rPr>
          <w:sz w:val="24"/>
          <w:szCs w:val="24"/>
          <w:lang w:val="en-US"/>
        </w:rPr>
        <w:t xml:space="preserve"> </w:t>
      </w:r>
      <w:r w:rsidR="001610E7" w:rsidRPr="00D9200C">
        <w:rPr>
          <w:noProof/>
          <w:sz w:val="24"/>
          <w:szCs w:val="24"/>
          <w:lang w:val="en-US"/>
        </w:rPr>
        <w:t>drives</w:t>
      </w:r>
      <w:r w:rsidR="001610E7" w:rsidRPr="008319F4">
        <w:rPr>
          <w:sz w:val="24"/>
          <w:szCs w:val="24"/>
          <w:lang w:val="en-US"/>
        </w:rPr>
        <w:t xml:space="preserve"> expectation </w:t>
      </w:r>
      <w:r w:rsidR="00452372" w:rsidRPr="008319F4">
        <w:rPr>
          <w:sz w:val="24"/>
          <w:szCs w:val="24"/>
          <w:lang w:val="en-US"/>
        </w:rPr>
        <w:t>errors and causes</w:t>
      </w:r>
      <w:r w:rsidR="00121D44" w:rsidRPr="008319F4">
        <w:rPr>
          <w:sz w:val="24"/>
          <w:szCs w:val="24"/>
          <w:lang w:val="en-US"/>
        </w:rPr>
        <w:t xml:space="preserve"> the anomaly. </w:t>
      </w:r>
    </w:p>
    <w:p w14:paraId="0E352360" w14:textId="61E8D14F" w:rsidR="00727CD2" w:rsidRPr="008319F4" w:rsidRDefault="00570ECE" w:rsidP="00913E65">
      <w:pPr>
        <w:spacing w:line="480" w:lineRule="auto"/>
        <w:ind w:firstLine="720"/>
        <w:jc w:val="both"/>
        <w:rPr>
          <w:sz w:val="24"/>
          <w:szCs w:val="24"/>
          <w:lang w:val="en-US"/>
        </w:rPr>
      </w:pPr>
      <w:r w:rsidRPr="008319F4">
        <w:rPr>
          <w:sz w:val="24"/>
          <w:szCs w:val="24"/>
          <w:lang w:val="en-US"/>
        </w:rPr>
        <w:t xml:space="preserve">We contribute to the literature by </w:t>
      </w:r>
      <w:r w:rsidR="005808F6" w:rsidRPr="008319F4">
        <w:rPr>
          <w:sz w:val="24"/>
          <w:szCs w:val="24"/>
          <w:lang w:val="en-US"/>
        </w:rPr>
        <w:t>test</w:t>
      </w:r>
      <w:r w:rsidRPr="008319F4">
        <w:rPr>
          <w:sz w:val="24"/>
          <w:szCs w:val="24"/>
          <w:lang w:val="en-US"/>
        </w:rPr>
        <w:t>ing</w:t>
      </w:r>
      <w:r w:rsidR="005808F6" w:rsidRPr="008319F4">
        <w:rPr>
          <w:sz w:val="24"/>
          <w:szCs w:val="24"/>
          <w:lang w:val="en-US"/>
        </w:rPr>
        <w:t xml:space="preserve"> the overreaction to growth in a sequential setup</w:t>
      </w:r>
      <w:r w:rsidR="00BB63D0" w:rsidRPr="008319F4">
        <w:rPr>
          <w:sz w:val="24"/>
          <w:szCs w:val="24"/>
          <w:lang w:val="en-US"/>
        </w:rPr>
        <w:t xml:space="preserve">. </w:t>
      </w:r>
      <w:r w:rsidR="005808F6" w:rsidRPr="008319F4">
        <w:rPr>
          <w:sz w:val="24"/>
          <w:szCs w:val="24"/>
          <w:lang w:val="en-US"/>
        </w:rPr>
        <w:t>Our un</w:t>
      </w:r>
      <w:r w:rsidR="005C3CAC" w:rsidRPr="008319F4">
        <w:rPr>
          <w:sz w:val="24"/>
          <w:szCs w:val="24"/>
          <w:lang w:val="en-US"/>
        </w:rPr>
        <w:t>iqu</w:t>
      </w:r>
      <w:r w:rsidR="005808F6" w:rsidRPr="008319F4">
        <w:rPr>
          <w:sz w:val="24"/>
          <w:szCs w:val="24"/>
          <w:lang w:val="en-US"/>
        </w:rPr>
        <w:t>e research design enable</w:t>
      </w:r>
      <w:r w:rsidR="00BB63D0" w:rsidRPr="008319F4">
        <w:rPr>
          <w:sz w:val="24"/>
          <w:szCs w:val="24"/>
          <w:lang w:val="en-US"/>
        </w:rPr>
        <w:t>s</w:t>
      </w:r>
      <w:r w:rsidR="005808F6" w:rsidRPr="008319F4">
        <w:rPr>
          <w:sz w:val="24"/>
          <w:szCs w:val="24"/>
          <w:lang w:val="en-US"/>
        </w:rPr>
        <w:t xml:space="preserve"> us to show that there are element</w:t>
      </w:r>
      <w:r w:rsidR="00BB63D0" w:rsidRPr="008319F4">
        <w:rPr>
          <w:sz w:val="24"/>
          <w:szCs w:val="24"/>
          <w:lang w:val="en-US"/>
        </w:rPr>
        <w:t>s</w:t>
      </w:r>
      <w:r w:rsidRPr="008319F4">
        <w:rPr>
          <w:sz w:val="24"/>
          <w:szCs w:val="24"/>
          <w:lang w:val="en-US"/>
        </w:rPr>
        <w:t xml:space="preserve"> </w:t>
      </w:r>
      <w:r w:rsidR="00D9200C">
        <w:rPr>
          <w:noProof/>
          <w:sz w:val="24"/>
          <w:szCs w:val="24"/>
          <w:lang w:val="en-US"/>
        </w:rPr>
        <w:t>of</w:t>
      </w:r>
      <w:r w:rsidR="005808F6" w:rsidRPr="008319F4">
        <w:rPr>
          <w:sz w:val="24"/>
          <w:szCs w:val="24"/>
          <w:lang w:val="en-US"/>
        </w:rPr>
        <w:t xml:space="preserve"> the asset growth anomaly that can be explain</w:t>
      </w:r>
      <w:r w:rsidRPr="008319F4">
        <w:rPr>
          <w:sz w:val="24"/>
          <w:szCs w:val="24"/>
          <w:lang w:val="en-US"/>
        </w:rPr>
        <w:t>ed</w:t>
      </w:r>
      <w:r w:rsidR="005808F6" w:rsidRPr="008319F4">
        <w:rPr>
          <w:sz w:val="24"/>
          <w:szCs w:val="24"/>
          <w:lang w:val="en-US"/>
        </w:rPr>
        <w:t xml:space="preserve"> by investors’ o</w:t>
      </w:r>
      <w:r w:rsidR="00BB63D0" w:rsidRPr="008319F4">
        <w:rPr>
          <w:sz w:val="24"/>
          <w:szCs w:val="24"/>
          <w:lang w:val="en-US"/>
        </w:rPr>
        <w:t>verreaction</w:t>
      </w:r>
      <w:r w:rsidR="005808F6" w:rsidRPr="008319F4">
        <w:rPr>
          <w:sz w:val="24"/>
          <w:szCs w:val="24"/>
          <w:lang w:val="en-US"/>
        </w:rPr>
        <w:t>.</w:t>
      </w:r>
      <w:r w:rsidR="00BB63D0" w:rsidRPr="008319F4">
        <w:rPr>
          <w:sz w:val="24"/>
          <w:szCs w:val="24"/>
          <w:lang w:val="en-US"/>
        </w:rPr>
        <w:t xml:space="preserve"> The explanatory power </w:t>
      </w:r>
      <w:r w:rsidRPr="008319F4">
        <w:rPr>
          <w:sz w:val="24"/>
          <w:szCs w:val="24"/>
          <w:lang w:val="en-US"/>
        </w:rPr>
        <w:t xml:space="preserve">of the overreaction explanation </w:t>
      </w:r>
      <w:r w:rsidR="00BB63D0" w:rsidRPr="008319F4">
        <w:rPr>
          <w:sz w:val="24"/>
          <w:szCs w:val="24"/>
          <w:lang w:val="en-US"/>
        </w:rPr>
        <w:t xml:space="preserve">still exists even </w:t>
      </w:r>
      <w:r w:rsidRPr="008319F4">
        <w:rPr>
          <w:sz w:val="24"/>
          <w:szCs w:val="24"/>
          <w:lang w:val="en-US"/>
        </w:rPr>
        <w:t xml:space="preserve">when </w:t>
      </w:r>
      <w:r w:rsidR="00BB63D0" w:rsidRPr="008319F4">
        <w:rPr>
          <w:sz w:val="24"/>
          <w:szCs w:val="24"/>
          <w:lang w:val="en-US"/>
        </w:rPr>
        <w:t>we control</w:t>
      </w:r>
      <w:r w:rsidRPr="008319F4">
        <w:rPr>
          <w:sz w:val="24"/>
          <w:szCs w:val="24"/>
          <w:lang w:val="en-US"/>
        </w:rPr>
        <w:t xml:space="preserve"> for</w:t>
      </w:r>
      <w:r w:rsidR="00BB63D0" w:rsidRPr="008319F4">
        <w:rPr>
          <w:sz w:val="24"/>
          <w:szCs w:val="24"/>
          <w:lang w:val="en-US"/>
        </w:rPr>
        <w:t xml:space="preserve"> limit</w:t>
      </w:r>
      <w:r w:rsidRPr="008319F4">
        <w:rPr>
          <w:sz w:val="24"/>
          <w:szCs w:val="24"/>
          <w:lang w:val="en-US"/>
        </w:rPr>
        <w:t>s</w:t>
      </w:r>
      <w:r w:rsidR="00BB63D0" w:rsidRPr="008319F4">
        <w:rPr>
          <w:sz w:val="24"/>
          <w:szCs w:val="24"/>
          <w:lang w:val="en-US"/>
        </w:rPr>
        <w:t>-to-arbitrage and q theory, which means firm growth type and growth sequence are able to reflect investors’ overrea</w:t>
      </w:r>
      <w:r w:rsidR="00F430F5" w:rsidRPr="008319F4">
        <w:rPr>
          <w:sz w:val="24"/>
          <w:szCs w:val="24"/>
          <w:lang w:val="en-US"/>
        </w:rPr>
        <w:t>ction to asset growth information.</w:t>
      </w:r>
    </w:p>
    <w:p w14:paraId="77187AA2" w14:textId="630DBAF5" w:rsidR="00033CB3" w:rsidRPr="008319F4" w:rsidRDefault="0054602C" w:rsidP="009579BF">
      <w:pPr>
        <w:spacing w:line="480" w:lineRule="auto"/>
        <w:ind w:firstLine="720"/>
        <w:jc w:val="both"/>
        <w:rPr>
          <w:b/>
          <w:sz w:val="28"/>
          <w:szCs w:val="24"/>
          <w:lang w:val="en-US"/>
        </w:rPr>
      </w:pPr>
      <w:r w:rsidRPr="008319F4">
        <w:rPr>
          <w:sz w:val="24"/>
          <w:szCs w:val="24"/>
          <w:lang w:val="en-US"/>
        </w:rPr>
        <w:t>The remainder of the paper is organized as follows.</w:t>
      </w:r>
      <w:r w:rsidR="008C6529" w:rsidRPr="008319F4">
        <w:rPr>
          <w:sz w:val="24"/>
          <w:szCs w:val="24"/>
          <w:lang w:val="en-US"/>
        </w:rPr>
        <w:t xml:space="preserve"> We </w:t>
      </w:r>
      <w:r w:rsidR="00A403DF" w:rsidRPr="008319F4">
        <w:rPr>
          <w:sz w:val="24"/>
          <w:szCs w:val="24"/>
          <w:lang w:val="en-US"/>
        </w:rPr>
        <w:t xml:space="preserve">review the </w:t>
      </w:r>
      <w:r w:rsidR="00A403DF" w:rsidRPr="00D9200C">
        <w:rPr>
          <w:noProof/>
          <w:sz w:val="24"/>
          <w:szCs w:val="24"/>
          <w:lang w:val="en-US"/>
        </w:rPr>
        <w:t>ext</w:t>
      </w:r>
      <w:r w:rsidR="00D9200C">
        <w:rPr>
          <w:noProof/>
          <w:sz w:val="24"/>
          <w:szCs w:val="24"/>
          <w:lang w:val="en-US"/>
        </w:rPr>
        <w:t>e</w:t>
      </w:r>
      <w:r w:rsidR="00A403DF" w:rsidRPr="00D9200C">
        <w:rPr>
          <w:noProof/>
          <w:sz w:val="24"/>
          <w:szCs w:val="24"/>
          <w:lang w:val="en-US"/>
        </w:rPr>
        <w:t>nt</w:t>
      </w:r>
      <w:r w:rsidR="00A403DF" w:rsidRPr="008319F4">
        <w:rPr>
          <w:sz w:val="24"/>
          <w:szCs w:val="24"/>
          <w:lang w:val="en-US"/>
        </w:rPr>
        <w:t xml:space="preserve"> asset growth anomaly literature and </w:t>
      </w:r>
      <w:r w:rsidR="008C6529" w:rsidRPr="008319F4">
        <w:rPr>
          <w:sz w:val="24"/>
          <w:szCs w:val="24"/>
          <w:lang w:val="en-US"/>
        </w:rPr>
        <w:t>construct our hypotheses in section 2.</w:t>
      </w:r>
      <w:r w:rsidRPr="008319F4">
        <w:rPr>
          <w:sz w:val="24"/>
          <w:szCs w:val="24"/>
          <w:lang w:val="en-US"/>
        </w:rPr>
        <w:t xml:space="preserve"> We describe the data and variables</w:t>
      </w:r>
      <w:r w:rsidR="008C6529" w:rsidRPr="008319F4">
        <w:rPr>
          <w:sz w:val="24"/>
          <w:szCs w:val="24"/>
          <w:lang w:val="en-US"/>
        </w:rPr>
        <w:t xml:space="preserve"> used in this study in section 3.  In section 4</w:t>
      </w:r>
      <w:r w:rsidRPr="008319F4">
        <w:rPr>
          <w:sz w:val="24"/>
          <w:szCs w:val="24"/>
          <w:lang w:val="en-US"/>
        </w:rPr>
        <w:t xml:space="preserve"> we present empirical results for the asset growth an</w:t>
      </w:r>
      <w:r w:rsidR="008C6529" w:rsidRPr="008319F4">
        <w:rPr>
          <w:sz w:val="24"/>
          <w:szCs w:val="24"/>
          <w:lang w:val="en-US"/>
        </w:rPr>
        <w:t>omaly for growth and mature</w:t>
      </w:r>
      <w:r w:rsidRPr="008319F4">
        <w:rPr>
          <w:sz w:val="24"/>
          <w:szCs w:val="24"/>
          <w:lang w:val="en-US"/>
        </w:rPr>
        <w:t xml:space="preserve"> firms</w:t>
      </w:r>
      <w:r w:rsidR="00A403DF" w:rsidRPr="008319F4">
        <w:rPr>
          <w:sz w:val="24"/>
          <w:szCs w:val="24"/>
          <w:lang w:val="en-US"/>
        </w:rPr>
        <w:t xml:space="preserve">, while </w:t>
      </w:r>
      <w:r w:rsidR="008C6529" w:rsidRPr="008319F4">
        <w:rPr>
          <w:sz w:val="24"/>
          <w:szCs w:val="24"/>
          <w:lang w:val="en-US"/>
        </w:rPr>
        <w:t>in section 5</w:t>
      </w:r>
      <w:r w:rsidRPr="008319F4">
        <w:rPr>
          <w:sz w:val="24"/>
          <w:szCs w:val="24"/>
          <w:lang w:val="en-US"/>
        </w:rPr>
        <w:t xml:space="preserve"> we </w:t>
      </w:r>
      <w:r w:rsidR="00E41C36" w:rsidRPr="008319F4">
        <w:rPr>
          <w:sz w:val="24"/>
          <w:szCs w:val="24"/>
          <w:lang w:val="en-US"/>
        </w:rPr>
        <w:t>show</w:t>
      </w:r>
      <w:r w:rsidRPr="008319F4">
        <w:rPr>
          <w:sz w:val="24"/>
          <w:szCs w:val="24"/>
          <w:lang w:val="en-US"/>
        </w:rPr>
        <w:t xml:space="preserve"> result</w:t>
      </w:r>
      <w:r w:rsidR="008C6529" w:rsidRPr="008319F4">
        <w:rPr>
          <w:sz w:val="24"/>
          <w:szCs w:val="24"/>
          <w:lang w:val="en-US"/>
        </w:rPr>
        <w:t>s for the growth sequence portfolios</w:t>
      </w:r>
      <w:r w:rsidRPr="008319F4">
        <w:rPr>
          <w:sz w:val="24"/>
          <w:szCs w:val="24"/>
          <w:lang w:val="en-US"/>
        </w:rPr>
        <w:t xml:space="preserve"> and the representativeness explanation. W</w:t>
      </w:r>
      <w:r w:rsidR="008C6529" w:rsidRPr="008319F4">
        <w:rPr>
          <w:sz w:val="24"/>
          <w:szCs w:val="24"/>
          <w:lang w:val="en-US"/>
        </w:rPr>
        <w:t xml:space="preserve">e </w:t>
      </w:r>
      <w:r w:rsidR="00E41C36" w:rsidRPr="008319F4">
        <w:rPr>
          <w:sz w:val="24"/>
          <w:szCs w:val="24"/>
          <w:lang w:val="en-US"/>
        </w:rPr>
        <w:t>provide</w:t>
      </w:r>
      <w:r w:rsidR="008C6529" w:rsidRPr="008319F4">
        <w:rPr>
          <w:sz w:val="24"/>
          <w:szCs w:val="24"/>
          <w:lang w:val="en-US"/>
        </w:rPr>
        <w:t xml:space="preserve"> conclusions in section 6</w:t>
      </w:r>
      <w:r w:rsidRPr="008319F4">
        <w:rPr>
          <w:sz w:val="24"/>
          <w:szCs w:val="24"/>
          <w:lang w:val="en-US"/>
        </w:rPr>
        <w:t>.</w:t>
      </w:r>
    </w:p>
    <w:p w14:paraId="012598D5" w14:textId="77777777" w:rsidR="00AB5AE7" w:rsidRPr="008319F4" w:rsidRDefault="00AB5AE7" w:rsidP="00214CCE">
      <w:pPr>
        <w:spacing w:line="480" w:lineRule="auto"/>
        <w:outlineLvl w:val="0"/>
        <w:rPr>
          <w:b/>
          <w:sz w:val="28"/>
          <w:szCs w:val="24"/>
          <w:lang w:val="en-US"/>
        </w:rPr>
      </w:pPr>
      <w:r w:rsidRPr="008319F4">
        <w:rPr>
          <w:b/>
          <w:sz w:val="28"/>
          <w:szCs w:val="24"/>
          <w:lang w:val="en-US"/>
        </w:rPr>
        <w:t xml:space="preserve">2. </w:t>
      </w:r>
      <w:r w:rsidR="00752819" w:rsidRPr="008319F4">
        <w:rPr>
          <w:b/>
          <w:sz w:val="28"/>
          <w:szCs w:val="24"/>
          <w:lang w:val="en-US"/>
        </w:rPr>
        <w:t xml:space="preserve">Related </w:t>
      </w:r>
      <w:r w:rsidR="00752819" w:rsidRPr="00D9200C">
        <w:rPr>
          <w:b/>
          <w:noProof/>
          <w:sz w:val="28"/>
          <w:szCs w:val="24"/>
          <w:lang w:val="en-US"/>
        </w:rPr>
        <w:t>literatures</w:t>
      </w:r>
      <w:r w:rsidR="00752819" w:rsidRPr="008319F4">
        <w:rPr>
          <w:b/>
          <w:sz w:val="28"/>
          <w:szCs w:val="24"/>
          <w:lang w:val="en-US"/>
        </w:rPr>
        <w:t xml:space="preserve"> and h</w:t>
      </w:r>
      <w:r w:rsidRPr="008319F4">
        <w:rPr>
          <w:b/>
          <w:sz w:val="28"/>
          <w:szCs w:val="24"/>
          <w:lang w:val="en-US"/>
        </w:rPr>
        <w:t>ypothesis development</w:t>
      </w:r>
    </w:p>
    <w:p w14:paraId="1A64E026" w14:textId="2370F92F" w:rsidR="0016432E" w:rsidRPr="008319F4" w:rsidRDefault="0016432E" w:rsidP="0016432E">
      <w:pPr>
        <w:spacing w:line="480" w:lineRule="auto"/>
        <w:jc w:val="both"/>
        <w:rPr>
          <w:sz w:val="24"/>
          <w:szCs w:val="24"/>
          <w:lang w:val="en-US"/>
        </w:rPr>
      </w:pPr>
      <w:r w:rsidRPr="008319F4">
        <w:rPr>
          <w:sz w:val="24"/>
          <w:szCs w:val="24"/>
          <w:lang w:val="en-US"/>
        </w:rPr>
        <w:t xml:space="preserve">To develop our two hypotheses concerning </w:t>
      </w:r>
      <w:r w:rsidR="00DC220C" w:rsidRPr="008319F4">
        <w:rPr>
          <w:sz w:val="24"/>
          <w:szCs w:val="24"/>
          <w:lang w:val="en-US"/>
        </w:rPr>
        <w:t xml:space="preserve">the </w:t>
      </w:r>
      <w:r w:rsidR="00F430F5" w:rsidRPr="008319F4">
        <w:rPr>
          <w:sz w:val="24"/>
          <w:szCs w:val="24"/>
          <w:lang w:val="en-US"/>
        </w:rPr>
        <w:t>overreaction to growth being an</w:t>
      </w:r>
      <w:r w:rsidR="0090014D" w:rsidRPr="008319F4">
        <w:rPr>
          <w:sz w:val="24"/>
          <w:szCs w:val="24"/>
          <w:lang w:val="en-US"/>
        </w:rPr>
        <w:t xml:space="preserve"> </w:t>
      </w:r>
      <w:r w:rsidRPr="008319F4">
        <w:rPr>
          <w:sz w:val="24"/>
          <w:szCs w:val="24"/>
          <w:lang w:val="en-US"/>
        </w:rPr>
        <w:t>explanation of the asset growth anomaly, we first review briefly the mispricin</w:t>
      </w:r>
      <w:r w:rsidR="00F430F5" w:rsidRPr="008319F4">
        <w:rPr>
          <w:sz w:val="24"/>
          <w:szCs w:val="24"/>
          <w:lang w:val="en-US"/>
        </w:rPr>
        <w:t>g with limits-to-arbitrage and Q</w:t>
      </w:r>
      <w:r w:rsidRPr="008319F4">
        <w:rPr>
          <w:sz w:val="24"/>
          <w:szCs w:val="24"/>
          <w:lang w:val="en-US"/>
        </w:rPr>
        <w:t xml:space="preserve"> theory with investment frictions </w:t>
      </w:r>
      <w:r w:rsidRPr="00D9200C">
        <w:rPr>
          <w:noProof/>
          <w:sz w:val="24"/>
          <w:szCs w:val="24"/>
          <w:lang w:val="en-US"/>
        </w:rPr>
        <w:t>literatures</w:t>
      </w:r>
      <w:r w:rsidRPr="008319F4">
        <w:rPr>
          <w:sz w:val="24"/>
          <w:szCs w:val="24"/>
          <w:lang w:val="en-US"/>
        </w:rPr>
        <w:t xml:space="preserve"> in section 2.1. Then we develop two hypotheses in section 2.2.</w:t>
      </w:r>
    </w:p>
    <w:p w14:paraId="2AF7D132" w14:textId="77777777" w:rsidR="00631311" w:rsidRPr="008319F4" w:rsidRDefault="006E223A" w:rsidP="00214CCE">
      <w:pPr>
        <w:pStyle w:val="PaperTitle2"/>
      </w:pPr>
      <w:r w:rsidRPr="008319F4">
        <w:t xml:space="preserve">2.1 </w:t>
      </w:r>
      <w:r w:rsidRPr="008319F4">
        <w:rPr>
          <w:rStyle w:val="PaperContentChar"/>
          <w:sz w:val="28"/>
        </w:rPr>
        <w:t xml:space="preserve">Mispricing with </w:t>
      </w:r>
      <w:r w:rsidR="00E65622" w:rsidRPr="008319F4">
        <w:rPr>
          <w:rStyle w:val="PaperContentChar"/>
          <w:sz w:val="28"/>
        </w:rPr>
        <w:t>limits-to-arbitrage</w:t>
      </w:r>
      <w:r w:rsidR="00631311" w:rsidRPr="008319F4">
        <w:rPr>
          <w:rStyle w:val="PaperContentChar"/>
          <w:sz w:val="28"/>
        </w:rPr>
        <w:t xml:space="preserve"> and Q theory with investment frictions</w:t>
      </w:r>
    </w:p>
    <w:p w14:paraId="49FC9926" w14:textId="3C7AA641" w:rsidR="000E394D" w:rsidRPr="008319F4" w:rsidRDefault="00D06A85" w:rsidP="000E394D">
      <w:pPr>
        <w:spacing w:line="480" w:lineRule="auto"/>
        <w:jc w:val="both"/>
        <w:rPr>
          <w:sz w:val="24"/>
          <w:szCs w:val="24"/>
          <w:lang w:val="en-US"/>
        </w:rPr>
      </w:pPr>
      <w:r w:rsidRPr="008319F4">
        <w:rPr>
          <w:sz w:val="24"/>
          <w:szCs w:val="24"/>
          <w:lang w:val="en-US"/>
        </w:rPr>
        <w:t>Two branches of the explanations are proposed in the literature: risk-based (rational) and mispricing (behavioral) explanations. Regarding the risk-based explanation, u</w:t>
      </w:r>
      <w:r w:rsidR="00B87F84" w:rsidRPr="008319F4">
        <w:rPr>
          <w:sz w:val="24"/>
          <w:szCs w:val="24"/>
          <w:lang w:val="en-US"/>
        </w:rPr>
        <w:t xml:space="preserve">pon </w:t>
      </w:r>
      <w:r w:rsidR="00B87F84" w:rsidRPr="008319F4">
        <w:rPr>
          <w:sz w:val="24"/>
          <w:szCs w:val="24"/>
          <w:lang w:val="en-US"/>
        </w:rPr>
        <w:lastRenderedPageBreak/>
        <w:t xml:space="preserve">discovery of the asset growth anomaly, Cooper et. al. (2008) test the </w:t>
      </w:r>
      <w:r w:rsidR="00B87F84" w:rsidRPr="00D9200C">
        <w:rPr>
          <w:noProof/>
          <w:sz w:val="24"/>
          <w:szCs w:val="24"/>
          <w:lang w:val="en-US"/>
        </w:rPr>
        <w:t>risk</w:t>
      </w:r>
      <w:r w:rsidR="00D9200C">
        <w:rPr>
          <w:noProof/>
          <w:sz w:val="24"/>
          <w:szCs w:val="24"/>
          <w:lang w:val="en-US"/>
        </w:rPr>
        <w:t>-</w:t>
      </w:r>
      <w:r w:rsidR="00B87F84" w:rsidRPr="00D9200C">
        <w:rPr>
          <w:noProof/>
          <w:sz w:val="24"/>
          <w:szCs w:val="24"/>
          <w:lang w:val="en-US"/>
        </w:rPr>
        <w:t>based</w:t>
      </w:r>
      <w:r w:rsidR="00B87F84" w:rsidRPr="008319F4">
        <w:rPr>
          <w:sz w:val="24"/>
          <w:szCs w:val="24"/>
          <w:lang w:val="en-US"/>
        </w:rPr>
        <w:t xml:space="preserve"> explanation and show that standard risk factors such as </w:t>
      </w:r>
      <w:r w:rsidR="00B87F84" w:rsidRPr="00D9200C">
        <w:rPr>
          <w:noProof/>
          <w:sz w:val="24"/>
          <w:szCs w:val="24"/>
          <w:lang w:val="en-US"/>
        </w:rPr>
        <w:t>three</w:t>
      </w:r>
      <w:r w:rsidR="00D9200C">
        <w:rPr>
          <w:noProof/>
          <w:sz w:val="24"/>
          <w:szCs w:val="24"/>
          <w:lang w:val="en-US"/>
        </w:rPr>
        <w:t>-</w:t>
      </w:r>
      <w:r w:rsidR="00B87F84" w:rsidRPr="00D9200C">
        <w:rPr>
          <w:noProof/>
          <w:sz w:val="24"/>
          <w:szCs w:val="24"/>
          <w:lang w:val="en-US"/>
        </w:rPr>
        <w:t>factor</w:t>
      </w:r>
      <w:r w:rsidR="00B87F84" w:rsidRPr="008319F4">
        <w:rPr>
          <w:sz w:val="24"/>
          <w:szCs w:val="24"/>
          <w:lang w:val="en-US"/>
        </w:rPr>
        <w:t xml:space="preserve"> models and conditional CAPM model using a standard set of macroeconomic variables cannot exp</w:t>
      </w:r>
      <w:r w:rsidR="000E394D" w:rsidRPr="008319F4">
        <w:rPr>
          <w:sz w:val="24"/>
          <w:szCs w:val="24"/>
          <w:lang w:val="en-US"/>
        </w:rPr>
        <w:t xml:space="preserve">lain the effect.  They also show that the asset growth effect is not consistent with </w:t>
      </w:r>
      <w:r w:rsidR="00F430F5" w:rsidRPr="008319F4">
        <w:rPr>
          <w:sz w:val="24"/>
          <w:szCs w:val="24"/>
          <w:lang w:val="en-US"/>
        </w:rPr>
        <w:t xml:space="preserve">the </w:t>
      </w:r>
      <w:r w:rsidR="000E394D" w:rsidRPr="008319F4">
        <w:rPr>
          <w:sz w:val="24"/>
          <w:szCs w:val="24"/>
          <w:lang w:val="en-US"/>
        </w:rPr>
        <w:t>theoretical papers</w:t>
      </w:r>
      <w:r w:rsidR="00F430F5" w:rsidRPr="008319F4">
        <w:rPr>
          <w:sz w:val="24"/>
          <w:szCs w:val="24"/>
          <w:lang w:val="en-US"/>
        </w:rPr>
        <w:t>’</w:t>
      </w:r>
      <w:r w:rsidR="000E394D" w:rsidRPr="008319F4">
        <w:rPr>
          <w:sz w:val="24"/>
          <w:szCs w:val="24"/>
          <w:lang w:val="en-US"/>
        </w:rPr>
        <w:t xml:space="preserve"> implication that expected returns should systematically decline in response to increasing investment.  Therefore</w:t>
      </w:r>
      <w:r w:rsidR="00F430F5" w:rsidRPr="008319F4">
        <w:rPr>
          <w:sz w:val="24"/>
          <w:szCs w:val="24"/>
          <w:lang w:val="en-US"/>
        </w:rPr>
        <w:t>,</w:t>
      </w:r>
      <w:r w:rsidR="000E394D" w:rsidRPr="008319F4">
        <w:rPr>
          <w:sz w:val="24"/>
          <w:szCs w:val="24"/>
          <w:lang w:val="en-US"/>
        </w:rPr>
        <w:t xml:space="preserve"> they reject the explanation of time-varying risk induced by changes in the mix of firm growth options and assets in place.  </w:t>
      </w:r>
      <w:r w:rsidR="00477E8B" w:rsidRPr="008319F4">
        <w:rPr>
          <w:sz w:val="24"/>
          <w:szCs w:val="24"/>
          <w:lang w:val="en-US"/>
        </w:rPr>
        <w:t>Overall, Cooper et</w:t>
      </w:r>
      <w:r w:rsidR="000E394D" w:rsidRPr="008319F4">
        <w:rPr>
          <w:sz w:val="24"/>
          <w:szCs w:val="24"/>
          <w:lang w:val="en-US"/>
        </w:rPr>
        <w:t xml:space="preserve"> al. (2008) dismiss the rational </w:t>
      </w:r>
      <w:r w:rsidR="000E394D" w:rsidRPr="00D9200C">
        <w:rPr>
          <w:noProof/>
          <w:sz w:val="24"/>
          <w:szCs w:val="24"/>
          <w:lang w:val="en-US"/>
        </w:rPr>
        <w:t>risk</w:t>
      </w:r>
      <w:r w:rsidR="00D9200C">
        <w:rPr>
          <w:noProof/>
          <w:sz w:val="24"/>
          <w:szCs w:val="24"/>
          <w:lang w:val="en-US"/>
        </w:rPr>
        <w:t>-</w:t>
      </w:r>
      <w:r w:rsidR="000E394D" w:rsidRPr="00D9200C">
        <w:rPr>
          <w:noProof/>
          <w:sz w:val="24"/>
          <w:szCs w:val="24"/>
          <w:lang w:val="en-US"/>
        </w:rPr>
        <w:t>based</w:t>
      </w:r>
      <w:r w:rsidR="000E394D" w:rsidRPr="008319F4">
        <w:rPr>
          <w:sz w:val="24"/>
          <w:szCs w:val="24"/>
          <w:lang w:val="en-US"/>
        </w:rPr>
        <w:t xml:space="preserve"> </w:t>
      </w:r>
      <w:r w:rsidR="00477E8B" w:rsidRPr="008319F4">
        <w:rPr>
          <w:sz w:val="24"/>
          <w:szCs w:val="24"/>
          <w:lang w:val="en-US"/>
        </w:rPr>
        <w:t>explanation of the asset growth anomaly.</w:t>
      </w:r>
    </w:p>
    <w:p w14:paraId="3437D88F" w14:textId="10B55EA2" w:rsidR="00D06A85" w:rsidRPr="008319F4" w:rsidRDefault="00477E8B" w:rsidP="00B92875">
      <w:pPr>
        <w:spacing w:line="480" w:lineRule="auto"/>
        <w:ind w:firstLine="720"/>
        <w:jc w:val="both"/>
        <w:rPr>
          <w:sz w:val="24"/>
          <w:szCs w:val="24"/>
          <w:lang w:val="en-US"/>
        </w:rPr>
      </w:pPr>
      <w:r w:rsidRPr="008319F4">
        <w:rPr>
          <w:sz w:val="24"/>
          <w:szCs w:val="24"/>
          <w:lang w:val="en-US"/>
        </w:rPr>
        <w:t>More r</w:t>
      </w:r>
      <w:r w:rsidR="00164BE8" w:rsidRPr="008319F4">
        <w:rPr>
          <w:sz w:val="24"/>
          <w:szCs w:val="24"/>
          <w:lang w:val="en-US"/>
        </w:rPr>
        <w:t>ecent search</w:t>
      </w:r>
      <w:r w:rsidRPr="008319F4">
        <w:rPr>
          <w:sz w:val="24"/>
          <w:szCs w:val="24"/>
          <w:lang w:val="en-US"/>
        </w:rPr>
        <w:t>es</w:t>
      </w:r>
      <w:r w:rsidR="00164BE8" w:rsidRPr="008319F4">
        <w:rPr>
          <w:sz w:val="24"/>
          <w:szCs w:val="24"/>
          <w:lang w:val="en-US"/>
        </w:rPr>
        <w:t xml:space="preserve"> for </w:t>
      </w:r>
      <w:r w:rsidRPr="008319F4">
        <w:rPr>
          <w:sz w:val="24"/>
          <w:szCs w:val="24"/>
          <w:lang w:val="en-US"/>
        </w:rPr>
        <w:t xml:space="preserve">a </w:t>
      </w:r>
      <w:r w:rsidR="00164BE8" w:rsidRPr="008319F4">
        <w:rPr>
          <w:sz w:val="24"/>
          <w:szCs w:val="24"/>
          <w:lang w:val="en-US"/>
        </w:rPr>
        <w:t xml:space="preserve">rational explanation shift from </w:t>
      </w:r>
      <w:r w:rsidRPr="008319F4">
        <w:rPr>
          <w:sz w:val="24"/>
          <w:szCs w:val="24"/>
          <w:lang w:val="en-US"/>
        </w:rPr>
        <w:t>an investor</w:t>
      </w:r>
      <w:r w:rsidR="00164BE8" w:rsidRPr="008319F4">
        <w:rPr>
          <w:sz w:val="24"/>
          <w:szCs w:val="24"/>
          <w:lang w:val="en-US"/>
        </w:rPr>
        <w:t xml:space="preserve"> to </w:t>
      </w:r>
      <w:r w:rsidRPr="008319F4">
        <w:rPr>
          <w:sz w:val="24"/>
          <w:szCs w:val="24"/>
          <w:lang w:val="en-US"/>
        </w:rPr>
        <w:t>a firm</w:t>
      </w:r>
      <w:r w:rsidR="00164BE8" w:rsidRPr="008319F4">
        <w:rPr>
          <w:sz w:val="24"/>
          <w:szCs w:val="24"/>
          <w:lang w:val="en-US"/>
        </w:rPr>
        <w:t xml:space="preserve"> point of view.  </w:t>
      </w:r>
      <w:r w:rsidR="00164BE8" w:rsidRPr="008319F4">
        <w:rPr>
          <w:rStyle w:val="PaperContentChar"/>
        </w:rPr>
        <w:t xml:space="preserve">Q theory suggests that firms invest when the discount rate (expected return) is lower because a lower discount rate leads to a higher net present value and consequently, a negative investment-return relation is observed (e.g., Cochrane, 1991; 1996). </w:t>
      </w:r>
      <w:r w:rsidR="00ED2B81" w:rsidRPr="008319F4">
        <w:rPr>
          <w:rStyle w:val="PaperContentChar"/>
        </w:rPr>
        <w:t xml:space="preserve">However, such </w:t>
      </w:r>
      <w:r w:rsidRPr="008319F4">
        <w:rPr>
          <w:rStyle w:val="PaperContentChar"/>
        </w:rPr>
        <w:t xml:space="preserve">a </w:t>
      </w:r>
      <w:r w:rsidR="00ED2B81" w:rsidRPr="008319F4">
        <w:rPr>
          <w:rStyle w:val="PaperContentChar"/>
        </w:rPr>
        <w:t>prediction is difficult to test empirically since managerial expectation</w:t>
      </w:r>
      <w:r w:rsidRPr="008319F4">
        <w:rPr>
          <w:rStyle w:val="PaperContentChar"/>
        </w:rPr>
        <w:t>s</w:t>
      </w:r>
      <w:r w:rsidR="00ED2B81" w:rsidRPr="008319F4">
        <w:rPr>
          <w:rStyle w:val="PaperContentChar"/>
        </w:rPr>
        <w:t xml:space="preserve"> of </w:t>
      </w:r>
      <w:r w:rsidRPr="008319F4">
        <w:rPr>
          <w:rStyle w:val="PaperContentChar"/>
        </w:rPr>
        <w:t xml:space="preserve">a </w:t>
      </w:r>
      <w:r w:rsidR="00121D44" w:rsidRPr="008319F4">
        <w:rPr>
          <w:rStyle w:val="PaperContentChar"/>
        </w:rPr>
        <w:t xml:space="preserve">discount rate are </w:t>
      </w:r>
      <w:r w:rsidR="00ED2B81" w:rsidRPr="008319F4">
        <w:rPr>
          <w:rStyle w:val="PaperContentChar"/>
        </w:rPr>
        <w:t>unobservable and it require</w:t>
      </w:r>
      <w:r w:rsidRPr="008319F4">
        <w:rPr>
          <w:rStyle w:val="PaperContentChar"/>
        </w:rPr>
        <w:t>s the</w:t>
      </w:r>
      <w:r w:rsidR="00ED2B81" w:rsidRPr="008319F4">
        <w:rPr>
          <w:rStyle w:val="PaperContentChar"/>
        </w:rPr>
        <w:t xml:space="preserve"> strong assumption of market efficiency to make connections between managerial expected discount rate</w:t>
      </w:r>
      <w:r w:rsidRPr="008319F4">
        <w:rPr>
          <w:rStyle w:val="PaperContentChar"/>
        </w:rPr>
        <w:t>s</w:t>
      </w:r>
      <w:r w:rsidR="00ED2B81" w:rsidRPr="008319F4">
        <w:rPr>
          <w:rStyle w:val="PaperContentChar"/>
        </w:rPr>
        <w:t xml:space="preserve"> and subsequent realized stock return</w:t>
      </w:r>
      <w:r w:rsidRPr="008319F4">
        <w:rPr>
          <w:rStyle w:val="PaperContentChar"/>
        </w:rPr>
        <w:t>s</w:t>
      </w:r>
      <w:r w:rsidR="00ED2B81" w:rsidRPr="008319F4">
        <w:rPr>
          <w:rStyle w:val="PaperContentChar"/>
        </w:rPr>
        <w:t xml:space="preserve">.  As a way forward, </w:t>
      </w:r>
      <w:r w:rsidR="00164BE8" w:rsidRPr="008319F4">
        <w:rPr>
          <w:rStyle w:val="PaperContentChar"/>
        </w:rPr>
        <w:t xml:space="preserve">Li and Zhang (2010) construct an optimal investment model by incorporating investment </w:t>
      </w:r>
      <w:r w:rsidRPr="008319F4">
        <w:rPr>
          <w:rStyle w:val="PaperContentChar"/>
        </w:rPr>
        <w:t>frictions to</w:t>
      </w:r>
      <w:r w:rsidR="00ED2B81" w:rsidRPr="008319F4">
        <w:rPr>
          <w:rStyle w:val="PaperContentChar"/>
        </w:rPr>
        <w:t xml:space="preserve"> </w:t>
      </w:r>
      <w:r w:rsidR="00164BE8" w:rsidRPr="008319F4">
        <w:rPr>
          <w:rStyle w:val="PaperContentChar"/>
        </w:rPr>
        <w:t xml:space="preserve">Q theory. Firms with high investment frictions produce higher </w:t>
      </w:r>
      <w:r w:rsidRPr="008319F4">
        <w:rPr>
          <w:rStyle w:val="PaperContentChar"/>
        </w:rPr>
        <w:t xml:space="preserve">investment costs and </w:t>
      </w:r>
      <w:r w:rsidR="00164BE8" w:rsidRPr="008319F4">
        <w:rPr>
          <w:rStyle w:val="PaperContentChar"/>
        </w:rPr>
        <w:t>are</w:t>
      </w:r>
      <w:r w:rsidRPr="008319F4">
        <w:rPr>
          <w:rStyle w:val="PaperContentChar"/>
        </w:rPr>
        <w:t>, therefore,</w:t>
      </w:r>
      <w:r w:rsidR="00164BE8" w:rsidRPr="008319F4">
        <w:rPr>
          <w:rStyle w:val="PaperContentChar"/>
        </w:rPr>
        <w:t xml:space="preserve"> not as sensitive to changes in the discount rate; that is, only large decreases in the</w:t>
      </w:r>
      <w:r w:rsidR="00164BE8" w:rsidRPr="008319F4">
        <w:rPr>
          <w:sz w:val="24"/>
          <w:szCs w:val="24"/>
          <w:lang w:val="en-US"/>
        </w:rPr>
        <w:t xml:space="preserve"> discount rate can induce firms with high frictions to invest.  If Q theory is the reason behind the asset growth anomaly, it predicts that firms with higher investment frictions should show a stronger asset growth anomaly. </w:t>
      </w:r>
      <w:r w:rsidR="00D06A85" w:rsidRPr="008319F4">
        <w:rPr>
          <w:sz w:val="24"/>
          <w:szCs w:val="24"/>
          <w:lang w:val="en-US"/>
        </w:rPr>
        <w:t>Q theory with investment friction</w:t>
      </w:r>
      <w:r w:rsidR="006B6153" w:rsidRPr="008319F4">
        <w:rPr>
          <w:sz w:val="24"/>
          <w:szCs w:val="24"/>
          <w:lang w:val="en-US"/>
        </w:rPr>
        <w:t>s has received support in the literature; for example,</w:t>
      </w:r>
      <w:r w:rsidR="00121D44" w:rsidRPr="008319F4">
        <w:rPr>
          <w:sz w:val="24"/>
          <w:szCs w:val="24"/>
          <w:lang w:val="en-US"/>
        </w:rPr>
        <w:t xml:space="preserve"> </w:t>
      </w:r>
      <w:r w:rsidR="00164BE8" w:rsidRPr="008319F4">
        <w:rPr>
          <w:sz w:val="24"/>
          <w:szCs w:val="24"/>
          <w:lang w:val="en-US"/>
        </w:rPr>
        <w:t>Chen and Zhang (2010) develop</w:t>
      </w:r>
      <w:r w:rsidR="006B6153" w:rsidRPr="008319F4">
        <w:rPr>
          <w:sz w:val="24"/>
          <w:szCs w:val="24"/>
          <w:lang w:val="en-US"/>
        </w:rPr>
        <w:t xml:space="preserve"> a </w:t>
      </w:r>
      <w:r w:rsidR="006B6153" w:rsidRPr="00D9200C">
        <w:rPr>
          <w:noProof/>
          <w:sz w:val="24"/>
          <w:szCs w:val="24"/>
          <w:lang w:val="en-US"/>
        </w:rPr>
        <w:t>three</w:t>
      </w:r>
      <w:r w:rsidR="00D9200C">
        <w:rPr>
          <w:noProof/>
          <w:sz w:val="24"/>
          <w:szCs w:val="24"/>
          <w:lang w:val="en-US"/>
        </w:rPr>
        <w:t>-</w:t>
      </w:r>
      <w:r w:rsidR="006B6153" w:rsidRPr="00D9200C">
        <w:rPr>
          <w:noProof/>
          <w:sz w:val="24"/>
          <w:szCs w:val="24"/>
          <w:lang w:val="en-US"/>
        </w:rPr>
        <w:t>factor</w:t>
      </w:r>
      <w:r w:rsidR="006B6153" w:rsidRPr="008319F4">
        <w:rPr>
          <w:sz w:val="24"/>
          <w:szCs w:val="24"/>
          <w:lang w:val="en-US"/>
        </w:rPr>
        <w:t xml:space="preserve"> model based on Q</w:t>
      </w:r>
      <w:r w:rsidR="00164BE8" w:rsidRPr="008319F4">
        <w:rPr>
          <w:sz w:val="24"/>
          <w:szCs w:val="24"/>
          <w:lang w:val="en-US"/>
        </w:rPr>
        <w:t xml:space="preserve"> theory and find supportive evidence. </w:t>
      </w:r>
      <w:r w:rsidR="00D06A85" w:rsidRPr="008319F4">
        <w:rPr>
          <w:sz w:val="24"/>
          <w:szCs w:val="24"/>
          <w:lang w:val="en-US"/>
        </w:rPr>
        <w:t xml:space="preserve"> </w:t>
      </w:r>
    </w:p>
    <w:p w14:paraId="66474E85" w14:textId="37628709" w:rsidR="00D06A85" w:rsidRPr="008319F4" w:rsidRDefault="00FD4006" w:rsidP="00164BE8">
      <w:pPr>
        <w:spacing w:line="480" w:lineRule="auto"/>
        <w:ind w:firstLine="720"/>
        <w:jc w:val="both"/>
        <w:rPr>
          <w:sz w:val="24"/>
          <w:szCs w:val="24"/>
          <w:lang w:val="en-US"/>
        </w:rPr>
      </w:pPr>
      <w:r w:rsidRPr="008319F4">
        <w:rPr>
          <w:sz w:val="24"/>
          <w:szCs w:val="24"/>
          <w:lang w:val="en-US"/>
        </w:rPr>
        <w:lastRenderedPageBreak/>
        <w:t>A parallel development of the literature is the mispricing explanation of the asset growth a</w:t>
      </w:r>
      <w:r w:rsidR="006B6153" w:rsidRPr="008319F4">
        <w:rPr>
          <w:sz w:val="24"/>
          <w:szCs w:val="24"/>
          <w:lang w:val="en-US"/>
        </w:rPr>
        <w:t>nomaly. Cooper et al.</w:t>
      </w:r>
      <w:r w:rsidRPr="008319F4">
        <w:rPr>
          <w:sz w:val="24"/>
          <w:szCs w:val="24"/>
          <w:lang w:val="en-US"/>
        </w:rPr>
        <w:t xml:space="preserve"> (2008) argue that the asset growth anomaly reflects investor overreaction to firm growth (contraction). They find that firms that grow (contract) tend to be firms with future negative (positive) profitability shocks with respect to performance in the </w:t>
      </w:r>
      <w:r w:rsidRPr="00D9200C">
        <w:rPr>
          <w:noProof/>
          <w:sz w:val="24"/>
          <w:szCs w:val="24"/>
          <w:lang w:val="en-US"/>
        </w:rPr>
        <w:t>sorting</w:t>
      </w:r>
      <w:r w:rsidRPr="008319F4">
        <w:rPr>
          <w:sz w:val="24"/>
          <w:szCs w:val="24"/>
          <w:lang w:val="en-US"/>
        </w:rPr>
        <w:t xml:space="preserve"> year. Furthermore, they show that subsequent earnings announcements for low growth firms are associated with positive abnormal returns and </w:t>
      </w:r>
      <w:r w:rsidRPr="008319F4">
        <w:rPr>
          <w:i/>
          <w:sz w:val="24"/>
          <w:szCs w:val="24"/>
          <w:lang w:val="en-US"/>
        </w:rPr>
        <w:t>vice versa</w:t>
      </w:r>
      <w:r w:rsidRPr="008319F4">
        <w:rPr>
          <w:sz w:val="24"/>
          <w:szCs w:val="24"/>
          <w:lang w:val="en-US"/>
        </w:rPr>
        <w:t>. The results are consistent with the La Porta, Lakonishok, Shleifer, and Vishny (1997) expectation errors mispricing story.</w:t>
      </w:r>
    </w:p>
    <w:p w14:paraId="589C4484" w14:textId="3D0C0E0C" w:rsidR="00D06A85" w:rsidRPr="008319F4" w:rsidRDefault="00C14735" w:rsidP="00530615">
      <w:pPr>
        <w:spacing w:line="480" w:lineRule="auto"/>
        <w:ind w:firstLine="720"/>
        <w:jc w:val="both"/>
        <w:rPr>
          <w:sz w:val="24"/>
          <w:szCs w:val="24"/>
          <w:lang w:val="en-US"/>
        </w:rPr>
      </w:pPr>
      <w:r w:rsidRPr="008319F4">
        <w:rPr>
          <w:sz w:val="24"/>
          <w:szCs w:val="24"/>
          <w:lang w:val="en-US"/>
        </w:rPr>
        <w:t>Further developments in this line of research focus more on the condition for the mispri</w:t>
      </w:r>
      <w:r w:rsidR="00236670" w:rsidRPr="008319F4">
        <w:rPr>
          <w:sz w:val="24"/>
          <w:szCs w:val="24"/>
          <w:lang w:val="en-US"/>
        </w:rPr>
        <w:t>cing to persist after it occurs; namely,</w:t>
      </w:r>
      <w:r w:rsidRPr="008319F4">
        <w:rPr>
          <w:sz w:val="24"/>
          <w:szCs w:val="24"/>
          <w:lang w:val="en-US"/>
        </w:rPr>
        <w:t xml:space="preserve"> limits-to-arbitrage. Both Li and Zhang (2010) and Lam and Wei (2011) propose that if mispricing leads to the asset growth anomaly, firms with high limits-to-arbitrage should show a stronger asset growth anomaly than firms with low limits-to-arbitrage. The reason is that the anomaly cannot be traded away quickly and should last for longer periods when there are high limits-to-arbitrage such as high transaction costs, high stock volatility and/or little information about the firm.  It is important to note that </w:t>
      </w:r>
      <w:r w:rsidR="00530615" w:rsidRPr="008319F4">
        <w:rPr>
          <w:sz w:val="24"/>
          <w:szCs w:val="24"/>
          <w:lang w:val="en-US"/>
        </w:rPr>
        <w:t>these studies</w:t>
      </w:r>
      <w:r w:rsidRPr="008319F4">
        <w:rPr>
          <w:sz w:val="24"/>
          <w:szCs w:val="24"/>
          <w:lang w:val="en-US"/>
        </w:rPr>
        <w:t xml:space="preserve"> </w:t>
      </w:r>
      <w:r w:rsidR="00530615" w:rsidRPr="008319F4">
        <w:rPr>
          <w:sz w:val="24"/>
          <w:szCs w:val="24"/>
          <w:lang w:val="en-US"/>
        </w:rPr>
        <w:t>do not directly study the underlining cause of the</w:t>
      </w:r>
      <w:r w:rsidRPr="008319F4">
        <w:rPr>
          <w:sz w:val="24"/>
          <w:szCs w:val="24"/>
          <w:lang w:val="en-US"/>
        </w:rPr>
        <w:t xml:space="preserve"> mispricing</w:t>
      </w:r>
      <w:r w:rsidR="00530615" w:rsidRPr="008319F4">
        <w:rPr>
          <w:sz w:val="24"/>
          <w:szCs w:val="24"/>
          <w:lang w:val="en-US"/>
        </w:rPr>
        <w:t xml:space="preserve">.  There is an implicit </w:t>
      </w:r>
      <w:r w:rsidRPr="008319F4">
        <w:rPr>
          <w:sz w:val="24"/>
          <w:szCs w:val="24"/>
          <w:lang w:val="en-US"/>
        </w:rPr>
        <w:t xml:space="preserve">assumption that mispricing </w:t>
      </w:r>
      <w:r w:rsidR="00530615" w:rsidRPr="008319F4">
        <w:rPr>
          <w:sz w:val="24"/>
          <w:szCs w:val="24"/>
          <w:lang w:val="en-US"/>
        </w:rPr>
        <w:t>occ</w:t>
      </w:r>
      <w:r w:rsidR="00236670" w:rsidRPr="008319F4">
        <w:rPr>
          <w:sz w:val="24"/>
          <w:szCs w:val="24"/>
          <w:lang w:val="en-US"/>
        </w:rPr>
        <w:t>urs in the market and arbitrage</w:t>
      </w:r>
      <w:r w:rsidR="00530615" w:rsidRPr="008319F4">
        <w:rPr>
          <w:sz w:val="24"/>
          <w:szCs w:val="24"/>
          <w:lang w:val="en-US"/>
        </w:rPr>
        <w:t xml:space="preserve"> fail</w:t>
      </w:r>
      <w:r w:rsidR="00236670" w:rsidRPr="008319F4">
        <w:rPr>
          <w:sz w:val="24"/>
          <w:szCs w:val="24"/>
          <w:lang w:val="en-US"/>
        </w:rPr>
        <w:t>s</w:t>
      </w:r>
      <w:r w:rsidR="00530615" w:rsidRPr="008319F4">
        <w:rPr>
          <w:sz w:val="24"/>
          <w:szCs w:val="24"/>
          <w:lang w:val="en-US"/>
        </w:rPr>
        <w:t xml:space="preserve"> to fully correct th</w:t>
      </w:r>
      <w:r w:rsidR="00236670" w:rsidRPr="008319F4">
        <w:rPr>
          <w:sz w:val="24"/>
          <w:szCs w:val="24"/>
          <w:lang w:val="en-US"/>
        </w:rPr>
        <w:t>e mispricing</w:t>
      </w:r>
      <w:r w:rsidR="00530615" w:rsidRPr="008319F4">
        <w:rPr>
          <w:sz w:val="24"/>
          <w:szCs w:val="24"/>
          <w:lang w:val="en-US"/>
        </w:rPr>
        <w:t xml:space="preserve">. </w:t>
      </w:r>
      <w:r w:rsidRPr="008319F4">
        <w:rPr>
          <w:sz w:val="24"/>
          <w:szCs w:val="24"/>
          <w:lang w:val="en-US"/>
        </w:rPr>
        <w:t xml:space="preserve"> </w:t>
      </w:r>
    </w:p>
    <w:p w14:paraId="6E5A06FC" w14:textId="124CA091" w:rsidR="00D06A85" w:rsidRPr="008319F4" w:rsidRDefault="00D06A85" w:rsidP="00ED2B81">
      <w:pPr>
        <w:spacing w:line="480" w:lineRule="auto"/>
        <w:ind w:firstLine="720"/>
        <w:jc w:val="both"/>
        <w:rPr>
          <w:sz w:val="24"/>
          <w:szCs w:val="24"/>
          <w:lang w:val="en-US"/>
        </w:rPr>
      </w:pPr>
      <w:r w:rsidRPr="008319F4">
        <w:rPr>
          <w:sz w:val="24"/>
          <w:szCs w:val="24"/>
          <w:lang w:val="en-US"/>
        </w:rPr>
        <w:t xml:space="preserve">Lipson, </w:t>
      </w:r>
      <w:r w:rsidRPr="00D9200C">
        <w:rPr>
          <w:noProof/>
          <w:sz w:val="24"/>
          <w:szCs w:val="24"/>
          <w:lang w:val="en-US"/>
        </w:rPr>
        <w:t>Mortal</w:t>
      </w:r>
      <w:r w:rsidRPr="008319F4">
        <w:rPr>
          <w:sz w:val="24"/>
          <w:szCs w:val="24"/>
          <w:lang w:val="en-US"/>
        </w:rPr>
        <w:t xml:space="preserve"> and Schill (2011) find that firms with high transaction costs have a stronger asset growth anomaly which is consistent with the mispricing with</w:t>
      </w:r>
      <w:r w:rsidR="00D9200C">
        <w:rPr>
          <w:sz w:val="24"/>
          <w:szCs w:val="24"/>
          <w:lang w:val="en-US"/>
        </w:rPr>
        <w:t xml:space="preserve"> a</w:t>
      </w:r>
      <w:r w:rsidRPr="008319F4">
        <w:rPr>
          <w:sz w:val="24"/>
          <w:szCs w:val="24"/>
          <w:lang w:val="en-US"/>
        </w:rPr>
        <w:t xml:space="preserve"> </w:t>
      </w:r>
      <w:r w:rsidRPr="00D9200C">
        <w:rPr>
          <w:noProof/>
          <w:sz w:val="24"/>
          <w:szCs w:val="24"/>
          <w:lang w:val="en-US"/>
        </w:rPr>
        <w:t>limits-to-arbitrage</w:t>
      </w:r>
      <w:r w:rsidRPr="008319F4">
        <w:rPr>
          <w:sz w:val="24"/>
          <w:szCs w:val="24"/>
          <w:lang w:val="en-US"/>
        </w:rPr>
        <w:t xml:space="preserve"> explanation. Li and Zhang (2010) and Lam and Wei (2011) compare </w:t>
      </w:r>
      <w:r w:rsidR="00530615" w:rsidRPr="008319F4">
        <w:rPr>
          <w:sz w:val="24"/>
          <w:szCs w:val="24"/>
          <w:lang w:val="en-US"/>
        </w:rPr>
        <w:t>the explanation</w:t>
      </w:r>
      <w:r w:rsidR="00B92875" w:rsidRPr="008319F4">
        <w:rPr>
          <w:sz w:val="24"/>
          <w:szCs w:val="24"/>
          <w:lang w:val="en-US"/>
        </w:rPr>
        <w:t>s</w:t>
      </w:r>
      <w:r w:rsidR="00530615" w:rsidRPr="008319F4">
        <w:rPr>
          <w:sz w:val="24"/>
          <w:szCs w:val="24"/>
          <w:lang w:val="en-US"/>
        </w:rPr>
        <w:t xml:space="preserve"> of </w:t>
      </w:r>
      <w:r w:rsidRPr="008319F4">
        <w:rPr>
          <w:sz w:val="24"/>
          <w:szCs w:val="24"/>
          <w:lang w:val="en-US"/>
        </w:rPr>
        <w:t xml:space="preserve">mispricing with limits-to-arbitrage </w:t>
      </w:r>
      <w:r w:rsidR="00530615" w:rsidRPr="008319F4">
        <w:rPr>
          <w:sz w:val="24"/>
          <w:szCs w:val="24"/>
          <w:lang w:val="en-US"/>
        </w:rPr>
        <w:t>and</w:t>
      </w:r>
      <w:r w:rsidRPr="008319F4">
        <w:rPr>
          <w:sz w:val="24"/>
          <w:szCs w:val="24"/>
          <w:lang w:val="en-US"/>
        </w:rPr>
        <w:t xml:space="preserve"> Q theory with investment frictions. Li and Zhang (2010) find the explanatory power of mispricing with limits to arbitrage is stronger than Q theory. With a more comprehensive set of proxies for limits to arbitrage and investment frictions, Lam and Wei (2011) show that the two </w:t>
      </w:r>
      <w:r w:rsidRPr="008319F4">
        <w:rPr>
          <w:sz w:val="24"/>
          <w:szCs w:val="24"/>
          <w:lang w:val="en-US"/>
        </w:rPr>
        <w:lastRenderedPageBreak/>
        <w:t>explanations have similar explanatory power in terms of the asset growth anomaly; and they consider the high correlation between the limits-to-arbitrage and investment frictions proxies as a key issue in trying to distinguish between the two explanations.</w:t>
      </w:r>
      <w:r w:rsidR="00B92875" w:rsidRPr="008319F4">
        <w:rPr>
          <w:sz w:val="24"/>
          <w:szCs w:val="24"/>
          <w:lang w:val="en-US"/>
        </w:rPr>
        <w:t xml:space="preserve">  More recently,</w:t>
      </w:r>
      <w:r w:rsidR="00ED2B81" w:rsidRPr="008319F4">
        <w:rPr>
          <w:sz w:val="24"/>
          <w:szCs w:val="24"/>
          <w:lang w:val="en-US"/>
        </w:rPr>
        <w:t xml:space="preserve"> as an attempt to address this issue, </w:t>
      </w:r>
      <w:r w:rsidR="00B92875" w:rsidRPr="008319F4">
        <w:rPr>
          <w:sz w:val="24"/>
          <w:szCs w:val="24"/>
          <w:lang w:val="en-US"/>
        </w:rPr>
        <w:t xml:space="preserve">Titman, </w:t>
      </w:r>
      <w:r w:rsidR="00B92875" w:rsidRPr="00D9200C">
        <w:rPr>
          <w:noProof/>
          <w:sz w:val="24"/>
          <w:szCs w:val="24"/>
          <w:lang w:val="en-US"/>
        </w:rPr>
        <w:t>Wei</w:t>
      </w:r>
      <w:r w:rsidR="00B92875" w:rsidRPr="008319F4">
        <w:rPr>
          <w:sz w:val="24"/>
          <w:szCs w:val="24"/>
          <w:lang w:val="en-US"/>
        </w:rPr>
        <w:t xml:space="preserve"> and Xei (20</w:t>
      </w:r>
      <w:r w:rsidR="00AC0EAA" w:rsidRPr="008319F4">
        <w:rPr>
          <w:sz w:val="24"/>
          <w:szCs w:val="24"/>
          <w:lang w:val="en-US"/>
        </w:rPr>
        <w:t>13) and Watanabe et al.</w:t>
      </w:r>
      <w:r w:rsidR="00B92875" w:rsidRPr="008319F4">
        <w:rPr>
          <w:sz w:val="24"/>
          <w:szCs w:val="24"/>
          <w:lang w:val="en-US"/>
        </w:rPr>
        <w:t xml:space="preserve"> (2013) undertake </w:t>
      </w:r>
      <w:r w:rsidR="00B92875" w:rsidRPr="00D9200C">
        <w:rPr>
          <w:noProof/>
          <w:sz w:val="24"/>
          <w:szCs w:val="24"/>
          <w:lang w:val="en-US"/>
        </w:rPr>
        <w:t>cross</w:t>
      </w:r>
      <w:r w:rsidR="00D9200C">
        <w:rPr>
          <w:noProof/>
          <w:sz w:val="24"/>
          <w:szCs w:val="24"/>
          <w:lang w:val="en-US"/>
        </w:rPr>
        <w:t>-</w:t>
      </w:r>
      <w:r w:rsidR="00B92875" w:rsidRPr="00D9200C">
        <w:rPr>
          <w:noProof/>
          <w:sz w:val="24"/>
          <w:szCs w:val="24"/>
          <w:lang w:val="en-US"/>
        </w:rPr>
        <w:t>country</w:t>
      </w:r>
      <w:r w:rsidR="00B92875" w:rsidRPr="008319F4">
        <w:rPr>
          <w:sz w:val="24"/>
          <w:szCs w:val="24"/>
          <w:lang w:val="en-US"/>
        </w:rPr>
        <w:t xml:space="preserve"> studies and find a stronger asset growth anomaly i</w:t>
      </w:r>
      <w:r w:rsidR="00AC0EAA" w:rsidRPr="008319F4">
        <w:rPr>
          <w:sz w:val="24"/>
          <w:szCs w:val="24"/>
          <w:lang w:val="en-US"/>
        </w:rPr>
        <w:t>n more developed stock markets that</w:t>
      </w:r>
      <w:r w:rsidR="00B92875" w:rsidRPr="008319F4">
        <w:rPr>
          <w:sz w:val="24"/>
          <w:szCs w:val="24"/>
          <w:lang w:val="en-US"/>
        </w:rPr>
        <w:t xml:space="preserve"> is consistent with dynamically optimal investment; that is, they find support for Q theory. </w:t>
      </w:r>
    </w:p>
    <w:p w14:paraId="38B824DF" w14:textId="65A3EDF0" w:rsidR="00CE44B7" w:rsidRPr="008319F4" w:rsidRDefault="00AC0EAA" w:rsidP="00164BE8">
      <w:pPr>
        <w:spacing w:line="480" w:lineRule="auto"/>
        <w:ind w:firstLine="720"/>
        <w:jc w:val="both"/>
        <w:rPr>
          <w:sz w:val="24"/>
          <w:szCs w:val="24"/>
          <w:lang w:val="en-US"/>
        </w:rPr>
      </w:pPr>
      <w:r w:rsidRPr="008319F4">
        <w:rPr>
          <w:sz w:val="24"/>
          <w:szCs w:val="24"/>
          <w:lang w:val="en-US"/>
        </w:rPr>
        <w:t>In s</w:t>
      </w:r>
      <w:r w:rsidR="00164BE8" w:rsidRPr="008319F4">
        <w:rPr>
          <w:sz w:val="24"/>
          <w:szCs w:val="24"/>
          <w:lang w:val="en-US"/>
        </w:rPr>
        <w:t>ummary,</w:t>
      </w:r>
      <w:r w:rsidR="00A736FD" w:rsidRPr="008319F4">
        <w:rPr>
          <w:sz w:val="24"/>
          <w:szCs w:val="24"/>
          <w:lang w:val="en-US"/>
        </w:rPr>
        <w:t xml:space="preserve"> while</w:t>
      </w:r>
      <w:r w:rsidRPr="008319F4">
        <w:rPr>
          <w:sz w:val="24"/>
          <w:szCs w:val="24"/>
          <w:lang w:val="en-US"/>
        </w:rPr>
        <w:t xml:space="preserve"> the literature finds support for</w:t>
      </w:r>
      <w:r w:rsidR="00A736FD" w:rsidRPr="008319F4">
        <w:rPr>
          <w:sz w:val="24"/>
          <w:szCs w:val="24"/>
          <w:lang w:val="en-US"/>
        </w:rPr>
        <w:t xml:space="preserve"> both Q theory</w:t>
      </w:r>
      <w:r w:rsidR="00164BE8" w:rsidRPr="008319F4">
        <w:rPr>
          <w:sz w:val="24"/>
          <w:szCs w:val="24"/>
          <w:lang w:val="en-US"/>
        </w:rPr>
        <w:t xml:space="preserve"> with investment frictions </w:t>
      </w:r>
      <w:r w:rsidR="00A736FD" w:rsidRPr="008319F4">
        <w:rPr>
          <w:sz w:val="24"/>
          <w:szCs w:val="24"/>
          <w:lang w:val="en-US"/>
        </w:rPr>
        <w:t>and</w:t>
      </w:r>
      <w:r w:rsidR="00164BE8" w:rsidRPr="008319F4">
        <w:rPr>
          <w:sz w:val="24"/>
          <w:szCs w:val="24"/>
          <w:lang w:val="en-US"/>
        </w:rPr>
        <w:t xml:space="preserve"> mispricing with limits-to arbitrage </w:t>
      </w:r>
      <w:r w:rsidRPr="008319F4">
        <w:rPr>
          <w:sz w:val="24"/>
          <w:szCs w:val="24"/>
          <w:lang w:val="en-US"/>
        </w:rPr>
        <w:t xml:space="preserve">to </w:t>
      </w:r>
      <w:r w:rsidR="00164BE8" w:rsidRPr="008319F4">
        <w:rPr>
          <w:sz w:val="24"/>
          <w:szCs w:val="24"/>
          <w:lang w:val="en-US"/>
        </w:rPr>
        <w:t>explain the asset growth anomaly</w:t>
      </w:r>
      <w:r w:rsidRPr="008319F4">
        <w:rPr>
          <w:sz w:val="24"/>
          <w:szCs w:val="24"/>
          <w:lang w:val="en-US"/>
        </w:rPr>
        <w:t>, recent studies have</w:t>
      </w:r>
      <w:r w:rsidR="00A736FD" w:rsidRPr="008319F4">
        <w:rPr>
          <w:sz w:val="24"/>
          <w:szCs w:val="24"/>
          <w:lang w:val="en-US"/>
        </w:rPr>
        <w:t xml:space="preserve"> focused more t</w:t>
      </w:r>
      <w:r w:rsidRPr="008319F4">
        <w:rPr>
          <w:sz w:val="24"/>
          <w:szCs w:val="24"/>
          <w:lang w:val="en-US"/>
        </w:rPr>
        <w:t xml:space="preserve">owards the Q theory explanation.  Mispricing as an explanation of </w:t>
      </w:r>
      <w:r w:rsidR="00A736FD" w:rsidRPr="008319F4">
        <w:rPr>
          <w:sz w:val="24"/>
          <w:szCs w:val="24"/>
          <w:lang w:val="en-US"/>
        </w:rPr>
        <w:t xml:space="preserve">the phenomenon </w:t>
      </w:r>
      <w:r w:rsidRPr="008319F4">
        <w:rPr>
          <w:sz w:val="24"/>
          <w:szCs w:val="24"/>
          <w:lang w:val="en-US"/>
        </w:rPr>
        <w:t xml:space="preserve">has </w:t>
      </w:r>
      <w:r w:rsidR="00A736FD" w:rsidRPr="008319F4">
        <w:rPr>
          <w:sz w:val="24"/>
          <w:szCs w:val="24"/>
          <w:lang w:val="en-US"/>
        </w:rPr>
        <w:t>receive</w:t>
      </w:r>
      <w:r w:rsidRPr="008319F4">
        <w:rPr>
          <w:sz w:val="24"/>
          <w:szCs w:val="24"/>
          <w:lang w:val="en-US"/>
        </w:rPr>
        <w:t>d less attention since Cooper et</w:t>
      </w:r>
      <w:r w:rsidR="00A736FD" w:rsidRPr="008319F4">
        <w:rPr>
          <w:sz w:val="24"/>
          <w:szCs w:val="24"/>
          <w:lang w:val="en-US"/>
        </w:rPr>
        <w:t xml:space="preserve"> al.’s early analysis. Importantly, recent studies on the mispricing explanation only focus on the condition of the subsequent</w:t>
      </w:r>
      <w:r w:rsidRPr="008319F4">
        <w:rPr>
          <w:sz w:val="24"/>
          <w:szCs w:val="24"/>
          <w:lang w:val="en-US"/>
        </w:rPr>
        <w:t xml:space="preserve"> persistence of mispricing rather</w:t>
      </w:r>
      <w:r w:rsidR="00A736FD" w:rsidRPr="008319F4">
        <w:rPr>
          <w:sz w:val="24"/>
          <w:szCs w:val="24"/>
          <w:lang w:val="en-US"/>
        </w:rPr>
        <w:t xml:space="preserve"> than the cause of </w:t>
      </w:r>
      <w:r w:rsidRPr="008319F4">
        <w:rPr>
          <w:sz w:val="24"/>
          <w:szCs w:val="24"/>
          <w:lang w:val="en-US"/>
        </w:rPr>
        <w:t xml:space="preserve">the </w:t>
      </w:r>
      <w:r w:rsidR="00A736FD" w:rsidRPr="008319F4">
        <w:rPr>
          <w:sz w:val="24"/>
          <w:szCs w:val="24"/>
          <w:lang w:val="en-US"/>
        </w:rPr>
        <w:t>init</w:t>
      </w:r>
      <w:r w:rsidRPr="008319F4">
        <w:rPr>
          <w:sz w:val="24"/>
          <w:szCs w:val="24"/>
          <w:lang w:val="en-US"/>
        </w:rPr>
        <w:t>ial pricing.  This study aims to fill</w:t>
      </w:r>
      <w:r w:rsidR="00A736FD" w:rsidRPr="008319F4">
        <w:rPr>
          <w:sz w:val="24"/>
          <w:szCs w:val="24"/>
          <w:lang w:val="en-US"/>
        </w:rPr>
        <w:t xml:space="preserve"> this void. </w:t>
      </w:r>
    </w:p>
    <w:p w14:paraId="6BAA591B" w14:textId="77777777" w:rsidR="00B31BE3" w:rsidRPr="008319F4" w:rsidRDefault="00B31BE3" w:rsidP="005C18AA">
      <w:pPr>
        <w:spacing w:line="480" w:lineRule="auto"/>
        <w:ind w:firstLine="720"/>
        <w:jc w:val="both"/>
        <w:rPr>
          <w:sz w:val="24"/>
          <w:szCs w:val="24"/>
          <w:lang w:val="en-US"/>
        </w:rPr>
      </w:pPr>
    </w:p>
    <w:p w14:paraId="01295B8C" w14:textId="77777777" w:rsidR="00744943" w:rsidRPr="008319F4" w:rsidRDefault="00053887" w:rsidP="00214CCE">
      <w:pPr>
        <w:pStyle w:val="PaperTitle2"/>
      </w:pPr>
      <w:r w:rsidRPr="008319F4">
        <w:t>2.2</w:t>
      </w:r>
      <w:r w:rsidR="006E223A" w:rsidRPr="008319F4">
        <w:t xml:space="preserve"> Testable hypotheses</w:t>
      </w:r>
    </w:p>
    <w:p w14:paraId="2AA9AB5B" w14:textId="27726BD4" w:rsidR="00E81B5D" w:rsidRPr="008319F4" w:rsidRDefault="00FB128B" w:rsidP="00214CCE">
      <w:pPr>
        <w:spacing w:line="480" w:lineRule="auto"/>
        <w:jc w:val="both"/>
        <w:rPr>
          <w:sz w:val="24"/>
          <w:szCs w:val="24"/>
          <w:lang w:val="en-US"/>
        </w:rPr>
      </w:pPr>
      <w:r w:rsidRPr="008319F4">
        <w:rPr>
          <w:sz w:val="24"/>
          <w:szCs w:val="24"/>
          <w:lang w:val="en-US"/>
        </w:rPr>
        <w:t xml:space="preserve">In this study, we investigate how investors </w:t>
      </w:r>
      <w:r w:rsidR="00A736FD" w:rsidRPr="008319F4">
        <w:rPr>
          <w:sz w:val="24"/>
          <w:szCs w:val="24"/>
          <w:lang w:val="en-US"/>
        </w:rPr>
        <w:t xml:space="preserve">react </w:t>
      </w:r>
      <w:r w:rsidRPr="008319F4">
        <w:rPr>
          <w:sz w:val="24"/>
          <w:szCs w:val="24"/>
          <w:lang w:val="en-US"/>
        </w:rPr>
        <w:t>to firm growth information and examine how far the overreaction can be related to the representativeness heuristic.</w:t>
      </w:r>
    </w:p>
    <w:p w14:paraId="4A1F7CF4" w14:textId="57EBAE69" w:rsidR="00E81B5D" w:rsidRPr="008319F4" w:rsidRDefault="00E81B5D" w:rsidP="00913E65">
      <w:pPr>
        <w:spacing w:line="480" w:lineRule="auto"/>
        <w:ind w:firstLine="720"/>
        <w:jc w:val="both"/>
        <w:rPr>
          <w:sz w:val="24"/>
          <w:szCs w:val="24"/>
          <w:lang w:val="en-US"/>
        </w:rPr>
      </w:pPr>
      <w:r w:rsidRPr="008319F4">
        <w:rPr>
          <w:sz w:val="24"/>
          <w:szCs w:val="24"/>
          <w:lang w:val="en-US"/>
        </w:rPr>
        <w:t xml:space="preserve">Lakonishok, </w:t>
      </w:r>
      <w:r w:rsidRPr="00D9200C">
        <w:rPr>
          <w:noProof/>
          <w:sz w:val="24"/>
          <w:szCs w:val="24"/>
          <w:lang w:val="en-US"/>
        </w:rPr>
        <w:t>Shleifer</w:t>
      </w:r>
      <w:r w:rsidRPr="008319F4">
        <w:rPr>
          <w:sz w:val="24"/>
          <w:szCs w:val="24"/>
          <w:lang w:val="en-US"/>
        </w:rPr>
        <w:t xml:space="preserve"> and Vishny (1994) </w:t>
      </w:r>
      <w:r w:rsidR="00037B25" w:rsidRPr="008319F4">
        <w:rPr>
          <w:sz w:val="24"/>
          <w:szCs w:val="24"/>
          <w:lang w:val="en-US"/>
        </w:rPr>
        <w:t xml:space="preserve">indicate that investors extrapolate firm performance too far </w:t>
      </w:r>
      <w:r w:rsidR="00DA55C3" w:rsidRPr="008319F4">
        <w:rPr>
          <w:sz w:val="24"/>
          <w:szCs w:val="24"/>
          <w:lang w:val="en-US"/>
        </w:rPr>
        <w:t>in</w:t>
      </w:r>
      <w:r w:rsidR="00037B25" w:rsidRPr="008319F4">
        <w:rPr>
          <w:sz w:val="24"/>
          <w:szCs w:val="24"/>
          <w:lang w:val="en-US"/>
        </w:rPr>
        <w:t>to the future and</w:t>
      </w:r>
      <w:r w:rsidR="001A71D7" w:rsidRPr="008319F4">
        <w:rPr>
          <w:sz w:val="24"/>
          <w:szCs w:val="24"/>
          <w:lang w:val="en-US"/>
        </w:rPr>
        <w:t>,</w:t>
      </w:r>
      <w:r w:rsidR="00037B25" w:rsidRPr="008319F4">
        <w:rPr>
          <w:sz w:val="24"/>
          <w:szCs w:val="24"/>
          <w:lang w:val="en-US"/>
        </w:rPr>
        <w:t xml:space="preserve"> therefore</w:t>
      </w:r>
      <w:r w:rsidR="001A71D7" w:rsidRPr="008319F4">
        <w:rPr>
          <w:sz w:val="24"/>
          <w:szCs w:val="24"/>
          <w:lang w:val="en-US"/>
        </w:rPr>
        <w:t>,</w:t>
      </w:r>
      <w:r w:rsidR="00037B25" w:rsidRPr="008319F4">
        <w:rPr>
          <w:sz w:val="24"/>
          <w:szCs w:val="24"/>
          <w:lang w:val="en-US"/>
        </w:rPr>
        <w:t xml:space="preserve"> push</w:t>
      </w:r>
      <w:r w:rsidR="00D9200C">
        <w:rPr>
          <w:sz w:val="24"/>
          <w:szCs w:val="24"/>
          <w:lang w:val="en-US"/>
        </w:rPr>
        <w:t xml:space="preserve"> the</w:t>
      </w:r>
      <w:r w:rsidR="00037B25" w:rsidRPr="008319F4">
        <w:rPr>
          <w:sz w:val="24"/>
          <w:szCs w:val="24"/>
          <w:lang w:val="en-US"/>
        </w:rPr>
        <w:t xml:space="preserve"> </w:t>
      </w:r>
      <w:r w:rsidR="00037B25" w:rsidRPr="00D9200C">
        <w:rPr>
          <w:noProof/>
          <w:sz w:val="24"/>
          <w:szCs w:val="24"/>
          <w:lang w:val="en-US"/>
        </w:rPr>
        <w:t>price</w:t>
      </w:r>
      <w:r w:rsidR="00037B25" w:rsidRPr="008319F4">
        <w:rPr>
          <w:sz w:val="24"/>
          <w:szCs w:val="24"/>
          <w:lang w:val="en-US"/>
        </w:rPr>
        <w:t xml:space="preserve"> too high or too</w:t>
      </w:r>
      <w:r w:rsidR="00FA22C5" w:rsidRPr="008319F4">
        <w:rPr>
          <w:sz w:val="24"/>
          <w:szCs w:val="24"/>
          <w:lang w:val="en-US"/>
        </w:rPr>
        <w:t xml:space="preserve"> low causing a subsequent reversal</w:t>
      </w:r>
      <w:r w:rsidR="00406CD5" w:rsidRPr="008319F4">
        <w:rPr>
          <w:sz w:val="24"/>
          <w:szCs w:val="24"/>
          <w:lang w:val="en-US"/>
        </w:rPr>
        <w:t xml:space="preserve">. Their argument </w:t>
      </w:r>
      <w:r w:rsidR="00037B25" w:rsidRPr="008319F4">
        <w:rPr>
          <w:sz w:val="24"/>
          <w:szCs w:val="24"/>
          <w:lang w:val="en-US"/>
        </w:rPr>
        <w:t xml:space="preserve">implies that investors overreact to </w:t>
      </w:r>
      <w:r w:rsidR="00FA22C5" w:rsidRPr="008319F4">
        <w:rPr>
          <w:sz w:val="24"/>
          <w:szCs w:val="24"/>
          <w:lang w:val="en-US"/>
        </w:rPr>
        <w:t xml:space="preserve">a </w:t>
      </w:r>
      <w:r w:rsidR="00037B25" w:rsidRPr="008319F4">
        <w:rPr>
          <w:sz w:val="24"/>
          <w:szCs w:val="24"/>
          <w:lang w:val="en-US"/>
        </w:rPr>
        <w:t>firm</w:t>
      </w:r>
      <w:r w:rsidR="00FA22C5" w:rsidRPr="008319F4">
        <w:rPr>
          <w:sz w:val="24"/>
          <w:szCs w:val="24"/>
          <w:lang w:val="en-US"/>
        </w:rPr>
        <w:t>’</w:t>
      </w:r>
      <w:r w:rsidR="00037B25" w:rsidRPr="008319F4">
        <w:rPr>
          <w:sz w:val="24"/>
          <w:szCs w:val="24"/>
          <w:lang w:val="en-US"/>
        </w:rPr>
        <w:t>s</w:t>
      </w:r>
      <w:r w:rsidR="00DA55C3" w:rsidRPr="008319F4">
        <w:rPr>
          <w:sz w:val="24"/>
          <w:szCs w:val="24"/>
          <w:lang w:val="en-US"/>
        </w:rPr>
        <w:t xml:space="preserve"> prospects</w:t>
      </w:r>
      <w:r w:rsidR="001A71D7" w:rsidRPr="008319F4">
        <w:rPr>
          <w:sz w:val="24"/>
          <w:szCs w:val="24"/>
          <w:lang w:val="en-US"/>
        </w:rPr>
        <w:t>.  In essence, investors</w:t>
      </w:r>
      <w:r w:rsidR="00514CBB" w:rsidRPr="008319F4">
        <w:rPr>
          <w:sz w:val="24"/>
          <w:szCs w:val="24"/>
          <w:lang w:val="en-US"/>
        </w:rPr>
        <w:t xml:space="preserve"> display unrealistic view</w:t>
      </w:r>
      <w:r w:rsidR="001A71D7" w:rsidRPr="008319F4">
        <w:rPr>
          <w:sz w:val="24"/>
          <w:szCs w:val="24"/>
          <w:lang w:val="en-US"/>
        </w:rPr>
        <w:t>s</w:t>
      </w:r>
      <w:r w:rsidR="00514CBB" w:rsidRPr="008319F4">
        <w:rPr>
          <w:sz w:val="24"/>
          <w:szCs w:val="24"/>
          <w:lang w:val="en-US"/>
        </w:rPr>
        <w:t xml:space="preserve"> about </w:t>
      </w:r>
      <w:r w:rsidR="00406CD5" w:rsidRPr="008319F4">
        <w:rPr>
          <w:sz w:val="24"/>
          <w:szCs w:val="24"/>
          <w:lang w:val="en-US"/>
        </w:rPr>
        <w:t xml:space="preserve">firms’ </w:t>
      </w:r>
      <w:r w:rsidR="00514CBB" w:rsidRPr="008319F4">
        <w:rPr>
          <w:sz w:val="24"/>
          <w:szCs w:val="24"/>
          <w:lang w:val="en-US"/>
        </w:rPr>
        <w:t xml:space="preserve">prospects and </w:t>
      </w:r>
      <w:r w:rsidR="001A71D7" w:rsidRPr="008319F4">
        <w:rPr>
          <w:sz w:val="24"/>
          <w:szCs w:val="24"/>
          <w:lang w:val="en-US"/>
        </w:rPr>
        <w:t>have an in</w:t>
      </w:r>
      <w:r w:rsidR="00514CBB" w:rsidRPr="008319F4">
        <w:rPr>
          <w:sz w:val="24"/>
          <w:szCs w:val="24"/>
          <w:lang w:val="en-US"/>
        </w:rPr>
        <w:t>ability to forecast (e.g., Weinstein, 1980; Buehler, Griffin and Ros</w:t>
      </w:r>
      <w:r w:rsidR="001A71D7" w:rsidRPr="008319F4">
        <w:rPr>
          <w:sz w:val="24"/>
          <w:szCs w:val="24"/>
          <w:lang w:val="en-US"/>
        </w:rPr>
        <w:t>s, 1994)</w:t>
      </w:r>
      <w:r w:rsidR="006E0F6F" w:rsidRPr="008319F4">
        <w:rPr>
          <w:sz w:val="24"/>
          <w:szCs w:val="24"/>
          <w:lang w:val="en-US"/>
        </w:rPr>
        <w:t>.</w:t>
      </w:r>
    </w:p>
    <w:p w14:paraId="35097924" w14:textId="401DFF48" w:rsidR="006E0F6F" w:rsidRPr="008319F4" w:rsidRDefault="006E0F6F" w:rsidP="00913E65">
      <w:pPr>
        <w:spacing w:line="480" w:lineRule="auto"/>
        <w:ind w:firstLine="720"/>
        <w:jc w:val="both"/>
        <w:rPr>
          <w:sz w:val="24"/>
          <w:szCs w:val="24"/>
          <w:lang w:val="en-US"/>
        </w:rPr>
      </w:pPr>
      <w:r w:rsidRPr="008319F4">
        <w:rPr>
          <w:sz w:val="24"/>
          <w:szCs w:val="24"/>
          <w:lang w:val="en-US"/>
        </w:rPr>
        <w:lastRenderedPageBreak/>
        <w:t xml:space="preserve">Growth firms </w:t>
      </w:r>
      <w:r w:rsidR="00841DF2" w:rsidRPr="008319F4">
        <w:rPr>
          <w:sz w:val="24"/>
          <w:szCs w:val="24"/>
          <w:lang w:val="en-US"/>
        </w:rPr>
        <w:t xml:space="preserve">are </w:t>
      </w:r>
      <w:r w:rsidRPr="008319F4">
        <w:rPr>
          <w:sz w:val="24"/>
          <w:szCs w:val="24"/>
          <w:lang w:val="en-US"/>
        </w:rPr>
        <w:t>us</w:t>
      </w:r>
      <w:r w:rsidR="00841DF2" w:rsidRPr="008319F4">
        <w:rPr>
          <w:sz w:val="24"/>
          <w:szCs w:val="24"/>
          <w:lang w:val="en-US"/>
        </w:rPr>
        <w:t>ually characterized as relatively you</w:t>
      </w:r>
      <w:r w:rsidR="00DA55C3" w:rsidRPr="008319F4">
        <w:rPr>
          <w:sz w:val="24"/>
          <w:szCs w:val="24"/>
          <w:lang w:val="en-US"/>
        </w:rPr>
        <w:t>ng</w:t>
      </w:r>
      <w:r w:rsidR="00841DF2" w:rsidRPr="008319F4">
        <w:rPr>
          <w:sz w:val="24"/>
          <w:szCs w:val="24"/>
          <w:lang w:val="en-US"/>
        </w:rPr>
        <w:t xml:space="preserve"> and small, </w:t>
      </w:r>
      <w:r w:rsidRPr="008319F4">
        <w:rPr>
          <w:sz w:val="24"/>
          <w:szCs w:val="24"/>
          <w:lang w:val="en-US"/>
        </w:rPr>
        <w:t xml:space="preserve">and </w:t>
      </w:r>
      <w:r w:rsidR="00841DF2" w:rsidRPr="008319F4">
        <w:rPr>
          <w:sz w:val="24"/>
          <w:szCs w:val="24"/>
          <w:lang w:val="en-US"/>
        </w:rPr>
        <w:t xml:space="preserve">have </w:t>
      </w:r>
      <w:r w:rsidRPr="008319F4">
        <w:rPr>
          <w:sz w:val="24"/>
          <w:szCs w:val="24"/>
          <w:lang w:val="en-US"/>
        </w:rPr>
        <w:t xml:space="preserve">less information available </w:t>
      </w:r>
      <w:r w:rsidR="00841DF2" w:rsidRPr="008319F4">
        <w:rPr>
          <w:sz w:val="24"/>
          <w:szCs w:val="24"/>
          <w:lang w:val="en-US"/>
        </w:rPr>
        <w:t xml:space="preserve">but </w:t>
      </w:r>
      <w:r w:rsidRPr="008319F4">
        <w:rPr>
          <w:sz w:val="24"/>
          <w:szCs w:val="24"/>
          <w:lang w:val="en-US"/>
        </w:rPr>
        <w:t>have more growth opportunities or better growth prospects</w:t>
      </w:r>
      <w:r w:rsidR="00841DF2" w:rsidRPr="008319F4">
        <w:rPr>
          <w:sz w:val="24"/>
          <w:szCs w:val="24"/>
          <w:lang w:val="en-US"/>
        </w:rPr>
        <w:t>.  In contrast, mature firms are characterized as having long histories</w:t>
      </w:r>
      <w:r w:rsidRPr="008319F4">
        <w:rPr>
          <w:sz w:val="24"/>
          <w:szCs w:val="24"/>
          <w:lang w:val="en-US"/>
        </w:rPr>
        <w:t>, large size and</w:t>
      </w:r>
      <w:r w:rsidR="00841DF2" w:rsidRPr="008319F4">
        <w:rPr>
          <w:sz w:val="24"/>
          <w:szCs w:val="24"/>
          <w:lang w:val="en-US"/>
        </w:rPr>
        <w:t xml:space="preserve"> more information available but</w:t>
      </w:r>
      <w:r w:rsidRPr="008319F4">
        <w:rPr>
          <w:sz w:val="24"/>
          <w:szCs w:val="24"/>
          <w:lang w:val="en-US"/>
        </w:rPr>
        <w:t xml:space="preserve"> </w:t>
      </w:r>
      <w:r w:rsidRPr="00FD30FC">
        <w:rPr>
          <w:noProof/>
          <w:sz w:val="24"/>
          <w:szCs w:val="24"/>
          <w:lang w:val="en-US"/>
        </w:rPr>
        <w:t>less</w:t>
      </w:r>
      <w:r w:rsidRPr="008319F4">
        <w:rPr>
          <w:sz w:val="24"/>
          <w:szCs w:val="24"/>
          <w:lang w:val="en-US"/>
        </w:rPr>
        <w:t xml:space="preserve"> growth opportunities.</w:t>
      </w:r>
      <w:r w:rsidR="00DC49A0" w:rsidRPr="008319F4">
        <w:rPr>
          <w:sz w:val="24"/>
          <w:szCs w:val="24"/>
          <w:lang w:val="en-US"/>
        </w:rPr>
        <w:t xml:space="preserve"> T</w:t>
      </w:r>
      <w:r w:rsidR="00841DF2" w:rsidRPr="008319F4">
        <w:rPr>
          <w:sz w:val="24"/>
          <w:szCs w:val="24"/>
          <w:lang w:val="en-US"/>
        </w:rPr>
        <w:t>herefore, investors sh</w:t>
      </w:r>
      <w:r w:rsidR="006B5B5D" w:rsidRPr="008319F4">
        <w:rPr>
          <w:sz w:val="24"/>
          <w:szCs w:val="24"/>
          <w:lang w:val="en-US"/>
        </w:rPr>
        <w:t>ould overreact more to growth firms d</w:t>
      </w:r>
      <w:r w:rsidR="00841DF2" w:rsidRPr="008319F4">
        <w:rPr>
          <w:sz w:val="24"/>
          <w:szCs w:val="24"/>
          <w:lang w:val="en-US"/>
        </w:rPr>
        <w:t xml:space="preserve">ue to their greater </w:t>
      </w:r>
      <w:r w:rsidR="006B5B5D" w:rsidRPr="008319F4">
        <w:rPr>
          <w:sz w:val="24"/>
          <w:szCs w:val="24"/>
          <w:lang w:val="en-US"/>
        </w:rPr>
        <w:t>growth</w:t>
      </w:r>
      <w:r w:rsidR="00841DF2" w:rsidRPr="008319F4">
        <w:rPr>
          <w:sz w:val="24"/>
          <w:szCs w:val="24"/>
          <w:lang w:val="en-US"/>
        </w:rPr>
        <w:t xml:space="preserve"> opportunities than mature</w:t>
      </w:r>
      <w:r w:rsidR="00A90E2D" w:rsidRPr="008319F4">
        <w:rPr>
          <w:sz w:val="24"/>
          <w:szCs w:val="24"/>
          <w:lang w:val="en-US"/>
        </w:rPr>
        <w:t xml:space="preserve"> firms</w:t>
      </w:r>
      <w:r w:rsidR="006B5B5D" w:rsidRPr="008319F4">
        <w:rPr>
          <w:sz w:val="24"/>
          <w:szCs w:val="24"/>
          <w:lang w:val="en-US"/>
        </w:rPr>
        <w:t>.</w:t>
      </w:r>
      <w:r w:rsidRPr="008319F4">
        <w:rPr>
          <w:sz w:val="24"/>
          <w:szCs w:val="24"/>
          <w:lang w:val="en-US"/>
        </w:rPr>
        <w:t xml:space="preserve"> </w:t>
      </w:r>
      <w:r w:rsidR="00841DF2" w:rsidRPr="008319F4">
        <w:rPr>
          <w:sz w:val="24"/>
          <w:szCs w:val="24"/>
          <w:lang w:val="en-US"/>
        </w:rPr>
        <w:t>These</w:t>
      </w:r>
      <w:r w:rsidR="006B5B5D" w:rsidRPr="008319F4">
        <w:rPr>
          <w:sz w:val="24"/>
          <w:szCs w:val="24"/>
          <w:lang w:val="en-US"/>
        </w:rPr>
        <w:t xml:space="preserve"> arguments lead to</w:t>
      </w:r>
      <w:r w:rsidRPr="008319F4">
        <w:rPr>
          <w:sz w:val="24"/>
          <w:szCs w:val="24"/>
          <w:lang w:val="en-US"/>
        </w:rPr>
        <w:t xml:space="preserve"> our first hypothesis.</w:t>
      </w:r>
    </w:p>
    <w:p w14:paraId="477929CD" w14:textId="77777777" w:rsidR="006E0F6F" w:rsidRPr="008319F4" w:rsidRDefault="006E0F6F" w:rsidP="00214CCE">
      <w:pPr>
        <w:spacing w:line="480" w:lineRule="auto"/>
        <w:jc w:val="both"/>
        <w:rPr>
          <w:i/>
          <w:sz w:val="24"/>
          <w:szCs w:val="24"/>
          <w:lang w:val="en-US"/>
        </w:rPr>
      </w:pPr>
      <w:r w:rsidRPr="008319F4">
        <w:rPr>
          <w:b/>
          <w:i/>
          <w:sz w:val="24"/>
          <w:szCs w:val="24"/>
          <w:lang w:val="en-US"/>
        </w:rPr>
        <w:t>H1.</w:t>
      </w:r>
      <w:r w:rsidRPr="008319F4">
        <w:rPr>
          <w:i/>
          <w:sz w:val="24"/>
          <w:szCs w:val="24"/>
          <w:lang w:val="en-US"/>
        </w:rPr>
        <w:t xml:space="preserve"> Growth firms should show </w:t>
      </w:r>
      <w:r w:rsidR="00812D0B" w:rsidRPr="008319F4">
        <w:rPr>
          <w:i/>
          <w:sz w:val="24"/>
          <w:szCs w:val="24"/>
          <w:lang w:val="en-US"/>
        </w:rPr>
        <w:t xml:space="preserve">a </w:t>
      </w:r>
      <w:r w:rsidRPr="008319F4">
        <w:rPr>
          <w:i/>
          <w:sz w:val="24"/>
          <w:szCs w:val="24"/>
          <w:lang w:val="en-US"/>
        </w:rPr>
        <w:t xml:space="preserve">stronger asset growth anomaly </w:t>
      </w:r>
      <w:r w:rsidR="006B5B5D" w:rsidRPr="008319F4">
        <w:rPr>
          <w:i/>
          <w:sz w:val="24"/>
          <w:szCs w:val="24"/>
          <w:lang w:val="en-US"/>
        </w:rPr>
        <w:t xml:space="preserve">(negative relation between asset growth and stock returns) </w:t>
      </w:r>
      <w:r w:rsidRPr="008319F4">
        <w:rPr>
          <w:i/>
          <w:sz w:val="24"/>
          <w:szCs w:val="24"/>
          <w:lang w:val="en-US"/>
        </w:rPr>
        <w:t>than mature firms</w:t>
      </w:r>
      <w:r w:rsidR="006B5B5D" w:rsidRPr="008319F4">
        <w:rPr>
          <w:i/>
          <w:sz w:val="24"/>
          <w:szCs w:val="24"/>
          <w:lang w:val="en-US"/>
        </w:rPr>
        <w:t xml:space="preserve"> because of </w:t>
      </w:r>
      <w:r w:rsidR="00812D0B" w:rsidRPr="008319F4">
        <w:rPr>
          <w:i/>
          <w:sz w:val="24"/>
          <w:szCs w:val="24"/>
          <w:lang w:val="en-US"/>
        </w:rPr>
        <w:t xml:space="preserve">the </w:t>
      </w:r>
      <w:r w:rsidR="00A90E2D" w:rsidRPr="008319F4">
        <w:rPr>
          <w:i/>
          <w:sz w:val="24"/>
          <w:szCs w:val="24"/>
          <w:lang w:val="en-US"/>
        </w:rPr>
        <w:t>overreaction to greater</w:t>
      </w:r>
      <w:r w:rsidR="006B5B5D" w:rsidRPr="008319F4">
        <w:rPr>
          <w:i/>
          <w:sz w:val="24"/>
          <w:szCs w:val="24"/>
          <w:lang w:val="en-US"/>
        </w:rPr>
        <w:t xml:space="preserve"> growth opportunities</w:t>
      </w:r>
      <w:r w:rsidRPr="008319F4">
        <w:rPr>
          <w:i/>
          <w:sz w:val="24"/>
          <w:szCs w:val="24"/>
          <w:lang w:val="en-US"/>
        </w:rPr>
        <w:t>.</w:t>
      </w:r>
    </w:p>
    <w:p w14:paraId="0E458181" w14:textId="47F8F70E" w:rsidR="00FB128B" w:rsidRPr="008319F4" w:rsidRDefault="00FB128B" w:rsidP="00913E65">
      <w:pPr>
        <w:spacing w:line="480" w:lineRule="auto"/>
        <w:ind w:firstLine="720"/>
        <w:jc w:val="both"/>
        <w:rPr>
          <w:sz w:val="24"/>
          <w:szCs w:val="24"/>
          <w:lang w:val="en-US"/>
        </w:rPr>
      </w:pPr>
      <w:r w:rsidRPr="008319F4">
        <w:rPr>
          <w:sz w:val="24"/>
          <w:szCs w:val="24"/>
          <w:lang w:val="en-US"/>
        </w:rPr>
        <w:t xml:space="preserve">Barberis, </w:t>
      </w:r>
      <w:r w:rsidRPr="00FD30FC">
        <w:rPr>
          <w:noProof/>
          <w:sz w:val="24"/>
          <w:szCs w:val="24"/>
          <w:lang w:val="en-US"/>
        </w:rPr>
        <w:t>Shleifer</w:t>
      </w:r>
      <w:r w:rsidRPr="008319F4">
        <w:rPr>
          <w:sz w:val="24"/>
          <w:szCs w:val="24"/>
          <w:lang w:val="en-US"/>
        </w:rPr>
        <w:t xml:space="preserve"> and Vishny (1998) argue that investors tend to confirm the </w:t>
      </w:r>
      <w:r w:rsidR="00EF4787">
        <w:rPr>
          <w:sz w:val="24"/>
          <w:szCs w:val="24"/>
          <w:lang w:val="en-US"/>
        </w:rPr>
        <w:t>sequence</w:t>
      </w:r>
      <w:r w:rsidRPr="008319F4">
        <w:rPr>
          <w:sz w:val="24"/>
          <w:szCs w:val="24"/>
          <w:lang w:val="en-US"/>
        </w:rPr>
        <w:t xml:space="preserve"> when investors witness a growth surprise followed by another surprise and this is consistent with representativeness</w:t>
      </w:r>
      <w:r w:rsidRPr="008319F4">
        <w:rPr>
          <w:sz w:val="24"/>
          <w:szCs w:val="24"/>
          <w:vertAlign w:val="superscript"/>
          <w:lang w:val="en-US"/>
        </w:rPr>
        <w:footnoteReference w:id="7"/>
      </w:r>
      <w:r w:rsidRPr="008319F4">
        <w:rPr>
          <w:sz w:val="24"/>
          <w:szCs w:val="24"/>
          <w:lang w:val="en-US"/>
        </w:rPr>
        <w:t xml:space="preserve">. </w:t>
      </w:r>
      <w:r w:rsidR="006B5B5D" w:rsidRPr="008319F4">
        <w:rPr>
          <w:sz w:val="24"/>
          <w:szCs w:val="24"/>
          <w:lang w:val="en-US"/>
        </w:rPr>
        <w:t>It indicates that</w:t>
      </w:r>
      <w:r w:rsidRPr="008319F4">
        <w:rPr>
          <w:sz w:val="24"/>
          <w:szCs w:val="24"/>
          <w:lang w:val="en-US"/>
        </w:rPr>
        <w:t xml:space="preserve"> the longer is the </w:t>
      </w:r>
      <w:r w:rsidR="006B5B5D" w:rsidRPr="008319F4">
        <w:rPr>
          <w:sz w:val="24"/>
          <w:szCs w:val="24"/>
          <w:lang w:val="en-US"/>
        </w:rPr>
        <w:t xml:space="preserve">asset </w:t>
      </w:r>
      <w:r w:rsidR="00812D0B" w:rsidRPr="008319F4">
        <w:rPr>
          <w:sz w:val="24"/>
          <w:szCs w:val="24"/>
          <w:lang w:val="en-US"/>
        </w:rPr>
        <w:t xml:space="preserve">growth </w:t>
      </w:r>
      <w:r w:rsidR="00EF4787">
        <w:rPr>
          <w:sz w:val="24"/>
          <w:szCs w:val="24"/>
          <w:lang w:val="en-US"/>
        </w:rPr>
        <w:t>sequence</w:t>
      </w:r>
      <w:r w:rsidR="00812D0B" w:rsidRPr="008319F4">
        <w:rPr>
          <w:sz w:val="24"/>
          <w:szCs w:val="24"/>
          <w:lang w:val="en-US"/>
        </w:rPr>
        <w:t xml:space="preserve"> the stronger should be </w:t>
      </w:r>
      <w:r w:rsidRPr="008319F4">
        <w:rPr>
          <w:sz w:val="24"/>
          <w:szCs w:val="24"/>
          <w:lang w:val="en-US"/>
        </w:rPr>
        <w:t>the as</w:t>
      </w:r>
      <w:r w:rsidR="006B5B5D" w:rsidRPr="008319F4">
        <w:rPr>
          <w:sz w:val="24"/>
          <w:szCs w:val="24"/>
          <w:lang w:val="en-US"/>
        </w:rPr>
        <w:t xml:space="preserve">set growth anomaly. </w:t>
      </w:r>
      <w:r w:rsidR="00DF3DD2" w:rsidRPr="008319F4">
        <w:rPr>
          <w:sz w:val="24"/>
          <w:szCs w:val="24"/>
          <w:lang w:val="en-US"/>
        </w:rPr>
        <w:t xml:space="preserve">Specifically, when investors see a series of high asset growth consecutively </w:t>
      </w:r>
      <w:r w:rsidR="00812D0B" w:rsidRPr="008319F4">
        <w:rPr>
          <w:sz w:val="24"/>
          <w:szCs w:val="24"/>
          <w:lang w:val="en-US"/>
        </w:rPr>
        <w:t xml:space="preserve">they believe the </w:t>
      </w:r>
      <w:r w:rsidR="00EF4787">
        <w:rPr>
          <w:sz w:val="24"/>
          <w:szCs w:val="24"/>
          <w:lang w:val="en-US"/>
        </w:rPr>
        <w:t>sequence</w:t>
      </w:r>
      <w:r w:rsidR="00812D0B" w:rsidRPr="008319F4">
        <w:rPr>
          <w:sz w:val="24"/>
          <w:szCs w:val="24"/>
          <w:lang w:val="en-US"/>
        </w:rPr>
        <w:t xml:space="preserve"> will continue</w:t>
      </w:r>
      <w:r w:rsidR="00DF3DD2" w:rsidRPr="008319F4">
        <w:rPr>
          <w:sz w:val="24"/>
          <w:szCs w:val="24"/>
          <w:lang w:val="en-US"/>
        </w:rPr>
        <w:t xml:space="preserve"> and push the price to a high level; and they push the price to a</w:t>
      </w:r>
      <w:r w:rsidR="00812D0B" w:rsidRPr="008319F4">
        <w:rPr>
          <w:sz w:val="24"/>
          <w:szCs w:val="24"/>
          <w:lang w:val="en-US"/>
        </w:rPr>
        <w:t>n</w:t>
      </w:r>
      <w:r w:rsidR="00DF3DD2" w:rsidRPr="008319F4">
        <w:rPr>
          <w:sz w:val="24"/>
          <w:szCs w:val="24"/>
          <w:lang w:val="en-US"/>
        </w:rPr>
        <w:t xml:space="preserve"> even higher l</w:t>
      </w:r>
      <w:r w:rsidR="00812D0B" w:rsidRPr="008319F4">
        <w:rPr>
          <w:sz w:val="24"/>
          <w:szCs w:val="24"/>
          <w:lang w:val="en-US"/>
        </w:rPr>
        <w:t>evel when the series is</w:t>
      </w:r>
      <w:r w:rsidR="00DF3DD2" w:rsidRPr="008319F4">
        <w:rPr>
          <w:sz w:val="24"/>
          <w:szCs w:val="24"/>
          <w:lang w:val="en-US"/>
        </w:rPr>
        <w:t xml:space="preserve"> longer. Afterwards, when investors recognize the reality and correct their valu</w:t>
      </w:r>
      <w:r w:rsidR="00812D0B" w:rsidRPr="008319F4">
        <w:rPr>
          <w:sz w:val="24"/>
          <w:szCs w:val="24"/>
          <w:lang w:val="en-US"/>
        </w:rPr>
        <w:t xml:space="preserve">ation, the stock prices reverse. As a result, a </w:t>
      </w:r>
      <w:r w:rsidR="00DF3DD2" w:rsidRPr="008319F4">
        <w:rPr>
          <w:sz w:val="24"/>
          <w:szCs w:val="24"/>
          <w:lang w:val="en-US"/>
        </w:rPr>
        <w:t xml:space="preserve">negative </w:t>
      </w:r>
      <w:r w:rsidR="00DF3DD2" w:rsidRPr="00FD30FC">
        <w:rPr>
          <w:noProof/>
          <w:sz w:val="24"/>
          <w:szCs w:val="24"/>
          <w:lang w:val="en-US"/>
        </w:rPr>
        <w:t>relation</w:t>
      </w:r>
      <w:r w:rsidR="00DF3DD2" w:rsidRPr="008319F4">
        <w:rPr>
          <w:sz w:val="24"/>
          <w:szCs w:val="24"/>
          <w:lang w:val="en-US"/>
        </w:rPr>
        <w:t xml:space="preserve"> between asset growth and subsequent returns</w:t>
      </w:r>
      <w:r w:rsidR="00812D0B" w:rsidRPr="008319F4">
        <w:rPr>
          <w:sz w:val="24"/>
          <w:szCs w:val="24"/>
          <w:lang w:val="en-US"/>
        </w:rPr>
        <w:t xml:space="preserve"> should be observed</w:t>
      </w:r>
      <w:r w:rsidR="00A803C4">
        <w:rPr>
          <w:rStyle w:val="FootnoteReference"/>
          <w:sz w:val="24"/>
          <w:szCs w:val="24"/>
          <w:lang w:val="en-US"/>
        </w:rPr>
        <w:footnoteReference w:id="8"/>
      </w:r>
      <w:r w:rsidR="00DF3DD2" w:rsidRPr="008319F4">
        <w:rPr>
          <w:sz w:val="24"/>
          <w:szCs w:val="24"/>
          <w:lang w:val="en-US"/>
        </w:rPr>
        <w:t xml:space="preserve">. </w:t>
      </w:r>
      <w:r w:rsidR="00812D0B" w:rsidRPr="008319F4">
        <w:rPr>
          <w:sz w:val="24"/>
          <w:szCs w:val="24"/>
          <w:lang w:val="en-US"/>
        </w:rPr>
        <w:t>If this is the case</w:t>
      </w:r>
      <w:r w:rsidRPr="008319F4">
        <w:rPr>
          <w:sz w:val="24"/>
          <w:szCs w:val="24"/>
          <w:lang w:val="en-US"/>
        </w:rPr>
        <w:t xml:space="preserve">, the findings </w:t>
      </w:r>
      <w:r w:rsidR="00812D0B" w:rsidRPr="008319F4">
        <w:rPr>
          <w:sz w:val="24"/>
          <w:szCs w:val="24"/>
          <w:lang w:val="en-US"/>
        </w:rPr>
        <w:t xml:space="preserve">will tend to </w:t>
      </w:r>
      <w:r w:rsidRPr="008319F4">
        <w:rPr>
          <w:sz w:val="24"/>
          <w:szCs w:val="24"/>
          <w:lang w:val="en-US"/>
        </w:rPr>
        <w:t>supp</w:t>
      </w:r>
      <w:r w:rsidR="00812D0B" w:rsidRPr="008319F4">
        <w:rPr>
          <w:sz w:val="24"/>
          <w:szCs w:val="24"/>
          <w:lang w:val="en-US"/>
        </w:rPr>
        <w:t xml:space="preserve">ort overreaction as the explanation of </w:t>
      </w:r>
      <w:r w:rsidRPr="008319F4">
        <w:rPr>
          <w:sz w:val="24"/>
          <w:szCs w:val="24"/>
          <w:lang w:val="en-US"/>
        </w:rPr>
        <w:t>the as</w:t>
      </w:r>
      <w:r w:rsidR="00812D0B" w:rsidRPr="008319F4">
        <w:rPr>
          <w:sz w:val="24"/>
          <w:szCs w:val="24"/>
          <w:lang w:val="en-US"/>
        </w:rPr>
        <w:t xml:space="preserve">set growth anomaly and, furthermore, the </w:t>
      </w:r>
      <w:r w:rsidRPr="008319F4">
        <w:rPr>
          <w:sz w:val="24"/>
          <w:szCs w:val="24"/>
          <w:lang w:val="en-US"/>
        </w:rPr>
        <w:t>representativeness heuristic</w:t>
      </w:r>
      <w:r w:rsidR="00812D0B" w:rsidRPr="008319F4">
        <w:rPr>
          <w:sz w:val="24"/>
          <w:szCs w:val="24"/>
          <w:lang w:val="en-US"/>
        </w:rPr>
        <w:t xml:space="preserve"> will be </w:t>
      </w:r>
      <w:r w:rsidR="00BF24B1" w:rsidRPr="008319F4">
        <w:rPr>
          <w:sz w:val="24"/>
          <w:szCs w:val="24"/>
          <w:lang w:val="en-US"/>
        </w:rPr>
        <w:t xml:space="preserve">the </w:t>
      </w:r>
      <w:r w:rsidR="00812D0B" w:rsidRPr="008319F4">
        <w:rPr>
          <w:sz w:val="24"/>
          <w:szCs w:val="24"/>
          <w:lang w:val="en-US"/>
        </w:rPr>
        <w:t>underlying driver of the overreaction</w:t>
      </w:r>
      <w:r w:rsidRPr="008319F4">
        <w:rPr>
          <w:sz w:val="24"/>
          <w:szCs w:val="24"/>
          <w:lang w:val="en-US"/>
        </w:rPr>
        <w:t>.</w:t>
      </w:r>
      <w:r w:rsidR="006B5B5D" w:rsidRPr="008319F4">
        <w:rPr>
          <w:sz w:val="24"/>
          <w:szCs w:val="24"/>
          <w:lang w:val="en-US"/>
        </w:rPr>
        <w:t xml:space="preserve"> Hence</w:t>
      </w:r>
      <w:r w:rsidR="00BF24B1" w:rsidRPr="008319F4">
        <w:rPr>
          <w:sz w:val="24"/>
          <w:szCs w:val="24"/>
          <w:lang w:val="en-US"/>
        </w:rPr>
        <w:t>,</w:t>
      </w:r>
      <w:r w:rsidR="006B5B5D" w:rsidRPr="008319F4">
        <w:rPr>
          <w:sz w:val="24"/>
          <w:szCs w:val="24"/>
          <w:lang w:val="en-US"/>
        </w:rPr>
        <w:t xml:space="preserve"> we develop our second hypothesis.</w:t>
      </w:r>
    </w:p>
    <w:p w14:paraId="1B85F826" w14:textId="77777777" w:rsidR="00386601" w:rsidRPr="008319F4" w:rsidRDefault="006B5B5D" w:rsidP="00214CCE">
      <w:pPr>
        <w:spacing w:line="480" w:lineRule="auto"/>
        <w:jc w:val="both"/>
        <w:rPr>
          <w:i/>
          <w:sz w:val="24"/>
          <w:szCs w:val="24"/>
          <w:lang w:val="en-US"/>
        </w:rPr>
      </w:pPr>
      <w:r w:rsidRPr="008319F4">
        <w:rPr>
          <w:b/>
          <w:i/>
          <w:sz w:val="24"/>
          <w:szCs w:val="24"/>
          <w:lang w:val="en-US"/>
        </w:rPr>
        <w:lastRenderedPageBreak/>
        <w:t>H2.</w:t>
      </w:r>
      <w:r w:rsidRPr="008319F4">
        <w:rPr>
          <w:i/>
          <w:sz w:val="24"/>
          <w:szCs w:val="24"/>
          <w:lang w:val="en-US"/>
        </w:rPr>
        <w:t xml:space="preserve"> Firms with longer asset growth sequence</w:t>
      </w:r>
      <w:r w:rsidR="00386601" w:rsidRPr="008319F4">
        <w:rPr>
          <w:i/>
          <w:sz w:val="24"/>
          <w:szCs w:val="24"/>
          <w:lang w:val="en-US"/>
        </w:rPr>
        <w:t xml:space="preserve">s should display a </w:t>
      </w:r>
      <w:r w:rsidRPr="008319F4">
        <w:rPr>
          <w:i/>
          <w:sz w:val="24"/>
          <w:szCs w:val="24"/>
          <w:lang w:val="en-US"/>
        </w:rPr>
        <w:t>stronger asset growth anomaly (</w:t>
      </w:r>
      <w:r w:rsidR="00386601" w:rsidRPr="008319F4">
        <w:rPr>
          <w:i/>
          <w:sz w:val="24"/>
          <w:szCs w:val="24"/>
          <w:lang w:val="en-US"/>
        </w:rPr>
        <w:t xml:space="preserve">a </w:t>
      </w:r>
      <w:r w:rsidRPr="008319F4">
        <w:rPr>
          <w:i/>
          <w:sz w:val="24"/>
          <w:szCs w:val="24"/>
          <w:lang w:val="en-US"/>
        </w:rPr>
        <w:t>negative relationship between asset growth and stock returns)</w:t>
      </w:r>
      <w:r w:rsidR="009D45A0" w:rsidRPr="008319F4">
        <w:rPr>
          <w:i/>
          <w:sz w:val="24"/>
          <w:szCs w:val="24"/>
          <w:lang w:val="en-US"/>
        </w:rPr>
        <w:t>, ceteris paribus,</w:t>
      </w:r>
      <w:r w:rsidRPr="008319F4">
        <w:rPr>
          <w:i/>
          <w:sz w:val="24"/>
          <w:szCs w:val="24"/>
          <w:lang w:val="en-US"/>
        </w:rPr>
        <w:t xml:space="preserve"> than firms with </w:t>
      </w:r>
      <w:r w:rsidR="00386601" w:rsidRPr="008319F4">
        <w:rPr>
          <w:i/>
          <w:sz w:val="24"/>
          <w:szCs w:val="24"/>
          <w:lang w:val="en-US"/>
        </w:rPr>
        <w:t xml:space="preserve">a </w:t>
      </w:r>
      <w:r w:rsidRPr="008319F4">
        <w:rPr>
          <w:i/>
          <w:sz w:val="24"/>
          <w:szCs w:val="24"/>
          <w:lang w:val="en-US"/>
        </w:rPr>
        <w:t xml:space="preserve">shorter asset growth sequence because of </w:t>
      </w:r>
      <w:r w:rsidR="00386601" w:rsidRPr="008319F4">
        <w:rPr>
          <w:i/>
          <w:sz w:val="24"/>
          <w:szCs w:val="24"/>
          <w:lang w:val="en-US"/>
        </w:rPr>
        <w:t xml:space="preserve">the </w:t>
      </w:r>
      <w:r w:rsidRPr="008319F4">
        <w:rPr>
          <w:i/>
          <w:sz w:val="24"/>
          <w:szCs w:val="24"/>
          <w:lang w:val="en-US"/>
        </w:rPr>
        <w:t>representativeness bias.</w:t>
      </w:r>
    </w:p>
    <w:p w14:paraId="3D634BD8" w14:textId="77777777" w:rsidR="000803E8" w:rsidRPr="008319F4" w:rsidRDefault="000803E8" w:rsidP="005C18AA">
      <w:pPr>
        <w:pStyle w:val="PaperContent"/>
      </w:pPr>
    </w:p>
    <w:p w14:paraId="3A39ABBD" w14:textId="77777777" w:rsidR="00681A6F" w:rsidRPr="008319F4" w:rsidRDefault="00504117" w:rsidP="00214CCE">
      <w:pPr>
        <w:pStyle w:val="PaperTitle1"/>
      </w:pPr>
      <w:r w:rsidRPr="008319F4">
        <w:t>3</w:t>
      </w:r>
      <w:r w:rsidR="00514E43" w:rsidRPr="008319F4">
        <w:t>. Data and variables</w:t>
      </w:r>
    </w:p>
    <w:p w14:paraId="517E5131" w14:textId="77777777" w:rsidR="00681A6F" w:rsidRPr="008319F4" w:rsidRDefault="00504117" w:rsidP="00214CCE">
      <w:pPr>
        <w:pStyle w:val="PaperTitle2"/>
      </w:pPr>
      <w:r w:rsidRPr="008319F4">
        <w:t>3</w:t>
      </w:r>
      <w:r w:rsidR="00681A6F" w:rsidRPr="008319F4">
        <w:t>.1 Sample selection</w:t>
      </w:r>
    </w:p>
    <w:p w14:paraId="75FDB557" w14:textId="794A8647" w:rsidR="00681A6F" w:rsidRPr="008319F4" w:rsidRDefault="00681A6F" w:rsidP="00214CCE">
      <w:pPr>
        <w:spacing w:line="480" w:lineRule="auto"/>
        <w:jc w:val="both"/>
        <w:rPr>
          <w:sz w:val="24"/>
          <w:szCs w:val="24"/>
          <w:lang w:val="en-US"/>
        </w:rPr>
      </w:pPr>
      <w:r w:rsidRPr="008319F4">
        <w:rPr>
          <w:sz w:val="24"/>
          <w:szCs w:val="24"/>
          <w:lang w:val="en-US"/>
        </w:rPr>
        <w:t xml:space="preserve">We use US data including NYSE, </w:t>
      </w:r>
      <w:r w:rsidRPr="00FD30FC">
        <w:rPr>
          <w:noProof/>
          <w:sz w:val="24"/>
          <w:szCs w:val="24"/>
          <w:lang w:val="en-US"/>
        </w:rPr>
        <w:t>Amex</w:t>
      </w:r>
      <w:r w:rsidRPr="008319F4">
        <w:rPr>
          <w:sz w:val="24"/>
          <w:szCs w:val="24"/>
          <w:lang w:val="en-US"/>
        </w:rPr>
        <w:t xml:space="preserve"> and NASDAQ from 1963 to 2011 based on the CRSP and Compustat datasets. Monthly stock returns are from CRSP and yearly financial reporting variables are from Compustat. Also, we exclude financial firms with four-digit SIC codes between 6000 and 6999</w:t>
      </w:r>
      <w:r w:rsidRPr="008319F4">
        <w:rPr>
          <w:rStyle w:val="FootnoteReference"/>
          <w:sz w:val="24"/>
          <w:szCs w:val="24"/>
          <w:lang w:val="en-US"/>
        </w:rPr>
        <w:footnoteReference w:id="9"/>
      </w:r>
      <w:r w:rsidRPr="008319F4">
        <w:rPr>
          <w:sz w:val="24"/>
          <w:szCs w:val="24"/>
          <w:lang w:val="en-US"/>
        </w:rPr>
        <w:t>. For analyst data, i.e. the number of analysts covering a firm and the dispersion in analyst forecasts, we start from 1977 due to the availability of data. To avoid the problems of survivorship or selection biases, we follow Fama and French (19</w:t>
      </w:r>
      <w:r w:rsidR="005B7DDA" w:rsidRPr="008319F4">
        <w:rPr>
          <w:sz w:val="24"/>
          <w:szCs w:val="24"/>
          <w:lang w:val="en-US"/>
        </w:rPr>
        <w:t>93) and Cooper et al.</w:t>
      </w:r>
      <w:r w:rsidRPr="008319F4">
        <w:rPr>
          <w:sz w:val="24"/>
          <w:szCs w:val="24"/>
          <w:lang w:val="en-US"/>
        </w:rPr>
        <w:t xml:space="preserve"> (2008) to retain firms with at least two years of Compustat data</w:t>
      </w:r>
      <w:r w:rsidRPr="008319F4">
        <w:rPr>
          <w:rStyle w:val="FootnoteReference"/>
          <w:sz w:val="24"/>
          <w:szCs w:val="24"/>
          <w:lang w:val="en-US"/>
        </w:rPr>
        <w:footnoteReference w:id="10"/>
      </w:r>
      <w:r w:rsidRPr="008319F4">
        <w:rPr>
          <w:sz w:val="24"/>
          <w:szCs w:val="24"/>
          <w:lang w:val="en-US"/>
        </w:rPr>
        <w:t xml:space="preserve">. </w:t>
      </w:r>
      <w:r w:rsidR="008A250B" w:rsidRPr="008319F4">
        <w:rPr>
          <w:sz w:val="24"/>
          <w:szCs w:val="24"/>
          <w:lang w:val="en-US"/>
        </w:rPr>
        <w:t xml:space="preserve">There are 172,732 firm-year observations after following the sample selection procedure. </w:t>
      </w:r>
      <w:r w:rsidRPr="008319F4">
        <w:rPr>
          <w:sz w:val="24"/>
          <w:szCs w:val="24"/>
          <w:lang w:val="en-US"/>
        </w:rPr>
        <w:t xml:space="preserve">For some portfolio formations, we require four-years of data </w:t>
      </w:r>
      <w:r w:rsidRPr="00FD30FC">
        <w:rPr>
          <w:noProof/>
          <w:sz w:val="24"/>
          <w:szCs w:val="24"/>
          <w:lang w:val="en-US"/>
        </w:rPr>
        <w:t>availability</w:t>
      </w:r>
      <w:r w:rsidRPr="008319F4">
        <w:rPr>
          <w:sz w:val="24"/>
          <w:szCs w:val="24"/>
          <w:lang w:val="en-US"/>
        </w:rPr>
        <w:t xml:space="preserve"> prior to the formation date. For our Fama-MacBeth regressions, we update returns monthly and asset growth or other financial variables on a yearly basis.     </w:t>
      </w:r>
    </w:p>
    <w:p w14:paraId="2122C411" w14:textId="77777777" w:rsidR="00681A6F" w:rsidRPr="008319F4" w:rsidRDefault="00504117" w:rsidP="00214CCE">
      <w:pPr>
        <w:pStyle w:val="PaperTitle2"/>
      </w:pPr>
      <w:r w:rsidRPr="008319F4">
        <w:t>3</w:t>
      </w:r>
      <w:r w:rsidR="00681A6F" w:rsidRPr="008319F4">
        <w:t>.2 The measurement of asset growth</w:t>
      </w:r>
    </w:p>
    <w:p w14:paraId="4DC88496" w14:textId="1D8F42D8" w:rsidR="00681A6F" w:rsidRPr="008319F4" w:rsidRDefault="000803E8" w:rsidP="00214CCE">
      <w:pPr>
        <w:spacing w:line="480" w:lineRule="auto"/>
        <w:jc w:val="both"/>
        <w:rPr>
          <w:sz w:val="24"/>
          <w:szCs w:val="24"/>
          <w:lang w:val="en-US"/>
        </w:rPr>
      </w:pPr>
      <w:r w:rsidRPr="008319F4">
        <w:rPr>
          <w:sz w:val="24"/>
          <w:szCs w:val="24"/>
          <w:lang w:val="en-US"/>
        </w:rPr>
        <w:t>Fo</w:t>
      </w:r>
      <w:r w:rsidR="005B7DDA" w:rsidRPr="008319F4">
        <w:rPr>
          <w:sz w:val="24"/>
          <w:szCs w:val="24"/>
          <w:lang w:val="en-US"/>
        </w:rPr>
        <w:t>llowing Cooper et al. (2008)</w:t>
      </w:r>
      <w:r w:rsidRPr="008319F4">
        <w:rPr>
          <w:sz w:val="24"/>
          <w:szCs w:val="24"/>
          <w:lang w:val="en-US"/>
        </w:rPr>
        <w:t xml:space="preserve"> w</w:t>
      </w:r>
      <w:r w:rsidR="00681A6F" w:rsidRPr="008319F4">
        <w:rPr>
          <w:sz w:val="24"/>
          <w:szCs w:val="24"/>
          <w:lang w:val="en-US"/>
        </w:rPr>
        <w:t xml:space="preserve">e use the percentage change of a firm’s assets between the current and previous year as the measure of firm asset growth. That is, firm asset </w:t>
      </w:r>
      <w:r w:rsidR="00681A6F" w:rsidRPr="008319F4">
        <w:rPr>
          <w:sz w:val="24"/>
          <w:szCs w:val="24"/>
          <w:lang w:val="en-US"/>
        </w:rPr>
        <w:lastRenderedPageBreak/>
        <w:t xml:space="preserve">growth (AG) = </w:t>
      </w:r>
      <w:r w:rsidR="00681A6F" w:rsidRPr="00FD30FC">
        <w:rPr>
          <w:noProof/>
          <w:sz w:val="24"/>
          <w:szCs w:val="24"/>
          <w:lang w:val="en-US"/>
        </w:rPr>
        <w:t>Asset</w:t>
      </w:r>
      <w:r w:rsidR="00681A6F" w:rsidRPr="00FD30FC">
        <w:rPr>
          <w:noProof/>
          <w:sz w:val="24"/>
          <w:szCs w:val="24"/>
          <w:vertAlign w:val="subscript"/>
          <w:lang w:val="en-US"/>
        </w:rPr>
        <w:t>t</w:t>
      </w:r>
      <w:r w:rsidR="00681A6F" w:rsidRPr="008319F4">
        <w:rPr>
          <w:sz w:val="24"/>
          <w:szCs w:val="24"/>
          <w:vertAlign w:val="subscript"/>
          <w:lang w:val="en-US"/>
        </w:rPr>
        <w:t>-1</w:t>
      </w:r>
      <w:r w:rsidR="00681A6F" w:rsidRPr="008319F4">
        <w:rPr>
          <w:sz w:val="24"/>
          <w:szCs w:val="24"/>
          <w:lang w:val="en-US"/>
        </w:rPr>
        <w:t>/Asset</w:t>
      </w:r>
      <w:r w:rsidR="00681A6F" w:rsidRPr="008319F4">
        <w:rPr>
          <w:sz w:val="24"/>
          <w:szCs w:val="24"/>
          <w:vertAlign w:val="subscript"/>
          <w:lang w:val="en-US"/>
        </w:rPr>
        <w:t>t-2</w:t>
      </w:r>
      <w:r w:rsidR="00681A6F" w:rsidRPr="008319F4">
        <w:rPr>
          <w:sz w:val="24"/>
          <w:szCs w:val="24"/>
          <w:lang w:val="en-US"/>
        </w:rPr>
        <w:t xml:space="preserve">-1. </w:t>
      </w:r>
      <w:r w:rsidRPr="008319F4">
        <w:rPr>
          <w:sz w:val="24"/>
          <w:szCs w:val="24"/>
          <w:lang w:val="en-US"/>
        </w:rPr>
        <w:t xml:space="preserve"> </w:t>
      </w:r>
      <w:r w:rsidR="005B7DDA" w:rsidRPr="008319F4">
        <w:rPr>
          <w:sz w:val="24"/>
          <w:szCs w:val="24"/>
          <w:lang w:val="en-US"/>
        </w:rPr>
        <w:t>Lipson et al.</w:t>
      </w:r>
      <w:r w:rsidR="00681A6F" w:rsidRPr="008319F4">
        <w:rPr>
          <w:sz w:val="24"/>
          <w:szCs w:val="24"/>
          <w:lang w:val="en-US"/>
        </w:rPr>
        <w:t xml:space="preserve"> (2011) compare different definitions of asset growth and show that there is little effect on the asset growth anomaly (the construction of asset growth and the following proxies are detailed in the appendix.)</w:t>
      </w:r>
    </w:p>
    <w:p w14:paraId="2093421D" w14:textId="77777777" w:rsidR="00681A6F" w:rsidRPr="008319F4" w:rsidRDefault="00504117" w:rsidP="00214CCE">
      <w:pPr>
        <w:pStyle w:val="PaperTitle2"/>
      </w:pPr>
      <w:r w:rsidRPr="008319F4">
        <w:t>3</w:t>
      </w:r>
      <w:r w:rsidR="00681A6F" w:rsidRPr="008319F4">
        <w:t>.3 Proxies o</w:t>
      </w:r>
      <w:r w:rsidR="00096C81" w:rsidRPr="008319F4">
        <w:t>f growth type</w:t>
      </w:r>
    </w:p>
    <w:p w14:paraId="4C5C2149" w14:textId="1C0415C3" w:rsidR="00681A6F" w:rsidRPr="008319F4" w:rsidRDefault="00723D05" w:rsidP="00214CCE">
      <w:pPr>
        <w:spacing w:line="480" w:lineRule="auto"/>
        <w:jc w:val="both"/>
        <w:rPr>
          <w:sz w:val="24"/>
          <w:szCs w:val="24"/>
          <w:lang w:val="en-US"/>
        </w:rPr>
      </w:pPr>
      <w:r w:rsidRPr="008319F4">
        <w:rPr>
          <w:sz w:val="24"/>
          <w:szCs w:val="24"/>
          <w:lang w:val="en-US"/>
        </w:rPr>
        <w:t>We use three</w:t>
      </w:r>
      <w:r w:rsidR="00681A6F" w:rsidRPr="008319F4">
        <w:rPr>
          <w:sz w:val="24"/>
          <w:szCs w:val="24"/>
          <w:lang w:val="en-US"/>
        </w:rPr>
        <w:t xml:space="preserve"> measures to proxy the growth stage of a firm. The first is retained earni</w:t>
      </w:r>
      <w:r w:rsidR="00B2670C" w:rsidRPr="008319F4">
        <w:rPr>
          <w:sz w:val="24"/>
          <w:szCs w:val="24"/>
          <w:lang w:val="en-US"/>
        </w:rPr>
        <w:t>ngs divided by total asset</w:t>
      </w:r>
      <w:r w:rsidR="00D01573" w:rsidRPr="008319F4">
        <w:rPr>
          <w:sz w:val="24"/>
          <w:szCs w:val="24"/>
          <w:lang w:val="en-US"/>
        </w:rPr>
        <w:t>s</w:t>
      </w:r>
      <w:r w:rsidR="00B2670C" w:rsidRPr="008319F4">
        <w:rPr>
          <w:sz w:val="24"/>
          <w:szCs w:val="24"/>
          <w:lang w:val="en-US"/>
        </w:rPr>
        <w:t xml:space="preserve"> (RE</w:t>
      </w:r>
      <w:r w:rsidR="00681A6F" w:rsidRPr="008319F4">
        <w:rPr>
          <w:sz w:val="24"/>
          <w:szCs w:val="24"/>
          <w:lang w:val="en-US"/>
        </w:rPr>
        <w:t xml:space="preserve">). </w:t>
      </w:r>
      <w:bookmarkStart w:id="0" w:name="_Hlk498616521"/>
      <w:r w:rsidR="00681A6F" w:rsidRPr="008319F4">
        <w:rPr>
          <w:sz w:val="24"/>
          <w:szCs w:val="24"/>
          <w:lang w:val="en-US"/>
        </w:rPr>
        <w:t xml:space="preserve">DeAngelo, </w:t>
      </w:r>
      <w:r w:rsidR="00681A6F" w:rsidRPr="00FD30FC">
        <w:rPr>
          <w:noProof/>
          <w:sz w:val="24"/>
          <w:szCs w:val="24"/>
          <w:lang w:val="en-US"/>
        </w:rPr>
        <w:t>DeAngelo</w:t>
      </w:r>
      <w:r w:rsidR="00681A6F" w:rsidRPr="008319F4">
        <w:rPr>
          <w:sz w:val="24"/>
          <w:szCs w:val="24"/>
          <w:lang w:val="en-US"/>
        </w:rPr>
        <w:t xml:space="preserve"> and Stulz (2006) show evidence that retained earnings as a proportion of total assets is a good proxy of the growth stage </w:t>
      </w:r>
      <w:bookmarkEnd w:id="0"/>
      <w:r w:rsidR="00681A6F" w:rsidRPr="008319F4">
        <w:rPr>
          <w:sz w:val="24"/>
          <w:szCs w:val="24"/>
          <w:lang w:val="en-US"/>
        </w:rPr>
        <w:t>-</w:t>
      </w:r>
      <w:r w:rsidR="00B2670C" w:rsidRPr="008319F4">
        <w:rPr>
          <w:sz w:val="24"/>
          <w:szCs w:val="24"/>
          <w:lang w:val="en-US"/>
        </w:rPr>
        <w:t xml:space="preserve"> i.e.</w:t>
      </w:r>
      <w:r w:rsidR="005B7DDA" w:rsidRPr="008319F4">
        <w:rPr>
          <w:sz w:val="24"/>
          <w:szCs w:val="24"/>
          <w:lang w:val="en-US"/>
        </w:rPr>
        <w:t>,</w:t>
      </w:r>
      <w:r w:rsidR="00B2670C" w:rsidRPr="008319F4">
        <w:rPr>
          <w:sz w:val="24"/>
          <w:szCs w:val="24"/>
          <w:lang w:val="en-US"/>
        </w:rPr>
        <w:t xml:space="preserve"> firms with </w:t>
      </w:r>
      <w:r w:rsidR="00D01573" w:rsidRPr="008319F4">
        <w:rPr>
          <w:sz w:val="24"/>
          <w:szCs w:val="24"/>
          <w:lang w:val="en-US"/>
        </w:rPr>
        <w:t xml:space="preserve">a </w:t>
      </w:r>
      <w:r w:rsidR="00B2670C" w:rsidRPr="008319F4">
        <w:rPr>
          <w:sz w:val="24"/>
          <w:szCs w:val="24"/>
          <w:lang w:val="en-US"/>
        </w:rPr>
        <w:t>high RE</w:t>
      </w:r>
      <w:r w:rsidR="00681A6F" w:rsidRPr="008319F4">
        <w:rPr>
          <w:sz w:val="24"/>
          <w:szCs w:val="24"/>
          <w:lang w:val="en-US"/>
        </w:rPr>
        <w:t xml:space="preserve"> are in the maturity</w:t>
      </w:r>
      <w:r w:rsidR="00B2670C" w:rsidRPr="008319F4">
        <w:rPr>
          <w:sz w:val="24"/>
          <w:szCs w:val="24"/>
          <w:lang w:val="en-US"/>
        </w:rPr>
        <w:t xml:space="preserve"> stage while firms with low RE</w:t>
      </w:r>
      <w:r w:rsidR="00681A6F" w:rsidRPr="008319F4">
        <w:rPr>
          <w:sz w:val="24"/>
          <w:szCs w:val="24"/>
          <w:lang w:val="en-US"/>
        </w:rPr>
        <w:t xml:space="preserve"> are more likely to be growth firms. They find a stron</w:t>
      </w:r>
      <w:r w:rsidR="00B2670C" w:rsidRPr="008319F4">
        <w:rPr>
          <w:sz w:val="24"/>
          <w:szCs w:val="24"/>
          <w:lang w:val="en-US"/>
        </w:rPr>
        <w:t>g positive relation between RE</w:t>
      </w:r>
      <w:r w:rsidR="00681A6F" w:rsidRPr="008319F4">
        <w:rPr>
          <w:sz w:val="24"/>
          <w:szCs w:val="24"/>
          <w:lang w:val="en-US"/>
        </w:rPr>
        <w:t xml:space="preserve"> and dividends; </w:t>
      </w:r>
      <w:r w:rsidR="00B2670C" w:rsidRPr="008319F4">
        <w:rPr>
          <w:sz w:val="24"/>
          <w:szCs w:val="24"/>
          <w:lang w:val="en-US"/>
        </w:rPr>
        <w:t>specifically, high RE</w:t>
      </w:r>
      <w:r w:rsidR="00681A6F" w:rsidRPr="008319F4">
        <w:rPr>
          <w:sz w:val="24"/>
          <w:szCs w:val="24"/>
          <w:lang w:val="en-US"/>
        </w:rPr>
        <w:t xml:space="preserve"> firms have more motivation to distribute dividends because they have </w:t>
      </w:r>
      <w:r w:rsidR="00681A6F" w:rsidRPr="00FD30FC">
        <w:rPr>
          <w:noProof/>
          <w:sz w:val="24"/>
          <w:szCs w:val="24"/>
          <w:lang w:val="en-US"/>
        </w:rPr>
        <w:t>less</w:t>
      </w:r>
      <w:r w:rsidR="00681A6F" w:rsidRPr="008319F4">
        <w:rPr>
          <w:sz w:val="24"/>
          <w:szCs w:val="24"/>
          <w:lang w:val="en-US"/>
        </w:rPr>
        <w:t xml:space="preserve"> investment opportunities and have enough ability to sel</w:t>
      </w:r>
      <w:r w:rsidR="007C0A25" w:rsidRPr="008319F4">
        <w:rPr>
          <w:sz w:val="24"/>
          <w:szCs w:val="24"/>
          <w:lang w:val="en-US"/>
        </w:rPr>
        <w:t>f-finance; in contrast, low RE</w:t>
      </w:r>
      <w:r w:rsidR="00681A6F" w:rsidRPr="008319F4">
        <w:rPr>
          <w:sz w:val="24"/>
          <w:szCs w:val="24"/>
          <w:lang w:val="en-US"/>
        </w:rPr>
        <w:t xml:space="preserve"> firms are not likely to b</w:t>
      </w:r>
      <w:r w:rsidR="00D01573" w:rsidRPr="008319F4">
        <w:rPr>
          <w:sz w:val="24"/>
          <w:szCs w:val="24"/>
          <w:lang w:val="en-US"/>
        </w:rPr>
        <w:t xml:space="preserve">e </w:t>
      </w:r>
      <w:r w:rsidR="00681A6F" w:rsidRPr="008319F4">
        <w:rPr>
          <w:sz w:val="24"/>
          <w:szCs w:val="24"/>
          <w:lang w:val="en-US"/>
        </w:rPr>
        <w:t xml:space="preserve">dividend payers due to the fact that they face abundant investment opportunities and, therefore, it is not desirable to pay dividends. </w:t>
      </w:r>
      <w:r w:rsidR="006966FD" w:rsidRPr="008319F4">
        <w:rPr>
          <w:sz w:val="24"/>
          <w:szCs w:val="24"/>
          <w:lang w:val="en-US"/>
        </w:rPr>
        <w:t xml:space="preserve"> This leads to our second proxy.  </w:t>
      </w:r>
    </w:p>
    <w:p w14:paraId="0575C3B1" w14:textId="437349B2" w:rsidR="00681A6F" w:rsidRPr="008319F4" w:rsidRDefault="00681A6F" w:rsidP="00913E65">
      <w:pPr>
        <w:spacing w:line="480" w:lineRule="auto"/>
        <w:ind w:firstLine="720"/>
        <w:jc w:val="both"/>
        <w:rPr>
          <w:sz w:val="24"/>
          <w:szCs w:val="24"/>
          <w:lang w:val="en-US"/>
        </w:rPr>
      </w:pPr>
      <w:r w:rsidRPr="008319F4">
        <w:rPr>
          <w:sz w:val="24"/>
          <w:szCs w:val="24"/>
          <w:lang w:val="en-US"/>
        </w:rPr>
        <w:t>The second proxy of the growth stage is dividends scaled by income (DIV)</w:t>
      </w:r>
      <w:r w:rsidR="006966FD" w:rsidRPr="008319F4">
        <w:rPr>
          <w:sz w:val="24"/>
          <w:szCs w:val="24"/>
          <w:lang w:val="en-US"/>
        </w:rPr>
        <w:t xml:space="preserve"> which is used in p</w:t>
      </w:r>
      <w:r w:rsidRPr="008319F4">
        <w:rPr>
          <w:sz w:val="24"/>
          <w:szCs w:val="24"/>
          <w:lang w:val="en-US"/>
        </w:rPr>
        <w:t>revious literature (</w:t>
      </w:r>
      <w:r w:rsidR="00B2670C" w:rsidRPr="008319F4">
        <w:rPr>
          <w:sz w:val="24"/>
          <w:szCs w:val="24"/>
          <w:lang w:val="en-US"/>
        </w:rPr>
        <w:t xml:space="preserve">e.g., Anthony and Ramesh, 1992; </w:t>
      </w:r>
      <w:r w:rsidRPr="008319F4">
        <w:rPr>
          <w:sz w:val="24"/>
          <w:szCs w:val="24"/>
        </w:rPr>
        <w:t xml:space="preserve">Bulan, </w:t>
      </w:r>
      <w:r w:rsidRPr="00FD30FC">
        <w:rPr>
          <w:noProof/>
          <w:sz w:val="24"/>
          <w:szCs w:val="24"/>
        </w:rPr>
        <w:t>Subramanian</w:t>
      </w:r>
      <w:r w:rsidRPr="008319F4">
        <w:rPr>
          <w:sz w:val="24"/>
          <w:szCs w:val="24"/>
        </w:rPr>
        <w:t xml:space="preserve"> and Tanlu, 2007)</w:t>
      </w:r>
      <w:r w:rsidRPr="008319F4">
        <w:rPr>
          <w:sz w:val="24"/>
          <w:szCs w:val="24"/>
          <w:lang w:val="en-US"/>
        </w:rPr>
        <w:t>. Following Anthony and Ramesh (1992), we classify high DIV firms as mature firms and low DIV as growth firms.</w:t>
      </w:r>
      <w:r w:rsidR="009579BF">
        <w:rPr>
          <w:sz w:val="24"/>
          <w:szCs w:val="24"/>
          <w:lang w:val="en-US"/>
        </w:rPr>
        <w:t xml:space="preserve"> </w:t>
      </w:r>
      <w:r w:rsidR="009579BF" w:rsidRPr="009579BF">
        <w:rPr>
          <w:sz w:val="24"/>
          <w:szCs w:val="24"/>
          <w:lang w:val="en-US"/>
        </w:rPr>
        <w:t xml:space="preserve">DeAngelo, </w:t>
      </w:r>
      <w:r w:rsidR="009579BF" w:rsidRPr="00FD30FC">
        <w:rPr>
          <w:noProof/>
          <w:sz w:val="24"/>
          <w:szCs w:val="24"/>
          <w:lang w:val="en-US"/>
        </w:rPr>
        <w:t>DeAngelo</w:t>
      </w:r>
      <w:r w:rsidR="009579BF" w:rsidRPr="009579BF">
        <w:rPr>
          <w:sz w:val="24"/>
          <w:szCs w:val="24"/>
          <w:lang w:val="en-US"/>
        </w:rPr>
        <w:t xml:space="preserve"> and Stulz (2010) show that these dividend groups are reasonable proxies for lifecycle stage</w:t>
      </w:r>
      <w:r w:rsidR="009579BF">
        <w:rPr>
          <w:sz w:val="24"/>
          <w:szCs w:val="24"/>
          <w:lang w:val="en-US"/>
        </w:rPr>
        <w:t>.</w:t>
      </w:r>
    </w:p>
    <w:p w14:paraId="11E10C6F" w14:textId="77777777"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The third proxy is cash flow scaled by total assets (CF). Growth firms have a large investment opportunity set and invest more than the cash they can generate so they are characterized by low cash flow </w:t>
      </w:r>
      <w:r w:rsidR="00CD0A2F" w:rsidRPr="008319F4">
        <w:rPr>
          <w:sz w:val="24"/>
          <w:szCs w:val="24"/>
          <w:lang w:val="en-US"/>
        </w:rPr>
        <w:t xml:space="preserve">(e.g., </w:t>
      </w:r>
      <w:bookmarkStart w:id="1" w:name="_Hlk498616547"/>
      <w:r w:rsidR="00CD0A2F" w:rsidRPr="008319F4">
        <w:rPr>
          <w:sz w:val="24"/>
          <w:szCs w:val="24"/>
          <w:lang w:val="en-US"/>
        </w:rPr>
        <w:t>Dickinson, 2011</w:t>
      </w:r>
      <w:bookmarkEnd w:id="1"/>
      <w:r w:rsidRPr="008319F4">
        <w:rPr>
          <w:sz w:val="24"/>
          <w:szCs w:val="24"/>
          <w:lang w:val="en-US"/>
        </w:rPr>
        <w:t>). In contrast, mature firms have the ability to generate high cash flows.</w:t>
      </w:r>
    </w:p>
    <w:p w14:paraId="01A6BB78" w14:textId="77777777" w:rsidR="00681A6F" w:rsidRPr="008319F4" w:rsidRDefault="00504117" w:rsidP="00214CCE">
      <w:pPr>
        <w:pStyle w:val="PaperTitle2"/>
      </w:pPr>
      <w:r w:rsidRPr="008319F4">
        <w:t>3</w:t>
      </w:r>
      <w:r w:rsidR="00681A6F" w:rsidRPr="008319F4">
        <w:t>.4 Proxies of investment frictions</w:t>
      </w:r>
    </w:p>
    <w:p w14:paraId="7472A675" w14:textId="4A9D9CAA" w:rsidR="00681A6F" w:rsidRPr="008319F4" w:rsidRDefault="00DA1C64" w:rsidP="00214CCE">
      <w:pPr>
        <w:spacing w:line="480" w:lineRule="auto"/>
        <w:jc w:val="both"/>
        <w:rPr>
          <w:sz w:val="24"/>
          <w:szCs w:val="24"/>
          <w:lang w:val="en-US"/>
        </w:rPr>
      </w:pPr>
      <w:r w:rsidRPr="008319F4">
        <w:rPr>
          <w:sz w:val="24"/>
          <w:szCs w:val="24"/>
          <w:lang w:val="en-US"/>
        </w:rPr>
        <w:lastRenderedPageBreak/>
        <w:t>W</w:t>
      </w:r>
      <w:r w:rsidR="00681A6F" w:rsidRPr="008319F4">
        <w:rPr>
          <w:sz w:val="24"/>
          <w:szCs w:val="24"/>
          <w:lang w:val="en-US"/>
        </w:rPr>
        <w:t xml:space="preserve">e use two proxies for investment frictions. The first is </w:t>
      </w:r>
      <w:r w:rsidR="00681A6F" w:rsidRPr="00FD30FC">
        <w:rPr>
          <w:noProof/>
          <w:sz w:val="24"/>
          <w:szCs w:val="24"/>
          <w:lang w:val="en-US"/>
        </w:rPr>
        <w:t>firm</w:t>
      </w:r>
      <w:r w:rsidR="00681A6F" w:rsidRPr="008319F4">
        <w:rPr>
          <w:sz w:val="24"/>
          <w:szCs w:val="24"/>
          <w:lang w:val="en-US"/>
        </w:rPr>
        <w:t xml:space="preserve"> </w:t>
      </w:r>
      <w:r w:rsidR="00013C39" w:rsidRPr="008319F4">
        <w:rPr>
          <w:sz w:val="24"/>
          <w:szCs w:val="24"/>
          <w:lang w:val="en-US"/>
        </w:rPr>
        <w:t xml:space="preserve">size which is measured by </w:t>
      </w:r>
      <w:r w:rsidR="00906458" w:rsidRPr="008319F4">
        <w:rPr>
          <w:sz w:val="24"/>
          <w:szCs w:val="24"/>
          <w:lang w:val="en-US"/>
        </w:rPr>
        <w:t>total assets (ASSET</w:t>
      </w:r>
      <w:r w:rsidR="00681A6F" w:rsidRPr="008319F4">
        <w:rPr>
          <w:sz w:val="24"/>
          <w:szCs w:val="24"/>
          <w:lang w:val="en-US"/>
        </w:rPr>
        <w:t xml:space="preserve">). The market usually has less information about small firms which are not attractive to investors and lack attention; both </w:t>
      </w:r>
      <w:bookmarkStart w:id="2" w:name="_Hlk500316715"/>
      <w:r w:rsidR="00681A6F" w:rsidRPr="008319F4">
        <w:rPr>
          <w:sz w:val="24"/>
          <w:szCs w:val="24"/>
          <w:lang w:val="en-US"/>
        </w:rPr>
        <w:t xml:space="preserve">Li and Zhang (2010) and Lam and Wei (2011) </w:t>
      </w:r>
      <w:bookmarkEnd w:id="2"/>
      <w:r w:rsidR="00681A6F" w:rsidRPr="008319F4">
        <w:rPr>
          <w:sz w:val="24"/>
          <w:szCs w:val="24"/>
          <w:lang w:val="en-US"/>
        </w:rPr>
        <w:t>use asset size as a proxy of investment frictions.</w:t>
      </w:r>
    </w:p>
    <w:p w14:paraId="6D68DBBA" w14:textId="64304317"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Another </w:t>
      </w:r>
      <w:r w:rsidRPr="00FD30FC">
        <w:rPr>
          <w:noProof/>
          <w:sz w:val="24"/>
          <w:szCs w:val="24"/>
          <w:lang w:val="en-US"/>
        </w:rPr>
        <w:t xml:space="preserve">proxy </w:t>
      </w:r>
      <w:r w:rsidR="00FD30FC">
        <w:rPr>
          <w:noProof/>
          <w:sz w:val="24"/>
          <w:szCs w:val="24"/>
          <w:lang w:val="en-US"/>
        </w:rPr>
        <w:t>for</w:t>
      </w:r>
      <w:r w:rsidRPr="008319F4">
        <w:rPr>
          <w:sz w:val="24"/>
          <w:szCs w:val="24"/>
          <w:lang w:val="en-US"/>
        </w:rPr>
        <w:t xml:space="preserve"> investment frictions is firm age (AGE). Younger firms h</w:t>
      </w:r>
      <w:r w:rsidR="005B7DDA" w:rsidRPr="008319F4">
        <w:rPr>
          <w:sz w:val="24"/>
          <w:szCs w:val="24"/>
          <w:lang w:val="en-US"/>
        </w:rPr>
        <w:t>ave less information available i</w:t>
      </w:r>
      <w:r w:rsidRPr="008319F4">
        <w:rPr>
          <w:sz w:val="24"/>
          <w:szCs w:val="24"/>
          <w:lang w:val="en-US"/>
        </w:rPr>
        <w:t>n the market because they have shorter h</w:t>
      </w:r>
      <w:r w:rsidR="00B2670C" w:rsidRPr="008319F4">
        <w:rPr>
          <w:sz w:val="24"/>
          <w:szCs w:val="24"/>
          <w:lang w:val="en-US"/>
        </w:rPr>
        <w:t>istories (e.g. Barry and Brown, 1985; Zhang, 2006</w:t>
      </w:r>
      <w:r w:rsidRPr="008319F4">
        <w:rPr>
          <w:sz w:val="24"/>
          <w:szCs w:val="24"/>
          <w:lang w:val="en-US"/>
        </w:rPr>
        <w:t xml:space="preserve">). Without sufficient information, younger firms face greater financing constraints.       </w:t>
      </w:r>
    </w:p>
    <w:p w14:paraId="6AC2524C" w14:textId="77777777" w:rsidR="00681A6F" w:rsidRPr="008319F4" w:rsidRDefault="00504117" w:rsidP="00214CCE">
      <w:pPr>
        <w:pStyle w:val="PaperTitle2"/>
      </w:pPr>
      <w:r w:rsidRPr="008319F4">
        <w:t>3</w:t>
      </w:r>
      <w:r w:rsidR="00681A6F" w:rsidRPr="008319F4">
        <w:t xml:space="preserve">.5 Proxies of limits-to-arbitrage </w:t>
      </w:r>
    </w:p>
    <w:p w14:paraId="3BDC24D2" w14:textId="77777777" w:rsidR="00681A6F" w:rsidRPr="008319F4" w:rsidRDefault="00681A6F" w:rsidP="00214CCE">
      <w:pPr>
        <w:spacing w:line="480" w:lineRule="auto"/>
        <w:jc w:val="both"/>
        <w:rPr>
          <w:sz w:val="24"/>
          <w:szCs w:val="24"/>
          <w:lang w:val="en-US"/>
        </w:rPr>
      </w:pPr>
      <w:r w:rsidRPr="008319F4">
        <w:rPr>
          <w:sz w:val="24"/>
          <w:szCs w:val="24"/>
          <w:lang w:val="en-US"/>
        </w:rPr>
        <w:t>Our limits-to-arbitrage proxies include analyst coverage (COV), dispersion in</w:t>
      </w:r>
      <w:r w:rsidR="00906458" w:rsidRPr="008319F4">
        <w:rPr>
          <w:sz w:val="24"/>
          <w:szCs w:val="24"/>
          <w:lang w:val="en-US"/>
        </w:rPr>
        <w:t xml:space="preserve"> analyst forecast (DISP), bid-ask spread (BAS</w:t>
      </w:r>
      <w:r w:rsidRPr="008319F4">
        <w:rPr>
          <w:sz w:val="24"/>
          <w:szCs w:val="24"/>
          <w:lang w:val="en-US"/>
        </w:rPr>
        <w:t>), idiosyncratic volatility (IVOL)</w:t>
      </w:r>
      <w:r w:rsidR="00906458" w:rsidRPr="008319F4">
        <w:rPr>
          <w:sz w:val="24"/>
          <w:szCs w:val="24"/>
          <w:lang w:val="en-US"/>
        </w:rPr>
        <w:t>, and dollar trading volume (DVOL)</w:t>
      </w:r>
      <w:r w:rsidRPr="008319F4">
        <w:rPr>
          <w:sz w:val="24"/>
          <w:szCs w:val="24"/>
          <w:lang w:val="en-US"/>
        </w:rPr>
        <w:t xml:space="preserve">. </w:t>
      </w:r>
    </w:p>
    <w:p w14:paraId="077D65C2" w14:textId="77777777"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Analyst coverage (COV) measures the number of financial analysts on the presumption that the greater the number the more investors will be able to access information related to the firm.  As a result, investors can make more reliable decisions with more information, that is, there is low risk. Lam and Wei (2011) find that the asset growth anomaly is stronger for firms with high limits-to-arbitrage and use analyst coverage as a limits-to-arbitrage proxy. Hong, </w:t>
      </w:r>
      <w:r w:rsidRPr="00FD30FC">
        <w:rPr>
          <w:noProof/>
          <w:sz w:val="24"/>
          <w:szCs w:val="24"/>
          <w:lang w:val="en-US"/>
        </w:rPr>
        <w:t>Lim</w:t>
      </w:r>
      <w:r w:rsidRPr="008319F4">
        <w:rPr>
          <w:sz w:val="24"/>
          <w:szCs w:val="24"/>
          <w:lang w:val="en-US"/>
        </w:rPr>
        <w:t xml:space="preserve"> and Stein (2000) argue lower analyst coverage means higher information uncertainty. </w:t>
      </w:r>
    </w:p>
    <w:p w14:paraId="70B5724E" w14:textId="0E4E2654"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The second proxy is </w:t>
      </w:r>
      <w:r w:rsidR="00723D05" w:rsidRPr="008319F4">
        <w:rPr>
          <w:sz w:val="24"/>
          <w:szCs w:val="24"/>
          <w:lang w:val="en-US"/>
        </w:rPr>
        <w:t xml:space="preserve">the </w:t>
      </w:r>
      <w:r w:rsidRPr="008319F4">
        <w:rPr>
          <w:sz w:val="24"/>
          <w:szCs w:val="24"/>
          <w:lang w:val="en-US"/>
        </w:rPr>
        <w:t>dispersion in analysts’ forecasts (DISP). It reflects the disagreement in analysts’ forecasts. The extent of dispersion is positively related to information uncert</w:t>
      </w:r>
      <w:r w:rsidR="009F422D" w:rsidRPr="008319F4">
        <w:rPr>
          <w:sz w:val="24"/>
          <w:szCs w:val="24"/>
          <w:lang w:val="en-US"/>
        </w:rPr>
        <w:t>ainty (e.g. Barron and Stuerke, 1998;</w:t>
      </w:r>
      <w:r w:rsidRPr="008319F4">
        <w:rPr>
          <w:sz w:val="24"/>
          <w:szCs w:val="24"/>
          <w:lang w:val="en-US"/>
        </w:rPr>
        <w:t xml:space="preserve"> Diether, Malloy and Scherbina</w:t>
      </w:r>
      <w:r w:rsidR="009F422D" w:rsidRPr="008319F4">
        <w:rPr>
          <w:sz w:val="24"/>
          <w:szCs w:val="24"/>
          <w:lang w:val="en-US"/>
        </w:rPr>
        <w:t xml:space="preserve">, 2002; and Zhang, 2006) - </w:t>
      </w:r>
      <w:r w:rsidRPr="008319F4">
        <w:rPr>
          <w:sz w:val="24"/>
          <w:szCs w:val="24"/>
          <w:lang w:val="en-US"/>
        </w:rPr>
        <w:t xml:space="preserve">a greater dispersion implies greater risk. </w:t>
      </w:r>
    </w:p>
    <w:p w14:paraId="7BEF0854" w14:textId="77777777" w:rsidR="00681A6F" w:rsidRPr="008319F4" w:rsidRDefault="00681A6F" w:rsidP="005C18AA">
      <w:pPr>
        <w:spacing w:line="480" w:lineRule="auto"/>
        <w:ind w:firstLine="720"/>
        <w:jc w:val="both"/>
        <w:rPr>
          <w:sz w:val="24"/>
          <w:szCs w:val="24"/>
          <w:lang w:val="en-US"/>
        </w:rPr>
      </w:pPr>
      <w:r w:rsidRPr="008319F4">
        <w:rPr>
          <w:sz w:val="24"/>
          <w:szCs w:val="24"/>
          <w:lang w:val="en-US"/>
        </w:rPr>
        <w:lastRenderedPageBreak/>
        <w:t>The third proxy is</w:t>
      </w:r>
      <w:r w:rsidR="00723D05" w:rsidRPr="008319F4">
        <w:rPr>
          <w:sz w:val="24"/>
          <w:szCs w:val="24"/>
          <w:lang w:val="en-US"/>
        </w:rPr>
        <w:t xml:space="preserve"> the</w:t>
      </w:r>
      <w:r w:rsidRPr="008319F4">
        <w:rPr>
          <w:sz w:val="24"/>
          <w:szCs w:val="24"/>
          <w:lang w:val="en-US"/>
        </w:rPr>
        <w:t xml:space="preserve"> </w:t>
      </w:r>
      <w:r w:rsidR="00F867CE" w:rsidRPr="008319F4">
        <w:rPr>
          <w:sz w:val="24"/>
          <w:szCs w:val="24"/>
          <w:lang w:val="en-US"/>
        </w:rPr>
        <w:t>bid-ask spread (BAS</w:t>
      </w:r>
      <w:r w:rsidR="00B2670C" w:rsidRPr="008319F4">
        <w:rPr>
          <w:sz w:val="24"/>
          <w:szCs w:val="24"/>
          <w:lang w:val="en-US"/>
        </w:rPr>
        <w:t>). With a larg</w:t>
      </w:r>
      <w:r w:rsidRPr="008319F4">
        <w:rPr>
          <w:sz w:val="24"/>
          <w:szCs w:val="24"/>
          <w:lang w:val="en-US"/>
        </w:rPr>
        <w:t xml:space="preserve">er </w:t>
      </w:r>
      <w:r w:rsidR="00723D05" w:rsidRPr="008319F4">
        <w:rPr>
          <w:sz w:val="24"/>
          <w:szCs w:val="24"/>
          <w:lang w:val="en-US"/>
        </w:rPr>
        <w:t>bid-ask spread suggesting</w:t>
      </w:r>
      <w:r w:rsidR="00B2670C" w:rsidRPr="008319F4">
        <w:rPr>
          <w:sz w:val="24"/>
          <w:szCs w:val="24"/>
          <w:lang w:val="en-US"/>
        </w:rPr>
        <w:t xml:space="preserve"> higher transaction costs (e.g., Lam and Wei, 2011). The higher transaction</w:t>
      </w:r>
      <w:r w:rsidRPr="008319F4">
        <w:rPr>
          <w:sz w:val="24"/>
          <w:szCs w:val="24"/>
          <w:lang w:val="en-US"/>
        </w:rPr>
        <w:t xml:space="preserve"> </w:t>
      </w:r>
      <w:r w:rsidR="00B2670C" w:rsidRPr="008319F4">
        <w:rPr>
          <w:sz w:val="24"/>
          <w:szCs w:val="24"/>
          <w:lang w:val="en-US"/>
        </w:rPr>
        <w:t xml:space="preserve">costs would set constraints to arbitrage behavior. Therefore, </w:t>
      </w:r>
      <w:r w:rsidR="00E65622" w:rsidRPr="008319F4">
        <w:rPr>
          <w:sz w:val="24"/>
          <w:szCs w:val="24"/>
          <w:lang w:val="en-US"/>
        </w:rPr>
        <w:t xml:space="preserve">a </w:t>
      </w:r>
      <w:r w:rsidR="00B2670C" w:rsidRPr="008319F4">
        <w:rPr>
          <w:sz w:val="24"/>
          <w:szCs w:val="24"/>
          <w:lang w:val="en-US"/>
        </w:rPr>
        <w:t xml:space="preserve">large bid-ask spread means higher </w:t>
      </w:r>
      <w:r w:rsidR="00E65622" w:rsidRPr="008319F4">
        <w:rPr>
          <w:sz w:val="24"/>
          <w:szCs w:val="24"/>
          <w:lang w:val="en-US"/>
        </w:rPr>
        <w:t>limits-to-arbitrage</w:t>
      </w:r>
      <w:r w:rsidR="00B2670C" w:rsidRPr="008319F4">
        <w:rPr>
          <w:sz w:val="24"/>
          <w:szCs w:val="24"/>
          <w:lang w:val="en-US"/>
        </w:rPr>
        <w:t xml:space="preserve">. </w:t>
      </w:r>
    </w:p>
    <w:p w14:paraId="1C1F713C" w14:textId="77777777"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The fourth proxy is idiosyncratic volatility (IVOL). Unlike total return volatility, idiosyncratic volatility measures the firm-specific risk or unsystematic risk. It is seen as measuring arbitrage risk in terms of firm-specific </w:t>
      </w:r>
      <w:r w:rsidR="00CD0A2F" w:rsidRPr="008319F4">
        <w:rPr>
          <w:sz w:val="24"/>
          <w:szCs w:val="24"/>
          <w:lang w:val="en-US"/>
        </w:rPr>
        <w:t>information (e.g. Pontiff, 1996; Wurgler and Zhuravskaya, 2002; and</w:t>
      </w:r>
      <w:r w:rsidRPr="008319F4">
        <w:rPr>
          <w:sz w:val="24"/>
          <w:szCs w:val="24"/>
          <w:lang w:val="en-US"/>
        </w:rPr>
        <w:t xml:space="preserve"> Ali, Hwan</w:t>
      </w:r>
      <w:r w:rsidR="00CD0A2F" w:rsidRPr="008319F4">
        <w:rPr>
          <w:sz w:val="24"/>
          <w:szCs w:val="24"/>
          <w:lang w:val="en-US"/>
        </w:rPr>
        <w:t>g and Tronmbley, 2003</w:t>
      </w:r>
      <w:r w:rsidRPr="008319F4">
        <w:rPr>
          <w:sz w:val="24"/>
          <w:szCs w:val="24"/>
          <w:lang w:val="en-US"/>
        </w:rPr>
        <w:t>).</w:t>
      </w:r>
    </w:p>
    <w:p w14:paraId="2C107ABD" w14:textId="62C7C2CC" w:rsidR="00913E65" w:rsidRPr="008319F4" w:rsidRDefault="00F867CE" w:rsidP="0074569E">
      <w:pPr>
        <w:spacing w:line="480" w:lineRule="auto"/>
        <w:ind w:firstLine="720"/>
        <w:jc w:val="both"/>
        <w:rPr>
          <w:sz w:val="24"/>
          <w:szCs w:val="24"/>
          <w:lang w:val="en-US"/>
        </w:rPr>
      </w:pPr>
      <w:r w:rsidRPr="008319F4">
        <w:rPr>
          <w:sz w:val="24"/>
          <w:szCs w:val="24"/>
          <w:lang w:val="en-US"/>
        </w:rPr>
        <w:t>The fifth proxy is dollar trading volume (DVOL)</w:t>
      </w:r>
      <w:r w:rsidR="00B2670C" w:rsidRPr="008319F4">
        <w:rPr>
          <w:sz w:val="24"/>
          <w:szCs w:val="24"/>
          <w:lang w:val="en-US"/>
        </w:rPr>
        <w:t>. With higher</w:t>
      </w:r>
      <w:r w:rsidR="00E65622" w:rsidRPr="008319F4">
        <w:rPr>
          <w:sz w:val="24"/>
          <w:szCs w:val="24"/>
          <w:lang w:val="en-US"/>
        </w:rPr>
        <w:t xml:space="preserve"> dollar trading volume indicating</w:t>
      </w:r>
      <w:r w:rsidR="00B2670C" w:rsidRPr="008319F4">
        <w:rPr>
          <w:sz w:val="24"/>
          <w:szCs w:val="24"/>
          <w:lang w:val="en-US"/>
        </w:rPr>
        <w:t xml:space="preserve"> </w:t>
      </w:r>
      <w:r w:rsidR="00723D05" w:rsidRPr="008319F4">
        <w:rPr>
          <w:sz w:val="24"/>
          <w:szCs w:val="24"/>
          <w:lang w:val="en-US"/>
        </w:rPr>
        <w:t>more activity in</w:t>
      </w:r>
      <w:r w:rsidR="00E65622" w:rsidRPr="008319F4">
        <w:rPr>
          <w:sz w:val="24"/>
          <w:szCs w:val="24"/>
          <w:lang w:val="en-US"/>
        </w:rPr>
        <w:t xml:space="preserve"> a stock;</w:t>
      </w:r>
      <w:r w:rsidR="00B2670C" w:rsidRPr="008319F4">
        <w:rPr>
          <w:sz w:val="24"/>
          <w:szCs w:val="24"/>
          <w:lang w:val="en-US"/>
        </w:rPr>
        <w:t xml:space="preserve"> namely, there should be low </w:t>
      </w:r>
      <w:r w:rsidR="00E65622" w:rsidRPr="008319F4">
        <w:rPr>
          <w:sz w:val="24"/>
          <w:szCs w:val="24"/>
          <w:lang w:val="en-US"/>
        </w:rPr>
        <w:t>limits-to-arbitrage</w:t>
      </w:r>
      <w:r w:rsidR="00B2670C" w:rsidRPr="008319F4">
        <w:rPr>
          <w:sz w:val="24"/>
          <w:szCs w:val="24"/>
          <w:lang w:val="en-US"/>
        </w:rPr>
        <w:t xml:space="preserve"> </w:t>
      </w:r>
      <w:r w:rsidR="00723D05" w:rsidRPr="008319F4">
        <w:rPr>
          <w:sz w:val="24"/>
          <w:szCs w:val="24"/>
          <w:lang w:val="en-US"/>
        </w:rPr>
        <w:t>when the trading volume is high</w:t>
      </w:r>
      <w:r w:rsidR="00B2670C" w:rsidRPr="008319F4">
        <w:rPr>
          <w:sz w:val="24"/>
          <w:szCs w:val="24"/>
          <w:lang w:val="en-US"/>
        </w:rPr>
        <w:t xml:space="preserve"> (e.g., Lam and Wei, 2011).  </w:t>
      </w:r>
    </w:p>
    <w:p w14:paraId="0F416C72" w14:textId="77777777" w:rsidR="00681A6F" w:rsidRPr="008319F4" w:rsidRDefault="00504117" w:rsidP="00214CCE">
      <w:pPr>
        <w:pStyle w:val="PaperTitle2"/>
      </w:pPr>
      <w:r w:rsidRPr="008319F4">
        <w:t>3</w:t>
      </w:r>
      <w:r w:rsidR="00681A6F" w:rsidRPr="008319F4">
        <w:t>.6 Sample summary statistics</w:t>
      </w:r>
    </w:p>
    <w:p w14:paraId="5BEA0557" w14:textId="1077C994" w:rsidR="00913E65" w:rsidRPr="008319F4" w:rsidRDefault="00DB69A6" w:rsidP="00A06880">
      <w:pPr>
        <w:spacing w:line="480" w:lineRule="auto"/>
        <w:jc w:val="both"/>
        <w:rPr>
          <w:sz w:val="24"/>
          <w:szCs w:val="24"/>
          <w:lang w:val="en-US"/>
        </w:rPr>
      </w:pPr>
      <w:r w:rsidRPr="008319F4">
        <w:rPr>
          <w:sz w:val="24"/>
          <w:szCs w:val="24"/>
          <w:lang w:val="en-US"/>
        </w:rPr>
        <w:t xml:space="preserve">Table </w:t>
      </w:r>
      <w:r w:rsidR="00C72B69" w:rsidRPr="008319F4">
        <w:rPr>
          <w:sz w:val="24"/>
          <w:szCs w:val="24"/>
          <w:lang w:val="en-US"/>
        </w:rPr>
        <w:t>1</w:t>
      </w:r>
      <w:r w:rsidRPr="008319F4">
        <w:rPr>
          <w:sz w:val="24"/>
          <w:szCs w:val="24"/>
          <w:lang w:val="en-US"/>
        </w:rPr>
        <w:t xml:space="preserve"> </w:t>
      </w:r>
      <w:r w:rsidR="00C72B69" w:rsidRPr="008319F4">
        <w:rPr>
          <w:sz w:val="24"/>
          <w:szCs w:val="24"/>
          <w:lang w:val="en-US"/>
        </w:rPr>
        <w:t>presents the sample summary statistics.  Panel A</w:t>
      </w:r>
      <w:r w:rsidRPr="008319F4">
        <w:rPr>
          <w:sz w:val="24"/>
          <w:szCs w:val="24"/>
          <w:lang w:val="en-US"/>
        </w:rPr>
        <w:t xml:space="preserve"> reports the mean</w:t>
      </w:r>
      <w:r w:rsidR="00EF7D95" w:rsidRPr="008319F4">
        <w:rPr>
          <w:sz w:val="24"/>
          <w:szCs w:val="24"/>
          <w:lang w:val="en-US"/>
        </w:rPr>
        <w:t>s</w:t>
      </w:r>
      <w:r w:rsidRPr="008319F4">
        <w:rPr>
          <w:sz w:val="24"/>
          <w:szCs w:val="24"/>
          <w:lang w:val="en-US"/>
        </w:rPr>
        <w:t xml:space="preserve"> of firm characteristics. Growth firms can be characterized as firms with low total asset</w:t>
      </w:r>
      <w:r w:rsidR="00EF7D95" w:rsidRPr="008319F4">
        <w:rPr>
          <w:sz w:val="24"/>
          <w:szCs w:val="24"/>
          <w:lang w:val="en-US"/>
        </w:rPr>
        <w:t>s</w:t>
      </w:r>
      <w:r w:rsidRPr="008319F4">
        <w:rPr>
          <w:sz w:val="24"/>
          <w:szCs w:val="24"/>
          <w:lang w:val="en-US"/>
        </w:rPr>
        <w:t xml:space="preserve"> and younger firms</w:t>
      </w:r>
      <w:r w:rsidR="00EF7D95" w:rsidRPr="008319F4">
        <w:rPr>
          <w:sz w:val="24"/>
          <w:szCs w:val="24"/>
          <w:lang w:val="en-US"/>
        </w:rPr>
        <w:t>,</w:t>
      </w:r>
      <w:r w:rsidRPr="008319F4">
        <w:rPr>
          <w:sz w:val="24"/>
          <w:szCs w:val="24"/>
          <w:lang w:val="en-US"/>
        </w:rPr>
        <w:t xml:space="preserve"> while mature firms have larger total assets and </w:t>
      </w:r>
      <w:r w:rsidR="00EF7D95" w:rsidRPr="008319F4">
        <w:rPr>
          <w:sz w:val="24"/>
          <w:szCs w:val="24"/>
          <w:lang w:val="en-US"/>
        </w:rPr>
        <w:t xml:space="preserve">a </w:t>
      </w:r>
      <w:r w:rsidRPr="008319F4">
        <w:rPr>
          <w:sz w:val="24"/>
          <w:szCs w:val="24"/>
          <w:lang w:val="en-US"/>
        </w:rPr>
        <w:t>long history. In addition, growth firms usually have larger bid-ask spread</w:t>
      </w:r>
      <w:r w:rsidR="00EF7D95" w:rsidRPr="008319F4">
        <w:rPr>
          <w:sz w:val="24"/>
          <w:szCs w:val="24"/>
          <w:lang w:val="en-US"/>
        </w:rPr>
        <w:t>s</w:t>
      </w:r>
      <w:r w:rsidRPr="008319F4">
        <w:rPr>
          <w:sz w:val="24"/>
          <w:szCs w:val="24"/>
          <w:lang w:val="en-US"/>
        </w:rPr>
        <w:t xml:space="preserve">, </w:t>
      </w:r>
      <w:r w:rsidR="00EF7D95" w:rsidRPr="008319F4">
        <w:rPr>
          <w:sz w:val="24"/>
          <w:szCs w:val="24"/>
          <w:lang w:val="en-US"/>
        </w:rPr>
        <w:t xml:space="preserve">a greater </w:t>
      </w:r>
      <w:r w:rsidRPr="008319F4">
        <w:rPr>
          <w:sz w:val="24"/>
          <w:szCs w:val="24"/>
          <w:lang w:val="en-US"/>
        </w:rPr>
        <w:t>dispersion of analysts</w:t>
      </w:r>
      <w:r w:rsidR="00EF7D95" w:rsidRPr="008319F4">
        <w:rPr>
          <w:sz w:val="24"/>
          <w:szCs w:val="24"/>
          <w:lang w:val="en-US"/>
        </w:rPr>
        <w:t>’</w:t>
      </w:r>
      <w:r w:rsidRPr="008319F4">
        <w:rPr>
          <w:sz w:val="24"/>
          <w:szCs w:val="24"/>
          <w:lang w:val="en-US"/>
        </w:rPr>
        <w:t xml:space="preserve"> forecast</w:t>
      </w:r>
      <w:r w:rsidR="00EF7D95" w:rsidRPr="008319F4">
        <w:rPr>
          <w:sz w:val="24"/>
          <w:szCs w:val="24"/>
          <w:lang w:val="en-US"/>
        </w:rPr>
        <w:t>s</w:t>
      </w:r>
      <w:r w:rsidRPr="008319F4">
        <w:rPr>
          <w:sz w:val="24"/>
          <w:szCs w:val="24"/>
          <w:lang w:val="en-US"/>
        </w:rPr>
        <w:t xml:space="preserve"> and</w:t>
      </w:r>
      <w:r w:rsidR="00EF7D95" w:rsidRPr="008319F4">
        <w:rPr>
          <w:sz w:val="24"/>
          <w:szCs w:val="24"/>
          <w:lang w:val="en-US"/>
        </w:rPr>
        <w:t xml:space="preserve"> higher</w:t>
      </w:r>
      <w:r w:rsidRPr="008319F4">
        <w:rPr>
          <w:sz w:val="24"/>
          <w:szCs w:val="24"/>
          <w:lang w:val="en-US"/>
        </w:rPr>
        <w:t xml:space="preserve"> idiosyncratic volatility than mature </w:t>
      </w:r>
      <w:r w:rsidR="00EF7D95" w:rsidRPr="008319F4">
        <w:rPr>
          <w:sz w:val="24"/>
          <w:szCs w:val="24"/>
          <w:lang w:val="en-US"/>
        </w:rPr>
        <w:t>firms. In addition,</w:t>
      </w:r>
      <w:r w:rsidRPr="008319F4">
        <w:rPr>
          <w:sz w:val="24"/>
          <w:szCs w:val="24"/>
          <w:lang w:val="en-US"/>
        </w:rPr>
        <w:t xml:space="preserve"> growth firms have </w:t>
      </w:r>
      <w:r w:rsidR="00FD30FC">
        <w:rPr>
          <w:noProof/>
          <w:sz w:val="24"/>
          <w:szCs w:val="24"/>
          <w:lang w:val="en-US"/>
        </w:rPr>
        <w:t>fewer</w:t>
      </w:r>
      <w:r w:rsidRPr="008319F4">
        <w:rPr>
          <w:sz w:val="24"/>
          <w:szCs w:val="24"/>
          <w:lang w:val="en-US"/>
        </w:rPr>
        <w:t xml:space="preserve"> analysts and </w:t>
      </w:r>
      <w:r w:rsidR="00EF7D95" w:rsidRPr="008319F4">
        <w:rPr>
          <w:sz w:val="24"/>
          <w:szCs w:val="24"/>
          <w:lang w:val="en-US"/>
        </w:rPr>
        <w:t xml:space="preserve">a lower </w:t>
      </w:r>
      <w:r w:rsidRPr="008319F4">
        <w:rPr>
          <w:sz w:val="24"/>
          <w:szCs w:val="24"/>
          <w:lang w:val="en-US"/>
        </w:rPr>
        <w:t xml:space="preserve">dollar trading volume. </w:t>
      </w:r>
      <w:r w:rsidR="00B33C73" w:rsidRPr="008319F4">
        <w:rPr>
          <w:sz w:val="24"/>
          <w:szCs w:val="24"/>
          <w:lang w:val="en-US"/>
        </w:rPr>
        <w:t xml:space="preserve"> </w:t>
      </w:r>
    </w:p>
    <w:p w14:paraId="73DD4EE9" w14:textId="26F147D6" w:rsidR="00C72B69" w:rsidRPr="008319F4" w:rsidRDefault="00C72B69" w:rsidP="00C72B69">
      <w:pPr>
        <w:spacing w:line="480" w:lineRule="auto"/>
        <w:jc w:val="center"/>
        <w:rPr>
          <w:sz w:val="24"/>
          <w:szCs w:val="24"/>
          <w:lang w:val="en-US"/>
        </w:rPr>
      </w:pPr>
      <w:r w:rsidRPr="008319F4">
        <w:rPr>
          <w:sz w:val="24"/>
          <w:szCs w:val="24"/>
          <w:lang w:val="en-US"/>
        </w:rPr>
        <w:t>[Insert Table 1 about here]</w:t>
      </w:r>
    </w:p>
    <w:p w14:paraId="3BDBAFB9" w14:textId="605F3D5C" w:rsidR="00DB69A6" w:rsidRPr="008319F4" w:rsidRDefault="00C72B69" w:rsidP="00913E65">
      <w:pPr>
        <w:spacing w:line="480" w:lineRule="auto"/>
        <w:ind w:firstLine="720"/>
        <w:jc w:val="both"/>
        <w:rPr>
          <w:sz w:val="24"/>
          <w:szCs w:val="24"/>
          <w:lang w:val="en-US"/>
        </w:rPr>
      </w:pPr>
      <w:r w:rsidRPr="008319F4">
        <w:rPr>
          <w:sz w:val="24"/>
          <w:szCs w:val="24"/>
          <w:lang w:val="en-US"/>
        </w:rPr>
        <w:t xml:space="preserve">Panel B in </w:t>
      </w:r>
      <w:r w:rsidR="00681A6F" w:rsidRPr="008319F4">
        <w:rPr>
          <w:sz w:val="24"/>
          <w:szCs w:val="24"/>
          <w:lang w:val="en-US"/>
        </w:rPr>
        <w:t xml:space="preserve">Table </w:t>
      </w:r>
      <w:r w:rsidRPr="008319F4">
        <w:rPr>
          <w:sz w:val="24"/>
          <w:szCs w:val="24"/>
          <w:lang w:val="en-US"/>
        </w:rPr>
        <w:t>1</w:t>
      </w:r>
      <w:r w:rsidR="00F867CE" w:rsidRPr="008319F4">
        <w:rPr>
          <w:sz w:val="24"/>
          <w:szCs w:val="24"/>
          <w:lang w:val="en-US"/>
        </w:rPr>
        <w:t xml:space="preserve"> </w:t>
      </w:r>
      <w:r w:rsidR="00681A6F" w:rsidRPr="008319F4">
        <w:rPr>
          <w:sz w:val="24"/>
          <w:szCs w:val="24"/>
          <w:lang w:val="en-US"/>
        </w:rPr>
        <w:t>repo</w:t>
      </w:r>
      <w:r w:rsidR="005E5762" w:rsidRPr="008319F4">
        <w:rPr>
          <w:sz w:val="24"/>
          <w:szCs w:val="24"/>
          <w:lang w:val="en-US"/>
        </w:rPr>
        <w:t>rts the correlations across the</w:t>
      </w:r>
      <w:r w:rsidR="0084313F" w:rsidRPr="008319F4">
        <w:rPr>
          <w:sz w:val="24"/>
          <w:szCs w:val="24"/>
          <w:lang w:val="en-US"/>
        </w:rPr>
        <w:t xml:space="preserve"> </w:t>
      </w:r>
      <w:r w:rsidR="00E65622" w:rsidRPr="008319F4">
        <w:rPr>
          <w:sz w:val="24"/>
          <w:szCs w:val="24"/>
          <w:lang w:val="en-US"/>
        </w:rPr>
        <w:t>limits-to-arbitrage</w:t>
      </w:r>
      <w:r w:rsidR="005E5762" w:rsidRPr="008319F4">
        <w:rPr>
          <w:sz w:val="24"/>
          <w:szCs w:val="24"/>
          <w:lang w:val="en-US"/>
        </w:rPr>
        <w:t xml:space="preserve"> and investment friction</w:t>
      </w:r>
      <w:r w:rsidR="0084313F" w:rsidRPr="008319F4">
        <w:rPr>
          <w:sz w:val="24"/>
          <w:szCs w:val="24"/>
          <w:lang w:val="en-US"/>
        </w:rPr>
        <w:t xml:space="preserve"> proxies</w:t>
      </w:r>
      <w:r w:rsidR="00681A6F" w:rsidRPr="008319F4">
        <w:rPr>
          <w:sz w:val="24"/>
          <w:szCs w:val="24"/>
          <w:lang w:val="en-US"/>
        </w:rPr>
        <w:t xml:space="preserve">. As analyst coverage (COV), dispersion in analysts’ forecasts (DISP), </w:t>
      </w:r>
      <w:r w:rsidR="00214CCE" w:rsidRPr="008319F4">
        <w:rPr>
          <w:sz w:val="24"/>
          <w:szCs w:val="24"/>
          <w:lang w:val="en-US"/>
        </w:rPr>
        <w:t>bid-ask spread</w:t>
      </w:r>
      <w:r w:rsidR="00681A6F" w:rsidRPr="008319F4">
        <w:rPr>
          <w:sz w:val="24"/>
          <w:szCs w:val="24"/>
          <w:lang w:val="en-US"/>
        </w:rPr>
        <w:t xml:space="preserve"> (</w:t>
      </w:r>
      <w:r w:rsidR="00214CCE" w:rsidRPr="008319F4">
        <w:rPr>
          <w:sz w:val="24"/>
          <w:szCs w:val="24"/>
          <w:lang w:val="en-US"/>
        </w:rPr>
        <w:t>BAS</w:t>
      </w:r>
      <w:r w:rsidR="007C0A25" w:rsidRPr="008319F4">
        <w:rPr>
          <w:sz w:val="24"/>
          <w:szCs w:val="24"/>
          <w:lang w:val="en-US"/>
        </w:rPr>
        <w:t xml:space="preserve">), </w:t>
      </w:r>
      <w:r w:rsidR="00681A6F" w:rsidRPr="008319F4">
        <w:rPr>
          <w:sz w:val="24"/>
          <w:szCs w:val="24"/>
          <w:lang w:val="en-US"/>
        </w:rPr>
        <w:t xml:space="preserve">idiosyncratic volatility (IVOL) </w:t>
      </w:r>
      <w:r w:rsidR="007C0A25" w:rsidRPr="008319F4">
        <w:rPr>
          <w:sz w:val="24"/>
          <w:szCs w:val="24"/>
          <w:lang w:val="en-US"/>
        </w:rPr>
        <w:t xml:space="preserve">and dollar trading volume (DVOL) </w:t>
      </w:r>
      <w:r w:rsidR="00681A6F" w:rsidRPr="008319F4">
        <w:rPr>
          <w:sz w:val="24"/>
          <w:szCs w:val="24"/>
          <w:lang w:val="en-US"/>
        </w:rPr>
        <w:t>reflect the level of limits-to-arbitrage, the proxies are highly correlated.</w:t>
      </w:r>
      <w:r w:rsidR="0084313F" w:rsidRPr="008319F4">
        <w:rPr>
          <w:sz w:val="24"/>
          <w:szCs w:val="24"/>
          <w:lang w:val="en-US"/>
        </w:rPr>
        <w:t xml:space="preserve"> For </w:t>
      </w:r>
      <w:r w:rsidR="0084313F" w:rsidRPr="008319F4">
        <w:rPr>
          <w:sz w:val="24"/>
          <w:szCs w:val="24"/>
          <w:lang w:val="en-US"/>
        </w:rPr>
        <w:lastRenderedPageBreak/>
        <w:t xml:space="preserve">example, dollar trading volume (DVOL) has </w:t>
      </w:r>
      <w:r w:rsidR="008B6150" w:rsidRPr="008319F4">
        <w:rPr>
          <w:sz w:val="24"/>
          <w:szCs w:val="24"/>
          <w:lang w:val="en-US"/>
        </w:rPr>
        <w:t xml:space="preserve">a </w:t>
      </w:r>
      <w:r w:rsidR="004577E2" w:rsidRPr="008319F4">
        <w:rPr>
          <w:sz w:val="24"/>
          <w:szCs w:val="24"/>
          <w:lang w:val="en-US"/>
        </w:rPr>
        <w:t>P</w:t>
      </w:r>
      <w:r w:rsidR="0084313F" w:rsidRPr="008319F4">
        <w:rPr>
          <w:sz w:val="24"/>
          <w:szCs w:val="24"/>
          <w:lang w:val="en-US"/>
        </w:rPr>
        <w:t>e</w:t>
      </w:r>
      <w:r w:rsidR="004577E2" w:rsidRPr="008319F4">
        <w:rPr>
          <w:sz w:val="24"/>
          <w:szCs w:val="24"/>
          <w:lang w:val="en-US"/>
        </w:rPr>
        <w:t>a</w:t>
      </w:r>
      <w:r w:rsidR="0084313F" w:rsidRPr="008319F4">
        <w:rPr>
          <w:sz w:val="24"/>
          <w:szCs w:val="24"/>
          <w:lang w:val="en-US"/>
        </w:rPr>
        <w:t>rson (</w:t>
      </w:r>
      <w:r w:rsidR="004577E2" w:rsidRPr="008319F4">
        <w:rPr>
          <w:sz w:val="24"/>
          <w:szCs w:val="24"/>
          <w:lang w:val="en-US"/>
        </w:rPr>
        <w:t>S</w:t>
      </w:r>
      <w:r w:rsidR="0084313F" w:rsidRPr="008319F4">
        <w:rPr>
          <w:sz w:val="24"/>
          <w:szCs w:val="24"/>
          <w:lang w:val="en-US"/>
        </w:rPr>
        <w:t xml:space="preserve">pearman) correlation of -51.3% (-75.0%) with bid-ask spread (BAS) and </w:t>
      </w:r>
      <w:r w:rsidR="008B6150" w:rsidRPr="008319F4">
        <w:rPr>
          <w:sz w:val="24"/>
          <w:szCs w:val="24"/>
          <w:lang w:val="en-US"/>
        </w:rPr>
        <w:t xml:space="preserve">a </w:t>
      </w:r>
      <w:r w:rsidR="0084313F" w:rsidRPr="008319F4">
        <w:rPr>
          <w:sz w:val="24"/>
          <w:szCs w:val="24"/>
          <w:lang w:val="en-US"/>
        </w:rPr>
        <w:t>correlation of 60.7%</w:t>
      </w:r>
      <w:r w:rsidR="00913E65" w:rsidRPr="008319F4">
        <w:rPr>
          <w:sz w:val="24"/>
          <w:szCs w:val="24"/>
          <w:lang w:val="en-US"/>
        </w:rPr>
        <w:t xml:space="preserve"> (77.7%) with analyst coverage.</w:t>
      </w:r>
      <w:r w:rsidR="0084313F" w:rsidRPr="008319F4">
        <w:rPr>
          <w:sz w:val="24"/>
          <w:szCs w:val="24"/>
          <w:lang w:val="en-US"/>
        </w:rPr>
        <w:t xml:space="preserve"> </w:t>
      </w:r>
      <w:r w:rsidR="00681A6F" w:rsidRPr="008319F4">
        <w:rPr>
          <w:sz w:val="24"/>
          <w:szCs w:val="24"/>
          <w:lang w:val="en-US"/>
        </w:rPr>
        <w:t xml:space="preserve"> Similarly, firm </w:t>
      </w:r>
      <w:r w:rsidR="00214CCE" w:rsidRPr="008319F4">
        <w:rPr>
          <w:sz w:val="24"/>
          <w:szCs w:val="24"/>
          <w:lang w:val="en-US"/>
        </w:rPr>
        <w:t>total assets (ASSETS</w:t>
      </w:r>
      <w:r w:rsidR="00681A6F" w:rsidRPr="008319F4">
        <w:rPr>
          <w:sz w:val="24"/>
          <w:szCs w:val="24"/>
          <w:lang w:val="en-US"/>
        </w:rPr>
        <w:t xml:space="preserve">) and firm age (AGE) are correlated because both of them contain information concerning investment frictions. </w:t>
      </w:r>
      <w:r w:rsidR="004577E2" w:rsidRPr="008319F4">
        <w:rPr>
          <w:sz w:val="24"/>
          <w:szCs w:val="24"/>
          <w:lang w:val="en-US"/>
        </w:rPr>
        <w:t xml:space="preserve">The Pearson and Spearman correlations are 42.0% and 37.0%. </w:t>
      </w:r>
      <w:r w:rsidR="00681A6F" w:rsidRPr="008319F4">
        <w:rPr>
          <w:sz w:val="24"/>
          <w:szCs w:val="24"/>
          <w:lang w:val="en-US"/>
        </w:rPr>
        <w:t xml:space="preserve">Further, </w:t>
      </w:r>
      <w:r w:rsidR="00E65622" w:rsidRPr="008319F4">
        <w:rPr>
          <w:sz w:val="24"/>
          <w:szCs w:val="24"/>
          <w:lang w:val="en-US"/>
        </w:rPr>
        <w:t>limits-to-arbitrage</w:t>
      </w:r>
      <w:r w:rsidR="00214CCE" w:rsidRPr="008319F4">
        <w:rPr>
          <w:sz w:val="24"/>
          <w:szCs w:val="24"/>
          <w:lang w:val="en-US"/>
        </w:rPr>
        <w:t xml:space="preserve"> proxies (COV, DISP, BAS,</w:t>
      </w:r>
      <w:r w:rsidR="00681A6F" w:rsidRPr="008319F4">
        <w:rPr>
          <w:sz w:val="24"/>
          <w:szCs w:val="24"/>
          <w:lang w:val="en-US"/>
        </w:rPr>
        <w:t xml:space="preserve"> </w:t>
      </w:r>
      <w:r w:rsidR="00681A6F" w:rsidRPr="00FD30FC">
        <w:rPr>
          <w:noProof/>
          <w:sz w:val="24"/>
          <w:szCs w:val="24"/>
          <w:lang w:val="en-US"/>
        </w:rPr>
        <w:t>IVOL</w:t>
      </w:r>
      <w:r w:rsidR="00214CCE" w:rsidRPr="008319F4">
        <w:rPr>
          <w:sz w:val="24"/>
          <w:szCs w:val="24"/>
          <w:lang w:val="en-US"/>
        </w:rPr>
        <w:t xml:space="preserve"> and DVOL</w:t>
      </w:r>
      <w:r w:rsidR="00681A6F" w:rsidRPr="008319F4">
        <w:rPr>
          <w:sz w:val="24"/>
          <w:szCs w:val="24"/>
          <w:lang w:val="en-US"/>
        </w:rPr>
        <w:t>) and</w:t>
      </w:r>
      <w:r w:rsidR="00214CCE" w:rsidRPr="008319F4">
        <w:rPr>
          <w:sz w:val="24"/>
          <w:szCs w:val="24"/>
          <w:lang w:val="en-US"/>
        </w:rPr>
        <w:t xml:space="preserve"> investment friction proxies (ASSET</w:t>
      </w:r>
      <w:r w:rsidR="00681A6F" w:rsidRPr="008319F4">
        <w:rPr>
          <w:sz w:val="24"/>
          <w:szCs w:val="24"/>
          <w:lang w:val="en-US"/>
        </w:rPr>
        <w:t xml:space="preserve"> and AGE) are correlated. For Pearson correlations</w:t>
      </w:r>
      <w:r w:rsidR="0084313F" w:rsidRPr="008319F4">
        <w:rPr>
          <w:sz w:val="24"/>
          <w:szCs w:val="24"/>
          <w:lang w:val="en-US"/>
        </w:rPr>
        <w:t xml:space="preserve"> (below</w:t>
      </w:r>
      <w:r w:rsidR="00214CCE" w:rsidRPr="008319F4">
        <w:rPr>
          <w:sz w:val="24"/>
          <w:szCs w:val="24"/>
          <w:lang w:val="en-US"/>
        </w:rPr>
        <w:t xml:space="preserve"> </w:t>
      </w:r>
      <w:r w:rsidR="004577E2" w:rsidRPr="008319F4">
        <w:rPr>
          <w:sz w:val="24"/>
          <w:szCs w:val="24"/>
          <w:lang w:val="en-US"/>
        </w:rPr>
        <w:t>the diagonal), firm total age (AGE) and dollar trading volume (DVOL</w:t>
      </w:r>
      <w:r w:rsidR="0084313F" w:rsidRPr="008319F4">
        <w:rPr>
          <w:sz w:val="24"/>
          <w:szCs w:val="24"/>
          <w:lang w:val="en-US"/>
        </w:rPr>
        <w:t xml:space="preserve">) have a correlation of </w:t>
      </w:r>
      <w:r w:rsidR="004577E2" w:rsidRPr="008319F4">
        <w:rPr>
          <w:sz w:val="24"/>
          <w:szCs w:val="24"/>
          <w:lang w:val="en-US"/>
        </w:rPr>
        <w:t>27.8</w:t>
      </w:r>
      <w:r w:rsidR="00681A6F" w:rsidRPr="008319F4">
        <w:rPr>
          <w:sz w:val="24"/>
          <w:szCs w:val="24"/>
          <w:lang w:val="en-US"/>
        </w:rPr>
        <w:t>%; correlations between firm a</w:t>
      </w:r>
      <w:r w:rsidR="004577E2" w:rsidRPr="008319F4">
        <w:rPr>
          <w:sz w:val="24"/>
          <w:szCs w:val="24"/>
          <w:lang w:val="en-US"/>
        </w:rPr>
        <w:t>sset (ASSET</w:t>
      </w:r>
      <w:r w:rsidR="00681A6F" w:rsidRPr="008319F4">
        <w:rPr>
          <w:sz w:val="24"/>
          <w:szCs w:val="24"/>
          <w:lang w:val="en-US"/>
        </w:rPr>
        <w:t>) and analyst coverag</w:t>
      </w:r>
      <w:r w:rsidR="00214CCE" w:rsidRPr="008319F4">
        <w:rPr>
          <w:sz w:val="24"/>
          <w:szCs w:val="24"/>
          <w:lang w:val="en-US"/>
        </w:rPr>
        <w:t>e (COV), bid-ask spread (BAS</w:t>
      </w:r>
      <w:r w:rsidR="00681A6F" w:rsidRPr="008319F4">
        <w:rPr>
          <w:sz w:val="24"/>
          <w:szCs w:val="24"/>
          <w:lang w:val="en-US"/>
        </w:rPr>
        <w:t>), idiosyncratic volatility (IVOL)</w:t>
      </w:r>
      <w:r w:rsidR="0084313F" w:rsidRPr="008319F4">
        <w:rPr>
          <w:sz w:val="24"/>
          <w:szCs w:val="24"/>
          <w:lang w:val="en-US"/>
        </w:rPr>
        <w:t xml:space="preserve"> and dollar trading volume (DVOL)</w:t>
      </w:r>
      <w:r w:rsidR="00681A6F" w:rsidRPr="008319F4">
        <w:rPr>
          <w:sz w:val="24"/>
          <w:szCs w:val="24"/>
          <w:lang w:val="en-US"/>
        </w:rPr>
        <w:t xml:space="preserve"> are </w:t>
      </w:r>
      <w:r w:rsidR="004577E2" w:rsidRPr="008319F4">
        <w:rPr>
          <w:sz w:val="24"/>
          <w:szCs w:val="24"/>
          <w:lang w:val="en-US"/>
        </w:rPr>
        <w:t>40.7</w:t>
      </w:r>
      <w:r w:rsidR="0084313F" w:rsidRPr="008319F4">
        <w:rPr>
          <w:sz w:val="24"/>
          <w:szCs w:val="24"/>
          <w:lang w:val="en-US"/>
        </w:rPr>
        <w:t>%, -</w:t>
      </w:r>
      <w:r w:rsidR="004577E2" w:rsidRPr="008319F4">
        <w:rPr>
          <w:sz w:val="24"/>
          <w:szCs w:val="24"/>
          <w:lang w:val="en-US"/>
        </w:rPr>
        <w:t>46.0</w:t>
      </w:r>
      <w:r w:rsidR="0084313F" w:rsidRPr="008319F4">
        <w:rPr>
          <w:sz w:val="24"/>
          <w:szCs w:val="24"/>
          <w:lang w:val="en-US"/>
        </w:rPr>
        <w:t>%, -</w:t>
      </w:r>
      <w:r w:rsidR="004577E2" w:rsidRPr="008319F4">
        <w:rPr>
          <w:sz w:val="24"/>
          <w:szCs w:val="24"/>
          <w:lang w:val="en-US"/>
        </w:rPr>
        <w:t>42</w:t>
      </w:r>
      <w:r w:rsidR="0084313F" w:rsidRPr="008319F4">
        <w:rPr>
          <w:sz w:val="24"/>
          <w:szCs w:val="24"/>
          <w:lang w:val="en-US"/>
        </w:rPr>
        <w:t>.</w:t>
      </w:r>
      <w:r w:rsidR="004577E2" w:rsidRPr="008319F4">
        <w:rPr>
          <w:sz w:val="24"/>
          <w:szCs w:val="24"/>
          <w:lang w:val="en-US"/>
        </w:rPr>
        <w:t>7</w:t>
      </w:r>
      <w:r w:rsidR="00681A6F" w:rsidRPr="008319F4">
        <w:rPr>
          <w:sz w:val="24"/>
          <w:szCs w:val="24"/>
          <w:lang w:val="en-US"/>
        </w:rPr>
        <w:t>%</w:t>
      </w:r>
      <w:r w:rsidR="0084313F" w:rsidRPr="008319F4">
        <w:rPr>
          <w:sz w:val="24"/>
          <w:szCs w:val="24"/>
          <w:lang w:val="en-US"/>
        </w:rPr>
        <w:t xml:space="preserve"> and </w:t>
      </w:r>
      <w:r w:rsidR="004577E2" w:rsidRPr="008319F4">
        <w:rPr>
          <w:sz w:val="24"/>
          <w:szCs w:val="24"/>
          <w:lang w:val="en-US"/>
        </w:rPr>
        <w:t>73</w:t>
      </w:r>
      <w:r w:rsidR="0084313F" w:rsidRPr="008319F4">
        <w:rPr>
          <w:sz w:val="24"/>
          <w:szCs w:val="24"/>
          <w:lang w:val="en-US"/>
        </w:rPr>
        <w:t>.</w:t>
      </w:r>
      <w:r w:rsidR="004577E2" w:rsidRPr="008319F4">
        <w:rPr>
          <w:sz w:val="24"/>
          <w:szCs w:val="24"/>
          <w:lang w:val="en-US"/>
        </w:rPr>
        <w:t>4</w:t>
      </w:r>
      <w:r w:rsidR="0084313F" w:rsidRPr="008319F4">
        <w:rPr>
          <w:sz w:val="24"/>
          <w:szCs w:val="24"/>
          <w:lang w:val="en-US"/>
        </w:rPr>
        <w:t>%</w:t>
      </w:r>
      <w:r w:rsidR="008B6150" w:rsidRPr="008319F4">
        <w:rPr>
          <w:sz w:val="24"/>
          <w:szCs w:val="24"/>
          <w:lang w:val="en-US"/>
        </w:rPr>
        <w:t xml:space="preserve"> respectively.  Above</w:t>
      </w:r>
      <w:r w:rsidR="00A66280" w:rsidRPr="008319F4">
        <w:rPr>
          <w:sz w:val="24"/>
          <w:szCs w:val="24"/>
          <w:lang w:val="en-US"/>
        </w:rPr>
        <w:t xml:space="preserve"> </w:t>
      </w:r>
      <w:r w:rsidR="00681A6F" w:rsidRPr="008319F4">
        <w:rPr>
          <w:sz w:val="24"/>
          <w:szCs w:val="24"/>
          <w:lang w:val="en-US"/>
        </w:rPr>
        <w:t xml:space="preserve">the diagonal are the Spearman rank-order correlations and they show a similar but </w:t>
      </w:r>
      <w:r w:rsidR="00A06880" w:rsidRPr="008319F4">
        <w:rPr>
          <w:sz w:val="24"/>
          <w:szCs w:val="24"/>
          <w:lang w:val="en-US"/>
        </w:rPr>
        <w:t xml:space="preserve">even </w:t>
      </w:r>
      <w:r w:rsidR="00681A6F" w:rsidRPr="008319F4">
        <w:rPr>
          <w:sz w:val="24"/>
          <w:szCs w:val="24"/>
          <w:lang w:val="en-US"/>
        </w:rPr>
        <w:t xml:space="preserve">higher set of correlations </w:t>
      </w:r>
      <w:r w:rsidR="00A06880" w:rsidRPr="008319F4">
        <w:rPr>
          <w:sz w:val="24"/>
          <w:szCs w:val="24"/>
          <w:lang w:val="en-US"/>
        </w:rPr>
        <w:t xml:space="preserve">in most cases </w:t>
      </w:r>
      <w:r w:rsidR="00681A6F" w:rsidRPr="008319F4">
        <w:rPr>
          <w:sz w:val="24"/>
          <w:szCs w:val="24"/>
          <w:lang w:val="en-US"/>
        </w:rPr>
        <w:t xml:space="preserve">between </w:t>
      </w:r>
      <w:r w:rsidR="00A66280" w:rsidRPr="008319F4">
        <w:rPr>
          <w:sz w:val="24"/>
          <w:szCs w:val="24"/>
          <w:lang w:val="en-US"/>
        </w:rPr>
        <w:t xml:space="preserve">the </w:t>
      </w:r>
      <w:r w:rsidR="00681A6F" w:rsidRPr="008319F4">
        <w:rPr>
          <w:sz w:val="24"/>
          <w:szCs w:val="24"/>
          <w:lang w:val="en-US"/>
        </w:rPr>
        <w:t xml:space="preserve">proxies of </w:t>
      </w:r>
      <w:r w:rsidR="00E65622" w:rsidRPr="008319F4">
        <w:rPr>
          <w:sz w:val="24"/>
          <w:szCs w:val="24"/>
          <w:lang w:val="en-US"/>
        </w:rPr>
        <w:t>limits-to-arbitrage</w:t>
      </w:r>
      <w:r w:rsidR="00681A6F" w:rsidRPr="008319F4">
        <w:rPr>
          <w:sz w:val="24"/>
          <w:szCs w:val="24"/>
          <w:lang w:val="en-US"/>
        </w:rPr>
        <w:t xml:space="preserve"> and proxies of investment frictio</w:t>
      </w:r>
      <w:r w:rsidR="0033323E" w:rsidRPr="008319F4">
        <w:rPr>
          <w:sz w:val="24"/>
          <w:szCs w:val="24"/>
          <w:lang w:val="en-US"/>
        </w:rPr>
        <w:t>ns. Given the level of these correlations,</w:t>
      </w:r>
      <w:r w:rsidR="00A66280" w:rsidRPr="008319F4">
        <w:rPr>
          <w:sz w:val="24"/>
          <w:szCs w:val="24"/>
          <w:lang w:val="en-US"/>
        </w:rPr>
        <w:t xml:space="preserve"> it is difficult</w:t>
      </w:r>
      <w:r w:rsidR="00681A6F" w:rsidRPr="008319F4">
        <w:rPr>
          <w:sz w:val="24"/>
          <w:szCs w:val="24"/>
          <w:lang w:val="en-US"/>
        </w:rPr>
        <w:t xml:space="preserve"> to distinguish whether limits-to-arbitrage or investment frictions might explain the asset growth anomaly. Lam and Wei (2011) show that neither of the two dominates the ot</w:t>
      </w:r>
      <w:r w:rsidR="0033323E" w:rsidRPr="008319F4">
        <w:rPr>
          <w:sz w:val="24"/>
          <w:szCs w:val="24"/>
          <w:lang w:val="en-US"/>
        </w:rPr>
        <w:t>her and Watanabe et al.</w:t>
      </w:r>
      <w:r w:rsidR="00681A6F" w:rsidRPr="008319F4">
        <w:rPr>
          <w:sz w:val="24"/>
          <w:szCs w:val="24"/>
          <w:lang w:val="en-US"/>
        </w:rPr>
        <w:t xml:space="preserve"> (2013) argue that due to the high correlation between limits-to-arbitrag</w:t>
      </w:r>
      <w:r w:rsidR="004577E2" w:rsidRPr="008319F4">
        <w:rPr>
          <w:sz w:val="24"/>
          <w:szCs w:val="24"/>
          <w:lang w:val="en-US"/>
        </w:rPr>
        <w:t>e and investment frictions they</w:t>
      </w:r>
      <w:r w:rsidR="00681A6F" w:rsidRPr="008319F4">
        <w:rPr>
          <w:sz w:val="24"/>
          <w:szCs w:val="24"/>
          <w:lang w:val="en-US"/>
        </w:rPr>
        <w:t xml:space="preserve"> not surprisingly produce similar predictions.   </w:t>
      </w:r>
      <w:r w:rsidR="00FB4DD1" w:rsidRPr="008319F4">
        <w:rPr>
          <w:sz w:val="24"/>
          <w:szCs w:val="24"/>
          <w:lang w:val="en-US"/>
        </w:rPr>
        <w:t xml:space="preserve">Our analysis using </w:t>
      </w:r>
      <w:r w:rsidR="001B4BC0" w:rsidRPr="008319F4">
        <w:rPr>
          <w:sz w:val="24"/>
          <w:szCs w:val="24"/>
          <w:lang w:val="en-US"/>
        </w:rPr>
        <w:t xml:space="preserve">a </w:t>
      </w:r>
      <w:r w:rsidR="00FB4DD1" w:rsidRPr="008319F4">
        <w:rPr>
          <w:sz w:val="24"/>
          <w:szCs w:val="24"/>
          <w:lang w:val="en-US"/>
        </w:rPr>
        <w:t xml:space="preserve">growth and mature firm typology seems </w:t>
      </w:r>
      <w:r w:rsidR="001B4BC0" w:rsidRPr="008319F4">
        <w:rPr>
          <w:sz w:val="24"/>
          <w:szCs w:val="24"/>
          <w:lang w:val="en-US"/>
        </w:rPr>
        <w:t>to be capturing</w:t>
      </w:r>
      <w:r w:rsidR="00A24CE0" w:rsidRPr="008319F4">
        <w:rPr>
          <w:sz w:val="24"/>
          <w:szCs w:val="24"/>
          <w:lang w:val="en-US"/>
        </w:rPr>
        <w:t xml:space="preserve"> key cross-section</w:t>
      </w:r>
      <w:r w:rsidR="001B4BC0" w:rsidRPr="008319F4">
        <w:rPr>
          <w:sz w:val="24"/>
          <w:szCs w:val="24"/>
          <w:lang w:val="en-US"/>
        </w:rPr>
        <w:t>al variations in</w:t>
      </w:r>
      <w:r w:rsidR="00A24CE0" w:rsidRPr="008319F4">
        <w:rPr>
          <w:sz w:val="24"/>
          <w:szCs w:val="24"/>
          <w:lang w:val="en-US"/>
        </w:rPr>
        <w:t xml:space="preserve"> the investment friction and limits-to-arbitrage measures.  </w:t>
      </w:r>
      <w:r w:rsidR="00262D60" w:rsidRPr="008319F4">
        <w:rPr>
          <w:sz w:val="24"/>
          <w:szCs w:val="24"/>
          <w:lang w:val="en-US"/>
        </w:rPr>
        <w:t>It is</w:t>
      </w:r>
      <w:r w:rsidR="001B4BC0" w:rsidRPr="008319F4">
        <w:rPr>
          <w:sz w:val="24"/>
          <w:szCs w:val="24"/>
          <w:lang w:val="en-US"/>
        </w:rPr>
        <w:t>,</w:t>
      </w:r>
      <w:r w:rsidR="00262D60" w:rsidRPr="008319F4">
        <w:rPr>
          <w:sz w:val="24"/>
          <w:szCs w:val="24"/>
          <w:lang w:val="en-US"/>
        </w:rPr>
        <w:t xml:space="preserve"> therefore</w:t>
      </w:r>
      <w:r w:rsidR="001B4BC0" w:rsidRPr="008319F4">
        <w:rPr>
          <w:sz w:val="24"/>
          <w:szCs w:val="24"/>
          <w:lang w:val="en-US"/>
        </w:rPr>
        <w:t>,</w:t>
      </w:r>
      <w:r w:rsidR="00262D60" w:rsidRPr="008319F4">
        <w:rPr>
          <w:sz w:val="24"/>
          <w:szCs w:val="24"/>
          <w:lang w:val="en-US"/>
        </w:rPr>
        <w:t xml:space="preserve"> important to examine if investor</w:t>
      </w:r>
      <w:r w:rsidR="001B4BC0" w:rsidRPr="008319F4">
        <w:rPr>
          <w:sz w:val="24"/>
          <w:szCs w:val="24"/>
          <w:lang w:val="en-US"/>
        </w:rPr>
        <w:t>s</w:t>
      </w:r>
      <w:r w:rsidR="00262D60" w:rsidRPr="008319F4">
        <w:rPr>
          <w:sz w:val="24"/>
          <w:szCs w:val="24"/>
          <w:lang w:val="en-US"/>
        </w:rPr>
        <w:t xml:space="preserve"> react differently to growth and mature firms after controlling for the</w:t>
      </w:r>
      <w:r w:rsidR="00001CD5" w:rsidRPr="008319F4">
        <w:rPr>
          <w:sz w:val="24"/>
          <w:szCs w:val="24"/>
          <w:lang w:val="en-US"/>
        </w:rPr>
        <w:t>se factors.</w:t>
      </w:r>
    </w:p>
    <w:p w14:paraId="75F1333B" w14:textId="77777777" w:rsidR="00BD668A" w:rsidRPr="008319F4" w:rsidRDefault="00BD668A" w:rsidP="00A06880">
      <w:pPr>
        <w:spacing w:line="480" w:lineRule="auto"/>
        <w:jc w:val="both"/>
        <w:rPr>
          <w:sz w:val="24"/>
          <w:szCs w:val="24"/>
          <w:lang w:val="en-US"/>
        </w:rPr>
      </w:pPr>
    </w:p>
    <w:p w14:paraId="41475545" w14:textId="77777777" w:rsidR="00681A6F" w:rsidRPr="008319F4" w:rsidRDefault="009D66A1" w:rsidP="00214CCE">
      <w:pPr>
        <w:pStyle w:val="PaperTitle1"/>
      </w:pPr>
      <w:r w:rsidRPr="008319F4">
        <w:t>4</w:t>
      </w:r>
      <w:r w:rsidR="00681A6F" w:rsidRPr="008319F4">
        <w:t xml:space="preserve">. </w:t>
      </w:r>
      <w:r w:rsidR="00695D58" w:rsidRPr="008319F4">
        <w:t>Growth type and asset growth anomaly</w:t>
      </w:r>
    </w:p>
    <w:p w14:paraId="689F1533" w14:textId="60A41A2E" w:rsidR="00214CCE" w:rsidRPr="008319F4" w:rsidRDefault="00214CCE" w:rsidP="00214CCE">
      <w:pPr>
        <w:spacing w:line="480" w:lineRule="auto"/>
        <w:jc w:val="both"/>
        <w:rPr>
          <w:sz w:val="24"/>
          <w:szCs w:val="24"/>
          <w:lang w:val="en-US"/>
        </w:rPr>
      </w:pPr>
      <w:r w:rsidRPr="008319F4">
        <w:rPr>
          <w:sz w:val="24"/>
          <w:szCs w:val="24"/>
          <w:lang w:val="en-US"/>
        </w:rPr>
        <w:t xml:space="preserve">Two methodologies are used to examine whether growth firms show a </w:t>
      </w:r>
      <w:r w:rsidR="00A35653" w:rsidRPr="008319F4">
        <w:rPr>
          <w:sz w:val="24"/>
          <w:szCs w:val="24"/>
          <w:lang w:val="en-US"/>
        </w:rPr>
        <w:t>stronger asset growth anomaly: s</w:t>
      </w:r>
      <w:r w:rsidRPr="008319F4">
        <w:rPr>
          <w:sz w:val="24"/>
          <w:szCs w:val="24"/>
          <w:lang w:val="en-US"/>
        </w:rPr>
        <w:t xml:space="preserve">orts of returns according to asset growth and </w:t>
      </w:r>
      <w:r w:rsidR="00A35653" w:rsidRPr="008319F4">
        <w:rPr>
          <w:sz w:val="24"/>
          <w:szCs w:val="24"/>
          <w:lang w:val="en-US"/>
        </w:rPr>
        <w:t xml:space="preserve">the </w:t>
      </w:r>
      <w:r w:rsidRPr="008319F4">
        <w:rPr>
          <w:sz w:val="24"/>
          <w:szCs w:val="24"/>
          <w:lang w:val="en-US"/>
        </w:rPr>
        <w:t xml:space="preserve">interactive </w:t>
      </w:r>
      <w:r w:rsidRPr="00FD30FC">
        <w:rPr>
          <w:noProof/>
          <w:sz w:val="24"/>
          <w:szCs w:val="24"/>
          <w:lang w:val="en-US"/>
        </w:rPr>
        <w:t xml:space="preserve">effect </w:t>
      </w:r>
      <w:r w:rsidR="00FD30FC">
        <w:rPr>
          <w:noProof/>
          <w:sz w:val="24"/>
          <w:szCs w:val="24"/>
          <w:lang w:val="en-US"/>
        </w:rPr>
        <w:t>of</w:t>
      </w:r>
      <w:r w:rsidRPr="008319F4">
        <w:rPr>
          <w:sz w:val="24"/>
          <w:szCs w:val="24"/>
          <w:lang w:val="en-US"/>
        </w:rPr>
        <w:t xml:space="preserve"> </w:t>
      </w:r>
      <w:r w:rsidRPr="008319F4">
        <w:rPr>
          <w:sz w:val="24"/>
          <w:szCs w:val="24"/>
          <w:lang w:val="en-US"/>
        </w:rPr>
        <w:lastRenderedPageBreak/>
        <w:t>growth type and asset growth by using Fama-MacBeth regression</w:t>
      </w:r>
      <w:r w:rsidR="00A35653" w:rsidRPr="008319F4">
        <w:rPr>
          <w:sz w:val="24"/>
          <w:szCs w:val="24"/>
          <w:lang w:val="en-US"/>
        </w:rPr>
        <w:t>s</w:t>
      </w:r>
      <w:r w:rsidRPr="008319F4">
        <w:rPr>
          <w:rStyle w:val="FootnoteReference"/>
          <w:sz w:val="24"/>
          <w:szCs w:val="24"/>
          <w:lang w:val="en-US"/>
        </w:rPr>
        <w:footnoteReference w:id="11"/>
      </w:r>
      <w:r w:rsidRPr="008319F4">
        <w:rPr>
          <w:sz w:val="24"/>
          <w:szCs w:val="24"/>
          <w:lang w:val="en-US"/>
        </w:rPr>
        <w:t xml:space="preserve">. Sorts </w:t>
      </w:r>
      <w:r w:rsidR="00A35653" w:rsidRPr="008319F4">
        <w:rPr>
          <w:sz w:val="24"/>
          <w:szCs w:val="24"/>
          <w:lang w:val="en-US"/>
        </w:rPr>
        <w:t>of returns are used to</w:t>
      </w:r>
      <w:r w:rsidRPr="008319F4">
        <w:rPr>
          <w:sz w:val="24"/>
          <w:szCs w:val="24"/>
          <w:lang w:val="en-US"/>
        </w:rPr>
        <w:t xml:space="preserve"> display the basic pattern of the comparison of asset growth effect between growth firms and mature firms. The interactive effect regressions with control of </w:t>
      </w:r>
      <w:r w:rsidR="00E65622" w:rsidRPr="008319F4">
        <w:rPr>
          <w:sz w:val="24"/>
          <w:szCs w:val="24"/>
          <w:lang w:val="en-US"/>
        </w:rPr>
        <w:t>limits-to-arbitrage</w:t>
      </w:r>
      <w:r w:rsidRPr="008319F4">
        <w:rPr>
          <w:sz w:val="24"/>
          <w:szCs w:val="24"/>
          <w:lang w:val="en-US"/>
        </w:rPr>
        <w:t xml:space="preserve"> and investment frictions show the unique information contained by growth type. </w:t>
      </w:r>
    </w:p>
    <w:p w14:paraId="39FD3D43" w14:textId="77777777" w:rsidR="00681A6F" w:rsidRPr="008319F4" w:rsidRDefault="009D66A1" w:rsidP="00214CCE">
      <w:pPr>
        <w:pStyle w:val="PaperTitle2"/>
      </w:pPr>
      <w:r w:rsidRPr="008319F4">
        <w:t>4</w:t>
      </w:r>
      <w:r w:rsidR="00681A6F" w:rsidRPr="008319F4">
        <w:t xml:space="preserve">.1 </w:t>
      </w:r>
      <w:r w:rsidRPr="008319F4">
        <w:t>Sort</w:t>
      </w:r>
    </w:p>
    <w:p w14:paraId="43241738" w14:textId="77777777" w:rsidR="003E14D4" w:rsidRPr="008319F4" w:rsidRDefault="0099311A" w:rsidP="00214CCE">
      <w:pPr>
        <w:spacing w:line="480" w:lineRule="auto"/>
        <w:jc w:val="both"/>
        <w:rPr>
          <w:sz w:val="24"/>
          <w:szCs w:val="24"/>
          <w:lang w:val="en-US"/>
        </w:rPr>
      </w:pPr>
      <w:r w:rsidRPr="008319F4">
        <w:rPr>
          <w:sz w:val="24"/>
          <w:szCs w:val="24"/>
          <w:lang w:val="en-US"/>
        </w:rPr>
        <w:t>We first divide firms into two</w:t>
      </w:r>
      <w:r w:rsidR="008D0CDF" w:rsidRPr="008319F4">
        <w:rPr>
          <w:sz w:val="24"/>
          <w:szCs w:val="24"/>
          <w:lang w:val="en-US"/>
        </w:rPr>
        <w:t xml:space="preserve"> catego</w:t>
      </w:r>
      <w:r w:rsidRPr="008319F4">
        <w:rPr>
          <w:sz w:val="24"/>
          <w:szCs w:val="24"/>
          <w:lang w:val="en-US"/>
        </w:rPr>
        <w:t xml:space="preserve">ries—growth and </w:t>
      </w:r>
      <w:r w:rsidR="00BD668A" w:rsidRPr="008319F4">
        <w:rPr>
          <w:sz w:val="24"/>
          <w:szCs w:val="24"/>
          <w:lang w:val="en-US"/>
        </w:rPr>
        <w:t>mature</w:t>
      </w:r>
      <w:r w:rsidR="008D0CDF" w:rsidRPr="008319F4">
        <w:rPr>
          <w:sz w:val="24"/>
          <w:szCs w:val="24"/>
          <w:lang w:val="en-US"/>
        </w:rPr>
        <w:t xml:space="preserve"> based on three growth type proxies—retained earnings scaled by total assets (RE), </w:t>
      </w:r>
      <w:r w:rsidRPr="008319F4">
        <w:rPr>
          <w:sz w:val="24"/>
          <w:szCs w:val="24"/>
          <w:lang w:val="en-US"/>
        </w:rPr>
        <w:t xml:space="preserve">the </w:t>
      </w:r>
      <w:r w:rsidR="008D0CDF" w:rsidRPr="008319F4">
        <w:rPr>
          <w:sz w:val="24"/>
          <w:szCs w:val="24"/>
          <w:lang w:val="en-US"/>
        </w:rPr>
        <w:t>dividend to income ratio (DIV) and cash flow scaled by total assets (CF). Specifically, we rank firms based on each of the growth type proxies int</w:t>
      </w:r>
      <w:r w:rsidRPr="008319F4">
        <w:rPr>
          <w:sz w:val="24"/>
          <w:szCs w:val="24"/>
          <w:lang w:val="en-US"/>
        </w:rPr>
        <w:t xml:space="preserve">o deciles.  The </w:t>
      </w:r>
      <w:r w:rsidR="008D0CDF" w:rsidRPr="008319F4">
        <w:rPr>
          <w:sz w:val="24"/>
          <w:szCs w:val="24"/>
          <w:lang w:val="en-US"/>
        </w:rPr>
        <w:t xml:space="preserve">three </w:t>
      </w:r>
      <w:r w:rsidRPr="008319F4">
        <w:rPr>
          <w:sz w:val="24"/>
          <w:szCs w:val="24"/>
          <w:lang w:val="en-US"/>
        </w:rPr>
        <w:t xml:space="preserve">bottom </w:t>
      </w:r>
      <w:r w:rsidR="00BD668A" w:rsidRPr="008319F4">
        <w:rPr>
          <w:sz w:val="24"/>
          <w:szCs w:val="24"/>
          <w:lang w:val="en-US"/>
        </w:rPr>
        <w:t>deciles are</w:t>
      </w:r>
      <w:r w:rsidRPr="008319F4">
        <w:rPr>
          <w:sz w:val="24"/>
          <w:szCs w:val="24"/>
          <w:lang w:val="en-US"/>
        </w:rPr>
        <w:t xml:space="preserve"> defined to </w:t>
      </w:r>
      <w:r w:rsidR="008D0CDF" w:rsidRPr="008319F4">
        <w:rPr>
          <w:sz w:val="24"/>
          <w:szCs w:val="24"/>
          <w:lang w:val="en-US"/>
        </w:rPr>
        <w:t xml:space="preserve">belong to </w:t>
      </w:r>
      <w:r w:rsidRPr="008319F4">
        <w:rPr>
          <w:sz w:val="24"/>
          <w:szCs w:val="24"/>
          <w:lang w:val="en-US"/>
        </w:rPr>
        <w:t xml:space="preserve">the </w:t>
      </w:r>
      <w:r w:rsidRPr="00FD30FC">
        <w:rPr>
          <w:noProof/>
          <w:sz w:val="24"/>
          <w:szCs w:val="24"/>
          <w:lang w:val="en-US"/>
        </w:rPr>
        <w:t>growth</w:t>
      </w:r>
      <w:r w:rsidRPr="008319F4">
        <w:rPr>
          <w:sz w:val="24"/>
          <w:szCs w:val="24"/>
          <w:lang w:val="en-US"/>
        </w:rPr>
        <w:t xml:space="preserve"> group, while </w:t>
      </w:r>
      <w:r w:rsidR="008D0CDF" w:rsidRPr="008319F4">
        <w:rPr>
          <w:sz w:val="24"/>
          <w:szCs w:val="24"/>
          <w:lang w:val="en-US"/>
        </w:rPr>
        <w:t xml:space="preserve">the top three deciles </w:t>
      </w:r>
      <w:r w:rsidRPr="008319F4">
        <w:rPr>
          <w:sz w:val="24"/>
          <w:szCs w:val="24"/>
          <w:lang w:val="en-US"/>
        </w:rPr>
        <w:t xml:space="preserve">are defined as belonging to the </w:t>
      </w:r>
      <w:r w:rsidR="008D0CDF" w:rsidRPr="008319F4">
        <w:rPr>
          <w:sz w:val="24"/>
          <w:szCs w:val="24"/>
          <w:lang w:val="en-US"/>
        </w:rPr>
        <w:t>matur</w:t>
      </w:r>
      <w:r w:rsidRPr="008319F4">
        <w:rPr>
          <w:sz w:val="24"/>
          <w:szCs w:val="24"/>
          <w:lang w:val="en-US"/>
        </w:rPr>
        <w:t>e group</w:t>
      </w:r>
      <w:r w:rsidR="008D0CDF" w:rsidRPr="008319F4">
        <w:rPr>
          <w:sz w:val="24"/>
          <w:szCs w:val="24"/>
          <w:lang w:val="en-US"/>
        </w:rPr>
        <w:t xml:space="preserve">. </w:t>
      </w:r>
      <w:r w:rsidRPr="008319F4">
        <w:rPr>
          <w:sz w:val="24"/>
          <w:szCs w:val="24"/>
          <w:lang w:val="en-US"/>
        </w:rPr>
        <w:t xml:space="preserve"> F</w:t>
      </w:r>
      <w:r w:rsidR="00681A6F" w:rsidRPr="008319F4">
        <w:rPr>
          <w:sz w:val="24"/>
          <w:szCs w:val="24"/>
          <w:lang w:val="en-US"/>
        </w:rPr>
        <w:t>ollowing Fama and French (2008) and Lam and Wei (2011), we sort firms into deciles based on asset growth in year t-1 and calculate average monthly returns from July in year t to June in year t+1</w:t>
      </w:r>
      <w:r w:rsidR="003E14D4" w:rsidRPr="008319F4">
        <w:rPr>
          <w:sz w:val="24"/>
          <w:szCs w:val="24"/>
          <w:lang w:val="en-US"/>
        </w:rPr>
        <w:t xml:space="preserve"> for each asset growth decile</w:t>
      </w:r>
      <w:r w:rsidR="00681A6F" w:rsidRPr="008319F4">
        <w:rPr>
          <w:sz w:val="24"/>
          <w:szCs w:val="24"/>
          <w:lang w:val="en-US"/>
        </w:rPr>
        <w:t xml:space="preserve">. </w:t>
      </w:r>
    </w:p>
    <w:p w14:paraId="1F0B4958" w14:textId="7DAEA606" w:rsidR="00681A6F" w:rsidRPr="008319F4" w:rsidRDefault="006625D4" w:rsidP="006625D4">
      <w:pPr>
        <w:spacing w:line="480" w:lineRule="auto"/>
        <w:ind w:firstLine="720"/>
        <w:jc w:val="both"/>
        <w:rPr>
          <w:sz w:val="24"/>
          <w:szCs w:val="24"/>
          <w:lang w:val="en-US"/>
        </w:rPr>
      </w:pPr>
      <w:r w:rsidRPr="008319F4">
        <w:rPr>
          <w:sz w:val="24"/>
          <w:szCs w:val="24"/>
          <w:lang w:val="en-US"/>
        </w:rPr>
        <w:t xml:space="preserve">Table 2 examines the asset growth anomaly for growth firms and mature firms by sorting.  </w:t>
      </w:r>
      <w:r w:rsidR="00C72B69" w:rsidRPr="008319F4">
        <w:rPr>
          <w:sz w:val="24"/>
          <w:szCs w:val="24"/>
          <w:lang w:val="en-US"/>
        </w:rPr>
        <w:t>Table 2</w:t>
      </w:r>
      <w:r w:rsidR="00681A6F" w:rsidRPr="008319F4">
        <w:rPr>
          <w:sz w:val="24"/>
          <w:szCs w:val="24"/>
          <w:lang w:val="en-US"/>
        </w:rPr>
        <w:t xml:space="preserve"> </w:t>
      </w:r>
      <w:r w:rsidRPr="008319F4">
        <w:rPr>
          <w:sz w:val="24"/>
          <w:szCs w:val="24"/>
          <w:lang w:val="en-US"/>
        </w:rPr>
        <w:t xml:space="preserve">reports the monthly raw returns and Fama-French alphas for both equal- and </w:t>
      </w:r>
      <w:r w:rsidRPr="00FD30FC">
        <w:rPr>
          <w:noProof/>
          <w:sz w:val="24"/>
          <w:szCs w:val="24"/>
          <w:lang w:val="en-US"/>
        </w:rPr>
        <w:t>value-weighted</w:t>
      </w:r>
      <w:r w:rsidRPr="008319F4">
        <w:rPr>
          <w:sz w:val="24"/>
          <w:szCs w:val="24"/>
          <w:lang w:val="en-US"/>
        </w:rPr>
        <w:t xml:space="preserve"> portfolios.  Panel A presents equal weighted raw return, f</w:t>
      </w:r>
      <w:r w:rsidR="00695D58" w:rsidRPr="008319F4">
        <w:rPr>
          <w:sz w:val="24"/>
          <w:szCs w:val="24"/>
          <w:lang w:val="en-US"/>
        </w:rPr>
        <w:t>or each growth type</w:t>
      </w:r>
      <w:r w:rsidR="00681A6F" w:rsidRPr="008319F4">
        <w:rPr>
          <w:sz w:val="24"/>
          <w:szCs w:val="24"/>
          <w:lang w:val="en-US"/>
        </w:rPr>
        <w:t xml:space="preserve"> proxy, future monthly return</w:t>
      </w:r>
      <w:r w:rsidR="00E34990" w:rsidRPr="008319F4">
        <w:rPr>
          <w:sz w:val="24"/>
          <w:szCs w:val="24"/>
          <w:lang w:val="en-US"/>
        </w:rPr>
        <w:t>s decre</w:t>
      </w:r>
      <w:r w:rsidR="00681A6F" w:rsidRPr="008319F4">
        <w:rPr>
          <w:sz w:val="24"/>
          <w:szCs w:val="24"/>
          <w:lang w:val="en-US"/>
        </w:rPr>
        <w:t>as</w:t>
      </w:r>
      <w:r w:rsidR="00E34990" w:rsidRPr="008319F4">
        <w:rPr>
          <w:sz w:val="24"/>
          <w:szCs w:val="24"/>
          <w:lang w:val="en-US"/>
        </w:rPr>
        <w:t>e as</w:t>
      </w:r>
      <w:r w:rsidR="00681A6F" w:rsidRPr="008319F4">
        <w:rPr>
          <w:sz w:val="24"/>
          <w:szCs w:val="24"/>
          <w:lang w:val="en-US"/>
        </w:rPr>
        <w:t xml:space="preserve"> the asset growth increases f</w:t>
      </w:r>
      <w:r w:rsidR="00E34990" w:rsidRPr="008319F4">
        <w:rPr>
          <w:sz w:val="24"/>
          <w:szCs w:val="24"/>
          <w:lang w:val="en-US"/>
        </w:rPr>
        <w:t xml:space="preserve">or both growth and mature firms. </w:t>
      </w:r>
      <w:r w:rsidR="00681A6F" w:rsidRPr="008319F4">
        <w:rPr>
          <w:sz w:val="24"/>
          <w:szCs w:val="24"/>
          <w:lang w:val="en-US"/>
        </w:rPr>
        <w:t xml:space="preserve"> The difference of returns between low asset growth stocks and high asset growth stocks are sig</w:t>
      </w:r>
      <w:r w:rsidR="00E34990" w:rsidRPr="008319F4">
        <w:rPr>
          <w:sz w:val="24"/>
          <w:szCs w:val="24"/>
          <w:lang w:val="en-US"/>
        </w:rPr>
        <w:t>nificantly positive (</w:t>
      </w:r>
      <w:r w:rsidR="00681A6F" w:rsidRPr="008319F4">
        <w:rPr>
          <w:sz w:val="24"/>
          <w:szCs w:val="24"/>
          <w:lang w:val="en-US"/>
        </w:rPr>
        <w:t>the t statistics are corrected by the Newey-West (1987) method</w:t>
      </w:r>
      <w:r w:rsidR="00E34990" w:rsidRPr="008319F4">
        <w:rPr>
          <w:sz w:val="24"/>
          <w:szCs w:val="24"/>
          <w:lang w:val="en-US"/>
        </w:rPr>
        <w:t>)</w:t>
      </w:r>
      <w:r w:rsidR="00681A6F" w:rsidRPr="008319F4">
        <w:rPr>
          <w:sz w:val="24"/>
          <w:szCs w:val="24"/>
          <w:lang w:val="en-US"/>
        </w:rPr>
        <w:t xml:space="preserve">. </w:t>
      </w:r>
      <w:r w:rsidR="00E34990" w:rsidRPr="008319F4">
        <w:rPr>
          <w:sz w:val="24"/>
          <w:szCs w:val="24"/>
          <w:lang w:val="en-US"/>
        </w:rPr>
        <w:t xml:space="preserve"> These initial results sho</w:t>
      </w:r>
      <w:r w:rsidR="0078613C" w:rsidRPr="008319F4">
        <w:rPr>
          <w:sz w:val="24"/>
          <w:szCs w:val="24"/>
          <w:lang w:val="en-US"/>
        </w:rPr>
        <w:t>w</w:t>
      </w:r>
      <w:r w:rsidR="00695D58" w:rsidRPr="008319F4">
        <w:rPr>
          <w:sz w:val="24"/>
          <w:szCs w:val="24"/>
          <w:lang w:val="en-US"/>
        </w:rPr>
        <w:t xml:space="preserve"> that both gro</w:t>
      </w:r>
      <w:r w:rsidR="00E34990" w:rsidRPr="008319F4">
        <w:rPr>
          <w:sz w:val="24"/>
          <w:szCs w:val="24"/>
          <w:lang w:val="en-US"/>
        </w:rPr>
        <w:t>wth firms and mature firms display the asset growth effect a</w:t>
      </w:r>
      <w:r w:rsidR="00695D58" w:rsidRPr="008319F4">
        <w:rPr>
          <w:sz w:val="24"/>
          <w:szCs w:val="24"/>
          <w:lang w:val="en-US"/>
        </w:rPr>
        <w:t>nd t</w:t>
      </w:r>
      <w:r w:rsidR="00E34990" w:rsidRPr="008319F4">
        <w:rPr>
          <w:sz w:val="24"/>
          <w:szCs w:val="24"/>
          <w:lang w:val="en-US"/>
        </w:rPr>
        <w:t xml:space="preserve">his confirms that this </w:t>
      </w:r>
      <w:r w:rsidR="00681A6F" w:rsidRPr="008319F4">
        <w:rPr>
          <w:sz w:val="24"/>
          <w:szCs w:val="24"/>
          <w:lang w:val="en-US"/>
        </w:rPr>
        <w:t xml:space="preserve">anomaly </w:t>
      </w:r>
      <w:r w:rsidR="00681A6F" w:rsidRPr="008319F4">
        <w:rPr>
          <w:sz w:val="24"/>
          <w:szCs w:val="24"/>
          <w:lang w:val="en-US"/>
        </w:rPr>
        <w:lastRenderedPageBreak/>
        <w:t xml:space="preserve">exists for the US market. </w:t>
      </w:r>
      <w:r w:rsidRPr="008319F4">
        <w:rPr>
          <w:sz w:val="24"/>
          <w:szCs w:val="24"/>
          <w:lang w:val="en-US"/>
        </w:rPr>
        <w:t>Further, the</w:t>
      </w:r>
      <w:r w:rsidR="00681A6F" w:rsidRPr="008319F4">
        <w:rPr>
          <w:sz w:val="24"/>
          <w:szCs w:val="24"/>
          <w:lang w:val="en-US"/>
        </w:rPr>
        <w:t xml:space="preserve"> spread of </w:t>
      </w:r>
      <w:r w:rsidR="00695D58" w:rsidRPr="008319F4">
        <w:rPr>
          <w:sz w:val="24"/>
          <w:szCs w:val="24"/>
          <w:lang w:val="en-US"/>
        </w:rPr>
        <w:t xml:space="preserve">hedge </w:t>
      </w:r>
      <w:r w:rsidR="00681A6F" w:rsidRPr="008319F4">
        <w:rPr>
          <w:sz w:val="24"/>
          <w:szCs w:val="24"/>
          <w:lang w:val="en-US"/>
        </w:rPr>
        <w:t>returns between growth and mature firms</w:t>
      </w:r>
      <w:r w:rsidRPr="008319F4">
        <w:rPr>
          <w:sz w:val="24"/>
          <w:szCs w:val="24"/>
          <w:lang w:val="en-US"/>
        </w:rPr>
        <w:t xml:space="preserve"> are reported in row Spread (G-M)</w:t>
      </w:r>
      <w:r w:rsidR="00681A6F" w:rsidRPr="008319F4">
        <w:rPr>
          <w:sz w:val="24"/>
          <w:szCs w:val="24"/>
          <w:lang w:val="en-US"/>
        </w:rPr>
        <w:t xml:space="preserve">. </w:t>
      </w:r>
      <w:r w:rsidR="00695D58" w:rsidRPr="008319F4">
        <w:rPr>
          <w:sz w:val="24"/>
          <w:szCs w:val="24"/>
          <w:lang w:val="en-US"/>
        </w:rPr>
        <w:t>For the following three growth type proxies—</w:t>
      </w:r>
      <w:r w:rsidR="003E14D4" w:rsidRPr="008319F4">
        <w:rPr>
          <w:sz w:val="24"/>
          <w:szCs w:val="24"/>
          <w:lang w:val="en-US"/>
        </w:rPr>
        <w:t>retained earnings (</w:t>
      </w:r>
      <w:r w:rsidR="00695D58" w:rsidRPr="008319F4">
        <w:rPr>
          <w:sz w:val="24"/>
          <w:szCs w:val="24"/>
          <w:lang w:val="en-US"/>
        </w:rPr>
        <w:t>RE</w:t>
      </w:r>
      <w:r w:rsidR="003E14D4" w:rsidRPr="008319F4">
        <w:rPr>
          <w:sz w:val="24"/>
          <w:szCs w:val="24"/>
          <w:lang w:val="en-US"/>
        </w:rPr>
        <w:t>)</w:t>
      </w:r>
      <w:r w:rsidR="00695D58" w:rsidRPr="008319F4">
        <w:rPr>
          <w:sz w:val="24"/>
          <w:szCs w:val="24"/>
          <w:lang w:val="en-US"/>
        </w:rPr>
        <w:t xml:space="preserve">, </w:t>
      </w:r>
      <w:r w:rsidR="003E14D4" w:rsidRPr="008319F4">
        <w:rPr>
          <w:sz w:val="24"/>
          <w:szCs w:val="24"/>
          <w:lang w:val="en-US"/>
        </w:rPr>
        <w:t>dividend (</w:t>
      </w:r>
      <w:r w:rsidR="00695D58" w:rsidRPr="008319F4">
        <w:rPr>
          <w:sz w:val="24"/>
          <w:szCs w:val="24"/>
          <w:lang w:val="en-US"/>
        </w:rPr>
        <w:t>DIV</w:t>
      </w:r>
      <w:r w:rsidR="003E14D4" w:rsidRPr="008319F4">
        <w:rPr>
          <w:sz w:val="24"/>
          <w:szCs w:val="24"/>
          <w:lang w:val="en-US"/>
        </w:rPr>
        <w:t>)</w:t>
      </w:r>
      <w:r w:rsidR="00695D58" w:rsidRPr="008319F4">
        <w:rPr>
          <w:sz w:val="24"/>
          <w:szCs w:val="24"/>
          <w:lang w:val="en-US"/>
        </w:rPr>
        <w:t xml:space="preserve"> and </w:t>
      </w:r>
      <w:r w:rsidR="003E14D4" w:rsidRPr="008319F4">
        <w:rPr>
          <w:sz w:val="24"/>
          <w:szCs w:val="24"/>
          <w:lang w:val="en-US"/>
        </w:rPr>
        <w:t>cash flow (</w:t>
      </w:r>
      <w:r w:rsidR="00695D58" w:rsidRPr="008319F4">
        <w:rPr>
          <w:sz w:val="24"/>
          <w:szCs w:val="24"/>
          <w:lang w:val="en-US"/>
        </w:rPr>
        <w:t>CF</w:t>
      </w:r>
      <w:r w:rsidR="003E14D4" w:rsidRPr="008319F4">
        <w:rPr>
          <w:sz w:val="24"/>
          <w:szCs w:val="24"/>
          <w:lang w:val="en-US"/>
        </w:rPr>
        <w:t>)</w:t>
      </w:r>
      <w:r w:rsidR="00681A6F" w:rsidRPr="008319F4">
        <w:rPr>
          <w:sz w:val="24"/>
          <w:szCs w:val="24"/>
          <w:lang w:val="en-US"/>
        </w:rPr>
        <w:t xml:space="preserve">, the spreads are </w:t>
      </w:r>
      <w:r w:rsidR="003E14D4" w:rsidRPr="008319F4">
        <w:rPr>
          <w:sz w:val="24"/>
          <w:szCs w:val="24"/>
          <w:lang w:val="en-US"/>
        </w:rPr>
        <w:t xml:space="preserve">1.5%, </w:t>
      </w:r>
      <w:r w:rsidR="003E14D4" w:rsidRPr="00FD30FC">
        <w:rPr>
          <w:noProof/>
          <w:sz w:val="24"/>
          <w:szCs w:val="24"/>
          <w:lang w:val="en-US"/>
        </w:rPr>
        <w:t>1.0%</w:t>
      </w:r>
      <w:r w:rsidR="003E14D4" w:rsidRPr="008319F4">
        <w:rPr>
          <w:sz w:val="24"/>
          <w:szCs w:val="24"/>
          <w:lang w:val="en-US"/>
        </w:rPr>
        <w:t xml:space="preserve"> </w:t>
      </w:r>
      <w:r w:rsidR="00681A6F" w:rsidRPr="008319F4">
        <w:rPr>
          <w:sz w:val="24"/>
          <w:szCs w:val="24"/>
          <w:lang w:val="en-US"/>
        </w:rPr>
        <w:t xml:space="preserve">and </w:t>
      </w:r>
      <w:r w:rsidR="003E14D4" w:rsidRPr="008319F4">
        <w:rPr>
          <w:sz w:val="24"/>
          <w:szCs w:val="24"/>
          <w:lang w:val="en-US"/>
        </w:rPr>
        <w:t>1.3%</w:t>
      </w:r>
      <w:r w:rsidR="00BD668A" w:rsidRPr="008319F4">
        <w:rPr>
          <w:sz w:val="24"/>
          <w:szCs w:val="24"/>
          <w:lang w:val="en-US"/>
        </w:rPr>
        <w:t>,</w:t>
      </w:r>
      <w:r w:rsidR="003E14D4" w:rsidRPr="008319F4">
        <w:rPr>
          <w:sz w:val="24"/>
          <w:szCs w:val="24"/>
          <w:lang w:val="en-US"/>
        </w:rPr>
        <w:t xml:space="preserve"> </w:t>
      </w:r>
      <w:r w:rsidR="00681A6F" w:rsidRPr="008319F4">
        <w:rPr>
          <w:sz w:val="24"/>
          <w:szCs w:val="24"/>
          <w:lang w:val="en-US"/>
        </w:rPr>
        <w:t xml:space="preserve">respectively. </w:t>
      </w:r>
      <w:r w:rsidR="003E14D4" w:rsidRPr="008319F4">
        <w:rPr>
          <w:sz w:val="24"/>
          <w:szCs w:val="24"/>
          <w:lang w:val="en-US"/>
        </w:rPr>
        <w:t>All the three</w:t>
      </w:r>
      <w:r w:rsidR="00681A6F" w:rsidRPr="008319F4">
        <w:rPr>
          <w:sz w:val="24"/>
          <w:szCs w:val="24"/>
          <w:lang w:val="en-US"/>
        </w:rPr>
        <w:t xml:space="preserve"> spreads are significa</w:t>
      </w:r>
      <w:r w:rsidR="003E14D4" w:rsidRPr="008319F4">
        <w:rPr>
          <w:sz w:val="24"/>
          <w:szCs w:val="24"/>
          <w:lang w:val="en-US"/>
        </w:rPr>
        <w:t>nt at the 1% significance level</w:t>
      </w:r>
      <w:r w:rsidR="0069186B" w:rsidRPr="008319F4">
        <w:rPr>
          <w:sz w:val="24"/>
          <w:szCs w:val="24"/>
          <w:lang w:val="en-US"/>
        </w:rPr>
        <w:t xml:space="preserve"> and </w:t>
      </w:r>
      <w:r w:rsidR="00681A6F" w:rsidRPr="008319F4">
        <w:rPr>
          <w:sz w:val="24"/>
          <w:szCs w:val="24"/>
          <w:lang w:val="en-US"/>
        </w:rPr>
        <w:t>indicate that growth firms have a stronger asset growth anomaly.</w:t>
      </w:r>
    </w:p>
    <w:p w14:paraId="6836C331" w14:textId="15631FBE" w:rsidR="006625D4" w:rsidRPr="008319F4" w:rsidRDefault="00207B31" w:rsidP="006625D4">
      <w:pPr>
        <w:spacing w:line="480" w:lineRule="auto"/>
        <w:ind w:firstLine="720"/>
        <w:jc w:val="both"/>
        <w:rPr>
          <w:sz w:val="24"/>
          <w:szCs w:val="24"/>
          <w:lang w:val="en-US"/>
        </w:rPr>
      </w:pPr>
      <w:r w:rsidRPr="008319F4">
        <w:rPr>
          <w:sz w:val="24"/>
          <w:szCs w:val="24"/>
          <w:lang w:val="en-US"/>
        </w:rPr>
        <w:t>When firm size is taken</w:t>
      </w:r>
      <w:r w:rsidR="006625D4" w:rsidRPr="008319F4">
        <w:rPr>
          <w:sz w:val="24"/>
          <w:szCs w:val="24"/>
          <w:lang w:val="en-US"/>
        </w:rPr>
        <w:t xml:space="preserve"> into consideration through value weighted construction, Panel B shows further support that </w:t>
      </w:r>
      <w:r w:rsidRPr="008319F4">
        <w:rPr>
          <w:sz w:val="24"/>
          <w:szCs w:val="24"/>
          <w:lang w:val="en-US"/>
        </w:rPr>
        <w:t>the asset growth anomaly is</w:t>
      </w:r>
      <w:r w:rsidR="006625D4" w:rsidRPr="008319F4">
        <w:rPr>
          <w:sz w:val="24"/>
          <w:szCs w:val="24"/>
          <w:lang w:val="en-US"/>
        </w:rPr>
        <w:t xml:space="preserve"> much stronger in growth </w:t>
      </w:r>
      <w:r w:rsidR="002A6E9C" w:rsidRPr="008319F4">
        <w:rPr>
          <w:sz w:val="24"/>
          <w:szCs w:val="24"/>
          <w:lang w:val="en-US"/>
        </w:rPr>
        <w:t>firms than in mature firms.  Specifically, the asset growth anomaly is not a significant phenomenon in</w:t>
      </w:r>
      <w:r w:rsidR="00FD30FC">
        <w:rPr>
          <w:sz w:val="24"/>
          <w:szCs w:val="24"/>
          <w:lang w:val="en-US"/>
        </w:rPr>
        <w:t xml:space="preserve"> the</w:t>
      </w:r>
      <w:r w:rsidR="002A6E9C" w:rsidRPr="008319F4">
        <w:rPr>
          <w:sz w:val="24"/>
          <w:szCs w:val="24"/>
          <w:lang w:val="en-US"/>
        </w:rPr>
        <w:t xml:space="preserve"> </w:t>
      </w:r>
      <w:r w:rsidR="002A6E9C" w:rsidRPr="00FD30FC">
        <w:rPr>
          <w:noProof/>
          <w:sz w:val="24"/>
          <w:szCs w:val="24"/>
          <w:lang w:val="en-US"/>
        </w:rPr>
        <w:t>mature</w:t>
      </w:r>
      <w:r w:rsidR="002A6E9C" w:rsidRPr="008319F4">
        <w:rPr>
          <w:sz w:val="24"/>
          <w:szCs w:val="24"/>
          <w:lang w:val="en-US"/>
        </w:rPr>
        <w:t xml:space="preserve"> firm</w:t>
      </w:r>
      <w:r w:rsidRPr="008319F4">
        <w:rPr>
          <w:sz w:val="24"/>
          <w:szCs w:val="24"/>
          <w:lang w:val="en-US"/>
        </w:rPr>
        <w:t>,</w:t>
      </w:r>
      <w:r w:rsidR="002A6E9C" w:rsidRPr="008319F4">
        <w:rPr>
          <w:sz w:val="24"/>
          <w:szCs w:val="24"/>
          <w:lang w:val="en-US"/>
        </w:rPr>
        <w:t xml:space="preserve"> while there is </w:t>
      </w:r>
      <w:r w:rsidRPr="008319F4">
        <w:rPr>
          <w:sz w:val="24"/>
          <w:szCs w:val="24"/>
          <w:lang w:val="en-US"/>
        </w:rPr>
        <w:t xml:space="preserve">a </w:t>
      </w:r>
      <w:r w:rsidR="002A6E9C" w:rsidRPr="008319F4">
        <w:rPr>
          <w:sz w:val="24"/>
          <w:szCs w:val="24"/>
          <w:lang w:val="en-US"/>
        </w:rPr>
        <w:t xml:space="preserve">significant anomaly documented in two out of </w:t>
      </w:r>
      <w:r w:rsidRPr="008319F4">
        <w:rPr>
          <w:sz w:val="24"/>
          <w:szCs w:val="24"/>
          <w:lang w:val="en-US"/>
        </w:rPr>
        <w:t xml:space="preserve">the </w:t>
      </w:r>
      <w:r w:rsidR="002A6E9C" w:rsidRPr="008319F4">
        <w:rPr>
          <w:sz w:val="24"/>
          <w:szCs w:val="24"/>
          <w:lang w:val="en-US"/>
        </w:rPr>
        <w:t>thre</w:t>
      </w:r>
      <w:r w:rsidRPr="008319F4">
        <w:rPr>
          <w:sz w:val="24"/>
          <w:szCs w:val="24"/>
          <w:lang w:val="en-US"/>
        </w:rPr>
        <w:t>e growth type</w:t>
      </w:r>
      <w:r w:rsidR="002A6E9C" w:rsidRPr="008319F4">
        <w:rPr>
          <w:sz w:val="24"/>
          <w:szCs w:val="24"/>
          <w:lang w:val="en-US"/>
        </w:rPr>
        <w:t xml:space="preserve"> portfolios. </w:t>
      </w:r>
    </w:p>
    <w:p w14:paraId="7EE43FBC" w14:textId="33E832EE" w:rsidR="002A6E9C" w:rsidRPr="008319F4" w:rsidRDefault="00207B31" w:rsidP="006625D4">
      <w:pPr>
        <w:spacing w:line="480" w:lineRule="auto"/>
        <w:ind w:firstLine="720"/>
        <w:jc w:val="both"/>
        <w:rPr>
          <w:sz w:val="24"/>
          <w:szCs w:val="24"/>
          <w:lang w:val="en-US"/>
        </w:rPr>
      </w:pPr>
      <w:r w:rsidRPr="008319F4">
        <w:rPr>
          <w:sz w:val="24"/>
          <w:szCs w:val="24"/>
          <w:lang w:val="en-US"/>
        </w:rPr>
        <w:t>A s</w:t>
      </w:r>
      <w:r w:rsidR="002A6E9C" w:rsidRPr="008319F4">
        <w:rPr>
          <w:sz w:val="24"/>
          <w:szCs w:val="24"/>
          <w:lang w:val="en-US"/>
        </w:rPr>
        <w:t xml:space="preserve">imilar conclusion can be drawn when </w:t>
      </w:r>
      <w:r w:rsidRPr="008319F4">
        <w:rPr>
          <w:sz w:val="24"/>
          <w:szCs w:val="24"/>
          <w:lang w:val="en-US"/>
        </w:rPr>
        <w:t xml:space="preserve">the </w:t>
      </w:r>
      <w:r w:rsidR="002A6E9C" w:rsidRPr="008319F4">
        <w:rPr>
          <w:sz w:val="24"/>
          <w:szCs w:val="24"/>
          <w:lang w:val="en-US"/>
        </w:rPr>
        <w:t>Fama-Fre</w:t>
      </w:r>
      <w:r w:rsidRPr="008319F4">
        <w:rPr>
          <w:sz w:val="24"/>
          <w:szCs w:val="24"/>
          <w:lang w:val="en-US"/>
        </w:rPr>
        <w:t>n</w:t>
      </w:r>
      <w:r w:rsidR="002A6E9C" w:rsidRPr="008319F4">
        <w:rPr>
          <w:sz w:val="24"/>
          <w:szCs w:val="24"/>
          <w:lang w:val="en-US"/>
        </w:rPr>
        <w:t>ch regression alphas are considered in Panels C and D. Overall, the sorting analysis demonstrate</w:t>
      </w:r>
      <w:r w:rsidRPr="008319F4">
        <w:rPr>
          <w:sz w:val="24"/>
          <w:szCs w:val="24"/>
          <w:lang w:val="en-US"/>
        </w:rPr>
        <w:t>s</w:t>
      </w:r>
      <w:r w:rsidR="002A6E9C" w:rsidRPr="008319F4">
        <w:rPr>
          <w:sz w:val="24"/>
          <w:szCs w:val="24"/>
          <w:lang w:val="en-US"/>
        </w:rPr>
        <w:t xml:space="preserve"> that </w:t>
      </w:r>
      <w:r w:rsidRPr="008319F4">
        <w:rPr>
          <w:sz w:val="24"/>
          <w:szCs w:val="24"/>
          <w:lang w:val="en-US"/>
        </w:rPr>
        <w:t xml:space="preserve">the </w:t>
      </w:r>
      <w:r w:rsidR="002A6E9C" w:rsidRPr="008319F4">
        <w:rPr>
          <w:sz w:val="24"/>
          <w:szCs w:val="24"/>
          <w:lang w:val="en-US"/>
        </w:rPr>
        <w:t xml:space="preserve">asset growth anomaly is stronger in growth firms. </w:t>
      </w:r>
    </w:p>
    <w:p w14:paraId="0F0968AC" w14:textId="77777777" w:rsidR="00681A6F" w:rsidRPr="008319F4" w:rsidRDefault="00681A6F" w:rsidP="00214CCE">
      <w:pPr>
        <w:spacing w:line="480" w:lineRule="auto"/>
        <w:jc w:val="both"/>
        <w:rPr>
          <w:sz w:val="24"/>
          <w:szCs w:val="24"/>
          <w:lang w:val="en-US"/>
        </w:rPr>
      </w:pPr>
    </w:p>
    <w:p w14:paraId="77014EB2" w14:textId="52C228D8" w:rsidR="00681A6F" w:rsidRPr="008319F4" w:rsidRDefault="003E14D4" w:rsidP="00214CCE">
      <w:pPr>
        <w:spacing w:line="480" w:lineRule="auto"/>
        <w:jc w:val="center"/>
        <w:rPr>
          <w:sz w:val="24"/>
          <w:szCs w:val="24"/>
          <w:lang w:val="en-US"/>
        </w:rPr>
      </w:pPr>
      <w:r w:rsidRPr="008319F4">
        <w:rPr>
          <w:sz w:val="24"/>
          <w:szCs w:val="24"/>
          <w:lang w:val="en-US"/>
        </w:rPr>
        <w:t xml:space="preserve">[Insert </w:t>
      </w:r>
      <w:r w:rsidR="00C72B69" w:rsidRPr="008319F4">
        <w:rPr>
          <w:sz w:val="24"/>
          <w:szCs w:val="24"/>
          <w:lang w:val="en-US"/>
        </w:rPr>
        <w:t>Table 2</w:t>
      </w:r>
      <w:r w:rsidR="00681A6F" w:rsidRPr="008319F4">
        <w:rPr>
          <w:sz w:val="24"/>
          <w:szCs w:val="24"/>
          <w:lang w:val="en-US"/>
        </w:rPr>
        <w:t xml:space="preserve"> about here]</w:t>
      </w:r>
    </w:p>
    <w:p w14:paraId="0834F60F" w14:textId="77777777" w:rsidR="00681A6F" w:rsidRPr="008319F4" w:rsidRDefault="00681A6F" w:rsidP="00214CCE">
      <w:pPr>
        <w:spacing w:line="480" w:lineRule="auto"/>
        <w:jc w:val="both"/>
        <w:rPr>
          <w:sz w:val="24"/>
          <w:szCs w:val="24"/>
          <w:lang w:val="en-US"/>
        </w:rPr>
      </w:pPr>
    </w:p>
    <w:p w14:paraId="72D0466F" w14:textId="77777777" w:rsidR="00681A6F" w:rsidRPr="008319F4" w:rsidRDefault="009D66A1" w:rsidP="00DC4916">
      <w:pPr>
        <w:pStyle w:val="PaperTitle2"/>
      </w:pPr>
      <w:r w:rsidRPr="008319F4">
        <w:t>4</w:t>
      </w:r>
      <w:r w:rsidR="00681A6F" w:rsidRPr="008319F4">
        <w:t>.2 Regression</w:t>
      </w:r>
    </w:p>
    <w:p w14:paraId="3B2AF7E0" w14:textId="5592929E" w:rsidR="006C36BC" w:rsidRPr="008319F4" w:rsidRDefault="0078613C" w:rsidP="00214CCE">
      <w:pPr>
        <w:spacing w:line="480" w:lineRule="auto"/>
        <w:jc w:val="both"/>
        <w:rPr>
          <w:sz w:val="24"/>
          <w:szCs w:val="24"/>
          <w:lang w:val="en-US"/>
        </w:rPr>
      </w:pPr>
      <w:r w:rsidRPr="008319F4">
        <w:rPr>
          <w:sz w:val="24"/>
          <w:szCs w:val="24"/>
          <w:lang w:val="en-US"/>
        </w:rPr>
        <w:t>The a</w:t>
      </w:r>
      <w:r w:rsidR="000F3F7E" w:rsidRPr="008319F4">
        <w:rPr>
          <w:sz w:val="24"/>
          <w:szCs w:val="24"/>
          <w:lang w:val="en-US"/>
        </w:rPr>
        <w:t xml:space="preserve">bove univariate analyses show </w:t>
      </w:r>
      <w:r w:rsidRPr="008319F4">
        <w:rPr>
          <w:sz w:val="24"/>
          <w:szCs w:val="24"/>
          <w:lang w:val="en-US"/>
        </w:rPr>
        <w:t xml:space="preserve">a </w:t>
      </w:r>
      <w:r w:rsidR="000F3F7E" w:rsidRPr="008319F4">
        <w:rPr>
          <w:sz w:val="24"/>
          <w:szCs w:val="24"/>
          <w:lang w:val="en-US"/>
        </w:rPr>
        <w:t>stronger asset growth effect f</w:t>
      </w:r>
      <w:r w:rsidRPr="008319F4">
        <w:rPr>
          <w:sz w:val="24"/>
          <w:szCs w:val="24"/>
          <w:lang w:val="en-US"/>
        </w:rPr>
        <w:t>or growth firms. In this sub-section</w:t>
      </w:r>
      <w:r w:rsidR="00681A6F" w:rsidRPr="008319F4">
        <w:rPr>
          <w:sz w:val="24"/>
          <w:szCs w:val="24"/>
          <w:lang w:val="en-US"/>
        </w:rPr>
        <w:t xml:space="preserve"> we exam</w:t>
      </w:r>
      <w:r w:rsidR="000F3F7E" w:rsidRPr="008319F4">
        <w:rPr>
          <w:sz w:val="24"/>
          <w:szCs w:val="24"/>
          <w:lang w:val="en-US"/>
        </w:rPr>
        <w:t xml:space="preserve">ine </w:t>
      </w:r>
      <w:r w:rsidR="006C36BC" w:rsidRPr="008319F4">
        <w:rPr>
          <w:sz w:val="24"/>
          <w:szCs w:val="24"/>
          <w:lang w:val="en-US"/>
        </w:rPr>
        <w:t xml:space="preserve">the marginal effect of growth type on </w:t>
      </w:r>
      <w:r w:rsidRPr="008319F4">
        <w:rPr>
          <w:sz w:val="24"/>
          <w:szCs w:val="24"/>
          <w:lang w:val="en-US"/>
        </w:rPr>
        <w:t xml:space="preserve">the </w:t>
      </w:r>
      <w:r w:rsidR="006C36BC" w:rsidRPr="008319F4">
        <w:rPr>
          <w:sz w:val="24"/>
          <w:szCs w:val="24"/>
          <w:lang w:val="en-US"/>
        </w:rPr>
        <w:t xml:space="preserve">asset growth anomaly and </w:t>
      </w:r>
      <w:r w:rsidR="000F3F7E" w:rsidRPr="008319F4">
        <w:rPr>
          <w:sz w:val="24"/>
          <w:szCs w:val="24"/>
          <w:lang w:val="en-US"/>
        </w:rPr>
        <w:t>whether the growth type</w:t>
      </w:r>
      <w:r w:rsidRPr="008319F4">
        <w:rPr>
          <w:sz w:val="24"/>
          <w:szCs w:val="24"/>
          <w:lang w:val="en-US"/>
        </w:rPr>
        <w:t xml:space="preserve"> has additional</w:t>
      </w:r>
      <w:r w:rsidR="00283EB3" w:rsidRPr="008319F4">
        <w:rPr>
          <w:sz w:val="24"/>
          <w:szCs w:val="24"/>
          <w:lang w:val="en-US"/>
        </w:rPr>
        <w:t xml:space="preserve"> information concerning </w:t>
      </w:r>
      <w:r w:rsidR="00681A6F" w:rsidRPr="008319F4">
        <w:rPr>
          <w:sz w:val="24"/>
          <w:szCs w:val="24"/>
          <w:lang w:val="en-US"/>
        </w:rPr>
        <w:t xml:space="preserve">the asset growth anomaly after controlling for limits-to-arbitrage and investment frictions. </w:t>
      </w:r>
      <w:r w:rsidRPr="008319F4">
        <w:rPr>
          <w:sz w:val="24"/>
          <w:szCs w:val="24"/>
          <w:lang w:val="en-US"/>
        </w:rPr>
        <w:t xml:space="preserve">As in sub-section </w:t>
      </w:r>
      <w:r w:rsidR="000F3F7E" w:rsidRPr="008319F4">
        <w:rPr>
          <w:sz w:val="24"/>
          <w:szCs w:val="24"/>
          <w:lang w:val="en-US"/>
        </w:rPr>
        <w:t>4.1, we group firms into deciles based on eac</w:t>
      </w:r>
      <w:r w:rsidRPr="008319F4">
        <w:rPr>
          <w:sz w:val="24"/>
          <w:szCs w:val="24"/>
          <w:lang w:val="en-US"/>
        </w:rPr>
        <w:t>h of the three growth type proxies</w:t>
      </w:r>
      <w:r w:rsidR="00FF3B03" w:rsidRPr="008319F4">
        <w:rPr>
          <w:sz w:val="24"/>
          <w:szCs w:val="24"/>
          <w:lang w:val="en-US"/>
        </w:rPr>
        <w:t xml:space="preserve">. </w:t>
      </w:r>
      <w:r w:rsidR="000F3F7E" w:rsidRPr="008319F4">
        <w:rPr>
          <w:sz w:val="24"/>
          <w:szCs w:val="24"/>
          <w:lang w:val="en-US"/>
        </w:rPr>
        <w:t xml:space="preserve">Then we </w:t>
      </w:r>
      <w:r w:rsidR="00FF3B03" w:rsidRPr="008319F4">
        <w:rPr>
          <w:sz w:val="24"/>
          <w:szCs w:val="24"/>
          <w:lang w:val="en-US"/>
        </w:rPr>
        <w:t xml:space="preserve">assign -1 to mature firms, </w:t>
      </w:r>
      <w:r w:rsidR="000F3F7E" w:rsidRPr="008319F4">
        <w:rPr>
          <w:sz w:val="24"/>
          <w:szCs w:val="24"/>
          <w:lang w:val="en-US"/>
        </w:rPr>
        <w:t>1 to growth firms</w:t>
      </w:r>
      <w:r w:rsidR="00FF3B03" w:rsidRPr="008319F4">
        <w:rPr>
          <w:sz w:val="24"/>
          <w:szCs w:val="24"/>
          <w:lang w:val="en-US"/>
        </w:rPr>
        <w:t xml:space="preserve"> and 0 to the rest</w:t>
      </w:r>
      <w:r w:rsidR="000F3F7E" w:rsidRPr="008319F4">
        <w:rPr>
          <w:sz w:val="24"/>
          <w:szCs w:val="24"/>
          <w:lang w:val="en-US"/>
        </w:rPr>
        <w:t xml:space="preserve">. </w:t>
      </w:r>
      <w:r w:rsidR="00681A6F" w:rsidRPr="008319F4">
        <w:rPr>
          <w:sz w:val="24"/>
          <w:szCs w:val="24"/>
          <w:lang w:val="en-US"/>
        </w:rPr>
        <w:t xml:space="preserve">We run a </w:t>
      </w:r>
      <w:r w:rsidR="00681A6F" w:rsidRPr="008319F4">
        <w:rPr>
          <w:sz w:val="24"/>
          <w:szCs w:val="24"/>
          <w:lang w:val="en-US"/>
        </w:rPr>
        <w:lastRenderedPageBreak/>
        <w:t>Fama-MacBeth regression with</w:t>
      </w:r>
      <w:r w:rsidR="00C73660" w:rsidRPr="008319F4">
        <w:rPr>
          <w:sz w:val="24"/>
          <w:szCs w:val="24"/>
          <w:lang w:val="en-US"/>
        </w:rPr>
        <w:t xml:space="preserve"> an interaction</w:t>
      </w:r>
      <w:r w:rsidR="000F3F7E" w:rsidRPr="008319F4">
        <w:rPr>
          <w:sz w:val="24"/>
          <w:szCs w:val="24"/>
          <w:lang w:val="en-US"/>
        </w:rPr>
        <w:t xml:space="preserve"> term between growth type and asset growth to capture how growth type affect</w:t>
      </w:r>
      <w:r w:rsidR="00FF3B03" w:rsidRPr="008319F4">
        <w:rPr>
          <w:sz w:val="24"/>
          <w:szCs w:val="24"/>
          <w:lang w:val="en-US"/>
        </w:rPr>
        <w:t>s</w:t>
      </w:r>
      <w:r w:rsidR="000F3F7E" w:rsidRPr="008319F4">
        <w:rPr>
          <w:sz w:val="24"/>
          <w:szCs w:val="24"/>
          <w:lang w:val="en-US"/>
        </w:rPr>
        <w:t xml:space="preserve"> the slope of asset growth</w:t>
      </w:r>
      <w:r w:rsidR="00681A6F" w:rsidRPr="008319F4">
        <w:rPr>
          <w:sz w:val="24"/>
          <w:szCs w:val="24"/>
          <w:lang w:val="en-US"/>
        </w:rPr>
        <w:t xml:space="preserve">. </w:t>
      </w:r>
      <w:r w:rsidR="006C36BC" w:rsidRPr="008319F4">
        <w:rPr>
          <w:sz w:val="24"/>
          <w:szCs w:val="24"/>
          <w:lang w:val="en-US"/>
        </w:rPr>
        <w:t xml:space="preserve">In each month, we first run the following </w:t>
      </w:r>
      <w:r w:rsidR="006C36BC" w:rsidRPr="00FD30FC">
        <w:rPr>
          <w:noProof/>
          <w:sz w:val="24"/>
          <w:szCs w:val="24"/>
          <w:lang w:val="en-US"/>
        </w:rPr>
        <w:t>cross</w:t>
      </w:r>
      <w:r w:rsidR="00FD30FC">
        <w:rPr>
          <w:noProof/>
          <w:sz w:val="24"/>
          <w:szCs w:val="24"/>
          <w:lang w:val="en-US"/>
        </w:rPr>
        <w:t>-</w:t>
      </w:r>
      <w:r w:rsidR="006C36BC" w:rsidRPr="00FD30FC">
        <w:rPr>
          <w:noProof/>
          <w:sz w:val="24"/>
          <w:szCs w:val="24"/>
          <w:lang w:val="en-US"/>
        </w:rPr>
        <w:t>sectional</w:t>
      </w:r>
      <w:r w:rsidR="006C36BC" w:rsidRPr="008319F4">
        <w:rPr>
          <w:sz w:val="24"/>
          <w:szCs w:val="24"/>
          <w:lang w:val="en-US"/>
        </w:rPr>
        <w:t xml:space="preserve"> regression</w:t>
      </w:r>
      <w:r w:rsidR="003A43C5" w:rsidRPr="008319F4">
        <w:rPr>
          <w:sz w:val="24"/>
          <w:szCs w:val="24"/>
          <w:lang w:val="en-US"/>
        </w:rPr>
        <w:t xml:space="preserve"> from 1963 to 2011</w:t>
      </w:r>
      <w:r w:rsidR="006C36BC" w:rsidRPr="008319F4">
        <w:rPr>
          <w:sz w:val="24"/>
          <w:szCs w:val="24"/>
          <w:lang w:val="en-US"/>
        </w:rPr>
        <w:t>:</w:t>
      </w:r>
    </w:p>
    <w:p w14:paraId="5D8CEEDA" w14:textId="77777777" w:rsidR="00911EE4" w:rsidRDefault="00A2686C" w:rsidP="006C36BC">
      <w:pPr>
        <w:spacing w:line="240" w:lineRule="auto"/>
        <w:jc w:val="both"/>
        <w:rPr>
          <w:i/>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Ret</m:t>
            </m:r>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α</m:t>
        </m:r>
        <m:r>
          <w:rPr>
            <w:rFonts w:ascii="Cambria Math"/>
            <w:sz w:val="24"/>
            <w:szCs w:val="24"/>
            <w:lang w:val="en-US"/>
          </w:rPr>
          <m:t>+</m:t>
        </m:r>
        <m:r>
          <w:rPr>
            <w:rFonts w:ascii="Cambria Math" w:hAnsi="Cambria Math"/>
            <w:sz w:val="24"/>
            <w:szCs w:val="24"/>
            <w:lang w:val="en-US"/>
          </w:rPr>
          <m:t>β</m:t>
        </m:r>
        <m:sSub>
          <m:sSubPr>
            <m:ctrlPr>
              <w:rPr>
                <w:rFonts w:ascii="Cambria Math" w:hAnsi="Cambria Math"/>
                <w:i/>
                <w:sz w:val="24"/>
                <w:szCs w:val="24"/>
                <w:lang w:val="en-US"/>
              </w:rPr>
            </m:ctrlPr>
          </m:sSubPr>
          <m:e>
            <m:r>
              <w:rPr>
                <w:rFonts w:ascii="Cambria Math" w:hAnsi="Cambria Math"/>
                <w:sz w:val="24"/>
                <w:szCs w:val="24"/>
                <w:lang w:val="en-US"/>
              </w:rPr>
              <m:t>ln</m:t>
            </m:r>
            <m:r>
              <w:rPr>
                <w:rFonts w:hAnsi="Cambria Math"/>
                <w:sz w:val="24"/>
                <w:szCs w:val="24"/>
                <w:lang w:val="en-US"/>
              </w:rPr>
              <m:t>⁡</m:t>
            </m:r>
            <m:r>
              <w:rPr>
                <w:rFonts w:ascii="Cambria Math"/>
                <w:sz w:val="24"/>
                <w:szCs w:val="24"/>
                <w:lang w:val="en-US"/>
              </w:rPr>
              <m:t>(1+</m:t>
            </m:r>
            <m:r>
              <w:rPr>
                <w:rFonts w:ascii="Cambria Math" w:hAnsi="Cambria Math"/>
                <w:sz w:val="24"/>
                <w:szCs w:val="24"/>
                <w:lang w:val="en-US"/>
              </w:rPr>
              <m:t>AG</m:t>
            </m:r>
            <m:r>
              <w:rPr>
                <w:rFonts w:ascii="Cambria Math"/>
                <w:sz w:val="24"/>
                <w:szCs w:val="24"/>
                <w:lang w:val="en-US"/>
              </w:rPr>
              <m:t>)</m:t>
            </m:r>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φ</m:t>
        </m:r>
        <m:sSub>
          <m:sSubPr>
            <m:ctrlPr>
              <w:rPr>
                <w:rFonts w:ascii="Cambria Math" w:hAnsi="Cambria Math"/>
                <w:i/>
                <w:sz w:val="24"/>
                <w:szCs w:val="24"/>
                <w:lang w:val="en-US"/>
              </w:rPr>
            </m:ctrlPr>
          </m:sSubPr>
          <m:e>
            <m:r>
              <w:rPr>
                <w:rFonts w:ascii="Cambria Math" w:hAnsi="Cambria Math"/>
                <w:sz w:val="24"/>
                <w:szCs w:val="24"/>
                <w:lang w:val="en-US"/>
              </w:rPr>
              <m:t>ln</m:t>
            </m:r>
            <m:r>
              <w:rPr>
                <w:rFonts w:hAnsi="Cambria Math"/>
                <w:sz w:val="24"/>
                <w:szCs w:val="24"/>
                <w:lang w:val="en-US"/>
              </w:rPr>
              <m:t>⁡</m:t>
            </m:r>
            <m:r>
              <w:rPr>
                <w:rFonts w:ascii="Cambria Math"/>
                <w:sz w:val="24"/>
                <w:szCs w:val="24"/>
                <w:lang w:val="en-US"/>
              </w:rPr>
              <m:t>(1+</m:t>
            </m:r>
            <m:r>
              <w:rPr>
                <w:rFonts w:ascii="Cambria Math" w:hAnsi="Cambria Math"/>
                <w:sz w:val="24"/>
                <w:szCs w:val="24"/>
                <w:lang w:val="en-US"/>
              </w:rPr>
              <m:t>AG</m:t>
            </m:r>
            <m:r>
              <w:rPr>
                <w:rFonts w:ascii="Cambria Math"/>
                <w:sz w:val="24"/>
                <w:szCs w:val="24"/>
                <w:lang w:val="en-US"/>
              </w:rPr>
              <m:t>)</m:t>
            </m:r>
          </m:e>
          <m:sub>
            <m:r>
              <w:rPr>
                <w:rFonts w:ascii="Cambria Math" w:hAnsi="Cambria Math"/>
                <w:sz w:val="24"/>
                <w:szCs w:val="24"/>
                <w:lang w:val="en-US"/>
              </w:rPr>
              <m:t>i</m:t>
            </m:r>
          </m:sub>
        </m:sSub>
        <m:r>
          <w:rPr>
            <w:rFonts w:ascii="Cambria Math" w:hAnsi="Cambria Math"/>
            <w:sz w:val="24"/>
            <w:szCs w:val="24"/>
            <w:lang w:val="en-US"/>
          </w:rPr>
          <m:t>×GT</m:t>
        </m:r>
        <m:r>
          <w:rPr>
            <w:rFonts w:ascii="Cambria Math"/>
            <w:sz w:val="24"/>
            <w:szCs w:val="24"/>
            <w:lang w:val="en-US"/>
          </w:rPr>
          <m:t>+</m:t>
        </m:r>
        <m:r>
          <w:rPr>
            <w:rFonts w:ascii="Cambria Math" w:hAnsi="Cambria Math"/>
            <w:sz w:val="24"/>
            <w:szCs w:val="24"/>
            <w:lang w:val="en-US"/>
          </w:rPr>
          <m:t>γGT</m:t>
        </m:r>
        <m:r>
          <w:rPr>
            <w:rFonts w:asci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sz w:val="24"/>
                <w:szCs w:val="24"/>
                <w:lang w:val="en-US"/>
              </w:rPr>
              <m:t>=1</m:t>
            </m:r>
          </m:sub>
          <m:sup>
            <m:r>
              <w:rPr>
                <w:rFonts w:ascii="Cambria Math"/>
                <w:sz w:val="24"/>
                <w:szCs w:val="24"/>
                <w:lang w:val="en-US"/>
              </w:rPr>
              <m:t>3</m:t>
            </m:r>
          </m:sup>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j</m:t>
                </m:r>
              </m:sub>
            </m:sSub>
            <m:sSub>
              <m:sSubPr>
                <m:ctrlPr>
                  <w:rPr>
                    <w:rFonts w:ascii="Cambria Math" w:hAnsi="Cambria Math"/>
                    <w:i/>
                    <w:sz w:val="24"/>
                    <w:szCs w:val="24"/>
                    <w:lang w:val="en-US"/>
                  </w:rPr>
                </m:ctrlPr>
              </m:sSubPr>
              <m:e>
                <m:r>
                  <w:rPr>
                    <w:rFonts w:ascii="Cambria Math" w:hAnsi="Cambria Math"/>
                    <w:sz w:val="24"/>
                    <w:szCs w:val="24"/>
                    <w:lang w:val="en-US"/>
                  </w:rPr>
                  <m:t>Control</m:t>
                </m:r>
              </m:e>
              <m:sub>
                <m:r>
                  <w:rPr>
                    <w:rFonts w:ascii="Cambria Math" w:hAnsi="Cambria Math"/>
                    <w:sz w:val="24"/>
                    <w:szCs w:val="24"/>
                    <w:lang w:val="en-US"/>
                  </w:rPr>
                  <m:t>ij</m:t>
                </m:r>
              </m:sub>
            </m:sSub>
          </m:e>
        </m:nary>
        <m:r>
          <w:rPr>
            <w:rFonts w:ascii="Cambria Math"/>
            <w:sz w:val="24"/>
            <w:szCs w:val="24"/>
            <w:lang w:val="en-US"/>
          </w:rPr>
          <m:t>+</m:t>
        </m:r>
        <m:r>
          <w:rPr>
            <w:rFonts w:ascii="Cambria Math" w:hAnsi="Cambria Math"/>
            <w:sz w:val="24"/>
            <w:szCs w:val="24"/>
            <w:lang w:val="en-US"/>
          </w:rPr>
          <m:t>ε</m:t>
        </m:r>
      </m:oMath>
      <w:r w:rsidR="00911EE4">
        <w:rPr>
          <w:i/>
          <w:sz w:val="24"/>
          <w:szCs w:val="24"/>
          <w:lang w:val="en-US"/>
        </w:rPr>
        <w:t xml:space="preserve"> </w:t>
      </w:r>
    </w:p>
    <w:p w14:paraId="7A742769" w14:textId="309D6321" w:rsidR="006C36BC" w:rsidRPr="00911EE4" w:rsidRDefault="00155774" w:rsidP="00911EE4">
      <w:pPr>
        <w:spacing w:line="240" w:lineRule="auto"/>
        <w:jc w:val="right"/>
        <w:rPr>
          <w:i/>
          <w:sz w:val="24"/>
          <w:szCs w:val="24"/>
          <w:lang w:val="en-US"/>
        </w:rPr>
      </w:pPr>
      <w:r>
        <w:rPr>
          <w:i/>
          <w:sz w:val="24"/>
          <w:szCs w:val="24"/>
          <w:lang w:val="en-US"/>
        </w:rPr>
        <w:t>E</w:t>
      </w:r>
      <w:r w:rsidR="00911EE4">
        <w:rPr>
          <w:i/>
          <w:sz w:val="24"/>
          <w:szCs w:val="24"/>
          <w:lang w:val="en-US"/>
        </w:rPr>
        <w:t>q(1)</w:t>
      </w:r>
    </w:p>
    <w:p w14:paraId="40D32FA5" w14:textId="77777777" w:rsidR="00911EE4" w:rsidRPr="008319F4" w:rsidRDefault="00911EE4" w:rsidP="006C36BC">
      <w:pPr>
        <w:spacing w:line="240" w:lineRule="auto"/>
        <w:jc w:val="both"/>
        <w:rPr>
          <w:i/>
          <w:sz w:val="24"/>
          <w:szCs w:val="24"/>
          <w:lang w:val="en-US"/>
        </w:rPr>
      </w:pPr>
    </w:p>
    <w:p w14:paraId="5518DB95" w14:textId="77777777" w:rsidR="006C36BC" w:rsidRPr="008319F4" w:rsidRDefault="006C36BC" w:rsidP="00214CCE">
      <w:pPr>
        <w:spacing w:line="480" w:lineRule="auto"/>
        <w:jc w:val="both"/>
        <w:rPr>
          <w:sz w:val="24"/>
          <w:szCs w:val="24"/>
          <w:lang w:val="en-US"/>
        </w:rPr>
      </w:pPr>
      <w:r w:rsidRPr="008319F4">
        <w:rPr>
          <w:sz w:val="24"/>
          <w:szCs w:val="24"/>
          <w:lang w:val="en-US"/>
        </w:rPr>
        <w:t xml:space="preserve">Where </w:t>
      </w:r>
      <m:oMath>
        <m:r>
          <w:rPr>
            <w:rFonts w:ascii="Cambria Math" w:hAnsi="Cambria Math"/>
            <w:sz w:val="24"/>
            <w:szCs w:val="24"/>
            <w:lang w:val="en-US"/>
          </w:rPr>
          <m:t>Ret</m:t>
        </m:r>
      </m:oMath>
      <w:r w:rsidR="00FF3B03" w:rsidRPr="008319F4">
        <w:rPr>
          <w:sz w:val="24"/>
          <w:szCs w:val="24"/>
          <w:lang w:val="en-US"/>
        </w:rPr>
        <w:t xml:space="preserve"> is </w:t>
      </w:r>
      <w:r w:rsidR="00283EB3" w:rsidRPr="008319F4">
        <w:rPr>
          <w:sz w:val="24"/>
          <w:szCs w:val="24"/>
          <w:lang w:val="en-US"/>
        </w:rPr>
        <w:t xml:space="preserve">the </w:t>
      </w:r>
      <w:r w:rsidR="00FF3B03" w:rsidRPr="008319F4">
        <w:rPr>
          <w:sz w:val="24"/>
          <w:szCs w:val="24"/>
          <w:lang w:val="en-US"/>
        </w:rPr>
        <w:t>monthly return updated</w:t>
      </w:r>
      <w:r w:rsidRPr="008319F4">
        <w:rPr>
          <w:sz w:val="24"/>
          <w:szCs w:val="24"/>
          <w:lang w:val="en-US"/>
        </w:rPr>
        <w:t xml:space="preserve"> monthly; AG is asset growth which </w:t>
      </w:r>
      <w:r w:rsidR="00FF3B03" w:rsidRPr="008319F4">
        <w:rPr>
          <w:sz w:val="24"/>
          <w:szCs w:val="24"/>
          <w:lang w:val="en-US"/>
        </w:rPr>
        <w:t xml:space="preserve">is </w:t>
      </w:r>
      <w:r w:rsidRPr="008319F4">
        <w:rPr>
          <w:sz w:val="24"/>
          <w:szCs w:val="24"/>
          <w:lang w:val="en-US"/>
        </w:rPr>
        <w:t>update</w:t>
      </w:r>
      <w:r w:rsidR="00FF3B03" w:rsidRPr="008319F4">
        <w:rPr>
          <w:sz w:val="24"/>
          <w:szCs w:val="24"/>
          <w:lang w:val="en-US"/>
        </w:rPr>
        <w:t xml:space="preserve">d on </w:t>
      </w:r>
      <w:r w:rsidRPr="008319F4">
        <w:rPr>
          <w:sz w:val="24"/>
          <w:szCs w:val="24"/>
          <w:lang w:val="en-US"/>
        </w:rPr>
        <w:t>an annual basis; GT indicate</w:t>
      </w:r>
      <w:r w:rsidR="00283EB3" w:rsidRPr="008319F4">
        <w:rPr>
          <w:sz w:val="24"/>
          <w:szCs w:val="24"/>
          <w:lang w:val="en-US"/>
        </w:rPr>
        <w:t>s growth type with</w:t>
      </w:r>
      <w:r w:rsidRPr="008319F4">
        <w:rPr>
          <w:sz w:val="24"/>
          <w:szCs w:val="24"/>
          <w:lang w:val="en-US"/>
        </w:rPr>
        <w:t xml:space="preserve"> -1 for ma</w:t>
      </w:r>
      <w:r w:rsidR="00FF3B03" w:rsidRPr="008319F4">
        <w:rPr>
          <w:sz w:val="24"/>
          <w:szCs w:val="24"/>
          <w:lang w:val="en-US"/>
        </w:rPr>
        <w:t xml:space="preserve">ture firms, </w:t>
      </w:r>
      <w:r w:rsidRPr="008319F4">
        <w:rPr>
          <w:sz w:val="24"/>
          <w:szCs w:val="24"/>
          <w:lang w:val="en-US"/>
        </w:rPr>
        <w:t>1 for growth firms</w:t>
      </w:r>
      <w:r w:rsidR="00FF3B03" w:rsidRPr="008319F4">
        <w:rPr>
          <w:sz w:val="24"/>
          <w:szCs w:val="24"/>
          <w:lang w:val="en-US"/>
        </w:rPr>
        <w:t xml:space="preserve"> and 0 for the rest</w:t>
      </w:r>
      <w:r w:rsidRPr="008319F4">
        <w:rPr>
          <w:sz w:val="24"/>
          <w:szCs w:val="24"/>
          <w:lang w:val="en-US"/>
        </w:rPr>
        <w:t xml:space="preserve">; control variables include </w:t>
      </w:r>
      <w:r w:rsidR="00FF3B03" w:rsidRPr="008319F4">
        <w:rPr>
          <w:sz w:val="24"/>
          <w:szCs w:val="24"/>
          <w:lang w:val="en-US"/>
        </w:rPr>
        <w:t>the natural</w:t>
      </w:r>
      <w:r w:rsidRPr="008319F4">
        <w:rPr>
          <w:sz w:val="24"/>
          <w:szCs w:val="24"/>
          <w:lang w:val="en-US"/>
        </w:rPr>
        <w:t xml:space="preserve"> logarithm of market value</w:t>
      </w:r>
      <w:r w:rsidR="00EE1A21" w:rsidRPr="008319F4">
        <w:rPr>
          <w:sz w:val="24"/>
          <w:szCs w:val="24"/>
          <w:lang w:val="en-US"/>
        </w:rPr>
        <w:t xml:space="preserve"> (lnMV)</w:t>
      </w:r>
      <w:r w:rsidRPr="008319F4">
        <w:rPr>
          <w:sz w:val="24"/>
          <w:szCs w:val="24"/>
          <w:lang w:val="en-US"/>
        </w:rPr>
        <w:t xml:space="preserve">, </w:t>
      </w:r>
      <w:r w:rsidR="00FF3B03" w:rsidRPr="008319F4">
        <w:rPr>
          <w:sz w:val="24"/>
          <w:szCs w:val="24"/>
          <w:lang w:val="en-US"/>
        </w:rPr>
        <w:t>the natural</w:t>
      </w:r>
      <w:r w:rsidRPr="008319F4">
        <w:rPr>
          <w:sz w:val="24"/>
          <w:szCs w:val="24"/>
          <w:lang w:val="en-US"/>
        </w:rPr>
        <w:t xml:space="preserve"> logarithm of </w:t>
      </w:r>
      <w:r w:rsidR="00FF3B03" w:rsidRPr="008319F4">
        <w:rPr>
          <w:sz w:val="24"/>
          <w:szCs w:val="24"/>
          <w:lang w:val="en-US"/>
        </w:rPr>
        <w:t xml:space="preserve">the </w:t>
      </w:r>
      <w:r w:rsidRPr="008319F4">
        <w:rPr>
          <w:sz w:val="24"/>
          <w:szCs w:val="24"/>
          <w:lang w:val="en-US"/>
        </w:rPr>
        <w:t xml:space="preserve">book-to-market ratio </w:t>
      </w:r>
      <w:r w:rsidR="00EE1A21" w:rsidRPr="008319F4">
        <w:rPr>
          <w:sz w:val="24"/>
          <w:szCs w:val="24"/>
          <w:lang w:val="en-US"/>
        </w:rPr>
        <w:t xml:space="preserve">(lnBM) </w:t>
      </w:r>
      <w:r w:rsidRPr="008319F4">
        <w:rPr>
          <w:sz w:val="24"/>
          <w:szCs w:val="24"/>
          <w:lang w:val="en-US"/>
        </w:rPr>
        <w:t>and prior six month returns</w:t>
      </w:r>
      <w:r w:rsidR="00EE1A21" w:rsidRPr="008319F4">
        <w:rPr>
          <w:sz w:val="24"/>
          <w:szCs w:val="24"/>
          <w:lang w:val="en-US"/>
        </w:rPr>
        <w:t xml:space="preserve"> (Pre6ret) whi</w:t>
      </w:r>
      <w:r w:rsidR="00FF3B03" w:rsidRPr="008319F4">
        <w:rPr>
          <w:sz w:val="24"/>
          <w:szCs w:val="24"/>
          <w:lang w:val="en-US"/>
        </w:rPr>
        <w:t>ch are widely used predictors of</w:t>
      </w:r>
      <w:r w:rsidR="00EE1A21" w:rsidRPr="008319F4">
        <w:rPr>
          <w:sz w:val="24"/>
          <w:szCs w:val="24"/>
          <w:lang w:val="en-US"/>
        </w:rPr>
        <w:t xml:space="preserve"> cross sectional returns. </w:t>
      </w:r>
    </w:p>
    <w:p w14:paraId="406CB5A9" w14:textId="34555232" w:rsidR="00DB69A6" w:rsidRPr="008319F4" w:rsidRDefault="00C72B69" w:rsidP="00C72B69">
      <w:pPr>
        <w:spacing w:line="480" w:lineRule="auto"/>
        <w:ind w:firstLine="720"/>
        <w:jc w:val="both"/>
        <w:rPr>
          <w:sz w:val="24"/>
          <w:szCs w:val="24"/>
          <w:lang w:val="en-US"/>
        </w:rPr>
      </w:pPr>
      <w:r w:rsidRPr="008319F4">
        <w:rPr>
          <w:sz w:val="24"/>
          <w:szCs w:val="24"/>
          <w:lang w:val="en-US"/>
        </w:rPr>
        <w:t>Table 3</w:t>
      </w:r>
      <w:r w:rsidR="00EE1A21" w:rsidRPr="008319F4">
        <w:rPr>
          <w:sz w:val="24"/>
          <w:szCs w:val="24"/>
          <w:lang w:val="en-US"/>
        </w:rPr>
        <w:t xml:space="preserve"> summarizes the regression results. For each growth type proxy, </w:t>
      </w:r>
      <w:r w:rsidR="00CA4D57" w:rsidRPr="008319F4">
        <w:rPr>
          <w:sz w:val="24"/>
          <w:szCs w:val="24"/>
          <w:lang w:val="en-US"/>
        </w:rPr>
        <w:t xml:space="preserve">the </w:t>
      </w:r>
      <w:r w:rsidR="0060499F" w:rsidRPr="008319F4">
        <w:rPr>
          <w:sz w:val="24"/>
          <w:szCs w:val="24"/>
          <w:lang w:val="en-US"/>
        </w:rPr>
        <w:t xml:space="preserve">slopes of </w:t>
      </w:r>
      <w:r w:rsidR="00283EB3" w:rsidRPr="008319F4">
        <w:rPr>
          <w:sz w:val="24"/>
          <w:szCs w:val="24"/>
          <w:lang w:val="en-US"/>
        </w:rPr>
        <w:t xml:space="preserve">the </w:t>
      </w:r>
      <w:r w:rsidR="003C0EF1" w:rsidRPr="008319F4">
        <w:rPr>
          <w:sz w:val="24"/>
          <w:szCs w:val="24"/>
          <w:lang w:val="en-US"/>
        </w:rPr>
        <w:t>interaction</w:t>
      </w:r>
      <w:r w:rsidR="0060499F" w:rsidRPr="008319F4">
        <w:rPr>
          <w:sz w:val="24"/>
          <w:szCs w:val="24"/>
          <w:lang w:val="en-US"/>
        </w:rPr>
        <w:t xml:space="preserve"> term between growth type and asset gr</w:t>
      </w:r>
      <w:r w:rsidR="003B3518" w:rsidRPr="008319F4">
        <w:rPr>
          <w:sz w:val="24"/>
          <w:szCs w:val="24"/>
          <w:lang w:val="en-US"/>
        </w:rPr>
        <w:t>owth are significant and</w:t>
      </w:r>
      <w:r w:rsidR="0060499F" w:rsidRPr="008319F4">
        <w:rPr>
          <w:sz w:val="24"/>
          <w:szCs w:val="24"/>
          <w:lang w:val="en-US"/>
        </w:rPr>
        <w:t xml:space="preserve"> negative </w:t>
      </w:r>
      <w:r w:rsidR="000D02E4">
        <w:rPr>
          <w:sz w:val="24"/>
          <w:szCs w:val="24"/>
          <w:lang w:val="en-US"/>
        </w:rPr>
        <w:t>for all three</w:t>
      </w:r>
      <w:r w:rsidR="00EE1A21" w:rsidRPr="008319F4">
        <w:rPr>
          <w:sz w:val="24"/>
          <w:szCs w:val="24"/>
          <w:lang w:val="en-US"/>
        </w:rPr>
        <w:t xml:space="preserve"> prox</w:t>
      </w:r>
      <w:r w:rsidR="0060499F" w:rsidRPr="008319F4">
        <w:rPr>
          <w:sz w:val="24"/>
          <w:szCs w:val="24"/>
          <w:lang w:val="en-US"/>
        </w:rPr>
        <w:t>ies</w:t>
      </w:r>
      <w:r w:rsidR="00EE1A21" w:rsidRPr="008319F4">
        <w:rPr>
          <w:sz w:val="24"/>
          <w:szCs w:val="24"/>
          <w:lang w:val="en-US"/>
        </w:rPr>
        <w:t xml:space="preserve"> of growth type</w:t>
      </w:r>
      <w:r w:rsidR="0060499F" w:rsidRPr="008319F4">
        <w:rPr>
          <w:sz w:val="24"/>
          <w:szCs w:val="24"/>
          <w:lang w:val="en-US"/>
        </w:rPr>
        <w:t xml:space="preserve">. </w:t>
      </w:r>
      <w:r w:rsidR="00CA4D57" w:rsidRPr="008319F4">
        <w:rPr>
          <w:sz w:val="24"/>
          <w:szCs w:val="24"/>
          <w:lang w:val="en-US"/>
        </w:rPr>
        <w:t xml:space="preserve"> </w:t>
      </w:r>
      <w:r w:rsidR="004C41AD">
        <w:rPr>
          <w:sz w:val="24"/>
          <w:szCs w:val="24"/>
          <w:lang w:val="en-US"/>
        </w:rPr>
        <w:t>These</w:t>
      </w:r>
      <w:r w:rsidR="00CA4D57" w:rsidRPr="008319F4">
        <w:rPr>
          <w:sz w:val="24"/>
          <w:szCs w:val="24"/>
          <w:lang w:val="en-US"/>
        </w:rPr>
        <w:t xml:space="preserve"> results support</w:t>
      </w:r>
      <w:r w:rsidR="0060499F" w:rsidRPr="008319F4">
        <w:rPr>
          <w:sz w:val="24"/>
          <w:szCs w:val="24"/>
          <w:lang w:val="en-US"/>
        </w:rPr>
        <w:t xml:space="preserve"> our first hy</w:t>
      </w:r>
      <w:r w:rsidR="00CA4D57" w:rsidRPr="008319F4">
        <w:rPr>
          <w:sz w:val="24"/>
          <w:szCs w:val="24"/>
          <w:lang w:val="en-US"/>
        </w:rPr>
        <w:t>pothesis that the asset growth anomaly is much stronger for growth firms.</w:t>
      </w:r>
      <w:r w:rsidR="004C41AD">
        <w:rPr>
          <w:sz w:val="24"/>
          <w:szCs w:val="24"/>
          <w:lang w:val="en-US"/>
        </w:rPr>
        <w:t xml:space="preserve">  Interestingly, the </w:t>
      </w:r>
      <w:r w:rsidR="004C41AD" w:rsidRPr="00FD30FC">
        <w:rPr>
          <w:noProof/>
          <w:sz w:val="24"/>
          <w:szCs w:val="24"/>
          <w:lang w:val="en-US"/>
        </w:rPr>
        <w:t>uninteractive</w:t>
      </w:r>
      <w:r w:rsidR="004C41AD">
        <w:rPr>
          <w:sz w:val="24"/>
          <w:szCs w:val="24"/>
          <w:lang w:val="en-US"/>
        </w:rPr>
        <w:t xml:space="preserve"> asset growth coefficient for the RE regression is insignificant which suggests that after control for growth type proxied by RE, the original asset growth anomaly has disappeared.  </w:t>
      </w:r>
    </w:p>
    <w:p w14:paraId="2581EC4A" w14:textId="145A0FE0" w:rsidR="00DB69A6" w:rsidRPr="008319F4" w:rsidRDefault="00EE1A21" w:rsidP="00913E65">
      <w:pPr>
        <w:spacing w:line="480" w:lineRule="auto"/>
        <w:jc w:val="center"/>
        <w:rPr>
          <w:sz w:val="24"/>
          <w:szCs w:val="24"/>
          <w:lang w:val="en-US"/>
        </w:rPr>
      </w:pPr>
      <w:r w:rsidRPr="008319F4">
        <w:rPr>
          <w:sz w:val="24"/>
          <w:szCs w:val="24"/>
          <w:lang w:val="en-US"/>
        </w:rPr>
        <w:t xml:space="preserve">[Insert Table </w:t>
      </w:r>
      <w:r w:rsidR="00C72B69" w:rsidRPr="008319F4">
        <w:rPr>
          <w:sz w:val="24"/>
          <w:szCs w:val="24"/>
          <w:lang w:val="en-US"/>
        </w:rPr>
        <w:t>3</w:t>
      </w:r>
      <w:r w:rsidRPr="008319F4">
        <w:rPr>
          <w:sz w:val="24"/>
          <w:szCs w:val="24"/>
          <w:lang w:val="en-US"/>
        </w:rPr>
        <w:t xml:space="preserve"> about here]</w:t>
      </w:r>
    </w:p>
    <w:p w14:paraId="045288D6" w14:textId="46C52DB0" w:rsidR="003A43C5" w:rsidRPr="008319F4" w:rsidRDefault="00454A11" w:rsidP="00214CCE">
      <w:pPr>
        <w:spacing w:line="480" w:lineRule="auto"/>
        <w:jc w:val="both"/>
        <w:rPr>
          <w:sz w:val="24"/>
          <w:szCs w:val="24"/>
          <w:lang w:val="en-US"/>
        </w:rPr>
      </w:pPr>
      <w:r w:rsidRPr="008319F4">
        <w:rPr>
          <w:sz w:val="24"/>
          <w:szCs w:val="24"/>
          <w:lang w:val="en-US"/>
        </w:rPr>
        <w:t>W</w:t>
      </w:r>
      <w:r w:rsidR="003A43C5" w:rsidRPr="008319F4">
        <w:rPr>
          <w:sz w:val="24"/>
          <w:szCs w:val="24"/>
          <w:lang w:val="en-US"/>
        </w:rPr>
        <w:t xml:space="preserve">e </w:t>
      </w:r>
      <w:r w:rsidRPr="008319F4">
        <w:rPr>
          <w:sz w:val="24"/>
          <w:szCs w:val="24"/>
          <w:lang w:val="en-US"/>
        </w:rPr>
        <w:t xml:space="preserve">next </w:t>
      </w:r>
      <w:r w:rsidR="003A43C5" w:rsidRPr="008319F4">
        <w:rPr>
          <w:sz w:val="24"/>
          <w:szCs w:val="24"/>
          <w:lang w:val="en-US"/>
        </w:rPr>
        <w:t>ex</w:t>
      </w:r>
      <w:r w:rsidR="003C0EF1" w:rsidRPr="008319F4">
        <w:rPr>
          <w:sz w:val="24"/>
          <w:szCs w:val="24"/>
          <w:lang w:val="en-US"/>
        </w:rPr>
        <w:t>amine whether growth type is</w:t>
      </w:r>
      <w:r w:rsidR="003A43C5" w:rsidRPr="008319F4">
        <w:rPr>
          <w:sz w:val="24"/>
          <w:szCs w:val="24"/>
          <w:lang w:val="en-US"/>
        </w:rPr>
        <w:t xml:space="preserve"> subsumed by </w:t>
      </w:r>
      <w:r w:rsidRPr="008319F4">
        <w:rPr>
          <w:sz w:val="24"/>
          <w:szCs w:val="24"/>
          <w:lang w:val="en-US"/>
        </w:rPr>
        <w:t xml:space="preserve">the </w:t>
      </w:r>
      <w:r w:rsidR="00E65622" w:rsidRPr="008319F4">
        <w:rPr>
          <w:sz w:val="24"/>
          <w:szCs w:val="24"/>
          <w:lang w:val="en-US"/>
        </w:rPr>
        <w:t>limits-to-arbitrage</w:t>
      </w:r>
      <w:r w:rsidR="003A43C5" w:rsidRPr="008319F4">
        <w:rPr>
          <w:sz w:val="24"/>
          <w:szCs w:val="24"/>
          <w:lang w:val="en-US"/>
        </w:rPr>
        <w:t xml:space="preserve"> and investment friction explanations. </w:t>
      </w:r>
      <w:r w:rsidR="00730EE6" w:rsidRPr="008319F4">
        <w:rPr>
          <w:sz w:val="24"/>
          <w:szCs w:val="24"/>
          <w:lang w:val="en-US"/>
        </w:rPr>
        <w:t xml:space="preserve">As </w:t>
      </w:r>
      <w:r w:rsidR="00283EB3" w:rsidRPr="008319F4">
        <w:rPr>
          <w:sz w:val="24"/>
          <w:szCs w:val="24"/>
          <w:lang w:val="en-US"/>
        </w:rPr>
        <w:t xml:space="preserve">noted in </w:t>
      </w:r>
      <w:r w:rsidR="00730EE6" w:rsidRPr="008319F4">
        <w:rPr>
          <w:sz w:val="24"/>
          <w:szCs w:val="24"/>
          <w:lang w:val="en-US"/>
        </w:rPr>
        <w:t>the discussion of correlation</w:t>
      </w:r>
      <w:r w:rsidR="003C0EF1" w:rsidRPr="008319F4">
        <w:rPr>
          <w:sz w:val="24"/>
          <w:szCs w:val="24"/>
          <w:lang w:val="en-US"/>
        </w:rPr>
        <w:t>s</w:t>
      </w:r>
      <w:r w:rsidR="00730EE6" w:rsidRPr="008319F4">
        <w:rPr>
          <w:sz w:val="24"/>
          <w:szCs w:val="24"/>
          <w:lang w:val="en-US"/>
        </w:rPr>
        <w:t xml:space="preserve"> in </w:t>
      </w:r>
      <w:r w:rsidR="00283EB3" w:rsidRPr="008319F4">
        <w:rPr>
          <w:sz w:val="24"/>
          <w:szCs w:val="24"/>
          <w:lang w:val="en-US"/>
        </w:rPr>
        <w:t xml:space="preserve">section </w:t>
      </w:r>
      <w:r w:rsidR="00730EE6" w:rsidRPr="008319F4">
        <w:rPr>
          <w:sz w:val="24"/>
          <w:szCs w:val="24"/>
          <w:lang w:val="en-US"/>
        </w:rPr>
        <w:t xml:space="preserve">3.6, proxies are correlated within </w:t>
      </w:r>
      <w:r w:rsidR="00283EB3" w:rsidRPr="008319F4">
        <w:rPr>
          <w:sz w:val="24"/>
          <w:szCs w:val="24"/>
          <w:lang w:val="en-US"/>
        </w:rPr>
        <w:t xml:space="preserve">and between the </w:t>
      </w:r>
      <w:r w:rsidR="00E65622" w:rsidRPr="008319F4">
        <w:rPr>
          <w:sz w:val="24"/>
          <w:szCs w:val="24"/>
          <w:lang w:val="en-US"/>
        </w:rPr>
        <w:t>limits-to-arbitrage</w:t>
      </w:r>
      <w:r w:rsidR="00730EE6" w:rsidRPr="008319F4">
        <w:rPr>
          <w:sz w:val="24"/>
          <w:szCs w:val="24"/>
          <w:lang w:val="en-US"/>
        </w:rPr>
        <w:t xml:space="preserve"> and investment frictions group</w:t>
      </w:r>
      <w:r w:rsidR="00283EB3" w:rsidRPr="008319F4">
        <w:rPr>
          <w:sz w:val="24"/>
          <w:szCs w:val="24"/>
          <w:lang w:val="en-US"/>
        </w:rPr>
        <w:t>s. To address this</w:t>
      </w:r>
      <w:r w:rsidR="00730EE6" w:rsidRPr="008319F4">
        <w:rPr>
          <w:sz w:val="24"/>
          <w:szCs w:val="24"/>
          <w:lang w:val="en-US"/>
        </w:rPr>
        <w:t xml:space="preserve"> </w:t>
      </w:r>
      <w:r w:rsidR="00681A6F" w:rsidRPr="008319F4">
        <w:rPr>
          <w:sz w:val="24"/>
          <w:szCs w:val="24"/>
          <w:lang w:val="en-US"/>
        </w:rPr>
        <w:t>mult</w:t>
      </w:r>
      <w:r w:rsidR="00283EB3" w:rsidRPr="008319F4">
        <w:rPr>
          <w:sz w:val="24"/>
          <w:szCs w:val="24"/>
          <w:lang w:val="en-US"/>
        </w:rPr>
        <w:t>icollinearity issue</w:t>
      </w:r>
      <w:r w:rsidR="00730EE6" w:rsidRPr="008319F4">
        <w:rPr>
          <w:sz w:val="24"/>
          <w:szCs w:val="24"/>
          <w:lang w:val="en-US"/>
        </w:rPr>
        <w:t xml:space="preserve">, </w:t>
      </w:r>
      <w:r w:rsidR="00283EB3" w:rsidRPr="008319F4">
        <w:rPr>
          <w:sz w:val="24"/>
          <w:szCs w:val="24"/>
          <w:lang w:val="en-US"/>
        </w:rPr>
        <w:t>follow</w:t>
      </w:r>
      <w:r w:rsidR="009A4431" w:rsidRPr="008319F4">
        <w:rPr>
          <w:sz w:val="24"/>
          <w:szCs w:val="24"/>
          <w:lang w:val="en-US"/>
        </w:rPr>
        <w:t>ing</w:t>
      </w:r>
      <w:r w:rsidR="00283EB3" w:rsidRPr="008319F4">
        <w:rPr>
          <w:sz w:val="24"/>
          <w:szCs w:val="24"/>
          <w:lang w:val="en-US"/>
        </w:rPr>
        <w:t xml:space="preserve"> Watanabe et al. </w:t>
      </w:r>
      <w:r w:rsidR="00730EE6" w:rsidRPr="008319F4">
        <w:rPr>
          <w:sz w:val="24"/>
          <w:szCs w:val="24"/>
          <w:lang w:val="en-US"/>
        </w:rPr>
        <w:t xml:space="preserve">(2013) we control </w:t>
      </w:r>
      <w:r w:rsidR="003B3518" w:rsidRPr="008319F4">
        <w:rPr>
          <w:sz w:val="24"/>
          <w:szCs w:val="24"/>
          <w:lang w:val="en-US"/>
        </w:rPr>
        <w:t xml:space="preserve">for </w:t>
      </w:r>
      <w:r w:rsidR="00E65622" w:rsidRPr="008319F4">
        <w:rPr>
          <w:sz w:val="24"/>
          <w:szCs w:val="24"/>
          <w:lang w:val="en-US"/>
        </w:rPr>
        <w:t>limits-to-arbitrage</w:t>
      </w:r>
      <w:r w:rsidR="00730EE6" w:rsidRPr="008319F4">
        <w:rPr>
          <w:sz w:val="24"/>
          <w:szCs w:val="24"/>
          <w:lang w:val="en-US"/>
        </w:rPr>
        <w:t xml:space="preserve"> and investment friction proxies separately. </w:t>
      </w:r>
      <w:r w:rsidR="003A43C5" w:rsidRPr="008319F4">
        <w:rPr>
          <w:sz w:val="24"/>
          <w:szCs w:val="24"/>
          <w:lang w:val="en-US"/>
        </w:rPr>
        <w:t>We run regression</w:t>
      </w:r>
      <w:r w:rsidR="00642A4B" w:rsidRPr="008319F4">
        <w:rPr>
          <w:sz w:val="24"/>
          <w:szCs w:val="24"/>
          <w:lang w:val="en-US"/>
        </w:rPr>
        <w:t>s from 1963 to 2011 b</w:t>
      </w:r>
      <w:r w:rsidR="003A43C5" w:rsidRPr="008319F4">
        <w:rPr>
          <w:sz w:val="24"/>
          <w:szCs w:val="24"/>
          <w:lang w:val="en-US"/>
        </w:rPr>
        <w:t>ut d</w:t>
      </w:r>
      <w:r w:rsidR="00681A6F" w:rsidRPr="008319F4">
        <w:rPr>
          <w:sz w:val="24"/>
          <w:szCs w:val="24"/>
          <w:lang w:val="en-US"/>
        </w:rPr>
        <w:t xml:space="preserve">ue to </w:t>
      </w:r>
      <w:r w:rsidR="003A43C5" w:rsidRPr="008319F4">
        <w:rPr>
          <w:sz w:val="24"/>
          <w:szCs w:val="24"/>
          <w:lang w:val="en-US"/>
        </w:rPr>
        <w:t>the availability of data</w:t>
      </w:r>
      <w:r w:rsidR="00681A6F" w:rsidRPr="008319F4">
        <w:rPr>
          <w:sz w:val="24"/>
          <w:szCs w:val="24"/>
          <w:lang w:val="en-US"/>
        </w:rPr>
        <w:t xml:space="preserve">, </w:t>
      </w:r>
      <w:r w:rsidR="003A43C5" w:rsidRPr="008319F4">
        <w:rPr>
          <w:sz w:val="24"/>
          <w:szCs w:val="24"/>
          <w:lang w:val="en-US"/>
        </w:rPr>
        <w:t xml:space="preserve">for some </w:t>
      </w:r>
      <w:r w:rsidR="003A43C5" w:rsidRPr="00FD30FC">
        <w:rPr>
          <w:noProof/>
          <w:sz w:val="24"/>
          <w:szCs w:val="24"/>
          <w:lang w:val="en-US"/>
        </w:rPr>
        <w:t>proxies</w:t>
      </w:r>
      <w:r w:rsidR="003A43C5" w:rsidRPr="008319F4">
        <w:rPr>
          <w:sz w:val="24"/>
          <w:szCs w:val="24"/>
          <w:lang w:val="en-US"/>
        </w:rPr>
        <w:t xml:space="preserve"> </w:t>
      </w:r>
      <w:r w:rsidR="00681A6F" w:rsidRPr="008319F4">
        <w:rPr>
          <w:sz w:val="24"/>
          <w:szCs w:val="24"/>
          <w:lang w:val="en-US"/>
        </w:rPr>
        <w:t xml:space="preserve">the </w:t>
      </w:r>
      <w:r w:rsidR="00681A6F" w:rsidRPr="008319F4">
        <w:rPr>
          <w:sz w:val="24"/>
          <w:szCs w:val="24"/>
          <w:lang w:val="en-US"/>
        </w:rPr>
        <w:lastRenderedPageBreak/>
        <w:t>regression</w:t>
      </w:r>
      <w:r w:rsidR="00642A4B" w:rsidRPr="008319F4">
        <w:rPr>
          <w:sz w:val="24"/>
          <w:szCs w:val="24"/>
          <w:lang w:val="en-US"/>
        </w:rPr>
        <w:t>s start</w:t>
      </w:r>
      <w:r w:rsidR="00681A6F" w:rsidRPr="008319F4">
        <w:rPr>
          <w:sz w:val="24"/>
          <w:szCs w:val="24"/>
          <w:lang w:val="en-US"/>
        </w:rPr>
        <w:t xml:space="preserve"> from </w:t>
      </w:r>
      <w:r w:rsidR="003A43C5" w:rsidRPr="008319F4">
        <w:rPr>
          <w:sz w:val="24"/>
          <w:szCs w:val="24"/>
          <w:lang w:val="en-US"/>
        </w:rPr>
        <w:t xml:space="preserve">when the data </w:t>
      </w:r>
      <w:r w:rsidR="00642A4B" w:rsidRPr="008319F4">
        <w:rPr>
          <w:sz w:val="24"/>
          <w:szCs w:val="24"/>
          <w:lang w:val="en-US"/>
        </w:rPr>
        <w:t>are</w:t>
      </w:r>
      <w:r w:rsidR="003A43C5" w:rsidRPr="008319F4">
        <w:rPr>
          <w:sz w:val="24"/>
          <w:szCs w:val="24"/>
          <w:lang w:val="en-US"/>
        </w:rPr>
        <w:t xml:space="preserve"> availab</w:t>
      </w:r>
      <w:r w:rsidR="00642A4B" w:rsidRPr="008319F4">
        <w:rPr>
          <w:sz w:val="24"/>
          <w:szCs w:val="24"/>
          <w:lang w:val="en-US"/>
        </w:rPr>
        <w:t>le. For example, analyst data are</w:t>
      </w:r>
      <w:r w:rsidR="003A43C5" w:rsidRPr="008319F4">
        <w:rPr>
          <w:sz w:val="24"/>
          <w:szCs w:val="24"/>
          <w:lang w:val="en-US"/>
        </w:rPr>
        <w:t xml:space="preserve"> available from </w:t>
      </w:r>
      <w:r w:rsidR="00283EB3" w:rsidRPr="008319F4">
        <w:rPr>
          <w:sz w:val="24"/>
          <w:szCs w:val="24"/>
          <w:lang w:val="en-US"/>
        </w:rPr>
        <w:t>19</w:t>
      </w:r>
      <w:r w:rsidR="003C0EF1" w:rsidRPr="008319F4">
        <w:rPr>
          <w:sz w:val="24"/>
          <w:szCs w:val="24"/>
          <w:lang w:val="en-US"/>
        </w:rPr>
        <w:t>9</w:t>
      </w:r>
      <w:r w:rsidR="00283EB3" w:rsidRPr="008319F4">
        <w:rPr>
          <w:sz w:val="24"/>
          <w:szCs w:val="24"/>
          <w:lang w:val="en-US"/>
        </w:rPr>
        <w:t>7</w:t>
      </w:r>
      <w:r w:rsidR="00595E8F" w:rsidRPr="008319F4">
        <w:rPr>
          <w:sz w:val="24"/>
          <w:szCs w:val="24"/>
          <w:lang w:val="en-US"/>
        </w:rPr>
        <w:t>,</w:t>
      </w:r>
      <w:r w:rsidR="003A43C5" w:rsidRPr="008319F4">
        <w:rPr>
          <w:sz w:val="24"/>
          <w:szCs w:val="24"/>
          <w:lang w:val="en-US"/>
        </w:rPr>
        <w:t xml:space="preserve"> hence we run regression</w:t>
      </w:r>
      <w:r w:rsidR="00283EB3" w:rsidRPr="008319F4">
        <w:rPr>
          <w:sz w:val="24"/>
          <w:szCs w:val="24"/>
          <w:lang w:val="en-US"/>
        </w:rPr>
        <w:t>s</w:t>
      </w:r>
      <w:r w:rsidR="003A43C5" w:rsidRPr="008319F4">
        <w:rPr>
          <w:sz w:val="24"/>
          <w:szCs w:val="24"/>
          <w:lang w:val="en-US"/>
        </w:rPr>
        <w:t xml:space="preserve"> from 1997 when we control for analyst forecast</w:t>
      </w:r>
      <w:r w:rsidR="00642A4B" w:rsidRPr="008319F4">
        <w:rPr>
          <w:sz w:val="24"/>
          <w:szCs w:val="24"/>
          <w:lang w:val="en-US"/>
        </w:rPr>
        <w:t>s</w:t>
      </w:r>
      <w:r w:rsidR="003A43C5" w:rsidRPr="008319F4">
        <w:rPr>
          <w:sz w:val="24"/>
          <w:szCs w:val="24"/>
          <w:lang w:val="en-US"/>
        </w:rPr>
        <w:t xml:space="preserve"> and </w:t>
      </w:r>
      <w:r w:rsidR="00283EB3" w:rsidRPr="008319F4">
        <w:rPr>
          <w:sz w:val="24"/>
          <w:szCs w:val="24"/>
          <w:lang w:val="en-US"/>
        </w:rPr>
        <w:t xml:space="preserve">the </w:t>
      </w:r>
      <w:r w:rsidR="003A43C5" w:rsidRPr="008319F4">
        <w:rPr>
          <w:sz w:val="24"/>
          <w:szCs w:val="24"/>
          <w:lang w:val="en-US"/>
        </w:rPr>
        <w:t>dispersion of analyst forecast</w:t>
      </w:r>
      <w:r w:rsidR="00642A4B" w:rsidRPr="008319F4">
        <w:rPr>
          <w:sz w:val="24"/>
          <w:szCs w:val="24"/>
          <w:lang w:val="en-US"/>
        </w:rPr>
        <w:t>s</w:t>
      </w:r>
      <w:r w:rsidR="00681A6F" w:rsidRPr="008319F4">
        <w:rPr>
          <w:sz w:val="24"/>
          <w:szCs w:val="24"/>
          <w:lang w:val="en-US"/>
        </w:rPr>
        <w:t xml:space="preserve">. In each month, we run the following </w:t>
      </w:r>
      <w:r w:rsidR="00681A6F" w:rsidRPr="00FD30FC">
        <w:rPr>
          <w:noProof/>
          <w:sz w:val="24"/>
          <w:szCs w:val="24"/>
          <w:lang w:val="en-US"/>
        </w:rPr>
        <w:t>cross</w:t>
      </w:r>
      <w:r w:rsidR="00FD30FC">
        <w:rPr>
          <w:noProof/>
          <w:sz w:val="24"/>
          <w:szCs w:val="24"/>
          <w:lang w:val="en-US"/>
        </w:rPr>
        <w:t>-</w:t>
      </w:r>
      <w:r w:rsidR="00681A6F" w:rsidRPr="00FD30FC">
        <w:rPr>
          <w:noProof/>
          <w:sz w:val="24"/>
          <w:szCs w:val="24"/>
          <w:lang w:val="en-US"/>
        </w:rPr>
        <w:t>sectional</w:t>
      </w:r>
      <w:r w:rsidR="00681A6F" w:rsidRPr="008319F4">
        <w:rPr>
          <w:sz w:val="24"/>
          <w:szCs w:val="24"/>
          <w:lang w:val="en-US"/>
        </w:rPr>
        <w:t xml:space="preserve"> regression:</w:t>
      </w:r>
    </w:p>
    <w:p w14:paraId="6D5824D3" w14:textId="1EC008F1" w:rsidR="00BB4A23" w:rsidRPr="00D83221" w:rsidRDefault="00A2686C" w:rsidP="00BB4A23">
      <w:pPr>
        <w:spacing w:line="240" w:lineRule="auto"/>
        <w:jc w:val="both"/>
        <w:rPr>
          <w:i/>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Ret</m:t>
              </m:r>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α</m:t>
          </m:r>
          <m:r>
            <w:rPr>
              <w:rFonts w:ascii="Cambria Math"/>
              <w:sz w:val="24"/>
              <w:szCs w:val="24"/>
              <w:lang w:val="en-US"/>
            </w:rPr>
            <m:t>+</m:t>
          </m:r>
          <m:r>
            <w:rPr>
              <w:rFonts w:ascii="Cambria Math" w:hAnsi="Cambria Math"/>
              <w:sz w:val="24"/>
              <w:szCs w:val="24"/>
              <w:lang w:val="en-US"/>
            </w:rPr>
            <m:t>β</m:t>
          </m:r>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φ</m:t>
          </m:r>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GT</m:t>
          </m:r>
          <m:r>
            <w:rPr>
              <w:rFonts w:ascii="Cambria Math"/>
              <w:sz w:val="24"/>
              <w:szCs w:val="24"/>
              <w:lang w:val="en-US"/>
            </w:rPr>
            <m:t>+</m:t>
          </m:r>
          <m:r>
            <w:rPr>
              <w:rFonts w:ascii="Cambria Math" w:hAnsi="Cambria Math"/>
              <w:sz w:val="24"/>
              <w:szCs w:val="24"/>
              <w:lang w:val="en-US"/>
            </w:rPr>
            <m:t>γGT</m:t>
          </m:r>
          <m:r>
            <w:rPr>
              <w:rFonts w:ascii="Cambria Math"/>
              <w:sz w:val="24"/>
              <w:szCs w:val="24"/>
              <w:lang w:val="en-US"/>
            </w:rPr>
            <m:t>+</m:t>
          </m:r>
          <m:r>
            <w:rPr>
              <w:rFonts w:ascii="Cambria Math" w:hAnsi="Cambria Math"/>
              <w:sz w:val="24"/>
              <w:szCs w:val="24"/>
              <w:lang w:val="en-US"/>
            </w:rPr>
            <m:t>λ</m:t>
          </m:r>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fName>
            <m:e>
              <m:r>
                <w:rPr>
                  <w:rFonts w:ascii="Cambria Math"/>
                  <w:sz w:val="24"/>
                  <w:szCs w:val="24"/>
                  <w:lang w:val="en-US"/>
                </w:rPr>
                <m:t>×</m:t>
              </m:r>
            </m:e>
          </m:func>
          <m:r>
            <w:rPr>
              <w:rFonts w:ascii="Cambria Math"/>
              <w:sz w:val="24"/>
              <w:szCs w:val="24"/>
              <w:lang w:val="en-US"/>
            </w:rPr>
            <m:t>LIproxi +</m:t>
          </m:r>
          <m:r>
            <w:rPr>
              <w:rFonts w:ascii="Cambria Math" w:hAnsi="Cambria Math"/>
              <w:sz w:val="24"/>
              <w:szCs w:val="24"/>
              <w:lang w:val="en-US"/>
            </w:rPr>
            <m:t>κ</m:t>
          </m:r>
          <m:r>
            <w:rPr>
              <w:rFonts w:ascii="Cambria Math"/>
              <w:sz w:val="24"/>
              <w:szCs w:val="24"/>
              <w:lang w:val="en-US"/>
            </w:rPr>
            <m:t>LIproxy +</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sz w:val="24"/>
                  <w:szCs w:val="24"/>
                  <w:lang w:val="en-US"/>
                </w:rPr>
                <m:t>=1</m:t>
              </m:r>
            </m:sub>
            <m:sup>
              <m:r>
                <w:rPr>
                  <w:rFonts w:ascii="Cambria Math"/>
                  <w:sz w:val="24"/>
                  <w:szCs w:val="24"/>
                  <w:lang w:val="en-US"/>
                </w:rPr>
                <m:t>3</m:t>
              </m:r>
            </m:sup>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j</m:t>
                  </m:r>
                </m:sub>
              </m:sSub>
              <m:sSub>
                <m:sSubPr>
                  <m:ctrlPr>
                    <w:rPr>
                      <w:rFonts w:ascii="Cambria Math" w:hAnsi="Cambria Math"/>
                      <w:i/>
                      <w:sz w:val="24"/>
                      <w:szCs w:val="24"/>
                      <w:lang w:val="en-US"/>
                    </w:rPr>
                  </m:ctrlPr>
                </m:sSubPr>
                <m:e>
                  <m:r>
                    <w:rPr>
                      <w:rFonts w:ascii="Cambria Math" w:hAnsi="Cambria Math"/>
                      <w:sz w:val="24"/>
                      <w:szCs w:val="24"/>
                      <w:lang w:val="en-US"/>
                    </w:rPr>
                    <m:t>Control</m:t>
                  </m:r>
                </m:e>
                <m:sub>
                  <m:r>
                    <w:rPr>
                      <w:rFonts w:ascii="Cambria Math" w:hAnsi="Cambria Math"/>
                      <w:sz w:val="24"/>
                      <w:szCs w:val="24"/>
                      <w:lang w:val="en-US"/>
                    </w:rPr>
                    <m:t>ij</m:t>
                  </m:r>
                </m:sub>
              </m:sSub>
            </m:e>
          </m:nary>
          <m:r>
            <w:rPr>
              <w:rFonts w:ascii="Cambria Math"/>
              <w:sz w:val="24"/>
              <w:szCs w:val="24"/>
              <w:lang w:val="en-US"/>
            </w:rPr>
            <m:t>+</m:t>
          </m:r>
          <m:r>
            <w:rPr>
              <w:rFonts w:ascii="Cambria Math" w:hAnsi="Cambria Math"/>
              <w:sz w:val="24"/>
              <w:szCs w:val="24"/>
              <w:lang w:val="en-US"/>
            </w:rPr>
            <m:t>ε</m:t>
          </m:r>
        </m:oMath>
      </m:oMathPara>
    </w:p>
    <w:p w14:paraId="00C57530" w14:textId="25D7F44F" w:rsidR="00155774" w:rsidRPr="00911EE4" w:rsidRDefault="00155774" w:rsidP="00155774">
      <w:pPr>
        <w:spacing w:line="240" w:lineRule="auto"/>
        <w:jc w:val="right"/>
        <w:rPr>
          <w:i/>
          <w:sz w:val="24"/>
          <w:szCs w:val="24"/>
          <w:lang w:val="en-US"/>
        </w:rPr>
      </w:pPr>
      <w:r>
        <w:rPr>
          <w:i/>
          <w:sz w:val="24"/>
          <w:szCs w:val="24"/>
          <w:lang w:val="en-US"/>
        </w:rPr>
        <w:t>Eq(2)</w:t>
      </w:r>
    </w:p>
    <w:p w14:paraId="739B28F3" w14:textId="77777777" w:rsidR="00155774" w:rsidRPr="008319F4" w:rsidRDefault="00155774" w:rsidP="00BB4A23">
      <w:pPr>
        <w:spacing w:line="240" w:lineRule="auto"/>
        <w:jc w:val="both"/>
        <w:rPr>
          <w:i/>
          <w:sz w:val="24"/>
          <w:szCs w:val="24"/>
          <w:lang w:val="en-US"/>
        </w:rPr>
      </w:pPr>
    </w:p>
    <w:p w14:paraId="58B15BDF" w14:textId="163A18AD" w:rsidR="00681A6F" w:rsidRPr="008319F4" w:rsidRDefault="000D02E4" w:rsidP="000668F6">
      <w:pPr>
        <w:spacing w:line="480" w:lineRule="auto"/>
        <w:jc w:val="both"/>
        <w:rPr>
          <w:sz w:val="24"/>
          <w:szCs w:val="24"/>
          <w:lang w:val="en-US"/>
        </w:rPr>
      </w:pPr>
      <w:r>
        <w:rPr>
          <w:sz w:val="24"/>
          <w:szCs w:val="24"/>
          <w:lang w:val="en-US"/>
        </w:rPr>
        <w:t xml:space="preserve">Where LIproxy is a proxy of the limit-to-arbitrage or investment frictions.  </w:t>
      </w:r>
      <w:r w:rsidR="00C72B69" w:rsidRPr="008319F4">
        <w:rPr>
          <w:sz w:val="24"/>
          <w:szCs w:val="24"/>
          <w:lang w:val="en-US"/>
        </w:rPr>
        <w:t>Table 4</w:t>
      </w:r>
      <w:r w:rsidR="00681A6F" w:rsidRPr="008319F4">
        <w:rPr>
          <w:sz w:val="24"/>
          <w:szCs w:val="24"/>
          <w:lang w:val="en-US"/>
        </w:rPr>
        <w:t xml:space="preserve"> presents the slope of the interaction between asset growth a</w:t>
      </w:r>
      <w:r w:rsidR="00155774">
        <w:rPr>
          <w:sz w:val="24"/>
          <w:szCs w:val="24"/>
          <w:lang w:val="en-US"/>
        </w:rPr>
        <w:t>n</w:t>
      </w:r>
      <w:r w:rsidR="00681A6F" w:rsidRPr="008319F4">
        <w:rPr>
          <w:sz w:val="24"/>
          <w:szCs w:val="24"/>
          <w:lang w:val="en-US"/>
        </w:rPr>
        <w:t xml:space="preserve">d the growth </w:t>
      </w:r>
      <w:r w:rsidR="00BB4A23" w:rsidRPr="008319F4">
        <w:rPr>
          <w:sz w:val="24"/>
          <w:szCs w:val="24"/>
          <w:lang w:val="en-US"/>
        </w:rPr>
        <w:t>type</w:t>
      </w:r>
      <w:r w:rsidR="00681A6F" w:rsidRPr="008319F4">
        <w:rPr>
          <w:sz w:val="24"/>
          <w:szCs w:val="24"/>
          <w:lang w:val="en-US"/>
        </w:rPr>
        <w:t xml:space="preserve">. </w:t>
      </w:r>
      <w:r w:rsidR="00BB4A23" w:rsidRPr="008319F4">
        <w:rPr>
          <w:sz w:val="24"/>
          <w:szCs w:val="24"/>
          <w:lang w:val="en-US"/>
        </w:rPr>
        <w:t>Panel</w:t>
      </w:r>
      <w:r w:rsidR="00283EB3" w:rsidRPr="008319F4">
        <w:rPr>
          <w:sz w:val="24"/>
          <w:szCs w:val="24"/>
          <w:lang w:val="en-US"/>
        </w:rPr>
        <w:t xml:space="preserve">s A to </w:t>
      </w:r>
      <w:r w:rsidR="007F3BEB" w:rsidRPr="008319F4">
        <w:rPr>
          <w:sz w:val="24"/>
          <w:szCs w:val="24"/>
          <w:lang w:val="en-US"/>
        </w:rPr>
        <w:t xml:space="preserve">C capture the results for each of the three growth type proxies – RE, </w:t>
      </w:r>
      <w:r w:rsidR="007F3BEB" w:rsidRPr="00FD30FC">
        <w:rPr>
          <w:noProof/>
          <w:sz w:val="24"/>
          <w:szCs w:val="24"/>
          <w:lang w:val="en-US"/>
        </w:rPr>
        <w:t>DIV</w:t>
      </w:r>
      <w:r w:rsidR="001334C1" w:rsidRPr="001334C1">
        <w:rPr>
          <w:sz w:val="24"/>
          <w:szCs w:val="24"/>
          <w:lang w:val="en-US"/>
        </w:rPr>
        <w:t xml:space="preserve"> </w:t>
      </w:r>
      <w:r w:rsidR="001334C1">
        <w:rPr>
          <w:sz w:val="24"/>
          <w:szCs w:val="24"/>
          <w:lang w:val="en-US"/>
        </w:rPr>
        <w:t xml:space="preserve">and </w:t>
      </w:r>
      <w:r w:rsidR="001334C1" w:rsidRPr="008319F4">
        <w:rPr>
          <w:sz w:val="24"/>
          <w:szCs w:val="24"/>
          <w:lang w:val="en-US"/>
        </w:rPr>
        <w:t>CF</w:t>
      </w:r>
      <w:r w:rsidR="007F3BEB" w:rsidRPr="008319F4">
        <w:rPr>
          <w:sz w:val="24"/>
          <w:szCs w:val="24"/>
          <w:lang w:val="en-US"/>
        </w:rPr>
        <w:t xml:space="preserve">.  In each </w:t>
      </w:r>
      <w:r w:rsidR="007F3BEB" w:rsidRPr="00FD30FC">
        <w:rPr>
          <w:noProof/>
          <w:sz w:val="24"/>
          <w:szCs w:val="24"/>
          <w:lang w:val="en-US"/>
        </w:rPr>
        <w:t>panel</w:t>
      </w:r>
      <w:r w:rsidR="007F3BEB" w:rsidRPr="008319F4">
        <w:rPr>
          <w:sz w:val="24"/>
          <w:szCs w:val="24"/>
          <w:lang w:val="en-US"/>
        </w:rPr>
        <w:t xml:space="preserve"> </w:t>
      </w:r>
      <w:r w:rsidR="00BB4A23" w:rsidRPr="008319F4">
        <w:rPr>
          <w:sz w:val="24"/>
          <w:szCs w:val="24"/>
          <w:lang w:val="en-US"/>
        </w:rPr>
        <w:t xml:space="preserve">we control for </w:t>
      </w:r>
      <w:r w:rsidR="007F3BEB" w:rsidRPr="008319F4">
        <w:rPr>
          <w:sz w:val="24"/>
          <w:szCs w:val="24"/>
          <w:lang w:val="en-US"/>
        </w:rPr>
        <w:t xml:space="preserve">the five </w:t>
      </w:r>
      <w:r w:rsidR="00E65622" w:rsidRPr="008319F4">
        <w:rPr>
          <w:sz w:val="24"/>
          <w:szCs w:val="24"/>
          <w:lang w:val="en-US"/>
        </w:rPr>
        <w:t>limits-to-arbitrage</w:t>
      </w:r>
      <w:r w:rsidR="00BB4A23" w:rsidRPr="008319F4">
        <w:rPr>
          <w:sz w:val="24"/>
          <w:szCs w:val="24"/>
          <w:lang w:val="en-US"/>
        </w:rPr>
        <w:t xml:space="preserve"> proxies </w:t>
      </w:r>
      <w:r w:rsidR="007F3BEB" w:rsidRPr="008319F4">
        <w:rPr>
          <w:sz w:val="24"/>
          <w:szCs w:val="24"/>
          <w:lang w:val="en-US"/>
        </w:rPr>
        <w:t xml:space="preserve">and the two investment friction proxies; giving us 21 regressions in total across the </w:t>
      </w:r>
      <w:r w:rsidR="00BF08C1" w:rsidRPr="008319F4">
        <w:rPr>
          <w:sz w:val="24"/>
          <w:szCs w:val="24"/>
          <w:lang w:val="en-US"/>
        </w:rPr>
        <w:t xml:space="preserve">three panels.  </w:t>
      </w:r>
      <w:r w:rsidR="007B40BA" w:rsidRPr="008319F4">
        <w:rPr>
          <w:sz w:val="24"/>
          <w:szCs w:val="24"/>
          <w:lang w:val="en-US"/>
        </w:rPr>
        <w:t>The results for growth type RE</w:t>
      </w:r>
      <w:r w:rsidR="007B40BA" w:rsidRPr="007B40BA">
        <w:rPr>
          <w:sz w:val="24"/>
          <w:szCs w:val="24"/>
          <w:lang w:val="en-US"/>
        </w:rPr>
        <w:t xml:space="preserve"> </w:t>
      </w:r>
      <w:r w:rsidR="007B40BA">
        <w:rPr>
          <w:sz w:val="24"/>
          <w:szCs w:val="24"/>
          <w:lang w:val="en-US"/>
        </w:rPr>
        <w:t>(</w:t>
      </w:r>
      <w:r w:rsidR="007B40BA" w:rsidRPr="008319F4">
        <w:rPr>
          <w:sz w:val="24"/>
          <w:szCs w:val="24"/>
          <w:lang w:val="en-US"/>
        </w:rPr>
        <w:t xml:space="preserve">Panel A) show that </w:t>
      </w:r>
      <w:r w:rsidR="007B40BA">
        <w:rPr>
          <w:sz w:val="24"/>
          <w:szCs w:val="24"/>
          <w:lang w:val="en-US"/>
        </w:rPr>
        <w:t xml:space="preserve">six out </w:t>
      </w:r>
      <w:r w:rsidR="007B40BA" w:rsidRPr="008319F4">
        <w:rPr>
          <w:sz w:val="24"/>
          <w:szCs w:val="24"/>
          <w:lang w:val="en-US"/>
        </w:rPr>
        <w:t xml:space="preserve">of </w:t>
      </w:r>
      <w:r w:rsidR="007B40BA">
        <w:rPr>
          <w:sz w:val="24"/>
          <w:szCs w:val="24"/>
          <w:lang w:val="en-US"/>
        </w:rPr>
        <w:t xml:space="preserve">seven </w:t>
      </w:r>
      <w:r w:rsidR="007B40BA" w:rsidRPr="008319F4">
        <w:rPr>
          <w:sz w:val="24"/>
          <w:szCs w:val="24"/>
          <w:lang w:val="en-US"/>
        </w:rPr>
        <w:t>regressions ha</w:t>
      </w:r>
      <w:r w:rsidR="007B40BA">
        <w:rPr>
          <w:sz w:val="24"/>
          <w:szCs w:val="24"/>
          <w:lang w:val="en-US"/>
        </w:rPr>
        <w:t>ve</w:t>
      </w:r>
      <w:r w:rsidR="007B40BA" w:rsidRPr="008319F4">
        <w:rPr>
          <w:sz w:val="24"/>
          <w:szCs w:val="24"/>
          <w:lang w:val="en-US"/>
        </w:rPr>
        <w:t xml:space="preserve"> significantly negative </w:t>
      </w:r>
      <w:r w:rsidR="007B40BA">
        <w:rPr>
          <w:sz w:val="24"/>
          <w:szCs w:val="24"/>
          <w:lang w:val="en-US"/>
        </w:rPr>
        <w:t xml:space="preserve">coefficients for the interaction between </w:t>
      </w:r>
      <w:r w:rsidR="007B40BA" w:rsidRPr="008319F4">
        <w:rPr>
          <w:sz w:val="24"/>
          <w:szCs w:val="24"/>
          <w:lang w:val="en-US"/>
        </w:rPr>
        <w:t xml:space="preserve">growth type and asset growth. </w:t>
      </w:r>
      <w:r w:rsidR="007B40BA">
        <w:rPr>
          <w:sz w:val="24"/>
          <w:szCs w:val="24"/>
          <w:lang w:val="en-US"/>
        </w:rPr>
        <w:t xml:space="preserve">This suggests that the results for growth type proxied by RE </w:t>
      </w:r>
      <w:r w:rsidR="001334C1">
        <w:rPr>
          <w:sz w:val="24"/>
          <w:szCs w:val="24"/>
          <w:lang w:val="en-US"/>
        </w:rPr>
        <w:t xml:space="preserve">are robust to </w:t>
      </w:r>
      <w:r w:rsidR="007B40BA">
        <w:rPr>
          <w:sz w:val="24"/>
          <w:szCs w:val="24"/>
          <w:lang w:val="en-US"/>
        </w:rPr>
        <w:t xml:space="preserve">most of </w:t>
      </w:r>
      <w:r w:rsidR="001334C1">
        <w:rPr>
          <w:sz w:val="24"/>
          <w:szCs w:val="24"/>
          <w:lang w:val="en-US"/>
        </w:rPr>
        <w:t>the control of existing explanations</w:t>
      </w:r>
      <w:r w:rsidR="007B40BA">
        <w:rPr>
          <w:sz w:val="24"/>
          <w:szCs w:val="24"/>
          <w:lang w:val="en-US"/>
        </w:rPr>
        <w:t xml:space="preserve">.   The results in Panel B shows similar finding but weaker </w:t>
      </w:r>
      <w:r w:rsidR="001334C1" w:rsidRPr="008319F4">
        <w:rPr>
          <w:sz w:val="24"/>
          <w:szCs w:val="24"/>
          <w:lang w:val="en-US"/>
        </w:rPr>
        <w:t xml:space="preserve">with </w:t>
      </w:r>
      <w:r w:rsidR="0092303A">
        <w:rPr>
          <w:sz w:val="24"/>
          <w:szCs w:val="24"/>
          <w:lang w:val="en-US"/>
        </w:rPr>
        <w:t>four</w:t>
      </w:r>
      <w:r w:rsidR="001334C1" w:rsidRPr="008319F4">
        <w:rPr>
          <w:sz w:val="24"/>
          <w:szCs w:val="24"/>
          <w:lang w:val="en-US"/>
        </w:rPr>
        <w:t xml:space="preserve"> out of the seven regressions displaying </w:t>
      </w:r>
      <w:r w:rsidR="001334C1" w:rsidRPr="00FD30FC">
        <w:rPr>
          <w:noProof/>
          <w:sz w:val="24"/>
          <w:szCs w:val="24"/>
          <w:lang w:val="en-US"/>
        </w:rPr>
        <w:t xml:space="preserve">significantly negative </w:t>
      </w:r>
      <w:r w:rsidR="007B40BA" w:rsidRPr="00FD30FC">
        <w:rPr>
          <w:noProof/>
          <w:sz w:val="24"/>
          <w:szCs w:val="24"/>
          <w:lang w:val="en-US"/>
        </w:rPr>
        <w:t>coefficients</w:t>
      </w:r>
      <w:r w:rsidR="007B40BA">
        <w:rPr>
          <w:sz w:val="24"/>
          <w:szCs w:val="24"/>
          <w:lang w:val="en-US"/>
        </w:rPr>
        <w:t xml:space="preserve"> for the interaction </w:t>
      </w:r>
      <w:r w:rsidR="001334C1" w:rsidRPr="008319F4">
        <w:rPr>
          <w:sz w:val="24"/>
          <w:szCs w:val="24"/>
          <w:lang w:val="en-US"/>
        </w:rPr>
        <w:t xml:space="preserve">between growth type and asset growth.  </w:t>
      </w:r>
      <w:r w:rsidR="00D834C5">
        <w:rPr>
          <w:sz w:val="24"/>
          <w:szCs w:val="24"/>
          <w:lang w:val="en-US"/>
        </w:rPr>
        <w:t xml:space="preserve">Finally, </w:t>
      </w:r>
      <w:r w:rsidR="0092303A">
        <w:rPr>
          <w:sz w:val="24"/>
          <w:szCs w:val="24"/>
          <w:lang w:val="en-US"/>
        </w:rPr>
        <w:t>the results for growth type CF (Panel C) show that its effects are robust to the control of only one limit-to-arbitrage</w:t>
      </w:r>
      <w:r w:rsidR="00D834C5">
        <w:rPr>
          <w:sz w:val="24"/>
          <w:szCs w:val="24"/>
          <w:lang w:val="en-US"/>
        </w:rPr>
        <w:t xml:space="preserve"> (Model 1)</w:t>
      </w:r>
      <w:r w:rsidR="0092303A">
        <w:rPr>
          <w:sz w:val="24"/>
          <w:szCs w:val="24"/>
          <w:lang w:val="en-US"/>
        </w:rPr>
        <w:t xml:space="preserve"> and </w:t>
      </w:r>
      <w:r w:rsidR="00D834C5">
        <w:rPr>
          <w:sz w:val="24"/>
          <w:szCs w:val="24"/>
          <w:lang w:val="en-US"/>
        </w:rPr>
        <w:t>one investment friction (Model 7).</w:t>
      </w:r>
      <w:r w:rsidR="0092303A">
        <w:rPr>
          <w:sz w:val="24"/>
          <w:szCs w:val="24"/>
          <w:lang w:val="en-US"/>
        </w:rPr>
        <w:t xml:space="preserve"> </w:t>
      </w:r>
      <w:r w:rsidR="00091D99">
        <w:rPr>
          <w:sz w:val="24"/>
          <w:szCs w:val="24"/>
          <w:lang w:val="en-US"/>
        </w:rPr>
        <w:t xml:space="preserve"> This is partly as expected as firms with lower </w:t>
      </w:r>
      <w:r w:rsidR="00691BFA">
        <w:rPr>
          <w:sz w:val="24"/>
          <w:szCs w:val="24"/>
          <w:lang w:val="en-US"/>
        </w:rPr>
        <w:t>cash flow</w:t>
      </w:r>
      <w:r w:rsidR="00091D99">
        <w:rPr>
          <w:sz w:val="24"/>
          <w:szCs w:val="24"/>
          <w:lang w:val="en-US"/>
        </w:rPr>
        <w:t xml:space="preserve"> are </w:t>
      </w:r>
      <w:r w:rsidR="008C3A6E">
        <w:rPr>
          <w:sz w:val="24"/>
          <w:szCs w:val="24"/>
          <w:lang w:val="en-US"/>
        </w:rPr>
        <w:t>more</w:t>
      </w:r>
      <w:r w:rsidR="00091D99">
        <w:rPr>
          <w:sz w:val="24"/>
          <w:szCs w:val="24"/>
          <w:lang w:val="en-US"/>
        </w:rPr>
        <w:t xml:space="preserve"> likely to have higher investment frictions.  </w:t>
      </w:r>
      <w:r w:rsidR="00BF08C1" w:rsidRPr="008319F4">
        <w:rPr>
          <w:sz w:val="24"/>
          <w:szCs w:val="24"/>
          <w:lang w:val="en-US"/>
        </w:rPr>
        <w:t xml:space="preserve">On balance, these sets of regression results show that </w:t>
      </w:r>
      <w:r w:rsidR="00A407D9" w:rsidRPr="008319F4">
        <w:rPr>
          <w:sz w:val="24"/>
          <w:szCs w:val="24"/>
          <w:lang w:val="en-US"/>
        </w:rPr>
        <w:t xml:space="preserve">the </w:t>
      </w:r>
      <w:r w:rsidR="00F64620" w:rsidRPr="008319F4">
        <w:rPr>
          <w:sz w:val="24"/>
          <w:szCs w:val="24"/>
          <w:lang w:val="en-US"/>
        </w:rPr>
        <w:t>growth type</w:t>
      </w:r>
      <w:r w:rsidR="00681A6F" w:rsidRPr="008319F4">
        <w:rPr>
          <w:sz w:val="24"/>
          <w:szCs w:val="24"/>
          <w:lang w:val="en-US"/>
        </w:rPr>
        <w:t xml:space="preserve"> of a firm has </w:t>
      </w:r>
      <w:r w:rsidR="00091D99">
        <w:rPr>
          <w:sz w:val="24"/>
          <w:szCs w:val="24"/>
          <w:lang w:val="en-US"/>
        </w:rPr>
        <w:t xml:space="preserve">some </w:t>
      </w:r>
      <w:r w:rsidR="00681A6F" w:rsidRPr="008319F4">
        <w:rPr>
          <w:sz w:val="24"/>
          <w:szCs w:val="24"/>
          <w:lang w:val="en-US"/>
        </w:rPr>
        <w:t>additional information in explaining the relationship between asset growth and stock returns after controlling for limits-to-arbi</w:t>
      </w:r>
      <w:r w:rsidR="00C72B69" w:rsidRPr="008319F4">
        <w:rPr>
          <w:sz w:val="24"/>
          <w:szCs w:val="24"/>
          <w:lang w:val="en-US"/>
        </w:rPr>
        <w:t>trage and investment frictions.</w:t>
      </w:r>
    </w:p>
    <w:p w14:paraId="271E4CBC" w14:textId="14A09953" w:rsidR="00681A6F" w:rsidRPr="008319F4" w:rsidRDefault="00681A6F" w:rsidP="00214CCE">
      <w:pPr>
        <w:spacing w:line="480" w:lineRule="auto"/>
        <w:jc w:val="center"/>
        <w:rPr>
          <w:sz w:val="24"/>
          <w:szCs w:val="24"/>
          <w:lang w:val="en-US"/>
        </w:rPr>
      </w:pPr>
      <w:r w:rsidRPr="008319F4">
        <w:rPr>
          <w:sz w:val="24"/>
          <w:szCs w:val="24"/>
          <w:lang w:val="en-US"/>
        </w:rPr>
        <w:lastRenderedPageBreak/>
        <w:t xml:space="preserve">[Insert Table </w:t>
      </w:r>
      <w:r w:rsidR="00C72B69" w:rsidRPr="008319F4">
        <w:rPr>
          <w:sz w:val="24"/>
          <w:szCs w:val="24"/>
          <w:lang w:val="en-US"/>
        </w:rPr>
        <w:t>4</w:t>
      </w:r>
      <w:r w:rsidRPr="008319F4">
        <w:rPr>
          <w:sz w:val="24"/>
          <w:szCs w:val="24"/>
          <w:lang w:val="en-US"/>
        </w:rPr>
        <w:t xml:space="preserve"> about here]</w:t>
      </w:r>
    </w:p>
    <w:p w14:paraId="50729027" w14:textId="77777777" w:rsidR="00681A6F" w:rsidRPr="008319F4" w:rsidRDefault="009D66A1" w:rsidP="00214CCE">
      <w:pPr>
        <w:pStyle w:val="PaperTitle1"/>
      </w:pPr>
      <w:r w:rsidRPr="008319F4">
        <w:t>5</w:t>
      </w:r>
      <w:r w:rsidR="00CF5467" w:rsidRPr="008319F4">
        <w:t>. Asset g</w:t>
      </w:r>
      <w:r w:rsidR="00207343" w:rsidRPr="008319F4">
        <w:t>rowth sequence and asset growth anomaly</w:t>
      </w:r>
    </w:p>
    <w:p w14:paraId="5611096D" w14:textId="77777777" w:rsidR="00E258A1" w:rsidRPr="008319F4" w:rsidRDefault="00E258A1" w:rsidP="00E258A1">
      <w:pPr>
        <w:pStyle w:val="PaperTitle2"/>
      </w:pPr>
      <w:r w:rsidRPr="008319F4">
        <w:t>5.1 Univariate analysis</w:t>
      </w:r>
    </w:p>
    <w:p w14:paraId="66A36B98" w14:textId="729E123D" w:rsidR="00E72391" w:rsidRPr="008319F4" w:rsidRDefault="00681A6F" w:rsidP="00214CCE">
      <w:pPr>
        <w:spacing w:line="480" w:lineRule="auto"/>
        <w:jc w:val="both"/>
        <w:rPr>
          <w:sz w:val="24"/>
          <w:szCs w:val="24"/>
          <w:lang w:val="en-US"/>
        </w:rPr>
      </w:pPr>
      <w:r w:rsidRPr="008319F4">
        <w:rPr>
          <w:sz w:val="24"/>
          <w:szCs w:val="24"/>
          <w:lang w:val="en-US"/>
        </w:rPr>
        <w:t>The above results show that growth firms have a stronger asset growth anomaly</w:t>
      </w:r>
      <w:r w:rsidR="00D92B83" w:rsidRPr="008319F4">
        <w:rPr>
          <w:sz w:val="24"/>
          <w:szCs w:val="24"/>
          <w:lang w:val="en-US"/>
        </w:rPr>
        <w:t xml:space="preserve"> and this gives support to the</w:t>
      </w:r>
      <w:r w:rsidR="00831743" w:rsidRPr="008319F4">
        <w:rPr>
          <w:sz w:val="24"/>
          <w:szCs w:val="24"/>
          <w:lang w:val="en-US"/>
        </w:rPr>
        <w:t xml:space="preserve"> overreaction explanation</w:t>
      </w:r>
      <w:r w:rsidRPr="008319F4">
        <w:rPr>
          <w:sz w:val="24"/>
          <w:szCs w:val="24"/>
          <w:lang w:val="en-US"/>
        </w:rPr>
        <w:t xml:space="preserve">.  </w:t>
      </w:r>
      <w:r w:rsidR="009A4431" w:rsidRPr="008319F4">
        <w:rPr>
          <w:sz w:val="24"/>
          <w:szCs w:val="24"/>
          <w:lang w:val="en-US"/>
        </w:rPr>
        <w:t>Further</w:t>
      </w:r>
      <w:r w:rsidR="00D92B83" w:rsidRPr="008319F4">
        <w:rPr>
          <w:sz w:val="24"/>
          <w:szCs w:val="24"/>
          <w:lang w:val="en-US"/>
        </w:rPr>
        <w:t>, i</w:t>
      </w:r>
      <w:r w:rsidR="00831743" w:rsidRPr="008319F4">
        <w:rPr>
          <w:sz w:val="24"/>
          <w:szCs w:val="24"/>
          <w:lang w:val="en-US"/>
        </w:rPr>
        <w:t xml:space="preserve">f </w:t>
      </w:r>
      <w:r w:rsidR="00D92B83" w:rsidRPr="008319F4">
        <w:rPr>
          <w:sz w:val="24"/>
          <w:szCs w:val="24"/>
          <w:lang w:val="en-US"/>
        </w:rPr>
        <w:t xml:space="preserve">the </w:t>
      </w:r>
      <w:r w:rsidR="00831743" w:rsidRPr="008319F4">
        <w:rPr>
          <w:sz w:val="24"/>
          <w:szCs w:val="24"/>
          <w:lang w:val="en-US"/>
        </w:rPr>
        <w:t>asset growth anomaly is dri</w:t>
      </w:r>
      <w:r w:rsidR="00D92B83" w:rsidRPr="008319F4">
        <w:rPr>
          <w:sz w:val="24"/>
          <w:szCs w:val="24"/>
          <w:lang w:val="en-US"/>
        </w:rPr>
        <w:t xml:space="preserve">ven by overreaction, we </w:t>
      </w:r>
      <w:r w:rsidR="00831743" w:rsidRPr="008319F4">
        <w:rPr>
          <w:sz w:val="24"/>
          <w:szCs w:val="24"/>
          <w:lang w:val="en-US"/>
        </w:rPr>
        <w:t xml:space="preserve">expect </w:t>
      </w:r>
      <w:r w:rsidR="00D92B83" w:rsidRPr="008319F4">
        <w:rPr>
          <w:sz w:val="24"/>
          <w:szCs w:val="24"/>
          <w:lang w:val="en-US"/>
        </w:rPr>
        <w:t xml:space="preserve">the sequence of asset growth to </w:t>
      </w:r>
      <w:r w:rsidR="00831743" w:rsidRPr="008319F4">
        <w:rPr>
          <w:sz w:val="24"/>
          <w:szCs w:val="24"/>
          <w:lang w:val="en-US"/>
        </w:rPr>
        <w:t xml:space="preserve">affect </w:t>
      </w:r>
      <w:r w:rsidR="00D92B83" w:rsidRPr="008319F4">
        <w:rPr>
          <w:sz w:val="24"/>
          <w:szCs w:val="24"/>
          <w:lang w:val="en-US"/>
        </w:rPr>
        <w:t xml:space="preserve">the </w:t>
      </w:r>
      <w:r w:rsidR="00831743" w:rsidRPr="008319F4">
        <w:rPr>
          <w:sz w:val="24"/>
          <w:szCs w:val="24"/>
          <w:lang w:val="en-US"/>
        </w:rPr>
        <w:t xml:space="preserve">asset growth anomaly. </w:t>
      </w:r>
      <w:r w:rsidR="009A4431" w:rsidRPr="008319F4">
        <w:rPr>
          <w:sz w:val="24"/>
          <w:szCs w:val="24"/>
          <w:lang w:val="en-US"/>
        </w:rPr>
        <w:t xml:space="preserve">More specifically, we argue that investors overreact to firm asset growth when they see a growth </w:t>
      </w:r>
      <w:r w:rsidR="00EF4787">
        <w:rPr>
          <w:sz w:val="24"/>
          <w:szCs w:val="24"/>
          <w:lang w:val="en-US"/>
        </w:rPr>
        <w:t>sequence</w:t>
      </w:r>
      <w:r w:rsidR="009A4431" w:rsidRPr="008319F4">
        <w:rPr>
          <w:sz w:val="24"/>
          <w:szCs w:val="24"/>
          <w:lang w:val="en-US"/>
        </w:rPr>
        <w:t xml:space="preserve">; and as the </w:t>
      </w:r>
      <w:r w:rsidR="00EF4787">
        <w:rPr>
          <w:sz w:val="24"/>
          <w:szCs w:val="24"/>
          <w:lang w:val="en-US"/>
        </w:rPr>
        <w:t>sequence</w:t>
      </w:r>
      <w:r w:rsidR="009A4431" w:rsidRPr="008319F4">
        <w:rPr>
          <w:sz w:val="24"/>
          <w:szCs w:val="24"/>
          <w:lang w:val="en-US"/>
        </w:rPr>
        <w:t xml:space="preserve"> becomes stronger, investors overreact more.</w:t>
      </w:r>
    </w:p>
    <w:p w14:paraId="26638D9F" w14:textId="3BF4403A" w:rsidR="00DF7392" w:rsidRPr="008319F4" w:rsidRDefault="00DF7392" w:rsidP="00913E65">
      <w:pPr>
        <w:spacing w:line="480" w:lineRule="auto"/>
        <w:ind w:firstLine="720"/>
        <w:jc w:val="both"/>
        <w:rPr>
          <w:sz w:val="24"/>
          <w:szCs w:val="24"/>
          <w:lang w:val="en-US"/>
        </w:rPr>
      </w:pPr>
      <w:r w:rsidRPr="008319F4">
        <w:rPr>
          <w:sz w:val="24"/>
          <w:szCs w:val="24"/>
          <w:lang w:val="en-US"/>
        </w:rPr>
        <w:t xml:space="preserve">To construct asset growth sequence portfolios we first divide firms into deciles in </w:t>
      </w:r>
      <w:r w:rsidR="0029206B" w:rsidRPr="008319F4">
        <w:rPr>
          <w:sz w:val="24"/>
          <w:szCs w:val="24"/>
          <w:lang w:val="en-US"/>
        </w:rPr>
        <w:t xml:space="preserve">the </w:t>
      </w:r>
      <w:r w:rsidRPr="008319F4">
        <w:rPr>
          <w:sz w:val="24"/>
          <w:szCs w:val="24"/>
          <w:lang w:val="en-US"/>
        </w:rPr>
        <w:t>June of each year based on asset growth. Then we look back to find which asset growth decile the firm is allocated to in previous years.</w:t>
      </w:r>
      <w:r w:rsidR="003C45CD" w:rsidRPr="008319F4">
        <w:rPr>
          <w:sz w:val="24"/>
          <w:szCs w:val="24"/>
          <w:lang w:val="en-US"/>
        </w:rPr>
        <w:t xml:space="preserve"> </w:t>
      </w:r>
      <w:r w:rsidR="007E00A4" w:rsidRPr="008319F4">
        <w:rPr>
          <w:sz w:val="24"/>
          <w:szCs w:val="24"/>
          <w:lang w:val="en-US"/>
        </w:rPr>
        <w:t xml:space="preserve">The top </w:t>
      </w:r>
      <w:r w:rsidR="00913E65" w:rsidRPr="008319F4">
        <w:rPr>
          <w:sz w:val="24"/>
          <w:szCs w:val="24"/>
          <w:lang w:val="en-US"/>
        </w:rPr>
        <w:t>two</w:t>
      </w:r>
      <w:r w:rsidR="007E00A4" w:rsidRPr="008319F4">
        <w:rPr>
          <w:sz w:val="24"/>
          <w:szCs w:val="24"/>
          <w:lang w:val="en-US"/>
        </w:rPr>
        <w:t xml:space="preserve"> asset growth deciles are considered as </w:t>
      </w:r>
      <w:r w:rsidR="003C0EF1" w:rsidRPr="008319F4">
        <w:rPr>
          <w:sz w:val="24"/>
          <w:szCs w:val="24"/>
          <w:lang w:val="en-US"/>
        </w:rPr>
        <w:t xml:space="preserve">the </w:t>
      </w:r>
      <w:r w:rsidR="007E00A4" w:rsidRPr="008319F4">
        <w:rPr>
          <w:sz w:val="24"/>
          <w:szCs w:val="24"/>
          <w:lang w:val="en-US"/>
        </w:rPr>
        <w:t>high asset growth group</w:t>
      </w:r>
      <w:r w:rsidR="003C0EF1" w:rsidRPr="008319F4">
        <w:rPr>
          <w:sz w:val="24"/>
          <w:szCs w:val="24"/>
          <w:lang w:val="en-US"/>
        </w:rPr>
        <w:t>,</w:t>
      </w:r>
      <w:r w:rsidR="007E00A4" w:rsidRPr="008319F4">
        <w:rPr>
          <w:sz w:val="24"/>
          <w:szCs w:val="24"/>
          <w:lang w:val="en-US"/>
        </w:rPr>
        <w:t xml:space="preserve"> while the bottom two asset growth deciles are viewed as </w:t>
      </w:r>
      <w:r w:rsidR="003C0EF1" w:rsidRPr="008319F4">
        <w:rPr>
          <w:sz w:val="24"/>
          <w:szCs w:val="24"/>
          <w:lang w:val="en-US"/>
        </w:rPr>
        <w:t xml:space="preserve">the </w:t>
      </w:r>
      <w:r w:rsidR="007E00A4" w:rsidRPr="008319F4">
        <w:rPr>
          <w:sz w:val="24"/>
          <w:szCs w:val="24"/>
          <w:lang w:val="en-US"/>
        </w:rPr>
        <w:t xml:space="preserve">low asset growth group. </w:t>
      </w:r>
      <w:r w:rsidRPr="008319F4">
        <w:rPr>
          <w:sz w:val="24"/>
          <w:szCs w:val="24"/>
          <w:lang w:val="en-US"/>
        </w:rPr>
        <w:t xml:space="preserve">H1 refers to the portfolio at the portfolio formation date such that a firm is in the high asset growth group and stays in </w:t>
      </w:r>
      <w:r w:rsidR="0029206B" w:rsidRPr="008319F4">
        <w:rPr>
          <w:sz w:val="24"/>
          <w:szCs w:val="24"/>
          <w:lang w:val="en-US"/>
        </w:rPr>
        <w:t xml:space="preserve">the </w:t>
      </w:r>
      <w:r w:rsidRPr="008319F4">
        <w:rPr>
          <w:sz w:val="24"/>
          <w:szCs w:val="24"/>
          <w:lang w:val="en-US"/>
        </w:rPr>
        <w:t xml:space="preserve">high asset growth group from the previous year. </w:t>
      </w:r>
      <w:r w:rsidRPr="008319F4">
        <w:rPr>
          <w:i/>
          <w:sz w:val="24"/>
          <w:szCs w:val="24"/>
          <w:lang w:val="en-US"/>
        </w:rPr>
        <w:t>H</w:t>
      </w:r>
      <w:r w:rsidR="009A4431" w:rsidRPr="008319F4">
        <w:rPr>
          <w:i/>
          <w:sz w:val="24"/>
          <w:szCs w:val="24"/>
          <w:lang w:val="en-US"/>
        </w:rPr>
        <w:t>i</w:t>
      </w:r>
      <w:r w:rsidRPr="008319F4">
        <w:rPr>
          <w:sz w:val="24"/>
          <w:szCs w:val="24"/>
          <w:lang w:val="en-US"/>
        </w:rPr>
        <w:t xml:space="preserve"> means that a firm stays in the high asset growth group from the previous </w:t>
      </w:r>
      <w:r w:rsidR="009A4431" w:rsidRPr="00FA4E6B">
        <w:rPr>
          <w:i/>
          <w:noProof/>
          <w:sz w:val="24"/>
          <w:szCs w:val="24"/>
          <w:lang w:val="en-US"/>
        </w:rPr>
        <w:t>i</w:t>
      </w:r>
      <w:r w:rsidRPr="008319F4">
        <w:rPr>
          <w:sz w:val="24"/>
          <w:szCs w:val="24"/>
          <w:lang w:val="en-US"/>
        </w:rPr>
        <w:t xml:space="preserve"> years</w:t>
      </w:r>
      <w:r w:rsidR="009A4431" w:rsidRPr="008319F4">
        <w:rPr>
          <w:sz w:val="24"/>
          <w:szCs w:val="24"/>
          <w:lang w:val="en-US"/>
        </w:rPr>
        <w:t xml:space="preserve"> (where </w:t>
      </w:r>
      <w:r w:rsidR="009A4431" w:rsidRPr="008319F4">
        <w:rPr>
          <w:i/>
          <w:sz w:val="24"/>
          <w:szCs w:val="24"/>
          <w:lang w:val="en-US"/>
        </w:rPr>
        <w:t>i=2, 3, or 4)</w:t>
      </w:r>
      <w:r w:rsidRPr="008319F4">
        <w:rPr>
          <w:sz w:val="24"/>
          <w:szCs w:val="24"/>
          <w:lang w:val="en-US"/>
        </w:rPr>
        <w:t>.</w:t>
      </w:r>
      <w:r w:rsidR="009A4431" w:rsidRPr="008319F4">
        <w:rPr>
          <w:sz w:val="24"/>
          <w:szCs w:val="24"/>
          <w:lang w:val="en-US"/>
        </w:rPr>
        <w:t xml:space="preserve"> </w:t>
      </w:r>
      <w:r w:rsidRPr="008319F4">
        <w:rPr>
          <w:sz w:val="24"/>
          <w:szCs w:val="24"/>
          <w:lang w:val="en-US"/>
        </w:rPr>
        <w:t xml:space="preserve"> We repeat this procedure for the low asset growth group</w:t>
      </w:r>
      <w:r w:rsidR="00F52767" w:rsidRPr="008319F4">
        <w:rPr>
          <w:sz w:val="24"/>
          <w:szCs w:val="24"/>
          <w:lang w:val="en-US"/>
        </w:rPr>
        <w:t xml:space="preserve"> that</w:t>
      </w:r>
      <w:r w:rsidR="00D4680C" w:rsidRPr="008319F4">
        <w:rPr>
          <w:sz w:val="24"/>
          <w:szCs w:val="24"/>
          <w:lang w:val="en-US"/>
        </w:rPr>
        <w:t xml:space="preserve"> is labeled as </w:t>
      </w:r>
      <w:r w:rsidR="00D4680C" w:rsidRPr="008319F4">
        <w:rPr>
          <w:i/>
          <w:sz w:val="24"/>
          <w:szCs w:val="24"/>
          <w:lang w:val="en-US"/>
        </w:rPr>
        <w:t>L1</w:t>
      </w:r>
      <w:r w:rsidR="00D4680C" w:rsidRPr="008319F4">
        <w:rPr>
          <w:sz w:val="24"/>
          <w:szCs w:val="24"/>
          <w:lang w:val="en-US"/>
        </w:rPr>
        <w:t xml:space="preserve"> to </w:t>
      </w:r>
      <w:r w:rsidR="00D4680C" w:rsidRPr="008319F4">
        <w:rPr>
          <w:i/>
          <w:sz w:val="24"/>
          <w:szCs w:val="24"/>
          <w:lang w:val="en-US"/>
        </w:rPr>
        <w:t>L4</w:t>
      </w:r>
      <w:r w:rsidRPr="008319F4">
        <w:rPr>
          <w:sz w:val="24"/>
          <w:szCs w:val="24"/>
          <w:lang w:val="en-US"/>
        </w:rPr>
        <w:t xml:space="preserve">.       </w:t>
      </w:r>
    </w:p>
    <w:p w14:paraId="543CD9B6" w14:textId="2BCC0D9E" w:rsidR="00681A6F" w:rsidRPr="008319F4" w:rsidRDefault="00681A6F" w:rsidP="00913E65">
      <w:pPr>
        <w:spacing w:line="480" w:lineRule="auto"/>
        <w:ind w:firstLine="720"/>
        <w:jc w:val="both"/>
        <w:rPr>
          <w:sz w:val="24"/>
          <w:szCs w:val="24"/>
          <w:lang w:val="en-US"/>
        </w:rPr>
      </w:pPr>
      <w:r w:rsidRPr="008319F4">
        <w:rPr>
          <w:sz w:val="24"/>
          <w:szCs w:val="24"/>
          <w:lang w:val="en-US"/>
        </w:rPr>
        <w:t>To examine whether returns decrease</w:t>
      </w:r>
      <w:r w:rsidR="00853C11" w:rsidRPr="008319F4">
        <w:rPr>
          <w:sz w:val="24"/>
          <w:szCs w:val="24"/>
          <w:lang w:val="en-US"/>
        </w:rPr>
        <w:t xml:space="preserve"> (increase)</w:t>
      </w:r>
      <w:r w:rsidRPr="008319F4">
        <w:rPr>
          <w:sz w:val="24"/>
          <w:szCs w:val="24"/>
          <w:lang w:val="en-US"/>
        </w:rPr>
        <w:t xml:space="preserve"> with the increase of the high</w:t>
      </w:r>
      <w:r w:rsidR="00853C11" w:rsidRPr="008319F4">
        <w:rPr>
          <w:sz w:val="24"/>
          <w:szCs w:val="24"/>
          <w:lang w:val="en-US"/>
        </w:rPr>
        <w:t xml:space="preserve"> (low)</w:t>
      </w:r>
      <w:r w:rsidRPr="008319F4">
        <w:rPr>
          <w:sz w:val="24"/>
          <w:szCs w:val="24"/>
          <w:lang w:val="en-US"/>
        </w:rPr>
        <w:t xml:space="preserve"> asset growth </w:t>
      </w:r>
      <w:r w:rsidR="00EF4787">
        <w:rPr>
          <w:sz w:val="24"/>
          <w:szCs w:val="24"/>
          <w:lang w:val="en-US"/>
        </w:rPr>
        <w:t>sequence</w:t>
      </w:r>
      <w:r w:rsidRPr="008319F4">
        <w:rPr>
          <w:sz w:val="24"/>
          <w:szCs w:val="24"/>
          <w:lang w:val="en-US"/>
        </w:rPr>
        <w:t xml:space="preserve">, we show </w:t>
      </w:r>
      <w:r w:rsidRPr="0093543B">
        <w:rPr>
          <w:noProof/>
          <w:sz w:val="24"/>
          <w:szCs w:val="24"/>
          <w:lang w:val="en-US"/>
        </w:rPr>
        <w:t>equal</w:t>
      </w:r>
      <w:r w:rsidR="0093543B">
        <w:rPr>
          <w:noProof/>
          <w:sz w:val="24"/>
          <w:szCs w:val="24"/>
          <w:lang w:val="en-US"/>
        </w:rPr>
        <w:t>-</w:t>
      </w:r>
      <w:r w:rsidRPr="0093543B">
        <w:rPr>
          <w:noProof/>
          <w:sz w:val="24"/>
          <w:szCs w:val="24"/>
          <w:lang w:val="en-US"/>
        </w:rPr>
        <w:t>weighted</w:t>
      </w:r>
      <w:r w:rsidRPr="008319F4">
        <w:rPr>
          <w:sz w:val="24"/>
          <w:szCs w:val="24"/>
          <w:lang w:val="en-US"/>
        </w:rPr>
        <w:t xml:space="preserve"> average monthly returns </w:t>
      </w:r>
      <w:r w:rsidR="00831743" w:rsidRPr="008319F4">
        <w:rPr>
          <w:sz w:val="24"/>
          <w:szCs w:val="24"/>
          <w:lang w:val="en-US"/>
        </w:rPr>
        <w:t>f</w:t>
      </w:r>
      <w:r w:rsidR="005B58B9" w:rsidRPr="008319F4">
        <w:rPr>
          <w:sz w:val="24"/>
          <w:szCs w:val="24"/>
          <w:lang w:val="en-US"/>
        </w:rPr>
        <w:t>or each growth series portfolio</w:t>
      </w:r>
      <w:r w:rsidR="00831743" w:rsidRPr="008319F4">
        <w:rPr>
          <w:sz w:val="24"/>
          <w:szCs w:val="24"/>
          <w:lang w:val="en-US"/>
        </w:rPr>
        <w:t xml:space="preserve">. Further, we </w:t>
      </w:r>
      <w:r w:rsidR="00CC7D24" w:rsidRPr="008319F4">
        <w:rPr>
          <w:sz w:val="24"/>
          <w:szCs w:val="24"/>
          <w:lang w:val="en-US"/>
        </w:rPr>
        <w:t>examine</w:t>
      </w:r>
      <w:r w:rsidR="00831743" w:rsidRPr="008319F4">
        <w:rPr>
          <w:sz w:val="24"/>
          <w:szCs w:val="24"/>
          <w:lang w:val="en-US"/>
        </w:rPr>
        <w:t xml:space="preserve"> </w:t>
      </w:r>
      <w:r w:rsidR="005B58B9" w:rsidRPr="008319F4">
        <w:rPr>
          <w:sz w:val="24"/>
          <w:szCs w:val="24"/>
          <w:lang w:val="en-US"/>
        </w:rPr>
        <w:t xml:space="preserve">the </w:t>
      </w:r>
      <w:r w:rsidR="00831743" w:rsidRPr="008319F4">
        <w:rPr>
          <w:sz w:val="24"/>
          <w:szCs w:val="24"/>
          <w:lang w:val="en-US"/>
        </w:rPr>
        <w:t xml:space="preserve">slope of </w:t>
      </w:r>
      <w:r w:rsidR="0029206B" w:rsidRPr="008319F4">
        <w:rPr>
          <w:sz w:val="24"/>
          <w:szCs w:val="24"/>
          <w:lang w:val="en-US"/>
        </w:rPr>
        <w:t xml:space="preserve">the </w:t>
      </w:r>
      <w:r w:rsidR="00831743" w:rsidRPr="008319F4">
        <w:rPr>
          <w:sz w:val="24"/>
          <w:szCs w:val="24"/>
          <w:lang w:val="en-US"/>
        </w:rPr>
        <w:t>asset growth</w:t>
      </w:r>
      <w:r w:rsidR="00CC7D24" w:rsidRPr="008319F4">
        <w:rPr>
          <w:sz w:val="24"/>
          <w:szCs w:val="24"/>
          <w:lang w:val="en-US"/>
        </w:rPr>
        <w:t xml:space="preserve"> regression</w:t>
      </w:r>
      <w:r w:rsidR="00831743" w:rsidRPr="008319F4">
        <w:rPr>
          <w:sz w:val="24"/>
          <w:szCs w:val="24"/>
          <w:lang w:val="en-US"/>
        </w:rPr>
        <w:t xml:space="preserve"> in each portfolio to investigate whether </w:t>
      </w:r>
      <w:r w:rsidR="005B58B9" w:rsidRPr="008319F4">
        <w:rPr>
          <w:sz w:val="24"/>
          <w:szCs w:val="24"/>
          <w:lang w:val="en-US"/>
        </w:rPr>
        <w:t xml:space="preserve">the asset growth anomaly is </w:t>
      </w:r>
      <w:r w:rsidR="0029206B" w:rsidRPr="008319F4">
        <w:rPr>
          <w:sz w:val="24"/>
          <w:szCs w:val="24"/>
          <w:lang w:val="en-US"/>
        </w:rPr>
        <w:t>stronger with an increase in</w:t>
      </w:r>
      <w:r w:rsidR="00831743" w:rsidRPr="008319F4">
        <w:rPr>
          <w:sz w:val="24"/>
          <w:szCs w:val="24"/>
          <w:lang w:val="en-US"/>
        </w:rPr>
        <w:t xml:space="preserve"> </w:t>
      </w:r>
      <w:r w:rsidR="005B58B9" w:rsidRPr="008319F4">
        <w:rPr>
          <w:sz w:val="24"/>
          <w:szCs w:val="24"/>
          <w:lang w:val="en-US"/>
        </w:rPr>
        <w:t xml:space="preserve">the </w:t>
      </w:r>
      <w:r w:rsidR="00831743" w:rsidRPr="008319F4">
        <w:rPr>
          <w:sz w:val="24"/>
          <w:szCs w:val="24"/>
          <w:lang w:val="en-US"/>
        </w:rPr>
        <w:t>asset growth sequence</w:t>
      </w:r>
      <w:r w:rsidRPr="008319F4">
        <w:rPr>
          <w:sz w:val="24"/>
          <w:szCs w:val="24"/>
          <w:lang w:val="en-US"/>
        </w:rPr>
        <w:t>.</w:t>
      </w:r>
    </w:p>
    <w:p w14:paraId="4DE100C4" w14:textId="1974F1CC" w:rsidR="00ED7AF7" w:rsidRPr="008319F4" w:rsidRDefault="00B965E9" w:rsidP="00ED7AF7">
      <w:pPr>
        <w:spacing w:line="480" w:lineRule="auto"/>
        <w:ind w:firstLine="720"/>
        <w:jc w:val="both"/>
        <w:rPr>
          <w:sz w:val="24"/>
          <w:szCs w:val="24"/>
          <w:lang w:val="en-US"/>
        </w:rPr>
      </w:pPr>
      <w:r>
        <w:rPr>
          <w:sz w:val="24"/>
          <w:szCs w:val="24"/>
          <w:lang w:val="en-US"/>
        </w:rPr>
        <w:lastRenderedPageBreak/>
        <w:t xml:space="preserve">Panel A in </w:t>
      </w:r>
      <w:r w:rsidR="00C72B69" w:rsidRPr="008319F4">
        <w:rPr>
          <w:sz w:val="24"/>
          <w:szCs w:val="24"/>
          <w:lang w:val="en-US"/>
        </w:rPr>
        <w:t>Table 5</w:t>
      </w:r>
      <w:r w:rsidR="00681A6F" w:rsidRPr="008319F4">
        <w:rPr>
          <w:sz w:val="24"/>
          <w:szCs w:val="24"/>
          <w:lang w:val="en-US"/>
        </w:rPr>
        <w:t xml:space="preserve"> shows the return pattern of </w:t>
      </w:r>
      <w:r w:rsidR="0029206B" w:rsidRPr="008319F4">
        <w:rPr>
          <w:sz w:val="24"/>
          <w:szCs w:val="24"/>
          <w:lang w:val="en-US"/>
        </w:rPr>
        <w:t xml:space="preserve">the </w:t>
      </w:r>
      <w:r w:rsidR="00681A6F" w:rsidRPr="008319F4">
        <w:rPr>
          <w:sz w:val="24"/>
          <w:szCs w:val="24"/>
          <w:lang w:val="en-US"/>
        </w:rPr>
        <w:t xml:space="preserve">growth </w:t>
      </w:r>
      <w:r w:rsidR="00EF4787">
        <w:rPr>
          <w:sz w:val="24"/>
          <w:szCs w:val="24"/>
          <w:lang w:val="en-US"/>
        </w:rPr>
        <w:t>sequence</w:t>
      </w:r>
      <w:r w:rsidR="00681A6F" w:rsidRPr="008319F4">
        <w:rPr>
          <w:sz w:val="24"/>
          <w:szCs w:val="24"/>
          <w:lang w:val="en-US"/>
        </w:rPr>
        <w:t xml:space="preserve"> portfolios. For the high asset growth </w:t>
      </w:r>
      <w:r w:rsidR="00EF4787">
        <w:rPr>
          <w:sz w:val="24"/>
          <w:szCs w:val="24"/>
          <w:lang w:val="en-US"/>
        </w:rPr>
        <w:t>sequence</w:t>
      </w:r>
      <w:r w:rsidR="00681A6F" w:rsidRPr="008319F4">
        <w:rPr>
          <w:sz w:val="24"/>
          <w:szCs w:val="24"/>
          <w:lang w:val="en-US"/>
        </w:rPr>
        <w:t xml:space="preserve">, the </w:t>
      </w:r>
      <w:r w:rsidR="00681A6F" w:rsidRPr="0093543B">
        <w:rPr>
          <w:noProof/>
          <w:sz w:val="24"/>
          <w:szCs w:val="24"/>
          <w:lang w:val="en-US"/>
        </w:rPr>
        <w:t>equal</w:t>
      </w:r>
      <w:r w:rsidR="0093543B">
        <w:rPr>
          <w:noProof/>
          <w:sz w:val="24"/>
          <w:szCs w:val="24"/>
          <w:lang w:val="en-US"/>
        </w:rPr>
        <w:t>-</w:t>
      </w:r>
      <w:r w:rsidR="00681A6F" w:rsidRPr="0093543B">
        <w:rPr>
          <w:noProof/>
          <w:sz w:val="24"/>
          <w:szCs w:val="24"/>
          <w:lang w:val="en-US"/>
        </w:rPr>
        <w:t>weighted</w:t>
      </w:r>
      <w:r w:rsidR="00681A6F" w:rsidRPr="008319F4">
        <w:rPr>
          <w:sz w:val="24"/>
          <w:szCs w:val="24"/>
          <w:lang w:val="en-US"/>
        </w:rPr>
        <w:t xml:space="preserve"> returns </w:t>
      </w:r>
      <w:r w:rsidR="00D4680C" w:rsidRPr="008319F4">
        <w:rPr>
          <w:sz w:val="24"/>
          <w:szCs w:val="24"/>
          <w:lang w:val="en-US"/>
        </w:rPr>
        <w:t xml:space="preserve">reported in the </w:t>
      </w:r>
      <w:r w:rsidR="00D4680C" w:rsidRPr="008319F4">
        <w:rPr>
          <w:i/>
          <w:sz w:val="24"/>
          <w:szCs w:val="24"/>
          <w:lang w:val="en-US"/>
        </w:rPr>
        <w:t>Ret</w:t>
      </w:r>
      <w:r w:rsidR="00D4680C" w:rsidRPr="008319F4">
        <w:rPr>
          <w:sz w:val="24"/>
          <w:szCs w:val="24"/>
          <w:lang w:val="en-US"/>
        </w:rPr>
        <w:t xml:space="preserve"> column </w:t>
      </w:r>
      <w:r w:rsidR="00681A6F" w:rsidRPr="008319F4">
        <w:rPr>
          <w:sz w:val="24"/>
          <w:szCs w:val="24"/>
          <w:lang w:val="en-US"/>
        </w:rPr>
        <w:t>are decreasing monotonically from H1 to H4</w:t>
      </w:r>
      <w:r w:rsidR="00853C11" w:rsidRPr="008319F4">
        <w:rPr>
          <w:sz w:val="24"/>
          <w:szCs w:val="24"/>
          <w:lang w:val="en-US"/>
        </w:rPr>
        <w:t>, i.e., from 0.86</w:t>
      </w:r>
      <w:r w:rsidR="00077F1B">
        <w:rPr>
          <w:sz w:val="24"/>
          <w:szCs w:val="24"/>
          <w:lang w:val="en-US"/>
        </w:rPr>
        <w:t>%</w:t>
      </w:r>
      <w:r w:rsidR="00853C11" w:rsidRPr="008319F4">
        <w:rPr>
          <w:sz w:val="24"/>
          <w:szCs w:val="24"/>
          <w:lang w:val="en-US"/>
        </w:rPr>
        <w:t xml:space="preserve"> to 0.36</w:t>
      </w:r>
      <w:r w:rsidR="00077F1B">
        <w:rPr>
          <w:sz w:val="24"/>
          <w:szCs w:val="24"/>
          <w:lang w:val="en-US"/>
        </w:rPr>
        <w:t>%</w:t>
      </w:r>
      <w:bookmarkStart w:id="3" w:name="_GoBack"/>
      <w:bookmarkEnd w:id="3"/>
      <w:r w:rsidR="00853C11" w:rsidRPr="008319F4">
        <w:rPr>
          <w:sz w:val="24"/>
          <w:szCs w:val="24"/>
          <w:lang w:val="en-US"/>
        </w:rPr>
        <w:t>.</w:t>
      </w:r>
      <w:r w:rsidR="00681A6F" w:rsidRPr="008319F4">
        <w:rPr>
          <w:sz w:val="24"/>
          <w:szCs w:val="24"/>
          <w:lang w:val="en-US"/>
        </w:rPr>
        <w:t xml:space="preserve"> </w:t>
      </w:r>
      <w:r w:rsidR="00853C11" w:rsidRPr="008319F4">
        <w:rPr>
          <w:sz w:val="24"/>
          <w:szCs w:val="24"/>
          <w:lang w:val="en-US"/>
        </w:rPr>
        <w:t xml:space="preserve">The </w:t>
      </w:r>
      <w:r w:rsidR="00853C11" w:rsidRPr="0093543B">
        <w:rPr>
          <w:noProof/>
          <w:sz w:val="24"/>
          <w:szCs w:val="24"/>
          <w:lang w:val="en-US"/>
        </w:rPr>
        <w:t xml:space="preserve">difference </w:t>
      </w:r>
      <w:r w:rsidR="0093543B">
        <w:rPr>
          <w:noProof/>
          <w:sz w:val="24"/>
          <w:szCs w:val="24"/>
          <w:lang w:val="en-US"/>
        </w:rPr>
        <w:t>between</w:t>
      </w:r>
      <w:r w:rsidR="00853C11" w:rsidRPr="008319F4">
        <w:rPr>
          <w:sz w:val="24"/>
          <w:szCs w:val="24"/>
          <w:lang w:val="en-US"/>
        </w:rPr>
        <w:t xml:space="preserve"> H4</w:t>
      </w:r>
      <w:r w:rsidR="009653AC">
        <w:rPr>
          <w:sz w:val="24"/>
          <w:szCs w:val="24"/>
          <w:lang w:val="en-US"/>
        </w:rPr>
        <w:t xml:space="preserve"> and H1</w:t>
      </w:r>
      <w:r w:rsidR="00853C11" w:rsidRPr="008319F4">
        <w:rPr>
          <w:sz w:val="24"/>
          <w:szCs w:val="24"/>
          <w:lang w:val="en-US"/>
        </w:rPr>
        <w:t xml:space="preserve"> is significantly </w:t>
      </w:r>
      <w:r w:rsidR="009653AC">
        <w:rPr>
          <w:sz w:val="24"/>
          <w:szCs w:val="24"/>
          <w:lang w:val="en-US"/>
        </w:rPr>
        <w:t>negative</w:t>
      </w:r>
      <w:r w:rsidR="009653AC" w:rsidRPr="008319F4">
        <w:rPr>
          <w:sz w:val="24"/>
          <w:szCs w:val="24"/>
          <w:lang w:val="en-US"/>
        </w:rPr>
        <w:t xml:space="preserve"> </w:t>
      </w:r>
      <w:r w:rsidR="00853C11" w:rsidRPr="008319F4">
        <w:rPr>
          <w:sz w:val="24"/>
          <w:szCs w:val="24"/>
          <w:lang w:val="en-US"/>
        </w:rPr>
        <w:t xml:space="preserve">indicating firms with </w:t>
      </w:r>
      <w:r w:rsidR="005B58B9" w:rsidRPr="008319F4">
        <w:rPr>
          <w:sz w:val="24"/>
          <w:szCs w:val="24"/>
          <w:lang w:val="en-US"/>
        </w:rPr>
        <w:t xml:space="preserve">a </w:t>
      </w:r>
      <w:r w:rsidR="00853C11" w:rsidRPr="008319F4">
        <w:rPr>
          <w:sz w:val="24"/>
          <w:szCs w:val="24"/>
          <w:lang w:val="en-US"/>
        </w:rPr>
        <w:t xml:space="preserve">longer sequence of high asset growth have lower returns in the near future. </w:t>
      </w:r>
      <w:r w:rsidR="00681A6F" w:rsidRPr="008319F4">
        <w:rPr>
          <w:sz w:val="24"/>
          <w:szCs w:val="24"/>
          <w:lang w:val="en-US"/>
        </w:rPr>
        <w:t xml:space="preserve">For the low asset growth </w:t>
      </w:r>
      <w:r w:rsidR="00EF4787">
        <w:rPr>
          <w:sz w:val="24"/>
          <w:szCs w:val="24"/>
          <w:lang w:val="en-US"/>
        </w:rPr>
        <w:t>sequence</w:t>
      </w:r>
      <w:r w:rsidR="00681A6F" w:rsidRPr="008319F4">
        <w:rPr>
          <w:sz w:val="24"/>
          <w:szCs w:val="24"/>
          <w:lang w:val="en-US"/>
        </w:rPr>
        <w:t xml:space="preserve">, the </w:t>
      </w:r>
      <w:r w:rsidR="00681A6F" w:rsidRPr="00FA4E6B">
        <w:rPr>
          <w:noProof/>
          <w:sz w:val="24"/>
          <w:szCs w:val="24"/>
          <w:lang w:val="en-US"/>
        </w:rPr>
        <w:t>equal</w:t>
      </w:r>
      <w:r w:rsidR="00FA4E6B">
        <w:rPr>
          <w:noProof/>
          <w:sz w:val="24"/>
          <w:szCs w:val="24"/>
          <w:lang w:val="en-US"/>
        </w:rPr>
        <w:t>-</w:t>
      </w:r>
      <w:r w:rsidR="00681A6F" w:rsidRPr="00FA4E6B">
        <w:rPr>
          <w:noProof/>
          <w:sz w:val="24"/>
          <w:szCs w:val="24"/>
          <w:lang w:val="en-US"/>
        </w:rPr>
        <w:t>weighted</w:t>
      </w:r>
      <w:r w:rsidR="00681A6F" w:rsidRPr="008319F4">
        <w:rPr>
          <w:sz w:val="24"/>
          <w:szCs w:val="24"/>
          <w:lang w:val="en-US"/>
        </w:rPr>
        <w:t xml:space="preserve"> returns </w:t>
      </w:r>
      <w:r w:rsidR="00853C11" w:rsidRPr="008319F4">
        <w:rPr>
          <w:sz w:val="24"/>
          <w:szCs w:val="24"/>
          <w:lang w:val="en-US"/>
        </w:rPr>
        <w:t>do not show a monotonic</w:t>
      </w:r>
      <w:r w:rsidR="0029206B" w:rsidRPr="008319F4">
        <w:rPr>
          <w:sz w:val="24"/>
          <w:szCs w:val="24"/>
          <w:lang w:val="en-US"/>
        </w:rPr>
        <w:t xml:space="preserve"> pattern </w:t>
      </w:r>
      <w:r w:rsidR="00853C11" w:rsidRPr="008319F4">
        <w:rPr>
          <w:sz w:val="24"/>
          <w:szCs w:val="24"/>
          <w:lang w:val="en-US"/>
        </w:rPr>
        <w:t xml:space="preserve">that returns increase with </w:t>
      </w:r>
      <w:r w:rsidR="0029206B" w:rsidRPr="008319F4">
        <w:rPr>
          <w:sz w:val="24"/>
          <w:szCs w:val="24"/>
          <w:lang w:val="en-US"/>
        </w:rPr>
        <w:t xml:space="preserve">an increase in the </w:t>
      </w:r>
      <w:r w:rsidR="00853C11" w:rsidRPr="008319F4">
        <w:rPr>
          <w:sz w:val="24"/>
          <w:szCs w:val="24"/>
          <w:lang w:val="en-US"/>
        </w:rPr>
        <w:t>asset growth sequence</w:t>
      </w:r>
      <w:r w:rsidR="0029206B" w:rsidRPr="008319F4">
        <w:rPr>
          <w:sz w:val="24"/>
          <w:szCs w:val="24"/>
          <w:lang w:val="en-US"/>
        </w:rPr>
        <w:t>;</w:t>
      </w:r>
      <w:r w:rsidR="002A0C80" w:rsidRPr="008319F4">
        <w:rPr>
          <w:sz w:val="24"/>
          <w:szCs w:val="24"/>
          <w:lang w:val="en-US"/>
        </w:rPr>
        <w:t xml:space="preserve"> </w:t>
      </w:r>
      <w:r w:rsidR="0029206B" w:rsidRPr="008319F4">
        <w:rPr>
          <w:sz w:val="24"/>
          <w:szCs w:val="24"/>
          <w:lang w:val="en-US"/>
        </w:rPr>
        <w:t>n</w:t>
      </w:r>
      <w:r w:rsidR="00476D81" w:rsidRPr="008319F4">
        <w:rPr>
          <w:sz w:val="24"/>
          <w:szCs w:val="24"/>
          <w:lang w:val="en-US"/>
        </w:rPr>
        <w:t>evertheless</w:t>
      </w:r>
      <w:r w:rsidR="0029206B" w:rsidRPr="008319F4">
        <w:rPr>
          <w:sz w:val="24"/>
          <w:szCs w:val="24"/>
          <w:lang w:val="en-US"/>
        </w:rPr>
        <w:t>,</w:t>
      </w:r>
      <w:r w:rsidR="00E258A1" w:rsidRPr="008319F4">
        <w:rPr>
          <w:sz w:val="24"/>
          <w:szCs w:val="24"/>
          <w:lang w:val="en-US"/>
        </w:rPr>
        <w:t xml:space="preserve"> the significantly </w:t>
      </w:r>
      <w:r w:rsidR="009653AC">
        <w:rPr>
          <w:sz w:val="24"/>
          <w:szCs w:val="24"/>
          <w:lang w:val="en-US"/>
        </w:rPr>
        <w:t>positive</w:t>
      </w:r>
      <w:r w:rsidR="009653AC" w:rsidRPr="008319F4">
        <w:rPr>
          <w:sz w:val="24"/>
          <w:szCs w:val="24"/>
          <w:lang w:val="en-US"/>
        </w:rPr>
        <w:t xml:space="preserve"> </w:t>
      </w:r>
      <w:r w:rsidR="00E258A1" w:rsidRPr="008319F4">
        <w:rPr>
          <w:sz w:val="24"/>
          <w:szCs w:val="24"/>
          <w:lang w:val="en-US"/>
        </w:rPr>
        <w:t xml:space="preserve">return difference between </w:t>
      </w:r>
      <w:r w:rsidR="00D4680C" w:rsidRPr="008319F4">
        <w:rPr>
          <w:sz w:val="24"/>
          <w:szCs w:val="24"/>
          <w:lang w:val="en-US"/>
        </w:rPr>
        <w:t>L</w:t>
      </w:r>
      <w:r w:rsidR="00E258A1" w:rsidRPr="008319F4">
        <w:rPr>
          <w:sz w:val="24"/>
          <w:szCs w:val="24"/>
          <w:lang w:val="en-US"/>
        </w:rPr>
        <w:t xml:space="preserve">4 </w:t>
      </w:r>
      <w:r w:rsidR="009653AC">
        <w:rPr>
          <w:sz w:val="24"/>
          <w:szCs w:val="24"/>
          <w:lang w:val="en-US"/>
        </w:rPr>
        <w:t xml:space="preserve">and L1 </w:t>
      </w:r>
      <w:r w:rsidR="00E258A1" w:rsidRPr="008319F4">
        <w:rPr>
          <w:sz w:val="24"/>
          <w:szCs w:val="24"/>
          <w:lang w:val="en-US"/>
        </w:rPr>
        <w:t xml:space="preserve">confirm our expectation. </w:t>
      </w:r>
      <w:r w:rsidR="009653AC">
        <w:rPr>
          <w:sz w:val="24"/>
          <w:szCs w:val="24"/>
          <w:lang w:val="en-US"/>
        </w:rPr>
        <w:t xml:space="preserve">When we consider the hedge return in each </w:t>
      </w:r>
      <w:r w:rsidR="00EF4787">
        <w:rPr>
          <w:sz w:val="24"/>
          <w:szCs w:val="24"/>
          <w:lang w:val="en-US"/>
        </w:rPr>
        <w:t>Sequence</w:t>
      </w:r>
      <w:r w:rsidR="009653AC">
        <w:rPr>
          <w:sz w:val="24"/>
          <w:szCs w:val="24"/>
          <w:lang w:val="en-US"/>
        </w:rPr>
        <w:t xml:space="preserve"> group, the return of L – H are all positive and significant which confirm the asset growth effect in all groupings.  Furthermore, this hedge return </w:t>
      </w:r>
      <w:r w:rsidR="00FA4E6B">
        <w:rPr>
          <w:noProof/>
          <w:sz w:val="24"/>
          <w:szCs w:val="24"/>
          <w:lang w:val="en-US"/>
        </w:rPr>
        <w:t>monotonically increases</w:t>
      </w:r>
      <w:r w:rsidR="009653AC">
        <w:rPr>
          <w:sz w:val="24"/>
          <w:szCs w:val="24"/>
          <w:lang w:val="en-US"/>
        </w:rPr>
        <w:t xml:space="preserve"> from </w:t>
      </w:r>
      <w:r w:rsidR="00EF4787">
        <w:rPr>
          <w:sz w:val="24"/>
          <w:szCs w:val="24"/>
          <w:lang w:val="en-US"/>
        </w:rPr>
        <w:t>Sequence</w:t>
      </w:r>
      <w:r w:rsidR="009653AC">
        <w:rPr>
          <w:sz w:val="24"/>
          <w:szCs w:val="24"/>
          <w:lang w:val="en-US"/>
        </w:rPr>
        <w:t xml:space="preserve">s 1 to 4 and the difference between the longest and shortest </w:t>
      </w:r>
      <w:r w:rsidR="00EF4787">
        <w:rPr>
          <w:sz w:val="24"/>
          <w:szCs w:val="24"/>
          <w:lang w:val="en-US"/>
        </w:rPr>
        <w:t>sequence</w:t>
      </w:r>
      <w:r w:rsidR="009653AC">
        <w:rPr>
          <w:sz w:val="24"/>
          <w:szCs w:val="24"/>
          <w:lang w:val="en-US"/>
        </w:rPr>
        <w:t xml:space="preserve"> is statistically significant.  Economically, investing in the hedge portfolio of the longest growth </w:t>
      </w:r>
      <w:r w:rsidR="00EF4787">
        <w:rPr>
          <w:sz w:val="24"/>
          <w:szCs w:val="24"/>
          <w:lang w:val="en-US"/>
        </w:rPr>
        <w:t>sequence</w:t>
      </w:r>
      <w:r w:rsidR="009653AC">
        <w:rPr>
          <w:sz w:val="24"/>
          <w:szCs w:val="24"/>
          <w:lang w:val="en-US"/>
        </w:rPr>
        <w:t xml:space="preserve"> will have more than double of the return </w:t>
      </w:r>
      <w:r w:rsidR="00FE07CC">
        <w:rPr>
          <w:sz w:val="24"/>
          <w:szCs w:val="24"/>
          <w:lang w:val="en-US"/>
        </w:rPr>
        <w:t>(1</w:t>
      </w:r>
      <w:r w:rsidR="00077F1B">
        <w:rPr>
          <w:sz w:val="24"/>
          <w:szCs w:val="24"/>
          <w:lang w:val="en-US"/>
        </w:rPr>
        <w:t>.</w:t>
      </w:r>
      <w:r w:rsidR="00FE07CC">
        <w:rPr>
          <w:sz w:val="24"/>
          <w:szCs w:val="24"/>
          <w:lang w:val="en-US"/>
        </w:rPr>
        <w:t>73</w:t>
      </w:r>
      <w:r w:rsidR="00077F1B">
        <w:rPr>
          <w:sz w:val="24"/>
          <w:szCs w:val="24"/>
          <w:lang w:val="en-US"/>
        </w:rPr>
        <w:t>%</w:t>
      </w:r>
      <w:r w:rsidR="00FE07CC">
        <w:rPr>
          <w:sz w:val="24"/>
          <w:szCs w:val="24"/>
          <w:lang w:val="en-US"/>
        </w:rPr>
        <w:t xml:space="preserve">) </w:t>
      </w:r>
      <w:r w:rsidR="009653AC">
        <w:rPr>
          <w:sz w:val="24"/>
          <w:szCs w:val="24"/>
          <w:lang w:val="en-US"/>
        </w:rPr>
        <w:t xml:space="preserve">in that of the shortest growth </w:t>
      </w:r>
      <w:r w:rsidR="00EF4787">
        <w:rPr>
          <w:sz w:val="24"/>
          <w:szCs w:val="24"/>
          <w:lang w:val="en-US"/>
        </w:rPr>
        <w:t>sequence</w:t>
      </w:r>
      <w:r w:rsidR="009653AC">
        <w:rPr>
          <w:sz w:val="24"/>
          <w:szCs w:val="24"/>
          <w:lang w:val="en-US"/>
        </w:rPr>
        <w:t xml:space="preserve"> (</w:t>
      </w:r>
      <w:r w:rsidR="00FE07CC">
        <w:rPr>
          <w:sz w:val="24"/>
          <w:szCs w:val="24"/>
          <w:lang w:val="en-US"/>
        </w:rPr>
        <w:t>0.83</w:t>
      </w:r>
      <w:r w:rsidR="00077F1B">
        <w:rPr>
          <w:sz w:val="24"/>
          <w:szCs w:val="24"/>
          <w:lang w:val="en-US"/>
        </w:rPr>
        <w:t>%</w:t>
      </w:r>
      <w:r w:rsidR="009653AC">
        <w:rPr>
          <w:sz w:val="24"/>
          <w:szCs w:val="24"/>
          <w:lang w:val="en-US"/>
        </w:rPr>
        <w:t xml:space="preserve">).   </w:t>
      </w:r>
      <w:r w:rsidR="00ED7AF7" w:rsidRPr="008319F4">
        <w:rPr>
          <w:sz w:val="24"/>
          <w:szCs w:val="24"/>
          <w:lang w:val="en-US"/>
        </w:rPr>
        <w:t xml:space="preserve">Overall, the evidence is consistent with investors behaving according to the representativeness heuristic. That is, returns become smaller with more consecutive years of high asset growth whereas returns increase when the </w:t>
      </w:r>
      <w:r w:rsidR="00EF4787">
        <w:rPr>
          <w:sz w:val="24"/>
          <w:szCs w:val="24"/>
          <w:lang w:val="en-US"/>
        </w:rPr>
        <w:t>sequence</w:t>
      </w:r>
      <w:r w:rsidR="00ED7AF7" w:rsidRPr="008319F4">
        <w:rPr>
          <w:sz w:val="24"/>
          <w:szCs w:val="24"/>
          <w:lang w:val="en-US"/>
        </w:rPr>
        <w:t xml:space="preserve"> of low asset growth increases.  </w:t>
      </w:r>
    </w:p>
    <w:p w14:paraId="212E29BC" w14:textId="4DD60E76" w:rsidR="000E47B6" w:rsidRDefault="00681A6F" w:rsidP="00C72B69">
      <w:pPr>
        <w:spacing w:line="480" w:lineRule="auto"/>
        <w:ind w:firstLine="720"/>
        <w:jc w:val="both"/>
        <w:rPr>
          <w:sz w:val="24"/>
          <w:szCs w:val="24"/>
          <w:lang w:val="en-US"/>
        </w:rPr>
      </w:pPr>
      <w:r w:rsidRPr="008319F4">
        <w:rPr>
          <w:sz w:val="24"/>
          <w:szCs w:val="24"/>
          <w:lang w:val="en-US"/>
        </w:rPr>
        <w:t xml:space="preserve">In a further test, we directly analyze whether the asset growth anomaly increases as the strength of the asset growth </w:t>
      </w:r>
      <w:r w:rsidR="00EF4787">
        <w:rPr>
          <w:sz w:val="24"/>
          <w:szCs w:val="24"/>
          <w:lang w:val="en-US"/>
        </w:rPr>
        <w:t>sequence</w:t>
      </w:r>
      <w:r w:rsidRPr="008319F4">
        <w:rPr>
          <w:sz w:val="24"/>
          <w:szCs w:val="24"/>
          <w:lang w:val="en-US"/>
        </w:rPr>
        <w:t xml:space="preserve"> inc</w:t>
      </w:r>
      <w:r w:rsidR="00D15AC2" w:rsidRPr="008319F4">
        <w:rPr>
          <w:sz w:val="24"/>
          <w:szCs w:val="24"/>
          <w:lang w:val="en-US"/>
        </w:rPr>
        <w:t>reases</w:t>
      </w:r>
      <w:r w:rsidR="00D83221">
        <w:rPr>
          <w:sz w:val="24"/>
          <w:szCs w:val="24"/>
          <w:lang w:val="en-US"/>
        </w:rPr>
        <w:t xml:space="preserve"> by using the asset growth regression</w:t>
      </w:r>
      <w:r w:rsidR="000E47B6" w:rsidRPr="008319F4">
        <w:rPr>
          <w:sz w:val="24"/>
          <w:szCs w:val="24"/>
          <w:lang w:val="en-US"/>
        </w:rPr>
        <w:t>. Within each asset growth sequence portfolio, we employ</w:t>
      </w:r>
      <w:r w:rsidR="005B58B9" w:rsidRPr="008319F4">
        <w:rPr>
          <w:sz w:val="24"/>
          <w:szCs w:val="24"/>
          <w:lang w:val="en-US"/>
        </w:rPr>
        <w:t xml:space="preserve"> a Fama-MacBeth regression that controls</w:t>
      </w:r>
      <w:r w:rsidR="000E47B6" w:rsidRPr="008319F4">
        <w:rPr>
          <w:sz w:val="24"/>
          <w:szCs w:val="24"/>
          <w:lang w:val="en-US"/>
        </w:rPr>
        <w:t xml:space="preserve"> for </w:t>
      </w:r>
      <w:r w:rsidR="005B58B9" w:rsidRPr="008319F4">
        <w:rPr>
          <w:sz w:val="24"/>
          <w:szCs w:val="24"/>
          <w:lang w:val="en-US"/>
        </w:rPr>
        <w:t>the natural</w:t>
      </w:r>
      <w:r w:rsidR="000E47B6" w:rsidRPr="008319F4">
        <w:rPr>
          <w:sz w:val="24"/>
          <w:szCs w:val="24"/>
          <w:lang w:val="en-US"/>
        </w:rPr>
        <w:t xml:space="preserve"> l</w:t>
      </w:r>
      <w:r w:rsidR="005B58B9" w:rsidRPr="008319F4">
        <w:rPr>
          <w:sz w:val="24"/>
          <w:szCs w:val="24"/>
          <w:lang w:val="en-US"/>
        </w:rPr>
        <w:t>ogarithm of market value, the natural</w:t>
      </w:r>
      <w:r w:rsidR="000E47B6" w:rsidRPr="008319F4">
        <w:rPr>
          <w:sz w:val="24"/>
          <w:szCs w:val="24"/>
          <w:lang w:val="en-US"/>
        </w:rPr>
        <w:t xml:space="preserve"> logarithm of </w:t>
      </w:r>
      <w:r w:rsidR="005B58B9" w:rsidRPr="008319F4">
        <w:rPr>
          <w:sz w:val="24"/>
          <w:szCs w:val="24"/>
          <w:lang w:val="en-US"/>
        </w:rPr>
        <w:t xml:space="preserve">the </w:t>
      </w:r>
      <w:r w:rsidR="000E47B6" w:rsidRPr="008319F4">
        <w:rPr>
          <w:sz w:val="24"/>
          <w:szCs w:val="24"/>
          <w:lang w:val="en-US"/>
        </w:rPr>
        <w:t xml:space="preserve">book-to-market ratio and </w:t>
      </w:r>
      <w:r w:rsidR="005B58B9" w:rsidRPr="008319F4">
        <w:rPr>
          <w:sz w:val="24"/>
          <w:szCs w:val="24"/>
          <w:lang w:val="en-US"/>
        </w:rPr>
        <w:t xml:space="preserve">the </w:t>
      </w:r>
      <w:r w:rsidR="000E47B6" w:rsidRPr="008319F4">
        <w:rPr>
          <w:sz w:val="24"/>
          <w:szCs w:val="24"/>
          <w:lang w:val="en-US"/>
        </w:rPr>
        <w:t xml:space="preserve">previous </w:t>
      </w:r>
      <w:r w:rsidR="000E47B6" w:rsidRPr="00FA4E6B">
        <w:rPr>
          <w:noProof/>
          <w:sz w:val="24"/>
          <w:szCs w:val="24"/>
          <w:lang w:val="en-US"/>
        </w:rPr>
        <w:t>6</w:t>
      </w:r>
      <w:r w:rsidR="00FA4E6B">
        <w:rPr>
          <w:noProof/>
          <w:sz w:val="24"/>
          <w:szCs w:val="24"/>
          <w:lang w:val="en-US"/>
        </w:rPr>
        <w:t>-</w:t>
      </w:r>
      <w:r w:rsidR="000E47B6" w:rsidRPr="00FA4E6B">
        <w:rPr>
          <w:noProof/>
          <w:sz w:val="24"/>
          <w:szCs w:val="24"/>
          <w:lang w:val="en-US"/>
        </w:rPr>
        <w:t>month</w:t>
      </w:r>
      <w:r w:rsidR="000E47B6" w:rsidRPr="008319F4">
        <w:rPr>
          <w:sz w:val="24"/>
          <w:szCs w:val="24"/>
          <w:lang w:val="en-US"/>
        </w:rPr>
        <w:t xml:space="preserve"> returns</w:t>
      </w:r>
      <w:r w:rsidR="00D15AC2" w:rsidRPr="008319F4">
        <w:rPr>
          <w:sz w:val="24"/>
          <w:szCs w:val="24"/>
          <w:lang w:val="en-US"/>
        </w:rPr>
        <w:t xml:space="preserve">. </w:t>
      </w:r>
      <w:r w:rsidR="003C0EF1" w:rsidRPr="008319F4">
        <w:rPr>
          <w:sz w:val="24"/>
          <w:szCs w:val="24"/>
          <w:lang w:val="en-US"/>
        </w:rPr>
        <w:t>The slope</w:t>
      </w:r>
      <w:r w:rsidR="00D4680C" w:rsidRPr="008319F4">
        <w:rPr>
          <w:sz w:val="24"/>
          <w:szCs w:val="24"/>
          <w:lang w:val="en-US"/>
        </w:rPr>
        <w:t xml:space="preserve"> coefficient</w:t>
      </w:r>
      <w:r w:rsidR="00991945">
        <w:rPr>
          <w:sz w:val="24"/>
          <w:szCs w:val="24"/>
          <w:lang w:val="en-US"/>
        </w:rPr>
        <w:t>s</w:t>
      </w:r>
      <w:r w:rsidR="00D4680C" w:rsidRPr="008319F4">
        <w:rPr>
          <w:sz w:val="24"/>
          <w:szCs w:val="24"/>
          <w:lang w:val="en-US"/>
        </w:rPr>
        <w:t xml:space="preserve"> </w:t>
      </w:r>
      <w:r w:rsidR="00991945">
        <w:rPr>
          <w:sz w:val="24"/>
          <w:szCs w:val="24"/>
          <w:lang w:val="en-US"/>
        </w:rPr>
        <w:t>are</w:t>
      </w:r>
      <w:r w:rsidR="00991945" w:rsidRPr="008319F4">
        <w:rPr>
          <w:sz w:val="24"/>
          <w:szCs w:val="24"/>
          <w:lang w:val="en-US"/>
        </w:rPr>
        <w:t xml:space="preserve"> </w:t>
      </w:r>
      <w:r w:rsidR="00D4680C" w:rsidRPr="008319F4">
        <w:rPr>
          <w:sz w:val="24"/>
          <w:szCs w:val="24"/>
          <w:lang w:val="en-US"/>
        </w:rPr>
        <w:t xml:space="preserve">reported in </w:t>
      </w:r>
      <w:r w:rsidR="00991945">
        <w:rPr>
          <w:sz w:val="24"/>
          <w:szCs w:val="24"/>
          <w:lang w:val="en-US"/>
        </w:rPr>
        <w:t xml:space="preserve">Panel B </w:t>
      </w:r>
      <w:r w:rsidR="00D4680C" w:rsidRPr="008319F4">
        <w:rPr>
          <w:sz w:val="24"/>
          <w:szCs w:val="24"/>
          <w:lang w:val="en-US"/>
        </w:rPr>
        <w:t xml:space="preserve"> in Table 5.  </w:t>
      </w:r>
      <w:r w:rsidR="00D15AC2" w:rsidRPr="008319F4">
        <w:rPr>
          <w:sz w:val="24"/>
          <w:szCs w:val="24"/>
          <w:lang w:val="en-US"/>
        </w:rPr>
        <w:t xml:space="preserve">For </w:t>
      </w:r>
      <w:r w:rsidR="005B58B9" w:rsidRPr="008319F4">
        <w:rPr>
          <w:sz w:val="24"/>
          <w:szCs w:val="24"/>
          <w:lang w:val="en-US"/>
        </w:rPr>
        <w:t xml:space="preserve">the </w:t>
      </w:r>
      <w:r w:rsidR="00D15AC2" w:rsidRPr="008319F4">
        <w:rPr>
          <w:sz w:val="24"/>
          <w:szCs w:val="24"/>
          <w:lang w:val="en-US"/>
        </w:rPr>
        <w:t>high asset growth sequence</w:t>
      </w:r>
      <w:r w:rsidRPr="008319F4">
        <w:rPr>
          <w:sz w:val="24"/>
          <w:szCs w:val="24"/>
          <w:lang w:val="en-US"/>
        </w:rPr>
        <w:t>,</w:t>
      </w:r>
      <w:r w:rsidR="00D15AC2" w:rsidRPr="008319F4">
        <w:rPr>
          <w:sz w:val="24"/>
          <w:szCs w:val="24"/>
          <w:lang w:val="en-US"/>
        </w:rPr>
        <w:t xml:space="preserve"> </w:t>
      </w:r>
      <w:r w:rsidR="000E47B6" w:rsidRPr="008319F4">
        <w:rPr>
          <w:sz w:val="24"/>
          <w:szCs w:val="24"/>
          <w:lang w:val="en-US"/>
        </w:rPr>
        <w:t xml:space="preserve">most of </w:t>
      </w:r>
      <w:r w:rsidR="005B58B9" w:rsidRPr="008319F4">
        <w:rPr>
          <w:sz w:val="24"/>
          <w:szCs w:val="24"/>
          <w:lang w:val="en-US"/>
        </w:rPr>
        <w:t xml:space="preserve">the </w:t>
      </w:r>
      <w:r w:rsidR="000E47B6" w:rsidRPr="008319F4">
        <w:rPr>
          <w:sz w:val="24"/>
          <w:szCs w:val="24"/>
          <w:lang w:val="en-US"/>
        </w:rPr>
        <w:t>slopes of asset growth are significantly negative</w:t>
      </w:r>
      <w:r w:rsidR="005B58B9" w:rsidRPr="008319F4">
        <w:rPr>
          <w:sz w:val="24"/>
          <w:szCs w:val="24"/>
          <w:lang w:val="en-US"/>
        </w:rPr>
        <w:t>, confirming the</w:t>
      </w:r>
      <w:r w:rsidR="000E47B6" w:rsidRPr="008319F4">
        <w:rPr>
          <w:sz w:val="24"/>
          <w:szCs w:val="24"/>
          <w:lang w:val="en-US"/>
        </w:rPr>
        <w:t xml:space="preserve"> asset growth effect. The slope </w:t>
      </w:r>
      <w:r w:rsidR="000E47B6" w:rsidRPr="008319F4">
        <w:rPr>
          <w:sz w:val="24"/>
          <w:szCs w:val="24"/>
          <w:lang w:val="en-US"/>
        </w:rPr>
        <w:lastRenderedPageBreak/>
        <w:t>diffe</w:t>
      </w:r>
      <w:r w:rsidR="005B58B9" w:rsidRPr="008319F4">
        <w:rPr>
          <w:sz w:val="24"/>
          <w:szCs w:val="24"/>
          <w:lang w:val="en-US"/>
        </w:rPr>
        <w:t>rence of H1 and H4 is 0.0676 and significant at the 10% level</w:t>
      </w:r>
      <w:r w:rsidRPr="008319F4">
        <w:rPr>
          <w:sz w:val="24"/>
          <w:szCs w:val="24"/>
          <w:lang w:val="en-US"/>
        </w:rPr>
        <w:t xml:space="preserve">. </w:t>
      </w:r>
      <w:r w:rsidR="000E47B6" w:rsidRPr="008319F4">
        <w:rPr>
          <w:sz w:val="24"/>
          <w:szCs w:val="24"/>
          <w:lang w:val="en-US"/>
        </w:rPr>
        <w:t xml:space="preserve">It suggests that firms with </w:t>
      </w:r>
      <w:r w:rsidR="005B58B9" w:rsidRPr="008319F4">
        <w:rPr>
          <w:sz w:val="24"/>
          <w:szCs w:val="24"/>
          <w:lang w:val="en-US"/>
        </w:rPr>
        <w:t xml:space="preserve">a </w:t>
      </w:r>
      <w:r w:rsidR="000E47B6" w:rsidRPr="008319F4">
        <w:rPr>
          <w:sz w:val="24"/>
          <w:szCs w:val="24"/>
          <w:lang w:val="en-US"/>
        </w:rPr>
        <w:t xml:space="preserve">longer asset growth sequence show </w:t>
      </w:r>
      <w:r w:rsidR="005B58B9" w:rsidRPr="008319F4">
        <w:rPr>
          <w:sz w:val="24"/>
          <w:szCs w:val="24"/>
          <w:lang w:val="en-US"/>
        </w:rPr>
        <w:t>a</w:t>
      </w:r>
      <w:r w:rsidR="00E4598D" w:rsidRPr="008319F4">
        <w:rPr>
          <w:sz w:val="24"/>
          <w:szCs w:val="24"/>
          <w:lang w:val="en-US"/>
        </w:rPr>
        <w:t xml:space="preserve"> </w:t>
      </w:r>
      <w:r w:rsidR="000E47B6" w:rsidRPr="008319F4">
        <w:rPr>
          <w:sz w:val="24"/>
          <w:szCs w:val="24"/>
          <w:lang w:val="en-US"/>
        </w:rPr>
        <w:t>stronger asset growth anomaly. In contrast, for low asset growth sequence</w:t>
      </w:r>
      <w:r w:rsidR="005B58B9" w:rsidRPr="008319F4">
        <w:rPr>
          <w:sz w:val="24"/>
          <w:szCs w:val="24"/>
          <w:lang w:val="en-US"/>
        </w:rPr>
        <w:t>s</w:t>
      </w:r>
      <w:r w:rsidR="000E47B6" w:rsidRPr="008319F4">
        <w:rPr>
          <w:sz w:val="24"/>
          <w:szCs w:val="24"/>
          <w:lang w:val="en-US"/>
        </w:rPr>
        <w:t xml:space="preserve">, </w:t>
      </w:r>
      <w:r w:rsidR="00C1559A" w:rsidRPr="008319F4">
        <w:rPr>
          <w:sz w:val="24"/>
          <w:szCs w:val="24"/>
          <w:lang w:val="en-US"/>
        </w:rPr>
        <w:t xml:space="preserve">there is </w:t>
      </w:r>
      <w:r w:rsidR="005B58B9" w:rsidRPr="008319F4">
        <w:rPr>
          <w:sz w:val="24"/>
          <w:szCs w:val="24"/>
          <w:lang w:val="en-US"/>
        </w:rPr>
        <w:t xml:space="preserve">only very </w:t>
      </w:r>
      <w:r w:rsidR="00C1559A" w:rsidRPr="008319F4">
        <w:rPr>
          <w:sz w:val="24"/>
          <w:szCs w:val="24"/>
          <w:lang w:val="en-US"/>
        </w:rPr>
        <w:t xml:space="preserve">weak evidence of </w:t>
      </w:r>
      <w:r w:rsidR="005B58B9" w:rsidRPr="008319F4">
        <w:rPr>
          <w:sz w:val="24"/>
          <w:szCs w:val="24"/>
          <w:lang w:val="en-US"/>
        </w:rPr>
        <w:t xml:space="preserve">the </w:t>
      </w:r>
      <w:r w:rsidR="00C1559A" w:rsidRPr="008319F4">
        <w:rPr>
          <w:sz w:val="24"/>
          <w:szCs w:val="24"/>
          <w:lang w:val="en-US"/>
        </w:rPr>
        <w:t xml:space="preserve">asset growth anomaly and the slope </w:t>
      </w:r>
      <w:r w:rsidR="00C1559A" w:rsidRPr="00FA4E6B">
        <w:rPr>
          <w:noProof/>
          <w:sz w:val="24"/>
          <w:szCs w:val="24"/>
          <w:lang w:val="en-US"/>
        </w:rPr>
        <w:t xml:space="preserve">difference </w:t>
      </w:r>
      <w:r w:rsidR="00FA4E6B">
        <w:rPr>
          <w:noProof/>
          <w:sz w:val="24"/>
          <w:szCs w:val="24"/>
          <w:lang w:val="en-US"/>
        </w:rPr>
        <w:t>between</w:t>
      </w:r>
      <w:r w:rsidR="00C1559A" w:rsidRPr="008319F4">
        <w:rPr>
          <w:sz w:val="24"/>
          <w:szCs w:val="24"/>
          <w:lang w:val="en-US"/>
        </w:rPr>
        <w:t xml:space="preserve"> L1 and L4</w:t>
      </w:r>
      <w:r w:rsidR="000E47B6" w:rsidRPr="008319F4">
        <w:rPr>
          <w:sz w:val="24"/>
          <w:szCs w:val="24"/>
          <w:lang w:val="en-US"/>
        </w:rPr>
        <w:t xml:space="preserve"> </w:t>
      </w:r>
      <w:r w:rsidR="00EF7531" w:rsidRPr="008319F4">
        <w:rPr>
          <w:sz w:val="24"/>
          <w:szCs w:val="24"/>
          <w:lang w:val="en-US"/>
        </w:rPr>
        <w:t>is not signific</w:t>
      </w:r>
      <w:r w:rsidR="00CA7B5B" w:rsidRPr="008319F4">
        <w:rPr>
          <w:sz w:val="24"/>
          <w:szCs w:val="24"/>
          <w:lang w:val="en-US"/>
        </w:rPr>
        <w:t xml:space="preserve">ant. The asymmetric pattern </w:t>
      </w:r>
      <w:r w:rsidR="00EF7531" w:rsidRPr="008319F4">
        <w:rPr>
          <w:sz w:val="24"/>
          <w:szCs w:val="24"/>
          <w:lang w:val="en-US"/>
        </w:rPr>
        <w:t>suggest</w:t>
      </w:r>
      <w:r w:rsidR="00CA7B5B" w:rsidRPr="008319F4">
        <w:rPr>
          <w:sz w:val="24"/>
          <w:szCs w:val="24"/>
          <w:lang w:val="en-US"/>
        </w:rPr>
        <w:t>s that the</w:t>
      </w:r>
      <w:r w:rsidR="00EF7531" w:rsidRPr="008319F4">
        <w:rPr>
          <w:sz w:val="24"/>
          <w:szCs w:val="24"/>
          <w:lang w:val="en-US"/>
        </w:rPr>
        <w:t xml:space="preserve"> asset growth anomaly is mainly driven by </w:t>
      </w:r>
      <w:r w:rsidR="00D31AC2" w:rsidRPr="008319F4">
        <w:rPr>
          <w:sz w:val="24"/>
          <w:szCs w:val="24"/>
          <w:lang w:val="en-US"/>
        </w:rPr>
        <w:t xml:space="preserve">an </w:t>
      </w:r>
      <w:r w:rsidR="00476D81" w:rsidRPr="008319F4">
        <w:rPr>
          <w:sz w:val="24"/>
          <w:szCs w:val="24"/>
          <w:lang w:val="en-US"/>
        </w:rPr>
        <w:t xml:space="preserve">overreaction to </w:t>
      </w:r>
      <w:r w:rsidR="00EF7531" w:rsidRPr="008319F4">
        <w:rPr>
          <w:sz w:val="24"/>
          <w:szCs w:val="24"/>
          <w:lang w:val="en-US"/>
        </w:rPr>
        <w:t>high asset growth.</w:t>
      </w:r>
      <w:r w:rsidR="002C37EE" w:rsidRPr="008319F4">
        <w:rPr>
          <w:sz w:val="24"/>
          <w:szCs w:val="24"/>
          <w:lang w:val="en-US"/>
        </w:rPr>
        <w:t xml:space="preserve">  This further confirms that </w:t>
      </w:r>
      <w:r w:rsidR="00D31AC2" w:rsidRPr="008319F4">
        <w:rPr>
          <w:sz w:val="24"/>
          <w:szCs w:val="24"/>
          <w:lang w:val="en-US"/>
        </w:rPr>
        <w:t xml:space="preserve">the </w:t>
      </w:r>
      <w:r w:rsidR="002C37EE" w:rsidRPr="008319F4">
        <w:rPr>
          <w:sz w:val="24"/>
          <w:szCs w:val="24"/>
          <w:lang w:val="en-US"/>
        </w:rPr>
        <w:t xml:space="preserve">asset growth </w:t>
      </w:r>
      <w:r w:rsidR="00D31AC2" w:rsidRPr="008319F4">
        <w:rPr>
          <w:sz w:val="24"/>
          <w:szCs w:val="24"/>
          <w:lang w:val="en-US"/>
        </w:rPr>
        <w:t>anomaly is</w:t>
      </w:r>
      <w:r w:rsidR="002C37EE" w:rsidRPr="008319F4">
        <w:rPr>
          <w:sz w:val="24"/>
          <w:szCs w:val="24"/>
          <w:lang w:val="en-US"/>
        </w:rPr>
        <w:t xml:space="preserve"> more likely </w:t>
      </w:r>
      <w:r w:rsidR="00D31AC2" w:rsidRPr="008319F4">
        <w:rPr>
          <w:sz w:val="24"/>
          <w:szCs w:val="24"/>
          <w:lang w:val="en-US"/>
        </w:rPr>
        <w:t xml:space="preserve">to be </w:t>
      </w:r>
      <w:r w:rsidR="002C37EE" w:rsidRPr="008319F4">
        <w:rPr>
          <w:sz w:val="24"/>
          <w:szCs w:val="24"/>
          <w:lang w:val="en-US"/>
        </w:rPr>
        <w:t>ca</w:t>
      </w:r>
      <w:r w:rsidR="00D31AC2" w:rsidRPr="008319F4">
        <w:rPr>
          <w:sz w:val="24"/>
          <w:szCs w:val="24"/>
          <w:lang w:val="en-US"/>
        </w:rPr>
        <w:t>used by investor</w:t>
      </w:r>
      <w:r w:rsidR="002C37EE" w:rsidRPr="008319F4">
        <w:rPr>
          <w:sz w:val="24"/>
          <w:szCs w:val="24"/>
          <w:lang w:val="en-US"/>
        </w:rPr>
        <w:t>s</w:t>
      </w:r>
      <w:r w:rsidR="00D31AC2" w:rsidRPr="008319F4">
        <w:rPr>
          <w:sz w:val="24"/>
          <w:szCs w:val="24"/>
          <w:lang w:val="en-US"/>
        </w:rPr>
        <w:t>’ appetite</w:t>
      </w:r>
      <w:r w:rsidR="002C37EE" w:rsidRPr="008319F4">
        <w:rPr>
          <w:sz w:val="24"/>
          <w:szCs w:val="24"/>
          <w:lang w:val="en-US"/>
        </w:rPr>
        <w:t xml:space="preserve"> for growth (the </w:t>
      </w:r>
      <w:r w:rsidR="00D31AC2" w:rsidRPr="008319F4">
        <w:rPr>
          <w:sz w:val="24"/>
          <w:szCs w:val="24"/>
          <w:lang w:val="en-US"/>
        </w:rPr>
        <w:t>high growth sequence) rather than</w:t>
      </w:r>
      <w:r w:rsidR="002C37EE" w:rsidRPr="008319F4">
        <w:rPr>
          <w:sz w:val="24"/>
          <w:szCs w:val="24"/>
          <w:lang w:val="en-US"/>
        </w:rPr>
        <w:t xml:space="preserve"> contraction (the low growth sequence). </w:t>
      </w:r>
      <w:r w:rsidR="00D31AC2" w:rsidRPr="008319F4">
        <w:rPr>
          <w:sz w:val="24"/>
          <w:szCs w:val="24"/>
          <w:lang w:val="en-US"/>
        </w:rPr>
        <w:t xml:space="preserve"> </w:t>
      </w:r>
      <w:r w:rsidR="00ED7AF7">
        <w:rPr>
          <w:sz w:val="24"/>
          <w:szCs w:val="24"/>
          <w:lang w:val="en-US"/>
        </w:rPr>
        <w:t xml:space="preserve">The asset growth slop coefficients for portfolios including both high and low growth firms in each sequence further </w:t>
      </w:r>
      <w:r w:rsidR="00EF7531" w:rsidRPr="008319F4">
        <w:rPr>
          <w:sz w:val="24"/>
          <w:szCs w:val="24"/>
          <w:lang w:val="en-US"/>
        </w:rPr>
        <w:t xml:space="preserve">support our second hypothesis that </w:t>
      </w:r>
      <w:r w:rsidR="00CA7B5B" w:rsidRPr="008319F4">
        <w:rPr>
          <w:sz w:val="24"/>
          <w:szCs w:val="24"/>
          <w:lang w:val="en-US"/>
        </w:rPr>
        <w:t xml:space="preserve">the </w:t>
      </w:r>
      <w:r w:rsidR="00D40E9A" w:rsidRPr="008319F4">
        <w:rPr>
          <w:sz w:val="24"/>
          <w:szCs w:val="24"/>
          <w:lang w:val="en-US"/>
        </w:rPr>
        <w:t xml:space="preserve">asset growth anomaly is stronger for firms with </w:t>
      </w:r>
      <w:r w:rsidR="00CA7B5B" w:rsidRPr="008319F4">
        <w:rPr>
          <w:sz w:val="24"/>
          <w:szCs w:val="24"/>
          <w:lang w:val="en-US"/>
        </w:rPr>
        <w:t xml:space="preserve">a longer </w:t>
      </w:r>
      <w:r w:rsidR="00D40E9A" w:rsidRPr="008319F4">
        <w:rPr>
          <w:sz w:val="24"/>
          <w:szCs w:val="24"/>
          <w:lang w:val="en-US"/>
        </w:rPr>
        <w:t>sequence</w:t>
      </w:r>
      <w:r w:rsidR="00CA7B5B" w:rsidRPr="008319F4">
        <w:rPr>
          <w:sz w:val="24"/>
          <w:szCs w:val="24"/>
          <w:lang w:val="en-US"/>
        </w:rPr>
        <w:t xml:space="preserve"> of asset growth</w:t>
      </w:r>
      <w:r w:rsidR="00D40E9A" w:rsidRPr="008319F4">
        <w:rPr>
          <w:sz w:val="24"/>
          <w:szCs w:val="24"/>
          <w:lang w:val="en-US"/>
        </w:rPr>
        <w:t>.</w:t>
      </w:r>
      <w:r w:rsidR="00EF7531" w:rsidRPr="008319F4">
        <w:rPr>
          <w:sz w:val="24"/>
          <w:szCs w:val="24"/>
          <w:lang w:val="en-US"/>
        </w:rPr>
        <w:t xml:space="preserve">  </w:t>
      </w:r>
    </w:p>
    <w:p w14:paraId="0303D4F6" w14:textId="43DA7057" w:rsidR="00681A6F" w:rsidRPr="008319F4" w:rsidRDefault="00C72B69" w:rsidP="00214CCE">
      <w:pPr>
        <w:spacing w:line="480" w:lineRule="auto"/>
        <w:jc w:val="center"/>
        <w:rPr>
          <w:sz w:val="24"/>
          <w:szCs w:val="24"/>
          <w:lang w:val="en-US"/>
        </w:rPr>
      </w:pPr>
      <w:r w:rsidRPr="008319F4">
        <w:rPr>
          <w:sz w:val="24"/>
          <w:szCs w:val="24"/>
          <w:lang w:val="en-US"/>
        </w:rPr>
        <w:t>[Insert Table 5</w:t>
      </w:r>
      <w:r w:rsidR="00681A6F" w:rsidRPr="008319F4">
        <w:rPr>
          <w:sz w:val="24"/>
          <w:szCs w:val="24"/>
          <w:lang w:val="en-US"/>
        </w:rPr>
        <w:t xml:space="preserve"> about here]</w:t>
      </w:r>
    </w:p>
    <w:p w14:paraId="450D95AB" w14:textId="77777777" w:rsidR="00681A6F" w:rsidRPr="008319F4" w:rsidRDefault="00681A6F" w:rsidP="00214CCE">
      <w:pPr>
        <w:spacing w:line="480" w:lineRule="auto"/>
        <w:jc w:val="both"/>
        <w:rPr>
          <w:sz w:val="24"/>
          <w:szCs w:val="24"/>
          <w:lang w:val="en-US"/>
        </w:rPr>
      </w:pPr>
    </w:p>
    <w:p w14:paraId="353392B9" w14:textId="77777777" w:rsidR="00D15AC2" w:rsidRPr="008319F4" w:rsidRDefault="00D15AC2" w:rsidP="00D15AC2">
      <w:pPr>
        <w:pStyle w:val="PaperTitle2"/>
      </w:pPr>
      <w:r w:rsidRPr="008319F4">
        <w:t>5.2 Multiple regression</w:t>
      </w:r>
    </w:p>
    <w:p w14:paraId="16908645" w14:textId="6BE3953F" w:rsidR="00857DE5" w:rsidRPr="008319F4" w:rsidRDefault="00CA7B5B" w:rsidP="00EF7679">
      <w:pPr>
        <w:spacing w:line="480" w:lineRule="auto"/>
        <w:jc w:val="both"/>
        <w:rPr>
          <w:sz w:val="24"/>
          <w:szCs w:val="24"/>
          <w:lang w:val="en-US"/>
        </w:rPr>
      </w:pPr>
      <w:r w:rsidRPr="008319F4">
        <w:rPr>
          <w:sz w:val="24"/>
          <w:szCs w:val="24"/>
          <w:lang w:val="en-US"/>
        </w:rPr>
        <w:t>In this sub-section</w:t>
      </w:r>
      <w:r w:rsidR="00857DE5" w:rsidRPr="008319F4">
        <w:rPr>
          <w:sz w:val="24"/>
          <w:szCs w:val="24"/>
          <w:lang w:val="en-US"/>
        </w:rPr>
        <w:t xml:space="preserve">, we test whether </w:t>
      </w:r>
      <w:r w:rsidRPr="008319F4">
        <w:rPr>
          <w:sz w:val="24"/>
          <w:szCs w:val="24"/>
          <w:lang w:val="en-US"/>
        </w:rPr>
        <w:t xml:space="preserve">the sequence of asset growth </w:t>
      </w:r>
      <w:r w:rsidR="00CF5467" w:rsidRPr="008319F4">
        <w:rPr>
          <w:sz w:val="24"/>
          <w:szCs w:val="24"/>
          <w:lang w:val="en-US"/>
        </w:rPr>
        <w:t xml:space="preserve">influences </w:t>
      </w:r>
      <w:r w:rsidRPr="008319F4">
        <w:rPr>
          <w:sz w:val="24"/>
          <w:szCs w:val="24"/>
          <w:lang w:val="en-US"/>
        </w:rPr>
        <w:t xml:space="preserve">the </w:t>
      </w:r>
      <w:r w:rsidR="00CF5467" w:rsidRPr="008319F4">
        <w:rPr>
          <w:sz w:val="24"/>
          <w:szCs w:val="24"/>
          <w:lang w:val="en-US"/>
        </w:rPr>
        <w:t xml:space="preserve">asset growth anomaly after controlling for </w:t>
      </w:r>
      <w:r w:rsidR="00E65622" w:rsidRPr="008319F4">
        <w:rPr>
          <w:sz w:val="24"/>
          <w:szCs w:val="24"/>
          <w:lang w:val="en-US"/>
        </w:rPr>
        <w:t>limits-to-arbitrage</w:t>
      </w:r>
      <w:r w:rsidR="00CF5467" w:rsidRPr="008319F4">
        <w:rPr>
          <w:sz w:val="24"/>
          <w:szCs w:val="24"/>
          <w:lang w:val="en-US"/>
        </w:rPr>
        <w:t xml:space="preserve"> and investment friction proxies. We perform Fama-MacBeth regression</w:t>
      </w:r>
      <w:r w:rsidRPr="008319F4">
        <w:rPr>
          <w:sz w:val="24"/>
          <w:szCs w:val="24"/>
          <w:lang w:val="en-US"/>
        </w:rPr>
        <w:t>s</w:t>
      </w:r>
      <w:r w:rsidR="00CF5467" w:rsidRPr="008319F4">
        <w:rPr>
          <w:sz w:val="24"/>
          <w:szCs w:val="24"/>
          <w:lang w:val="en-US"/>
        </w:rPr>
        <w:t xml:space="preserve"> of monthly retur</w:t>
      </w:r>
      <w:r w:rsidRPr="008319F4">
        <w:rPr>
          <w:sz w:val="24"/>
          <w:szCs w:val="24"/>
          <w:lang w:val="en-US"/>
        </w:rPr>
        <w:t xml:space="preserve">ns on asset growth, interacting </w:t>
      </w:r>
      <w:r w:rsidR="00CF5467" w:rsidRPr="008319F4">
        <w:rPr>
          <w:sz w:val="24"/>
          <w:szCs w:val="24"/>
          <w:lang w:val="en-US"/>
        </w:rPr>
        <w:t xml:space="preserve">between </w:t>
      </w:r>
      <w:r w:rsidRPr="008319F4">
        <w:rPr>
          <w:sz w:val="24"/>
          <w:szCs w:val="24"/>
          <w:lang w:val="en-US"/>
        </w:rPr>
        <w:t xml:space="preserve">the </w:t>
      </w:r>
      <w:r w:rsidR="00CF5467" w:rsidRPr="008319F4">
        <w:rPr>
          <w:sz w:val="24"/>
          <w:szCs w:val="24"/>
          <w:lang w:val="en-US"/>
        </w:rPr>
        <w:t>asset growth sequence</w:t>
      </w:r>
      <w:r w:rsidR="00BA5307" w:rsidRPr="008319F4">
        <w:rPr>
          <w:sz w:val="24"/>
          <w:szCs w:val="24"/>
          <w:lang w:val="en-US"/>
        </w:rPr>
        <w:t xml:space="preserve"> and asset growth, </w:t>
      </w:r>
      <w:r w:rsidR="00E65622" w:rsidRPr="008319F4">
        <w:rPr>
          <w:sz w:val="24"/>
          <w:szCs w:val="24"/>
          <w:lang w:val="en-US"/>
        </w:rPr>
        <w:t>limits-to-arbitrage</w:t>
      </w:r>
      <w:r w:rsidR="00BA5307" w:rsidRPr="008319F4">
        <w:rPr>
          <w:sz w:val="24"/>
          <w:szCs w:val="24"/>
          <w:lang w:val="en-US"/>
        </w:rPr>
        <w:t xml:space="preserve"> or investment friction proxies, firm size, book-to-market ration and prior </w:t>
      </w:r>
      <w:r w:rsidR="00BA5307" w:rsidRPr="00EA2103">
        <w:rPr>
          <w:noProof/>
          <w:sz w:val="24"/>
          <w:szCs w:val="24"/>
          <w:lang w:val="en-US"/>
        </w:rPr>
        <w:t>six</w:t>
      </w:r>
      <w:r w:rsidR="00EA2103">
        <w:rPr>
          <w:noProof/>
          <w:sz w:val="24"/>
          <w:szCs w:val="24"/>
          <w:lang w:val="en-US"/>
        </w:rPr>
        <w:t>-</w:t>
      </w:r>
      <w:r w:rsidR="00BA5307" w:rsidRPr="00EA2103">
        <w:rPr>
          <w:noProof/>
          <w:sz w:val="24"/>
          <w:szCs w:val="24"/>
          <w:lang w:val="en-US"/>
        </w:rPr>
        <w:t>month</w:t>
      </w:r>
      <w:r w:rsidR="00BA5307" w:rsidRPr="008319F4">
        <w:rPr>
          <w:sz w:val="24"/>
          <w:szCs w:val="24"/>
          <w:lang w:val="en-US"/>
        </w:rPr>
        <w:t xml:space="preserve"> returns. Given the correlation within and between </w:t>
      </w:r>
      <w:r w:rsidRPr="008319F4">
        <w:rPr>
          <w:sz w:val="24"/>
          <w:szCs w:val="24"/>
          <w:lang w:val="en-US"/>
        </w:rPr>
        <w:t xml:space="preserve">the </w:t>
      </w:r>
      <w:r w:rsidR="00E65622" w:rsidRPr="008319F4">
        <w:rPr>
          <w:sz w:val="24"/>
          <w:szCs w:val="24"/>
          <w:lang w:val="en-US"/>
        </w:rPr>
        <w:t>limits-to-arbitrage</w:t>
      </w:r>
      <w:r w:rsidR="00BA5307" w:rsidRPr="008319F4">
        <w:rPr>
          <w:sz w:val="24"/>
          <w:szCs w:val="24"/>
          <w:lang w:val="en-US"/>
        </w:rPr>
        <w:t xml:space="preserve"> and investment friction proxies, </w:t>
      </w:r>
      <w:r w:rsidR="00752EF3" w:rsidRPr="008319F4">
        <w:rPr>
          <w:sz w:val="24"/>
          <w:szCs w:val="24"/>
          <w:lang w:val="en-US"/>
        </w:rPr>
        <w:t xml:space="preserve">following the procedure in section </w:t>
      </w:r>
      <w:r w:rsidR="00752EF3" w:rsidRPr="00EA2103">
        <w:rPr>
          <w:noProof/>
          <w:sz w:val="24"/>
          <w:szCs w:val="24"/>
          <w:lang w:val="en-US"/>
        </w:rPr>
        <w:t>4.2</w:t>
      </w:r>
      <w:r w:rsidR="00752EF3" w:rsidRPr="008319F4">
        <w:rPr>
          <w:sz w:val="24"/>
          <w:szCs w:val="24"/>
          <w:lang w:val="en-US"/>
        </w:rPr>
        <w:t xml:space="preserve"> </w:t>
      </w:r>
      <w:r w:rsidR="00BA5307" w:rsidRPr="008319F4">
        <w:rPr>
          <w:sz w:val="24"/>
          <w:szCs w:val="24"/>
          <w:lang w:val="en-US"/>
        </w:rPr>
        <w:t xml:space="preserve">we include </w:t>
      </w:r>
      <w:r w:rsidR="00BA5307" w:rsidRPr="00EA2103">
        <w:rPr>
          <w:noProof/>
          <w:sz w:val="24"/>
          <w:szCs w:val="24"/>
          <w:lang w:val="en-US"/>
        </w:rPr>
        <w:t>them in</w:t>
      </w:r>
      <w:r w:rsidR="00BA5307" w:rsidRPr="008319F4">
        <w:rPr>
          <w:sz w:val="24"/>
          <w:szCs w:val="24"/>
          <w:lang w:val="en-US"/>
        </w:rPr>
        <w:t xml:space="preserve"> </w:t>
      </w:r>
      <w:r w:rsidR="00D31AC2" w:rsidRPr="008319F4">
        <w:rPr>
          <w:sz w:val="24"/>
          <w:szCs w:val="24"/>
          <w:lang w:val="en-US"/>
        </w:rPr>
        <w:t>separate</w:t>
      </w:r>
      <w:r w:rsidR="003F5934" w:rsidRPr="008319F4">
        <w:rPr>
          <w:sz w:val="24"/>
          <w:szCs w:val="24"/>
          <w:lang w:val="en-US"/>
        </w:rPr>
        <w:t xml:space="preserve"> </w:t>
      </w:r>
      <w:r w:rsidR="00752EF3" w:rsidRPr="008319F4">
        <w:rPr>
          <w:sz w:val="24"/>
          <w:szCs w:val="24"/>
          <w:lang w:val="en-US"/>
        </w:rPr>
        <w:t>regression</w:t>
      </w:r>
      <w:r w:rsidR="003F5934" w:rsidRPr="008319F4">
        <w:rPr>
          <w:sz w:val="24"/>
          <w:szCs w:val="24"/>
          <w:lang w:val="en-US"/>
        </w:rPr>
        <w:t>s</w:t>
      </w:r>
      <w:r w:rsidR="00DB69C2" w:rsidRPr="008319F4">
        <w:rPr>
          <w:sz w:val="24"/>
          <w:szCs w:val="24"/>
          <w:lang w:val="en-US"/>
        </w:rPr>
        <w:t xml:space="preserve">. In each month, we run the following </w:t>
      </w:r>
      <w:r w:rsidR="00DB69C2" w:rsidRPr="00EA2103">
        <w:rPr>
          <w:noProof/>
          <w:sz w:val="24"/>
          <w:szCs w:val="24"/>
          <w:lang w:val="en-US"/>
        </w:rPr>
        <w:t>cross</w:t>
      </w:r>
      <w:r w:rsidR="00EA2103">
        <w:rPr>
          <w:noProof/>
          <w:sz w:val="24"/>
          <w:szCs w:val="24"/>
          <w:lang w:val="en-US"/>
        </w:rPr>
        <w:t>-</w:t>
      </w:r>
      <w:r w:rsidR="00DB69C2" w:rsidRPr="00EA2103">
        <w:rPr>
          <w:noProof/>
          <w:sz w:val="24"/>
          <w:szCs w:val="24"/>
          <w:lang w:val="en-US"/>
        </w:rPr>
        <w:t>sectional</w:t>
      </w:r>
      <w:r w:rsidR="00DB69C2" w:rsidRPr="008319F4">
        <w:rPr>
          <w:sz w:val="24"/>
          <w:szCs w:val="24"/>
          <w:lang w:val="en-US"/>
        </w:rPr>
        <w:t xml:space="preserve"> regression:</w:t>
      </w:r>
    </w:p>
    <w:p w14:paraId="417BCE59" w14:textId="75569E88" w:rsidR="00EF7679" w:rsidRPr="00050191" w:rsidRDefault="00A2686C" w:rsidP="00EF7679">
      <w:pPr>
        <w:spacing w:line="480" w:lineRule="auto"/>
        <w:jc w:val="both"/>
        <w:rPr>
          <w:i/>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Ret</m:t>
              </m:r>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α</m:t>
          </m:r>
          <m:r>
            <w:rPr>
              <w:rFonts w:ascii="Cambria Math"/>
              <w:sz w:val="24"/>
              <w:szCs w:val="24"/>
              <w:lang w:val="en-US"/>
            </w:rPr>
            <m:t>+</m:t>
          </m:r>
          <m:r>
            <w:rPr>
              <w:rFonts w:ascii="Cambria Math" w:hAnsi="Cambria Math"/>
              <w:sz w:val="24"/>
              <w:szCs w:val="24"/>
              <w:lang w:val="en-US"/>
            </w:rPr>
            <m:t>β</m:t>
          </m:r>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r>
            <w:rPr>
              <w:rFonts w:asci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sz w:val="24"/>
                  <w:szCs w:val="24"/>
                  <w:lang w:val="en-US"/>
                </w:rPr>
                <m:t>1</m:t>
              </m:r>
            </m:sub>
          </m:sSub>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Hig</m:t>
          </m:r>
          <m:r>
            <w:rPr>
              <w:rFonts w:hAnsi="Cambria Math"/>
              <w:sz w:val="24"/>
              <w:szCs w:val="24"/>
              <w:lang w:val="en-US"/>
            </w:rPr>
            <m:t>h</m:t>
          </m:r>
          <m:r>
            <w:rPr>
              <w:rFonts w:ascii="Cambria Math"/>
              <w:sz w:val="24"/>
              <w:szCs w:val="24"/>
              <w:lang w:val="en-US"/>
            </w:rPr>
            <m:t xml:space="preserve"> </m:t>
          </m:r>
          <m:r>
            <w:rPr>
              <w:rFonts w:ascii="Cambria Math" w:hAnsi="Cambria Math"/>
              <w:sz w:val="24"/>
              <w:szCs w:val="24"/>
              <w:lang w:val="en-US"/>
            </w:rPr>
            <m:t>sequence</m:t>
          </m:r>
          <m:r>
            <w:rPr>
              <w:rFonts w:asci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sz w:val="24"/>
                  <w:szCs w:val="24"/>
                  <w:lang w:val="en-US"/>
                </w:rPr>
                <m:t>2</m:t>
              </m:r>
            </m:sub>
          </m:sSub>
          <m:sSub>
            <m:sSubPr>
              <m:ctrlPr>
                <w:rPr>
                  <w:rFonts w:ascii="Cambria Math" w:hAnsi="Cambria Math"/>
                  <w:i/>
                  <w:sz w:val="24"/>
                  <w:szCs w:val="24"/>
                  <w:lang w:val="en-US"/>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ln</m:t>
                  </m:r>
                  <m:ctrlPr>
                    <w:rPr>
                      <w:rFonts w:ascii="Cambria Math" w:hAnsi="Cambria Math"/>
                      <w:sz w:val="24"/>
                      <w:szCs w:val="24"/>
                      <w:lang w:val="en-US"/>
                    </w:rPr>
                  </m:ctrlPr>
                </m:fName>
                <m:e>
                  <m:d>
                    <m:dPr>
                      <m:ctrlPr>
                        <w:rPr>
                          <w:rFonts w:ascii="Cambria Math" w:hAnsi="Cambria Math"/>
                          <w:i/>
                          <w:sz w:val="24"/>
                          <w:szCs w:val="24"/>
                          <w:lang w:val="en-US"/>
                        </w:rPr>
                      </m:ctrlPr>
                    </m:dPr>
                    <m:e>
                      <m:r>
                        <w:rPr>
                          <w:rFonts w:ascii="Cambria Math"/>
                          <w:sz w:val="24"/>
                          <w:szCs w:val="24"/>
                          <w:lang w:val="en-US"/>
                        </w:rPr>
                        <m:t>1+</m:t>
                      </m:r>
                      <m:r>
                        <w:rPr>
                          <w:rFonts w:ascii="Cambria Math" w:hAnsi="Cambria Math"/>
                          <w:sz w:val="24"/>
                          <w:szCs w:val="24"/>
                          <w:lang w:val="en-US"/>
                        </w:rPr>
                        <m:t>AG</m:t>
                      </m:r>
                    </m:e>
                  </m:d>
                </m:e>
              </m:func>
            </m:e>
            <m:sub>
              <m:r>
                <w:rPr>
                  <w:rFonts w:ascii="Cambria Math" w:hAnsi="Cambria Math"/>
                  <w:sz w:val="24"/>
                  <w:szCs w:val="24"/>
                  <w:lang w:val="en-US"/>
                </w:rPr>
                <m:t>i</m:t>
              </m:r>
            </m:sub>
          </m:sSub>
          <m:r>
            <w:rPr>
              <w:rFonts w:ascii="Cambria Math"/>
              <w:sz w:val="24"/>
              <w:szCs w:val="24"/>
              <w:lang w:val="en-US"/>
            </w:rPr>
            <m:t>×</m:t>
          </m:r>
          <m:r>
            <w:rPr>
              <w:rFonts w:ascii="Cambria Math" w:hAnsi="Cambria Math"/>
              <w:sz w:val="24"/>
              <w:szCs w:val="24"/>
              <w:lang w:val="en-US"/>
            </w:rPr>
            <m:t>Low</m:t>
          </m:r>
          <m:r>
            <w:rPr>
              <w:rFonts w:ascii="Cambria Math"/>
              <w:sz w:val="24"/>
              <w:szCs w:val="24"/>
              <w:lang w:val="en-US"/>
            </w:rPr>
            <m:t xml:space="preserve"> </m:t>
          </m:r>
          <m:r>
            <w:rPr>
              <w:rFonts w:ascii="Cambria Math" w:hAnsi="Cambria Math"/>
              <w:sz w:val="24"/>
              <w:szCs w:val="24"/>
              <w:lang w:val="en-US"/>
            </w:rPr>
            <m:t>sequence</m:t>
          </m:r>
          <m:r>
            <w:rPr>
              <w:rFonts w:asci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sz w:val="24"/>
                  <w:szCs w:val="24"/>
                  <w:lang w:val="en-US"/>
                </w:rPr>
                <m:t>1</m:t>
              </m:r>
            </m:sub>
          </m:sSub>
          <m:r>
            <w:rPr>
              <w:rFonts w:ascii="Cambria Math" w:hAnsi="Cambria Math"/>
              <w:sz w:val="24"/>
              <w:szCs w:val="24"/>
              <w:lang w:val="en-US"/>
            </w:rPr>
            <m:t>High</m:t>
          </m:r>
          <m:r>
            <w:rPr>
              <w:rFonts w:ascii="Cambria Math"/>
              <w:sz w:val="24"/>
              <w:szCs w:val="24"/>
              <w:lang w:val="en-US"/>
            </w:rPr>
            <m:t xml:space="preserve"> </m:t>
          </m:r>
          <m:r>
            <w:rPr>
              <w:rFonts w:ascii="Cambria Math" w:hAnsi="Cambria Math"/>
              <w:sz w:val="24"/>
              <w:szCs w:val="24"/>
              <w:lang w:val="en-US"/>
            </w:rPr>
            <m:t>sequence</m:t>
          </m:r>
          <m:r>
            <w:rPr>
              <w:rFonts w:asci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sz w:val="24"/>
                  <w:szCs w:val="24"/>
                  <w:lang w:val="en-US"/>
                </w:rPr>
                <m:t>2</m:t>
              </m:r>
            </m:sub>
          </m:sSub>
          <m:r>
            <w:rPr>
              <w:rFonts w:ascii="Cambria Math" w:hAnsi="Cambria Math"/>
              <w:sz w:val="24"/>
              <w:szCs w:val="24"/>
              <w:lang w:val="en-US"/>
            </w:rPr>
            <m:t>Low</m:t>
          </m:r>
          <m:r>
            <w:rPr>
              <w:rFonts w:ascii="Cambria Math"/>
              <w:sz w:val="24"/>
              <w:szCs w:val="24"/>
              <w:lang w:val="en-US"/>
            </w:rPr>
            <m:t xml:space="preserve"> </m:t>
          </m:r>
          <m:r>
            <w:rPr>
              <w:rFonts w:ascii="Cambria Math" w:hAnsi="Cambria Math"/>
              <w:sz w:val="24"/>
              <w:szCs w:val="24"/>
              <w:lang w:val="en-US"/>
            </w:rPr>
            <m:t>sequence</m:t>
          </m:r>
          <m:r>
            <w:rPr>
              <w:rFonts w:ascii="Cambria Math"/>
              <w:sz w:val="24"/>
              <w:szCs w:val="24"/>
              <w:lang w:val="en-US"/>
            </w:rPr>
            <m:t>+</m:t>
          </m:r>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r>
                    <w:rPr>
                      <w:rFonts w:ascii="Cambria Math" w:hAnsi="Cambria Math"/>
                      <w:sz w:val="24"/>
                      <w:szCs w:val="24"/>
                      <w:lang w:val="en-US"/>
                    </w:rPr>
                    <m:t>λln</m:t>
                  </m:r>
                  <m:r>
                    <w:rPr>
                      <w:rFonts w:hAnsi="Cambria Math"/>
                      <w:sz w:val="24"/>
                      <w:szCs w:val="24"/>
                      <w:lang w:val="en-US"/>
                    </w:rPr>
                    <m:t>⁡</m:t>
                  </m:r>
                  <m:r>
                    <w:rPr>
                      <w:rFonts w:ascii="Cambria Math"/>
                      <w:sz w:val="24"/>
                      <w:szCs w:val="24"/>
                      <w:lang w:val="en-US"/>
                    </w:rPr>
                    <m:t>(1+</m:t>
                  </m:r>
                  <m:r>
                    <w:rPr>
                      <w:rFonts w:ascii="Cambria Math" w:hAnsi="Cambria Math"/>
                      <w:sz w:val="24"/>
                      <w:szCs w:val="24"/>
                      <w:lang w:val="en-US"/>
                    </w:rPr>
                    <m:t>AG</m:t>
                  </m:r>
                  <m:r>
                    <w:rPr>
                      <w:rFonts w:ascii="Cambria Math"/>
                      <w:sz w:val="24"/>
                      <w:szCs w:val="24"/>
                      <w:lang w:val="en-US"/>
                    </w:rPr>
                    <m:t>)</m:t>
                  </m:r>
                </m:e>
                <m:sub>
                  <m:r>
                    <w:rPr>
                      <w:rFonts w:ascii="Cambria Math" w:hAnsi="Cambria Math"/>
                      <w:sz w:val="24"/>
                      <w:szCs w:val="24"/>
                      <w:lang w:val="en-US"/>
                    </w:rPr>
                    <m:t>i</m:t>
                  </m:r>
                </m:sub>
              </m:sSub>
            </m:fName>
            <m:e>
              <m:r>
                <w:rPr>
                  <w:rFonts w:ascii="Cambria Math"/>
                  <w:sz w:val="24"/>
                  <w:szCs w:val="24"/>
                  <w:lang w:val="en-US"/>
                </w:rPr>
                <m:t>×</m:t>
              </m:r>
            </m:e>
          </m:func>
          <m:r>
            <w:rPr>
              <w:rFonts w:ascii="Cambria Math"/>
              <w:sz w:val="24"/>
              <w:szCs w:val="24"/>
              <w:lang w:val="en-US"/>
            </w:rPr>
            <m:t>LIproxy+</m:t>
          </m:r>
          <m:r>
            <w:rPr>
              <w:rFonts w:ascii="Cambria Math" w:hAnsi="Cambria Math"/>
              <w:sz w:val="24"/>
              <w:szCs w:val="24"/>
              <w:lang w:val="en-US"/>
            </w:rPr>
            <m:t>κ</m:t>
          </m:r>
          <m:r>
            <w:rPr>
              <w:rFonts w:ascii="Cambria Math"/>
              <w:sz w:val="24"/>
              <w:szCs w:val="24"/>
              <w:lang w:val="en-US"/>
            </w:rPr>
            <m:t>LIproxy +</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sz w:val="24"/>
                  <w:szCs w:val="24"/>
                  <w:lang w:val="en-US"/>
                </w:rPr>
                <m:t>=1</m:t>
              </m:r>
            </m:sub>
            <m:sup>
              <m:r>
                <w:rPr>
                  <w:rFonts w:ascii="Cambria Math"/>
                  <w:sz w:val="24"/>
                  <w:szCs w:val="24"/>
                  <w:lang w:val="en-US"/>
                </w:rPr>
                <m:t>3</m:t>
              </m:r>
            </m:sup>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j</m:t>
                  </m:r>
                </m:sub>
              </m:sSub>
              <m:sSub>
                <m:sSubPr>
                  <m:ctrlPr>
                    <w:rPr>
                      <w:rFonts w:ascii="Cambria Math" w:hAnsi="Cambria Math"/>
                      <w:i/>
                      <w:sz w:val="24"/>
                      <w:szCs w:val="24"/>
                      <w:lang w:val="en-US"/>
                    </w:rPr>
                  </m:ctrlPr>
                </m:sSubPr>
                <m:e>
                  <m:r>
                    <w:rPr>
                      <w:rFonts w:ascii="Cambria Math" w:hAnsi="Cambria Math"/>
                      <w:sz w:val="24"/>
                      <w:szCs w:val="24"/>
                      <w:lang w:val="en-US"/>
                    </w:rPr>
                    <m:t>Control</m:t>
                  </m:r>
                </m:e>
                <m:sub>
                  <m:r>
                    <w:rPr>
                      <w:rFonts w:ascii="Cambria Math" w:hAnsi="Cambria Math"/>
                      <w:sz w:val="24"/>
                      <w:szCs w:val="24"/>
                      <w:lang w:val="en-US"/>
                    </w:rPr>
                    <m:t>ij</m:t>
                  </m:r>
                </m:sub>
              </m:sSub>
            </m:e>
          </m:nary>
          <m:r>
            <w:rPr>
              <w:rFonts w:ascii="Cambria Math"/>
              <w:sz w:val="24"/>
              <w:szCs w:val="24"/>
              <w:lang w:val="en-US"/>
            </w:rPr>
            <m:t>+</m:t>
          </m:r>
          <m:r>
            <w:rPr>
              <w:rFonts w:ascii="Cambria Math" w:hAnsi="Cambria Math"/>
              <w:sz w:val="24"/>
              <w:szCs w:val="24"/>
              <w:lang w:val="en-US"/>
            </w:rPr>
            <m:t>ε</m:t>
          </m:r>
        </m:oMath>
      </m:oMathPara>
    </w:p>
    <w:p w14:paraId="55BA79AA" w14:textId="1BCB8253" w:rsidR="00050191" w:rsidRPr="008319F4" w:rsidRDefault="00050191" w:rsidP="00050191">
      <w:pPr>
        <w:spacing w:line="480" w:lineRule="auto"/>
        <w:jc w:val="right"/>
        <w:rPr>
          <w:i/>
          <w:sz w:val="24"/>
          <w:szCs w:val="24"/>
          <w:lang w:val="en-US"/>
        </w:rPr>
      </w:pPr>
      <w:r>
        <w:rPr>
          <w:i/>
          <w:sz w:val="24"/>
          <w:szCs w:val="24"/>
          <w:lang w:val="en-US"/>
        </w:rPr>
        <w:t>Eq(3)</w:t>
      </w:r>
    </w:p>
    <w:p w14:paraId="24149952" w14:textId="2E9893C3" w:rsidR="00EF7679" w:rsidRPr="008319F4" w:rsidRDefault="00EF7679" w:rsidP="00EF7679">
      <w:pPr>
        <w:spacing w:line="480" w:lineRule="auto"/>
        <w:jc w:val="both"/>
        <w:rPr>
          <w:sz w:val="24"/>
          <w:szCs w:val="24"/>
          <w:lang w:val="en-US"/>
        </w:rPr>
      </w:pPr>
      <w:r w:rsidRPr="008319F4">
        <w:rPr>
          <w:sz w:val="24"/>
          <w:szCs w:val="24"/>
          <w:lang w:val="en-US"/>
        </w:rPr>
        <w:t xml:space="preserve">Where </w:t>
      </w:r>
      <m:oMath>
        <m:r>
          <w:rPr>
            <w:rFonts w:ascii="Cambria Math" w:hAnsi="Cambria Math"/>
            <w:sz w:val="24"/>
            <w:szCs w:val="24"/>
            <w:lang w:val="en-US"/>
          </w:rPr>
          <m:t>Ret</m:t>
        </m:r>
      </m:oMath>
      <w:r w:rsidRPr="008319F4">
        <w:rPr>
          <w:sz w:val="24"/>
          <w:szCs w:val="24"/>
          <w:lang w:val="en-US"/>
        </w:rPr>
        <w:t xml:space="preserve"> is </w:t>
      </w:r>
      <w:r w:rsidR="008811A2" w:rsidRPr="008319F4">
        <w:rPr>
          <w:sz w:val="24"/>
          <w:szCs w:val="24"/>
          <w:lang w:val="en-US"/>
        </w:rPr>
        <w:t xml:space="preserve">the </w:t>
      </w:r>
      <w:r w:rsidRPr="008319F4">
        <w:rPr>
          <w:sz w:val="24"/>
          <w:szCs w:val="24"/>
          <w:lang w:val="en-US"/>
        </w:rPr>
        <w:t>monthly return updating monthly; AG is asset growth which update</w:t>
      </w:r>
      <w:r w:rsidR="000702EA" w:rsidRPr="008319F4">
        <w:rPr>
          <w:sz w:val="24"/>
          <w:szCs w:val="24"/>
          <w:lang w:val="en-US"/>
        </w:rPr>
        <w:t>s o</w:t>
      </w:r>
      <w:r w:rsidRPr="008319F4">
        <w:rPr>
          <w:sz w:val="24"/>
          <w:szCs w:val="24"/>
          <w:lang w:val="en-US"/>
        </w:rPr>
        <w:t xml:space="preserve">n an annual basis; high and low sequences are the length of the sequence; and each time we use one proxy either from </w:t>
      </w:r>
      <w:r w:rsidR="00D72136" w:rsidRPr="008319F4">
        <w:rPr>
          <w:sz w:val="24"/>
          <w:szCs w:val="24"/>
          <w:lang w:val="en-US"/>
        </w:rPr>
        <w:t xml:space="preserve">the </w:t>
      </w:r>
      <w:r w:rsidR="00E65622" w:rsidRPr="008319F4">
        <w:rPr>
          <w:sz w:val="24"/>
          <w:szCs w:val="24"/>
          <w:lang w:val="en-US"/>
        </w:rPr>
        <w:t>limits-to-arbitrage</w:t>
      </w:r>
      <w:r w:rsidR="008811A2" w:rsidRPr="008319F4">
        <w:rPr>
          <w:sz w:val="24"/>
          <w:szCs w:val="24"/>
          <w:lang w:val="en-US"/>
        </w:rPr>
        <w:t xml:space="preserve"> or</w:t>
      </w:r>
      <w:r w:rsidR="0035089B" w:rsidRPr="008319F4">
        <w:rPr>
          <w:sz w:val="24"/>
          <w:szCs w:val="24"/>
          <w:lang w:val="en-US"/>
        </w:rPr>
        <w:t xml:space="preserve"> </w:t>
      </w:r>
      <w:r w:rsidR="00D72136" w:rsidRPr="008319F4">
        <w:rPr>
          <w:sz w:val="24"/>
          <w:szCs w:val="24"/>
          <w:lang w:val="en-US"/>
        </w:rPr>
        <w:t xml:space="preserve">the </w:t>
      </w:r>
      <w:r w:rsidRPr="008319F4">
        <w:rPr>
          <w:sz w:val="24"/>
          <w:szCs w:val="24"/>
          <w:lang w:val="en-US"/>
        </w:rPr>
        <w:t>investment frictions group</w:t>
      </w:r>
      <w:r w:rsidR="008811A2" w:rsidRPr="008319F4">
        <w:rPr>
          <w:sz w:val="24"/>
          <w:szCs w:val="24"/>
          <w:lang w:val="en-US"/>
        </w:rPr>
        <w:t>s</w:t>
      </w:r>
      <w:r w:rsidRPr="008319F4">
        <w:rPr>
          <w:sz w:val="24"/>
          <w:szCs w:val="24"/>
          <w:lang w:val="en-US"/>
        </w:rPr>
        <w:t xml:space="preserve">; control variables include </w:t>
      </w:r>
      <w:r w:rsidR="00D72136" w:rsidRPr="008319F4">
        <w:rPr>
          <w:sz w:val="24"/>
          <w:szCs w:val="24"/>
          <w:lang w:val="en-US"/>
        </w:rPr>
        <w:t>the natural</w:t>
      </w:r>
      <w:r w:rsidRPr="008319F4">
        <w:rPr>
          <w:sz w:val="24"/>
          <w:szCs w:val="24"/>
          <w:lang w:val="en-US"/>
        </w:rPr>
        <w:t xml:space="preserve"> logarithm of market value (lnMV), </w:t>
      </w:r>
      <w:r w:rsidR="00D72136" w:rsidRPr="008319F4">
        <w:rPr>
          <w:sz w:val="24"/>
          <w:szCs w:val="24"/>
          <w:lang w:val="en-US"/>
        </w:rPr>
        <w:t>the natural</w:t>
      </w:r>
      <w:r w:rsidRPr="008319F4">
        <w:rPr>
          <w:sz w:val="24"/>
          <w:szCs w:val="24"/>
          <w:lang w:val="en-US"/>
        </w:rPr>
        <w:t xml:space="preserve"> logarithm of </w:t>
      </w:r>
      <w:r w:rsidR="00D72136" w:rsidRPr="008319F4">
        <w:rPr>
          <w:sz w:val="24"/>
          <w:szCs w:val="24"/>
          <w:lang w:val="en-US"/>
        </w:rPr>
        <w:t xml:space="preserve">the </w:t>
      </w:r>
      <w:r w:rsidRPr="008319F4">
        <w:rPr>
          <w:sz w:val="24"/>
          <w:szCs w:val="24"/>
          <w:lang w:val="en-US"/>
        </w:rPr>
        <w:t>book-to-market ratio (lnBM) and prior six month returns (Pre6ret) whi</w:t>
      </w:r>
      <w:r w:rsidR="00D72136" w:rsidRPr="008319F4">
        <w:rPr>
          <w:sz w:val="24"/>
          <w:szCs w:val="24"/>
          <w:lang w:val="en-US"/>
        </w:rPr>
        <w:t>ch are widely used predictors of</w:t>
      </w:r>
      <w:r w:rsidRPr="008319F4">
        <w:rPr>
          <w:sz w:val="24"/>
          <w:szCs w:val="24"/>
          <w:lang w:val="en-US"/>
        </w:rPr>
        <w:t xml:space="preserve"> cross sectional returns. </w:t>
      </w:r>
    </w:p>
    <w:p w14:paraId="5E23EF76" w14:textId="41442745" w:rsidR="00681A6F" w:rsidRPr="008319F4" w:rsidRDefault="00C72B69" w:rsidP="00C72B69">
      <w:pPr>
        <w:spacing w:line="480" w:lineRule="auto"/>
        <w:ind w:firstLine="720"/>
        <w:jc w:val="both"/>
        <w:rPr>
          <w:sz w:val="24"/>
          <w:szCs w:val="24"/>
          <w:lang w:val="en-US"/>
        </w:rPr>
      </w:pPr>
      <w:r w:rsidRPr="008319F4">
        <w:rPr>
          <w:sz w:val="24"/>
          <w:szCs w:val="24"/>
          <w:lang w:val="en-US"/>
        </w:rPr>
        <w:t>Table 6</w:t>
      </w:r>
      <w:r w:rsidR="00681A6F" w:rsidRPr="008319F4">
        <w:rPr>
          <w:sz w:val="24"/>
          <w:szCs w:val="24"/>
          <w:lang w:val="en-US"/>
        </w:rPr>
        <w:t xml:space="preserve"> reports the </w:t>
      </w:r>
      <w:r w:rsidR="00EF7679" w:rsidRPr="008319F4">
        <w:rPr>
          <w:sz w:val="24"/>
          <w:szCs w:val="24"/>
          <w:lang w:val="en-US"/>
        </w:rPr>
        <w:t>slope of interaction between asset growth sequence</w:t>
      </w:r>
      <w:r w:rsidR="00D31AC2" w:rsidRPr="008319F4">
        <w:rPr>
          <w:sz w:val="24"/>
          <w:szCs w:val="24"/>
          <w:lang w:val="en-US"/>
        </w:rPr>
        <w:t>s</w:t>
      </w:r>
      <w:r w:rsidR="00EF7679" w:rsidRPr="008319F4">
        <w:rPr>
          <w:sz w:val="24"/>
          <w:szCs w:val="24"/>
          <w:lang w:val="en-US"/>
        </w:rPr>
        <w:t xml:space="preserve"> and</w:t>
      </w:r>
      <w:r w:rsidR="00D72136" w:rsidRPr="008319F4">
        <w:rPr>
          <w:sz w:val="24"/>
          <w:szCs w:val="24"/>
          <w:lang w:val="en-US"/>
        </w:rPr>
        <w:t xml:space="preserve"> asset growth. Model</w:t>
      </w:r>
      <w:r w:rsidR="00681A6F" w:rsidRPr="008319F4">
        <w:rPr>
          <w:sz w:val="24"/>
          <w:szCs w:val="24"/>
          <w:lang w:val="en-US"/>
        </w:rPr>
        <w:t xml:space="preserve"> 1 </w:t>
      </w:r>
      <w:r w:rsidR="00EF7679" w:rsidRPr="008319F4">
        <w:rPr>
          <w:sz w:val="24"/>
          <w:szCs w:val="24"/>
          <w:lang w:val="en-US"/>
        </w:rPr>
        <w:t xml:space="preserve">has no </w:t>
      </w:r>
      <w:r w:rsidR="00E65622" w:rsidRPr="008319F4">
        <w:rPr>
          <w:sz w:val="24"/>
          <w:szCs w:val="24"/>
          <w:lang w:val="en-US"/>
        </w:rPr>
        <w:t>limits-to-arbitrage</w:t>
      </w:r>
      <w:r w:rsidR="00EF7679" w:rsidRPr="008319F4">
        <w:rPr>
          <w:sz w:val="24"/>
          <w:szCs w:val="24"/>
          <w:lang w:val="en-US"/>
        </w:rPr>
        <w:t xml:space="preserve"> and investment friction proxies. From model</w:t>
      </w:r>
      <w:r w:rsidR="00361E3A" w:rsidRPr="008319F4">
        <w:rPr>
          <w:sz w:val="24"/>
          <w:szCs w:val="24"/>
          <w:lang w:val="en-US"/>
        </w:rPr>
        <w:t>s</w:t>
      </w:r>
      <w:r w:rsidR="00681A6F" w:rsidRPr="008319F4">
        <w:rPr>
          <w:sz w:val="24"/>
          <w:szCs w:val="24"/>
          <w:lang w:val="en-US"/>
        </w:rPr>
        <w:t xml:space="preserve"> 2 </w:t>
      </w:r>
      <w:r w:rsidR="00361E3A" w:rsidRPr="008319F4">
        <w:rPr>
          <w:sz w:val="24"/>
          <w:szCs w:val="24"/>
          <w:lang w:val="en-US"/>
        </w:rPr>
        <w:t>to</w:t>
      </w:r>
      <w:r w:rsidR="00EF7679" w:rsidRPr="008319F4">
        <w:rPr>
          <w:sz w:val="24"/>
          <w:szCs w:val="24"/>
          <w:lang w:val="en-US"/>
        </w:rPr>
        <w:t xml:space="preserve"> </w:t>
      </w:r>
      <w:r w:rsidR="00645A63" w:rsidRPr="008319F4">
        <w:rPr>
          <w:sz w:val="24"/>
          <w:szCs w:val="24"/>
          <w:lang w:val="en-US"/>
        </w:rPr>
        <w:t>6 we control for limit</w:t>
      </w:r>
      <w:r w:rsidR="00361E3A" w:rsidRPr="008319F4">
        <w:rPr>
          <w:sz w:val="24"/>
          <w:szCs w:val="24"/>
          <w:lang w:val="en-US"/>
        </w:rPr>
        <w:t>s</w:t>
      </w:r>
      <w:r w:rsidR="00645A63" w:rsidRPr="008319F4">
        <w:rPr>
          <w:sz w:val="24"/>
          <w:szCs w:val="24"/>
          <w:lang w:val="en-US"/>
        </w:rPr>
        <w:t>-to arbitrage pro</w:t>
      </w:r>
      <w:r w:rsidR="00361E3A" w:rsidRPr="008319F4">
        <w:rPr>
          <w:sz w:val="24"/>
          <w:szCs w:val="24"/>
          <w:lang w:val="en-US"/>
        </w:rPr>
        <w:t>xies a</w:t>
      </w:r>
      <w:r w:rsidR="00645A63" w:rsidRPr="008319F4">
        <w:rPr>
          <w:sz w:val="24"/>
          <w:szCs w:val="24"/>
          <w:lang w:val="en-US"/>
        </w:rPr>
        <w:t>nd we control for investment frictio</w:t>
      </w:r>
      <w:r w:rsidR="00361E3A" w:rsidRPr="008319F4">
        <w:rPr>
          <w:sz w:val="24"/>
          <w:szCs w:val="24"/>
          <w:lang w:val="en-US"/>
        </w:rPr>
        <w:t>n proxies</w:t>
      </w:r>
      <w:r w:rsidR="00645A63" w:rsidRPr="008319F4">
        <w:rPr>
          <w:sz w:val="24"/>
          <w:szCs w:val="24"/>
          <w:lang w:val="en-US"/>
        </w:rPr>
        <w:t xml:space="preserve"> from </w:t>
      </w:r>
      <w:r w:rsidR="00FB7F49">
        <w:rPr>
          <w:sz w:val="24"/>
          <w:szCs w:val="24"/>
          <w:lang w:val="en-US"/>
        </w:rPr>
        <w:t>M</w:t>
      </w:r>
      <w:r w:rsidR="00645A63" w:rsidRPr="008319F4">
        <w:rPr>
          <w:sz w:val="24"/>
          <w:szCs w:val="24"/>
          <w:lang w:val="en-US"/>
        </w:rPr>
        <w:t>odel</w:t>
      </w:r>
      <w:r w:rsidR="00361E3A" w:rsidRPr="008319F4">
        <w:rPr>
          <w:sz w:val="24"/>
          <w:szCs w:val="24"/>
          <w:lang w:val="en-US"/>
        </w:rPr>
        <w:t xml:space="preserve">s 7 to </w:t>
      </w:r>
      <w:r w:rsidR="00645A63" w:rsidRPr="008319F4">
        <w:rPr>
          <w:sz w:val="24"/>
          <w:szCs w:val="24"/>
          <w:lang w:val="en-US"/>
        </w:rPr>
        <w:t xml:space="preserve">8. </w:t>
      </w:r>
      <w:r w:rsidR="00747378" w:rsidRPr="008319F4">
        <w:rPr>
          <w:sz w:val="24"/>
          <w:szCs w:val="24"/>
          <w:lang w:val="en-US"/>
        </w:rPr>
        <w:t xml:space="preserve">The slope of </w:t>
      </w:r>
      <w:r w:rsidR="003A456F" w:rsidRPr="008319F4">
        <w:rPr>
          <w:sz w:val="24"/>
          <w:szCs w:val="24"/>
          <w:lang w:val="en-US"/>
        </w:rPr>
        <w:t xml:space="preserve">the </w:t>
      </w:r>
      <w:r w:rsidR="00747378" w:rsidRPr="008319F4">
        <w:rPr>
          <w:sz w:val="24"/>
          <w:szCs w:val="24"/>
          <w:lang w:val="en-US"/>
        </w:rPr>
        <w:t xml:space="preserve">interaction of </w:t>
      </w:r>
      <w:r w:rsidR="003A456F" w:rsidRPr="008319F4">
        <w:rPr>
          <w:sz w:val="24"/>
          <w:szCs w:val="24"/>
          <w:lang w:val="en-US"/>
        </w:rPr>
        <w:t xml:space="preserve">the </w:t>
      </w:r>
      <w:r w:rsidR="00747378" w:rsidRPr="008319F4">
        <w:rPr>
          <w:sz w:val="24"/>
          <w:szCs w:val="24"/>
          <w:lang w:val="en-US"/>
        </w:rPr>
        <w:t>high asset growth sequence and asset growth is significantly negative. Model</w:t>
      </w:r>
      <w:r w:rsidR="003A456F" w:rsidRPr="008319F4">
        <w:rPr>
          <w:sz w:val="24"/>
          <w:szCs w:val="24"/>
          <w:lang w:val="en-US"/>
        </w:rPr>
        <w:t xml:space="preserve">s 2 to </w:t>
      </w:r>
      <w:r w:rsidR="00747378" w:rsidRPr="008319F4">
        <w:rPr>
          <w:sz w:val="24"/>
          <w:szCs w:val="24"/>
          <w:lang w:val="en-US"/>
        </w:rPr>
        <w:t xml:space="preserve">8 show </w:t>
      </w:r>
      <w:r w:rsidR="003A456F" w:rsidRPr="008319F4">
        <w:rPr>
          <w:sz w:val="24"/>
          <w:szCs w:val="24"/>
          <w:lang w:val="en-US"/>
        </w:rPr>
        <w:t xml:space="preserve">a </w:t>
      </w:r>
      <w:r w:rsidR="00747378" w:rsidRPr="008319F4">
        <w:rPr>
          <w:sz w:val="24"/>
          <w:szCs w:val="24"/>
          <w:lang w:val="en-US"/>
        </w:rPr>
        <w:t>significantly negative slope of the in</w:t>
      </w:r>
      <w:r w:rsidR="003A456F" w:rsidRPr="008319F4">
        <w:rPr>
          <w:sz w:val="24"/>
          <w:szCs w:val="24"/>
          <w:lang w:val="en-US"/>
        </w:rPr>
        <w:t>teraction</w:t>
      </w:r>
      <w:r w:rsidR="00747378" w:rsidRPr="008319F4">
        <w:rPr>
          <w:sz w:val="24"/>
          <w:szCs w:val="24"/>
          <w:lang w:val="en-US"/>
        </w:rPr>
        <w:t xml:space="preserve"> term for </w:t>
      </w:r>
      <w:r w:rsidR="003A456F" w:rsidRPr="008319F4">
        <w:rPr>
          <w:sz w:val="24"/>
          <w:szCs w:val="24"/>
          <w:lang w:val="en-US"/>
        </w:rPr>
        <w:t xml:space="preserve">the </w:t>
      </w:r>
      <w:r w:rsidR="00747378" w:rsidRPr="008319F4">
        <w:rPr>
          <w:sz w:val="24"/>
          <w:szCs w:val="24"/>
          <w:lang w:val="en-US"/>
        </w:rPr>
        <w:t xml:space="preserve">high asset growth sequence except </w:t>
      </w:r>
      <w:r w:rsidR="003A456F" w:rsidRPr="008319F4">
        <w:rPr>
          <w:sz w:val="24"/>
          <w:szCs w:val="24"/>
          <w:lang w:val="en-US"/>
        </w:rPr>
        <w:t xml:space="preserve">when </w:t>
      </w:r>
      <w:r w:rsidR="00747378" w:rsidRPr="008319F4">
        <w:rPr>
          <w:sz w:val="24"/>
          <w:szCs w:val="24"/>
          <w:lang w:val="en-US"/>
        </w:rPr>
        <w:t xml:space="preserve">controlling for </w:t>
      </w:r>
      <w:r w:rsidR="00696E5F">
        <w:rPr>
          <w:sz w:val="24"/>
          <w:szCs w:val="24"/>
          <w:lang w:val="en-US"/>
        </w:rPr>
        <w:t xml:space="preserve">idiosyncratic volatility, </w:t>
      </w:r>
      <w:r w:rsidR="00747378" w:rsidRPr="008319F4">
        <w:rPr>
          <w:sz w:val="24"/>
          <w:szCs w:val="24"/>
          <w:lang w:val="en-US"/>
        </w:rPr>
        <w:t xml:space="preserve">analyst </w:t>
      </w:r>
      <w:r w:rsidR="00696E5F">
        <w:rPr>
          <w:sz w:val="24"/>
          <w:szCs w:val="24"/>
          <w:lang w:val="en-US"/>
        </w:rPr>
        <w:t xml:space="preserve">forecast </w:t>
      </w:r>
      <w:r w:rsidR="00696E5F" w:rsidRPr="00CD6FED">
        <w:rPr>
          <w:noProof/>
          <w:sz w:val="24"/>
          <w:szCs w:val="24"/>
          <w:lang w:val="en-US"/>
        </w:rPr>
        <w:t>dispersion</w:t>
      </w:r>
      <w:r w:rsidR="00696E5F">
        <w:rPr>
          <w:sz w:val="24"/>
          <w:szCs w:val="24"/>
          <w:lang w:val="en-US"/>
        </w:rPr>
        <w:t xml:space="preserve"> and firm age</w:t>
      </w:r>
      <w:r w:rsidR="00747378" w:rsidRPr="008319F4">
        <w:rPr>
          <w:sz w:val="24"/>
          <w:szCs w:val="24"/>
          <w:lang w:val="en-US"/>
        </w:rPr>
        <w:t xml:space="preserve">. </w:t>
      </w:r>
      <w:r w:rsidR="009D7367" w:rsidRPr="008319F4">
        <w:rPr>
          <w:sz w:val="24"/>
          <w:szCs w:val="24"/>
          <w:lang w:val="en-US"/>
        </w:rPr>
        <w:t>To summarize, the results</w:t>
      </w:r>
      <w:r w:rsidR="00681A6F" w:rsidRPr="008319F4">
        <w:rPr>
          <w:sz w:val="24"/>
          <w:szCs w:val="24"/>
          <w:lang w:val="en-US"/>
        </w:rPr>
        <w:t xml:space="preserve"> support the prediction that there is a stronger asset growth anomaly when th</w:t>
      </w:r>
      <w:r w:rsidR="009D7367" w:rsidRPr="008319F4">
        <w:rPr>
          <w:sz w:val="24"/>
          <w:szCs w:val="24"/>
          <w:lang w:val="en-US"/>
        </w:rPr>
        <w:t xml:space="preserve">e asset </w:t>
      </w:r>
      <w:r w:rsidR="009D7367" w:rsidRPr="008319F4">
        <w:rPr>
          <w:i/>
          <w:sz w:val="24"/>
          <w:szCs w:val="24"/>
          <w:lang w:val="en-US"/>
        </w:rPr>
        <w:t>growth</w:t>
      </w:r>
      <w:r w:rsidR="009D7367" w:rsidRPr="008319F4">
        <w:rPr>
          <w:sz w:val="24"/>
          <w:szCs w:val="24"/>
          <w:lang w:val="en-US"/>
        </w:rPr>
        <w:t xml:space="preserve"> </w:t>
      </w:r>
      <w:r w:rsidR="00EF4787">
        <w:rPr>
          <w:sz w:val="24"/>
          <w:szCs w:val="24"/>
          <w:lang w:val="en-US"/>
        </w:rPr>
        <w:t>sequence</w:t>
      </w:r>
      <w:r w:rsidR="009D7367" w:rsidRPr="008319F4">
        <w:rPr>
          <w:sz w:val="24"/>
          <w:szCs w:val="24"/>
          <w:lang w:val="en-US"/>
        </w:rPr>
        <w:t xml:space="preserve"> is longer and, therefore, they give support to </w:t>
      </w:r>
      <w:r w:rsidR="00681A6F" w:rsidRPr="008319F4">
        <w:rPr>
          <w:sz w:val="24"/>
          <w:szCs w:val="24"/>
          <w:lang w:val="en-US"/>
        </w:rPr>
        <w:t>the argu</w:t>
      </w:r>
      <w:r w:rsidR="003A456F" w:rsidRPr="008319F4">
        <w:rPr>
          <w:sz w:val="24"/>
          <w:szCs w:val="24"/>
          <w:lang w:val="en-US"/>
        </w:rPr>
        <w:t>ment that</w:t>
      </w:r>
      <w:r w:rsidR="00681A6F" w:rsidRPr="008319F4">
        <w:rPr>
          <w:sz w:val="24"/>
          <w:szCs w:val="24"/>
          <w:lang w:val="en-US"/>
        </w:rPr>
        <w:t xml:space="preserve"> overreaction is the mechanism </w:t>
      </w:r>
      <w:r w:rsidR="003A456F" w:rsidRPr="008319F4">
        <w:rPr>
          <w:sz w:val="24"/>
          <w:szCs w:val="24"/>
          <w:lang w:val="en-US"/>
        </w:rPr>
        <w:t xml:space="preserve">that </w:t>
      </w:r>
      <w:r w:rsidR="00681A6F" w:rsidRPr="008319F4">
        <w:rPr>
          <w:sz w:val="24"/>
          <w:szCs w:val="24"/>
          <w:lang w:val="en-US"/>
        </w:rPr>
        <w:t>drives the asset growth anomaly and represent</w:t>
      </w:r>
      <w:r w:rsidR="00504BA9" w:rsidRPr="008319F4">
        <w:rPr>
          <w:sz w:val="24"/>
          <w:szCs w:val="24"/>
          <w:lang w:val="en-US"/>
        </w:rPr>
        <w:t>ativeness is the heuristic that</w:t>
      </w:r>
      <w:r w:rsidR="00681A6F" w:rsidRPr="008319F4">
        <w:rPr>
          <w:sz w:val="24"/>
          <w:szCs w:val="24"/>
          <w:lang w:val="en-US"/>
        </w:rPr>
        <w:t xml:space="preserve"> strengthens the relationship.</w:t>
      </w:r>
    </w:p>
    <w:p w14:paraId="23A66AC5" w14:textId="298E689F" w:rsidR="00681A6F" w:rsidRPr="008319F4" w:rsidRDefault="00C72B69" w:rsidP="00214CCE">
      <w:pPr>
        <w:spacing w:line="480" w:lineRule="auto"/>
        <w:jc w:val="center"/>
        <w:rPr>
          <w:sz w:val="24"/>
          <w:szCs w:val="24"/>
          <w:lang w:val="en-US"/>
        </w:rPr>
      </w:pPr>
      <w:r w:rsidRPr="008319F4">
        <w:rPr>
          <w:sz w:val="24"/>
          <w:szCs w:val="24"/>
          <w:lang w:val="en-US"/>
        </w:rPr>
        <w:t>[Insert Table 6</w:t>
      </w:r>
      <w:r w:rsidR="00681A6F" w:rsidRPr="008319F4">
        <w:rPr>
          <w:sz w:val="24"/>
          <w:szCs w:val="24"/>
          <w:lang w:val="en-US"/>
        </w:rPr>
        <w:t xml:space="preserve"> about here]</w:t>
      </w:r>
    </w:p>
    <w:p w14:paraId="367064CF" w14:textId="212EBDDD" w:rsidR="006058E8" w:rsidRDefault="006058E8" w:rsidP="006058E8">
      <w:pPr>
        <w:pStyle w:val="PaperTitle1"/>
      </w:pPr>
      <w:r w:rsidRPr="008319F4">
        <w:lastRenderedPageBreak/>
        <w:t xml:space="preserve">6. </w:t>
      </w:r>
      <w:r>
        <w:t xml:space="preserve">Robustness test and </w:t>
      </w:r>
      <w:r w:rsidR="000668F6">
        <w:t>f</w:t>
      </w:r>
      <w:r>
        <w:t xml:space="preserve">urther </w:t>
      </w:r>
      <w:r w:rsidR="000668F6">
        <w:t>e</w:t>
      </w:r>
      <w:r>
        <w:t>vidence</w:t>
      </w:r>
    </w:p>
    <w:p w14:paraId="10D819A4" w14:textId="72CC9B37" w:rsidR="006058E8" w:rsidRDefault="006058E8" w:rsidP="006058E8">
      <w:pPr>
        <w:pStyle w:val="PaperTitle2"/>
      </w:pPr>
      <w:r>
        <w:t>6.1</w:t>
      </w:r>
      <w:r w:rsidR="001762DB">
        <w:t>.</w:t>
      </w:r>
      <w:r>
        <w:t xml:space="preserve"> Effect of past growth</w:t>
      </w:r>
    </w:p>
    <w:p w14:paraId="4D5C6425" w14:textId="35A2E1F2" w:rsidR="006058E8" w:rsidRDefault="006058E8" w:rsidP="006058E8">
      <w:pPr>
        <w:pStyle w:val="PaperContent"/>
      </w:pPr>
      <w:r>
        <w:t>Our analyses in</w:t>
      </w:r>
      <w:r w:rsidR="00CD6FED">
        <w:t xml:space="preserve"> the</w:t>
      </w:r>
      <w:r>
        <w:t xml:space="preserve"> </w:t>
      </w:r>
      <w:r w:rsidRPr="00CD6FED">
        <w:rPr>
          <w:noProof/>
        </w:rPr>
        <w:t>previous</w:t>
      </w:r>
      <w:r>
        <w:t xml:space="preserve"> section </w:t>
      </w:r>
      <w:r w:rsidRPr="00CD6FED">
        <w:rPr>
          <w:noProof/>
        </w:rPr>
        <w:t>show</w:t>
      </w:r>
      <w:r>
        <w:t xml:space="preserve"> that the asset growth effect is stronger when there is</w:t>
      </w:r>
      <w:r w:rsidR="00CD6FED">
        <w:t xml:space="preserve"> a</w:t>
      </w:r>
      <w:r>
        <w:t xml:space="preserve"> </w:t>
      </w:r>
      <w:r w:rsidRPr="00CD6FED">
        <w:rPr>
          <w:noProof/>
        </w:rPr>
        <w:t>longer</w:t>
      </w:r>
      <w:r>
        <w:t xml:space="preserve"> sequence of growth pattern.  Cooper et al (2008) </w:t>
      </w:r>
      <w:r w:rsidRPr="00CD6FED">
        <w:rPr>
          <w:noProof/>
        </w:rPr>
        <w:t>show</w:t>
      </w:r>
      <w:r>
        <w:t xml:space="preserve"> that asset growth can affect future return beyond the first year.  Our analyses of the asset growth effect at the end of a growth sequence in</w:t>
      </w:r>
      <w:r w:rsidR="00DC51AD">
        <w:t xml:space="preserve"> the</w:t>
      </w:r>
      <w:r>
        <w:t xml:space="preserve"> </w:t>
      </w:r>
      <w:r w:rsidRPr="00DC51AD">
        <w:rPr>
          <w:noProof/>
        </w:rPr>
        <w:t>previous</w:t>
      </w:r>
      <w:r>
        <w:t xml:space="preserve"> section could potentially </w:t>
      </w:r>
      <w:r w:rsidRPr="00DC51AD">
        <w:rPr>
          <w:noProof/>
        </w:rPr>
        <w:t>captur</w:t>
      </w:r>
      <w:r w:rsidR="00DC51AD">
        <w:rPr>
          <w:noProof/>
        </w:rPr>
        <w:t>e</w:t>
      </w:r>
      <w:r>
        <w:t xml:space="preserve"> the spillover effect of previous growths. To resolve this concern, we rerun our analysis including previous three periods of asset growth as</w:t>
      </w:r>
      <w:r w:rsidR="00DC51AD">
        <w:t xml:space="preserve"> a</w:t>
      </w:r>
      <w:r>
        <w:t xml:space="preserve"> </w:t>
      </w:r>
      <w:r w:rsidRPr="00DC51AD">
        <w:rPr>
          <w:noProof/>
        </w:rPr>
        <w:t>control</w:t>
      </w:r>
      <w:r>
        <w:t xml:space="preserve"> for each asset growth sequence regressions.  The results are reported in Table 7.   It shows that the asset growth slop coefficients are in general increases as the sequence increase which is consistent with the findings in Table 5 Panel B.  Particularly, after controlling for the effect of past growth, it shows that investors’ overreaction increased with the sequence only after they observed more than two subsequent growths (Sequence=3).  Overall, we findings are robust to the control of past growth. </w:t>
      </w:r>
    </w:p>
    <w:p w14:paraId="6C7AC8CA" w14:textId="317181AA" w:rsidR="006058E8" w:rsidRPr="008319F4" w:rsidRDefault="006058E8" w:rsidP="006058E8">
      <w:pPr>
        <w:spacing w:line="480" w:lineRule="auto"/>
        <w:jc w:val="center"/>
        <w:rPr>
          <w:sz w:val="24"/>
          <w:szCs w:val="24"/>
          <w:lang w:val="en-US"/>
        </w:rPr>
      </w:pPr>
      <w:r>
        <w:t xml:space="preserve"> </w:t>
      </w:r>
      <w:r w:rsidRPr="008319F4">
        <w:rPr>
          <w:sz w:val="24"/>
          <w:szCs w:val="24"/>
          <w:lang w:val="en-US"/>
        </w:rPr>
        <w:t>[Insert Table</w:t>
      </w:r>
      <w:r w:rsidR="003143AC">
        <w:rPr>
          <w:sz w:val="24"/>
          <w:szCs w:val="24"/>
          <w:lang w:val="en-US"/>
        </w:rPr>
        <w:t xml:space="preserve"> 7</w:t>
      </w:r>
      <w:r w:rsidRPr="008319F4">
        <w:rPr>
          <w:sz w:val="24"/>
          <w:szCs w:val="24"/>
          <w:lang w:val="en-US"/>
        </w:rPr>
        <w:t xml:space="preserve"> about here]</w:t>
      </w:r>
    </w:p>
    <w:p w14:paraId="59A192E7" w14:textId="18F1BE98" w:rsidR="00757C40" w:rsidRDefault="001762DB" w:rsidP="001762DB">
      <w:pPr>
        <w:pStyle w:val="PaperTitle2"/>
      </w:pPr>
      <w:r>
        <w:t>6.2. Further evidence on overreactions</w:t>
      </w:r>
    </w:p>
    <w:p w14:paraId="0D299CF2" w14:textId="4B76D4B0" w:rsidR="003143AC" w:rsidRDefault="003143AC" w:rsidP="003143AC">
      <w:pPr>
        <w:pStyle w:val="PaperContent"/>
      </w:pPr>
      <w:r>
        <w:t xml:space="preserve">So far, our test for the overreaction explanation follows traditional set up by studying the return reversal pattern after growth. If investors’ overreaction to growth as an explanation to the anomaly, it will expect that there is evidence of price overreaction to growth information during the formation period.  </w:t>
      </w:r>
      <w:r w:rsidR="00B12CFF">
        <w:t xml:space="preserve">We study this possibility by running regression analyses of contemporary return explained by asset growth and further </w:t>
      </w:r>
      <w:r w:rsidR="00B12CFF">
        <w:lastRenderedPageBreak/>
        <w:t>interactive with growth types and growth sequence.</w:t>
      </w:r>
      <w:r w:rsidR="00830F0C">
        <w:rPr>
          <w:rStyle w:val="FootnoteReference"/>
        </w:rPr>
        <w:footnoteReference w:id="12"/>
      </w:r>
      <w:r w:rsidR="00B12CFF">
        <w:t xml:space="preserve">  Table 8 reports the regression results.  The regression setup is similar to those we have been used to study asset growth effect in Tables 3 and 7 for the growth type and sequence respectively.  The only difference is the dependent variable in Table 8 </w:t>
      </w:r>
      <w:r w:rsidR="001934E1">
        <w:t>is</w:t>
      </w:r>
      <w:r w:rsidR="00B12CFF">
        <w:t xml:space="preserve"> return during the formation period instead of the subsequent returns.  </w:t>
      </w:r>
    </w:p>
    <w:p w14:paraId="5B0FBAD4" w14:textId="6951B36A" w:rsidR="003D1DC5" w:rsidRPr="008319F4" w:rsidRDefault="003D1DC5" w:rsidP="003D1DC5">
      <w:pPr>
        <w:spacing w:line="480" w:lineRule="auto"/>
        <w:jc w:val="center"/>
        <w:rPr>
          <w:sz w:val="24"/>
          <w:szCs w:val="24"/>
          <w:lang w:val="en-US"/>
        </w:rPr>
      </w:pPr>
      <w:r w:rsidRPr="008319F4">
        <w:rPr>
          <w:sz w:val="24"/>
          <w:szCs w:val="24"/>
          <w:lang w:val="en-US"/>
        </w:rPr>
        <w:t>[Insert Table</w:t>
      </w:r>
      <w:r>
        <w:rPr>
          <w:sz w:val="24"/>
          <w:szCs w:val="24"/>
          <w:lang w:val="en-US"/>
        </w:rPr>
        <w:t xml:space="preserve"> 8 </w:t>
      </w:r>
      <w:r w:rsidRPr="008319F4">
        <w:rPr>
          <w:sz w:val="24"/>
          <w:szCs w:val="24"/>
          <w:lang w:val="en-US"/>
        </w:rPr>
        <w:t>about here]</w:t>
      </w:r>
    </w:p>
    <w:p w14:paraId="2044BD8A" w14:textId="5D4727DC" w:rsidR="009A4537" w:rsidRDefault="00C11477" w:rsidP="009A4537">
      <w:pPr>
        <w:pStyle w:val="PaperContent"/>
        <w:ind w:firstLine="720"/>
      </w:pPr>
      <w:r>
        <w:t xml:space="preserve">Panel A in Table 8 shows that the asset growth slop coefficients are significant and positive which is opposite to the sign in the regressions using future returns in Table 3.   This confirms that the subsequent reversal effect is indeed driven the price movement conditional on asset growth during the formation period.  Furthermore, supporting our hypothesis, growth type demonstrate additional explanatory power in investors’ overreaction to growth.  </w:t>
      </w:r>
      <w:r w:rsidR="004152B8">
        <w:t>The interactive terms of asset growth and t</w:t>
      </w:r>
      <w:r>
        <w:t>wo out of the three proxies (DIV and CF</w:t>
      </w:r>
      <w:r w:rsidR="004152B8">
        <w:t xml:space="preserve">) are significant and positive suggesting investor react more to per unit of growth in growth firm. </w:t>
      </w:r>
      <w:r w:rsidR="00830F0C">
        <w:t xml:space="preserve">Panel B provides consistent evidence for the growth sequence, it shows that market </w:t>
      </w:r>
      <w:r w:rsidR="00830F0C" w:rsidRPr="00DC51AD">
        <w:rPr>
          <w:noProof/>
        </w:rPr>
        <w:t>react</w:t>
      </w:r>
      <w:r w:rsidR="00DC51AD">
        <w:rPr>
          <w:noProof/>
        </w:rPr>
        <w:t>s</w:t>
      </w:r>
      <w:r w:rsidR="00830F0C">
        <w:t xml:space="preserve"> to more to per unit of asset growth as the growth sequence increases.  </w:t>
      </w:r>
    </w:p>
    <w:p w14:paraId="498E039A" w14:textId="65AB5783" w:rsidR="003D71DC" w:rsidRPr="003D71DC" w:rsidRDefault="00830F0C" w:rsidP="000668F6">
      <w:pPr>
        <w:pStyle w:val="PaperContent"/>
        <w:ind w:firstLine="720"/>
      </w:pPr>
      <w:r>
        <w:t>Overall, the finding</w:t>
      </w:r>
      <w:r w:rsidR="00802730">
        <w:t>s</w:t>
      </w:r>
      <w:r>
        <w:t xml:space="preserve"> in Table </w:t>
      </w:r>
      <w:r w:rsidR="009A4537">
        <w:t xml:space="preserve">8 provide additional confirmation that </w:t>
      </w:r>
      <w:r w:rsidR="00802730">
        <w:t xml:space="preserve">asset growth effect is indeed driven by investors overreaction to growth information during the formation period.  </w:t>
      </w:r>
      <w:r w:rsidR="00802730" w:rsidRPr="001434D3">
        <w:rPr>
          <w:noProof/>
        </w:rPr>
        <w:t>Although</w:t>
      </w:r>
      <w:r w:rsidR="00802730">
        <w:t xml:space="preserve"> the lifecycle proxies may potentially correlate with the proxies of investment frictions (used for testing q-theory explanation), the evidence of price movement during the formation period confirms that the moderation effect of growth types are indeed capturing the variation in investors’ overr</w:t>
      </w:r>
      <w:r w:rsidR="003D1DC5">
        <w:t>e</w:t>
      </w:r>
      <w:r w:rsidR="00802730">
        <w:t xml:space="preserve">actions to growth.  </w:t>
      </w:r>
      <w:r w:rsidR="00802730">
        <w:lastRenderedPageBreak/>
        <w:t xml:space="preserve">This provides further evidence to differentiate our explanation from the q-theory explanations. </w:t>
      </w:r>
    </w:p>
    <w:p w14:paraId="2F7B5303" w14:textId="1C331167" w:rsidR="00681A6F" w:rsidRPr="008319F4" w:rsidRDefault="00696E5F" w:rsidP="00214CCE">
      <w:pPr>
        <w:pStyle w:val="PaperTitle1"/>
      </w:pPr>
      <w:r>
        <w:t>7</w:t>
      </w:r>
      <w:r w:rsidR="00681A6F" w:rsidRPr="008319F4">
        <w:t>. Conclusions</w:t>
      </w:r>
    </w:p>
    <w:p w14:paraId="292C66E5" w14:textId="45A1052D" w:rsidR="00681A6F" w:rsidRPr="008319F4" w:rsidRDefault="00196836" w:rsidP="00214CCE">
      <w:pPr>
        <w:spacing w:line="480" w:lineRule="auto"/>
        <w:jc w:val="both"/>
        <w:rPr>
          <w:sz w:val="24"/>
          <w:szCs w:val="24"/>
          <w:lang w:val="en-US"/>
        </w:rPr>
      </w:pPr>
      <w:r w:rsidRPr="008319F4">
        <w:rPr>
          <w:sz w:val="24"/>
          <w:szCs w:val="24"/>
          <w:lang w:val="en-US"/>
        </w:rPr>
        <w:t>This paper extends the search for an explanation of</w:t>
      </w:r>
      <w:r w:rsidR="003544A0" w:rsidRPr="008319F4">
        <w:rPr>
          <w:sz w:val="24"/>
          <w:szCs w:val="24"/>
          <w:lang w:val="en-US"/>
        </w:rPr>
        <w:t xml:space="preserve"> the asset growth anomaly. </w:t>
      </w:r>
      <w:r w:rsidR="00C136F2" w:rsidRPr="008319F4">
        <w:rPr>
          <w:sz w:val="24"/>
          <w:szCs w:val="24"/>
          <w:lang w:val="en-US"/>
        </w:rPr>
        <w:t xml:space="preserve"> </w:t>
      </w:r>
      <w:r w:rsidR="00681A6F" w:rsidRPr="008319F4">
        <w:rPr>
          <w:sz w:val="24"/>
          <w:szCs w:val="24"/>
          <w:lang w:val="en-US"/>
        </w:rPr>
        <w:t xml:space="preserve">Previous studies document evidence that firms with high limits-to-arbitrage and high investment frictions have a stronger asset growth anomaly. In this paper, we show that growth firms have a stronger asset growth anomaly than mature firms and the result is robust to both sorting and regression methodologies. Furthermore, we show that the firm growth </w:t>
      </w:r>
      <w:r w:rsidR="009C5D63" w:rsidRPr="008319F4">
        <w:rPr>
          <w:sz w:val="24"/>
          <w:szCs w:val="24"/>
          <w:lang w:val="en-US"/>
        </w:rPr>
        <w:t>phase</w:t>
      </w:r>
      <w:r w:rsidR="00681A6F" w:rsidRPr="008319F4">
        <w:rPr>
          <w:sz w:val="24"/>
          <w:szCs w:val="24"/>
          <w:lang w:val="en-US"/>
        </w:rPr>
        <w:t xml:space="preserve"> provides additional information over and above limits-to-arbitrage and investment frictions in terms of explaining the asset growth anomaly. </w:t>
      </w:r>
    </w:p>
    <w:p w14:paraId="277419A3" w14:textId="204E20FC" w:rsidR="00681A6F" w:rsidRPr="008319F4" w:rsidRDefault="00681A6F" w:rsidP="00913E65">
      <w:pPr>
        <w:spacing w:line="480" w:lineRule="auto"/>
        <w:ind w:firstLine="720"/>
        <w:jc w:val="both"/>
        <w:rPr>
          <w:sz w:val="24"/>
          <w:szCs w:val="24"/>
          <w:lang w:val="en-US"/>
        </w:rPr>
      </w:pPr>
      <w:r w:rsidRPr="008319F4">
        <w:rPr>
          <w:sz w:val="24"/>
          <w:szCs w:val="24"/>
          <w:lang w:val="en-US"/>
        </w:rPr>
        <w:t xml:space="preserve">We then show that the way investors react to firm asset growth is consistent with overreaction underpinned by representativeness. When investors see a series of asset growth surprises, they tend to overreact to firm asset growth and investors overreact more when the strength of the </w:t>
      </w:r>
      <w:r w:rsidR="00EF4787">
        <w:rPr>
          <w:sz w:val="24"/>
          <w:szCs w:val="24"/>
          <w:lang w:val="en-US"/>
        </w:rPr>
        <w:t>sequence</w:t>
      </w:r>
      <w:r w:rsidR="003075C8" w:rsidRPr="008319F4">
        <w:rPr>
          <w:sz w:val="24"/>
          <w:szCs w:val="24"/>
          <w:lang w:val="en-US"/>
        </w:rPr>
        <w:t xml:space="preserve"> increases. Hence, the evidence presented here supports</w:t>
      </w:r>
      <w:r w:rsidRPr="008319F4">
        <w:rPr>
          <w:sz w:val="24"/>
          <w:szCs w:val="24"/>
          <w:lang w:val="en-US"/>
        </w:rPr>
        <w:t xml:space="preserve"> overr</w:t>
      </w:r>
      <w:r w:rsidR="003075C8" w:rsidRPr="008319F4">
        <w:rPr>
          <w:sz w:val="24"/>
          <w:szCs w:val="24"/>
          <w:lang w:val="en-US"/>
        </w:rPr>
        <w:t>eaction as</w:t>
      </w:r>
      <w:r w:rsidRPr="008319F4">
        <w:rPr>
          <w:sz w:val="24"/>
          <w:szCs w:val="24"/>
          <w:lang w:val="en-US"/>
        </w:rPr>
        <w:t xml:space="preserve"> the potential source of </w:t>
      </w:r>
      <w:r w:rsidR="003075C8" w:rsidRPr="008319F4">
        <w:rPr>
          <w:sz w:val="24"/>
          <w:szCs w:val="24"/>
          <w:lang w:val="en-US"/>
        </w:rPr>
        <w:t xml:space="preserve">the </w:t>
      </w:r>
      <w:r w:rsidRPr="008319F4">
        <w:rPr>
          <w:sz w:val="24"/>
          <w:szCs w:val="24"/>
          <w:lang w:val="en-US"/>
        </w:rPr>
        <w:t>a</w:t>
      </w:r>
      <w:r w:rsidR="003075C8" w:rsidRPr="008319F4">
        <w:rPr>
          <w:sz w:val="24"/>
          <w:szCs w:val="24"/>
          <w:lang w:val="en-US"/>
        </w:rPr>
        <w:t xml:space="preserve">sset growth anomaly and this being </w:t>
      </w:r>
      <w:r w:rsidRPr="008319F4">
        <w:rPr>
          <w:sz w:val="24"/>
          <w:szCs w:val="24"/>
          <w:lang w:val="en-US"/>
        </w:rPr>
        <w:t>underpinned by the representativeness heuristic.</w:t>
      </w:r>
    </w:p>
    <w:p w14:paraId="02B49950" w14:textId="15F55CDF" w:rsidR="005B68D2" w:rsidRPr="008319F4" w:rsidRDefault="003075C8" w:rsidP="00CA12D9">
      <w:pPr>
        <w:pStyle w:val="PaperContent"/>
        <w:ind w:firstLine="720"/>
      </w:pPr>
      <w:r w:rsidRPr="008319F4">
        <w:t>I</w:t>
      </w:r>
      <w:r w:rsidR="00681A6F" w:rsidRPr="008319F4">
        <w:t>n summary</w:t>
      </w:r>
      <w:r w:rsidR="00196836" w:rsidRPr="008319F4">
        <w:t>,</w:t>
      </w:r>
      <w:r w:rsidR="00681A6F" w:rsidRPr="008319F4">
        <w:t xml:space="preserve"> we show that growth firms have a greater tendency to display the asset growth anomaly over and above limits-to-arbitrage and investment frictions, and furthermore, this effect seems to be explaine</w:t>
      </w:r>
      <w:r w:rsidR="00196836" w:rsidRPr="008319F4">
        <w:t>d by investor overreaction that</w:t>
      </w:r>
      <w:r w:rsidR="00681A6F" w:rsidRPr="008319F4">
        <w:t xml:space="preserve"> is underpinned by the representativeness heuristic.</w:t>
      </w:r>
      <w:r w:rsidR="00196836" w:rsidRPr="008319F4">
        <w:t xml:space="preserve">  This</w:t>
      </w:r>
      <w:r w:rsidR="00C136F2" w:rsidRPr="008319F4">
        <w:t xml:space="preserve"> evidence complement</w:t>
      </w:r>
      <w:r w:rsidR="00196836" w:rsidRPr="008319F4">
        <w:t>s and extends the initial analysis of</w:t>
      </w:r>
      <w:r w:rsidR="00C136F2" w:rsidRPr="008319F4">
        <w:t xml:space="preserve"> the mispricing hypothesis b</w:t>
      </w:r>
      <w:r w:rsidR="00196836" w:rsidRPr="008319F4">
        <w:t>y Cooper et</w:t>
      </w:r>
      <w:r w:rsidR="00C136F2" w:rsidRPr="008319F4">
        <w:t xml:space="preserve"> al. (2008).</w:t>
      </w:r>
    </w:p>
    <w:p w14:paraId="2DA3EC9D" w14:textId="77777777" w:rsidR="0019205B" w:rsidRPr="008319F4" w:rsidRDefault="0019205B">
      <w:pPr>
        <w:rPr>
          <w:b/>
          <w:sz w:val="28"/>
          <w:lang w:val="en-US"/>
        </w:rPr>
      </w:pPr>
      <w:r w:rsidRPr="008319F4">
        <w:br w:type="page"/>
      </w:r>
    </w:p>
    <w:p w14:paraId="656A4C48" w14:textId="0B11317B" w:rsidR="00681A6F" w:rsidRPr="008319F4" w:rsidRDefault="00681A6F" w:rsidP="00227784">
      <w:pPr>
        <w:pStyle w:val="PaperTitle1"/>
        <w:rPr>
          <w:szCs w:val="22"/>
        </w:rPr>
      </w:pPr>
      <w:r w:rsidRPr="008319F4">
        <w:rPr>
          <w:szCs w:val="22"/>
        </w:rPr>
        <w:lastRenderedPageBreak/>
        <w:t>Appendix</w:t>
      </w:r>
      <w:r w:rsidR="009D66A1" w:rsidRPr="008319F4">
        <w:rPr>
          <w:szCs w:val="22"/>
        </w:rPr>
        <w:t xml:space="preserve"> A. Definition of variables</w:t>
      </w:r>
    </w:p>
    <w:p w14:paraId="39FD452B" w14:textId="77777777" w:rsidR="00681A6F" w:rsidRPr="008319F4" w:rsidRDefault="00681A6F" w:rsidP="00C72B69">
      <w:pPr>
        <w:spacing w:line="480" w:lineRule="auto"/>
        <w:ind w:left="810" w:hanging="810"/>
        <w:jc w:val="both"/>
        <w:rPr>
          <w:sz w:val="24"/>
        </w:rPr>
      </w:pPr>
      <w:r w:rsidRPr="008319F4">
        <w:rPr>
          <w:b/>
          <w:sz w:val="24"/>
        </w:rPr>
        <w:t>Asset growth (AG)</w:t>
      </w:r>
      <w:r w:rsidRPr="008319F4">
        <w:rPr>
          <w:sz w:val="24"/>
        </w:rPr>
        <w:t xml:space="preserve"> is calculated by the equation: AG</w:t>
      </w:r>
      <w:r w:rsidRPr="008319F4">
        <w:rPr>
          <w:sz w:val="24"/>
          <w:vertAlign w:val="subscript"/>
        </w:rPr>
        <w:t xml:space="preserve">t </w:t>
      </w:r>
      <w:r w:rsidRPr="008319F4">
        <w:rPr>
          <w:sz w:val="24"/>
        </w:rPr>
        <w:t>= (</w:t>
      </w:r>
      <w:r w:rsidRPr="00DC51AD">
        <w:rPr>
          <w:noProof/>
          <w:sz w:val="24"/>
        </w:rPr>
        <w:t>Asset</w:t>
      </w:r>
      <w:r w:rsidRPr="00DC51AD">
        <w:rPr>
          <w:noProof/>
          <w:sz w:val="24"/>
          <w:vertAlign w:val="subscript"/>
        </w:rPr>
        <w:t>t</w:t>
      </w:r>
      <w:r w:rsidRPr="008319F4">
        <w:rPr>
          <w:sz w:val="24"/>
          <w:vertAlign w:val="subscript"/>
        </w:rPr>
        <w:t>-1</w:t>
      </w:r>
      <w:r w:rsidRPr="008319F4">
        <w:rPr>
          <w:sz w:val="24"/>
        </w:rPr>
        <w:t>-</w:t>
      </w:r>
      <w:r w:rsidRPr="00DC51AD">
        <w:rPr>
          <w:noProof/>
          <w:sz w:val="24"/>
        </w:rPr>
        <w:t>Asset</w:t>
      </w:r>
      <w:r w:rsidRPr="00DC51AD">
        <w:rPr>
          <w:noProof/>
          <w:sz w:val="24"/>
          <w:vertAlign w:val="subscript"/>
        </w:rPr>
        <w:t>t</w:t>
      </w:r>
      <w:r w:rsidRPr="008319F4">
        <w:rPr>
          <w:sz w:val="24"/>
          <w:vertAlign w:val="subscript"/>
        </w:rPr>
        <w:t>-2</w:t>
      </w:r>
      <w:r w:rsidRPr="008319F4">
        <w:rPr>
          <w:sz w:val="24"/>
        </w:rPr>
        <w:t>)/Asset</w:t>
      </w:r>
      <w:r w:rsidRPr="008319F4">
        <w:rPr>
          <w:sz w:val="24"/>
          <w:vertAlign w:val="subscript"/>
        </w:rPr>
        <w:t>t-2</w:t>
      </w:r>
      <w:r w:rsidRPr="008319F4">
        <w:rPr>
          <w:sz w:val="24"/>
        </w:rPr>
        <w:t>.</w:t>
      </w:r>
    </w:p>
    <w:p w14:paraId="44535963" w14:textId="27140B35" w:rsidR="00681A6F" w:rsidRPr="008319F4" w:rsidRDefault="00681A6F" w:rsidP="00C72B69">
      <w:pPr>
        <w:spacing w:line="480" w:lineRule="auto"/>
        <w:ind w:left="810" w:hanging="810"/>
        <w:jc w:val="both"/>
        <w:rPr>
          <w:sz w:val="24"/>
        </w:rPr>
      </w:pPr>
      <w:r w:rsidRPr="008319F4">
        <w:rPr>
          <w:b/>
          <w:sz w:val="24"/>
        </w:rPr>
        <w:t>Book-to-market ratio (BM)</w:t>
      </w:r>
      <w:r w:rsidRPr="008319F4">
        <w:rPr>
          <w:sz w:val="24"/>
        </w:rPr>
        <w:t xml:space="preserve"> is the book value of assets in year t-1 divided by market value at the end of year t</w:t>
      </w:r>
      <w:r w:rsidR="009C5C1B" w:rsidRPr="008319F4">
        <w:rPr>
          <w:sz w:val="24"/>
        </w:rPr>
        <w:t>-1</w:t>
      </w:r>
      <w:r w:rsidRPr="008319F4">
        <w:rPr>
          <w:sz w:val="24"/>
        </w:rPr>
        <w:t>.</w:t>
      </w:r>
      <w:r w:rsidR="007C0A25" w:rsidRPr="008319F4">
        <w:rPr>
          <w:sz w:val="24"/>
        </w:rPr>
        <w:t xml:space="preserve"> Book value is</w:t>
      </w:r>
      <w:r w:rsidR="009C5C1B" w:rsidRPr="008319F4">
        <w:rPr>
          <w:sz w:val="24"/>
        </w:rPr>
        <w:t xml:space="preserve"> total assets minus liabilities, plus balance sheet deferred taxes and investment tax credits, minus preferred stock liquidation value if available, </w:t>
      </w:r>
      <w:r w:rsidR="009C5C1B" w:rsidRPr="00DC51AD">
        <w:rPr>
          <w:noProof/>
          <w:sz w:val="24"/>
        </w:rPr>
        <w:t>or redemption</w:t>
      </w:r>
      <w:r w:rsidR="009C5C1B" w:rsidRPr="008319F4">
        <w:rPr>
          <w:sz w:val="24"/>
        </w:rPr>
        <w:t xml:space="preserve"> value if available, or carrying value if available (e.g., Fama and French, 1993).</w:t>
      </w:r>
      <w:r w:rsidR="007C0A25" w:rsidRPr="008319F4">
        <w:rPr>
          <w:sz w:val="24"/>
        </w:rPr>
        <w:t xml:space="preserve"> </w:t>
      </w:r>
    </w:p>
    <w:p w14:paraId="4C9911D7" w14:textId="77777777" w:rsidR="00FC08B5" w:rsidRPr="008319F4" w:rsidRDefault="00FC08B5" w:rsidP="00C72B69">
      <w:pPr>
        <w:spacing w:line="480" w:lineRule="auto"/>
        <w:ind w:left="810" w:hanging="810"/>
        <w:jc w:val="both"/>
        <w:rPr>
          <w:sz w:val="24"/>
        </w:rPr>
      </w:pPr>
      <w:r w:rsidRPr="008319F4">
        <w:rPr>
          <w:b/>
          <w:sz w:val="24"/>
        </w:rPr>
        <w:t>Market value (MV)</w:t>
      </w:r>
      <w:r w:rsidRPr="008319F4">
        <w:rPr>
          <w:sz w:val="24"/>
        </w:rPr>
        <w:t xml:space="preserve"> is the market capitalization at the end of June in year t, measured as $ Million. </w:t>
      </w:r>
      <w:r w:rsidR="009C5C1B" w:rsidRPr="008319F4">
        <w:rPr>
          <w:sz w:val="24"/>
        </w:rPr>
        <w:t>Market cap</w:t>
      </w:r>
      <w:r w:rsidR="003075C8" w:rsidRPr="008319F4">
        <w:rPr>
          <w:sz w:val="24"/>
        </w:rPr>
        <w:t>italization is price multiplied by</w:t>
      </w:r>
      <w:r w:rsidR="009C5C1B" w:rsidRPr="008319F4">
        <w:rPr>
          <w:sz w:val="24"/>
        </w:rPr>
        <w:t xml:space="preserve"> outstanding shares.</w:t>
      </w:r>
    </w:p>
    <w:p w14:paraId="274E4E02" w14:textId="34CD2CB9" w:rsidR="00FC08B5" w:rsidRPr="008319F4" w:rsidRDefault="00DF1148" w:rsidP="00C72B69">
      <w:pPr>
        <w:spacing w:line="480" w:lineRule="auto"/>
        <w:ind w:left="810" w:hanging="810"/>
        <w:jc w:val="both"/>
        <w:rPr>
          <w:sz w:val="24"/>
        </w:rPr>
      </w:pPr>
      <w:r w:rsidRPr="008319F4">
        <w:rPr>
          <w:b/>
          <w:sz w:val="24"/>
        </w:rPr>
        <w:t xml:space="preserve">Previous </w:t>
      </w:r>
      <w:r w:rsidRPr="00DC51AD">
        <w:rPr>
          <w:b/>
          <w:noProof/>
          <w:sz w:val="24"/>
        </w:rPr>
        <w:t>six</w:t>
      </w:r>
      <w:r w:rsidR="00DC51AD">
        <w:rPr>
          <w:b/>
          <w:noProof/>
          <w:sz w:val="24"/>
        </w:rPr>
        <w:t>-</w:t>
      </w:r>
      <w:r w:rsidRPr="00DC51AD">
        <w:rPr>
          <w:b/>
          <w:noProof/>
          <w:sz w:val="24"/>
        </w:rPr>
        <w:t>month</w:t>
      </w:r>
      <w:r w:rsidRPr="008319F4">
        <w:rPr>
          <w:b/>
          <w:sz w:val="24"/>
        </w:rPr>
        <w:t xml:space="preserve"> return</w:t>
      </w:r>
      <w:r w:rsidR="00FC08B5" w:rsidRPr="008319F4">
        <w:rPr>
          <w:b/>
          <w:sz w:val="24"/>
        </w:rPr>
        <w:t xml:space="preserve"> (Pre6ret)</w:t>
      </w:r>
      <w:r w:rsidR="009C5C1B" w:rsidRPr="008319F4">
        <w:rPr>
          <w:sz w:val="24"/>
        </w:rPr>
        <w:t xml:space="preserve"> </w:t>
      </w:r>
      <w:r w:rsidRPr="008319F4">
        <w:rPr>
          <w:sz w:val="24"/>
        </w:rPr>
        <w:t xml:space="preserve">is past </w:t>
      </w:r>
      <w:r w:rsidRPr="00DC51AD">
        <w:rPr>
          <w:noProof/>
          <w:sz w:val="24"/>
        </w:rPr>
        <w:t>six</w:t>
      </w:r>
      <w:r w:rsidR="00DC51AD">
        <w:rPr>
          <w:noProof/>
          <w:sz w:val="24"/>
        </w:rPr>
        <w:t>-</w:t>
      </w:r>
      <w:r w:rsidRPr="00DC51AD">
        <w:rPr>
          <w:noProof/>
          <w:sz w:val="24"/>
        </w:rPr>
        <w:t>month</w:t>
      </w:r>
      <w:r w:rsidRPr="008319F4">
        <w:rPr>
          <w:sz w:val="24"/>
        </w:rPr>
        <w:t xml:space="preserve"> compounding returns ending at the end of June in year t.  </w:t>
      </w:r>
    </w:p>
    <w:p w14:paraId="02136198" w14:textId="271E68D6" w:rsidR="00DF1148" w:rsidRPr="008319F4" w:rsidRDefault="00DF1148" w:rsidP="00C72B69">
      <w:pPr>
        <w:spacing w:line="480" w:lineRule="auto"/>
        <w:ind w:left="810" w:hanging="810"/>
        <w:jc w:val="both"/>
        <w:rPr>
          <w:sz w:val="24"/>
        </w:rPr>
      </w:pPr>
      <w:r w:rsidRPr="008319F4">
        <w:rPr>
          <w:b/>
          <w:sz w:val="24"/>
        </w:rPr>
        <w:t xml:space="preserve">Retained </w:t>
      </w:r>
      <w:r w:rsidRPr="00DC51AD">
        <w:rPr>
          <w:b/>
          <w:noProof/>
          <w:sz w:val="24"/>
        </w:rPr>
        <w:t>earning</w:t>
      </w:r>
      <w:r w:rsidR="00DC51AD" w:rsidRPr="000668F6">
        <w:rPr>
          <w:b/>
          <w:noProof/>
          <w:sz w:val="24"/>
        </w:rPr>
        <w:t>s</w:t>
      </w:r>
      <w:r w:rsidRPr="008319F4">
        <w:rPr>
          <w:b/>
          <w:sz w:val="24"/>
        </w:rPr>
        <w:t xml:space="preserve"> (RE)</w:t>
      </w:r>
      <w:r w:rsidRPr="008319F4">
        <w:rPr>
          <w:sz w:val="24"/>
        </w:rPr>
        <w:t xml:space="preserve"> is the retained earnings in</w:t>
      </w:r>
      <w:r w:rsidR="00DC51AD">
        <w:rPr>
          <w:sz w:val="24"/>
        </w:rPr>
        <w:t xml:space="preserve"> the</w:t>
      </w:r>
      <w:r w:rsidRPr="008319F4">
        <w:rPr>
          <w:sz w:val="24"/>
        </w:rPr>
        <w:t xml:space="preserve"> </w:t>
      </w:r>
      <w:r w:rsidRPr="00DC51AD">
        <w:rPr>
          <w:noProof/>
          <w:sz w:val="24"/>
        </w:rPr>
        <w:t>previous</w:t>
      </w:r>
      <w:r w:rsidRPr="008319F4">
        <w:rPr>
          <w:sz w:val="24"/>
        </w:rPr>
        <w:t xml:space="preserve"> fiscal year divided by total assets in previous fiscal year.</w:t>
      </w:r>
    </w:p>
    <w:p w14:paraId="3C93C6E8" w14:textId="351D457B" w:rsidR="00DF1148" w:rsidRPr="008319F4" w:rsidRDefault="00DF1148" w:rsidP="00C72B69">
      <w:pPr>
        <w:spacing w:line="480" w:lineRule="auto"/>
        <w:ind w:left="810" w:hanging="810"/>
        <w:jc w:val="both"/>
        <w:rPr>
          <w:sz w:val="24"/>
        </w:rPr>
      </w:pPr>
      <w:r w:rsidRPr="008319F4">
        <w:rPr>
          <w:b/>
          <w:sz w:val="24"/>
        </w:rPr>
        <w:t xml:space="preserve">Dividend (DIV) </w:t>
      </w:r>
      <w:r w:rsidRPr="008319F4">
        <w:rPr>
          <w:sz w:val="24"/>
        </w:rPr>
        <w:t>is</w:t>
      </w:r>
      <w:r w:rsidR="00DC51AD">
        <w:rPr>
          <w:sz w:val="24"/>
        </w:rPr>
        <w:t xml:space="preserve"> a</w:t>
      </w:r>
      <w:r w:rsidRPr="008319F4">
        <w:rPr>
          <w:sz w:val="24"/>
        </w:rPr>
        <w:t xml:space="preserve"> </w:t>
      </w:r>
      <w:r w:rsidRPr="00DC51AD">
        <w:rPr>
          <w:noProof/>
          <w:sz w:val="24"/>
        </w:rPr>
        <w:t>total</w:t>
      </w:r>
      <w:r w:rsidRPr="008319F4">
        <w:rPr>
          <w:sz w:val="24"/>
        </w:rPr>
        <w:t xml:space="preserve"> dividend if available divided by income before extra items at </w:t>
      </w:r>
      <w:r w:rsidR="003075C8" w:rsidRPr="008319F4">
        <w:rPr>
          <w:sz w:val="24"/>
        </w:rPr>
        <w:t xml:space="preserve">the </w:t>
      </w:r>
      <w:r w:rsidRPr="008319F4">
        <w:rPr>
          <w:sz w:val="24"/>
        </w:rPr>
        <w:t>previous fiscal year.</w:t>
      </w:r>
    </w:p>
    <w:p w14:paraId="0C427F17" w14:textId="77777777" w:rsidR="00DF1148" w:rsidRPr="008319F4" w:rsidRDefault="00DF1148" w:rsidP="00C72B69">
      <w:pPr>
        <w:spacing w:line="480" w:lineRule="auto"/>
        <w:ind w:left="810" w:hanging="810"/>
        <w:jc w:val="both"/>
        <w:rPr>
          <w:sz w:val="24"/>
        </w:rPr>
      </w:pPr>
      <w:r w:rsidRPr="008319F4">
        <w:rPr>
          <w:b/>
          <w:sz w:val="24"/>
        </w:rPr>
        <w:t>Cash flow (CF)</w:t>
      </w:r>
      <w:r w:rsidRPr="008319F4">
        <w:rPr>
          <w:sz w:val="24"/>
        </w:rPr>
        <w:t xml:space="preserve"> is cash flow scaled by total assets in </w:t>
      </w:r>
      <w:r w:rsidR="003075C8" w:rsidRPr="008319F4">
        <w:rPr>
          <w:sz w:val="24"/>
        </w:rPr>
        <w:t xml:space="preserve">the </w:t>
      </w:r>
      <w:r w:rsidRPr="008319F4">
        <w:rPr>
          <w:sz w:val="24"/>
        </w:rPr>
        <w:t xml:space="preserve">previous fiscal year. Cash flow is operating </w:t>
      </w:r>
      <w:r w:rsidR="003129BA" w:rsidRPr="008319F4">
        <w:rPr>
          <w:sz w:val="24"/>
        </w:rPr>
        <w:t>income after depreciation</w:t>
      </w:r>
      <w:r w:rsidRPr="008319F4">
        <w:rPr>
          <w:sz w:val="24"/>
        </w:rPr>
        <w:t xml:space="preserve"> minus </w:t>
      </w:r>
      <w:r w:rsidR="003129BA" w:rsidRPr="008319F4">
        <w:rPr>
          <w:sz w:val="24"/>
        </w:rPr>
        <w:t>accrual</w:t>
      </w:r>
      <w:r w:rsidR="003075C8" w:rsidRPr="008319F4">
        <w:rPr>
          <w:sz w:val="24"/>
        </w:rPr>
        <w:t>s</w:t>
      </w:r>
      <w:r w:rsidR="003129BA" w:rsidRPr="008319F4">
        <w:rPr>
          <w:sz w:val="24"/>
        </w:rPr>
        <w:t>. Accrual</w:t>
      </w:r>
      <w:r w:rsidR="003075C8" w:rsidRPr="008319F4">
        <w:rPr>
          <w:sz w:val="24"/>
        </w:rPr>
        <w:t>s are</w:t>
      </w:r>
      <w:r w:rsidR="003129BA" w:rsidRPr="008319F4">
        <w:rPr>
          <w:sz w:val="24"/>
        </w:rPr>
        <w:t xml:space="preserve"> the change of non-cash current assets minus the change of current liabilities and depreciation.  </w:t>
      </w:r>
      <w:r w:rsidRPr="008319F4">
        <w:rPr>
          <w:sz w:val="24"/>
        </w:rPr>
        <w:t xml:space="preserve"> </w:t>
      </w:r>
    </w:p>
    <w:p w14:paraId="6E124070" w14:textId="77777777" w:rsidR="003129BA" w:rsidRPr="008319F4" w:rsidRDefault="00681A6F" w:rsidP="00C72B69">
      <w:pPr>
        <w:spacing w:line="480" w:lineRule="auto"/>
        <w:ind w:left="810" w:hanging="810"/>
        <w:jc w:val="both"/>
        <w:rPr>
          <w:sz w:val="24"/>
        </w:rPr>
      </w:pPr>
      <w:r w:rsidRPr="008319F4">
        <w:rPr>
          <w:b/>
          <w:sz w:val="24"/>
        </w:rPr>
        <w:t>Analyst coverage (COV)</w:t>
      </w:r>
      <w:r w:rsidRPr="008319F4">
        <w:rPr>
          <w:sz w:val="24"/>
        </w:rPr>
        <w:t xml:space="preserve"> is the number of analysts following the firm at the end of June in each year. </w:t>
      </w:r>
    </w:p>
    <w:p w14:paraId="4D3EF389" w14:textId="77777777" w:rsidR="00681A6F" w:rsidRPr="008319F4" w:rsidRDefault="00681A6F" w:rsidP="00C72B69">
      <w:pPr>
        <w:spacing w:line="480" w:lineRule="auto"/>
        <w:ind w:left="810" w:hanging="810"/>
        <w:jc w:val="both"/>
        <w:rPr>
          <w:sz w:val="24"/>
        </w:rPr>
      </w:pPr>
      <w:r w:rsidRPr="008319F4">
        <w:rPr>
          <w:b/>
          <w:sz w:val="24"/>
        </w:rPr>
        <w:lastRenderedPageBreak/>
        <w:t>Dispersion in analysts forecast (DISP)</w:t>
      </w:r>
      <w:r w:rsidRPr="008319F4">
        <w:rPr>
          <w:sz w:val="24"/>
        </w:rPr>
        <w:t xml:space="preserve"> is the standard deviation of analyst forecast </w:t>
      </w:r>
      <w:r w:rsidR="003129BA" w:rsidRPr="008319F4">
        <w:rPr>
          <w:sz w:val="24"/>
        </w:rPr>
        <w:t xml:space="preserve">for earnings per share </w:t>
      </w:r>
      <w:r w:rsidRPr="008319F4">
        <w:rPr>
          <w:sz w:val="24"/>
        </w:rPr>
        <w:t xml:space="preserve">at the end of June in year </w:t>
      </w:r>
      <w:r w:rsidR="003129BA" w:rsidRPr="008319F4">
        <w:rPr>
          <w:sz w:val="24"/>
        </w:rPr>
        <w:t xml:space="preserve">t scaled stock price at the end </w:t>
      </w:r>
      <w:r w:rsidRPr="008319F4">
        <w:rPr>
          <w:sz w:val="24"/>
        </w:rPr>
        <w:t xml:space="preserve">of </w:t>
      </w:r>
      <w:r w:rsidR="003129BA" w:rsidRPr="008319F4">
        <w:rPr>
          <w:sz w:val="24"/>
        </w:rPr>
        <w:t xml:space="preserve">June in </w:t>
      </w:r>
      <w:r w:rsidRPr="008319F4">
        <w:rPr>
          <w:sz w:val="24"/>
        </w:rPr>
        <w:t xml:space="preserve">year t-1. </w:t>
      </w:r>
    </w:p>
    <w:p w14:paraId="0311A983" w14:textId="77777777" w:rsidR="00A822C6" w:rsidRPr="008319F4" w:rsidRDefault="00FC08B5" w:rsidP="00C72B69">
      <w:pPr>
        <w:spacing w:line="480" w:lineRule="auto"/>
        <w:ind w:left="810" w:hanging="810"/>
        <w:jc w:val="both"/>
        <w:rPr>
          <w:sz w:val="24"/>
        </w:rPr>
      </w:pPr>
      <w:r w:rsidRPr="008319F4">
        <w:rPr>
          <w:b/>
          <w:sz w:val="24"/>
        </w:rPr>
        <w:t>Bid-ask spread (BAS</w:t>
      </w:r>
      <w:r w:rsidR="00681A6F" w:rsidRPr="008319F4">
        <w:rPr>
          <w:b/>
          <w:sz w:val="24"/>
        </w:rPr>
        <w:t>)</w:t>
      </w:r>
      <w:r w:rsidR="00681A6F" w:rsidRPr="008319F4">
        <w:rPr>
          <w:sz w:val="24"/>
        </w:rPr>
        <w:t xml:space="preserve"> is </w:t>
      </w:r>
      <w:r w:rsidR="00A822C6" w:rsidRPr="008319F4">
        <w:rPr>
          <w:sz w:val="24"/>
        </w:rPr>
        <w:t xml:space="preserve">time series average of </w:t>
      </w:r>
      <m:oMath>
        <m:r>
          <w:rPr>
            <w:rFonts w:ascii="Cambria Math" w:hAnsi="Cambria Math"/>
            <w:sz w:val="24"/>
          </w:rPr>
          <m:t>2×</m:t>
        </m:r>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price</m:t>
                </m:r>
                <m:d>
                  <m:dPr>
                    <m:ctrlPr>
                      <w:rPr>
                        <w:rFonts w:ascii="Cambria Math" w:hAnsi="Cambria Math"/>
                        <w:i/>
                        <w:sz w:val="24"/>
                      </w:rPr>
                    </m:ctrlPr>
                  </m:dPr>
                  <m:e>
                    <m:r>
                      <w:rPr>
                        <w:rFonts w:ascii="Cambria Math" w:hAnsi="Cambria Math"/>
                        <w:sz w:val="24"/>
                      </w:rPr>
                      <m:t>ask+bid</m:t>
                    </m:r>
                  </m:e>
                </m:d>
              </m:num>
              <m:den>
                <m:r>
                  <w:rPr>
                    <w:rFonts w:ascii="Cambria Math" w:hAnsi="Cambria Math"/>
                    <w:sz w:val="24"/>
                  </w:rPr>
                  <m:t>2</m:t>
                </m:r>
              </m:den>
            </m:f>
          </m:e>
        </m:d>
        <m:r>
          <w:rPr>
            <w:rFonts w:ascii="Cambria Math" w:hAnsi="Cambria Math"/>
            <w:sz w:val="24"/>
          </w:rPr>
          <m:t>/price</m:t>
        </m:r>
      </m:oMath>
      <w:r w:rsidR="00A822C6" w:rsidRPr="008319F4">
        <w:rPr>
          <w:sz w:val="24"/>
        </w:rPr>
        <w:t xml:space="preserve"> over past 12 months ending at the end of June in year t (e.g., Lam and Wei, 2011). </w:t>
      </w:r>
    </w:p>
    <w:p w14:paraId="57A0B8CA" w14:textId="2BF7EED6" w:rsidR="00681A6F" w:rsidRPr="008319F4" w:rsidRDefault="00681A6F" w:rsidP="00C72B69">
      <w:pPr>
        <w:spacing w:line="480" w:lineRule="auto"/>
        <w:ind w:left="810" w:hanging="810"/>
        <w:jc w:val="both"/>
        <w:rPr>
          <w:sz w:val="24"/>
        </w:rPr>
      </w:pPr>
      <w:r w:rsidRPr="008319F4">
        <w:rPr>
          <w:b/>
          <w:sz w:val="24"/>
        </w:rPr>
        <w:t>Idiosyncratic volatility (IVOL)</w:t>
      </w:r>
      <w:r w:rsidRPr="008319F4">
        <w:rPr>
          <w:sz w:val="24"/>
        </w:rPr>
        <w:t xml:space="preserve"> is the standard deviation of </w:t>
      </w:r>
      <w:r w:rsidR="003075C8" w:rsidRPr="008319F4">
        <w:rPr>
          <w:sz w:val="24"/>
        </w:rPr>
        <w:t xml:space="preserve">the </w:t>
      </w:r>
      <w:r w:rsidRPr="008319F4">
        <w:rPr>
          <w:sz w:val="24"/>
        </w:rPr>
        <w:t xml:space="preserve">residual from </w:t>
      </w:r>
      <w:r w:rsidR="003075C8" w:rsidRPr="008319F4">
        <w:rPr>
          <w:sz w:val="24"/>
        </w:rPr>
        <w:t xml:space="preserve">the </w:t>
      </w:r>
      <w:r w:rsidRPr="008319F4">
        <w:rPr>
          <w:sz w:val="24"/>
        </w:rPr>
        <w:t>regression of stock return on</w:t>
      </w:r>
      <w:r w:rsidR="00DC51AD">
        <w:rPr>
          <w:sz w:val="24"/>
        </w:rPr>
        <w:t xml:space="preserve"> the</w:t>
      </w:r>
      <w:r w:rsidRPr="008319F4">
        <w:rPr>
          <w:sz w:val="24"/>
        </w:rPr>
        <w:t xml:space="preserve"> </w:t>
      </w:r>
      <w:r w:rsidRPr="00DC51AD">
        <w:rPr>
          <w:noProof/>
          <w:sz w:val="24"/>
        </w:rPr>
        <w:t>market</w:t>
      </w:r>
      <w:r w:rsidRPr="008319F4">
        <w:rPr>
          <w:sz w:val="24"/>
        </w:rPr>
        <w:t xml:space="preserve"> return over </w:t>
      </w:r>
      <w:r w:rsidR="003075C8" w:rsidRPr="008319F4">
        <w:rPr>
          <w:sz w:val="24"/>
        </w:rPr>
        <w:t xml:space="preserve">the </w:t>
      </w:r>
      <w:r w:rsidRPr="008319F4">
        <w:rPr>
          <w:sz w:val="24"/>
        </w:rPr>
        <w:t>past 12 month</w:t>
      </w:r>
      <w:r w:rsidR="003075C8" w:rsidRPr="008319F4">
        <w:rPr>
          <w:sz w:val="24"/>
        </w:rPr>
        <w:t>s</w:t>
      </w:r>
      <w:r w:rsidRPr="008319F4">
        <w:rPr>
          <w:sz w:val="24"/>
        </w:rPr>
        <w:t xml:space="preserve"> ending </w:t>
      </w:r>
      <w:r w:rsidR="003075C8" w:rsidRPr="008319F4">
        <w:rPr>
          <w:sz w:val="24"/>
        </w:rPr>
        <w:t xml:space="preserve">at </w:t>
      </w:r>
      <w:r w:rsidRPr="008319F4">
        <w:rPr>
          <w:sz w:val="24"/>
        </w:rPr>
        <w:t>the end of</w:t>
      </w:r>
      <w:r w:rsidR="00A822C6" w:rsidRPr="008319F4">
        <w:rPr>
          <w:sz w:val="24"/>
        </w:rPr>
        <w:t xml:space="preserve"> June in year t (require</w:t>
      </w:r>
      <w:r w:rsidR="003075C8" w:rsidRPr="008319F4">
        <w:rPr>
          <w:sz w:val="24"/>
        </w:rPr>
        <w:t>s a</w:t>
      </w:r>
      <w:r w:rsidR="00A822C6" w:rsidRPr="008319F4">
        <w:rPr>
          <w:sz w:val="24"/>
        </w:rPr>
        <w:t xml:space="preserve"> 36-</w:t>
      </w:r>
      <w:r w:rsidRPr="008319F4">
        <w:rPr>
          <w:sz w:val="24"/>
        </w:rPr>
        <w:t>month history</w:t>
      </w:r>
      <w:r w:rsidR="00A822C6" w:rsidRPr="008319F4">
        <w:rPr>
          <w:sz w:val="24"/>
        </w:rPr>
        <w:t xml:space="preserve"> and </w:t>
      </w:r>
      <w:r w:rsidR="003075C8" w:rsidRPr="008319F4">
        <w:rPr>
          <w:sz w:val="24"/>
        </w:rPr>
        <w:t xml:space="preserve">a </w:t>
      </w:r>
      <w:r w:rsidR="00A822C6" w:rsidRPr="008319F4">
        <w:rPr>
          <w:sz w:val="24"/>
        </w:rPr>
        <w:t xml:space="preserve">minimum </w:t>
      </w:r>
      <w:r w:rsidR="003075C8" w:rsidRPr="008319F4">
        <w:rPr>
          <w:sz w:val="24"/>
        </w:rPr>
        <w:t xml:space="preserve">of </w:t>
      </w:r>
      <w:r w:rsidR="00A822C6" w:rsidRPr="008319F4">
        <w:rPr>
          <w:sz w:val="24"/>
        </w:rPr>
        <w:t>24 months to estimat</w:t>
      </w:r>
      <w:r w:rsidR="003075C8" w:rsidRPr="008319F4">
        <w:rPr>
          <w:sz w:val="24"/>
        </w:rPr>
        <w:t xml:space="preserve">e the regression if 36-months of </w:t>
      </w:r>
      <w:r w:rsidR="00A822C6" w:rsidRPr="008319F4">
        <w:rPr>
          <w:sz w:val="24"/>
        </w:rPr>
        <w:t xml:space="preserve">data </w:t>
      </w:r>
      <w:r w:rsidR="003075C8" w:rsidRPr="008319F4">
        <w:rPr>
          <w:sz w:val="24"/>
        </w:rPr>
        <w:t xml:space="preserve">is not </w:t>
      </w:r>
      <w:r w:rsidR="00A822C6" w:rsidRPr="008319F4">
        <w:rPr>
          <w:sz w:val="24"/>
        </w:rPr>
        <w:t>available</w:t>
      </w:r>
      <w:r w:rsidRPr="008319F4">
        <w:rPr>
          <w:sz w:val="24"/>
        </w:rPr>
        <w:t xml:space="preserve">). </w:t>
      </w:r>
    </w:p>
    <w:p w14:paraId="4BDE120C" w14:textId="2F94A20B" w:rsidR="00022BB2" w:rsidRPr="008319F4" w:rsidRDefault="00022BB2" w:rsidP="00C72B69">
      <w:pPr>
        <w:spacing w:line="480" w:lineRule="auto"/>
        <w:ind w:left="810" w:hanging="810"/>
        <w:jc w:val="both"/>
        <w:rPr>
          <w:sz w:val="24"/>
        </w:rPr>
      </w:pPr>
      <w:r w:rsidRPr="008319F4">
        <w:rPr>
          <w:b/>
          <w:sz w:val="24"/>
        </w:rPr>
        <w:t>Dollar trading volume (DVOL)</w:t>
      </w:r>
      <w:r w:rsidRPr="008319F4">
        <w:rPr>
          <w:sz w:val="24"/>
        </w:rPr>
        <w:t xml:space="preserve"> is </w:t>
      </w:r>
      <w:r w:rsidR="003075C8" w:rsidRPr="008319F4">
        <w:rPr>
          <w:sz w:val="24"/>
        </w:rPr>
        <w:t xml:space="preserve">the </w:t>
      </w:r>
      <w:r w:rsidRPr="008319F4">
        <w:rPr>
          <w:sz w:val="24"/>
        </w:rPr>
        <w:t xml:space="preserve">time series average of </w:t>
      </w:r>
      <w:r w:rsidR="003075C8" w:rsidRPr="008319F4">
        <w:rPr>
          <w:sz w:val="24"/>
        </w:rPr>
        <w:t xml:space="preserve">the </w:t>
      </w:r>
      <w:r w:rsidRPr="008319F4">
        <w:rPr>
          <w:sz w:val="24"/>
        </w:rPr>
        <w:t xml:space="preserve">past </w:t>
      </w:r>
      <w:r w:rsidRPr="00DC51AD">
        <w:rPr>
          <w:noProof/>
          <w:sz w:val="24"/>
        </w:rPr>
        <w:t>12</w:t>
      </w:r>
      <w:r w:rsidR="00DC51AD">
        <w:rPr>
          <w:noProof/>
          <w:sz w:val="24"/>
        </w:rPr>
        <w:t>-</w:t>
      </w:r>
      <w:r w:rsidRPr="00DC51AD">
        <w:rPr>
          <w:noProof/>
          <w:sz w:val="24"/>
        </w:rPr>
        <w:t>month</w:t>
      </w:r>
      <w:r w:rsidRPr="008319F4">
        <w:rPr>
          <w:sz w:val="24"/>
        </w:rPr>
        <w:t xml:space="preserve"> dollar trading volume </w:t>
      </w:r>
      <w:r w:rsidR="00504BA9" w:rsidRPr="008319F4">
        <w:rPr>
          <w:sz w:val="24"/>
        </w:rPr>
        <w:t>that</w:t>
      </w:r>
      <w:r w:rsidR="003075C8" w:rsidRPr="008319F4">
        <w:rPr>
          <w:sz w:val="24"/>
        </w:rPr>
        <w:t xml:space="preserve"> is </w:t>
      </w:r>
      <w:r w:rsidR="00504BA9" w:rsidRPr="008319F4">
        <w:rPr>
          <w:sz w:val="24"/>
        </w:rPr>
        <w:t xml:space="preserve">the </w:t>
      </w:r>
      <w:r w:rsidR="003075C8" w:rsidRPr="008319F4">
        <w:rPr>
          <w:sz w:val="24"/>
        </w:rPr>
        <w:t>closing price multiplied by</w:t>
      </w:r>
      <w:r w:rsidRPr="008319F4">
        <w:rPr>
          <w:sz w:val="24"/>
        </w:rPr>
        <w:t xml:space="preserve"> monthly traded shares ending at the end of June in year t. If there is no past </w:t>
      </w:r>
      <w:r w:rsidRPr="00DC51AD">
        <w:rPr>
          <w:noProof/>
          <w:sz w:val="24"/>
        </w:rPr>
        <w:t>12</w:t>
      </w:r>
      <w:r w:rsidR="00DC51AD">
        <w:rPr>
          <w:noProof/>
          <w:sz w:val="24"/>
        </w:rPr>
        <w:t>-</w:t>
      </w:r>
      <w:r w:rsidRPr="00DC51AD">
        <w:rPr>
          <w:noProof/>
          <w:sz w:val="24"/>
        </w:rPr>
        <w:t>month</w:t>
      </w:r>
      <w:r w:rsidRPr="008319F4">
        <w:rPr>
          <w:sz w:val="24"/>
        </w:rPr>
        <w:t xml:space="preserve"> information, we require at least</w:t>
      </w:r>
      <w:r w:rsidR="003075C8" w:rsidRPr="008319F4">
        <w:rPr>
          <w:sz w:val="24"/>
        </w:rPr>
        <w:t xml:space="preserve"> </w:t>
      </w:r>
      <w:r w:rsidR="003075C8" w:rsidRPr="00DC51AD">
        <w:rPr>
          <w:noProof/>
          <w:sz w:val="24"/>
        </w:rPr>
        <w:t>6</w:t>
      </w:r>
      <w:r w:rsidR="00DC51AD">
        <w:rPr>
          <w:noProof/>
          <w:sz w:val="24"/>
        </w:rPr>
        <w:t>-</w:t>
      </w:r>
      <w:r w:rsidR="003075C8" w:rsidRPr="00DC51AD">
        <w:rPr>
          <w:noProof/>
          <w:sz w:val="24"/>
        </w:rPr>
        <w:t>month</w:t>
      </w:r>
      <w:r w:rsidR="003075C8" w:rsidRPr="008319F4">
        <w:rPr>
          <w:sz w:val="24"/>
        </w:rPr>
        <w:t xml:space="preserve"> data. It is measured in</w:t>
      </w:r>
      <w:r w:rsidRPr="008319F4">
        <w:rPr>
          <w:sz w:val="24"/>
        </w:rPr>
        <w:t xml:space="preserve"> million</w:t>
      </w:r>
      <w:r w:rsidR="003075C8" w:rsidRPr="008319F4">
        <w:rPr>
          <w:sz w:val="24"/>
        </w:rPr>
        <w:t>s of</w:t>
      </w:r>
      <w:r w:rsidRPr="008319F4">
        <w:rPr>
          <w:sz w:val="24"/>
        </w:rPr>
        <w:t xml:space="preserve"> dollars.</w:t>
      </w:r>
    </w:p>
    <w:p w14:paraId="21674016" w14:textId="77777777" w:rsidR="00D6454D" w:rsidRPr="008319F4" w:rsidRDefault="003075C8" w:rsidP="00C72B69">
      <w:pPr>
        <w:spacing w:line="480" w:lineRule="auto"/>
        <w:ind w:left="810" w:hanging="810"/>
        <w:jc w:val="both"/>
        <w:rPr>
          <w:sz w:val="24"/>
        </w:rPr>
      </w:pPr>
      <w:r w:rsidRPr="008319F4">
        <w:rPr>
          <w:b/>
          <w:sz w:val="24"/>
        </w:rPr>
        <w:t>Firm’s</w:t>
      </w:r>
      <w:r w:rsidR="008314C0" w:rsidRPr="008319F4">
        <w:rPr>
          <w:b/>
          <w:sz w:val="24"/>
        </w:rPr>
        <w:t xml:space="preserve"> total asset</w:t>
      </w:r>
      <w:r w:rsidRPr="008319F4">
        <w:rPr>
          <w:b/>
          <w:sz w:val="24"/>
        </w:rPr>
        <w:t>s</w:t>
      </w:r>
      <w:r w:rsidR="00D6454D" w:rsidRPr="008319F4">
        <w:rPr>
          <w:b/>
          <w:sz w:val="24"/>
        </w:rPr>
        <w:t xml:space="preserve"> (ASSET)</w:t>
      </w:r>
      <w:r w:rsidR="00A822C6" w:rsidRPr="008319F4">
        <w:rPr>
          <w:sz w:val="24"/>
        </w:rPr>
        <w:t xml:space="preserve"> </w:t>
      </w:r>
      <w:r w:rsidR="008314C0" w:rsidRPr="008319F4">
        <w:rPr>
          <w:sz w:val="24"/>
        </w:rPr>
        <w:t>is</w:t>
      </w:r>
      <w:r w:rsidRPr="008319F4">
        <w:rPr>
          <w:sz w:val="24"/>
        </w:rPr>
        <w:t xml:space="preserve"> the</w:t>
      </w:r>
      <w:r w:rsidR="008314C0" w:rsidRPr="008319F4">
        <w:rPr>
          <w:sz w:val="24"/>
        </w:rPr>
        <w:t xml:space="preserve"> book value of total assets in </w:t>
      </w:r>
      <w:r w:rsidRPr="008319F4">
        <w:rPr>
          <w:sz w:val="24"/>
        </w:rPr>
        <w:t xml:space="preserve">the </w:t>
      </w:r>
      <w:r w:rsidR="008314C0" w:rsidRPr="008319F4">
        <w:rPr>
          <w:sz w:val="24"/>
        </w:rPr>
        <w:t>previous fiscal year.</w:t>
      </w:r>
    </w:p>
    <w:p w14:paraId="11124AC9" w14:textId="77777777" w:rsidR="009939B4" w:rsidRPr="008319F4" w:rsidRDefault="00681A6F" w:rsidP="00C72B69">
      <w:pPr>
        <w:spacing w:line="480" w:lineRule="auto"/>
        <w:ind w:left="810" w:hanging="810"/>
        <w:jc w:val="both"/>
        <w:rPr>
          <w:sz w:val="24"/>
        </w:rPr>
      </w:pPr>
      <w:r w:rsidRPr="008319F4">
        <w:rPr>
          <w:b/>
          <w:sz w:val="24"/>
        </w:rPr>
        <w:t>Firm age (AGE)</w:t>
      </w:r>
      <w:r w:rsidRPr="008319F4">
        <w:rPr>
          <w:sz w:val="24"/>
        </w:rPr>
        <w:t xml:space="preserve"> is the number of years a stock appeared in CRSP database at the end of June in year t.</w:t>
      </w:r>
    </w:p>
    <w:p w14:paraId="05CBBCBE" w14:textId="77777777" w:rsidR="009939B4" w:rsidRPr="008319F4" w:rsidRDefault="009939B4">
      <w:pPr>
        <w:rPr>
          <w:sz w:val="24"/>
        </w:rPr>
      </w:pPr>
      <w:r w:rsidRPr="008319F4">
        <w:rPr>
          <w:sz w:val="24"/>
        </w:rPr>
        <w:br w:type="page"/>
      </w:r>
    </w:p>
    <w:p w14:paraId="74146F94" w14:textId="77777777" w:rsidR="009939B4" w:rsidRPr="008319F4" w:rsidRDefault="009939B4" w:rsidP="00227784">
      <w:pPr>
        <w:spacing w:line="480" w:lineRule="auto"/>
        <w:jc w:val="both"/>
        <w:rPr>
          <w:sz w:val="24"/>
        </w:rPr>
        <w:sectPr w:rsidR="009939B4" w:rsidRPr="008319F4" w:rsidSect="00C03DA8">
          <w:footerReference w:type="default" r:id="rId8"/>
          <w:pgSz w:w="11906" w:h="16838"/>
          <w:pgMar w:top="1440" w:right="1800" w:bottom="1440" w:left="1800" w:header="708" w:footer="708" w:gutter="0"/>
          <w:cols w:space="708"/>
          <w:docGrid w:linePitch="360"/>
        </w:sectPr>
      </w:pPr>
    </w:p>
    <w:p w14:paraId="2E14C4FB" w14:textId="77777777" w:rsidR="00681A6F" w:rsidRPr="008319F4" w:rsidRDefault="00681A6F" w:rsidP="00053887">
      <w:pPr>
        <w:pStyle w:val="PaperTitle1"/>
      </w:pPr>
      <w:r w:rsidRPr="008319F4">
        <w:lastRenderedPageBreak/>
        <w:t>References</w:t>
      </w:r>
    </w:p>
    <w:p w14:paraId="6DD5A10E"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Ali, A., L. Hwang and M. A. Trombley, 2003, Arbitrage risk and the book-to-market anomaly, </w:t>
      </w:r>
      <w:r w:rsidRPr="008319F4">
        <w:rPr>
          <w:i/>
          <w:sz w:val="24"/>
          <w:szCs w:val="24"/>
          <w:lang w:val="en-US"/>
        </w:rPr>
        <w:t>Journal of Financial Economics</w:t>
      </w:r>
      <w:r w:rsidRPr="008319F4">
        <w:rPr>
          <w:sz w:val="24"/>
          <w:szCs w:val="24"/>
          <w:lang w:val="en-US"/>
        </w:rPr>
        <w:t xml:space="preserve"> 69, 355-373.</w:t>
      </w:r>
    </w:p>
    <w:p w14:paraId="5DFF766C" w14:textId="6238C9B3" w:rsidR="001434D3" w:rsidRPr="000668F6" w:rsidRDefault="001434D3" w:rsidP="003653D5">
      <w:pPr>
        <w:spacing w:line="480" w:lineRule="auto"/>
        <w:ind w:left="900" w:hanging="900"/>
        <w:jc w:val="both"/>
        <w:rPr>
          <w:sz w:val="24"/>
          <w:szCs w:val="24"/>
        </w:rPr>
      </w:pPr>
      <w:r>
        <w:rPr>
          <w:sz w:val="24"/>
          <w:szCs w:val="24"/>
          <w:lang w:val="en-US"/>
        </w:rPr>
        <w:t>Alti, A. and P. Tetlock, 2014, Biased beliefs, asset prices, and investment: a structural a</w:t>
      </w:r>
      <w:r w:rsidRPr="001434D3">
        <w:rPr>
          <w:sz w:val="24"/>
          <w:szCs w:val="24"/>
          <w:lang w:val="en-US"/>
        </w:rPr>
        <w:t>pproach</w:t>
      </w:r>
      <w:r>
        <w:rPr>
          <w:sz w:val="24"/>
          <w:szCs w:val="24"/>
          <w:lang w:val="en-US"/>
        </w:rPr>
        <w:t xml:space="preserve">, </w:t>
      </w:r>
      <w:r w:rsidRPr="000668F6">
        <w:rPr>
          <w:i/>
          <w:sz w:val="24"/>
          <w:szCs w:val="24"/>
          <w:lang w:val="en-US"/>
        </w:rPr>
        <w:t>Journal of Finance</w:t>
      </w:r>
      <w:r>
        <w:rPr>
          <w:sz w:val="24"/>
          <w:szCs w:val="24"/>
          <w:lang w:val="en-US"/>
        </w:rPr>
        <w:t xml:space="preserve"> 69, 325-361.</w:t>
      </w:r>
    </w:p>
    <w:p w14:paraId="3790880D"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Anthony, J. H. and K. Ramesh, 1992, Association between accounting performance measures and stock prices: a test of the </w:t>
      </w:r>
      <w:r w:rsidRPr="00DC51AD">
        <w:rPr>
          <w:noProof/>
          <w:sz w:val="24"/>
          <w:szCs w:val="24"/>
          <w:lang w:val="en-US"/>
        </w:rPr>
        <w:t>life cycle</w:t>
      </w:r>
      <w:r w:rsidRPr="008319F4">
        <w:rPr>
          <w:sz w:val="24"/>
          <w:szCs w:val="24"/>
          <w:lang w:val="en-US"/>
        </w:rPr>
        <w:t xml:space="preserve"> hypothesis, </w:t>
      </w:r>
      <w:r w:rsidRPr="008319F4">
        <w:rPr>
          <w:i/>
          <w:sz w:val="24"/>
          <w:szCs w:val="24"/>
          <w:lang w:val="en-US"/>
        </w:rPr>
        <w:t>Journal of Accounting and Economics</w:t>
      </w:r>
      <w:r w:rsidRPr="008319F4">
        <w:rPr>
          <w:sz w:val="24"/>
          <w:szCs w:val="24"/>
          <w:lang w:val="en-US"/>
        </w:rPr>
        <w:t xml:space="preserve"> 15, 203-227.</w:t>
      </w:r>
    </w:p>
    <w:p w14:paraId="3EC03F34"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Banz, R. </w:t>
      </w:r>
      <w:r w:rsidRPr="00DC51AD">
        <w:rPr>
          <w:noProof/>
          <w:sz w:val="24"/>
          <w:szCs w:val="24"/>
          <w:lang w:val="en-US"/>
        </w:rPr>
        <w:t>W.</w:t>
      </w:r>
      <w:r w:rsidRPr="008319F4">
        <w:rPr>
          <w:sz w:val="24"/>
          <w:szCs w:val="24"/>
          <w:lang w:val="en-US"/>
        </w:rPr>
        <w:t xml:space="preserve"> and W. J. Breen, 1986, Sample-dependent results using accounting and market data: some evidence, </w:t>
      </w:r>
      <w:r w:rsidRPr="008319F4">
        <w:rPr>
          <w:i/>
          <w:sz w:val="24"/>
          <w:szCs w:val="24"/>
          <w:lang w:val="en-US"/>
        </w:rPr>
        <w:t>Journal of Finance</w:t>
      </w:r>
      <w:r w:rsidRPr="008319F4">
        <w:rPr>
          <w:sz w:val="24"/>
          <w:szCs w:val="24"/>
          <w:lang w:val="en-US"/>
        </w:rPr>
        <w:t xml:space="preserve"> 41, 779-793.</w:t>
      </w:r>
    </w:p>
    <w:p w14:paraId="7045779E" w14:textId="0F4155E0" w:rsidR="0017317D" w:rsidRPr="008319F4" w:rsidRDefault="0017317D" w:rsidP="003653D5">
      <w:pPr>
        <w:spacing w:line="480" w:lineRule="auto"/>
        <w:ind w:left="900" w:hanging="900"/>
        <w:jc w:val="both"/>
        <w:rPr>
          <w:sz w:val="24"/>
          <w:szCs w:val="24"/>
          <w:lang w:val="en-US"/>
        </w:rPr>
      </w:pPr>
      <w:r w:rsidRPr="008319F4">
        <w:rPr>
          <w:sz w:val="24"/>
          <w:szCs w:val="24"/>
          <w:lang w:val="en-US"/>
        </w:rPr>
        <w:t>Barberi</w:t>
      </w:r>
      <w:r w:rsidR="00BD47B4" w:rsidRPr="008319F4">
        <w:rPr>
          <w:sz w:val="24"/>
          <w:szCs w:val="24"/>
          <w:lang w:val="en-US"/>
        </w:rPr>
        <w:t>s, N., A. Shleifer and R. Vishn</w:t>
      </w:r>
      <w:r w:rsidRPr="008319F4">
        <w:rPr>
          <w:sz w:val="24"/>
          <w:szCs w:val="24"/>
          <w:lang w:val="en-US"/>
        </w:rPr>
        <w:t xml:space="preserve">y, 1998, A model of investor sentiment, </w:t>
      </w:r>
      <w:r w:rsidRPr="008319F4">
        <w:rPr>
          <w:i/>
          <w:sz w:val="24"/>
          <w:szCs w:val="24"/>
          <w:lang w:val="en-US"/>
        </w:rPr>
        <w:t>Journal of Financial Economics</w:t>
      </w:r>
      <w:r w:rsidRPr="008319F4">
        <w:rPr>
          <w:sz w:val="24"/>
          <w:szCs w:val="24"/>
          <w:lang w:val="en-US"/>
        </w:rPr>
        <w:t xml:space="preserve"> 49, 307-343.</w:t>
      </w:r>
    </w:p>
    <w:p w14:paraId="340ADE69"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Barron, O. and P. Stuerke, 1998, Dispersion in analyst’s earnings forecasts as a measure of uncertainty, </w:t>
      </w:r>
      <w:r w:rsidRPr="008319F4">
        <w:rPr>
          <w:i/>
          <w:sz w:val="24"/>
          <w:szCs w:val="24"/>
          <w:lang w:val="en-US"/>
        </w:rPr>
        <w:t>Journal of Accounting, Auditing, and Finance</w:t>
      </w:r>
      <w:r w:rsidRPr="008319F4">
        <w:rPr>
          <w:sz w:val="24"/>
          <w:szCs w:val="24"/>
          <w:lang w:val="en-US"/>
        </w:rPr>
        <w:t xml:space="preserve"> 13, 243-268.</w:t>
      </w:r>
    </w:p>
    <w:p w14:paraId="20033F48"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Barry, C. B. and S. J. Brown, 1985, Differential information and security market equilibrium, </w:t>
      </w:r>
      <w:r w:rsidRPr="008319F4">
        <w:rPr>
          <w:i/>
          <w:sz w:val="24"/>
          <w:szCs w:val="24"/>
          <w:lang w:val="en-US"/>
        </w:rPr>
        <w:t>Journal of Financial and Quantitative Analysis</w:t>
      </w:r>
      <w:r w:rsidRPr="008319F4">
        <w:rPr>
          <w:sz w:val="24"/>
          <w:szCs w:val="24"/>
          <w:lang w:val="en-US"/>
        </w:rPr>
        <w:t xml:space="preserve"> 20, 407-422.</w:t>
      </w:r>
    </w:p>
    <w:p w14:paraId="379F7E87"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Buehler, R., D. Griffin and M. Ross, 1994, Exploring the planning fallacy: why people underestimate their task completion times, </w:t>
      </w:r>
      <w:r w:rsidRPr="008319F4">
        <w:rPr>
          <w:i/>
          <w:sz w:val="24"/>
          <w:szCs w:val="24"/>
          <w:lang w:val="en-US"/>
        </w:rPr>
        <w:t>Journal of Personality and Social Psychology</w:t>
      </w:r>
      <w:r w:rsidRPr="008319F4">
        <w:rPr>
          <w:sz w:val="24"/>
          <w:szCs w:val="24"/>
          <w:lang w:val="en-US"/>
        </w:rPr>
        <w:t xml:space="preserve"> 67, 366−381.</w:t>
      </w:r>
    </w:p>
    <w:p w14:paraId="4EEC1071" w14:textId="6B37CCFB" w:rsidR="0017317D" w:rsidRPr="008319F4" w:rsidRDefault="0017317D" w:rsidP="00BD47B4">
      <w:pPr>
        <w:spacing w:line="480" w:lineRule="auto"/>
        <w:ind w:left="900" w:hanging="900"/>
        <w:jc w:val="both"/>
        <w:rPr>
          <w:sz w:val="24"/>
          <w:szCs w:val="24"/>
        </w:rPr>
      </w:pPr>
      <w:r w:rsidRPr="008319F4">
        <w:rPr>
          <w:sz w:val="24"/>
          <w:szCs w:val="24"/>
        </w:rPr>
        <w:t xml:space="preserve">Bulan, L., N. Subramanian and L. Tanlu, 2007, On the timing of dividend initiations, </w:t>
      </w:r>
      <w:r w:rsidRPr="008319F4">
        <w:rPr>
          <w:i/>
          <w:iCs/>
          <w:sz w:val="24"/>
          <w:szCs w:val="24"/>
        </w:rPr>
        <w:t xml:space="preserve">Financial Management </w:t>
      </w:r>
      <w:r w:rsidRPr="008319F4">
        <w:rPr>
          <w:sz w:val="24"/>
          <w:szCs w:val="24"/>
        </w:rPr>
        <w:t>36, 31-65.</w:t>
      </w:r>
    </w:p>
    <w:p w14:paraId="513FAFAB" w14:textId="77777777" w:rsidR="0017317D" w:rsidRPr="008319F4" w:rsidRDefault="0017317D" w:rsidP="003653D5">
      <w:pPr>
        <w:spacing w:line="480" w:lineRule="auto"/>
        <w:ind w:left="900" w:hanging="900"/>
        <w:jc w:val="both"/>
        <w:rPr>
          <w:sz w:val="24"/>
          <w:szCs w:val="24"/>
        </w:rPr>
      </w:pPr>
      <w:r w:rsidRPr="008319F4">
        <w:rPr>
          <w:sz w:val="24"/>
          <w:szCs w:val="24"/>
        </w:rPr>
        <w:lastRenderedPageBreak/>
        <w:t xml:space="preserve">Chen, L. and L. Zhang, 2010, A better three-factor model that explains more anomalies, </w:t>
      </w:r>
      <w:r w:rsidRPr="008319F4">
        <w:rPr>
          <w:i/>
          <w:sz w:val="24"/>
          <w:szCs w:val="24"/>
        </w:rPr>
        <w:t>Journal of Finance</w:t>
      </w:r>
      <w:r w:rsidRPr="008319F4">
        <w:rPr>
          <w:sz w:val="24"/>
          <w:szCs w:val="24"/>
        </w:rPr>
        <w:t xml:space="preserve"> 65, 563-595.</w:t>
      </w:r>
    </w:p>
    <w:p w14:paraId="13430D30" w14:textId="77777777" w:rsidR="0017317D" w:rsidRPr="008319F4" w:rsidRDefault="0017317D" w:rsidP="003653D5">
      <w:pPr>
        <w:spacing w:line="480" w:lineRule="auto"/>
        <w:ind w:left="900" w:hanging="900"/>
        <w:jc w:val="both"/>
        <w:rPr>
          <w:sz w:val="24"/>
          <w:szCs w:val="24"/>
        </w:rPr>
      </w:pPr>
      <w:r w:rsidRPr="008319F4">
        <w:rPr>
          <w:sz w:val="24"/>
          <w:szCs w:val="24"/>
        </w:rPr>
        <w:t xml:space="preserve">Cochrane, J., 1991, Production-based asset pricing and the link between stock returns and economic fluctuations, </w:t>
      </w:r>
      <w:r w:rsidRPr="008319F4">
        <w:rPr>
          <w:i/>
          <w:sz w:val="24"/>
          <w:szCs w:val="24"/>
        </w:rPr>
        <w:t>Journal of Finance</w:t>
      </w:r>
      <w:r w:rsidRPr="008319F4">
        <w:rPr>
          <w:sz w:val="24"/>
          <w:szCs w:val="24"/>
        </w:rPr>
        <w:t xml:space="preserve"> 46, 209-237.</w:t>
      </w:r>
    </w:p>
    <w:p w14:paraId="0E5DAAA8" w14:textId="77777777" w:rsidR="0017317D" w:rsidRPr="008319F4" w:rsidRDefault="0017317D" w:rsidP="003653D5">
      <w:pPr>
        <w:spacing w:line="480" w:lineRule="auto"/>
        <w:ind w:left="900" w:hanging="900"/>
        <w:jc w:val="both"/>
        <w:rPr>
          <w:sz w:val="24"/>
          <w:szCs w:val="24"/>
          <w:lang w:val="en-US"/>
        </w:rPr>
      </w:pPr>
      <w:r w:rsidRPr="008319F4">
        <w:rPr>
          <w:sz w:val="24"/>
          <w:szCs w:val="24"/>
        </w:rPr>
        <w:t xml:space="preserve">Cochrane, J., 1996, A cross-sectional test of an investment-based asset pricing model, </w:t>
      </w:r>
      <w:r w:rsidRPr="008319F4">
        <w:rPr>
          <w:i/>
          <w:sz w:val="24"/>
          <w:szCs w:val="24"/>
        </w:rPr>
        <w:t>Journal of Political Economy</w:t>
      </w:r>
      <w:r w:rsidRPr="008319F4">
        <w:rPr>
          <w:sz w:val="24"/>
          <w:szCs w:val="24"/>
        </w:rPr>
        <w:t xml:space="preserve"> 104, 572-621.</w:t>
      </w:r>
    </w:p>
    <w:p w14:paraId="3A6895B2"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Cooper, M. J., H. Gulen and M. J. Schill, 2008, Asset growth and the cross-section of stock returns, </w:t>
      </w:r>
      <w:r w:rsidRPr="008319F4">
        <w:rPr>
          <w:i/>
          <w:sz w:val="24"/>
          <w:szCs w:val="24"/>
          <w:lang w:val="en-US"/>
        </w:rPr>
        <w:t>Journal of Finance</w:t>
      </w:r>
      <w:r w:rsidRPr="008319F4">
        <w:rPr>
          <w:sz w:val="24"/>
          <w:szCs w:val="24"/>
          <w:lang w:val="en-US"/>
        </w:rPr>
        <w:t xml:space="preserve"> 63, 1609-1649.</w:t>
      </w:r>
    </w:p>
    <w:p w14:paraId="59439D03"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DeAngelo, H., L. DeAngelo and R. M. Stulz, 2006, Dividend policy and the earned/contributed capital mix: a test of the life-cycle theory, </w:t>
      </w:r>
      <w:r w:rsidRPr="008319F4">
        <w:rPr>
          <w:i/>
          <w:sz w:val="24"/>
          <w:szCs w:val="24"/>
          <w:lang w:val="en-US"/>
        </w:rPr>
        <w:t>Journal of Financial Economics</w:t>
      </w:r>
      <w:r w:rsidRPr="008319F4">
        <w:rPr>
          <w:sz w:val="24"/>
          <w:szCs w:val="24"/>
          <w:lang w:val="en-US"/>
        </w:rPr>
        <w:t xml:space="preserve"> 81, 227-254.</w:t>
      </w:r>
    </w:p>
    <w:p w14:paraId="53E3EBC9" w14:textId="21E86654" w:rsidR="00131D5A" w:rsidRPr="000668F6" w:rsidRDefault="00131D5A" w:rsidP="003653D5">
      <w:pPr>
        <w:spacing w:line="480" w:lineRule="auto"/>
        <w:ind w:left="900" w:hanging="900"/>
        <w:jc w:val="both"/>
        <w:rPr>
          <w:sz w:val="24"/>
          <w:szCs w:val="24"/>
          <w:lang w:val="en-US"/>
        </w:rPr>
      </w:pPr>
      <w:r w:rsidRPr="000668F6">
        <w:rPr>
          <w:sz w:val="24"/>
          <w:szCs w:val="24"/>
          <w:lang w:val="en-US"/>
        </w:rPr>
        <w:t>DeAngelo, H., L. DeAngelo and R. M. Stulz, 2010, Seasoned equity offerings, market timing, and the corporate lifecycle, Journal of Financial Economics 95, 275-295.</w:t>
      </w:r>
    </w:p>
    <w:p w14:paraId="11EB63A5" w14:textId="77777777" w:rsidR="0017317D" w:rsidRPr="008319F4" w:rsidRDefault="0017317D" w:rsidP="003653D5">
      <w:pPr>
        <w:spacing w:line="480" w:lineRule="auto"/>
        <w:ind w:left="900" w:hanging="900"/>
        <w:jc w:val="both"/>
        <w:rPr>
          <w:sz w:val="24"/>
          <w:szCs w:val="24"/>
          <w:lang w:val="en-US"/>
        </w:rPr>
      </w:pPr>
      <w:r w:rsidRPr="008319F4">
        <w:rPr>
          <w:sz w:val="24"/>
          <w:szCs w:val="24"/>
        </w:rPr>
        <w:t xml:space="preserve">Dickinson, V., 2011, Cash flow patterns as a proxy for firm life cycle, </w:t>
      </w:r>
      <w:r w:rsidRPr="008319F4">
        <w:rPr>
          <w:i/>
          <w:sz w:val="24"/>
          <w:szCs w:val="24"/>
        </w:rPr>
        <w:t>The Accounting Review</w:t>
      </w:r>
      <w:r w:rsidRPr="008319F4">
        <w:rPr>
          <w:sz w:val="24"/>
          <w:szCs w:val="24"/>
        </w:rPr>
        <w:t xml:space="preserve"> 86, 1969-1994.</w:t>
      </w:r>
    </w:p>
    <w:p w14:paraId="0E5A6578"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Diether, K. B., C. J. Malloy and A. Scherbina, 2002, Difference of opinion and the </w:t>
      </w:r>
      <w:r w:rsidRPr="00DC51AD">
        <w:rPr>
          <w:noProof/>
          <w:sz w:val="24"/>
          <w:szCs w:val="24"/>
          <w:lang w:val="en-US"/>
        </w:rPr>
        <w:t>cross section</w:t>
      </w:r>
      <w:r w:rsidRPr="008319F4">
        <w:rPr>
          <w:sz w:val="24"/>
          <w:szCs w:val="24"/>
          <w:lang w:val="en-US"/>
        </w:rPr>
        <w:t xml:space="preserve"> of stock returns, </w:t>
      </w:r>
      <w:r w:rsidRPr="008319F4">
        <w:rPr>
          <w:i/>
          <w:sz w:val="24"/>
          <w:szCs w:val="24"/>
          <w:lang w:val="en-US"/>
        </w:rPr>
        <w:t>Journal of Finance</w:t>
      </w:r>
      <w:r w:rsidRPr="008319F4">
        <w:rPr>
          <w:sz w:val="24"/>
          <w:szCs w:val="24"/>
          <w:lang w:val="en-US"/>
        </w:rPr>
        <w:t xml:space="preserve"> 57, 2113-2141.</w:t>
      </w:r>
    </w:p>
    <w:p w14:paraId="3CF36CBC" w14:textId="77777777" w:rsidR="00CD0A2F" w:rsidRPr="008319F4" w:rsidRDefault="00CD0A2F" w:rsidP="003653D5">
      <w:pPr>
        <w:spacing w:line="480" w:lineRule="auto"/>
        <w:ind w:left="900" w:hanging="900"/>
        <w:jc w:val="both"/>
        <w:rPr>
          <w:sz w:val="24"/>
          <w:szCs w:val="24"/>
          <w:lang w:val="en-US"/>
        </w:rPr>
      </w:pPr>
      <w:r w:rsidRPr="008319F4">
        <w:rPr>
          <w:sz w:val="24"/>
          <w:szCs w:val="24"/>
          <w:lang w:val="en-US"/>
        </w:rPr>
        <w:t xml:space="preserve">Dong, M, D. Hirshleifer and S. H. Teoh, 2012, Overvalued equity and financing decisions, </w:t>
      </w:r>
      <w:r w:rsidRPr="008319F4">
        <w:rPr>
          <w:i/>
          <w:sz w:val="24"/>
          <w:szCs w:val="24"/>
          <w:lang w:val="en-US"/>
        </w:rPr>
        <w:t>Review of Financial Studies</w:t>
      </w:r>
      <w:r w:rsidRPr="008319F4">
        <w:rPr>
          <w:sz w:val="24"/>
          <w:szCs w:val="24"/>
          <w:lang w:val="en-US"/>
        </w:rPr>
        <w:t xml:space="preserve"> 25, 3645-3683.   </w:t>
      </w:r>
    </w:p>
    <w:p w14:paraId="619F2E5A"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Fama, E. </w:t>
      </w:r>
      <w:r w:rsidRPr="00DC51AD">
        <w:rPr>
          <w:noProof/>
          <w:sz w:val="24"/>
          <w:szCs w:val="24"/>
          <w:lang w:val="en-US"/>
        </w:rPr>
        <w:t>F.</w:t>
      </w:r>
      <w:r w:rsidRPr="008319F4">
        <w:rPr>
          <w:sz w:val="24"/>
          <w:szCs w:val="24"/>
          <w:lang w:val="en-US"/>
        </w:rPr>
        <w:t xml:space="preserve"> and K. R. French, 1993, Common risk factors in the returns on stocks and bonds, </w:t>
      </w:r>
      <w:r w:rsidRPr="008319F4">
        <w:rPr>
          <w:i/>
          <w:sz w:val="24"/>
          <w:szCs w:val="24"/>
          <w:lang w:val="en-US"/>
        </w:rPr>
        <w:t>Journal of Financial Economics</w:t>
      </w:r>
      <w:r w:rsidRPr="008319F4">
        <w:rPr>
          <w:sz w:val="24"/>
          <w:szCs w:val="24"/>
          <w:lang w:val="en-US"/>
        </w:rPr>
        <w:t xml:space="preserve"> 33, 3-56.</w:t>
      </w:r>
    </w:p>
    <w:p w14:paraId="32C22C88"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lastRenderedPageBreak/>
        <w:t xml:space="preserve">Fama, E. F. and K. R. French, 2008, Dissecting anomalies, </w:t>
      </w:r>
      <w:r w:rsidRPr="008319F4">
        <w:rPr>
          <w:i/>
          <w:sz w:val="24"/>
          <w:szCs w:val="24"/>
          <w:lang w:val="en-US"/>
        </w:rPr>
        <w:t>Journal of Finance</w:t>
      </w:r>
      <w:r w:rsidRPr="008319F4">
        <w:rPr>
          <w:sz w:val="24"/>
          <w:szCs w:val="24"/>
          <w:lang w:val="en-US"/>
        </w:rPr>
        <w:t xml:space="preserve"> 63, 1653-1678. </w:t>
      </w:r>
    </w:p>
    <w:p w14:paraId="32197679" w14:textId="7419569C" w:rsidR="000507E9" w:rsidRPr="008319F4" w:rsidRDefault="0017317D" w:rsidP="003653D5">
      <w:pPr>
        <w:spacing w:line="480" w:lineRule="auto"/>
        <w:ind w:left="900" w:hanging="900"/>
        <w:jc w:val="both"/>
        <w:rPr>
          <w:sz w:val="24"/>
          <w:szCs w:val="24"/>
          <w:lang w:val="en-US"/>
        </w:rPr>
      </w:pPr>
      <w:r w:rsidRPr="008319F4">
        <w:rPr>
          <w:sz w:val="24"/>
          <w:szCs w:val="24"/>
          <w:lang w:val="en-US"/>
        </w:rPr>
        <w:t xml:space="preserve">Fama, E. F. and J. D. MacBeth, 1973, Risk, return and equilibrium: empirical tests, </w:t>
      </w:r>
      <w:r w:rsidRPr="008319F4">
        <w:rPr>
          <w:i/>
          <w:sz w:val="24"/>
          <w:szCs w:val="24"/>
          <w:lang w:val="en-US"/>
        </w:rPr>
        <w:t>Journal of Political Economy</w:t>
      </w:r>
      <w:r w:rsidRPr="008319F4">
        <w:rPr>
          <w:sz w:val="24"/>
          <w:szCs w:val="24"/>
          <w:lang w:val="en-US"/>
        </w:rPr>
        <w:t xml:space="preserve"> 81, 607-636.  </w:t>
      </w:r>
    </w:p>
    <w:p w14:paraId="609CD264" w14:textId="3F311D01" w:rsidR="00411EC7" w:rsidRPr="000668F6" w:rsidRDefault="00411EC7" w:rsidP="003653D5">
      <w:pPr>
        <w:spacing w:line="480" w:lineRule="auto"/>
        <w:ind w:left="900" w:hanging="900"/>
        <w:jc w:val="both"/>
        <w:rPr>
          <w:sz w:val="24"/>
          <w:szCs w:val="24"/>
        </w:rPr>
      </w:pPr>
      <w:r w:rsidRPr="00411EC7">
        <w:rPr>
          <w:sz w:val="24"/>
          <w:szCs w:val="24"/>
          <w:lang w:val="en-US"/>
        </w:rPr>
        <w:t>Hirsch</w:t>
      </w:r>
      <w:r>
        <w:rPr>
          <w:sz w:val="24"/>
          <w:szCs w:val="24"/>
          <w:lang w:val="en-US"/>
        </w:rPr>
        <w:t xml:space="preserve">, J. and U. Walz, </w:t>
      </w:r>
      <w:r w:rsidRPr="00411EC7">
        <w:rPr>
          <w:sz w:val="24"/>
          <w:szCs w:val="24"/>
          <w:lang w:val="en-US"/>
        </w:rPr>
        <w:t>2011</w:t>
      </w:r>
      <w:r>
        <w:rPr>
          <w:sz w:val="24"/>
          <w:szCs w:val="24"/>
          <w:lang w:val="en-US"/>
        </w:rPr>
        <w:t>, Financing decisions along a firm’s life-cycle: debt as a commitment d</w:t>
      </w:r>
      <w:r w:rsidRPr="00411EC7">
        <w:rPr>
          <w:sz w:val="24"/>
          <w:szCs w:val="24"/>
          <w:lang w:val="en-US"/>
        </w:rPr>
        <w:t>evice</w:t>
      </w:r>
      <w:r>
        <w:rPr>
          <w:sz w:val="24"/>
          <w:szCs w:val="24"/>
          <w:lang w:val="en-US"/>
        </w:rPr>
        <w:t xml:space="preserve">, </w:t>
      </w:r>
      <w:r w:rsidRPr="000668F6">
        <w:rPr>
          <w:i/>
          <w:sz w:val="24"/>
          <w:szCs w:val="24"/>
          <w:lang w:val="en-US"/>
        </w:rPr>
        <w:t>European Financial Management</w:t>
      </w:r>
      <w:r>
        <w:rPr>
          <w:sz w:val="24"/>
          <w:szCs w:val="24"/>
          <w:lang w:val="en-US"/>
        </w:rPr>
        <w:t xml:space="preserve"> 17, 898-927.</w:t>
      </w:r>
    </w:p>
    <w:p w14:paraId="15E2C75E" w14:textId="25EF1C69" w:rsidR="000507E9" w:rsidRPr="008319F4" w:rsidRDefault="000507E9" w:rsidP="003653D5">
      <w:pPr>
        <w:spacing w:line="480" w:lineRule="auto"/>
        <w:ind w:left="900" w:hanging="900"/>
        <w:jc w:val="both"/>
        <w:rPr>
          <w:sz w:val="24"/>
          <w:szCs w:val="24"/>
          <w:lang w:val="en-US"/>
        </w:rPr>
      </w:pPr>
      <w:r w:rsidRPr="008319F4">
        <w:rPr>
          <w:sz w:val="24"/>
          <w:szCs w:val="24"/>
          <w:lang w:val="en-US"/>
        </w:rPr>
        <w:t xml:space="preserve">Hong, H. and J. C. Stein, 1999, A unified theory of underreaction, momentum trading, and overreaction in asset markets, </w:t>
      </w:r>
      <w:r w:rsidRPr="008319F4">
        <w:rPr>
          <w:i/>
          <w:sz w:val="24"/>
          <w:szCs w:val="24"/>
          <w:lang w:val="en-US"/>
        </w:rPr>
        <w:t>Journal of Finance</w:t>
      </w:r>
      <w:r w:rsidRPr="008319F4">
        <w:rPr>
          <w:sz w:val="24"/>
          <w:szCs w:val="24"/>
          <w:lang w:val="en-US"/>
        </w:rPr>
        <w:t xml:space="preserve"> 54, 2143-2184.</w:t>
      </w:r>
    </w:p>
    <w:p w14:paraId="6A1B28C0"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Hong, H., T. Lim and J. C. Stein, 2000, Bad news travels slowly: </w:t>
      </w:r>
      <w:r w:rsidRPr="00DC51AD">
        <w:rPr>
          <w:noProof/>
          <w:sz w:val="24"/>
          <w:szCs w:val="24"/>
          <w:lang w:val="en-US"/>
        </w:rPr>
        <w:t>size</w:t>
      </w:r>
      <w:r w:rsidRPr="008319F4">
        <w:rPr>
          <w:sz w:val="24"/>
          <w:szCs w:val="24"/>
          <w:lang w:val="en-US"/>
        </w:rPr>
        <w:t>, analyst coverage, and the profitability of momentum strategies</w:t>
      </w:r>
      <w:r w:rsidRPr="008319F4">
        <w:rPr>
          <w:i/>
          <w:sz w:val="24"/>
          <w:szCs w:val="24"/>
          <w:lang w:val="en-US"/>
        </w:rPr>
        <w:t>, Journal of Finance</w:t>
      </w:r>
      <w:r w:rsidRPr="008319F4">
        <w:rPr>
          <w:sz w:val="24"/>
          <w:szCs w:val="24"/>
          <w:lang w:val="en-US"/>
        </w:rPr>
        <w:t xml:space="preserve"> 55, 265-295.</w:t>
      </w:r>
    </w:p>
    <w:p w14:paraId="4E3525E4" w14:textId="617F6636" w:rsidR="00AC17F2" w:rsidRDefault="00AC17F2" w:rsidP="003653D5">
      <w:pPr>
        <w:spacing w:line="480" w:lineRule="auto"/>
        <w:ind w:left="900" w:hanging="900"/>
        <w:jc w:val="both"/>
        <w:rPr>
          <w:sz w:val="24"/>
          <w:szCs w:val="24"/>
          <w:lang w:val="en-US"/>
        </w:rPr>
      </w:pPr>
      <w:r>
        <w:rPr>
          <w:sz w:val="24"/>
          <w:szCs w:val="24"/>
          <w:lang w:val="en-US"/>
        </w:rPr>
        <w:t>Hribar, P. and N. Yehuda, 2015, The mispricing of cash flows and accruals at different life-cycle s</w:t>
      </w:r>
      <w:r w:rsidRPr="00AC17F2">
        <w:rPr>
          <w:sz w:val="24"/>
          <w:szCs w:val="24"/>
          <w:lang w:val="en-US"/>
        </w:rPr>
        <w:t>tages</w:t>
      </w:r>
      <w:r>
        <w:rPr>
          <w:sz w:val="24"/>
          <w:szCs w:val="24"/>
          <w:lang w:val="en-US"/>
        </w:rPr>
        <w:t xml:space="preserve">, </w:t>
      </w:r>
      <w:r w:rsidRPr="000668F6">
        <w:rPr>
          <w:i/>
          <w:sz w:val="24"/>
          <w:szCs w:val="24"/>
          <w:lang w:val="en-US"/>
        </w:rPr>
        <w:t>Contemporary Accounting Research</w:t>
      </w:r>
      <w:r>
        <w:rPr>
          <w:sz w:val="24"/>
          <w:szCs w:val="24"/>
          <w:lang w:val="en-US"/>
        </w:rPr>
        <w:t xml:space="preserve"> 32, </w:t>
      </w:r>
      <w:r w:rsidRPr="00AC17F2">
        <w:rPr>
          <w:sz w:val="24"/>
          <w:szCs w:val="24"/>
          <w:lang w:val="en-US"/>
        </w:rPr>
        <w:t>1053–1072</w:t>
      </w:r>
      <w:r w:rsidR="00131D5A">
        <w:rPr>
          <w:sz w:val="24"/>
          <w:szCs w:val="24"/>
          <w:lang w:val="en-US"/>
        </w:rPr>
        <w:t>.</w:t>
      </w:r>
      <w:r>
        <w:rPr>
          <w:sz w:val="24"/>
          <w:szCs w:val="24"/>
          <w:lang w:val="en-US"/>
        </w:rPr>
        <w:t xml:space="preserve">  </w:t>
      </w:r>
    </w:p>
    <w:p w14:paraId="2EF748DC"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Lakonishok, J. and T. Vermaelen, 1990, Anomalous price behavior around repurchase tender offer, </w:t>
      </w:r>
      <w:r w:rsidRPr="008319F4">
        <w:rPr>
          <w:i/>
          <w:sz w:val="24"/>
          <w:szCs w:val="24"/>
          <w:lang w:val="en-US"/>
        </w:rPr>
        <w:t>Journal of Finance</w:t>
      </w:r>
      <w:r w:rsidRPr="008319F4">
        <w:rPr>
          <w:sz w:val="24"/>
          <w:szCs w:val="24"/>
          <w:lang w:val="en-US"/>
        </w:rPr>
        <w:t xml:space="preserve"> 45, 455-477.</w:t>
      </w:r>
    </w:p>
    <w:p w14:paraId="5FB2E41B"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Lakonishok, J. A.Shleifer and R. Vishny, 1994, Contrarian investment, extrapolation, and risk, </w:t>
      </w:r>
      <w:r w:rsidRPr="008319F4">
        <w:rPr>
          <w:i/>
          <w:sz w:val="24"/>
          <w:szCs w:val="24"/>
          <w:lang w:val="en-US"/>
        </w:rPr>
        <w:t>Journal of Finance</w:t>
      </w:r>
      <w:r w:rsidRPr="008319F4">
        <w:rPr>
          <w:sz w:val="24"/>
          <w:szCs w:val="24"/>
          <w:lang w:val="en-US"/>
        </w:rPr>
        <w:t xml:space="preserve"> 49, 1541-78. </w:t>
      </w:r>
    </w:p>
    <w:p w14:paraId="6CE5C4E2"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Lam, F. Y. and K. C. Wei, 2011, Limits-to-arbitrage, investment frictions, and the asset growth anomaly, </w:t>
      </w:r>
      <w:r w:rsidRPr="008319F4">
        <w:rPr>
          <w:i/>
          <w:sz w:val="24"/>
          <w:szCs w:val="24"/>
          <w:lang w:val="en-US"/>
        </w:rPr>
        <w:t>Journal of Financial Economics</w:t>
      </w:r>
      <w:r w:rsidRPr="008319F4">
        <w:rPr>
          <w:sz w:val="24"/>
          <w:szCs w:val="24"/>
          <w:lang w:val="en-US"/>
        </w:rPr>
        <w:t xml:space="preserve"> 102, 127-149.</w:t>
      </w:r>
    </w:p>
    <w:p w14:paraId="45BF1394"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Li, X. N., D. Livdan and L. Zhang, 2009, Anomalies, </w:t>
      </w:r>
      <w:r w:rsidRPr="008319F4">
        <w:rPr>
          <w:i/>
          <w:sz w:val="24"/>
          <w:szCs w:val="24"/>
          <w:lang w:val="en-US"/>
        </w:rPr>
        <w:t>Review of Financial Studies</w:t>
      </w:r>
      <w:r w:rsidRPr="008319F4">
        <w:rPr>
          <w:sz w:val="24"/>
          <w:szCs w:val="24"/>
          <w:lang w:val="en-US"/>
        </w:rPr>
        <w:t xml:space="preserve"> 22, 4301-4334.</w:t>
      </w:r>
    </w:p>
    <w:p w14:paraId="4E5EE9CF"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Li, D. M. and L. Zhang, 2010, Does q-theory with investment frictions explain anomalies in the cross section of returns?, </w:t>
      </w:r>
      <w:r w:rsidRPr="008319F4">
        <w:rPr>
          <w:i/>
          <w:sz w:val="24"/>
          <w:szCs w:val="24"/>
          <w:lang w:val="en-US"/>
        </w:rPr>
        <w:t>Journal of Financial Economics</w:t>
      </w:r>
      <w:r w:rsidRPr="008319F4">
        <w:rPr>
          <w:sz w:val="24"/>
          <w:szCs w:val="24"/>
          <w:lang w:val="en-US"/>
        </w:rPr>
        <w:t xml:space="preserve"> 98, 297-314.</w:t>
      </w:r>
    </w:p>
    <w:p w14:paraId="2A3C8A42"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lastRenderedPageBreak/>
        <w:t xml:space="preserve">Lipson, M. L., S. Mortal, and M. J. Schill, 2011, On the scope and drivers of the asset growth effect, </w:t>
      </w:r>
      <w:r w:rsidRPr="008319F4">
        <w:rPr>
          <w:i/>
          <w:sz w:val="24"/>
          <w:szCs w:val="24"/>
          <w:lang w:val="en-US"/>
        </w:rPr>
        <w:t>Journal of Financial and Quantitative Analysis</w:t>
      </w:r>
      <w:r w:rsidRPr="008319F4">
        <w:rPr>
          <w:sz w:val="24"/>
          <w:szCs w:val="24"/>
          <w:lang w:val="en-US"/>
        </w:rPr>
        <w:t xml:space="preserve"> 46, 1651-1682. </w:t>
      </w:r>
    </w:p>
    <w:p w14:paraId="4E7FA0A0" w14:textId="472A755C" w:rsidR="00CD0A2F" w:rsidRPr="008319F4" w:rsidRDefault="0017317D" w:rsidP="00BD47B4">
      <w:pPr>
        <w:spacing w:line="480" w:lineRule="auto"/>
        <w:ind w:left="900" w:hanging="900"/>
        <w:jc w:val="both"/>
        <w:rPr>
          <w:sz w:val="24"/>
          <w:szCs w:val="24"/>
          <w:lang w:val="en-US"/>
        </w:rPr>
      </w:pPr>
      <w:r w:rsidRPr="008319F4">
        <w:rPr>
          <w:sz w:val="24"/>
          <w:szCs w:val="24"/>
          <w:lang w:val="en-US"/>
        </w:rPr>
        <w:t xml:space="preserve">Loughran, T. and J. Ritter, 1995, The new issues puzzles, </w:t>
      </w:r>
      <w:r w:rsidRPr="008319F4">
        <w:rPr>
          <w:i/>
          <w:sz w:val="24"/>
          <w:szCs w:val="24"/>
          <w:lang w:val="en-US"/>
        </w:rPr>
        <w:t>Journal of Finance</w:t>
      </w:r>
      <w:r w:rsidRPr="008319F4">
        <w:rPr>
          <w:sz w:val="24"/>
          <w:szCs w:val="24"/>
          <w:lang w:val="en-US"/>
        </w:rPr>
        <w:t xml:space="preserve"> 50, 23-52. </w:t>
      </w:r>
      <w:r w:rsidR="00CD0A2F" w:rsidRPr="008319F4">
        <w:rPr>
          <w:sz w:val="24"/>
          <w:szCs w:val="24"/>
          <w:lang w:val="en-US"/>
        </w:rPr>
        <w:t xml:space="preserve">  </w:t>
      </w:r>
    </w:p>
    <w:p w14:paraId="1141F47E"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Newey, W. </w:t>
      </w:r>
      <w:r w:rsidRPr="00DC51AD">
        <w:rPr>
          <w:noProof/>
          <w:sz w:val="24"/>
          <w:szCs w:val="24"/>
          <w:lang w:val="en-US"/>
        </w:rPr>
        <w:t>K.</w:t>
      </w:r>
      <w:r w:rsidRPr="008319F4">
        <w:rPr>
          <w:sz w:val="24"/>
          <w:szCs w:val="24"/>
          <w:lang w:val="en-US"/>
        </w:rPr>
        <w:t xml:space="preserve"> and K. D. West, 1987, A simple, positive semi-definite, heteroskedasticity and autocorrelation consistent covariance matrix, </w:t>
      </w:r>
      <w:r w:rsidRPr="008319F4">
        <w:rPr>
          <w:i/>
          <w:sz w:val="24"/>
          <w:szCs w:val="24"/>
          <w:lang w:val="en-US"/>
        </w:rPr>
        <w:t>Econometrica</w:t>
      </w:r>
      <w:r w:rsidRPr="008319F4">
        <w:rPr>
          <w:sz w:val="24"/>
          <w:szCs w:val="24"/>
          <w:lang w:val="en-US"/>
        </w:rPr>
        <w:t xml:space="preserve"> 55, 703-708.</w:t>
      </w:r>
    </w:p>
    <w:p w14:paraId="2A4D3B80"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Pontiff, J., 1996, Costly arbitrage: evidence from closed-end funds, </w:t>
      </w:r>
      <w:r w:rsidRPr="008319F4">
        <w:rPr>
          <w:i/>
          <w:sz w:val="24"/>
          <w:szCs w:val="24"/>
          <w:lang w:val="en-US"/>
        </w:rPr>
        <w:t>Quarterly Journal of Economics</w:t>
      </w:r>
      <w:r w:rsidRPr="008319F4">
        <w:rPr>
          <w:sz w:val="24"/>
          <w:szCs w:val="24"/>
          <w:lang w:val="en-US"/>
        </w:rPr>
        <w:t xml:space="preserve"> 111, 1135-1152.</w:t>
      </w:r>
    </w:p>
    <w:p w14:paraId="46938412" w14:textId="77777777" w:rsidR="00BD47B4" w:rsidRPr="008319F4" w:rsidRDefault="0017317D" w:rsidP="00BD47B4">
      <w:pPr>
        <w:spacing w:line="480" w:lineRule="auto"/>
        <w:ind w:left="900" w:hanging="900"/>
        <w:jc w:val="both"/>
        <w:rPr>
          <w:sz w:val="24"/>
          <w:szCs w:val="24"/>
          <w:lang w:val="en-US"/>
        </w:rPr>
      </w:pPr>
      <w:r w:rsidRPr="008319F4">
        <w:rPr>
          <w:sz w:val="24"/>
          <w:szCs w:val="24"/>
          <w:lang w:val="en-US"/>
        </w:rPr>
        <w:t xml:space="preserve">Schwert, G.W., 2003, Anomalies and market efficiency, Chapter 15 in the </w:t>
      </w:r>
      <w:r w:rsidRPr="008319F4">
        <w:rPr>
          <w:i/>
          <w:sz w:val="24"/>
          <w:szCs w:val="24"/>
          <w:lang w:val="en-US"/>
        </w:rPr>
        <w:t>Handbook of the Economics of Finance</w:t>
      </w:r>
      <w:r w:rsidRPr="008319F4">
        <w:rPr>
          <w:sz w:val="24"/>
          <w:szCs w:val="24"/>
          <w:lang w:val="en-US"/>
        </w:rPr>
        <w:t>, eds. Constantinides, G., M. Harris and R.M. Stulz, North Holland.</w:t>
      </w:r>
    </w:p>
    <w:p w14:paraId="4A44E8F7" w14:textId="243E8B8B" w:rsidR="0017317D" w:rsidRPr="008319F4" w:rsidRDefault="0017317D" w:rsidP="00BD47B4">
      <w:pPr>
        <w:spacing w:line="480" w:lineRule="auto"/>
        <w:ind w:left="900" w:hanging="900"/>
        <w:jc w:val="both"/>
        <w:rPr>
          <w:sz w:val="24"/>
          <w:szCs w:val="24"/>
          <w:lang w:val="en-US"/>
        </w:rPr>
      </w:pPr>
      <w:r w:rsidRPr="008319F4">
        <w:rPr>
          <w:sz w:val="24"/>
          <w:szCs w:val="24"/>
          <w:lang w:val="en-US"/>
        </w:rPr>
        <w:t xml:space="preserve">Titman, S., K. C. J. Wei and F. Xie, 2013, Market Development and the Asset Growth Effect: International Evidence, </w:t>
      </w:r>
      <w:r w:rsidRPr="008319F4">
        <w:rPr>
          <w:i/>
          <w:sz w:val="24"/>
          <w:szCs w:val="24"/>
          <w:lang w:val="en-US"/>
        </w:rPr>
        <w:t>Journal of Financial and Quantitative Analysis</w:t>
      </w:r>
      <w:r w:rsidRPr="008319F4">
        <w:rPr>
          <w:sz w:val="24"/>
          <w:szCs w:val="24"/>
          <w:lang w:val="en-US"/>
        </w:rPr>
        <w:t xml:space="preserve"> 48, 1405-1432. </w:t>
      </w:r>
    </w:p>
    <w:p w14:paraId="50AA1635"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Tversky, A. and D. Kahneman, 1974, Judgment under uncertainty: heuristics and bias, </w:t>
      </w:r>
      <w:r w:rsidRPr="008319F4">
        <w:rPr>
          <w:i/>
          <w:sz w:val="24"/>
          <w:szCs w:val="24"/>
          <w:lang w:val="en-US"/>
        </w:rPr>
        <w:t>Science</w:t>
      </w:r>
      <w:r w:rsidRPr="008319F4">
        <w:rPr>
          <w:sz w:val="24"/>
          <w:szCs w:val="24"/>
          <w:lang w:val="en-US"/>
        </w:rPr>
        <w:t xml:space="preserve"> 185, 1124-1131.</w:t>
      </w:r>
    </w:p>
    <w:p w14:paraId="2822DE39"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Watanabe, A., Y. Xu, T. </w:t>
      </w:r>
      <w:r w:rsidRPr="00DC51AD">
        <w:rPr>
          <w:noProof/>
          <w:sz w:val="24"/>
          <w:szCs w:val="24"/>
          <w:lang w:val="en-US"/>
        </w:rPr>
        <w:t>Yao</w:t>
      </w:r>
      <w:r w:rsidRPr="008319F4">
        <w:rPr>
          <w:sz w:val="24"/>
          <w:szCs w:val="24"/>
          <w:lang w:val="en-US"/>
        </w:rPr>
        <w:t xml:space="preserve"> and T. Yu, 2013, The asset growth effect: insights from international equity markets, </w:t>
      </w:r>
      <w:r w:rsidRPr="008319F4">
        <w:rPr>
          <w:i/>
          <w:sz w:val="24"/>
          <w:szCs w:val="24"/>
          <w:lang w:val="en-US"/>
        </w:rPr>
        <w:t>Journal of Financial Economics</w:t>
      </w:r>
      <w:r w:rsidRPr="008319F4">
        <w:rPr>
          <w:sz w:val="24"/>
          <w:szCs w:val="24"/>
          <w:lang w:val="en-US"/>
        </w:rPr>
        <w:t xml:space="preserve"> 108, 529-563.</w:t>
      </w:r>
    </w:p>
    <w:p w14:paraId="5CB40AEB"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Weinstein, N., 1980, Unrealistic optimism about future life events, </w:t>
      </w:r>
      <w:r w:rsidRPr="008319F4">
        <w:rPr>
          <w:i/>
          <w:sz w:val="24"/>
          <w:szCs w:val="24"/>
          <w:lang w:val="en-US"/>
        </w:rPr>
        <w:t>Journal of Personality and Social Psychology</w:t>
      </w:r>
      <w:r w:rsidRPr="008319F4">
        <w:rPr>
          <w:sz w:val="24"/>
          <w:szCs w:val="24"/>
          <w:lang w:val="en-US"/>
        </w:rPr>
        <w:t xml:space="preserve"> 39, 806-820.</w:t>
      </w:r>
    </w:p>
    <w:p w14:paraId="0213CDE4" w14:textId="77777777" w:rsidR="0017317D" w:rsidRPr="008319F4" w:rsidRDefault="0017317D" w:rsidP="003653D5">
      <w:pPr>
        <w:spacing w:line="480" w:lineRule="auto"/>
        <w:ind w:left="900" w:hanging="900"/>
        <w:jc w:val="both"/>
        <w:rPr>
          <w:sz w:val="24"/>
          <w:szCs w:val="24"/>
          <w:lang w:val="en-US"/>
        </w:rPr>
      </w:pPr>
      <w:r w:rsidRPr="008319F4">
        <w:rPr>
          <w:sz w:val="24"/>
          <w:szCs w:val="24"/>
          <w:lang w:val="en-US"/>
        </w:rPr>
        <w:t xml:space="preserve">Wurgler, J. and E. Zhuravskaya, 2002, Does arbitrage flatten demand curves for stocks?, </w:t>
      </w:r>
      <w:r w:rsidRPr="008319F4">
        <w:rPr>
          <w:i/>
          <w:sz w:val="24"/>
          <w:szCs w:val="24"/>
          <w:lang w:val="en-US"/>
        </w:rPr>
        <w:t>Journal of Business</w:t>
      </w:r>
      <w:r w:rsidRPr="008319F4">
        <w:rPr>
          <w:sz w:val="24"/>
          <w:szCs w:val="24"/>
          <w:lang w:val="en-US"/>
        </w:rPr>
        <w:t xml:space="preserve"> 75, 583-608.</w:t>
      </w:r>
    </w:p>
    <w:p w14:paraId="4CCE4240" w14:textId="77777777" w:rsidR="00BE2DD9" w:rsidRPr="008319F4" w:rsidRDefault="0017317D" w:rsidP="003653D5">
      <w:pPr>
        <w:spacing w:line="480" w:lineRule="auto"/>
        <w:ind w:left="900" w:hanging="900"/>
        <w:jc w:val="both"/>
        <w:rPr>
          <w:sz w:val="24"/>
          <w:szCs w:val="24"/>
          <w:lang w:val="en-US"/>
        </w:rPr>
        <w:sectPr w:rsidR="00BE2DD9" w:rsidRPr="008319F4" w:rsidSect="00C03DA8">
          <w:pgSz w:w="11906" w:h="16838"/>
          <w:pgMar w:top="1440" w:right="1800" w:bottom="1440" w:left="1800" w:header="708" w:footer="708" w:gutter="0"/>
          <w:cols w:space="708"/>
          <w:docGrid w:linePitch="360"/>
        </w:sectPr>
      </w:pPr>
      <w:r w:rsidRPr="008319F4">
        <w:rPr>
          <w:sz w:val="24"/>
          <w:szCs w:val="24"/>
          <w:lang w:val="en-US"/>
        </w:rPr>
        <w:lastRenderedPageBreak/>
        <w:t xml:space="preserve">Zhang, X. F., 2006, Information </w:t>
      </w:r>
      <w:r w:rsidRPr="00DC51AD">
        <w:rPr>
          <w:noProof/>
          <w:sz w:val="24"/>
          <w:szCs w:val="24"/>
          <w:lang w:val="en-US"/>
        </w:rPr>
        <w:t>uncertainty</w:t>
      </w:r>
      <w:r w:rsidRPr="008319F4">
        <w:rPr>
          <w:sz w:val="24"/>
          <w:szCs w:val="24"/>
          <w:lang w:val="en-US"/>
        </w:rPr>
        <w:t xml:space="preserve"> and stock returns, </w:t>
      </w:r>
      <w:r w:rsidRPr="008319F4">
        <w:rPr>
          <w:i/>
          <w:sz w:val="24"/>
          <w:szCs w:val="24"/>
          <w:lang w:val="en-US"/>
        </w:rPr>
        <w:t>Journal of Finance</w:t>
      </w:r>
      <w:r w:rsidR="00CD0A2F" w:rsidRPr="008319F4">
        <w:rPr>
          <w:sz w:val="24"/>
          <w:szCs w:val="24"/>
          <w:lang w:val="en-US"/>
        </w:rPr>
        <w:t xml:space="preserve"> 61, 105-137.</w:t>
      </w:r>
    </w:p>
    <w:p w14:paraId="453AFBBB" w14:textId="0E06549C" w:rsidR="00C72B69" w:rsidRPr="008319F4" w:rsidRDefault="00C72B69" w:rsidP="00C72B69">
      <w:pPr>
        <w:pStyle w:val="PaperTitle1"/>
        <w:spacing w:line="240" w:lineRule="auto"/>
        <w:outlineLvl w:val="9"/>
        <w:rPr>
          <w:sz w:val="22"/>
          <w:szCs w:val="22"/>
          <w:lang w:val="en-GB"/>
        </w:rPr>
      </w:pPr>
      <w:r w:rsidRPr="008319F4">
        <w:rPr>
          <w:sz w:val="22"/>
          <w:szCs w:val="22"/>
          <w:lang w:val="en-GB"/>
        </w:rPr>
        <w:lastRenderedPageBreak/>
        <w:t>Table 1. Descriptive statistics and correlation</w:t>
      </w:r>
      <w:r w:rsidR="0050109A" w:rsidRPr="008319F4">
        <w:rPr>
          <w:sz w:val="22"/>
          <w:szCs w:val="22"/>
          <w:lang w:val="en-GB"/>
        </w:rPr>
        <w:t>s</w:t>
      </w:r>
    </w:p>
    <w:p w14:paraId="02D80423" w14:textId="2ED3C7F3" w:rsidR="00C72B69" w:rsidRPr="008319F4" w:rsidRDefault="00C72B69" w:rsidP="00C72B69">
      <w:pPr>
        <w:pStyle w:val="PaperContent"/>
        <w:spacing w:line="240" w:lineRule="auto"/>
        <w:rPr>
          <w:sz w:val="22"/>
          <w:szCs w:val="22"/>
          <w:lang w:val="en-GB"/>
        </w:rPr>
      </w:pPr>
      <w:r w:rsidRPr="008319F4">
        <w:rPr>
          <w:sz w:val="22"/>
          <w:szCs w:val="22"/>
          <w:lang w:val="en-GB"/>
        </w:rPr>
        <w:t>Panel A reports the mean of firm characteristics. All firms are divided into growth firm</w:t>
      </w:r>
      <w:r w:rsidR="0050109A" w:rsidRPr="008319F4">
        <w:rPr>
          <w:sz w:val="22"/>
          <w:szCs w:val="22"/>
          <w:lang w:val="en-GB"/>
        </w:rPr>
        <w:t>s</w:t>
      </w:r>
      <w:r w:rsidRPr="008319F4">
        <w:rPr>
          <w:sz w:val="22"/>
          <w:szCs w:val="22"/>
          <w:lang w:val="en-GB"/>
        </w:rPr>
        <w:t xml:space="preserve"> and mature firms based on three growth type proxies--retained earnings divided by total assets (RE), ), dividends scaled by earnings before extraordinary items (DIV), and cash flow scaled by total assets (CF). Differences between growth firms and mature firms with t statistics are reported. *, **, and *** indicate the significance level at 0.10, 0.05 and 0.01. </w:t>
      </w:r>
      <w:r w:rsidRPr="008319F4">
        <w:t xml:space="preserve">Panel B reports Pearson correlations below the diagonal and Spearman rank-order correlations above the diagonal for limits-to-arbitrage and investment friction proxies. The definitions of these proxies are in appendix A. </w:t>
      </w:r>
    </w:p>
    <w:p w14:paraId="342365F8" w14:textId="77777777" w:rsidR="00C72B69" w:rsidRPr="008319F4" w:rsidRDefault="00C72B69" w:rsidP="00C72B69">
      <w:pPr>
        <w:pStyle w:val="PaperTitle1"/>
        <w:spacing w:line="240" w:lineRule="auto"/>
        <w:outlineLvl w:val="9"/>
        <w:rPr>
          <w:sz w:val="22"/>
          <w:szCs w:val="22"/>
          <w:lang w:val="en-GB"/>
        </w:rPr>
      </w:pPr>
      <w:r w:rsidRPr="008319F4">
        <w:rPr>
          <w:sz w:val="22"/>
          <w:szCs w:val="22"/>
          <w:lang w:val="en-GB"/>
        </w:rPr>
        <w:t>Panel A. Descriptive statistics</w:t>
      </w:r>
    </w:p>
    <w:tbl>
      <w:tblPr>
        <w:tblW w:w="5000" w:type="pct"/>
        <w:tblLook w:val="04A0" w:firstRow="1" w:lastRow="0" w:firstColumn="1" w:lastColumn="0" w:noHBand="0" w:noVBand="1"/>
      </w:tblPr>
      <w:tblGrid>
        <w:gridCol w:w="979"/>
        <w:gridCol w:w="1023"/>
        <w:gridCol w:w="944"/>
        <w:gridCol w:w="1276"/>
        <w:gridCol w:w="918"/>
        <w:gridCol w:w="383"/>
        <w:gridCol w:w="1023"/>
        <w:gridCol w:w="944"/>
        <w:gridCol w:w="1287"/>
        <w:gridCol w:w="890"/>
        <w:gridCol w:w="383"/>
        <w:gridCol w:w="1023"/>
        <w:gridCol w:w="944"/>
        <w:gridCol w:w="1267"/>
        <w:gridCol w:w="890"/>
      </w:tblGrid>
      <w:tr w:rsidR="00C72B69" w:rsidRPr="008319F4" w14:paraId="73C65C3A" w14:textId="77777777" w:rsidTr="00393734">
        <w:trPr>
          <w:trHeight w:val="300"/>
        </w:trPr>
        <w:tc>
          <w:tcPr>
            <w:tcW w:w="345" w:type="pct"/>
            <w:tcBorders>
              <w:top w:val="single" w:sz="4" w:space="0" w:color="auto"/>
              <w:left w:val="nil"/>
              <w:bottom w:val="nil"/>
              <w:right w:val="nil"/>
            </w:tcBorders>
            <w:shd w:val="clear" w:color="auto" w:fill="auto"/>
            <w:noWrap/>
            <w:vAlign w:val="center"/>
            <w:hideMark/>
          </w:tcPr>
          <w:p w14:paraId="4D0B97D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 </w:t>
            </w:r>
          </w:p>
        </w:tc>
        <w:tc>
          <w:tcPr>
            <w:tcW w:w="1468" w:type="pct"/>
            <w:gridSpan w:val="4"/>
            <w:tcBorders>
              <w:top w:val="single" w:sz="4" w:space="0" w:color="auto"/>
              <w:left w:val="nil"/>
              <w:bottom w:val="single" w:sz="4" w:space="0" w:color="auto"/>
              <w:right w:val="nil"/>
            </w:tcBorders>
            <w:shd w:val="clear" w:color="auto" w:fill="auto"/>
            <w:noWrap/>
            <w:vAlign w:val="center"/>
            <w:hideMark/>
          </w:tcPr>
          <w:p w14:paraId="50CDCFA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RE</w:t>
            </w:r>
          </w:p>
        </w:tc>
        <w:tc>
          <w:tcPr>
            <w:tcW w:w="135" w:type="pct"/>
            <w:tcBorders>
              <w:top w:val="single" w:sz="4" w:space="0" w:color="auto"/>
              <w:left w:val="nil"/>
              <w:bottom w:val="nil"/>
              <w:right w:val="nil"/>
            </w:tcBorders>
            <w:shd w:val="clear" w:color="auto" w:fill="auto"/>
            <w:noWrap/>
            <w:vAlign w:val="center"/>
            <w:hideMark/>
          </w:tcPr>
          <w:p w14:paraId="02A50A40" w14:textId="77777777" w:rsidR="00C72B69" w:rsidRPr="008319F4" w:rsidRDefault="00C72B69" w:rsidP="00393734">
            <w:pPr>
              <w:spacing w:after="0" w:line="240" w:lineRule="auto"/>
              <w:jc w:val="center"/>
              <w:rPr>
                <w:rFonts w:eastAsia="Times New Roman" w:cs="Calibri"/>
                <w:color w:val="000000"/>
              </w:rPr>
            </w:pPr>
          </w:p>
        </w:tc>
        <w:tc>
          <w:tcPr>
            <w:tcW w:w="1462" w:type="pct"/>
            <w:gridSpan w:val="4"/>
            <w:tcBorders>
              <w:top w:val="single" w:sz="4" w:space="0" w:color="auto"/>
              <w:left w:val="nil"/>
              <w:bottom w:val="single" w:sz="4" w:space="0" w:color="auto"/>
              <w:right w:val="nil"/>
            </w:tcBorders>
            <w:shd w:val="clear" w:color="auto" w:fill="auto"/>
            <w:noWrap/>
            <w:vAlign w:val="center"/>
            <w:hideMark/>
          </w:tcPr>
          <w:p w14:paraId="1086EA0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DIV</w:t>
            </w:r>
          </w:p>
        </w:tc>
        <w:tc>
          <w:tcPr>
            <w:tcW w:w="135" w:type="pct"/>
            <w:tcBorders>
              <w:top w:val="single" w:sz="4" w:space="0" w:color="auto"/>
              <w:left w:val="nil"/>
              <w:bottom w:val="nil"/>
              <w:right w:val="nil"/>
            </w:tcBorders>
            <w:shd w:val="clear" w:color="auto" w:fill="auto"/>
            <w:noWrap/>
            <w:vAlign w:val="center"/>
            <w:hideMark/>
          </w:tcPr>
          <w:p w14:paraId="22CCF1E7" w14:textId="77777777" w:rsidR="00C72B69" w:rsidRPr="008319F4" w:rsidRDefault="00C72B69" w:rsidP="00393734">
            <w:pPr>
              <w:spacing w:after="0" w:line="240" w:lineRule="auto"/>
              <w:jc w:val="center"/>
              <w:rPr>
                <w:rFonts w:eastAsia="Times New Roman" w:cs="Calibri"/>
                <w:color w:val="000000"/>
              </w:rPr>
            </w:pPr>
          </w:p>
        </w:tc>
        <w:tc>
          <w:tcPr>
            <w:tcW w:w="1455" w:type="pct"/>
            <w:gridSpan w:val="4"/>
            <w:tcBorders>
              <w:top w:val="single" w:sz="4" w:space="0" w:color="auto"/>
              <w:left w:val="nil"/>
              <w:bottom w:val="single" w:sz="4" w:space="0" w:color="auto"/>
              <w:right w:val="nil"/>
            </w:tcBorders>
            <w:shd w:val="clear" w:color="auto" w:fill="auto"/>
            <w:noWrap/>
            <w:vAlign w:val="center"/>
            <w:hideMark/>
          </w:tcPr>
          <w:p w14:paraId="2B68EFD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CF</w:t>
            </w:r>
          </w:p>
        </w:tc>
      </w:tr>
      <w:tr w:rsidR="00C72B69" w:rsidRPr="008319F4" w14:paraId="2D02B279" w14:textId="77777777" w:rsidTr="00393734">
        <w:trPr>
          <w:trHeight w:val="300"/>
        </w:trPr>
        <w:tc>
          <w:tcPr>
            <w:tcW w:w="345" w:type="pct"/>
            <w:tcBorders>
              <w:top w:val="nil"/>
              <w:left w:val="nil"/>
              <w:bottom w:val="single" w:sz="4" w:space="0" w:color="auto"/>
              <w:right w:val="nil"/>
            </w:tcBorders>
            <w:shd w:val="clear" w:color="auto" w:fill="auto"/>
            <w:noWrap/>
            <w:vAlign w:val="center"/>
            <w:hideMark/>
          </w:tcPr>
          <w:p w14:paraId="1BCD1BB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 </w:t>
            </w:r>
          </w:p>
        </w:tc>
        <w:tc>
          <w:tcPr>
            <w:tcW w:w="361" w:type="pct"/>
            <w:tcBorders>
              <w:top w:val="nil"/>
              <w:left w:val="nil"/>
              <w:bottom w:val="single" w:sz="4" w:space="0" w:color="auto"/>
              <w:right w:val="nil"/>
            </w:tcBorders>
            <w:shd w:val="clear" w:color="auto" w:fill="auto"/>
            <w:noWrap/>
            <w:vAlign w:val="center"/>
            <w:hideMark/>
          </w:tcPr>
          <w:p w14:paraId="26AC7AF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Growth</w:t>
            </w:r>
          </w:p>
        </w:tc>
        <w:tc>
          <w:tcPr>
            <w:tcW w:w="333" w:type="pct"/>
            <w:tcBorders>
              <w:top w:val="nil"/>
              <w:left w:val="nil"/>
              <w:bottom w:val="single" w:sz="4" w:space="0" w:color="auto"/>
              <w:right w:val="nil"/>
            </w:tcBorders>
            <w:shd w:val="clear" w:color="auto" w:fill="auto"/>
            <w:noWrap/>
            <w:vAlign w:val="center"/>
            <w:hideMark/>
          </w:tcPr>
          <w:p w14:paraId="41F646DF"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Mature</w:t>
            </w:r>
          </w:p>
        </w:tc>
        <w:tc>
          <w:tcPr>
            <w:tcW w:w="450" w:type="pct"/>
            <w:tcBorders>
              <w:top w:val="nil"/>
              <w:left w:val="nil"/>
              <w:bottom w:val="single" w:sz="4" w:space="0" w:color="auto"/>
              <w:right w:val="nil"/>
            </w:tcBorders>
            <w:shd w:val="clear" w:color="auto" w:fill="auto"/>
            <w:noWrap/>
            <w:vAlign w:val="center"/>
            <w:hideMark/>
          </w:tcPr>
          <w:p w14:paraId="2009BD7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dif(G-M)</w:t>
            </w:r>
          </w:p>
        </w:tc>
        <w:tc>
          <w:tcPr>
            <w:tcW w:w="324" w:type="pct"/>
            <w:tcBorders>
              <w:top w:val="nil"/>
              <w:left w:val="nil"/>
              <w:bottom w:val="single" w:sz="4" w:space="0" w:color="auto"/>
              <w:right w:val="nil"/>
            </w:tcBorders>
            <w:shd w:val="clear" w:color="auto" w:fill="auto"/>
            <w:noWrap/>
            <w:vAlign w:val="center"/>
            <w:hideMark/>
          </w:tcPr>
          <w:p w14:paraId="30B7548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t(G-M)</w:t>
            </w:r>
          </w:p>
        </w:tc>
        <w:tc>
          <w:tcPr>
            <w:tcW w:w="135" w:type="pct"/>
            <w:tcBorders>
              <w:top w:val="nil"/>
              <w:left w:val="nil"/>
              <w:bottom w:val="single" w:sz="4" w:space="0" w:color="auto"/>
              <w:right w:val="nil"/>
            </w:tcBorders>
            <w:shd w:val="clear" w:color="auto" w:fill="auto"/>
            <w:noWrap/>
            <w:vAlign w:val="center"/>
            <w:hideMark/>
          </w:tcPr>
          <w:p w14:paraId="0431A884"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single" w:sz="4" w:space="0" w:color="auto"/>
              <w:right w:val="nil"/>
            </w:tcBorders>
            <w:shd w:val="clear" w:color="auto" w:fill="auto"/>
            <w:noWrap/>
            <w:vAlign w:val="center"/>
            <w:hideMark/>
          </w:tcPr>
          <w:p w14:paraId="001A86A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Growth</w:t>
            </w:r>
          </w:p>
        </w:tc>
        <w:tc>
          <w:tcPr>
            <w:tcW w:w="333" w:type="pct"/>
            <w:tcBorders>
              <w:top w:val="nil"/>
              <w:left w:val="nil"/>
              <w:bottom w:val="single" w:sz="4" w:space="0" w:color="auto"/>
              <w:right w:val="nil"/>
            </w:tcBorders>
            <w:shd w:val="clear" w:color="auto" w:fill="auto"/>
            <w:noWrap/>
            <w:vAlign w:val="center"/>
            <w:hideMark/>
          </w:tcPr>
          <w:p w14:paraId="14AC7F1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Mature</w:t>
            </w:r>
          </w:p>
        </w:tc>
        <w:tc>
          <w:tcPr>
            <w:tcW w:w="454" w:type="pct"/>
            <w:tcBorders>
              <w:top w:val="nil"/>
              <w:left w:val="nil"/>
              <w:bottom w:val="single" w:sz="4" w:space="0" w:color="auto"/>
              <w:right w:val="nil"/>
            </w:tcBorders>
            <w:shd w:val="clear" w:color="auto" w:fill="auto"/>
            <w:noWrap/>
            <w:vAlign w:val="center"/>
            <w:hideMark/>
          </w:tcPr>
          <w:p w14:paraId="3893BD8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dif(G-M)</w:t>
            </w:r>
          </w:p>
        </w:tc>
        <w:tc>
          <w:tcPr>
            <w:tcW w:w="314" w:type="pct"/>
            <w:tcBorders>
              <w:top w:val="nil"/>
              <w:left w:val="nil"/>
              <w:bottom w:val="single" w:sz="4" w:space="0" w:color="auto"/>
              <w:right w:val="nil"/>
            </w:tcBorders>
            <w:shd w:val="clear" w:color="auto" w:fill="auto"/>
            <w:noWrap/>
            <w:vAlign w:val="center"/>
            <w:hideMark/>
          </w:tcPr>
          <w:p w14:paraId="16DB43D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t(G-M)</w:t>
            </w:r>
          </w:p>
        </w:tc>
        <w:tc>
          <w:tcPr>
            <w:tcW w:w="135" w:type="pct"/>
            <w:tcBorders>
              <w:top w:val="nil"/>
              <w:left w:val="nil"/>
              <w:bottom w:val="single" w:sz="4" w:space="0" w:color="auto"/>
              <w:right w:val="nil"/>
            </w:tcBorders>
            <w:shd w:val="clear" w:color="auto" w:fill="auto"/>
            <w:noWrap/>
            <w:vAlign w:val="center"/>
            <w:hideMark/>
          </w:tcPr>
          <w:p w14:paraId="74C63996"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single" w:sz="4" w:space="0" w:color="auto"/>
              <w:right w:val="nil"/>
            </w:tcBorders>
            <w:shd w:val="clear" w:color="auto" w:fill="auto"/>
            <w:noWrap/>
            <w:vAlign w:val="center"/>
            <w:hideMark/>
          </w:tcPr>
          <w:p w14:paraId="739C2F5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Growth</w:t>
            </w:r>
          </w:p>
        </w:tc>
        <w:tc>
          <w:tcPr>
            <w:tcW w:w="333" w:type="pct"/>
            <w:tcBorders>
              <w:top w:val="nil"/>
              <w:left w:val="nil"/>
              <w:bottom w:val="single" w:sz="4" w:space="0" w:color="auto"/>
              <w:right w:val="nil"/>
            </w:tcBorders>
            <w:shd w:val="clear" w:color="auto" w:fill="auto"/>
            <w:noWrap/>
            <w:vAlign w:val="center"/>
            <w:hideMark/>
          </w:tcPr>
          <w:p w14:paraId="49D0322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Mature</w:t>
            </w:r>
          </w:p>
        </w:tc>
        <w:tc>
          <w:tcPr>
            <w:tcW w:w="447" w:type="pct"/>
            <w:tcBorders>
              <w:top w:val="nil"/>
              <w:left w:val="nil"/>
              <w:bottom w:val="single" w:sz="4" w:space="0" w:color="auto"/>
              <w:right w:val="nil"/>
            </w:tcBorders>
            <w:shd w:val="clear" w:color="auto" w:fill="auto"/>
            <w:noWrap/>
            <w:vAlign w:val="center"/>
            <w:hideMark/>
          </w:tcPr>
          <w:p w14:paraId="532017F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dif(G-M)</w:t>
            </w:r>
          </w:p>
        </w:tc>
        <w:tc>
          <w:tcPr>
            <w:tcW w:w="314" w:type="pct"/>
            <w:tcBorders>
              <w:top w:val="nil"/>
              <w:left w:val="nil"/>
              <w:bottom w:val="single" w:sz="4" w:space="0" w:color="auto"/>
              <w:right w:val="nil"/>
            </w:tcBorders>
            <w:shd w:val="clear" w:color="auto" w:fill="auto"/>
            <w:noWrap/>
            <w:vAlign w:val="center"/>
            <w:hideMark/>
          </w:tcPr>
          <w:p w14:paraId="11455CB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t(G-M)</w:t>
            </w:r>
          </w:p>
        </w:tc>
      </w:tr>
      <w:tr w:rsidR="00C72B69" w:rsidRPr="008319F4" w14:paraId="2A964E23" w14:textId="77777777" w:rsidTr="00393734">
        <w:trPr>
          <w:trHeight w:val="300"/>
        </w:trPr>
        <w:tc>
          <w:tcPr>
            <w:tcW w:w="345" w:type="pct"/>
            <w:tcBorders>
              <w:top w:val="nil"/>
              <w:left w:val="nil"/>
              <w:bottom w:val="nil"/>
              <w:right w:val="nil"/>
            </w:tcBorders>
            <w:shd w:val="clear" w:color="auto" w:fill="auto"/>
            <w:vAlign w:val="center"/>
            <w:hideMark/>
          </w:tcPr>
          <w:p w14:paraId="5B85853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ASSET</w:t>
            </w:r>
          </w:p>
        </w:tc>
        <w:tc>
          <w:tcPr>
            <w:tcW w:w="361" w:type="pct"/>
            <w:tcBorders>
              <w:top w:val="nil"/>
              <w:left w:val="nil"/>
              <w:bottom w:val="nil"/>
              <w:right w:val="nil"/>
            </w:tcBorders>
            <w:shd w:val="clear" w:color="auto" w:fill="auto"/>
            <w:vAlign w:val="center"/>
            <w:hideMark/>
          </w:tcPr>
          <w:p w14:paraId="2C53ED0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287</w:t>
            </w:r>
          </w:p>
        </w:tc>
        <w:tc>
          <w:tcPr>
            <w:tcW w:w="333" w:type="pct"/>
            <w:tcBorders>
              <w:top w:val="nil"/>
              <w:left w:val="nil"/>
              <w:bottom w:val="nil"/>
              <w:right w:val="nil"/>
            </w:tcBorders>
            <w:shd w:val="clear" w:color="auto" w:fill="auto"/>
            <w:vAlign w:val="center"/>
            <w:hideMark/>
          </w:tcPr>
          <w:p w14:paraId="2AB9679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2109</w:t>
            </w:r>
          </w:p>
        </w:tc>
        <w:tc>
          <w:tcPr>
            <w:tcW w:w="450" w:type="pct"/>
            <w:tcBorders>
              <w:top w:val="nil"/>
              <w:left w:val="nil"/>
              <w:bottom w:val="nil"/>
              <w:right w:val="nil"/>
            </w:tcBorders>
            <w:shd w:val="clear" w:color="auto" w:fill="auto"/>
            <w:noWrap/>
            <w:vAlign w:val="center"/>
            <w:hideMark/>
          </w:tcPr>
          <w:p w14:paraId="25C8906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-1822***</w:t>
            </w:r>
          </w:p>
        </w:tc>
        <w:tc>
          <w:tcPr>
            <w:tcW w:w="324" w:type="pct"/>
            <w:tcBorders>
              <w:top w:val="nil"/>
              <w:left w:val="nil"/>
              <w:bottom w:val="nil"/>
              <w:right w:val="nil"/>
            </w:tcBorders>
            <w:shd w:val="clear" w:color="auto" w:fill="auto"/>
            <w:noWrap/>
            <w:vAlign w:val="center"/>
            <w:hideMark/>
          </w:tcPr>
          <w:p w14:paraId="1A57C8B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-42.30</w:t>
            </w:r>
          </w:p>
        </w:tc>
        <w:tc>
          <w:tcPr>
            <w:tcW w:w="135" w:type="pct"/>
            <w:tcBorders>
              <w:top w:val="nil"/>
              <w:left w:val="nil"/>
              <w:bottom w:val="nil"/>
              <w:right w:val="nil"/>
            </w:tcBorders>
            <w:shd w:val="clear" w:color="auto" w:fill="auto"/>
            <w:noWrap/>
            <w:vAlign w:val="center"/>
            <w:hideMark/>
          </w:tcPr>
          <w:p w14:paraId="34BC9290"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414F75F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920</w:t>
            </w:r>
          </w:p>
        </w:tc>
        <w:tc>
          <w:tcPr>
            <w:tcW w:w="333" w:type="pct"/>
            <w:tcBorders>
              <w:top w:val="nil"/>
              <w:left w:val="nil"/>
              <w:bottom w:val="nil"/>
              <w:right w:val="nil"/>
            </w:tcBorders>
            <w:shd w:val="clear" w:color="auto" w:fill="auto"/>
            <w:vAlign w:val="center"/>
            <w:hideMark/>
          </w:tcPr>
          <w:p w14:paraId="206DE59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4519</w:t>
            </w:r>
          </w:p>
        </w:tc>
        <w:tc>
          <w:tcPr>
            <w:tcW w:w="454" w:type="pct"/>
            <w:tcBorders>
              <w:top w:val="nil"/>
              <w:left w:val="nil"/>
              <w:bottom w:val="nil"/>
              <w:right w:val="nil"/>
            </w:tcBorders>
            <w:shd w:val="clear" w:color="auto" w:fill="auto"/>
            <w:noWrap/>
            <w:vAlign w:val="center"/>
            <w:hideMark/>
          </w:tcPr>
          <w:p w14:paraId="330DAFA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-3599***</w:t>
            </w:r>
          </w:p>
        </w:tc>
        <w:tc>
          <w:tcPr>
            <w:tcW w:w="314" w:type="pct"/>
            <w:tcBorders>
              <w:top w:val="nil"/>
              <w:left w:val="nil"/>
              <w:bottom w:val="nil"/>
              <w:right w:val="nil"/>
            </w:tcBorders>
            <w:shd w:val="clear" w:color="auto" w:fill="auto"/>
            <w:noWrap/>
            <w:vAlign w:val="center"/>
            <w:hideMark/>
          </w:tcPr>
          <w:p w14:paraId="2F18F67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-21.28</w:t>
            </w:r>
          </w:p>
        </w:tc>
        <w:tc>
          <w:tcPr>
            <w:tcW w:w="135" w:type="pct"/>
            <w:tcBorders>
              <w:top w:val="nil"/>
              <w:left w:val="nil"/>
              <w:bottom w:val="nil"/>
              <w:right w:val="nil"/>
            </w:tcBorders>
            <w:shd w:val="clear" w:color="auto" w:fill="auto"/>
            <w:noWrap/>
            <w:vAlign w:val="center"/>
            <w:hideMark/>
          </w:tcPr>
          <w:p w14:paraId="6BB4B1D6"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0E1740D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188</w:t>
            </w:r>
          </w:p>
        </w:tc>
        <w:tc>
          <w:tcPr>
            <w:tcW w:w="333" w:type="pct"/>
            <w:tcBorders>
              <w:top w:val="nil"/>
              <w:left w:val="nil"/>
              <w:bottom w:val="nil"/>
              <w:right w:val="nil"/>
            </w:tcBorders>
            <w:shd w:val="clear" w:color="auto" w:fill="auto"/>
            <w:vAlign w:val="center"/>
            <w:hideMark/>
          </w:tcPr>
          <w:p w14:paraId="2D1EAFA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4423</w:t>
            </w:r>
          </w:p>
        </w:tc>
        <w:tc>
          <w:tcPr>
            <w:tcW w:w="447" w:type="pct"/>
            <w:tcBorders>
              <w:top w:val="nil"/>
              <w:left w:val="nil"/>
              <w:bottom w:val="nil"/>
              <w:right w:val="nil"/>
            </w:tcBorders>
            <w:shd w:val="clear" w:color="auto" w:fill="auto"/>
            <w:noWrap/>
            <w:vAlign w:val="center"/>
            <w:hideMark/>
          </w:tcPr>
          <w:p w14:paraId="0D455AB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-4234***</w:t>
            </w:r>
          </w:p>
        </w:tc>
        <w:tc>
          <w:tcPr>
            <w:tcW w:w="314" w:type="pct"/>
            <w:tcBorders>
              <w:top w:val="nil"/>
              <w:left w:val="nil"/>
              <w:bottom w:val="nil"/>
              <w:right w:val="nil"/>
            </w:tcBorders>
            <w:shd w:val="clear" w:color="auto" w:fill="auto"/>
            <w:noWrap/>
            <w:vAlign w:val="center"/>
            <w:hideMark/>
          </w:tcPr>
          <w:p w14:paraId="38B59EB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-69.49</w:t>
            </w:r>
          </w:p>
        </w:tc>
      </w:tr>
      <w:tr w:rsidR="00C72B69" w:rsidRPr="008319F4" w14:paraId="20455E30" w14:textId="77777777" w:rsidTr="00393734">
        <w:trPr>
          <w:trHeight w:val="300"/>
        </w:trPr>
        <w:tc>
          <w:tcPr>
            <w:tcW w:w="345" w:type="pct"/>
            <w:tcBorders>
              <w:top w:val="nil"/>
              <w:left w:val="nil"/>
              <w:bottom w:val="nil"/>
              <w:right w:val="nil"/>
            </w:tcBorders>
            <w:shd w:val="clear" w:color="auto" w:fill="auto"/>
            <w:vAlign w:val="center"/>
            <w:hideMark/>
          </w:tcPr>
          <w:p w14:paraId="63405A0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AGE</w:t>
            </w:r>
          </w:p>
        </w:tc>
        <w:tc>
          <w:tcPr>
            <w:tcW w:w="361" w:type="pct"/>
            <w:tcBorders>
              <w:top w:val="nil"/>
              <w:left w:val="nil"/>
              <w:bottom w:val="nil"/>
              <w:right w:val="nil"/>
            </w:tcBorders>
            <w:shd w:val="clear" w:color="auto" w:fill="auto"/>
            <w:vAlign w:val="center"/>
            <w:hideMark/>
          </w:tcPr>
          <w:p w14:paraId="36CA72B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7.83</w:t>
            </w:r>
          </w:p>
        </w:tc>
        <w:tc>
          <w:tcPr>
            <w:tcW w:w="333" w:type="pct"/>
            <w:tcBorders>
              <w:top w:val="nil"/>
              <w:left w:val="nil"/>
              <w:bottom w:val="nil"/>
              <w:right w:val="nil"/>
            </w:tcBorders>
            <w:shd w:val="clear" w:color="auto" w:fill="auto"/>
            <w:vAlign w:val="center"/>
            <w:hideMark/>
          </w:tcPr>
          <w:p w14:paraId="0F9EDA5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14.95</w:t>
            </w:r>
          </w:p>
        </w:tc>
        <w:tc>
          <w:tcPr>
            <w:tcW w:w="450" w:type="pct"/>
            <w:tcBorders>
              <w:top w:val="nil"/>
              <w:left w:val="nil"/>
              <w:bottom w:val="nil"/>
              <w:right w:val="nil"/>
            </w:tcBorders>
            <w:shd w:val="clear" w:color="auto" w:fill="auto"/>
            <w:noWrap/>
            <w:vAlign w:val="center"/>
            <w:hideMark/>
          </w:tcPr>
          <w:p w14:paraId="5C2A7CD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-7.12***</w:t>
            </w:r>
          </w:p>
        </w:tc>
        <w:tc>
          <w:tcPr>
            <w:tcW w:w="324" w:type="pct"/>
            <w:tcBorders>
              <w:top w:val="nil"/>
              <w:left w:val="nil"/>
              <w:bottom w:val="nil"/>
              <w:right w:val="nil"/>
            </w:tcBorders>
            <w:shd w:val="clear" w:color="auto" w:fill="auto"/>
            <w:noWrap/>
            <w:vAlign w:val="center"/>
            <w:hideMark/>
          </w:tcPr>
          <w:p w14:paraId="65032F8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126.28</w:t>
            </w:r>
          </w:p>
        </w:tc>
        <w:tc>
          <w:tcPr>
            <w:tcW w:w="135" w:type="pct"/>
            <w:tcBorders>
              <w:top w:val="nil"/>
              <w:left w:val="nil"/>
              <w:bottom w:val="nil"/>
              <w:right w:val="nil"/>
            </w:tcBorders>
            <w:shd w:val="clear" w:color="auto" w:fill="auto"/>
            <w:noWrap/>
            <w:vAlign w:val="center"/>
            <w:hideMark/>
          </w:tcPr>
          <w:p w14:paraId="4642FA1A"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128189C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8.55</w:t>
            </w:r>
          </w:p>
        </w:tc>
        <w:tc>
          <w:tcPr>
            <w:tcW w:w="333" w:type="pct"/>
            <w:tcBorders>
              <w:top w:val="nil"/>
              <w:left w:val="nil"/>
              <w:bottom w:val="nil"/>
              <w:right w:val="nil"/>
            </w:tcBorders>
            <w:shd w:val="clear" w:color="auto" w:fill="auto"/>
            <w:vAlign w:val="center"/>
            <w:hideMark/>
          </w:tcPr>
          <w:p w14:paraId="0E8FFC2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15.96</w:t>
            </w:r>
          </w:p>
        </w:tc>
        <w:tc>
          <w:tcPr>
            <w:tcW w:w="454" w:type="pct"/>
            <w:tcBorders>
              <w:top w:val="nil"/>
              <w:left w:val="nil"/>
              <w:bottom w:val="nil"/>
              <w:right w:val="nil"/>
            </w:tcBorders>
            <w:shd w:val="clear" w:color="auto" w:fill="auto"/>
            <w:noWrap/>
            <w:vAlign w:val="center"/>
            <w:hideMark/>
          </w:tcPr>
          <w:p w14:paraId="44C8272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-7.42***</w:t>
            </w:r>
          </w:p>
        </w:tc>
        <w:tc>
          <w:tcPr>
            <w:tcW w:w="314" w:type="pct"/>
            <w:tcBorders>
              <w:top w:val="nil"/>
              <w:left w:val="nil"/>
              <w:bottom w:val="nil"/>
              <w:right w:val="nil"/>
            </w:tcBorders>
            <w:shd w:val="clear" w:color="auto" w:fill="auto"/>
            <w:noWrap/>
            <w:vAlign w:val="center"/>
            <w:hideMark/>
          </w:tcPr>
          <w:p w14:paraId="4D91C5C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-95.23</w:t>
            </w:r>
          </w:p>
        </w:tc>
        <w:tc>
          <w:tcPr>
            <w:tcW w:w="135" w:type="pct"/>
            <w:tcBorders>
              <w:top w:val="nil"/>
              <w:left w:val="nil"/>
              <w:bottom w:val="nil"/>
              <w:right w:val="nil"/>
            </w:tcBorders>
            <w:shd w:val="clear" w:color="auto" w:fill="auto"/>
            <w:noWrap/>
            <w:vAlign w:val="center"/>
            <w:hideMark/>
          </w:tcPr>
          <w:p w14:paraId="6C5C2965"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26ACEEF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7.82</w:t>
            </w:r>
          </w:p>
        </w:tc>
        <w:tc>
          <w:tcPr>
            <w:tcW w:w="333" w:type="pct"/>
            <w:tcBorders>
              <w:top w:val="nil"/>
              <w:left w:val="nil"/>
              <w:bottom w:val="nil"/>
              <w:right w:val="nil"/>
            </w:tcBorders>
            <w:shd w:val="clear" w:color="auto" w:fill="auto"/>
            <w:vAlign w:val="center"/>
            <w:hideMark/>
          </w:tcPr>
          <w:p w14:paraId="5357791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15.42</w:t>
            </w:r>
          </w:p>
        </w:tc>
        <w:tc>
          <w:tcPr>
            <w:tcW w:w="447" w:type="pct"/>
            <w:tcBorders>
              <w:top w:val="nil"/>
              <w:left w:val="nil"/>
              <w:bottom w:val="nil"/>
              <w:right w:val="nil"/>
            </w:tcBorders>
            <w:shd w:val="clear" w:color="auto" w:fill="auto"/>
            <w:noWrap/>
            <w:vAlign w:val="center"/>
            <w:hideMark/>
          </w:tcPr>
          <w:p w14:paraId="5DCCD2D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-7.59***</w:t>
            </w:r>
          </w:p>
        </w:tc>
        <w:tc>
          <w:tcPr>
            <w:tcW w:w="314" w:type="pct"/>
            <w:tcBorders>
              <w:top w:val="nil"/>
              <w:left w:val="nil"/>
              <w:bottom w:val="nil"/>
              <w:right w:val="nil"/>
            </w:tcBorders>
            <w:shd w:val="clear" w:color="auto" w:fill="auto"/>
            <w:noWrap/>
            <w:vAlign w:val="center"/>
            <w:hideMark/>
          </w:tcPr>
          <w:p w14:paraId="15C0CB5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125.50</w:t>
            </w:r>
          </w:p>
        </w:tc>
      </w:tr>
      <w:tr w:rsidR="00C72B69" w:rsidRPr="008319F4" w14:paraId="31CDD0D8" w14:textId="77777777" w:rsidTr="00393734">
        <w:trPr>
          <w:trHeight w:val="300"/>
        </w:trPr>
        <w:tc>
          <w:tcPr>
            <w:tcW w:w="345" w:type="pct"/>
            <w:tcBorders>
              <w:top w:val="nil"/>
              <w:left w:val="nil"/>
              <w:bottom w:val="nil"/>
              <w:right w:val="nil"/>
            </w:tcBorders>
            <w:shd w:val="clear" w:color="auto" w:fill="auto"/>
            <w:vAlign w:val="center"/>
            <w:hideMark/>
          </w:tcPr>
          <w:p w14:paraId="203B16E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BAS</w:t>
            </w:r>
          </w:p>
        </w:tc>
        <w:tc>
          <w:tcPr>
            <w:tcW w:w="361" w:type="pct"/>
            <w:tcBorders>
              <w:top w:val="nil"/>
              <w:left w:val="nil"/>
              <w:bottom w:val="nil"/>
              <w:right w:val="nil"/>
            </w:tcBorders>
            <w:shd w:val="clear" w:color="auto" w:fill="auto"/>
            <w:vAlign w:val="center"/>
            <w:hideMark/>
          </w:tcPr>
          <w:p w14:paraId="15EA6FF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0.04</w:t>
            </w:r>
          </w:p>
        </w:tc>
        <w:tc>
          <w:tcPr>
            <w:tcW w:w="333" w:type="pct"/>
            <w:tcBorders>
              <w:top w:val="nil"/>
              <w:left w:val="nil"/>
              <w:bottom w:val="nil"/>
              <w:right w:val="nil"/>
            </w:tcBorders>
            <w:shd w:val="clear" w:color="auto" w:fill="auto"/>
            <w:vAlign w:val="center"/>
            <w:hideMark/>
          </w:tcPr>
          <w:p w14:paraId="5DD70F1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0.02</w:t>
            </w:r>
          </w:p>
        </w:tc>
        <w:tc>
          <w:tcPr>
            <w:tcW w:w="450" w:type="pct"/>
            <w:tcBorders>
              <w:top w:val="nil"/>
              <w:left w:val="nil"/>
              <w:bottom w:val="nil"/>
              <w:right w:val="nil"/>
            </w:tcBorders>
            <w:shd w:val="clear" w:color="auto" w:fill="auto"/>
            <w:vAlign w:val="center"/>
            <w:hideMark/>
          </w:tcPr>
          <w:p w14:paraId="1E6B629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0.02***</w:t>
            </w:r>
          </w:p>
        </w:tc>
        <w:tc>
          <w:tcPr>
            <w:tcW w:w="324" w:type="pct"/>
            <w:tcBorders>
              <w:top w:val="nil"/>
              <w:left w:val="nil"/>
              <w:bottom w:val="nil"/>
              <w:right w:val="nil"/>
            </w:tcBorders>
            <w:shd w:val="clear" w:color="auto" w:fill="auto"/>
            <w:vAlign w:val="center"/>
            <w:hideMark/>
          </w:tcPr>
          <w:p w14:paraId="18B2F8C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73.71</w:t>
            </w:r>
          </w:p>
        </w:tc>
        <w:tc>
          <w:tcPr>
            <w:tcW w:w="135" w:type="pct"/>
            <w:tcBorders>
              <w:top w:val="nil"/>
              <w:left w:val="nil"/>
              <w:bottom w:val="nil"/>
              <w:right w:val="nil"/>
            </w:tcBorders>
            <w:shd w:val="clear" w:color="auto" w:fill="auto"/>
            <w:vAlign w:val="center"/>
            <w:hideMark/>
          </w:tcPr>
          <w:p w14:paraId="24FEB8AC"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5AFF51CF"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0.03</w:t>
            </w:r>
          </w:p>
        </w:tc>
        <w:tc>
          <w:tcPr>
            <w:tcW w:w="333" w:type="pct"/>
            <w:tcBorders>
              <w:top w:val="nil"/>
              <w:left w:val="nil"/>
              <w:bottom w:val="nil"/>
              <w:right w:val="nil"/>
            </w:tcBorders>
            <w:shd w:val="clear" w:color="auto" w:fill="auto"/>
            <w:vAlign w:val="center"/>
            <w:hideMark/>
          </w:tcPr>
          <w:p w14:paraId="0FF25C4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0.01</w:t>
            </w:r>
          </w:p>
        </w:tc>
        <w:tc>
          <w:tcPr>
            <w:tcW w:w="454" w:type="pct"/>
            <w:tcBorders>
              <w:top w:val="nil"/>
              <w:left w:val="nil"/>
              <w:bottom w:val="nil"/>
              <w:right w:val="nil"/>
            </w:tcBorders>
            <w:shd w:val="clear" w:color="auto" w:fill="auto"/>
            <w:vAlign w:val="center"/>
            <w:hideMark/>
          </w:tcPr>
          <w:p w14:paraId="5FCBB13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0.02***</w:t>
            </w:r>
          </w:p>
        </w:tc>
        <w:tc>
          <w:tcPr>
            <w:tcW w:w="314" w:type="pct"/>
            <w:tcBorders>
              <w:top w:val="nil"/>
              <w:left w:val="nil"/>
              <w:bottom w:val="nil"/>
              <w:right w:val="nil"/>
            </w:tcBorders>
            <w:shd w:val="clear" w:color="auto" w:fill="auto"/>
            <w:vAlign w:val="center"/>
            <w:hideMark/>
          </w:tcPr>
          <w:p w14:paraId="245B650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64.94</w:t>
            </w:r>
          </w:p>
        </w:tc>
        <w:tc>
          <w:tcPr>
            <w:tcW w:w="135" w:type="pct"/>
            <w:tcBorders>
              <w:top w:val="nil"/>
              <w:left w:val="nil"/>
              <w:bottom w:val="nil"/>
              <w:right w:val="nil"/>
            </w:tcBorders>
            <w:shd w:val="clear" w:color="auto" w:fill="auto"/>
            <w:vAlign w:val="center"/>
            <w:hideMark/>
          </w:tcPr>
          <w:p w14:paraId="613E83CB"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3652F7EF"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0.04</w:t>
            </w:r>
          </w:p>
        </w:tc>
        <w:tc>
          <w:tcPr>
            <w:tcW w:w="333" w:type="pct"/>
            <w:tcBorders>
              <w:top w:val="nil"/>
              <w:left w:val="nil"/>
              <w:bottom w:val="nil"/>
              <w:right w:val="nil"/>
            </w:tcBorders>
            <w:shd w:val="clear" w:color="auto" w:fill="auto"/>
            <w:vAlign w:val="center"/>
            <w:hideMark/>
          </w:tcPr>
          <w:p w14:paraId="27FE68F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0.01</w:t>
            </w:r>
          </w:p>
        </w:tc>
        <w:tc>
          <w:tcPr>
            <w:tcW w:w="447" w:type="pct"/>
            <w:tcBorders>
              <w:top w:val="nil"/>
              <w:left w:val="nil"/>
              <w:bottom w:val="nil"/>
              <w:right w:val="nil"/>
            </w:tcBorders>
            <w:shd w:val="clear" w:color="auto" w:fill="auto"/>
            <w:vAlign w:val="center"/>
            <w:hideMark/>
          </w:tcPr>
          <w:p w14:paraId="660D76B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0.03***</w:t>
            </w:r>
          </w:p>
        </w:tc>
        <w:tc>
          <w:tcPr>
            <w:tcW w:w="314" w:type="pct"/>
            <w:tcBorders>
              <w:top w:val="nil"/>
              <w:left w:val="nil"/>
              <w:bottom w:val="nil"/>
              <w:right w:val="nil"/>
            </w:tcBorders>
            <w:shd w:val="clear" w:color="auto" w:fill="auto"/>
            <w:vAlign w:val="center"/>
            <w:hideMark/>
          </w:tcPr>
          <w:p w14:paraId="2D91148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95.09</w:t>
            </w:r>
          </w:p>
        </w:tc>
      </w:tr>
      <w:tr w:rsidR="00C72B69" w:rsidRPr="008319F4" w14:paraId="7E38043C" w14:textId="77777777" w:rsidTr="00393734">
        <w:trPr>
          <w:trHeight w:val="300"/>
        </w:trPr>
        <w:tc>
          <w:tcPr>
            <w:tcW w:w="345" w:type="pct"/>
            <w:tcBorders>
              <w:top w:val="nil"/>
              <w:left w:val="nil"/>
              <w:bottom w:val="nil"/>
              <w:right w:val="nil"/>
            </w:tcBorders>
            <w:shd w:val="clear" w:color="auto" w:fill="auto"/>
            <w:vAlign w:val="center"/>
            <w:hideMark/>
          </w:tcPr>
          <w:p w14:paraId="3FD1B8B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COV</w:t>
            </w:r>
          </w:p>
        </w:tc>
        <w:tc>
          <w:tcPr>
            <w:tcW w:w="361" w:type="pct"/>
            <w:tcBorders>
              <w:top w:val="nil"/>
              <w:left w:val="nil"/>
              <w:bottom w:val="nil"/>
              <w:right w:val="nil"/>
            </w:tcBorders>
            <w:shd w:val="clear" w:color="auto" w:fill="auto"/>
            <w:vAlign w:val="center"/>
            <w:hideMark/>
          </w:tcPr>
          <w:p w14:paraId="6BA86B4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80.74</w:t>
            </w:r>
          </w:p>
        </w:tc>
        <w:tc>
          <w:tcPr>
            <w:tcW w:w="333" w:type="pct"/>
            <w:tcBorders>
              <w:top w:val="nil"/>
              <w:left w:val="nil"/>
              <w:bottom w:val="nil"/>
              <w:right w:val="nil"/>
            </w:tcBorders>
            <w:shd w:val="clear" w:color="auto" w:fill="auto"/>
            <w:vAlign w:val="center"/>
            <w:hideMark/>
          </w:tcPr>
          <w:p w14:paraId="37281CA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100.68</w:t>
            </w:r>
          </w:p>
        </w:tc>
        <w:tc>
          <w:tcPr>
            <w:tcW w:w="450" w:type="pct"/>
            <w:tcBorders>
              <w:top w:val="nil"/>
              <w:left w:val="nil"/>
              <w:bottom w:val="nil"/>
              <w:right w:val="nil"/>
            </w:tcBorders>
            <w:shd w:val="clear" w:color="auto" w:fill="auto"/>
            <w:noWrap/>
            <w:vAlign w:val="center"/>
            <w:hideMark/>
          </w:tcPr>
          <w:p w14:paraId="18DFB30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-19.94***</w:t>
            </w:r>
          </w:p>
        </w:tc>
        <w:tc>
          <w:tcPr>
            <w:tcW w:w="324" w:type="pct"/>
            <w:tcBorders>
              <w:top w:val="nil"/>
              <w:left w:val="nil"/>
              <w:bottom w:val="nil"/>
              <w:right w:val="nil"/>
            </w:tcBorders>
            <w:shd w:val="clear" w:color="auto" w:fill="auto"/>
            <w:noWrap/>
            <w:vAlign w:val="center"/>
            <w:hideMark/>
          </w:tcPr>
          <w:p w14:paraId="58E4835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-11.04</w:t>
            </w:r>
          </w:p>
        </w:tc>
        <w:tc>
          <w:tcPr>
            <w:tcW w:w="135" w:type="pct"/>
            <w:tcBorders>
              <w:top w:val="nil"/>
              <w:left w:val="nil"/>
              <w:bottom w:val="nil"/>
              <w:right w:val="nil"/>
            </w:tcBorders>
            <w:shd w:val="clear" w:color="auto" w:fill="auto"/>
            <w:noWrap/>
            <w:vAlign w:val="center"/>
            <w:hideMark/>
          </w:tcPr>
          <w:p w14:paraId="518E777E"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618AF80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68.47</w:t>
            </w:r>
          </w:p>
        </w:tc>
        <w:tc>
          <w:tcPr>
            <w:tcW w:w="333" w:type="pct"/>
            <w:tcBorders>
              <w:top w:val="nil"/>
              <w:left w:val="nil"/>
              <w:bottom w:val="nil"/>
              <w:right w:val="nil"/>
            </w:tcBorders>
            <w:shd w:val="clear" w:color="auto" w:fill="auto"/>
            <w:vAlign w:val="center"/>
            <w:hideMark/>
          </w:tcPr>
          <w:p w14:paraId="2B5A544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95.47</w:t>
            </w:r>
          </w:p>
        </w:tc>
        <w:tc>
          <w:tcPr>
            <w:tcW w:w="454" w:type="pct"/>
            <w:tcBorders>
              <w:top w:val="nil"/>
              <w:left w:val="nil"/>
              <w:bottom w:val="nil"/>
              <w:right w:val="nil"/>
            </w:tcBorders>
            <w:shd w:val="clear" w:color="auto" w:fill="auto"/>
            <w:noWrap/>
            <w:vAlign w:val="center"/>
            <w:hideMark/>
          </w:tcPr>
          <w:p w14:paraId="435EF31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-27.00***</w:t>
            </w:r>
          </w:p>
        </w:tc>
        <w:tc>
          <w:tcPr>
            <w:tcW w:w="314" w:type="pct"/>
            <w:tcBorders>
              <w:top w:val="nil"/>
              <w:left w:val="nil"/>
              <w:bottom w:val="nil"/>
              <w:right w:val="nil"/>
            </w:tcBorders>
            <w:shd w:val="clear" w:color="auto" w:fill="auto"/>
            <w:noWrap/>
            <w:vAlign w:val="center"/>
            <w:hideMark/>
          </w:tcPr>
          <w:p w14:paraId="2C9FA88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-11.18</w:t>
            </w:r>
          </w:p>
        </w:tc>
        <w:tc>
          <w:tcPr>
            <w:tcW w:w="135" w:type="pct"/>
            <w:tcBorders>
              <w:top w:val="nil"/>
              <w:left w:val="nil"/>
              <w:bottom w:val="nil"/>
              <w:right w:val="nil"/>
            </w:tcBorders>
            <w:shd w:val="clear" w:color="auto" w:fill="auto"/>
            <w:noWrap/>
            <w:vAlign w:val="center"/>
            <w:hideMark/>
          </w:tcPr>
          <w:p w14:paraId="0410CBE3"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136A879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67.51</w:t>
            </w:r>
          </w:p>
        </w:tc>
        <w:tc>
          <w:tcPr>
            <w:tcW w:w="333" w:type="pct"/>
            <w:tcBorders>
              <w:top w:val="nil"/>
              <w:left w:val="nil"/>
              <w:bottom w:val="nil"/>
              <w:right w:val="nil"/>
            </w:tcBorders>
            <w:shd w:val="clear" w:color="auto" w:fill="auto"/>
            <w:vAlign w:val="center"/>
            <w:hideMark/>
          </w:tcPr>
          <w:p w14:paraId="78DFF08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126.75</w:t>
            </w:r>
          </w:p>
        </w:tc>
        <w:tc>
          <w:tcPr>
            <w:tcW w:w="447" w:type="pct"/>
            <w:tcBorders>
              <w:top w:val="nil"/>
              <w:left w:val="nil"/>
              <w:bottom w:val="nil"/>
              <w:right w:val="nil"/>
            </w:tcBorders>
            <w:shd w:val="clear" w:color="auto" w:fill="auto"/>
            <w:noWrap/>
            <w:vAlign w:val="center"/>
            <w:hideMark/>
          </w:tcPr>
          <w:p w14:paraId="421AB0D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-59.24***</w:t>
            </w:r>
          </w:p>
        </w:tc>
        <w:tc>
          <w:tcPr>
            <w:tcW w:w="314" w:type="pct"/>
            <w:tcBorders>
              <w:top w:val="nil"/>
              <w:left w:val="nil"/>
              <w:bottom w:val="nil"/>
              <w:right w:val="nil"/>
            </w:tcBorders>
            <w:shd w:val="clear" w:color="auto" w:fill="auto"/>
            <w:noWrap/>
            <w:vAlign w:val="center"/>
            <w:hideMark/>
          </w:tcPr>
          <w:p w14:paraId="14FE636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-30.27</w:t>
            </w:r>
          </w:p>
        </w:tc>
      </w:tr>
      <w:tr w:rsidR="00C72B69" w:rsidRPr="008319F4" w14:paraId="64DB7CE1" w14:textId="77777777" w:rsidTr="00393734">
        <w:trPr>
          <w:trHeight w:val="375"/>
        </w:trPr>
        <w:tc>
          <w:tcPr>
            <w:tcW w:w="345" w:type="pct"/>
            <w:tcBorders>
              <w:top w:val="nil"/>
              <w:left w:val="nil"/>
              <w:bottom w:val="nil"/>
              <w:right w:val="nil"/>
            </w:tcBorders>
            <w:shd w:val="clear" w:color="auto" w:fill="auto"/>
            <w:vAlign w:val="center"/>
            <w:hideMark/>
          </w:tcPr>
          <w:p w14:paraId="46077D3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DISP</w:t>
            </w:r>
          </w:p>
        </w:tc>
        <w:tc>
          <w:tcPr>
            <w:tcW w:w="361" w:type="pct"/>
            <w:tcBorders>
              <w:top w:val="nil"/>
              <w:left w:val="nil"/>
              <w:bottom w:val="nil"/>
              <w:right w:val="nil"/>
            </w:tcBorders>
            <w:shd w:val="clear" w:color="auto" w:fill="auto"/>
            <w:vAlign w:val="center"/>
            <w:hideMark/>
          </w:tcPr>
          <w:p w14:paraId="285C685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105.90</w:t>
            </w:r>
          </w:p>
        </w:tc>
        <w:tc>
          <w:tcPr>
            <w:tcW w:w="333" w:type="pct"/>
            <w:tcBorders>
              <w:top w:val="nil"/>
              <w:left w:val="nil"/>
              <w:bottom w:val="nil"/>
              <w:right w:val="nil"/>
            </w:tcBorders>
            <w:shd w:val="clear" w:color="auto" w:fill="auto"/>
            <w:vAlign w:val="center"/>
            <w:hideMark/>
          </w:tcPr>
          <w:p w14:paraId="7C1BFA5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23.09</w:t>
            </w:r>
          </w:p>
        </w:tc>
        <w:tc>
          <w:tcPr>
            <w:tcW w:w="450" w:type="pct"/>
            <w:tcBorders>
              <w:top w:val="nil"/>
              <w:left w:val="nil"/>
              <w:bottom w:val="nil"/>
              <w:right w:val="nil"/>
            </w:tcBorders>
            <w:shd w:val="clear" w:color="auto" w:fill="auto"/>
            <w:vAlign w:val="center"/>
            <w:hideMark/>
          </w:tcPr>
          <w:p w14:paraId="585FDDE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82.77**</w:t>
            </w:r>
          </w:p>
        </w:tc>
        <w:tc>
          <w:tcPr>
            <w:tcW w:w="324" w:type="pct"/>
            <w:tcBorders>
              <w:top w:val="nil"/>
              <w:left w:val="nil"/>
              <w:bottom w:val="nil"/>
              <w:right w:val="nil"/>
            </w:tcBorders>
            <w:shd w:val="clear" w:color="auto" w:fill="auto"/>
            <w:vAlign w:val="center"/>
            <w:hideMark/>
          </w:tcPr>
          <w:p w14:paraId="70D0E25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2.53</w:t>
            </w:r>
          </w:p>
        </w:tc>
        <w:tc>
          <w:tcPr>
            <w:tcW w:w="135" w:type="pct"/>
            <w:tcBorders>
              <w:top w:val="nil"/>
              <w:left w:val="nil"/>
              <w:bottom w:val="nil"/>
              <w:right w:val="nil"/>
            </w:tcBorders>
            <w:shd w:val="clear" w:color="auto" w:fill="auto"/>
            <w:vAlign w:val="center"/>
            <w:hideMark/>
          </w:tcPr>
          <w:p w14:paraId="18876A37"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1E026E5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155.70</w:t>
            </w:r>
          </w:p>
        </w:tc>
        <w:tc>
          <w:tcPr>
            <w:tcW w:w="333" w:type="pct"/>
            <w:tcBorders>
              <w:top w:val="nil"/>
              <w:left w:val="nil"/>
              <w:bottom w:val="nil"/>
              <w:right w:val="nil"/>
            </w:tcBorders>
            <w:shd w:val="clear" w:color="auto" w:fill="auto"/>
            <w:vAlign w:val="center"/>
            <w:hideMark/>
          </w:tcPr>
          <w:p w14:paraId="5E50A9F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34.23</w:t>
            </w:r>
          </w:p>
        </w:tc>
        <w:tc>
          <w:tcPr>
            <w:tcW w:w="454" w:type="pct"/>
            <w:tcBorders>
              <w:top w:val="nil"/>
              <w:left w:val="nil"/>
              <w:bottom w:val="nil"/>
              <w:right w:val="nil"/>
            </w:tcBorders>
            <w:shd w:val="clear" w:color="auto" w:fill="auto"/>
            <w:vAlign w:val="center"/>
            <w:hideMark/>
          </w:tcPr>
          <w:p w14:paraId="5795742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121.43***</w:t>
            </w:r>
          </w:p>
        </w:tc>
        <w:tc>
          <w:tcPr>
            <w:tcW w:w="314" w:type="pct"/>
            <w:tcBorders>
              <w:top w:val="nil"/>
              <w:left w:val="nil"/>
              <w:bottom w:val="nil"/>
              <w:right w:val="nil"/>
            </w:tcBorders>
            <w:shd w:val="clear" w:color="auto" w:fill="auto"/>
            <w:vAlign w:val="center"/>
            <w:hideMark/>
          </w:tcPr>
          <w:p w14:paraId="1B96971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2.60</w:t>
            </w:r>
          </w:p>
        </w:tc>
        <w:tc>
          <w:tcPr>
            <w:tcW w:w="135" w:type="pct"/>
            <w:tcBorders>
              <w:top w:val="nil"/>
              <w:left w:val="nil"/>
              <w:bottom w:val="nil"/>
              <w:right w:val="nil"/>
            </w:tcBorders>
            <w:shd w:val="clear" w:color="auto" w:fill="auto"/>
            <w:vAlign w:val="center"/>
            <w:hideMark/>
          </w:tcPr>
          <w:p w14:paraId="7B2F6F1F"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65C6FEA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84.46</w:t>
            </w:r>
          </w:p>
        </w:tc>
        <w:tc>
          <w:tcPr>
            <w:tcW w:w="333" w:type="pct"/>
            <w:tcBorders>
              <w:top w:val="nil"/>
              <w:left w:val="nil"/>
              <w:bottom w:val="nil"/>
              <w:right w:val="nil"/>
            </w:tcBorders>
            <w:shd w:val="clear" w:color="auto" w:fill="auto"/>
            <w:vAlign w:val="center"/>
            <w:hideMark/>
          </w:tcPr>
          <w:p w14:paraId="1E25545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39.73</w:t>
            </w:r>
          </w:p>
        </w:tc>
        <w:tc>
          <w:tcPr>
            <w:tcW w:w="447" w:type="pct"/>
            <w:tcBorders>
              <w:top w:val="nil"/>
              <w:left w:val="nil"/>
              <w:bottom w:val="nil"/>
              <w:right w:val="nil"/>
            </w:tcBorders>
            <w:shd w:val="clear" w:color="auto" w:fill="auto"/>
            <w:vAlign w:val="center"/>
            <w:hideMark/>
          </w:tcPr>
          <w:p w14:paraId="192091F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44.74</w:t>
            </w:r>
          </w:p>
        </w:tc>
        <w:tc>
          <w:tcPr>
            <w:tcW w:w="314" w:type="pct"/>
            <w:tcBorders>
              <w:top w:val="nil"/>
              <w:left w:val="nil"/>
              <w:bottom w:val="nil"/>
              <w:right w:val="nil"/>
            </w:tcBorders>
            <w:shd w:val="clear" w:color="auto" w:fill="auto"/>
            <w:vAlign w:val="center"/>
            <w:hideMark/>
          </w:tcPr>
          <w:p w14:paraId="118CE28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1.48</w:t>
            </w:r>
          </w:p>
        </w:tc>
      </w:tr>
      <w:tr w:rsidR="00C72B69" w:rsidRPr="008319F4" w14:paraId="50496211" w14:textId="77777777" w:rsidTr="00393734">
        <w:trPr>
          <w:trHeight w:val="300"/>
        </w:trPr>
        <w:tc>
          <w:tcPr>
            <w:tcW w:w="345" w:type="pct"/>
            <w:tcBorders>
              <w:top w:val="nil"/>
              <w:left w:val="nil"/>
              <w:bottom w:val="nil"/>
              <w:right w:val="nil"/>
            </w:tcBorders>
            <w:shd w:val="clear" w:color="auto" w:fill="auto"/>
            <w:vAlign w:val="center"/>
            <w:hideMark/>
          </w:tcPr>
          <w:p w14:paraId="5352BF2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DVOL</w:t>
            </w:r>
          </w:p>
        </w:tc>
        <w:tc>
          <w:tcPr>
            <w:tcW w:w="361" w:type="pct"/>
            <w:tcBorders>
              <w:top w:val="nil"/>
              <w:left w:val="nil"/>
              <w:bottom w:val="nil"/>
              <w:right w:val="nil"/>
            </w:tcBorders>
            <w:shd w:val="clear" w:color="auto" w:fill="auto"/>
            <w:vAlign w:val="center"/>
            <w:hideMark/>
          </w:tcPr>
          <w:p w14:paraId="287BCE8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0.48</w:t>
            </w:r>
          </w:p>
        </w:tc>
        <w:tc>
          <w:tcPr>
            <w:tcW w:w="333" w:type="pct"/>
            <w:tcBorders>
              <w:top w:val="nil"/>
              <w:left w:val="nil"/>
              <w:bottom w:val="nil"/>
              <w:right w:val="nil"/>
            </w:tcBorders>
            <w:shd w:val="clear" w:color="auto" w:fill="auto"/>
            <w:vAlign w:val="center"/>
            <w:hideMark/>
          </w:tcPr>
          <w:p w14:paraId="30ADD918"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3.19</w:t>
            </w:r>
          </w:p>
        </w:tc>
        <w:tc>
          <w:tcPr>
            <w:tcW w:w="450" w:type="pct"/>
            <w:tcBorders>
              <w:top w:val="nil"/>
              <w:left w:val="nil"/>
              <w:bottom w:val="nil"/>
              <w:right w:val="nil"/>
            </w:tcBorders>
            <w:shd w:val="clear" w:color="auto" w:fill="auto"/>
            <w:noWrap/>
            <w:vAlign w:val="center"/>
            <w:hideMark/>
          </w:tcPr>
          <w:p w14:paraId="186E4A5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-2.71***</w:t>
            </w:r>
          </w:p>
        </w:tc>
        <w:tc>
          <w:tcPr>
            <w:tcW w:w="324" w:type="pct"/>
            <w:tcBorders>
              <w:top w:val="nil"/>
              <w:left w:val="nil"/>
              <w:bottom w:val="nil"/>
              <w:right w:val="nil"/>
            </w:tcBorders>
            <w:shd w:val="clear" w:color="auto" w:fill="auto"/>
            <w:noWrap/>
            <w:vAlign w:val="center"/>
            <w:hideMark/>
          </w:tcPr>
          <w:p w14:paraId="5A2665D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-27.83</w:t>
            </w:r>
          </w:p>
        </w:tc>
        <w:tc>
          <w:tcPr>
            <w:tcW w:w="135" w:type="pct"/>
            <w:tcBorders>
              <w:top w:val="nil"/>
              <w:left w:val="nil"/>
              <w:bottom w:val="nil"/>
              <w:right w:val="nil"/>
            </w:tcBorders>
            <w:shd w:val="clear" w:color="auto" w:fill="auto"/>
            <w:noWrap/>
            <w:vAlign w:val="center"/>
            <w:hideMark/>
          </w:tcPr>
          <w:p w14:paraId="0E1D9D1C"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2120F0E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0.81</w:t>
            </w:r>
          </w:p>
        </w:tc>
        <w:tc>
          <w:tcPr>
            <w:tcW w:w="333" w:type="pct"/>
            <w:tcBorders>
              <w:top w:val="nil"/>
              <w:left w:val="nil"/>
              <w:bottom w:val="nil"/>
              <w:right w:val="nil"/>
            </w:tcBorders>
            <w:shd w:val="clear" w:color="auto" w:fill="auto"/>
            <w:vAlign w:val="center"/>
            <w:hideMark/>
          </w:tcPr>
          <w:p w14:paraId="07C6641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3.15</w:t>
            </w:r>
          </w:p>
        </w:tc>
        <w:tc>
          <w:tcPr>
            <w:tcW w:w="454" w:type="pct"/>
            <w:tcBorders>
              <w:top w:val="nil"/>
              <w:left w:val="nil"/>
              <w:bottom w:val="nil"/>
              <w:right w:val="nil"/>
            </w:tcBorders>
            <w:shd w:val="clear" w:color="auto" w:fill="auto"/>
            <w:noWrap/>
            <w:vAlign w:val="center"/>
            <w:hideMark/>
          </w:tcPr>
          <w:p w14:paraId="60FAE3E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-2.34***</w:t>
            </w:r>
          </w:p>
        </w:tc>
        <w:tc>
          <w:tcPr>
            <w:tcW w:w="314" w:type="pct"/>
            <w:tcBorders>
              <w:top w:val="nil"/>
              <w:left w:val="nil"/>
              <w:bottom w:val="nil"/>
              <w:right w:val="nil"/>
            </w:tcBorders>
            <w:shd w:val="clear" w:color="auto" w:fill="auto"/>
            <w:noWrap/>
            <w:vAlign w:val="center"/>
            <w:hideMark/>
          </w:tcPr>
          <w:p w14:paraId="1406FAE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-18.90</w:t>
            </w:r>
          </w:p>
        </w:tc>
        <w:tc>
          <w:tcPr>
            <w:tcW w:w="135" w:type="pct"/>
            <w:tcBorders>
              <w:top w:val="nil"/>
              <w:left w:val="nil"/>
              <w:bottom w:val="nil"/>
              <w:right w:val="nil"/>
            </w:tcBorders>
            <w:shd w:val="clear" w:color="auto" w:fill="auto"/>
            <w:noWrap/>
            <w:vAlign w:val="center"/>
            <w:hideMark/>
          </w:tcPr>
          <w:p w14:paraId="6AD52B4A"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nil"/>
              <w:right w:val="nil"/>
            </w:tcBorders>
            <w:shd w:val="clear" w:color="auto" w:fill="auto"/>
            <w:vAlign w:val="center"/>
            <w:hideMark/>
          </w:tcPr>
          <w:p w14:paraId="0EEAA3E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0.48</w:t>
            </w:r>
          </w:p>
        </w:tc>
        <w:tc>
          <w:tcPr>
            <w:tcW w:w="333" w:type="pct"/>
            <w:tcBorders>
              <w:top w:val="nil"/>
              <w:left w:val="nil"/>
              <w:bottom w:val="nil"/>
              <w:right w:val="nil"/>
            </w:tcBorders>
            <w:shd w:val="clear" w:color="auto" w:fill="auto"/>
            <w:vAlign w:val="center"/>
            <w:hideMark/>
          </w:tcPr>
          <w:p w14:paraId="5A9DBB1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4.94</w:t>
            </w:r>
          </w:p>
        </w:tc>
        <w:tc>
          <w:tcPr>
            <w:tcW w:w="447" w:type="pct"/>
            <w:tcBorders>
              <w:top w:val="nil"/>
              <w:left w:val="nil"/>
              <w:bottom w:val="nil"/>
              <w:right w:val="nil"/>
            </w:tcBorders>
            <w:shd w:val="clear" w:color="auto" w:fill="auto"/>
            <w:noWrap/>
            <w:vAlign w:val="center"/>
            <w:hideMark/>
          </w:tcPr>
          <w:p w14:paraId="701F3EB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-4.46***</w:t>
            </w:r>
          </w:p>
        </w:tc>
        <w:tc>
          <w:tcPr>
            <w:tcW w:w="314" w:type="pct"/>
            <w:tcBorders>
              <w:top w:val="nil"/>
              <w:left w:val="nil"/>
              <w:bottom w:val="nil"/>
              <w:right w:val="nil"/>
            </w:tcBorders>
            <w:shd w:val="clear" w:color="auto" w:fill="auto"/>
            <w:noWrap/>
            <w:vAlign w:val="center"/>
            <w:hideMark/>
          </w:tcPr>
          <w:p w14:paraId="79B5D8C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-38.65</w:t>
            </w:r>
          </w:p>
        </w:tc>
      </w:tr>
      <w:tr w:rsidR="00C72B69" w:rsidRPr="008319F4" w14:paraId="3ADBE01B" w14:textId="77777777" w:rsidTr="00393734">
        <w:trPr>
          <w:trHeight w:val="300"/>
        </w:trPr>
        <w:tc>
          <w:tcPr>
            <w:tcW w:w="345" w:type="pct"/>
            <w:tcBorders>
              <w:top w:val="nil"/>
              <w:left w:val="nil"/>
              <w:bottom w:val="single" w:sz="4" w:space="0" w:color="auto"/>
              <w:right w:val="nil"/>
            </w:tcBorders>
            <w:shd w:val="clear" w:color="auto" w:fill="auto"/>
            <w:vAlign w:val="center"/>
            <w:hideMark/>
          </w:tcPr>
          <w:p w14:paraId="2A440D0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IVOL</w:t>
            </w:r>
          </w:p>
        </w:tc>
        <w:tc>
          <w:tcPr>
            <w:tcW w:w="361" w:type="pct"/>
            <w:tcBorders>
              <w:top w:val="nil"/>
              <w:left w:val="nil"/>
              <w:bottom w:val="single" w:sz="4" w:space="0" w:color="auto"/>
              <w:right w:val="nil"/>
            </w:tcBorders>
            <w:shd w:val="clear" w:color="auto" w:fill="auto"/>
            <w:vAlign w:val="center"/>
            <w:hideMark/>
          </w:tcPr>
          <w:p w14:paraId="0FB594A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0.21</w:t>
            </w:r>
          </w:p>
        </w:tc>
        <w:tc>
          <w:tcPr>
            <w:tcW w:w="333" w:type="pct"/>
            <w:tcBorders>
              <w:top w:val="nil"/>
              <w:left w:val="nil"/>
              <w:bottom w:val="single" w:sz="4" w:space="0" w:color="auto"/>
              <w:right w:val="nil"/>
            </w:tcBorders>
            <w:shd w:val="clear" w:color="auto" w:fill="auto"/>
            <w:vAlign w:val="center"/>
            <w:hideMark/>
          </w:tcPr>
          <w:p w14:paraId="44137CF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0.10</w:t>
            </w:r>
          </w:p>
        </w:tc>
        <w:tc>
          <w:tcPr>
            <w:tcW w:w="450" w:type="pct"/>
            <w:tcBorders>
              <w:top w:val="nil"/>
              <w:left w:val="nil"/>
              <w:bottom w:val="single" w:sz="4" w:space="0" w:color="auto"/>
              <w:right w:val="nil"/>
            </w:tcBorders>
            <w:shd w:val="clear" w:color="auto" w:fill="auto"/>
            <w:vAlign w:val="center"/>
            <w:hideMark/>
          </w:tcPr>
          <w:p w14:paraId="3AAEDEF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0.10***</w:t>
            </w:r>
          </w:p>
        </w:tc>
        <w:tc>
          <w:tcPr>
            <w:tcW w:w="324" w:type="pct"/>
            <w:tcBorders>
              <w:top w:val="nil"/>
              <w:left w:val="nil"/>
              <w:bottom w:val="single" w:sz="4" w:space="0" w:color="auto"/>
              <w:right w:val="nil"/>
            </w:tcBorders>
            <w:shd w:val="clear" w:color="auto" w:fill="auto"/>
            <w:vAlign w:val="center"/>
            <w:hideMark/>
          </w:tcPr>
          <w:p w14:paraId="61AC502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174.33</w:t>
            </w:r>
          </w:p>
        </w:tc>
        <w:tc>
          <w:tcPr>
            <w:tcW w:w="135" w:type="pct"/>
            <w:tcBorders>
              <w:top w:val="nil"/>
              <w:left w:val="nil"/>
              <w:bottom w:val="single" w:sz="4" w:space="0" w:color="auto"/>
              <w:right w:val="nil"/>
            </w:tcBorders>
            <w:shd w:val="clear" w:color="auto" w:fill="auto"/>
            <w:vAlign w:val="center"/>
            <w:hideMark/>
          </w:tcPr>
          <w:p w14:paraId="2A8C626E"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single" w:sz="4" w:space="0" w:color="auto"/>
              <w:right w:val="nil"/>
            </w:tcBorders>
            <w:shd w:val="clear" w:color="auto" w:fill="auto"/>
            <w:vAlign w:val="center"/>
            <w:hideMark/>
          </w:tcPr>
          <w:p w14:paraId="66A8E38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0.17</w:t>
            </w:r>
          </w:p>
        </w:tc>
        <w:tc>
          <w:tcPr>
            <w:tcW w:w="333" w:type="pct"/>
            <w:tcBorders>
              <w:top w:val="nil"/>
              <w:left w:val="nil"/>
              <w:bottom w:val="single" w:sz="4" w:space="0" w:color="auto"/>
              <w:right w:val="nil"/>
            </w:tcBorders>
            <w:shd w:val="clear" w:color="auto" w:fill="auto"/>
            <w:vAlign w:val="center"/>
            <w:hideMark/>
          </w:tcPr>
          <w:p w14:paraId="782CF25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0.09</w:t>
            </w:r>
          </w:p>
        </w:tc>
        <w:tc>
          <w:tcPr>
            <w:tcW w:w="454" w:type="pct"/>
            <w:tcBorders>
              <w:top w:val="nil"/>
              <w:left w:val="nil"/>
              <w:bottom w:val="single" w:sz="4" w:space="0" w:color="auto"/>
              <w:right w:val="nil"/>
            </w:tcBorders>
            <w:shd w:val="clear" w:color="auto" w:fill="auto"/>
            <w:vAlign w:val="center"/>
            <w:hideMark/>
          </w:tcPr>
          <w:p w14:paraId="6F5A57C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0.08***</w:t>
            </w:r>
          </w:p>
        </w:tc>
        <w:tc>
          <w:tcPr>
            <w:tcW w:w="314" w:type="pct"/>
            <w:tcBorders>
              <w:top w:val="nil"/>
              <w:left w:val="nil"/>
              <w:bottom w:val="single" w:sz="4" w:space="0" w:color="auto"/>
              <w:right w:val="nil"/>
            </w:tcBorders>
            <w:shd w:val="clear" w:color="auto" w:fill="auto"/>
            <w:vAlign w:val="center"/>
            <w:hideMark/>
          </w:tcPr>
          <w:p w14:paraId="77E5B16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158.06</w:t>
            </w:r>
          </w:p>
        </w:tc>
        <w:tc>
          <w:tcPr>
            <w:tcW w:w="135" w:type="pct"/>
            <w:tcBorders>
              <w:top w:val="nil"/>
              <w:left w:val="nil"/>
              <w:bottom w:val="single" w:sz="4" w:space="0" w:color="auto"/>
              <w:right w:val="nil"/>
            </w:tcBorders>
            <w:shd w:val="clear" w:color="auto" w:fill="auto"/>
            <w:vAlign w:val="center"/>
            <w:hideMark/>
          </w:tcPr>
          <w:p w14:paraId="41D4777E" w14:textId="77777777" w:rsidR="00C72B69" w:rsidRPr="008319F4" w:rsidRDefault="00C72B69" w:rsidP="00393734">
            <w:pPr>
              <w:spacing w:after="0" w:line="240" w:lineRule="auto"/>
              <w:jc w:val="center"/>
              <w:rPr>
                <w:rFonts w:eastAsia="Times New Roman" w:cs="Calibri"/>
                <w:color w:val="000000"/>
              </w:rPr>
            </w:pPr>
          </w:p>
        </w:tc>
        <w:tc>
          <w:tcPr>
            <w:tcW w:w="361" w:type="pct"/>
            <w:tcBorders>
              <w:top w:val="nil"/>
              <w:left w:val="nil"/>
              <w:bottom w:val="single" w:sz="4" w:space="0" w:color="auto"/>
              <w:right w:val="nil"/>
            </w:tcBorders>
            <w:shd w:val="clear" w:color="auto" w:fill="auto"/>
            <w:vAlign w:val="center"/>
            <w:hideMark/>
          </w:tcPr>
          <w:p w14:paraId="0EF8EEF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0.20</w:t>
            </w:r>
          </w:p>
        </w:tc>
        <w:tc>
          <w:tcPr>
            <w:tcW w:w="333" w:type="pct"/>
            <w:tcBorders>
              <w:top w:val="nil"/>
              <w:left w:val="nil"/>
              <w:bottom w:val="single" w:sz="4" w:space="0" w:color="auto"/>
              <w:right w:val="nil"/>
            </w:tcBorders>
            <w:shd w:val="clear" w:color="auto" w:fill="auto"/>
            <w:vAlign w:val="center"/>
            <w:hideMark/>
          </w:tcPr>
          <w:p w14:paraId="7EF483E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0.09</w:t>
            </w:r>
          </w:p>
        </w:tc>
        <w:tc>
          <w:tcPr>
            <w:tcW w:w="447" w:type="pct"/>
            <w:tcBorders>
              <w:top w:val="nil"/>
              <w:left w:val="nil"/>
              <w:bottom w:val="single" w:sz="4" w:space="0" w:color="auto"/>
              <w:right w:val="nil"/>
            </w:tcBorders>
            <w:shd w:val="clear" w:color="auto" w:fill="auto"/>
            <w:vAlign w:val="center"/>
            <w:hideMark/>
          </w:tcPr>
          <w:p w14:paraId="0574E64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0.11***</w:t>
            </w:r>
          </w:p>
        </w:tc>
        <w:tc>
          <w:tcPr>
            <w:tcW w:w="314" w:type="pct"/>
            <w:tcBorders>
              <w:top w:val="nil"/>
              <w:left w:val="nil"/>
              <w:bottom w:val="single" w:sz="4" w:space="0" w:color="auto"/>
              <w:right w:val="nil"/>
            </w:tcBorders>
            <w:shd w:val="clear" w:color="auto" w:fill="auto"/>
            <w:vAlign w:val="center"/>
            <w:hideMark/>
          </w:tcPr>
          <w:p w14:paraId="70B3C00F"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187.44</w:t>
            </w:r>
          </w:p>
        </w:tc>
      </w:tr>
    </w:tbl>
    <w:p w14:paraId="203151F0" w14:textId="23E8A377" w:rsidR="00C72B69" w:rsidRPr="008319F4" w:rsidRDefault="00C72B69" w:rsidP="00C72B69">
      <w:pPr>
        <w:spacing w:before="120" w:after="120" w:line="240" w:lineRule="auto"/>
        <w:outlineLvl w:val="1"/>
        <w:rPr>
          <w:b/>
          <w:lang w:val="en-US"/>
        </w:rPr>
      </w:pPr>
      <w:r w:rsidRPr="008319F4">
        <w:rPr>
          <w:b/>
          <w:lang w:val="en-US"/>
        </w:rPr>
        <w:t>Panel B. Correlation</w:t>
      </w:r>
      <w:r w:rsidR="0050109A" w:rsidRPr="008319F4">
        <w:rPr>
          <w:b/>
          <w:lang w:val="en-US"/>
        </w:rPr>
        <w:t>s</w:t>
      </w:r>
    </w:p>
    <w:tbl>
      <w:tblPr>
        <w:tblW w:w="5000" w:type="pct"/>
        <w:tblLook w:val="04A0" w:firstRow="1" w:lastRow="0" w:firstColumn="1" w:lastColumn="0" w:noHBand="0" w:noVBand="1"/>
      </w:tblPr>
      <w:tblGrid>
        <w:gridCol w:w="1705"/>
        <w:gridCol w:w="1781"/>
        <w:gridCol w:w="1937"/>
        <w:gridCol w:w="1781"/>
        <w:gridCol w:w="1628"/>
        <w:gridCol w:w="1781"/>
        <w:gridCol w:w="1781"/>
        <w:gridCol w:w="1780"/>
      </w:tblGrid>
      <w:tr w:rsidR="00C72B69" w:rsidRPr="008319F4" w14:paraId="50F8E4B2" w14:textId="77777777" w:rsidTr="00393734">
        <w:trPr>
          <w:trHeight w:val="300"/>
        </w:trPr>
        <w:tc>
          <w:tcPr>
            <w:tcW w:w="601" w:type="pct"/>
            <w:tcBorders>
              <w:top w:val="single" w:sz="4" w:space="0" w:color="auto"/>
              <w:left w:val="nil"/>
              <w:bottom w:val="single" w:sz="4" w:space="0" w:color="auto"/>
              <w:right w:val="nil"/>
            </w:tcBorders>
            <w:shd w:val="clear" w:color="auto" w:fill="auto"/>
            <w:noWrap/>
            <w:vAlign w:val="center"/>
            <w:hideMark/>
          </w:tcPr>
          <w:p w14:paraId="1F212DC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 </w:t>
            </w:r>
          </w:p>
        </w:tc>
        <w:tc>
          <w:tcPr>
            <w:tcW w:w="628" w:type="pct"/>
            <w:tcBorders>
              <w:top w:val="single" w:sz="4" w:space="0" w:color="auto"/>
              <w:left w:val="nil"/>
              <w:bottom w:val="single" w:sz="4" w:space="0" w:color="auto"/>
              <w:right w:val="nil"/>
            </w:tcBorders>
            <w:shd w:val="clear" w:color="auto" w:fill="auto"/>
            <w:noWrap/>
            <w:vAlign w:val="center"/>
            <w:hideMark/>
          </w:tcPr>
          <w:p w14:paraId="56E5A04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IVOL</w:t>
            </w:r>
          </w:p>
        </w:tc>
        <w:tc>
          <w:tcPr>
            <w:tcW w:w="683" w:type="pct"/>
            <w:tcBorders>
              <w:top w:val="single" w:sz="4" w:space="0" w:color="auto"/>
              <w:left w:val="nil"/>
              <w:bottom w:val="single" w:sz="4" w:space="0" w:color="auto"/>
              <w:right w:val="nil"/>
            </w:tcBorders>
            <w:shd w:val="clear" w:color="auto" w:fill="auto"/>
            <w:noWrap/>
            <w:vAlign w:val="center"/>
            <w:hideMark/>
          </w:tcPr>
          <w:p w14:paraId="4242A91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BAS</w:t>
            </w:r>
          </w:p>
        </w:tc>
        <w:tc>
          <w:tcPr>
            <w:tcW w:w="628" w:type="pct"/>
            <w:tcBorders>
              <w:top w:val="single" w:sz="4" w:space="0" w:color="auto"/>
              <w:left w:val="nil"/>
              <w:bottom w:val="single" w:sz="4" w:space="0" w:color="auto"/>
              <w:right w:val="nil"/>
            </w:tcBorders>
            <w:shd w:val="clear" w:color="auto" w:fill="auto"/>
            <w:noWrap/>
            <w:vAlign w:val="center"/>
            <w:hideMark/>
          </w:tcPr>
          <w:p w14:paraId="125DEDB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COV</w:t>
            </w:r>
          </w:p>
        </w:tc>
        <w:tc>
          <w:tcPr>
            <w:tcW w:w="574" w:type="pct"/>
            <w:tcBorders>
              <w:top w:val="single" w:sz="4" w:space="0" w:color="auto"/>
              <w:left w:val="nil"/>
              <w:bottom w:val="single" w:sz="4" w:space="0" w:color="auto"/>
              <w:right w:val="nil"/>
            </w:tcBorders>
            <w:shd w:val="clear" w:color="auto" w:fill="auto"/>
            <w:noWrap/>
            <w:vAlign w:val="center"/>
            <w:hideMark/>
          </w:tcPr>
          <w:p w14:paraId="3876345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DISP</w:t>
            </w:r>
          </w:p>
        </w:tc>
        <w:tc>
          <w:tcPr>
            <w:tcW w:w="628" w:type="pct"/>
            <w:tcBorders>
              <w:top w:val="single" w:sz="4" w:space="0" w:color="auto"/>
              <w:left w:val="nil"/>
              <w:bottom w:val="single" w:sz="4" w:space="0" w:color="auto"/>
              <w:right w:val="nil"/>
            </w:tcBorders>
            <w:shd w:val="clear" w:color="auto" w:fill="auto"/>
            <w:noWrap/>
            <w:vAlign w:val="center"/>
            <w:hideMark/>
          </w:tcPr>
          <w:p w14:paraId="29C2CEC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DVOL</w:t>
            </w:r>
          </w:p>
        </w:tc>
        <w:tc>
          <w:tcPr>
            <w:tcW w:w="628" w:type="pct"/>
            <w:tcBorders>
              <w:top w:val="single" w:sz="4" w:space="0" w:color="auto"/>
              <w:left w:val="nil"/>
              <w:bottom w:val="single" w:sz="4" w:space="0" w:color="auto"/>
              <w:right w:val="nil"/>
            </w:tcBorders>
            <w:shd w:val="clear" w:color="auto" w:fill="auto"/>
            <w:noWrap/>
            <w:vAlign w:val="center"/>
            <w:hideMark/>
          </w:tcPr>
          <w:p w14:paraId="3183E56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AGE</w:t>
            </w:r>
          </w:p>
        </w:tc>
        <w:tc>
          <w:tcPr>
            <w:tcW w:w="628" w:type="pct"/>
            <w:tcBorders>
              <w:top w:val="single" w:sz="4" w:space="0" w:color="auto"/>
              <w:left w:val="nil"/>
              <w:bottom w:val="single" w:sz="4" w:space="0" w:color="auto"/>
              <w:right w:val="nil"/>
            </w:tcBorders>
            <w:shd w:val="clear" w:color="auto" w:fill="auto"/>
            <w:noWrap/>
            <w:vAlign w:val="center"/>
            <w:hideMark/>
          </w:tcPr>
          <w:p w14:paraId="2C04D8A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ASSET</w:t>
            </w:r>
          </w:p>
        </w:tc>
      </w:tr>
      <w:tr w:rsidR="00C72B69" w:rsidRPr="008319F4" w14:paraId="63E2A1F1" w14:textId="77777777" w:rsidTr="00393734">
        <w:trPr>
          <w:trHeight w:val="300"/>
        </w:trPr>
        <w:tc>
          <w:tcPr>
            <w:tcW w:w="601" w:type="pct"/>
            <w:tcBorders>
              <w:top w:val="nil"/>
              <w:left w:val="nil"/>
              <w:bottom w:val="nil"/>
              <w:right w:val="nil"/>
            </w:tcBorders>
            <w:shd w:val="clear" w:color="auto" w:fill="auto"/>
            <w:noWrap/>
            <w:vAlign w:val="center"/>
            <w:hideMark/>
          </w:tcPr>
          <w:p w14:paraId="776A72E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IVOL</w:t>
            </w:r>
          </w:p>
        </w:tc>
        <w:tc>
          <w:tcPr>
            <w:tcW w:w="628" w:type="pct"/>
            <w:tcBorders>
              <w:top w:val="nil"/>
              <w:left w:val="nil"/>
              <w:bottom w:val="nil"/>
              <w:right w:val="nil"/>
            </w:tcBorders>
            <w:shd w:val="clear" w:color="auto" w:fill="auto"/>
            <w:noWrap/>
            <w:vAlign w:val="center"/>
            <w:hideMark/>
          </w:tcPr>
          <w:p w14:paraId="49C7EE6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683" w:type="pct"/>
            <w:tcBorders>
              <w:top w:val="nil"/>
              <w:left w:val="nil"/>
              <w:bottom w:val="nil"/>
              <w:right w:val="nil"/>
            </w:tcBorders>
            <w:shd w:val="clear" w:color="auto" w:fill="auto"/>
            <w:noWrap/>
            <w:vAlign w:val="center"/>
            <w:hideMark/>
          </w:tcPr>
          <w:p w14:paraId="1610B18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0.479</w:t>
            </w:r>
          </w:p>
        </w:tc>
        <w:tc>
          <w:tcPr>
            <w:tcW w:w="628" w:type="pct"/>
            <w:tcBorders>
              <w:top w:val="nil"/>
              <w:left w:val="nil"/>
              <w:bottom w:val="nil"/>
              <w:right w:val="nil"/>
            </w:tcBorders>
            <w:shd w:val="clear" w:color="auto" w:fill="auto"/>
            <w:noWrap/>
            <w:vAlign w:val="center"/>
            <w:hideMark/>
          </w:tcPr>
          <w:p w14:paraId="1976EA3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-0.084</w:t>
            </w:r>
          </w:p>
        </w:tc>
        <w:tc>
          <w:tcPr>
            <w:tcW w:w="574" w:type="pct"/>
            <w:tcBorders>
              <w:top w:val="nil"/>
              <w:left w:val="nil"/>
              <w:bottom w:val="nil"/>
              <w:right w:val="nil"/>
            </w:tcBorders>
            <w:shd w:val="clear" w:color="auto" w:fill="auto"/>
            <w:noWrap/>
            <w:vAlign w:val="center"/>
            <w:hideMark/>
          </w:tcPr>
          <w:p w14:paraId="02045B5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0.190</w:t>
            </w:r>
          </w:p>
        </w:tc>
        <w:tc>
          <w:tcPr>
            <w:tcW w:w="628" w:type="pct"/>
            <w:tcBorders>
              <w:top w:val="nil"/>
              <w:left w:val="nil"/>
              <w:bottom w:val="nil"/>
              <w:right w:val="nil"/>
            </w:tcBorders>
            <w:shd w:val="clear" w:color="auto" w:fill="auto"/>
            <w:noWrap/>
            <w:vAlign w:val="center"/>
            <w:hideMark/>
          </w:tcPr>
          <w:p w14:paraId="7C2FADE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-0.233</w:t>
            </w:r>
          </w:p>
        </w:tc>
        <w:tc>
          <w:tcPr>
            <w:tcW w:w="628" w:type="pct"/>
            <w:tcBorders>
              <w:top w:val="nil"/>
              <w:left w:val="nil"/>
              <w:bottom w:val="nil"/>
              <w:right w:val="nil"/>
            </w:tcBorders>
            <w:shd w:val="clear" w:color="auto" w:fill="auto"/>
            <w:noWrap/>
            <w:vAlign w:val="center"/>
            <w:hideMark/>
          </w:tcPr>
          <w:p w14:paraId="4C30613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-0.309</w:t>
            </w:r>
          </w:p>
        </w:tc>
        <w:tc>
          <w:tcPr>
            <w:tcW w:w="628" w:type="pct"/>
            <w:tcBorders>
              <w:top w:val="nil"/>
              <w:left w:val="nil"/>
              <w:bottom w:val="nil"/>
              <w:right w:val="nil"/>
            </w:tcBorders>
            <w:shd w:val="clear" w:color="auto" w:fill="auto"/>
            <w:noWrap/>
            <w:vAlign w:val="center"/>
            <w:hideMark/>
          </w:tcPr>
          <w:p w14:paraId="770DB4E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-0.513</w:t>
            </w:r>
          </w:p>
        </w:tc>
      </w:tr>
      <w:tr w:rsidR="00C72B69" w:rsidRPr="008319F4" w14:paraId="00AF77DE" w14:textId="77777777" w:rsidTr="00393734">
        <w:trPr>
          <w:trHeight w:val="300"/>
        </w:trPr>
        <w:tc>
          <w:tcPr>
            <w:tcW w:w="601" w:type="pct"/>
            <w:tcBorders>
              <w:top w:val="nil"/>
              <w:left w:val="nil"/>
              <w:bottom w:val="nil"/>
              <w:right w:val="nil"/>
            </w:tcBorders>
            <w:shd w:val="clear" w:color="auto" w:fill="auto"/>
            <w:noWrap/>
            <w:vAlign w:val="center"/>
            <w:hideMark/>
          </w:tcPr>
          <w:p w14:paraId="086B7D1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BAS</w:t>
            </w:r>
          </w:p>
        </w:tc>
        <w:tc>
          <w:tcPr>
            <w:tcW w:w="628" w:type="pct"/>
            <w:tcBorders>
              <w:top w:val="nil"/>
              <w:left w:val="nil"/>
              <w:bottom w:val="nil"/>
              <w:right w:val="nil"/>
            </w:tcBorders>
            <w:shd w:val="clear" w:color="auto" w:fill="auto"/>
            <w:noWrap/>
            <w:vAlign w:val="center"/>
            <w:hideMark/>
          </w:tcPr>
          <w:p w14:paraId="1EAA630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0.340</w:t>
            </w:r>
          </w:p>
        </w:tc>
        <w:tc>
          <w:tcPr>
            <w:tcW w:w="683" w:type="pct"/>
            <w:tcBorders>
              <w:top w:val="nil"/>
              <w:left w:val="nil"/>
              <w:bottom w:val="nil"/>
              <w:right w:val="nil"/>
            </w:tcBorders>
            <w:shd w:val="clear" w:color="auto" w:fill="auto"/>
            <w:noWrap/>
            <w:vAlign w:val="center"/>
            <w:hideMark/>
          </w:tcPr>
          <w:p w14:paraId="09A4BEB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628" w:type="pct"/>
            <w:tcBorders>
              <w:top w:val="nil"/>
              <w:left w:val="nil"/>
              <w:bottom w:val="nil"/>
              <w:right w:val="nil"/>
            </w:tcBorders>
            <w:shd w:val="clear" w:color="auto" w:fill="auto"/>
            <w:noWrap/>
            <w:vAlign w:val="center"/>
            <w:hideMark/>
          </w:tcPr>
          <w:p w14:paraId="1034F91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-0.725</w:t>
            </w:r>
          </w:p>
        </w:tc>
        <w:tc>
          <w:tcPr>
            <w:tcW w:w="574" w:type="pct"/>
            <w:tcBorders>
              <w:top w:val="nil"/>
              <w:left w:val="nil"/>
              <w:bottom w:val="nil"/>
              <w:right w:val="nil"/>
            </w:tcBorders>
            <w:shd w:val="clear" w:color="auto" w:fill="auto"/>
            <w:noWrap/>
            <w:vAlign w:val="center"/>
            <w:hideMark/>
          </w:tcPr>
          <w:p w14:paraId="5B44272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-0.441</w:t>
            </w:r>
          </w:p>
        </w:tc>
        <w:tc>
          <w:tcPr>
            <w:tcW w:w="628" w:type="pct"/>
            <w:tcBorders>
              <w:top w:val="nil"/>
              <w:left w:val="nil"/>
              <w:bottom w:val="nil"/>
              <w:right w:val="nil"/>
            </w:tcBorders>
            <w:shd w:val="clear" w:color="auto" w:fill="auto"/>
            <w:noWrap/>
            <w:vAlign w:val="center"/>
            <w:hideMark/>
          </w:tcPr>
          <w:p w14:paraId="609E76B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-0.750</w:t>
            </w:r>
          </w:p>
        </w:tc>
        <w:tc>
          <w:tcPr>
            <w:tcW w:w="628" w:type="pct"/>
            <w:tcBorders>
              <w:top w:val="nil"/>
              <w:left w:val="nil"/>
              <w:bottom w:val="nil"/>
              <w:right w:val="nil"/>
            </w:tcBorders>
            <w:shd w:val="clear" w:color="auto" w:fill="auto"/>
            <w:noWrap/>
            <w:vAlign w:val="center"/>
            <w:hideMark/>
          </w:tcPr>
          <w:p w14:paraId="3A3DB7E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-0.302</w:t>
            </w:r>
          </w:p>
        </w:tc>
        <w:tc>
          <w:tcPr>
            <w:tcW w:w="628" w:type="pct"/>
            <w:tcBorders>
              <w:top w:val="nil"/>
              <w:left w:val="nil"/>
              <w:bottom w:val="nil"/>
              <w:right w:val="nil"/>
            </w:tcBorders>
            <w:shd w:val="clear" w:color="auto" w:fill="auto"/>
            <w:noWrap/>
            <w:vAlign w:val="center"/>
            <w:hideMark/>
          </w:tcPr>
          <w:p w14:paraId="6CC5F0B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-0.711</w:t>
            </w:r>
          </w:p>
        </w:tc>
      </w:tr>
      <w:tr w:rsidR="00C72B69" w:rsidRPr="008319F4" w14:paraId="5793C964" w14:textId="77777777" w:rsidTr="00393734">
        <w:trPr>
          <w:trHeight w:val="300"/>
        </w:trPr>
        <w:tc>
          <w:tcPr>
            <w:tcW w:w="601" w:type="pct"/>
            <w:tcBorders>
              <w:top w:val="nil"/>
              <w:left w:val="nil"/>
              <w:bottom w:val="nil"/>
              <w:right w:val="nil"/>
            </w:tcBorders>
            <w:shd w:val="clear" w:color="auto" w:fill="auto"/>
            <w:noWrap/>
            <w:vAlign w:val="center"/>
            <w:hideMark/>
          </w:tcPr>
          <w:p w14:paraId="669630B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COV</w:t>
            </w:r>
          </w:p>
        </w:tc>
        <w:tc>
          <w:tcPr>
            <w:tcW w:w="628" w:type="pct"/>
            <w:tcBorders>
              <w:top w:val="nil"/>
              <w:left w:val="nil"/>
              <w:bottom w:val="nil"/>
              <w:right w:val="nil"/>
            </w:tcBorders>
            <w:shd w:val="clear" w:color="auto" w:fill="auto"/>
            <w:noWrap/>
            <w:vAlign w:val="center"/>
            <w:hideMark/>
          </w:tcPr>
          <w:p w14:paraId="2AD8287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-0.094</w:t>
            </w:r>
          </w:p>
        </w:tc>
        <w:tc>
          <w:tcPr>
            <w:tcW w:w="683" w:type="pct"/>
            <w:tcBorders>
              <w:top w:val="nil"/>
              <w:left w:val="nil"/>
              <w:bottom w:val="nil"/>
              <w:right w:val="nil"/>
            </w:tcBorders>
            <w:shd w:val="clear" w:color="auto" w:fill="auto"/>
            <w:noWrap/>
            <w:vAlign w:val="center"/>
            <w:hideMark/>
          </w:tcPr>
          <w:p w14:paraId="41941FF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-0.326</w:t>
            </w:r>
          </w:p>
        </w:tc>
        <w:tc>
          <w:tcPr>
            <w:tcW w:w="628" w:type="pct"/>
            <w:tcBorders>
              <w:top w:val="nil"/>
              <w:left w:val="nil"/>
              <w:bottom w:val="nil"/>
              <w:right w:val="nil"/>
            </w:tcBorders>
            <w:shd w:val="clear" w:color="auto" w:fill="auto"/>
            <w:noWrap/>
            <w:vAlign w:val="center"/>
            <w:hideMark/>
          </w:tcPr>
          <w:p w14:paraId="6A9B00F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574" w:type="pct"/>
            <w:tcBorders>
              <w:top w:val="nil"/>
              <w:left w:val="nil"/>
              <w:bottom w:val="nil"/>
              <w:right w:val="nil"/>
            </w:tcBorders>
            <w:shd w:val="clear" w:color="auto" w:fill="auto"/>
            <w:noWrap/>
            <w:vAlign w:val="center"/>
            <w:hideMark/>
          </w:tcPr>
          <w:p w14:paraId="5780494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0.633</w:t>
            </w:r>
          </w:p>
        </w:tc>
        <w:tc>
          <w:tcPr>
            <w:tcW w:w="628" w:type="pct"/>
            <w:tcBorders>
              <w:top w:val="nil"/>
              <w:left w:val="nil"/>
              <w:bottom w:val="nil"/>
              <w:right w:val="nil"/>
            </w:tcBorders>
            <w:shd w:val="clear" w:color="auto" w:fill="auto"/>
            <w:noWrap/>
            <w:vAlign w:val="center"/>
            <w:hideMark/>
          </w:tcPr>
          <w:p w14:paraId="6F885BA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0.777</w:t>
            </w:r>
          </w:p>
        </w:tc>
        <w:tc>
          <w:tcPr>
            <w:tcW w:w="628" w:type="pct"/>
            <w:tcBorders>
              <w:top w:val="nil"/>
              <w:left w:val="nil"/>
              <w:bottom w:val="nil"/>
              <w:right w:val="nil"/>
            </w:tcBorders>
            <w:shd w:val="clear" w:color="auto" w:fill="auto"/>
            <w:noWrap/>
            <w:vAlign w:val="center"/>
            <w:hideMark/>
          </w:tcPr>
          <w:p w14:paraId="5D30B8E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0.187</w:t>
            </w:r>
          </w:p>
        </w:tc>
        <w:tc>
          <w:tcPr>
            <w:tcW w:w="628" w:type="pct"/>
            <w:tcBorders>
              <w:top w:val="nil"/>
              <w:left w:val="nil"/>
              <w:bottom w:val="nil"/>
              <w:right w:val="nil"/>
            </w:tcBorders>
            <w:shd w:val="clear" w:color="auto" w:fill="auto"/>
            <w:noWrap/>
            <w:vAlign w:val="center"/>
            <w:hideMark/>
          </w:tcPr>
          <w:p w14:paraId="31319E5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0.521</w:t>
            </w:r>
          </w:p>
        </w:tc>
      </w:tr>
      <w:tr w:rsidR="00C72B69" w:rsidRPr="008319F4" w14:paraId="029A1BC6" w14:textId="77777777" w:rsidTr="00393734">
        <w:trPr>
          <w:trHeight w:val="300"/>
        </w:trPr>
        <w:tc>
          <w:tcPr>
            <w:tcW w:w="601" w:type="pct"/>
            <w:tcBorders>
              <w:top w:val="nil"/>
              <w:left w:val="nil"/>
              <w:bottom w:val="nil"/>
              <w:right w:val="nil"/>
            </w:tcBorders>
            <w:shd w:val="clear" w:color="auto" w:fill="auto"/>
            <w:noWrap/>
            <w:vAlign w:val="center"/>
            <w:hideMark/>
          </w:tcPr>
          <w:p w14:paraId="5BA1E91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DSIP</w:t>
            </w:r>
          </w:p>
        </w:tc>
        <w:tc>
          <w:tcPr>
            <w:tcW w:w="628" w:type="pct"/>
            <w:tcBorders>
              <w:top w:val="nil"/>
              <w:left w:val="nil"/>
              <w:bottom w:val="nil"/>
              <w:right w:val="nil"/>
            </w:tcBorders>
            <w:shd w:val="clear" w:color="auto" w:fill="auto"/>
            <w:noWrap/>
            <w:vAlign w:val="center"/>
            <w:hideMark/>
          </w:tcPr>
          <w:p w14:paraId="6D787A3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0.009</w:t>
            </w:r>
          </w:p>
        </w:tc>
        <w:tc>
          <w:tcPr>
            <w:tcW w:w="683" w:type="pct"/>
            <w:tcBorders>
              <w:top w:val="nil"/>
              <w:left w:val="nil"/>
              <w:bottom w:val="nil"/>
              <w:right w:val="nil"/>
            </w:tcBorders>
            <w:shd w:val="clear" w:color="auto" w:fill="auto"/>
            <w:noWrap/>
            <w:vAlign w:val="center"/>
            <w:hideMark/>
          </w:tcPr>
          <w:p w14:paraId="41F6504D"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0.011</w:t>
            </w:r>
          </w:p>
        </w:tc>
        <w:tc>
          <w:tcPr>
            <w:tcW w:w="628" w:type="pct"/>
            <w:tcBorders>
              <w:top w:val="nil"/>
              <w:left w:val="nil"/>
              <w:bottom w:val="nil"/>
              <w:right w:val="nil"/>
            </w:tcBorders>
            <w:shd w:val="clear" w:color="auto" w:fill="auto"/>
            <w:noWrap/>
            <w:vAlign w:val="center"/>
            <w:hideMark/>
          </w:tcPr>
          <w:p w14:paraId="2173613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0.010</w:t>
            </w:r>
          </w:p>
        </w:tc>
        <w:tc>
          <w:tcPr>
            <w:tcW w:w="574" w:type="pct"/>
            <w:tcBorders>
              <w:top w:val="nil"/>
              <w:left w:val="nil"/>
              <w:bottom w:val="nil"/>
              <w:right w:val="nil"/>
            </w:tcBorders>
            <w:shd w:val="clear" w:color="auto" w:fill="auto"/>
            <w:noWrap/>
            <w:vAlign w:val="center"/>
            <w:hideMark/>
          </w:tcPr>
          <w:p w14:paraId="6265E44E"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628" w:type="pct"/>
            <w:tcBorders>
              <w:top w:val="nil"/>
              <w:left w:val="nil"/>
              <w:bottom w:val="nil"/>
              <w:right w:val="nil"/>
            </w:tcBorders>
            <w:shd w:val="clear" w:color="auto" w:fill="auto"/>
            <w:noWrap/>
            <w:vAlign w:val="center"/>
            <w:hideMark/>
          </w:tcPr>
          <w:p w14:paraId="79F4764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0.462</w:t>
            </w:r>
          </w:p>
        </w:tc>
        <w:tc>
          <w:tcPr>
            <w:tcW w:w="628" w:type="pct"/>
            <w:tcBorders>
              <w:top w:val="nil"/>
              <w:left w:val="nil"/>
              <w:bottom w:val="nil"/>
              <w:right w:val="nil"/>
            </w:tcBorders>
            <w:shd w:val="clear" w:color="auto" w:fill="auto"/>
            <w:noWrap/>
            <w:vAlign w:val="center"/>
            <w:hideMark/>
          </w:tcPr>
          <w:p w14:paraId="326B4C6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0.055</w:t>
            </w:r>
          </w:p>
        </w:tc>
        <w:tc>
          <w:tcPr>
            <w:tcW w:w="628" w:type="pct"/>
            <w:tcBorders>
              <w:top w:val="nil"/>
              <w:left w:val="nil"/>
              <w:bottom w:val="nil"/>
              <w:right w:val="nil"/>
            </w:tcBorders>
            <w:shd w:val="clear" w:color="auto" w:fill="auto"/>
            <w:noWrap/>
            <w:vAlign w:val="center"/>
            <w:hideMark/>
          </w:tcPr>
          <w:p w14:paraId="595DE80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0.296</w:t>
            </w:r>
          </w:p>
        </w:tc>
      </w:tr>
      <w:tr w:rsidR="00C72B69" w:rsidRPr="008319F4" w14:paraId="6BAD4FEC" w14:textId="77777777" w:rsidTr="00393734">
        <w:trPr>
          <w:trHeight w:val="300"/>
        </w:trPr>
        <w:tc>
          <w:tcPr>
            <w:tcW w:w="601" w:type="pct"/>
            <w:tcBorders>
              <w:top w:val="nil"/>
              <w:left w:val="nil"/>
              <w:bottom w:val="nil"/>
              <w:right w:val="nil"/>
            </w:tcBorders>
            <w:shd w:val="clear" w:color="auto" w:fill="auto"/>
            <w:noWrap/>
            <w:vAlign w:val="center"/>
            <w:hideMark/>
          </w:tcPr>
          <w:p w14:paraId="6D28314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DVOL</w:t>
            </w:r>
          </w:p>
        </w:tc>
        <w:tc>
          <w:tcPr>
            <w:tcW w:w="628" w:type="pct"/>
            <w:tcBorders>
              <w:top w:val="nil"/>
              <w:left w:val="nil"/>
              <w:bottom w:val="nil"/>
              <w:right w:val="nil"/>
            </w:tcBorders>
            <w:shd w:val="clear" w:color="auto" w:fill="auto"/>
            <w:noWrap/>
            <w:vAlign w:val="center"/>
            <w:hideMark/>
          </w:tcPr>
          <w:p w14:paraId="39F6588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-0.189</w:t>
            </w:r>
          </w:p>
        </w:tc>
        <w:tc>
          <w:tcPr>
            <w:tcW w:w="683" w:type="pct"/>
            <w:tcBorders>
              <w:top w:val="nil"/>
              <w:left w:val="nil"/>
              <w:bottom w:val="nil"/>
              <w:right w:val="nil"/>
            </w:tcBorders>
            <w:shd w:val="clear" w:color="auto" w:fill="auto"/>
            <w:noWrap/>
            <w:vAlign w:val="center"/>
            <w:hideMark/>
          </w:tcPr>
          <w:p w14:paraId="3AAF937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-0.513</w:t>
            </w:r>
          </w:p>
        </w:tc>
        <w:tc>
          <w:tcPr>
            <w:tcW w:w="628" w:type="pct"/>
            <w:tcBorders>
              <w:top w:val="nil"/>
              <w:left w:val="nil"/>
              <w:bottom w:val="nil"/>
              <w:right w:val="nil"/>
            </w:tcBorders>
            <w:shd w:val="clear" w:color="auto" w:fill="auto"/>
            <w:noWrap/>
            <w:vAlign w:val="center"/>
            <w:hideMark/>
          </w:tcPr>
          <w:p w14:paraId="7CB8A38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0.607</w:t>
            </w:r>
          </w:p>
        </w:tc>
        <w:tc>
          <w:tcPr>
            <w:tcW w:w="574" w:type="pct"/>
            <w:tcBorders>
              <w:top w:val="nil"/>
              <w:left w:val="nil"/>
              <w:bottom w:val="nil"/>
              <w:right w:val="nil"/>
            </w:tcBorders>
            <w:shd w:val="clear" w:color="auto" w:fill="auto"/>
            <w:noWrap/>
            <w:vAlign w:val="center"/>
            <w:hideMark/>
          </w:tcPr>
          <w:p w14:paraId="526567F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0.006</w:t>
            </w:r>
          </w:p>
        </w:tc>
        <w:tc>
          <w:tcPr>
            <w:tcW w:w="628" w:type="pct"/>
            <w:tcBorders>
              <w:top w:val="nil"/>
              <w:left w:val="nil"/>
              <w:bottom w:val="nil"/>
              <w:right w:val="nil"/>
            </w:tcBorders>
            <w:shd w:val="clear" w:color="auto" w:fill="auto"/>
            <w:noWrap/>
            <w:vAlign w:val="center"/>
            <w:hideMark/>
          </w:tcPr>
          <w:p w14:paraId="1751B843"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628" w:type="pct"/>
            <w:tcBorders>
              <w:top w:val="nil"/>
              <w:left w:val="nil"/>
              <w:bottom w:val="nil"/>
              <w:right w:val="nil"/>
            </w:tcBorders>
            <w:shd w:val="clear" w:color="auto" w:fill="auto"/>
            <w:noWrap/>
            <w:vAlign w:val="center"/>
            <w:hideMark/>
          </w:tcPr>
          <w:p w14:paraId="351693C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0.193</w:t>
            </w:r>
          </w:p>
        </w:tc>
        <w:tc>
          <w:tcPr>
            <w:tcW w:w="628" w:type="pct"/>
            <w:tcBorders>
              <w:top w:val="nil"/>
              <w:left w:val="nil"/>
              <w:bottom w:val="nil"/>
              <w:right w:val="nil"/>
            </w:tcBorders>
            <w:shd w:val="clear" w:color="auto" w:fill="auto"/>
            <w:noWrap/>
            <w:vAlign w:val="center"/>
            <w:hideMark/>
          </w:tcPr>
          <w:p w14:paraId="3E30A81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0.730</w:t>
            </w:r>
          </w:p>
        </w:tc>
      </w:tr>
      <w:tr w:rsidR="00C72B69" w:rsidRPr="008319F4" w14:paraId="5B980711" w14:textId="77777777" w:rsidTr="00393734">
        <w:trPr>
          <w:trHeight w:val="300"/>
        </w:trPr>
        <w:tc>
          <w:tcPr>
            <w:tcW w:w="601" w:type="pct"/>
            <w:tcBorders>
              <w:top w:val="nil"/>
              <w:left w:val="nil"/>
              <w:bottom w:val="nil"/>
              <w:right w:val="nil"/>
            </w:tcBorders>
            <w:shd w:val="clear" w:color="auto" w:fill="auto"/>
            <w:noWrap/>
            <w:vAlign w:val="center"/>
            <w:hideMark/>
          </w:tcPr>
          <w:p w14:paraId="72DFFB3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AGE</w:t>
            </w:r>
          </w:p>
        </w:tc>
        <w:tc>
          <w:tcPr>
            <w:tcW w:w="628" w:type="pct"/>
            <w:tcBorders>
              <w:top w:val="nil"/>
              <w:left w:val="nil"/>
              <w:bottom w:val="nil"/>
              <w:right w:val="nil"/>
            </w:tcBorders>
            <w:shd w:val="clear" w:color="auto" w:fill="auto"/>
            <w:noWrap/>
            <w:vAlign w:val="center"/>
            <w:hideMark/>
          </w:tcPr>
          <w:p w14:paraId="15B4FE71"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-0.243</w:t>
            </w:r>
          </w:p>
        </w:tc>
        <w:tc>
          <w:tcPr>
            <w:tcW w:w="683" w:type="pct"/>
            <w:tcBorders>
              <w:top w:val="nil"/>
              <w:left w:val="nil"/>
              <w:bottom w:val="nil"/>
              <w:right w:val="nil"/>
            </w:tcBorders>
            <w:shd w:val="clear" w:color="auto" w:fill="auto"/>
            <w:noWrap/>
            <w:vAlign w:val="center"/>
            <w:hideMark/>
          </w:tcPr>
          <w:p w14:paraId="5B91F4F7"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-0.188</w:t>
            </w:r>
          </w:p>
        </w:tc>
        <w:tc>
          <w:tcPr>
            <w:tcW w:w="628" w:type="pct"/>
            <w:tcBorders>
              <w:top w:val="nil"/>
              <w:left w:val="nil"/>
              <w:bottom w:val="nil"/>
              <w:right w:val="nil"/>
            </w:tcBorders>
            <w:shd w:val="clear" w:color="auto" w:fill="auto"/>
            <w:noWrap/>
            <w:vAlign w:val="center"/>
            <w:hideMark/>
          </w:tcPr>
          <w:p w14:paraId="096F7F40"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0.199</w:t>
            </w:r>
          </w:p>
        </w:tc>
        <w:tc>
          <w:tcPr>
            <w:tcW w:w="574" w:type="pct"/>
            <w:tcBorders>
              <w:top w:val="nil"/>
              <w:left w:val="nil"/>
              <w:bottom w:val="nil"/>
              <w:right w:val="nil"/>
            </w:tcBorders>
            <w:shd w:val="clear" w:color="auto" w:fill="auto"/>
            <w:noWrap/>
            <w:vAlign w:val="center"/>
            <w:hideMark/>
          </w:tcPr>
          <w:p w14:paraId="157173B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0.003</w:t>
            </w:r>
          </w:p>
        </w:tc>
        <w:tc>
          <w:tcPr>
            <w:tcW w:w="628" w:type="pct"/>
            <w:tcBorders>
              <w:top w:val="nil"/>
              <w:left w:val="nil"/>
              <w:bottom w:val="nil"/>
              <w:right w:val="nil"/>
            </w:tcBorders>
            <w:shd w:val="clear" w:color="auto" w:fill="auto"/>
            <w:noWrap/>
            <w:vAlign w:val="center"/>
            <w:hideMark/>
          </w:tcPr>
          <w:p w14:paraId="3C713FE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0.278</w:t>
            </w:r>
          </w:p>
        </w:tc>
        <w:tc>
          <w:tcPr>
            <w:tcW w:w="628" w:type="pct"/>
            <w:tcBorders>
              <w:top w:val="nil"/>
              <w:left w:val="nil"/>
              <w:bottom w:val="nil"/>
              <w:right w:val="nil"/>
            </w:tcBorders>
            <w:shd w:val="clear" w:color="auto" w:fill="auto"/>
            <w:noWrap/>
            <w:vAlign w:val="center"/>
            <w:hideMark/>
          </w:tcPr>
          <w:p w14:paraId="5FAD1D2A"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c>
          <w:tcPr>
            <w:tcW w:w="628" w:type="pct"/>
            <w:tcBorders>
              <w:top w:val="nil"/>
              <w:left w:val="nil"/>
              <w:bottom w:val="nil"/>
              <w:right w:val="nil"/>
            </w:tcBorders>
            <w:shd w:val="clear" w:color="auto" w:fill="auto"/>
            <w:noWrap/>
            <w:vAlign w:val="center"/>
            <w:hideMark/>
          </w:tcPr>
          <w:p w14:paraId="0F44C07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0.370</w:t>
            </w:r>
          </w:p>
        </w:tc>
      </w:tr>
      <w:tr w:rsidR="00C72B69" w:rsidRPr="008319F4" w14:paraId="0E215CC1" w14:textId="77777777" w:rsidTr="00393734">
        <w:trPr>
          <w:trHeight w:val="300"/>
        </w:trPr>
        <w:tc>
          <w:tcPr>
            <w:tcW w:w="601" w:type="pct"/>
            <w:tcBorders>
              <w:top w:val="nil"/>
              <w:left w:val="nil"/>
              <w:bottom w:val="single" w:sz="4" w:space="0" w:color="auto"/>
              <w:right w:val="nil"/>
            </w:tcBorders>
            <w:shd w:val="clear" w:color="auto" w:fill="auto"/>
            <w:noWrap/>
            <w:vAlign w:val="center"/>
            <w:hideMark/>
          </w:tcPr>
          <w:p w14:paraId="72540AB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ASSET</w:t>
            </w:r>
          </w:p>
        </w:tc>
        <w:tc>
          <w:tcPr>
            <w:tcW w:w="628" w:type="pct"/>
            <w:tcBorders>
              <w:top w:val="nil"/>
              <w:left w:val="nil"/>
              <w:bottom w:val="single" w:sz="4" w:space="0" w:color="auto"/>
              <w:right w:val="nil"/>
            </w:tcBorders>
            <w:shd w:val="clear" w:color="auto" w:fill="auto"/>
            <w:noWrap/>
            <w:vAlign w:val="center"/>
            <w:hideMark/>
          </w:tcPr>
          <w:p w14:paraId="1D2BEBC5"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-0.427</w:t>
            </w:r>
          </w:p>
        </w:tc>
        <w:tc>
          <w:tcPr>
            <w:tcW w:w="683" w:type="pct"/>
            <w:tcBorders>
              <w:top w:val="nil"/>
              <w:left w:val="nil"/>
              <w:bottom w:val="single" w:sz="4" w:space="0" w:color="auto"/>
              <w:right w:val="nil"/>
            </w:tcBorders>
            <w:shd w:val="clear" w:color="auto" w:fill="auto"/>
            <w:noWrap/>
            <w:vAlign w:val="center"/>
            <w:hideMark/>
          </w:tcPr>
          <w:p w14:paraId="39009D96"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-0.460</w:t>
            </w:r>
          </w:p>
        </w:tc>
        <w:tc>
          <w:tcPr>
            <w:tcW w:w="628" w:type="pct"/>
            <w:tcBorders>
              <w:top w:val="nil"/>
              <w:left w:val="nil"/>
              <w:bottom w:val="single" w:sz="4" w:space="0" w:color="auto"/>
              <w:right w:val="nil"/>
            </w:tcBorders>
            <w:shd w:val="clear" w:color="auto" w:fill="auto"/>
            <w:noWrap/>
            <w:vAlign w:val="center"/>
            <w:hideMark/>
          </w:tcPr>
          <w:p w14:paraId="67AA6619"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0.407</w:t>
            </w:r>
          </w:p>
        </w:tc>
        <w:tc>
          <w:tcPr>
            <w:tcW w:w="574" w:type="pct"/>
            <w:tcBorders>
              <w:top w:val="nil"/>
              <w:left w:val="nil"/>
              <w:bottom w:val="single" w:sz="4" w:space="0" w:color="auto"/>
              <w:right w:val="nil"/>
            </w:tcBorders>
            <w:shd w:val="clear" w:color="auto" w:fill="auto"/>
            <w:noWrap/>
            <w:vAlign w:val="center"/>
            <w:hideMark/>
          </w:tcPr>
          <w:p w14:paraId="0F1BA86C"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0.006</w:t>
            </w:r>
          </w:p>
        </w:tc>
        <w:tc>
          <w:tcPr>
            <w:tcW w:w="628" w:type="pct"/>
            <w:tcBorders>
              <w:top w:val="nil"/>
              <w:left w:val="nil"/>
              <w:bottom w:val="single" w:sz="4" w:space="0" w:color="auto"/>
              <w:right w:val="nil"/>
            </w:tcBorders>
            <w:shd w:val="clear" w:color="auto" w:fill="auto"/>
            <w:noWrap/>
            <w:vAlign w:val="center"/>
            <w:hideMark/>
          </w:tcPr>
          <w:p w14:paraId="3318FAD2"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0.734</w:t>
            </w:r>
          </w:p>
        </w:tc>
        <w:tc>
          <w:tcPr>
            <w:tcW w:w="628" w:type="pct"/>
            <w:tcBorders>
              <w:top w:val="nil"/>
              <w:left w:val="nil"/>
              <w:bottom w:val="single" w:sz="4" w:space="0" w:color="auto"/>
              <w:right w:val="nil"/>
            </w:tcBorders>
            <w:shd w:val="clear" w:color="auto" w:fill="auto"/>
            <w:noWrap/>
            <w:vAlign w:val="center"/>
            <w:hideMark/>
          </w:tcPr>
          <w:p w14:paraId="605B1DFB"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0.420</w:t>
            </w:r>
          </w:p>
        </w:tc>
        <w:tc>
          <w:tcPr>
            <w:tcW w:w="628" w:type="pct"/>
            <w:tcBorders>
              <w:top w:val="nil"/>
              <w:left w:val="nil"/>
              <w:bottom w:val="single" w:sz="4" w:space="0" w:color="auto"/>
              <w:right w:val="nil"/>
            </w:tcBorders>
            <w:shd w:val="clear" w:color="auto" w:fill="auto"/>
            <w:noWrap/>
            <w:vAlign w:val="center"/>
            <w:hideMark/>
          </w:tcPr>
          <w:p w14:paraId="229A2244" w14:textId="77777777" w:rsidR="00C72B69" w:rsidRPr="008319F4" w:rsidRDefault="00C72B69" w:rsidP="00393734">
            <w:pPr>
              <w:spacing w:after="0" w:line="240" w:lineRule="auto"/>
              <w:jc w:val="center"/>
              <w:rPr>
                <w:rFonts w:eastAsia="Times New Roman" w:cs="Calibri"/>
                <w:color w:val="000000"/>
              </w:rPr>
            </w:pPr>
            <w:r w:rsidRPr="008319F4">
              <w:rPr>
                <w:rFonts w:eastAsia="Times New Roman" w:cs="Calibri"/>
                <w:color w:val="000000"/>
              </w:rPr>
              <w:t>1</w:t>
            </w:r>
          </w:p>
        </w:tc>
      </w:tr>
    </w:tbl>
    <w:p w14:paraId="30F0079E" w14:textId="77777777" w:rsidR="00C72B69" w:rsidRPr="008319F4" w:rsidRDefault="00C72B69" w:rsidP="00C72B69">
      <w:pPr>
        <w:pStyle w:val="PaperTitle1"/>
        <w:rPr>
          <w:sz w:val="24"/>
          <w:szCs w:val="22"/>
        </w:rPr>
        <w:sectPr w:rsidR="00C72B69" w:rsidRPr="008319F4" w:rsidSect="009939B4">
          <w:pgSz w:w="16838" w:h="11906" w:orient="landscape"/>
          <w:pgMar w:top="1800" w:right="1440" w:bottom="1800" w:left="1440" w:header="708" w:footer="708" w:gutter="0"/>
          <w:cols w:space="708"/>
          <w:docGrid w:linePitch="360"/>
        </w:sectPr>
      </w:pPr>
    </w:p>
    <w:p w14:paraId="1FD0615A" w14:textId="7AB511F5" w:rsidR="003F1225" w:rsidRPr="008319F4" w:rsidRDefault="003F1225" w:rsidP="00A32202">
      <w:pPr>
        <w:spacing w:line="240" w:lineRule="auto"/>
        <w:outlineLvl w:val="0"/>
        <w:rPr>
          <w:b/>
          <w:lang w:val="en-US"/>
        </w:rPr>
      </w:pPr>
      <w:r w:rsidRPr="008319F4">
        <w:rPr>
          <w:b/>
          <w:lang w:val="en-US"/>
        </w:rPr>
        <w:lastRenderedPageBreak/>
        <w:t xml:space="preserve">Table </w:t>
      </w:r>
      <w:r w:rsidR="003653D5" w:rsidRPr="008319F4">
        <w:rPr>
          <w:b/>
          <w:lang w:val="en-US"/>
        </w:rPr>
        <w:t>2</w:t>
      </w:r>
      <w:r w:rsidR="007011C0" w:rsidRPr="008319F4">
        <w:rPr>
          <w:b/>
          <w:lang w:val="en-US"/>
        </w:rPr>
        <w:t xml:space="preserve">.  The </w:t>
      </w:r>
      <w:r w:rsidRPr="008319F4">
        <w:rPr>
          <w:b/>
          <w:lang w:val="en-US"/>
        </w:rPr>
        <w:t>as</w:t>
      </w:r>
      <w:r w:rsidR="00BF5507" w:rsidRPr="008319F4">
        <w:rPr>
          <w:b/>
          <w:lang w:val="en-US"/>
        </w:rPr>
        <w:t xml:space="preserve">set growth effect in growth </w:t>
      </w:r>
      <w:r w:rsidRPr="008319F4">
        <w:rPr>
          <w:b/>
          <w:lang w:val="en-US"/>
        </w:rPr>
        <w:t>and mature firms</w:t>
      </w:r>
    </w:p>
    <w:p w14:paraId="07E60C5E" w14:textId="11F91460" w:rsidR="0019205B" w:rsidRPr="008319F4" w:rsidRDefault="0019205B" w:rsidP="0019205B">
      <w:pPr>
        <w:spacing w:line="240" w:lineRule="auto"/>
        <w:jc w:val="both"/>
      </w:pPr>
      <w:r w:rsidRPr="008319F4">
        <w:t>This table reports average monthly returns and Fama-French alphas for each asset growth group over one year for both growth and mature firms</w:t>
      </w:r>
      <w:r w:rsidR="00EB54CE">
        <w:t xml:space="preserve"> (returns are in %)</w:t>
      </w:r>
      <w:r w:rsidRPr="008319F4">
        <w:t xml:space="preserve">. Firms are divided into deciles based on growth type proxies including retained earnings scaled by total assets (RE), dividends scaled by earnings before extraordinary items (DIV), and cash flow scaled by total assets (CF). The top 3 deciles and bottom 3 deciles are considered as mature and growth firms respectively for RE, </w:t>
      </w:r>
      <w:r w:rsidRPr="00DC51AD">
        <w:rPr>
          <w:noProof/>
        </w:rPr>
        <w:t>DIV</w:t>
      </w:r>
      <w:r w:rsidRPr="008319F4">
        <w:t xml:space="preserve"> and CF. Within mature and growth firms, firms are further divided into deciles based on the asset growth rate. For each asset growth decile, stocks are held for one year from </w:t>
      </w:r>
      <w:r w:rsidRPr="00DC51AD">
        <w:rPr>
          <w:noProof/>
        </w:rPr>
        <w:t>July in</w:t>
      </w:r>
      <w:r w:rsidRPr="008319F4">
        <w:t xml:space="preserve"> year t to June in year t+1. The table reports average returns or alphas over the </w:t>
      </w:r>
      <w:r w:rsidRPr="00DC51AD">
        <w:rPr>
          <w:noProof/>
        </w:rPr>
        <w:t>period; and</w:t>
      </w:r>
      <w:r w:rsidRPr="008319F4">
        <w:t xml:space="preserve"> the spread is the difference between the low asset growth group and the high asset growth group. The table also reports the average of the hedge difference between growth and mature firms given each growth stage proxy; hedge returns are calculated as the return of the low asset growth group minus the return of the high asset growth group. Panel A reports equal-weighted portfolio average monthly raw returns. Panel B reports value-weighted portfolio average monthly raw returns. Panel C reports equal-weighted portfolio Fama-French monthly alphas. Panel D reports value-weighted portfolio Fama-French monthly alphas. The sample period is from 1963 to 2011; t-values in parentheses are based on Newey-West (1987) standard errors correcting for heteroscedasticity and autocorrelation; *, **, and *** indicate the significance level at 0.10, 0.05 and 0.01.</w:t>
      </w:r>
    </w:p>
    <w:p w14:paraId="1F752E51" w14:textId="77777777" w:rsidR="0019205B" w:rsidRPr="008319F4" w:rsidRDefault="0019205B" w:rsidP="0019205B">
      <w:pPr>
        <w:spacing w:line="240" w:lineRule="auto"/>
      </w:pPr>
    </w:p>
    <w:p w14:paraId="6D7EADCB" w14:textId="77777777" w:rsidR="0019205B" w:rsidRPr="008319F4" w:rsidRDefault="0019205B" w:rsidP="0019205B">
      <w:r w:rsidRPr="008319F4">
        <w:br w:type="page"/>
      </w:r>
    </w:p>
    <w:p w14:paraId="7E92466B" w14:textId="5C41B529" w:rsidR="0019205B" w:rsidRPr="008319F4" w:rsidRDefault="0019205B" w:rsidP="0019205B">
      <w:pPr>
        <w:spacing w:line="240" w:lineRule="auto"/>
        <w:rPr>
          <w:b/>
          <w:lang w:val="en-US"/>
        </w:rPr>
      </w:pPr>
      <w:r w:rsidRPr="008319F4">
        <w:rPr>
          <w:b/>
          <w:lang w:val="en-US"/>
        </w:rPr>
        <w:lastRenderedPageBreak/>
        <w:t xml:space="preserve">Table 2.  Continued </w:t>
      </w:r>
    </w:p>
    <w:p w14:paraId="2FDE32D1" w14:textId="4CA474AD" w:rsidR="0019205B" w:rsidRPr="008319F4" w:rsidRDefault="0019205B" w:rsidP="0019205B">
      <w:pPr>
        <w:spacing w:line="240" w:lineRule="auto"/>
      </w:pPr>
      <w:r w:rsidRPr="008319F4">
        <w:t>Panel A: Equal-weighted portfolio average monthly raw returns</w:t>
      </w:r>
    </w:p>
    <w:tbl>
      <w:tblPr>
        <w:tblW w:w="5000" w:type="pct"/>
        <w:tblLook w:val="04A0" w:firstRow="1" w:lastRow="0" w:firstColumn="1" w:lastColumn="0" w:noHBand="0" w:noVBand="1"/>
      </w:tblPr>
      <w:tblGrid>
        <w:gridCol w:w="868"/>
        <w:gridCol w:w="1699"/>
        <w:gridCol w:w="1007"/>
        <w:gridCol w:w="819"/>
        <w:gridCol w:w="819"/>
        <w:gridCol w:w="819"/>
        <w:gridCol w:w="819"/>
        <w:gridCol w:w="819"/>
        <w:gridCol w:w="819"/>
        <w:gridCol w:w="819"/>
        <w:gridCol w:w="819"/>
        <w:gridCol w:w="1185"/>
        <w:gridCol w:w="1159"/>
        <w:gridCol w:w="695"/>
        <w:gridCol w:w="1009"/>
      </w:tblGrid>
      <w:tr w:rsidR="0019205B" w:rsidRPr="008319F4" w14:paraId="01B4F50D" w14:textId="77777777" w:rsidTr="00FD7E50">
        <w:trPr>
          <w:trHeight w:val="301"/>
        </w:trPr>
        <w:tc>
          <w:tcPr>
            <w:tcW w:w="306" w:type="pct"/>
            <w:tcBorders>
              <w:top w:val="single" w:sz="4" w:space="0" w:color="auto"/>
              <w:left w:val="nil"/>
              <w:bottom w:val="single" w:sz="4" w:space="0" w:color="auto"/>
              <w:right w:val="nil"/>
            </w:tcBorders>
            <w:shd w:val="clear" w:color="auto" w:fill="auto"/>
            <w:vAlign w:val="center"/>
            <w:hideMark/>
          </w:tcPr>
          <w:p w14:paraId="7A504F5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Proxy</w:t>
            </w:r>
          </w:p>
        </w:tc>
        <w:tc>
          <w:tcPr>
            <w:tcW w:w="599" w:type="pct"/>
            <w:tcBorders>
              <w:top w:val="single" w:sz="4" w:space="0" w:color="auto"/>
              <w:left w:val="nil"/>
              <w:bottom w:val="single" w:sz="4" w:space="0" w:color="auto"/>
              <w:right w:val="nil"/>
            </w:tcBorders>
            <w:shd w:val="clear" w:color="auto" w:fill="auto"/>
            <w:noWrap/>
            <w:vAlign w:val="center"/>
            <w:hideMark/>
          </w:tcPr>
          <w:p w14:paraId="75FFDCF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Growth type</w:t>
            </w:r>
          </w:p>
        </w:tc>
        <w:tc>
          <w:tcPr>
            <w:tcW w:w="355" w:type="pct"/>
            <w:tcBorders>
              <w:top w:val="single" w:sz="4" w:space="0" w:color="auto"/>
              <w:left w:val="nil"/>
              <w:bottom w:val="single" w:sz="4" w:space="0" w:color="auto"/>
              <w:right w:val="nil"/>
            </w:tcBorders>
            <w:shd w:val="clear" w:color="auto" w:fill="auto"/>
            <w:noWrap/>
            <w:vAlign w:val="center"/>
            <w:hideMark/>
          </w:tcPr>
          <w:p w14:paraId="73CE052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1(Low)</w:t>
            </w:r>
          </w:p>
        </w:tc>
        <w:tc>
          <w:tcPr>
            <w:tcW w:w="289" w:type="pct"/>
            <w:tcBorders>
              <w:top w:val="single" w:sz="4" w:space="0" w:color="auto"/>
              <w:left w:val="nil"/>
              <w:bottom w:val="single" w:sz="4" w:space="0" w:color="auto"/>
              <w:right w:val="nil"/>
            </w:tcBorders>
            <w:shd w:val="clear" w:color="auto" w:fill="auto"/>
            <w:noWrap/>
            <w:vAlign w:val="center"/>
            <w:hideMark/>
          </w:tcPr>
          <w:p w14:paraId="41A9171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p>
        </w:tc>
        <w:tc>
          <w:tcPr>
            <w:tcW w:w="289" w:type="pct"/>
            <w:tcBorders>
              <w:top w:val="single" w:sz="4" w:space="0" w:color="auto"/>
              <w:left w:val="nil"/>
              <w:bottom w:val="single" w:sz="4" w:space="0" w:color="auto"/>
              <w:right w:val="nil"/>
            </w:tcBorders>
            <w:shd w:val="clear" w:color="auto" w:fill="auto"/>
            <w:noWrap/>
            <w:vAlign w:val="center"/>
            <w:hideMark/>
          </w:tcPr>
          <w:p w14:paraId="0EE6B5E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p>
        </w:tc>
        <w:tc>
          <w:tcPr>
            <w:tcW w:w="289" w:type="pct"/>
            <w:tcBorders>
              <w:top w:val="single" w:sz="4" w:space="0" w:color="auto"/>
              <w:left w:val="nil"/>
              <w:bottom w:val="single" w:sz="4" w:space="0" w:color="auto"/>
              <w:right w:val="nil"/>
            </w:tcBorders>
            <w:shd w:val="clear" w:color="auto" w:fill="auto"/>
            <w:noWrap/>
            <w:vAlign w:val="center"/>
            <w:hideMark/>
          </w:tcPr>
          <w:p w14:paraId="43DE1B44"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p>
        </w:tc>
        <w:tc>
          <w:tcPr>
            <w:tcW w:w="289" w:type="pct"/>
            <w:tcBorders>
              <w:top w:val="single" w:sz="4" w:space="0" w:color="auto"/>
              <w:left w:val="nil"/>
              <w:bottom w:val="single" w:sz="4" w:space="0" w:color="auto"/>
              <w:right w:val="nil"/>
            </w:tcBorders>
            <w:shd w:val="clear" w:color="auto" w:fill="auto"/>
            <w:noWrap/>
            <w:vAlign w:val="center"/>
            <w:hideMark/>
          </w:tcPr>
          <w:p w14:paraId="3AC8D532"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w:t>
            </w:r>
          </w:p>
        </w:tc>
        <w:tc>
          <w:tcPr>
            <w:tcW w:w="289" w:type="pct"/>
            <w:tcBorders>
              <w:top w:val="single" w:sz="4" w:space="0" w:color="auto"/>
              <w:left w:val="nil"/>
              <w:bottom w:val="single" w:sz="4" w:space="0" w:color="auto"/>
              <w:right w:val="nil"/>
            </w:tcBorders>
            <w:shd w:val="clear" w:color="auto" w:fill="auto"/>
            <w:noWrap/>
            <w:vAlign w:val="center"/>
            <w:hideMark/>
          </w:tcPr>
          <w:p w14:paraId="45A7C2AB"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6</w:t>
            </w:r>
          </w:p>
        </w:tc>
        <w:tc>
          <w:tcPr>
            <w:tcW w:w="289" w:type="pct"/>
            <w:tcBorders>
              <w:top w:val="single" w:sz="4" w:space="0" w:color="auto"/>
              <w:left w:val="nil"/>
              <w:bottom w:val="single" w:sz="4" w:space="0" w:color="auto"/>
              <w:right w:val="nil"/>
            </w:tcBorders>
            <w:shd w:val="clear" w:color="auto" w:fill="auto"/>
            <w:noWrap/>
            <w:vAlign w:val="center"/>
            <w:hideMark/>
          </w:tcPr>
          <w:p w14:paraId="4FE3FC5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7</w:t>
            </w:r>
          </w:p>
        </w:tc>
        <w:tc>
          <w:tcPr>
            <w:tcW w:w="289" w:type="pct"/>
            <w:tcBorders>
              <w:top w:val="single" w:sz="4" w:space="0" w:color="auto"/>
              <w:left w:val="nil"/>
              <w:bottom w:val="single" w:sz="4" w:space="0" w:color="auto"/>
              <w:right w:val="nil"/>
            </w:tcBorders>
            <w:shd w:val="clear" w:color="auto" w:fill="auto"/>
            <w:noWrap/>
            <w:vAlign w:val="center"/>
            <w:hideMark/>
          </w:tcPr>
          <w:p w14:paraId="7854E78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8</w:t>
            </w:r>
          </w:p>
        </w:tc>
        <w:tc>
          <w:tcPr>
            <w:tcW w:w="289" w:type="pct"/>
            <w:tcBorders>
              <w:top w:val="single" w:sz="4" w:space="0" w:color="auto"/>
              <w:left w:val="nil"/>
              <w:bottom w:val="single" w:sz="4" w:space="0" w:color="auto"/>
              <w:right w:val="nil"/>
            </w:tcBorders>
            <w:shd w:val="clear" w:color="auto" w:fill="auto"/>
            <w:noWrap/>
            <w:vAlign w:val="center"/>
            <w:hideMark/>
          </w:tcPr>
          <w:p w14:paraId="6C440AC6"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9</w:t>
            </w:r>
          </w:p>
        </w:tc>
        <w:tc>
          <w:tcPr>
            <w:tcW w:w="418" w:type="pct"/>
            <w:tcBorders>
              <w:top w:val="single" w:sz="4" w:space="0" w:color="auto"/>
              <w:left w:val="nil"/>
              <w:bottom w:val="single" w:sz="4" w:space="0" w:color="auto"/>
              <w:right w:val="nil"/>
            </w:tcBorders>
            <w:shd w:val="clear" w:color="auto" w:fill="auto"/>
            <w:noWrap/>
            <w:vAlign w:val="center"/>
            <w:hideMark/>
          </w:tcPr>
          <w:p w14:paraId="095E463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10(High)</w:t>
            </w:r>
          </w:p>
        </w:tc>
        <w:tc>
          <w:tcPr>
            <w:tcW w:w="409" w:type="pct"/>
            <w:tcBorders>
              <w:top w:val="single" w:sz="4" w:space="0" w:color="auto"/>
              <w:left w:val="nil"/>
              <w:bottom w:val="single" w:sz="4" w:space="0" w:color="auto"/>
              <w:right w:val="nil"/>
            </w:tcBorders>
            <w:shd w:val="clear" w:color="auto" w:fill="auto"/>
            <w:vAlign w:val="center"/>
            <w:hideMark/>
          </w:tcPr>
          <w:p w14:paraId="00B78DD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Diff</w:t>
            </w:r>
            <w:r w:rsidRPr="008319F4">
              <w:rPr>
                <w:rFonts w:eastAsia="Times New Roman" w:cs="Calibri"/>
                <w:color w:val="000000"/>
              </w:rPr>
              <w:br/>
              <w:t>(1-10)</w:t>
            </w:r>
          </w:p>
        </w:tc>
        <w:tc>
          <w:tcPr>
            <w:tcW w:w="245" w:type="pct"/>
            <w:tcBorders>
              <w:top w:val="single" w:sz="4" w:space="0" w:color="auto"/>
              <w:left w:val="nil"/>
              <w:bottom w:val="single" w:sz="4" w:space="0" w:color="auto"/>
              <w:right w:val="nil"/>
            </w:tcBorders>
            <w:shd w:val="clear" w:color="auto" w:fill="auto"/>
            <w:noWrap/>
            <w:vAlign w:val="center"/>
            <w:hideMark/>
          </w:tcPr>
          <w:p w14:paraId="1CC8070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t</w:t>
            </w:r>
          </w:p>
        </w:tc>
        <w:tc>
          <w:tcPr>
            <w:tcW w:w="356" w:type="pct"/>
            <w:tcBorders>
              <w:top w:val="single" w:sz="4" w:space="0" w:color="auto"/>
              <w:left w:val="nil"/>
              <w:bottom w:val="single" w:sz="4" w:space="0" w:color="auto"/>
              <w:right w:val="nil"/>
            </w:tcBorders>
            <w:vAlign w:val="center"/>
          </w:tcPr>
          <w:p w14:paraId="40C286A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Firm-year obs</w:t>
            </w:r>
          </w:p>
        </w:tc>
      </w:tr>
      <w:tr w:rsidR="0019205B" w:rsidRPr="008319F4" w14:paraId="2184AD5F" w14:textId="77777777" w:rsidTr="00FD7E50">
        <w:trPr>
          <w:trHeight w:hRule="exact" w:val="301"/>
        </w:trPr>
        <w:tc>
          <w:tcPr>
            <w:tcW w:w="306" w:type="pct"/>
            <w:tcBorders>
              <w:top w:val="nil"/>
              <w:left w:val="nil"/>
              <w:bottom w:val="nil"/>
              <w:right w:val="nil"/>
            </w:tcBorders>
            <w:shd w:val="clear" w:color="auto" w:fill="auto"/>
            <w:noWrap/>
            <w:hideMark/>
          </w:tcPr>
          <w:p w14:paraId="1629A1F5"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RE</w:t>
            </w:r>
          </w:p>
        </w:tc>
        <w:tc>
          <w:tcPr>
            <w:tcW w:w="599" w:type="pct"/>
            <w:tcBorders>
              <w:top w:val="nil"/>
              <w:left w:val="nil"/>
              <w:bottom w:val="nil"/>
              <w:right w:val="nil"/>
            </w:tcBorders>
            <w:shd w:val="clear" w:color="auto" w:fill="auto"/>
            <w:noWrap/>
            <w:hideMark/>
          </w:tcPr>
          <w:p w14:paraId="5636EA41"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55" w:type="pct"/>
            <w:tcBorders>
              <w:top w:val="nil"/>
              <w:left w:val="nil"/>
              <w:bottom w:val="nil"/>
              <w:right w:val="nil"/>
            </w:tcBorders>
            <w:shd w:val="clear" w:color="auto" w:fill="auto"/>
            <w:noWrap/>
            <w:hideMark/>
          </w:tcPr>
          <w:p w14:paraId="13C59D94" w14:textId="79E1E9F3" w:rsidR="0019205B" w:rsidRPr="008319F4" w:rsidRDefault="0019205B" w:rsidP="00FD7E50">
            <w:pPr>
              <w:spacing w:line="240" w:lineRule="auto"/>
              <w:jc w:val="center"/>
              <w:rPr>
                <w:rFonts w:cs="Calibri"/>
                <w:color w:val="000000"/>
              </w:rPr>
            </w:pPr>
            <w:r w:rsidRPr="008319F4">
              <w:rPr>
                <w:rFonts w:cs="Calibri"/>
                <w:color w:val="000000"/>
              </w:rPr>
              <w:t>1</w:t>
            </w:r>
            <w:r w:rsidR="00580727">
              <w:rPr>
                <w:rFonts w:cs="Calibri"/>
                <w:color w:val="000000"/>
              </w:rPr>
              <w:t>.</w:t>
            </w:r>
            <w:r w:rsidRPr="008319F4">
              <w:rPr>
                <w:rFonts w:cs="Calibri"/>
                <w:color w:val="000000"/>
              </w:rPr>
              <w:t>6</w:t>
            </w:r>
          </w:p>
        </w:tc>
        <w:tc>
          <w:tcPr>
            <w:tcW w:w="289" w:type="pct"/>
            <w:tcBorders>
              <w:top w:val="nil"/>
              <w:left w:val="nil"/>
              <w:bottom w:val="nil"/>
              <w:right w:val="nil"/>
            </w:tcBorders>
            <w:shd w:val="clear" w:color="auto" w:fill="auto"/>
            <w:noWrap/>
            <w:hideMark/>
          </w:tcPr>
          <w:p w14:paraId="1F3AE1B4" w14:textId="229DADEB"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5</w:t>
            </w:r>
          </w:p>
        </w:tc>
        <w:tc>
          <w:tcPr>
            <w:tcW w:w="289" w:type="pct"/>
            <w:tcBorders>
              <w:top w:val="nil"/>
              <w:left w:val="nil"/>
              <w:bottom w:val="nil"/>
              <w:right w:val="nil"/>
            </w:tcBorders>
            <w:shd w:val="clear" w:color="auto" w:fill="auto"/>
            <w:noWrap/>
            <w:hideMark/>
          </w:tcPr>
          <w:p w14:paraId="30F16CF1" w14:textId="1AB5BC38"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hideMark/>
          </w:tcPr>
          <w:p w14:paraId="38ED1605" w14:textId="76479B93"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hideMark/>
          </w:tcPr>
          <w:p w14:paraId="7A7287B1" w14:textId="4E7E0BC9"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3</w:t>
            </w:r>
          </w:p>
        </w:tc>
        <w:tc>
          <w:tcPr>
            <w:tcW w:w="289" w:type="pct"/>
            <w:tcBorders>
              <w:top w:val="nil"/>
              <w:left w:val="nil"/>
              <w:bottom w:val="nil"/>
              <w:right w:val="nil"/>
            </w:tcBorders>
            <w:shd w:val="clear" w:color="auto" w:fill="auto"/>
            <w:noWrap/>
            <w:hideMark/>
          </w:tcPr>
          <w:p w14:paraId="16CC9541" w14:textId="4A506D52"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hideMark/>
          </w:tcPr>
          <w:p w14:paraId="41868D25" w14:textId="7833CBF3"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hideMark/>
          </w:tcPr>
          <w:p w14:paraId="61E19690" w14:textId="636CE312"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3</w:t>
            </w:r>
          </w:p>
        </w:tc>
        <w:tc>
          <w:tcPr>
            <w:tcW w:w="289" w:type="pct"/>
            <w:tcBorders>
              <w:top w:val="nil"/>
              <w:left w:val="nil"/>
              <w:bottom w:val="nil"/>
              <w:right w:val="nil"/>
            </w:tcBorders>
            <w:shd w:val="clear" w:color="auto" w:fill="auto"/>
            <w:noWrap/>
            <w:hideMark/>
          </w:tcPr>
          <w:p w14:paraId="2659EF27" w14:textId="34FC8845"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1</w:t>
            </w:r>
          </w:p>
        </w:tc>
        <w:tc>
          <w:tcPr>
            <w:tcW w:w="418" w:type="pct"/>
            <w:tcBorders>
              <w:top w:val="nil"/>
              <w:left w:val="nil"/>
              <w:bottom w:val="nil"/>
              <w:right w:val="nil"/>
            </w:tcBorders>
            <w:shd w:val="clear" w:color="auto" w:fill="auto"/>
            <w:noWrap/>
            <w:hideMark/>
          </w:tcPr>
          <w:p w14:paraId="633860AA" w14:textId="1D21B58D"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0</w:t>
            </w:r>
          </w:p>
        </w:tc>
        <w:tc>
          <w:tcPr>
            <w:tcW w:w="409" w:type="pct"/>
            <w:tcBorders>
              <w:top w:val="nil"/>
              <w:left w:val="nil"/>
              <w:bottom w:val="nil"/>
              <w:right w:val="nil"/>
            </w:tcBorders>
            <w:shd w:val="clear" w:color="auto" w:fill="auto"/>
            <w:noWrap/>
            <w:hideMark/>
          </w:tcPr>
          <w:p w14:paraId="04E14E20" w14:textId="73E4DBF6"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6***</w:t>
            </w:r>
          </w:p>
        </w:tc>
        <w:tc>
          <w:tcPr>
            <w:tcW w:w="245" w:type="pct"/>
            <w:tcBorders>
              <w:top w:val="nil"/>
              <w:left w:val="nil"/>
              <w:bottom w:val="nil"/>
              <w:right w:val="nil"/>
            </w:tcBorders>
            <w:shd w:val="clear" w:color="auto" w:fill="auto"/>
            <w:noWrap/>
            <w:hideMark/>
          </w:tcPr>
          <w:p w14:paraId="527ED879" w14:textId="77777777" w:rsidR="0019205B" w:rsidRPr="008319F4" w:rsidRDefault="0019205B" w:rsidP="00FD7E50">
            <w:pPr>
              <w:spacing w:line="240" w:lineRule="auto"/>
              <w:jc w:val="center"/>
              <w:rPr>
                <w:rFonts w:cs="Calibri"/>
                <w:color w:val="000000"/>
              </w:rPr>
            </w:pPr>
            <w:r w:rsidRPr="008319F4">
              <w:rPr>
                <w:rFonts w:cs="Calibri"/>
                <w:color w:val="000000"/>
              </w:rPr>
              <w:t>3.89</w:t>
            </w:r>
          </w:p>
        </w:tc>
        <w:tc>
          <w:tcPr>
            <w:tcW w:w="356" w:type="pct"/>
            <w:tcBorders>
              <w:top w:val="nil"/>
              <w:left w:val="nil"/>
              <w:bottom w:val="nil"/>
              <w:right w:val="nil"/>
            </w:tcBorders>
          </w:tcPr>
          <w:p w14:paraId="6743724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59855</w:t>
            </w:r>
          </w:p>
        </w:tc>
      </w:tr>
      <w:tr w:rsidR="0019205B" w:rsidRPr="008319F4" w14:paraId="1B81290B" w14:textId="77777777" w:rsidTr="00FD7E50">
        <w:trPr>
          <w:trHeight w:hRule="exact" w:val="301"/>
        </w:trPr>
        <w:tc>
          <w:tcPr>
            <w:tcW w:w="306" w:type="pct"/>
            <w:tcBorders>
              <w:top w:val="nil"/>
              <w:left w:val="nil"/>
              <w:bottom w:val="nil"/>
              <w:right w:val="nil"/>
            </w:tcBorders>
            <w:shd w:val="clear" w:color="auto" w:fill="auto"/>
            <w:noWrap/>
            <w:hideMark/>
          </w:tcPr>
          <w:p w14:paraId="79FBCE3B" w14:textId="77777777" w:rsidR="0019205B" w:rsidRPr="008319F4" w:rsidRDefault="0019205B" w:rsidP="00FD7E50">
            <w:pPr>
              <w:spacing w:after="0" w:line="240" w:lineRule="auto"/>
              <w:rPr>
                <w:rFonts w:eastAsia="Times New Roman" w:cs="Calibri"/>
                <w:color w:val="000000"/>
              </w:rPr>
            </w:pPr>
          </w:p>
        </w:tc>
        <w:tc>
          <w:tcPr>
            <w:tcW w:w="599" w:type="pct"/>
            <w:tcBorders>
              <w:top w:val="nil"/>
              <w:left w:val="nil"/>
              <w:bottom w:val="nil"/>
              <w:right w:val="nil"/>
            </w:tcBorders>
            <w:shd w:val="clear" w:color="auto" w:fill="auto"/>
            <w:noWrap/>
            <w:hideMark/>
          </w:tcPr>
          <w:p w14:paraId="4C239A8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55" w:type="pct"/>
            <w:tcBorders>
              <w:top w:val="nil"/>
              <w:left w:val="nil"/>
              <w:bottom w:val="nil"/>
              <w:right w:val="nil"/>
            </w:tcBorders>
            <w:shd w:val="clear" w:color="auto" w:fill="auto"/>
            <w:noWrap/>
            <w:hideMark/>
          </w:tcPr>
          <w:p w14:paraId="0CEC18DE" w14:textId="2408954C"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1</w:t>
            </w:r>
          </w:p>
        </w:tc>
        <w:tc>
          <w:tcPr>
            <w:tcW w:w="289" w:type="pct"/>
            <w:tcBorders>
              <w:top w:val="nil"/>
              <w:left w:val="nil"/>
              <w:bottom w:val="nil"/>
              <w:right w:val="nil"/>
            </w:tcBorders>
            <w:shd w:val="clear" w:color="auto" w:fill="auto"/>
            <w:noWrap/>
            <w:hideMark/>
          </w:tcPr>
          <w:p w14:paraId="5882BEBC" w14:textId="78D0C645"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0</w:t>
            </w:r>
          </w:p>
        </w:tc>
        <w:tc>
          <w:tcPr>
            <w:tcW w:w="289" w:type="pct"/>
            <w:tcBorders>
              <w:top w:val="nil"/>
              <w:left w:val="nil"/>
              <w:bottom w:val="nil"/>
              <w:right w:val="nil"/>
            </w:tcBorders>
            <w:shd w:val="clear" w:color="auto" w:fill="auto"/>
            <w:noWrap/>
            <w:hideMark/>
          </w:tcPr>
          <w:p w14:paraId="2ADC1414" w14:textId="5AC31CCA"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8</w:t>
            </w:r>
          </w:p>
        </w:tc>
        <w:tc>
          <w:tcPr>
            <w:tcW w:w="289" w:type="pct"/>
            <w:tcBorders>
              <w:top w:val="nil"/>
              <w:left w:val="nil"/>
              <w:bottom w:val="nil"/>
              <w:right w:val="nil"/>
            </w:tcBorders>
            <w:shd w:val="clear" w:color="auto" w:fill="auto"/>
            <w:noWrap/>
            <w:hideMark/>
          </w:tcPr>
          <w:p w14:paraId="57FB1EAD" w14:textId="59FB13E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8</w:t>
            </w:r>
          </w:p>
        </w:tc>
        <w:tc>
          <w:tcPr>
            <w:tcW w:w="289" w:type="pct"/>
            <w:tcBorders>
              <w:top w:val="nil"/>
              <w:left w:val="nil"/>
              <w:bottom w:val="nil"/>
              <w:right w:val="nil"/>
            </w:tcBorders>
            <w:shd w:val="clear" w:color="auto" w:fill="auto"/>
            <w:noWrap/>
            <w:hideMark/>
          </w:tcPr>
          <w:p w14:paraId="57D4C3C3" w14:textId="2B3B091A"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5</w:t>
            </w:r>
          </w:p>
        </w:tc>
        <w:tc>
          <w:tcPr>
            <w:tcW w:w="289" w:type="pct"/>
            <w:tcBorders>
              <w:top w:val="nil"/>
              <w:left w:val="nil"/>
              <w:bottom w:val="nil"/>
              <w:right w:val="nil"/>
            </w:tcBorders>
            <w:shd w:val="clear" w:color="auto" w:fill="auto"/>
            <w:noWrap/>
            <w:hideMark/>
          </w:tcPr>
          <w:p w14:paraId="186705C8" w14:textId="3BB8EC9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hideMark/>
          </w:tcPr>
          <w:p w14:paraId="43557963" w14:textId="54AC7398"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hideMark/>
          </w:tcPr>
          <w:p w14:paraId="411E997D" w14:textId="173CADE2"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7</w:t>
            </w:r>
          </w:p>
        </w:tc>
        <w:tc>
          <w:tcPr>
            <w:tcW w:w="289" w:type="pct"/>
            <w:tcBorders>
              <w:top w:val="nil"/>
              <w:left w:val="nil"/>
              <w:bottom w:val="nil"/>
              <w:right w:val="nil"/>
            </w:tcBorders>
            <w:shd w:val="clear" w:color="auto" w:fill="auto"/>
            <w:noWrap/>
            <w:hideMark/>
          </w:tcPr>
          <w:p w14:paraId="4DF33809" w14:textId="611C33D0"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7</w:t>
            </w:r>
          </w:p>
        </w:tc>
        <w:tc>
          <w:tcPr>
            <w:tcW w:w="418" w:type="pct"/>
            <w:tcBorders>
              <w:top w:val="nil"/>
              <w:left w:val="nil"/>
              <w:bottom w:val="nil"/>
              <w:right w:val="nil"/>
            </w:tcBorders>
            <w:shd w:val="clear" w:color="auto" w:fill="auto"/>
            <w:noWrap/>
            <w:hideMark/>
          </w:tcPr>
          <w:p w14:paraId="06B99321" w14:textId="572D4493"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0</w:t>
            </w:r>
          </w:p>
        </w:tc>
        <w:tc>
          <w:tcPr>
            <w:tcW w:w="409" w:type="pct"/>
            <w:tcBorders>
              <w:top w:val="nil"/>
              <w:left w:val="nil"/>
              <w:bottom w:val="nil"/>
              <w:right w:val="nil"/>
            </w:tcBorders>
            <w:shd w:val="clear" w:color="auto" w:fill="auto"/>
            <w:noWrap/>
            <w:hideMark/>
          </w:tcPr>
          <w:p w14:paraId="184E1502" w14:textId="426FC502"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0***</w:t>
            </w:r>
          </w:p>
        </w:tc>
        <w:tc>
          <w:tcPr>
            <w:tcW w:w="245" w:type="pct"/>
            <w:tcBorders>
              <w:top w:val="nil"/>
              <w:left w:val="nil"/>
              <w:bottom w:val="nil"/>
              <w:right w:val="nil"/>
            </w:tcBorders>
            <w:shd w:val="clear" w:color="auto" w:fill="auto"/>
            <w:noWrap/>
            <w:hideMark/>
          </w:tcPr>
          <w:p w14:paraId="0688B42A" w14:textId="77777777" w:rsidR="0019205B" w:rsidRPr="008319F4" w:rsidRDefault="0019205B" w:rsidP="00FD7E50">
            <w:pPr>
              <w:spacing w:line="240" w:lineRule="auto"/>
              <w:jc w:val="center"/>
              <w:rPr>
                <w:rFonts w:cs="Calibri"/>
                <w:color w:val="000000"/>
              </w:rPr>
            </w:pPr>
            <w:r w:rsidRPr="008319F4">
              <w:rPr>
                <w:rFonts w:cs="Calibri"/>
                <w:color w:val="000000"/>
              </w:rPr>
              <w:t>7.69</w:t>
            </w:r>
          </w:p>
        </w:tc>
        <w:tc>
          <w:tcPr>
            <w:tcW w:w="356" w:type="pct"/>
            <w:tcBorders>
              <w:top w:val="nil"/>
              <w:left w:val="nil"/>
              <w:bottom w:val="nil"/>
              <w:right w:val="nil"/>
            </w:tcBorders>
          </w:tcPr>
          <w:p w14:paraId="457458D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59852</w:t>
            </w:r>
          </w:p>
        </w:tc>
      </w:tr>
      <w:tr w:rsidR="0019205B" w:rsidRPr="008319F4" w14:paraId="23C3BC61" w14:textId="77777777" w:rsidTr="00FD7E50">
        <w:trPr>
          <w:trHeight w:hRule="exact" w:val="301"/>
        </w:trPr>
        <w:tc>
          <w:tcPr>
            <w:tcW w:w="306" w:type="pct"/>
            <w:tcBorders>
              <w:top w:val="nil"/>
              <w:left w:val="nil"/>
              <w:bottom w:val="nil"/>
              <w:right w:val="nil"/>
            </w:tcBorders>
            <w:shd w:val="clear" w:color="auto" w:fill="auto"/>
            <w:noWrap/>
            <w:vAlign w:val="bottom"/>
            <w:hideMark/>
          </w:tcPr>
          <w:p w14:paraId="451044EA" w14:textId="77777777" w:rsidR="0019205B" w:rsidRPr="008319F4" w:rsidRDefault="0019205B" w:rsidP="00FD7E50">
            <w:pPr>
              <w:spacing w:after="0" w:line="240" w:lineRule="auto"/>
              <w:rPr>
                <w:rFonts w:eastAsia="Times New Roman" w:cs="Calibri"/>
                <w:color w:val="000000"/>
              </w:rPr>
            </w:pPr>
          </w:p>
        </w:tc>
        <w:tc>
          <w:tcPr>
            <w:tcW w:w="599" w:type="pct"/>
            <w:tcBorders>
              <w:top w:val="nil"/>
              <w:left w:val="nil"/>
              <w:bottom w:val="nil"/>
              <w:right w:val="nil"/>
            </w:tcBorders>
            <w:shd w:val="clear" w:color="auto" w:fill="auto"/>
            <w:noWrap/>
            <w:vAlign w:val="bottom"/>
            <w:hideMark/>
          </w:tcPr>
          <w:p w14:paraId="1C30AE82"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55" w:type="pct"/>
            <w:tcBorders>
              <w:top w:val="nil"/>
              <w:left w:val="nil"/>
              <w:bottom w:val="nil"/>
              <w:right w:val="nil"/>
            </w:tcBorders>
            <w:shd w:val="clear" w:color="auto" w:fill="auto"/>
            <w:noWrap/>
            <w:vAlign w:val="center"/>
            <w:hideMark/>
          </w:tcPr>
          <w:p w14:paraId="12A3817A"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25AAED67"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29625838"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3CDF20FB"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5700FF58"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5C50BBB8"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203E5923"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12EE5EA5"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5DB1ABFE" w14:textId="77777777" w:rsidR="0019205B" w:rsidRPr="008319F4" w:rsidRDefault="0019205B" w:rsidP="00FD7E50">
            <w:pPr>
              <w:spacing w:after="0" w:line="240" w:lineRule="auto"/>
              <w:jc w:val="center"/>
              <w:rPr>
                <w:rFonts w:eastAsia="Times New Roman" w:cs="Calibri"/>
                <w:color w:val="000000"/>
              </w:rPr>
            </w:pPr>
          </w:p>
        </w:tc>
        <w:tc>
          <w:tcPr>
            <w:tcW w:w="418" w:type="pct"/>
            <w:tcBorders>
              <w:top w:val="nil"/>
              <w:left w:val="nil"/>
              <w:bottom w:val="nil"/>
              <w:right w:val="nil"/>
            </w:tcBorders>
            <w:shd w:val="clear" w:color="auto" w:fill="auto"/>
            <w:noWrap/>
            <w:vAlign w:val="center"/>
            <w:hideMark/>
          </w:tcPr>
          <w:p w14:paraId="04201721" w14:textId="77777777" w:rsidR="0019205B" w:rsidRPr="008319F4" w:rsidRDefault="0019205B" w:rsidP="00FD7E50">
            <w:pPr>
              <w:spacing w:after="0" w:line="240" w:lineRule="auto"/>
              <w:jc w:val="center"/>
              <w:rPr>
                <w:rFonts w:eastAsia="Times New Roman" w:cs="Calibri"/>
                <w:color w:val="000000"/>
              </w:rPr>
            </w:pPr>
          </w:p>
        </w:tc>
        <w:tc>
          <w:tcPr>
            <w:tcW w:w="409" w:type="pct"/>
            <w:tcBorders>
              <w:top w:val="nil"/>
              <w:left w:val="nil"/>
              <w:bottom w:val="nil"/>
              <w:right w:val="nil"/>
            </w:tcBorders>
            <w:shd w:val="clear" w:color="auto" w:fill="auto"/>
            <w:noWrap/>
            <w:vAlign w:val="bottom"/>
            <w:hideMark/>
          </w:tcPr>
          <w:p w14:paraId="5E23F706" w14:textId="19E67C4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EB54CE">
              <w:rPr>
                <w:rFonts w:eastAsia="Times New Roman" w:cs="Calibri"/>
                <w:color w:val="000000"/>
              </w:rPr>
              <w:t>.</w:t>
            </w:r>
            <w:r w:rsidRPr="008319F4">
              <w:rPr>
                <w:rFonts w:eastAsia="Times New Roman" w:cs="Calibri"/>
                <w:color w:val="000000"/>
              </w:rPr>
              <w:t>5***</w:t>
            </w:r>
          </w:p>
        </w:tc>
        <w:tc>
          <w:tcPr>
            <w:tcW w:w="245" w:type="pct"/>
            <w:tcBorders>
              <w:top w:val="nil"/>
              <w:left w:val="nil"/>
              <w:bottom w:val="nil"/>
              <w:right w:val="nil"/>
            </w:tcBorders>
            <w:shd w:val="clear" w:color="auto" w:fill="auto"/>
            <w:noWrap/>
            <w:vAlign w:val="bottom"/>
            <w:hideMark/>
          </w:tcPr>
          <w:p w14:paraId="24C8773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5.78</w:t>
            </w:r>
          </w:p>
        </w:tc>
        <w:tc>
          <w:tcPr>
            <w:tcW w:w="356" w:type="pct"/>
            <w:tcBorders>
              <w:top w:val="nil"/>
              <w:left w:val="nil"/>
              <w:bottom w:val="nil"/>
              <w:right w:val="nil"/>
            </w:tcBorders>
          </w:tcPr>
          <w:p w14:paraId="3991A716" w14:textId="77777777" w:rsidR="0019205B" w:rsidRPr="008319F4" w:rsidRDefault="0019205B" w:rsidP="00FD7E50">
            <w:pPr>
              <w:spacing w:after="0" w:line="240" w:lineRule="auto"/>
              <w:jc w:val="center"/>
              <w:rPr>
                <w:rFonts w:eastAsia="Times New Roman" w:cs="Calibri"/>
                <w:color w:val="000000"/>
              </w:rPr>
            </w:pPr>
          </w:p>
        </w:tc>
      </w:tr>
      <w:tr w:rsidR="0019205B" w:rsidRPr="008319F4" w14:paraId="5ECDFE5A" w14:textId="77777777" w:rsidTr="00FD7E50">
        <w:trPr>
          <w:trHeight w:hRule="exact" w:val="301"/>
        </w:trPr>
        <w:tc>
          <w:tcPr>
            <w:tcW w:w="306" w:type="pct"/>
            <w:tcBorders>
              <w:top w:val="nil"/>
              <w:left w:val="nil"/>
              <w:bottom w:val="nil"/>
              <w:right w:val="nil"/>
            </w:tcBorders>
            <w:shd w:val="clear" w:color="auto" w:fill="auto"/>
            <w:noWrap/>
            <w:hideMark/>
          </w:tcPr>
          <w:p w14:paraId="5F0C5F98"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DIV</w:t>
            </w:r>
          </w:p>
        </w:tc>
        <w:tc>
          <w:tcPr>
            <w:tcW w:w="599" w:type="pct"/>
            <w:tcBorders>
              <w:top w:val="nil"/>
              <w:left w:val="nil"/>
              <w:bottom w:val="nil"/>
              <w:right w:val="nil"/>
            </w:tcBorders>
            <w:shd w:val="clear" w:color="auto" w:fill="auto"/>
            <w:noWrap/>
            <w:hideMark/>
          </w:tcPr>
          <w:p w14:paraId="78BC4074"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55" w:type="pct"/>
            <w:tcBorders>
              <w:top w:val="nil"/>
              <w:left w:val="nil"/>
              <w:bottom w:val="nil"/>
              <w:right w:val="nil"/>
            </w:tcBorders>
            <w:shd w:val="clear" w:color="auto" w:fill="auto"/>
            <w:noWrap/>
            <w:vAlign w:val="center"/>
            <w:hideMark/>
          </w:tcPr>
          <w:p w14:paraId="6901941B" w14:textId="556DCDD5"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5</w:t>
            </w:r>
          </w:p>
        </w:tc>
        <w:tc>
          <w:tcPr>
            <w:tcW w:w="289" w:type="pct"/>
            <w:tcBorders>
              <w:top w:val="nil"/>
              <w:left w:val="nil"/>
              <w:bottom w:val="nil"/>
              <w:right w:val="nil"/>
            </w:tcBorders>
            <w:shd w:val="clear" w:color="auto" w:fill="auto"/>
            <w:noWrap/>
            <w:vAlign w:val="center"/>
            <w:hideMark/>
          </w:tcPr>
          <w:p w14:paraId="7C9BB449" w14:textId="28A59353"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7C60449C" w14:textId="2F702B79"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14350AB0" w14:textId="7EAEED5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51E7B8B6" w14:textId="72C38ECD"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3</w:t>
            </w:r>
          </w:p>
        </w:tc>
        <w:tc>
          <w:tcPr>
            <w:tcW w:w="289" w:type="pct"/>
            <w:tcBorders>
              <w:top w:val="nil"/>
              <w:left w:val="nil"/>
              <w:bottom w:val="nil"/>
              <w:right w:val="nil"/>
            </w:tcBorders>
            <w:shd w:val="clear" w:color="auto" w:fill="auto"/>
            <w:noWrap/>
            <w:vAlign w:val="center"/>
            <w:hideMark/>
          </w:tcPr>
          <w:p w14:paraId="41A5EF7D" w14:textId="7CDAED85"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15E1724B" w14:textId="2D8C68AA"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04EA5F99" w14:textId="1799396B"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1</w:t>
            </w:r>
          </w:p>
        </w:tc>
        <w:tc>
          <w:tcPr>
            <w:tcW w:w="289" w:type="pct"/>
            <w:tcBorders>
              <w:top w:val="nil"/>
              <w:left w:val="nil"/>
              <w:bottom w:val="nil"/>
              <w:right w:val="nil"/>
            </w:tcBorders>
            <w:shd w:val="clear" w:color="auto" w:fill="auto"/>
            <w:noWrap/>
            <w:vAlign w:val="center"/>
            <w:hideMark/>
          </w:tcPr>
          <w:p w14:paraId="2E621479" w14:textId="489A018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0</w:t>
            </w:r>
          </w:p>
        </w:tc>
        <w:tc>
          <w:tcPr>
            <w:tcW w:w="418" w:type="pct"/>
            <w:tcBorders>
              <w:top w:val="nil"/>
              <w:left w:val="nil"/>
              <w:bottom w:val="nil"/>
              <w:right w:val="nil"/>
            </w:tcBorders>
            <w:shd w:val="clear" w:color="auto" w:fill="auto"/>
            <w:noWrap/>
            <w:vAlign w:val="center"/>
            <w:hideMark/>
          </w:tcPr>
          <w:p w14:paraId="03B84006" w14:textId="5615E776"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9</w:t>
            </w:r>
          </w:p>
        </w:tc>
        <w:tc>
          <w:tcPr>
            <w:tcW w:w="409" w:type="pct"/>
            <w:tcBorders>
              <w:top w:val="nil"/>
              <w:left w:val="nil"/>
              <w:bottom w:val="nil"/>
              <w:right w:val="nil"/>
            </w:tcBorders>
            <w:shd w:val="clear" w:color="auto" w:fill="auto"/>
            <w:noWrap/>
            <w:vAlign w:val="center"/>
            <w:hideMark/>
          </w:tcPr>
          <w:p w14:paraId="4E7CE665" w14:textId="6C2CD1B7"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7***</w:t>
            </w:r>
          </w:p>
        </w:tc>
        <w:tc>
          <w:tcPr>
            <w:tcW w:w="245" w:type="pct"/>
            <w:tcBorders>
              <w:top w:val="nil"/>
              <w:left w:val="nil"/>
              <w:bottom w:val="nil"/>
              <w:right w:val="nil"/>
            </w:tcBorders>
            <w:shd w:val="clear" w:color="auto" w:fill="auto"/>
            <w:noWrap/>
            <w:vAlign w:val="center"/>
            <w:hideMark/>
          </w:tcPr>
          <w:p w14:paraId="289F7DB8" w14:textId="77777777" w:rsidR="0019205B" w:rsidRPr="008319F4" w:rsidRDefault="0019205B" w:rsidP="00FD7E50">
            <w:pPr>
              <w:spacing w:line="240" w:lineRule="auto"/>
              <w:jc w:val="center"/>
              <w:rPr>
                <w:rFonts w:cs="Calibri"/>
                <w:color w:val="000000"/>
              </w:rPr>
            </w:pPr>
            <w:r w:rsidRPr="008319F4">
              <w:rPr>
                <w:rFonts w:cs="Calibri"/>
                <w:color w:val="000000"/>
              </w:rPr>
              <w:t>5.06</w:t>
            </w:r>
          </w:p>
        </w:tc>
        <w:tc>
          <w:tcPr>
            <w:tcW w:w="356" w:type="pct"/>
            <w:tcBorders>
              <w:top w:val="nil"/>
              <w:left w:val="nil"/>
              <w:bottom w:val="nil"/>
              <w:right w:val="nil"/>
            </w:tcBorders>
          </w:tcPr>
          <w:p w14:paraId="09A6CB32"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25272</w:t>
            </w:r>
          </w:p>
        </w:tc>
      </w:tr>
      <w:tr w:rsidR="0019205B" w:rsidRPr="008319F4" w14:paraId="61D4BD6B" w14:textId="77777777" w:rsidTr="00FD7E50">
        <w:trPr>
          <w:trHeight w:hRule="exact" w:val="301"/>
        </w:trPr>
        <w:tc>
          <w:tcPr>
            <w:tcW w:w="306" w:type="pct"/>
            <w:tcBorders>
              <w:top w:val="nil"/>
              <w:left w:val="nil"/>
              <w:bottom w:val="nil"/>
              <w:right w:val="nil"/>
            </w:tcBorders>
            <w:shd w:val="clear" w:color="auto" w:fill="auto"/>
            <w:noWrap/>
            <w:hideMark/>
          </w:tcPr>
          <w:p w14:paraId="1FA39D96" w14:textId="77777777" w:rsidR="0019205B" w:rsidRPr="008319F4" w:rsidRDefault="0019205B" w:rsidP="00FD7E50">
            <w:pPr>
              <w:spacing w:after="0" w:line="240" w:lineRule="auto"/>
              <w:rPr>
                <w:rFonts w:eastAsia="Times New Roman" w:cs="Calibri"/>
                <w:color w:val="000000"/>
              </w:rPr>
            </w:pPr>
          </w:p>
        </w:tc>
        <w:tc>
          <w:tcPr>
            <w:tcW w:w="599" w:type="pct"/>
            <w:tcBorders>
              <w:top w:val="nil"/>
              <w:left w:val="nil"/>
              <w:bottom w:val="nil"/>
              <w:right w:val="nil"/>
            </w:tcBorders>
            <w:shd w:val="clear" w:color="auto" w:fill="auto"/>
            <w:noWrap/>
            <w:hideMark/>
          </w:tcPr>
          <w:p w14:paraId="62E143A1"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55" w:type="pct"/>
            <w:tcBorders>
              <w:top w:val="nil"/>
              <w:left w:val="nil"/>
              <w:bottom w:val="nil"/>
              <w:right w:val="nil"/>
            </w:tcBorders>
            <w:shd w:val="clear" w:color="auto" w:fill="auto"/>
            <w:noWrap/>
            <w:vAlign w:val="center"/>
            <w:hideMark/>
          </w:tcPr>
          <w:p w14:paraId="76EC63E8" w14:textId="359BC239"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8</w:t>
            </w:r>
          </w:p>
        </w:tc>
        <w:tc>
          <w:tcPr>
            <w:tcW w:w="289" w:type="pct"/>
            <w:tcBorders>
              <w:top w:val="nil"/>
              <w:left w:val="nil"/>
              <w:bottom w:val="nil"/>
              <w:right w:val="nil"/>
            </w:tcBorders>
            <w:shd w:val="clear" w:color="auto" w:fill="auto"/>
            <w:noWrap/>
            <w:vAlign w:val="center"/>
            <w:hideMark/>
          </w:tcPr>
          <w:p w14:paraId="65C1B51D" w14:textId="03C38B5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6</w:t>
            </w:r>
          </w:p>
        </w:tc>
        <w:tc>
          <w:tcPr>
            <w:tcW w:w="289" w:type="pct"/>
            <w:tcBorders>
              <w:top w:val="nil"/>
              <w:left w:val="nil"/>
              <w:bottom w:val="nil"/>
              <w:right w:val="nil"/>
            </w:tcBorders>
            <w:shd w:val="clear" w:color="auto" w:fill="auto"/>
            <w:noWrap/>
            <w:vAlign w:val="center"/>
            <w:hideMark/>
          </w:tcPr>
          <w:p w14:paraId="534E00B6" w14:textId="205C6ED3"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7</w:t>
            </w:r>
          </w:p>
        </w:tc>
        <w:tc>
          <w:tcPr>
            <w:tcW w:w="289" w:type="pct"/>
            <w:tcBorders>
              <w:top w:val="nil"/>
              <w:left w:val="nil"/>
              <w:bottom w:val="nil"/>
              <w:right w:val="nil"/>
            </w:tcBorders>
            <w:shd w:val="clear" w:color="auto" w:fill="auto"/>
            <w:noWrap/>
            <w:vAlign w:val="center"/>
            <w:hideMark/>
          </w:tcPr>
          <w:p w14:paraId="727E2486" w14:textId="4226BB94"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6C4C23C9" w14:textId="5D634A7F"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4005C0A5" w14:textId="4586B350"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3</w:t>
            </w:r>
          </w:p>
        </w:tc>
        <w:tc>
          <w:tcPr>
            <w:tcW w:w="289" w:type="pct"/>
            <w:tcBorders>
              <w:top w:val="nil"/>
              <w:left w:val="nil"/>
              <w:bottom w:val="nil"/>
              <w:right w:val="nil"/>
            </w:tcBorders>
            <w:shd w:val="clear" w:color="auto" w:fill="auto"/>
            <w:noWrap/>
            <w:vAlign w:val="center"/>
            <w:hideMark/>
          </w:tcPr>
          <w:p w14:paraId="37BC3FB3" w14:textId="63F83506"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4BE493FD" w14:textId="55525364"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1</w:t>
            </w:r>
          </w:p>
        </w:tc>
        <w:tc>
          <w:tcPr>
            <w:tcW w:w="289" w:type="pct"/>
            <w:tcBorders>
              <w:top w:val="nil"/>
              <w:left w:val="nil"/>
              <w:bottom w:val="nil"/>
              <w:right w:val="nil"/>
            </w:tcBorders>
            <w:shd w:val="clear" w:color="auto" w:fill="auto"/>
            <w:noWrap/>
            <w:vAlign w:val="center"/>
            <w:hideMark/>
          </w:tcPr>
          <w:p w14:paraId="1B0E2236" w14:textId="09479946"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0</w:t>
            </w:r>
          </w:p>
        </w:tc>
        <w:tc>
          <w:tcPr>
            <w:tcW w:w="418" w:type="pct"/>
            <w:tcBorders>
              <w:top w:val="nil"/>
              <w:left w:val="nil"/>
              <w:bottom w:val="nil"/>
              <w:right w:val="nil"/>
            </w:tcBorders>
            <w:shd w:val="clear" w:color="auto" w:fill="auto"/>
            <w:noWrap/>
            <w:vAlign w:val="center"/>
            <w:hideMark/>
          </w:tcPr>
          <w:p w14:paraId="0843282B" w14:textId="4ADF292E"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8</w:t>
            </w:r>
          </w:p>
        </w:tc>
        <w:tc>
          <w:tcPr>
            <w:tcW w:w="409" w:type="pct"/>
            <w:tcBorders>
              <w:top w:val="nil"/>
              <w:left w:val="nil"/>
              <w:bottom w:val="nil"/>
              <w:right w:val="nil"/>
            </w:tcBorders>
            <w:shd w:val="clear" w:color="auto" w:fill="auto"/>
            <w:noWrap/>
            <w:vAlign w:val="center"/>
            <w:hideMark/>
          </w:tcPr>
          <w:p w14:paraId="1368B617" w14:textId="3F286ABE"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0***</w:t>
            </w:r>
          </w:p>
        </w:tc>
        <w:tc>
          <w:tcPr>
            <w:tcW w:w="245" w:type="pct"/>
            <w:tcBorders>
              <w:top w:val="nil"/>
              <w:left w:val="nil"/>
              <w:bottom w:val="nil"/>
              <w:right w:val="nil"/>
            </w:tcBorders>
            <w:shd w:val="clear" w:color="auto" w:fill="auto"/>
            <w:noWrap/>
            <w:vAlign w:val="center"/>
            <w:hideMark/>
          </w:tcPr>
          <w:p w14:paraId="331E5A3C" w14:textId="77777777" w:rsidR="0019205B" w:rsidRPr="008319F4" w:rsidRDefault="0019205B" w:rsidP="00FD7E50">
            <w:pPr>
              <w:spacing w:line="240" w:lineRule="auto"/>
              <w:jc w:val="center"/>
              <w:rPr>
                <w:rFonts w:cs="Calibri"/>
                <w:color w:val="000000"/>
              </w:rPr>
            </w:pPr>
            <w:r w:rsidRPr="008319F4">
              <w:rPr>
                <w:rFonts w:cs="Calibri"/>
                <w:color w:val="000000"/>
              </w:rPr>
              <w:t>5.82</w:t>
            </w:r>
          </w:p>
        </w:tc>
        <w:tc>
          <w:tcPr>
            <w:tcW w:w="356" w:type="pct"/>
            <w:tcBorders>
              <w:top w:val="nil"/>
              <w:left w:val="nil"/>
              <w:bottom w:val="nil"/>
              <w:right w:val="nil"/>
            </w:tcBorders>
          </w:tcPr>
          <w:p w14:paraId="2E788D62"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25267</w:t>
            </w:r>
          </w:p>
        </w:tc>
      </w:tr>
      <w:tr w:rsidR="0019205B" w:rsidRPr="008319F4" w14:paraId="6EAD466D" w14:textId="77777777" w:rsidTr="00FD7E50">
        <w:trPr>
          <w:trHeight w:hRule="exact" w:val="301"/>
        </w:trPr>
        <w:tc>
          <w:tcPr>
            <w:tcW w:w="306" w:type="pct"/>
            <w:tcBorders>
              <w:top w:val="nil"/>
              <w:left w:val="nil"/>
              <w:bottom w:val="nil"/>
              <w:right w:val="nil"/>
            </w:tcBorders>
            <w:shd w:val="clear" w:color="auto" w:fill="auto"/>
            <w:noWrap/>
            <w:vAlign w:val="bottom"/>
            <w:hideMark/>
          </w:tcPr>
          <w:p w14:paraId="3973A363" w14:textId="77777777" w:rsidR="0019205B" w:rsidRPr="008319F4" w:rsidRDefault="0019205B" w:rsidP="00FD7E50">
            <w:pPr>
              <w:spacing w:after="0" w:line="240" w:lineRule="auto"/>
              <w:rPr>
                <w:rFonts w:eastAsia="Times New Roman" w:cs="Calibri"/>
                <w:color w:val="000000"/>
              </w:rPr>
            </w:pPr>
          </w:p>
        </w:tc>
        <w:tc>
          <w:tcPr>
            <w:tcW w:w="599" w:type="pct"/>
            <w:tcBorders>
              <w:top w:val="nil"/>
              <w:left w:val="nil"/>
              <w:bottom w:val="nil"/>
              <w:right w:val="nil"/>
            </w:tcBorders>
            <w:shd w:val="clear" w:color="auto" w:fill="auto"/>
            <w:noWrap/>
            <w:vAlign w:val="bottom"/>
            <w:hideMark/>
          </w:tcPr>
          <w:p w14:paraId="244FEDED"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55" w:type="pct"/>
            <w:tcBorders>
              <w:top w:val="nil"/>
              <w:left w:val="nil"/>
              <w:bottom w:val="nil"/>
              <w:right w:val="nil"/>
            </w:tcBorders>
            <w:shd w:val="clear" w:color="auto" w:fill="auto"/>
            <w:noWrap/>
            <w:vAlign w:val="center"/>
            <w:hideMark/>
          </w:tcPr>
          <w:p w14:paraId="29675239"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7BCA263A"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152970E4"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71DC8B01"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34CD9DB3"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4F27AAED"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3FD52A34"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6FC0DA24"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nil"/>
              <w:right w:val="nil"/>
            </w:tcBorders>
            <w:shd w:val="clear" w:color="auto" w:fill="auto"/>
            <w:noWrap/>
            <w:vAlign w:val="center"/>
            <w:hideMark/>
          </w:tcPr>
          <w:p w14:paraId="547D7B55" w14:textId="77777777" w:rsidR="0019205B" w:rsidRPr="008319F4" w:rsidRDefault="0019205B" w:rsidP="00FD7E50">
            <w:pPr>
              <w:spacing w:after="0" w:line="240" w:lineRule="auto"/>
              <w:jc w:val="center"/>
              <w:rPr>
                <w:rFonts w:eastAsia="Times New Roman" w:cs="Calibri"/>
                <w:color w:val="000000"/>
              </w:rPr>
            </w:pPr>
          </w:p>
        </w:tc>
        <w:tc>
          <w:tcPr>
            <w:tcW w:w="418" w:type="pct"/>
            <w:tcBorders>
              <w:top w:val="nil"/>
              <w:left w:val="nil"/>
              <w:bottom w:val="nil"/>
              <w:right w:val="nil"/>
            </w:tcBorders>
            <w:shd w:val="clear" w:color="auto" w:fill="auto"/>
            <w:noWrap/>
            <w:vAlign w:val="center"/>
            <w:hideMark/>
          </w:tcPr>
          <w:p w14:paraId="6CF14710" w14:textId="77777777" w:rsidR="0019205B" w:rsidRPr="008319F4" w:rsidRDefault="0019205B" w:rsidP="00FD7E50">
            <w:pPr>
              <w:spacing w:after="0" w:line="240" w:lineRule="auto"/>
              <w:jc w:val="center"/>
              <w:rPr>
                <w:rFonts w:eastAsia="Times New Roman" w:cs="Calibri"/>
                <w:color w:val="000000"/>
              </w:rPr>
            </w:pPr>
          </w:p>
        </w:tc>
        <w:tc>
          <w:tcPr>
            <w:tcW w:w="409" w:type="pct"/>
            <w:tcBorders>
              <w:top w:val="nil"/>
              <w:left w:val="nil"/>
              <w:bottom w:val="nil"/>
              <w:right w:val="nil"/>
            </w:tcBorders>
            <w:shd w:val="clear" w:color="auto" w:fill="auto"/>
            <w:noWrap/>
            <w:vAlign w:val="bottom"/>
            <w:hideMark/>
          </w:tcPr>
          <w:p w14:paraId="7F40332F" w14:textId="5CED861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EB54CE">
              <w:rPr>
                <w:rFonts w:eastAsia="Times New Roman" w:cs="Calibri"/>
                <w:color w:val="000000"/>
              </w:rPr>
              <w:t>.</w:t>
            </w:r>
            <w:r w:rsidRPr="008319F4">
              <w:rPr>
                <w:rFonts w:eastAsia="Times New Roman" w:cs="Calibri"/>
                <w:color w:val="000000"/>
              </w:rPr>
              <w:t>0***</w:t>
            </w:r>
          </w:p>
        </w:tc>
        <w:tc>
          <w:tcPr>
            <w:tcW w:w="245" w:type="pct"/>
            <w:tcBorders>
              <w:top w:val="nil"/>
              <w:left w:val="nil"/>
              <w:bottom w:val="nil"/>
              <w:right w:val="nil"/>
            </w:tcBorders>
            <w:shd w:val="clear" w:color="auto" w:fill="auto"/>
            <w:noWrap/>
            <w:vAlign w:val="bottom"/>
            <w:hideMark/>
          </w:tcPr>
          <w:p w14:paraId="5CF8946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3.06</w:t>
            </w:r>
          </w:p>
        </w:tc>
        <w:tc>
          <w:tcPr>
            <w:tcW w:w="356" w:type="pct"/>
            <w:tcBorders>
              <w:top w:val="nil"/>
              <w:left w:val="nil"/>
              <w:bottom w:val="nil"/>
              <w:right w:val="nil"/>
            </w:tcBorders>
          </w:tcPr>
          <w:p w14:paraId="4760FBEB" w14:textId="77777777" w:rsidR="0019205B" w:rsidRPr="008319F4" w:rsidRDefault="0019205B" w:rsidP="00FD7E50">
            <w:pPr>
              <w:spacing w:after="0" w:line="240" w:lineRule="auto"/>
              <w:jc w:val="center"/>
              <w:rPr>
                <w:rFonts w:eastAsia="Times New Roman" w:cs="Calibri"/>
                <w:color w:val="000000"/>
              </w:rPr>
            </w:pPr>
          </w:p>
        </w:tc>
      </w:tr>
      <w:tr w:rsidR="0019205B" w:rsidRPr="008319F4" w14:paraId="5F94259C" w14:textId="77777777" w:rsidTr="00FD7E50">
        <w:trPr>
          <w:trHeight w:hRule="exact" w:val="301"/>
        </w:trPr>
        <w:tc>
          <w:tcPr>
            <w:tcW w:w="306" w:type="pct"/>
            <w:tcBorders>
              <w:top w:val="nil"/>
              <w:left w:val="nil"/>
              <w:bottom w:val="nil"/>
              <w:right w:val="nil"/>
            </w:tcBorders>
            <w:shd w:val="clear" w:color="auto" w:fill="auto"/>
            <w:noWrap/>
            <w:hideMark/>
          </w:tcPr>
          <w:p w14:paraId="29ACE72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CF</w:t>
            </w:r>
          </w:p>
        </w:tc>
        <w:tc>
          <w:tcPr>
            <w:tcW w:w="599" w:type="pct"/>
            <w:tcBorders>
              <w:top w:val="nil"/>
              <w:left w:val="nil"/>
              <w:bottom w:val="nil"/>
              <w:right w:val="nil"/>
            </w:tcBorders>
            <w:shd w:val="clear" w:color="auto" w:fill="auto"/>
            <w:noWrap/>
            <w:hideMark/>
          </w:tcPr>
          <w:p w14:paraId="692D9DDC"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55" w:type="pct"/>
            <w:tcBorders>
              <w:top w:val="nil"/>
              <w:left w:val="nil"/>
              <w:bottom w:val="nil"/>
              <w:right w:val="nil"/>
            </w:tcBorders>
            <w:shd w:val="clear" w:color="auto" w:fill="auto"/>
            <w:noWrap/>
            <w:vAlign w:val="center"/>
            <w:hideMark/>
          </w:tcPr>
          <w:p w14:paraId="160DEC12" w14:textId="731EE8B3"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6</w:t>
            </w:r>
          </w:p>
        </w:tc>
        <w:tc>
          <w:tcPr>
            <w:tcW w:w="289" w:type="pct"/>
            <w:tcBorders>
              <w:top w:val="nil"/>
              <w:left w:val="nil"/>
              <w:bottom w:val="nil"/>
              <w:right w:val="nil"/>
            </w:tcBorders>
            <w:shd w:val="clear" w:color="auto" w:fill="auto"/>
            <w:noWrap/>
            <w:vAlign w:val="center"/>
            <w:hideMark/>
          </w:tcPr>
          <w:p w14:paraId="2F263EA4" w14:textId="42A5D06A"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693DD3B8" w14:textId="67565C67"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03F03840" w14:textId="3094ED76"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31AAB323" w14:textId="0802357C"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7CA70EEB" w14:textId="308E64F1"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2FF438F8" w14:textId="7C2A3C41"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473A55A4" w14:textId="163B97F8"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2</w:t>
            </w:r>
          </w:p>
        </w:tc>
        <w:tc>
          <w:tcPr>
            <w:tcW w:w="289" w:type="pct"/>
            <w:tcBorders>
              <w:top w:val="nil"/>
              <w:left w:val="nil"/>
              <w:bottom w:val="nil"/>
              <w:right w:val="nil"/>
            </w:tcBorders>
            <w:shd w:val="clear" w:color="auto" w:fill="auto"/>
            <w:noWrap/>
            <w:vAlign w:val="center"/>
            <w:hideMark/>
          </w:tcPr>
          <w:p w14:paraId="23F43C5D" w14:textId="79B69841"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1</w:t>
            </w:r>
          </w:p>
        </w:tc>
        <w:tc>
          <w:tcPr>
            <w:tcW w:w="418" w:type="pct"/>
            <w:tcBorders>
              <w:top w:val="nil"/>
              <w:left w:val="nil"/>
              <w:bottom w:val="nil"/>
              <w:right w:val="nil"/>
            </w:tcBorders>
            <w:shd w:val="clear" w:color="auto" w:fill="auto"/>
            <w:noWrap/>
            <w:vAlign w:val="center"/>
            <w:hideMark/>
          </w:tcPr>
          <w:p w14:paraId="6BBC6FB5" w14:textId="2172A05A"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8</w:t>
            </w:r>
          </w:p>
        </w:tc>
        <w:tc>
          <w:tcPr>
            <w:tcW w:w="409" w:type="pct"/>
            <w:tcBorders>
              <w:top w:val="nil"/>
              <w:left w:val="nil"/>
              <w:bottom w:val="nil"/>
              <w:right w:val="nil"/>
            </w:tcBorders>
            <w:shd w:val="clear" w:color="auto" w:fill="auto"/>
            <w:noWrap/>
            <w:vAlign w:val="center"/>
            <w:hideMark/>
          </w:tcPr>
          <w:p w14:paraId="37166E3D" w14:textId="5CE2DD46"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8***</w:t>
            </w:r>
          </w:p>
        </w:tc>
        <w:tc>
          <w:tcPr>
            <w:tcW w:w="245" w:type="pct"/>
            <w:tcBorders>
              <w:top w:val="nil"/>
              <w:left w:val="nil"/>
              <w:bottom w:val="nil"/>
              <w:right w:val="nil"/>
            </w:tcBorders>
            <w:shd w:val="clear" w:color="auto" w:fill="auto"/>
            <w:noWrap/>
            <w:vAlign w:val="center"/>
            <w:hideMark/>
          </w:tcPr>
          <w:p w14:paraId="728FDAD2" w14:textId="77777777" w:rsidR="0019205B" w:rsidRPr="008319F4" w:rsidRDefault="0019205B" w:rsidP="00FD7E50">
            <w:pPr>
              <w:spacing w:line="240" w:lineRule="auto"/>
              <w:jc w:val="center"/>
              <w:rPr>
                <w:rFonts w:cs="Calibri"/>
                <w:color w:val="000000"/>
              </w:rPr>
            </w:pPr>
            <w:r w:rsidRPr="008319F4">
              <w:rPr>
                <w:rFonts w:cs="Calibri"/>
                <w:color w:val="000000"/>
              </w:rPr>
              <w:t>4.94</w:t>
            </w:r>
          </w:p>
        </w:tc>
        <w:tc>
          <w:tcPr>
            <w:tcW w:w="356" w:type="pct"/>
            <w:tcBorders>
              <w:top w:val="nil"/>
              <w:left w:val="nil"/>
              <w:bottom w:val="nil"/>
              <w:right w:val="nil"/>
            </w:tcBorders>
          </w:tcPr>
          <w:p w14:paraId="13CAA12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57967</w:t>
            </w:r>
          </w:p>
        </w:tc>
      </w:tr>
      <w:tr w:rsidR="0019205B" w:rsidRPr="008319F4" w14:paraId="6A8A0D30" w14:textId="77777777" w:rsidTr="00FD7E50">
        <w:trPr>
          <w:trHeight w:hRule="exact" w:val="301"/>
        </w:trPr>
        <w:tc>
          <w:tcPr>
            <w:tcW w:w="306" w:type="pct"/>
            <w:tcBorders>
              <w:top w:val="nil"/>
              <w:left w:val="nil"/>
              <w:bottom w:val="nil"/>
              <w:right w:val="nil"/>
            </w:tcBorders>
            <w:shd w:val="clear" w:color="auto" w:fill="auto"/>
            <w:noWrap/>
            <w:hideMark/>
          </w:tcPr>
          <w:p w14:paraId="5173BB78" w14:textId="77777777" w:rsidR="0019205B" w:rsidRPr="008319F4" w:rsidRDefault="0019205B" w:rsidP="00FD7E50">
            <w:pPr>
              <w:spacing w:after="0" w:line="240" w:lineRule="auto"/>
              <w:rPr>
                <w:rFonts w:eastAsia="Times New Roman" w:cs="Calibri"/>
                <w:color w:val="000000"/>
              </w:rPr>
            </w:pPr>
          </w:p>
        </w:tc>
        <w:tc>
          <w:tcPr>
            <w:tcW w:w="599" w:type="pct"/>
            <w:tcBorders>
              <w:top w:val="nil"/>
              <w:left w:val="nil"/>
              <w:bottom w:val="nil"/>
              <w:right w:val="nil"/>
            </w:tcBorders>
            <w:shd w:val="clear" w:color="auto" w:fill="auto"/>
            <w:noWrap/>
            <w:hideMark/>
          </w:tcPr>
          <w:p w14:paraId="5FEBD6B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55" w:type="pct"/>
            <w:tcBorders>
              <w:top w:val="nil"/>
              <w:left w:val="nil"/>
              <w:bottom w:val="nil"/>
              <w:right w:val="nil"/>
            </w:tcBorders>
            <w:shd w:val="clear" w:color="auto" w:fill="auto"/>
            <w:noWrap/>
            <w:vAlign w:val="center"/>
            <w:hideMark/>
          </w:tcPr>
          <w:p w14:paraId="75990870" w14:textId="2D68C3D2"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1</w:t>
            </w:r>
          </w:p>
        </w:tc>
        <w:tc>
          <w:tcPr>
            <w:tcW w:w="289" w:type="pct"/>
            <w:tcBorders>
              <w:top w:val="nil"/>
              <w:left w:val="nil"/>
              <w:bottom w:val="nil"/>
              <w:right w:val="nil"/>
            </w:tcBorders>
            <w:shd w:val="clear" w:color="auto" w:fill="auto"/>
            <w:noWrap/>
            <w:vAlign w:val="center"/>
            <w:hideMark/>
          </w:tcPr>
          <w:p w14:paraId="0AE5A85A" w14:textId="09A11366"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0</w:t>
            </w:r>
          </w:p>
        </w:tc>
        <w:tc>
          <w:tcPr>
            <w:tcW w:w="289" w:type="pct"/>
            <w:tcBorders>
              <w:top w:val="nil"/>
              <w:left w:val="nil"/>
              <w:bottom w:val="nil"/>
              <w:right w:val="nil"/>
            </w:tcBorders>
            <w:shd w:val="clear" w:color="auto" w:fill="auto"/>
            <w:noWrap/>
            <w:vAlign w:val="center"/>
            <w:hideMark/>
          </w:tcPr>
          <w:p w14:paraId="27783B52" w14:textId="00682421"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0</w:t>
            </w:r>
          </w:p>
        </w:tc>
        <w:tc>
          <w:tcPr>
            <w:tcW w:w="289" w:type="pct"/>
            <w:tcBorders>
              <w:top w:val="nil"/>
              <w:left w:val="nil"/>
              <w:bottom w:val="nil"/>
              <w:right w:val="nil"/>
            </w:tcBorders>
            <w:shd w:val="clear" w:color="auto" w:fill="auto"/>
            <w:noWrap/>
            <w:vAlign w:val="center"/>
            <w:hideMark/>
          </w:tcPr>
          <w:p w14:paraId="4A887C39" w14:textId="3298CB1D"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6</w:t>
            </w:r>
          </w:p>
        </w:tc>
        <w:tc>
          <w:tcPr>
            <w:tcW w:w="289" w:type="pct"/>
            <w:tcBorders>
              <w:top w:val="nil"/>
              <w:left w:val="nil"/>
              <w:bottom w:val="nil"/>
              <w:right w:val="nil"/>
            </w:tcBorders>
            <w:shd w:val="clear" w:color="auto" w:fill="auto"/>
            <w:noWrap/>
            <w:vAlign w:val="center"/>
            <w:hideMark/>
          </w:tcPr>
          <w:p w14:paraId="711282D3" w14:textId="2BC24F0E"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4</w:t>
            </w:r>
          </w:p>
        </w:tc>
        <w:tc>
          <w:tcPr>
            <w:tcW w:w="289" w:type="pct"/>
            <w:tcBorders>
              <w:top w:val="nil"/>
              <w:left w:val="nil"/>
              <w:bottom w:val="nil"/>
              <w:right w:val="nil"/>
            </w:tcBorders>
            <w:shd w:val="clear" w:color="auto" w:fill="auto"/>
            <w:noWrap/>
            <w:vAlign w:val="center"/>
            <w:hideMark/>
          </w:tcPr>
          <w:p w14:paraId="6E31DCF9" w14:textId="3E1CC7F4"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3</w:t>
            </w:r>
          </w:p>
        </w:tc>
        <w:tc>
          <w:tcPr>
            <w:tcW w:w="289" w:type="pct"/>
            <w:tcBorders>
              <w:top w:val="nil"/>
              <w:left w:val="nil"/>
              <w:bottom w:val="nil"/>
              <w:right w:val="nil"/>
            </w:tcBorders>
            <w:shd w:val="clear" w:color="auto" w:fill="auto"/>
            <w:noWrap/>
            <w:vAlign w:val="center"/>
            <w:hideMark/>
          </w:tcPr>
          <w:p w14:paraId="09F7341F" w14:textId="1EF67562" w:rsidR="0019205B" w:rsidRPr="008319F4" w:rsidRDefault="0019205B" w:rsidP="00FD7E50">
            <w:pPr>
              <w:spacing w:line="240" w:lineRule="auto"/>
              <w:jc w:val="center"/>
              <w:rPr>
                <w:rFonts w:cs="Calibri"/>
                <w:color w:val="000000"/>
              </w:rPr>
            </w:pPr>
            <w:r w:rsidRPr="008319F4">
              <w:rPr>
                <w:rFonts w:cs="Calibri"/>
                <w:color w:val="000000"/>
              </w:rPr>
              <w:t>1</w:t>
            </w:r>
            <w:r w:rsidR="00EB54CE">
              <w:rPr>
                <w:rFonts w:cs="Calibri"/>
                <w:color w:val="000000"/>
              </w:rPr>
              <w:t>.</w:t>
            </w:r>
            <w:r w:rsidRPr="008319F4">
              <w:rPr>
                <w:rFonts w:cs="Calibri"/>
                <w:color w:val="000000"/>
              </w:rPr>
              <w:t>0</w:t>
            </w:r>
          </w:p>
        </w:tc>
        <w:tc>
          <w:tcPr>
            <w:tcW w:w="289" w:type="pct"/>
            <w:tcBorders>
              <w:top w:val="nil"/>
              <w:left w:val="nil"/>
              <w:bottom w:val="nil"/>
              <w:right w:val="nil"/>
            </w:tcBorders>
            <w:shd w:val="clear" w:color="auto" w:fill="auto"/>
            <w:noWrap/>
            <w:vAlign w:val="center"/>
            <w:hideMark/>
          </w:tcPr>
          <w:p w14:paraId="6B973FE2" w14:textId="455066D1"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6</w:t>
            </w:r>
          </w:p>
        </w:tc>
        <w:tc>
          <w:tcPr>
            <w:tcW w:w="289" w:type="pct"/>
            <w:tcBorders>
              <w:top w:val="nil"/>
              <w:left w:val="nil"/>
              <w:bottom w:val="nil"/>
              <w:right w:val="nil"/>
            </w:tcBorders>
            <w:shd w:val="clear" w:color="auto" w:fill="auto"/>
            <w:noWrap/>
            <w:vAlign w:val="center"/>
            <w:hideMark/>
          </w:tcPr>
          <w:p w14:paraId="247AAAE7" w14:textId="3AE27745" w:rsidR="0019205B" w:rsidRPr="008319F4" w:rsidRDefault="0019205B" w:rsidP="00FD7E50">
            <w:pPr>
              <w:spacing w:line="240" w:lineRule="auto"/>
              <w:jc w:val="center"/>
              <w:rPr>
                <w:rFonts w:cs="Calibri"/>
                <w:color w:val="000000"/>
              </w:rPr>
            </w:pPr>
            <w:r w:rsidRPr="008319F4">
              <w:rPr>
                <w:rFonts w:cs="Calibri"/>
                <w:color w:val="000000"/>
              </w:rPr>
              <w:t>0</w:t>
            </w:r>
            <w:r w:rsidR="00EB54CE">
              <w:rPr>
                <w:rFonts w:cs="Calibri"/>
                <w:color w:val="000000"/>
              </w:rPr>
              <w:t>.</w:t>
            </w:r>
            <w:r w:rsidRPr="008319F4">
              <w:rPr>
                <w:rFonts w:cs="Calibri"/>
                <w:color w:val="000000"/>
              </w:rPr>
              <w:t>4</w:t>
            </w:r>
          </w:p>
        </w:tc>
        <w:tc>
          <w:tcPr>
            <w:tcW w:w="418" w:type="pct"/>
            <w:tcBorders>
              <w:top w:val="nil"/>
              <w:left w:val="nil"/>
              <w:bottom w:val="nil"/>
              <w:right w:val="nil"/>
            </w:tcBorders>
            <w:shd w:val="clear" w:color="auto" w:fill="auto"/>
            <w:noWrap/>
            <w:vAlign w:val="center"/>
            <w:hideMark/>
          </w:tcPr>
          <w:p w14:paraId="10FB25AE" w14:textId="2BACD7E6" w:rsidR="0019205B" w:rsidRPr="008319F4" w:rsidRDefault="00EB54CE" w:rsidP="00FD7E50">
            <w:pPr>
              <w:spacing w:line="240" w:lineRule="auto"/>
              <w:jc w:val="center"/>
              <w:rPr>
                <w:rFonts w:cs="Calibri"/>
                <w:color w:val="000000"/>
              </w:rPr>
            </w:pPr>
            <w:r>
              <w:rPr>
                <w:rFonts w:cs="Calibri"/>
                <w:color w:val="000000"/>
              </w:rPr>
              <w:t>-</w:t>
            </w:r>
            <w:r w:rsidR="0019205B" w:rsidRPr="008319F4">
              <w:rPr>
                <w:rFonts w:cs="Calibri"/>
                <w:color w:val="000000"/>
              </w:rPr>
              <w:t>0</w:t>
            </w:r>
            <w:r>
              <w:rPr>
                <w:rFonts w:cs="Calibri"/>
                <w:color w:val="000000"/>
              </w:rPr>
              <w:t>.</w:t>
            </w:r>
            <w:r w:rsidR="0019205B" w:rsidRPr="008319F4">
              <w:rPr>
                <w:rFonts w:cs="Calibri"/>
                <w:color w:val="000000"/>
              </w:rPr>
              <w:t>1</w:t>
            </w:r>
          </w:p>
        </w:tc>
        <w:tc>
          <w:tcPr>
            <w:tcW w:w="409" w:type="pct"/>
            <w:tcBorders>
              <w:top w:val="nil"/>
              <w:left w:val="nil"/>
              <w:bottom w:val="nil"/>
              <w:right w:val="nil"/>
            </w:tcBorders>
            <w:shd w:val="clear" w:color="auto" w:fill="auto"/>
            <w:noWrap/>
            <w:vAlign w:val="center"/>
            <w:hideMark/>
          </w:tcPr>
          <w:p w14:paraId="0DE13BD0" w14:textId="100F0992" w:rsidR="0019205B" w:rsidRPr="008319F4" w:rsidRDefault="0019205B" w:rsidP="00FD7E50">
            <w:pPr>
              <w:spacing w:line="240" w:lineRule="auto"/>
              <w:jc w:val="center"/>
              <w:rPr>
                <w:rFonts w:cs="Calibri"/>
                <w:color w:val="000000"/>
              </w:rPr>
            </w:pPr>
            <w:r w:rsidRPr="008319F4">
              <w:rPr>
                <w:rFonts w:cs="Calibri"/>
                <w:color w:val="000000"/>
              </w:rPr>
              <w:t>2</w:t>
            </w:r>
            <w:r w:rsidR="00EB54CE">
              <w:rPr>
                <w:rFonts w:cs="Calibri"/>
                <w:color w:val="000000"/>
              </w:rPr>
              <w:t>.</w:t>
            </w:r>
            <w:r w:rsidRPr="008319F4">
              <w:rPr>
                <w:rFonts w:cs="Calibri"/>
                <w:color w:val="000000"/>
              </w:rPr>
              <w:t>1***</w:t>
            </w:r>
          </w:p>
        </w:tc>
        <w:tc>
          <w:tcPr>
            <w:tcW w:w="245" w:type="pct"/>
            <w:tcBorders>
              <w:top w:val="nil"/>
              <w:left w:val="nil"/>
              <w:bottom w:val="nil"/>
              <w:right w:val="nil"/>
            </w:tcBorders>
            <w:shd w:val="clear" w:color="auto" w:fill="auto"/>
            <w:noWrap/>
            <w:vAlign w:val="center"/>
            <w:hideMark/>
          </w:tcPr>
          <w:p w14:paraId="14C04580" w14:textId="77777777" w:rsidR="0019205B" w:rsidRPr="008319F4" w:rsidRDefault="0019205B" w:rsidP="00FD7E50">
            <w:pPr>
              <w:spacing w:line="240" w:lineRule="auto"/>
              <w:jc w:val="center"/>
              <w:rPr>
                <w:rFonts w:cs="Calibri"/>
                <w:color w:val="000000"/>
              </w:rPr>
            </w:pPr>
            <w:r w:rsidRPr="008319F4">
              <w:rPr>
                <w:rFonts w:cs="Calibri"/>
                <w:color w:val="000000"/>
              </w:rPr>
              <w:t>7.95</w:t>
            </w:r>
          </w:p>
        </w:tc>
        <w:tc>
          <w:tcPr>
            <w:tcW w:w="356" w:type="pct"/>
            <w:tcBorders>
              <w:top w:val="nil"/>
              <w:left w:val="nil"/>
              <w:bottom w:val="nil"/>
              <w:right w:val="nil"/>
            </w:tcBorders>
          </w:tcPr>
          <w:p w14:paraId="2F36F60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57963</w:t>
            </w:r>
          </w:p>
        </w:tc>
      </w:tr>
      <w:tr w:rsidR="0019205B" w:rsidRPr="008319F4" w14:paraId="2680C5DE" w14:textId="77777777" w:rsidTr="00FD7E50">
        <w:trPr>
          <w:trHeight w:hRule="exact" w:val="301"/>
        </w:trPr>
        <w:tc>
          <w:tcPr>
            <w:tcW w:w="306" w:type="pct"/>
            <w:tcBorders>
              <w:top w:val="nil"/>
              <w:left w:val="nil"/>
              <w:bottom w:val="single" w:sz="4" w:space="0" w:color="auto"/>
              <w:right w:val="nil"/>
            </w:tcBorders>
            <w:shd w:val="clear" w:color="auto" w:fill="auto"/>
            <w:noWrap/>
            <w:vAlign w:val="bottom"/>
            <w:hideMark/>
          </w:tcPr>
          <w:p w14:paraId="4D28DAA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 </w:t>
            </w:r>
          </w:p>
        </w:tc>
        <w:tc>
          <w:tcPr>
            <w:tcW w:w="599" w:type="pct"/>
            <w:tcBorders>
              <w:top w:val="nil"/>
              <w:left w:val="nil"/>
              <w:bottom w:val="single" w:sz="4" w:space="0" w:color="auto"/>
              <w:right w:val="nil"/>
            </w:tcBorders>
            <w:shd w:val="clear" w:color="auto" w:fill="auto"/>
            <w:noWrap/>
            <w:vAlign w:val="bottom"/>
            <w:hideMark/>
          </w:tcPr>
          <w:p w14:paraId="335A22CC"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55" w:type="pct"/>
            <w:tcBorders>
              <w:top w:val="nil"/>
              <w:left w:val="nil"/>
              <w:bottom w:val="single" w:sz="4" w:space="0" w:color="auto"/>
              <w:right w:val="nil"/>
            </w:tcBorders>
            <w:shd w:val="clear" w:color="auto" w:fill="auto"/>
            <w:noWrap/>
            <w:vAlign w:val="center"/>
            <w:hideMark/>
          </w:tcPr>
          <w:p w14:paraId="23F5C0EE"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25F7359E"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17D0A8FF"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3AEFF3C3"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2267515D"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70A9283C"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247982A1"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6495257D" w14:textId="77777777" w:rsidR="0019205B" w:rsidRPr="008319F4" w:rsidRDefault="0019205B" w:rsidP="00FD7E50">
            <w:pPr>
              <w:spacing w:after="0" w:line="240" w:lineRule="auto"/>
              <w:jc w:val="center"/>
              <w:rPr>
                <w:rFonts w:eastAsia="Times New Roman" w:cs="Calibri"/>
                <w:color w:val="000000"/>
              </w:rPr>
            </w:pPr>
          </w:p>
        </w:tc>
        <w:tc>
          <w:tcPr>
            <w:tcW w:w="289" w:type="pct"/>
            <w:tcBorders>
              <w:top w:val="nil"/>
              <w:left w:val="nil"/>
              <w:bottom w:val="single" w:sz="4" w:space="0" w:color="auto"/>
              <w:right w:val="nil"/>
            </w:tcBorders>
            <w:shd w:val="clear" w:color="auto" w:fill="auto"/>
            <w:noWrap/>
            <w:vAlign w:val="center"/>
            <w:hideMark/>
          </w:tcPr>
          <w:p w14:paraId="48CC25CB" w14:textId="77777777" w:rsidR="0019205B" w:rsidRPr="008319F4" w:rsidRDefault="0019205B" w:rsidP="00FD7E50">
            <w:pPr>
              <w:spacing w:after="0" w:line="240" w:lineRule="auto"/>
              <w:jc w:val="center"/>
              <w:rPr>
                <w:rFonts w:eastAsia="Times New Roman" w:cs="Calibri"/>
                <w:color w:val="000000"/>
              </w:rPr>
            </w:pPr>
          </w:p>
        </w:tc>
        <w:tc>
          <w:tcPr>
            <w:tcW w:w="418" w:type="pct"/>
            <w:tcBorders>
              <w:top w:val="nil"/>
              <w:left w:val="nil"/>
              <w:bottom w:val="single" w:sz="4" w:space="0" w:color="auto"/>
              <w:right w:val="nil"/>
            </w:tcBorders>
            <w:shd w:val="clear" w:color="auto" w:fill="auto"/>
            <w:noWrap/>
            <w:vAlign w:val="center"/>
            <w:hideMark/>
          </w:tcPr>
          <w:p w14:paraId="5AD2C079" w14:textId="77777777" w:rsidR="0019205B" w:rsidRPr="008319F4" w:rsidRDefault="0019205B" w:rsidP="00FD7E50">
            <w:pPr>
              <w:spacing w:after="0" w:line="240" w:lineRule="auto"/>
              <w:jc w:val="center"/>
              <w:rPr>
                <w:rFonts w:eastAsia="Times New Roman" w:cs="Calibri"/>
                <w:color w:val="000000"/>
              </w:rPr>
            </w:pPr>
          </w:p>
        </w:tc>
        <w:tc>
          <w:tcPr>
            <w:tcW w:w="409" w:type="pct"/>
            <w:tcBorders>
              <w:top w:val="nil"/>
              <w:left w:val="nil"/>
              <w:bottom w:val="single" w:sz="4" w:space="0" w:color="auto"/>
              <w:right w:val="nil"/>
            </w:tcBorders>
            <w:shd w:val="clear" w:color="auto" w:fill="auto"/>
            <w:noWrap/>
            <w:vAlign w:val="bottom"/>
            <w:hideMark/>
          </w:tcPr>
          <w:p w14:paraId="622ED917" w14:textId="03CE1EB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EB54CE">
              <w:rPr>
                <w:rFonts w:eastAsia="Times New Roman" w:cs="Calibri"/>
                <w:color w:val="000000"/>
              </w:rPr>
              <w:t>.</w:t>
            </w:r>
            <w:r w:rsidRPr="008319F4">
              <w:rPr>
                <w:rFonts w:eastAsia="Times New Roman" w:cs="Calibri"/>
                <w:color w:val="000000"/>
              </w:rPr>
              <w:t>3***</w:t>
            </w:r>
          </w:p>
        </w:tc>
        <w:tc>
          <w:tcPr>
            <w:tcW w:w="245" w:type="pct"/>
            <w:tcBorders>
              <w:top w:val="nil"/>
              <w:left w:val="nil"/>
              <w:bottom w:val="single" w:sz="4" w:space="0" w:color="auto"/>
              <w:right w:val="nil"/>
            </w:tcBorders>
            <w:shd w:val="clear" w:color="auto" w:fill="auto"/>
            <w:noWrap/>
            <w:vAlign w:val="bottom"/>
            <w:hideMark/>
          </w:tcPr>
          <w:p w14:paraId="3A4B4037"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5.11</w:t>
            </w:r>
          </w:p>
        </w:tc>
        <w:tc>
          <w:tcPr>
            <w:tcW w:w="356" w:type="pct"/>
            <w:tcBorders>
              <w:top w:val="nil"/>
              <w:left w:val="nil"/>
              <w:bottom w:val="single" w:sz="4" w:space="0" w:color="auto"/>
              <w:right w:val="nil"/>
            </w:tcBorders>
          </w:tcPr>
          <w:p w14:paraId="73EB574B" w14:textId="77777777" w:rsidR="0019205B" w:rsidRPr="008319F4" w:rsidRDefault="0019205B" w:rsidP="00FD7E50">
            <w:pPr>
              <w:spacing w:after="0" w:line="240" w:lineRule="auto"/>
              <w:jc w:val="center"/>
              <w:rPr>
                <w:rFonts w:eastAsia="Times New Roman" w:cs="Calibri"/>
                <w:color w:val="000000"/>
              </w:rPr>
            </w:pPr>
          </w:p>
        </w:tc>
      </w:tr>
    </w:tbl>
    <w:p w14:paraId="4089D306" w14:textId="77777777" w:rsidR="007C6CB2" w:rsidRPr="008319F4" w:rsidRDefault="007C6CB2" w:rsidP="0019205B">
      <w:pPr>
        <w:spacing w:line="240" w:lineRule="auto"/>
        <w:rPr>
          <w:b/>
          <w:lang w:val="en-US"/>
        </w:rPr>
      </w:pPr>
    </w:p>
    <w:p w14:paraId="1964B128" w14:textId="77777777" w:rsidR="0019205B" w:rsidRPr="008319F4" w:rsidRDefault="0019205B" w:rsidP="0019205B">
      <w:pPr>
        <w:spacing w:line="240" w:lineRule="auto"/>
      </w:pPr>
      <w:r w:rsidRPr="008319F4">
        <w:t>Panel B: Value-weighted portfolio average monthly raw returns</w:t>
      </w:r>
    </w:p>
    <w:tbl>
      <w:tblPr>
        <w:tblW w:w="5000" w:type="pct"/>
        <w:tblLook w:val="04A0" w:firstRow="1" w:lastRow="0" w:firstColumn="1" w:lastColumn="0" w:noHBand="0" w:noVBand="1"/>
      </w:tblPr>
      <w:tblGrid>
        <w:gridCol w:w="1631"/>
        <w:gridCol w:w="1832"/>
        <w:gridCol w:w="973"/>
        <w:gridCol w:w="834"/>
        <w:gridCol w:w="834"/>
        <w:gridCol w:w="834"/>
        <w:gridCol w:w="834"/>
        <w:gridCol w:w="833"/>
        <w:gridCol w:w="833"/>
        <w:gridCol w:w="833"/>
        <w:gridCol w:w="833"/>
        <w:gridCol w:w="1137"/>
        <w:gridCol w:w="1216"/>
        <w:gridCol w:w="717"/>
      </w:tblGrid>
      <w:tr w:rsidR="0019205B" w:rsidRPr="008319F4" w14:paraId="2931F917" w14:textId="77777777" w:rsidTr="007C6CB2">
        <w:trPr>
          <w:trHeight w:val="300"/>
        </w:trPr>
        <w:tc>
          <w:tcPr>
            <w:tcW w:w="575" w:type="pct"/>
            <w:tcBorders>
              <w:top w:val="single" w:sz="4" w:space="0" w:color="auto"/>
              <w:left w:val="nil"/>
              <w:bottom w:val="single" w:sz="4" w:space="0" w:color="auto"/>
              <w:right w:val="nil"/>
            </w:tcBorders>
            <w:vAlign w:val="center"/>
            <w:hideMark/>
          </w:tcPr>
          <w:p w14:paraId="46ED0573"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Proxy</w:t>
            </w:r>
          </w:p>
        </w:tc>
        <w:tc>
          <w:tcPr>
            <w:tcW w:w="646" w:type="pct"/>
            <w:tcBorders>
              <w:top w:val="single" w:sz="4" w:space="0" w:color="auto"/>
              <w:left w:val="nil"/>
              <w:bottom w:val="single" w:sz="4" w:space="0" w:color="auto"/>
              <w:right w:val="nil"/>
            </w:tcBorders>
            <w:vAlign w:val="center"/>
            <w:hideMark/>
          </w:tcPr>
          <w:p w14:paraId="0DF6F648"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 type</w:t>
            </w:r>
          </w:p>
        </w:tc>
        <w:tc>
          <w:tcPr>
            <w:tcW w:w="343" w:type="pct"/>
            <w:tcBorders>
              <w:top w:val="single" w:sz="4" w:space="0" w:color="auto"/>
              <w:left w:val="nil"/>
              <w:bottom w:val="single" w:sz="4" w:space="0" w:color="auto"/>
              <w:right w:val="nil"/>
            </w:tcBorders>
            <w:vAlign w:val="center"/>
            <w:hideMark/>
          </w:tcPr>
          <w:p w14:paraId="5652D20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1(Low)</w:t>
            </w:r>
          </w:p>
        </w:tc>
        <w:tc>
          <w:tcPr>
            <w:tcW w:w="294" w:type="pct"/>
            <w:tcBorders>
              <w:top w:val="single" w:sz="4" w:space="0" w:color="auto"/>
              <w:left w:val="nil"/>
              <w:bottom w:val="single" w:sz="4" w:space="0" w:color="auto"/>
              <w:right w:val="nil"/>
            </w:tcBorders>
            <w:vAlign w:val="center"/>
            <w:hideMark/>
          </w:tcPr>
          <w:p w14:paraId="4250B814"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p>
        </w:tc>
        <w:tc>
          <w:tcPr>
            <w:tcW w:w="294" w:type="pct"/>
            <w:tcBorders>
              <w:top w:val="single" w:sz="4" w:space="0" w:color="auto"/>
              <w:left w:val="nil"/>
              <w:bottom w:val="single" w:sz="4" w:space="0" w:color="auto"/>
              <w:right w:val="nil"/>
            </w:tcBorders>
            <w:vAlign w:val="center"/>
            <w:hideMark/>
          </w:tcPr>
          <w:p w14:paraId="2DB2A71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p>
        </w:tc>
        <w:tc>
          <w:tcPr>
            <w:tcW w:w="294" w:type="pct"/>
            <w:tcBorders>
              <w:top w:val="single" w:sz="4" w:space="0" w:color="auto"/>
              <w:left w:val="nil"/>
              <w:bottom w:val="single" w:sz="4" w:space="0" w:color="auto"/>
              <w:right w:val="nil"/>
            </w:tcBorders>
            <w:vAlign w:val="center"/>
            <w:hideMark/>
          </w:tcPr>
          <w:p w14:paraId="39BFFBD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p>
        </w:tc>
        <w:tc>
          <w:tcPr>
            <w:tcW w:w="294" w:type="pct"/>
            <w:tcBorders>
              <w:top w:val="single" w:sz="4" w:space="0" w:color="auto"/>
              <w:left w:val="nil"/>
              <w:bottom w:val="single" w:sz="4" w:space="0" w:color="auto"/>
              <w:right w:val="nil"/>
            </w:tcBorders>
            <w:vAlign w:val="center"/>
            <w:hideMark/>
          </w:tcPr>
          <w:p w14:paraId="152C1CB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w:t>
            </w:r>
          </w:p>
        </w:tc>
        <w:tc>
          <w:tcPr>
            <w:tcW w:w="294" w:type="pct"/>
            <w:tcBorders>
              <w:top w:val="single" w:sz="4" w:space="0" w:color="auto"/>
              <w:left w:val="nil"/>
              <w:bottom w:val="single" w:sz="4" w:space="0" w:color="auto"/>
              <w:right w:val="nil"/>
            </w:tcBorders>
            <w:vAlign w:val="center"/>
            <w:hideMark/>
          </w:tcPr>
          <w:p w14:paraId="5856CDF5"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6</w:t>
            </w:r>
          </w:p>
        </w:tc>
        <w:tc>
          <w:tcPr>
            <w:tcW w:w="294" w:type="pct"/>
            <w:tcBorders>
              <w:top w:val="single" w:sz="4" w:space="0" w:color="auto"/>
              <w:left w:val="nil"/>
              <w:bottom w:val="single" w:sz="4" w:space="0" w:color="auto"/>
              <w:right w:val="nil"/>
            </w:tcBorders>
            <w:vAlign w:val="center"/>
            <w:hideMark/>
          </w:tcPr>
          <w:p w14:paraId="1528074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7</w:t>
            </w:r>
          </w:p>
        </w:tc>
        <w:tc>
          <w:tcPr>
            <w:tcW w:w="294" w:type="pct"/>
            <w:tcBorders>
              <w:top w:val="single" w:sz="4" w:space="0" w:color="auto"/>
              <w:left w:val="nil"/>
              <w:bottom w:val="single" w:sz="4" w:space="0" w:color="auto"/>
              <w:right w:val="nil"/>
            </w:tcBorders>
            <w:vAlign w:val="center"/>
            <w:hideMark/>
          </w:tcPr>
          <w:p w14:paraId="3BACB98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8</w:t>
            </w:r>
          </w:p>
        </w:tc>
        <w:tc>
          <w:tcPr>
            <w:tcW w:w="294" w:type="pct"/>
            <w:tcBorders>
              <w:top w:val="single" w:sz="4" w:space="0" w:color="auto"/>
              <w:left w:val="nil"/>
              <w:bottom w:val="single" w:sz="4" w:space="0" w:color="auto"/>
              <w:right w:val="nil"/>
            </w:tcBorders>
            <w:vAlign w:val="center"/>
            <w:hideMark/>
          </w:tcPr>
          <w:p w14:paraId="6C56AF2F"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9</w:t>
            </w:r>
          </w:p>
        </w:tc>
        <w:tc>
          <w:tcPr>
            <w:tcW w:w="401" w:type="pct"/>
            <w:tcBorders>
              <w:top w:val="single" w:sz="4" w:space="0" w:color="auto"/>
              <w:left w:val="nil"/>
              <w:bottom w:val="single" w:sz="4" w:space="0" w:color="auto"/>
              <w:right w:val="nil"/>
            </w:tcBorders>
            <w:vAlign w:val="center"/>
            <w:hideMark/>
          </w:tcPr>
          <w:p w14:paraId="548B85E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10(High)</w:t>
            </w:r>
          </w:p>
        </w:tc>
        <w:tc>
          <w:tcPr>
            <w:tcW w:w="429" w:type="pct"/>
            <w:tcBorders>
              <w:top w:val="single" w:sz="4" w:space="0" w:color="auto"/>
              <w:left w:val="nil"/>
              <w:bottom w:val="single" w:sz="4" w:space="0" w:color="auto"/>
              <w:right w:val="nil"/>
            </w:tcBorders>
            <w:shd w:val="clear" w:color="auto" w:fill="auto"/>
            <w:vAlign w:val="center"/>
            <w:hideMark/>
          </w:tcPr>
          <w:p w14:paraId="079DA58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Diff</w:t>
            </w:r>
            <w:r w:rsidRPr="008319F4">
              <w:rPr>
                <w:rFonts w:eastAsia="Times New Roman" w:cs="Calibri"/>
                <w:color w:val="000000"/>
              </w:rPr>
              <w:br/>
              <w:t>(1-10)</w:t>
            </w:r>
          </w:p>
        </w:tc>
        <w:tc>
          <w:tcPr>
            <w:tcW w:w="253" w:type="pct"/>
            <w:tcBorders>
              <w:top w:val="single" w:sz="4" w:space="0" w:color="auto"/>
              <w:left w:val="nil"/>
              <w:bottom w:val="single" w:sz="4" w:space="0" w:color="auto"/>
              <w:right w:val="nil"/>
            </w:tcBorders>
            <w:vAlign w:val="center"/>
            <w:hideMark/>
          </w:tcPr>
          <w:p w14:paraId="45E2CF2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t</w:t>
            </w:r>
          </w:p>
        </w:tc>
      </w:tr>
      <w:tr w:rsidR="0019205B" w:rsidRPr="008319F4" w14:paraId="650A810F" w14:textId="77777777" w:rsidTr="007C6CB2">
        <w:trPr>
          <w:trHeight w:val="300"/>
        </w:trPr>
        <w:tc>
          <w:tcPr>
            <w:tcW w:w="575" w:type="pct"/>
            <w:tcBorders>
              <w:top w:val="single" w:sz="4" w:space="0" w:color="auto"/>
              <w:left w:val="nil"/>
              <w:bottom w:val="nil"/>
              <w:right w:val="nil"/>
            </w:tcBorders>
            <w:shd w:val="clear" w:color="auto" w:fill="auto"/>
            <w:vAlign w:val="center"/>
            <w:hideMark/>
          </w:tcPr>
          <w:p w14:paraId="7D2DACBC"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RE</w:t>
            </w:r>
          </w:p>
        </w:tc>
        <w:tc>
          <w:tcPr>
            <w:tcW w:w="646" w:type="pct"/>
            <w:tcBorders>
              <w:top w:val="single" w:sz="4" w:space="0" w:color="auto"/>
              <w:left w:val="nil"/>
              <w:bottom w:val="nil"/>
              <w:right w:val="nil"/>
            </w:tcBorders>
            <w:shd w:val="clear" w:color="auto" w:fill="auto"/>
            <w:noWrap/>
            <w:vAlign w:val="center"/>
            <w:hideMark/>
          </w:tcPr>
          <w:p w14:paraId="5C48B024"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43" w:type="pct"/>
            <w:tcBorders>
              <w:top w:val="single" w:sz="4" w:space="0" w:color="auto"/>
              <w:left w:val="nil"/>
              <w:bottom w:val="nil"/>
              <w:right w:val="nil"/>
            </w:tcBorders>
            <w:shd w:val="clear" w:color="auto" w:fill="auto"/>
            <w:vAlign w:val="center"/>
            <w:hideMark/>
          </w:tcPr>
          <w:p w14:paraId="6B9A3B0E" w14:textId="0E4AE1D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8</w:t>
            </w:r>
          </w:p>
        </w:tc>
        <w:tc>
          <w:tcPr>
            <w:tcW w:w="294" w:type="pct"/>
            <w:tcBorders>
              <w:top w:val="single" w:sz="4" w:space="0" w:color="auto"/>
              <w:left w:val="nil"/>
              <w:bottom w:val="nil"/>
              <w:right w:val="nil"/>
            </w:tcBorders>
            <w:shd w:val="clear" w:color="auto" w:fill="auto"/>
            <w:vAlign w:val="center"/>
            <w:hideMark/>
          </w:tcPr>
          <w:p w14:paraId="16D86A18" w14:textId="58B3AC4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7</w:t>
            </w:r>
          </w:p>
        </w:tc>
        <w:tc>
          <w:tcPr>
            <w:tcW w:w="294" w:type="pct"/>
            <w:tcBorders>
              <w:top w:val="single" w:sz="4" w:space="0" w:color="auto"/>
              <w:left w:val="nil"/>
              <w:bottom w:val="nil"/>
              <w:right w:val="nil"/>
            </w:tcBorders>
            <w:shd w:val="clear" w:color="auto" w:fill="auto"/>
            <w:vAlign w:val="center"/>
            <w:hideMark/>
          </w:tcPr>
          <w:p w14:paraId="076AE4AD" w14:textId="3F95A85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single" w:sz="4" w:space="0" w:color="auto"/>
              <w:left w:val="nil"/>
              <w:bottom w:val="nil"/>
              <w:right w:val="nil"/>
            </w:tcBorders>
            <w:shd w:val="clear" w:color="auto" w:fill="auto"/>
            <w:vAlign w:val="center"/>
            <w:hideMark/>
          </w:tcPr>
          <w:p w14:paraId="2AD37F0A" w14:textId="22376C7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single" w:sz="4" w:space="0" w:color="auto"/>
              <w:left w:val="nil"/>
              <w:bottom w:val="nil"/>
              <w:right w:val="nil"/>
            </w:tcBorders>
            <w:shd w:val="clear" w:color="auto" w:fill="auto"/>
            <w:vAlign w:val="center"/>
            <w:hideMark/>
          </w:tcPr>
          <w:p w14:paraId="0EBD7355" w14:textId="6ECD2DF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single" w:sz="4" w:space="0" w:color="auto"/>
              <w:left w:val="nil"/>
              <w:bottom w:val="nil"/>
              <w:right w:val="nil"/>
            </w:tcBorders>
            <w:shd w:val="clear" w:color="auto" w:fill="auto"/>
            <w:vAlign w:val="center"/>
            <w:hideMark/>
          </w:tcPr>
          <w:p w14:paraId="14FE4F69" w14:textId="35E7BE5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294" w:type="pct"/>
            <w:tcBorders>
              <w:top w:val="single" w:sz="4" w:space="0" w:color="auto"/>
              <w:left w:val="nil"/>
              <w:bottom w:val="nil"/>
              <w:right w:val="nil"/>
            </w:tcBorders>
            <w:shd w:val="clear" w:color="auto" w:fill="auto"/>
            <w:vAlign w:val="center"/>
            <w:hideMark/>
          </w:tcPr>
          <w:p w14:paraId="7B392637" w14:textId="6285450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294" w:type="pct"/>
            <w:tcBorders>
              <w:top w:val="single" w:sz="4" w:space="0" w:color="auto"/>
              <w:left w:val="nil"/>
              <w:bottom w:val="nil"/>
              <w:right w:val="nil"/>
            </w:tcBorders>
            <w:shd w:val="clear" w:color="auto" w:fill="auto"/>
            <w:vAlign w:val="center"/>
            <w:hideMark/>
          </w:tcPr>
          <w:p w14:paraId="5A7BF93A" w14:textId="07CDD8E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294" w:type="pct"/>
            <w:tcBorders>
              <w:top w:val="single" w:sz="4" w:space="0" w:color="auto"/>
              <w:left w:val="nil"/>
              <w:bottom w:val="nil"/>
              <w:right w:val="nil"/>
            </w:tcBorders>
            <w:shd w:val="clear" w:color="auto" w:fill="auto"/>
            <w:vAlign w:val="center"/>
            <w:hideMark/>
          </w:tcPr>
          <w:p w14:paraId="6114F977" w14:textId="6EE0298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401" w:type="pct"/>
            <w:tcBorders>
              <w:top w:val="single" w:sz="4" w:space="0" w:color="auto"/>
              <w:left w:val="nil"/>
              <w:bottom w:val="nil"/>
              <w:right w:val="nil"/>
            </w:tcBorders>
            <w:shd w:val="clear" w:color="auto" w:fill="auto"/>
            <w:vAlign w:val="center"/>
            <w:hideMark/>
          </w:tcPr>
          <w:p w14:paraId="7CB32A6F" w14:textId="44E6E99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8</w:t>
            </w:r>
          </w:p>
        </w:tc>
        <w:tc>
          <w:tcPr>
            <w:tcW w:w="429" w:type="pct"/>
            <w:tcBorders>
              <w:top w:val="single" w:sz="4" w:space="0" w:color="auto"/>
              <w:left w:val="nil"/>
              <w:bottom w:val="nil"/>
              <w:right w:val="nil"/>
            </w:tcBorders>
            <w:shd w:val="clear" w:color="auto" w:fill="auto"/>
            <w:noWrap/>
            <w:vAlign w:val="center"/>
            <w:hideMark/>
          </w:tcPr>
          <w:p w14:paraId="006FED39" w14:textId="4D2445AB" w:rsidR="0019205B" w:rsidRPr="008319F4" w:rsidRDefault="00221846"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1</w:t>
            </w:r>
          </w:p>
        </w:tc>
        <w:tc>
          <w:tcPr>
            <w:tcW w:w="253" w:type="pct"/>
            <w:tcBorders>
              <w:top w:val="single" w:sz="4" w:space="0" w:color="auto"/>
              <w:left w:val="nil"/>
              <w:bottom w:val="nil"/>
              <w:right w:val="nil"/>
            </w:tcBorders>
            <w:shd w:val="clear" w:color="auto" w:fill="auto"/>
            <w:noWrap/>
            <w:vAlign w:val="center"/>
            <w:hideMark/>
          </w:tcPr>
          <w:p w14:paraId="60EC51C9"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-0.27</w:t>
            </w:r>
          </w:p>
        </w:tc>
      </w:tr>
      <w:tr w:rsidR="0019205B" w:rsidRPr="008319F4" w14:paraId="25842876" w14:textId="77777777" w:rsidTr="007C6CB2">
        <w:trPr>
          <w:trHeight w:val="300"/>
        </w:trPr>
        <w:tc>
          <w:tcPr>
            <w:tcW w:w="575" w:type="pct"/>
            <w:tcBorders>
              <w:top w:val="nil"/>
              <w:left w:val="nil"/>
              <w:bottom w:val="nil"/>
              <w:right w:val="nil"/>
            </w:tcBorders>
            <w:shd w:val="clear" w:color="auto" w:fill="auto"/>
            <w:vAlign w:val="center"/>
            <w:hideMark/>
          </w:tcPr>
          <w:p w14:paraId="5F05F71C"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nil"/>
              <w:right w:val="nil"/>
            </w:tcBorders>
            <w:shd w:val="clear" w:color="auto" w:fill="auto"/>
            <w:noWrap/>
            <w:vAlign w:val="center"/>
            <w:hideMark/>
          </w:tcPr>
          <w:p w14:paraId="02E5E523"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43" w:type="pct"/>
            <w:tcBorders>
              <w:top w:val="nil"/>
              <w:left w:val="nil"/>
              <w:bottom w:val="nil"/>
              <w:right w:val="nil"/>
            </w:tcBorders>
            <w:shd w:val="clear" w:color="auto" w:fill="auto"/>
            <w:vAlign w:val="center"/>
            <w:hideMark/>
          </w:tcPr>
          <w:p w14:paraId="48941BC6" w14:textId="7712947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74FA4D46" w14:textId="54073A8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221846">
              <w:rPr>
                <w:rFonts w:eastAsia="Times New Roman" w:cs="Calibri"/>
                <w:color w:val="000000"/>
              </w:rPr>
              <w:t>.</w:t>
            </w:r>
            <w:r w:rsidRPr="008319F4">
              <w:rPr>
                <w:rFonts w:eastAsia="Times New Roman" w:cs="Calibri"/>
                <w:color w:val="000000"/>
              </w:rPr>
              <w:t>5</w:t>
            </w:r>
          </w:p>
        </w:tc>
        <w:tc>
          <w:tcPr>
            <w:tcW w:w="294" w:type="pct"/>
            <w:tcBorders>
              <w:top w:val="nil"/>
              <w:left w:val="nil"/>
              <w:bottom w:val="nil"/>
              <w:right w:val="nil"/>
            </w:tcBorders>
            <w:shd w:val="clear" w:color="auto" w:fill="auto"/>
            <w:vAlign w:val="center"/>
            <w:hideMark/>
          </w:tcPr>
          <w:p w14:paraId="41737F2D" w14:textId="2B1BF05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221846">
              <w:rPr>
                <w:rFonts w:eastAsia="Times New Roman" w:cs="Calibri"/>
                <w:color w:val="000000"/>
              </w:rPr>
              <w:t>.</w:t>
            </w:r>
            <w:r w:rsidRPr="008319F4">
              <w:rPr>
                <w:rFonts w:eastAsia="Times New Roman" w:cs="Calibri"/>
                <w:color w:val="000000"/>
              </w:rPr>
              <w:t>4</w:t>
            </w:r>
          </w:p>
        </w:tc>
        <w:tc>
          <w:tcPr>
            <w:tcW w:w="294" w:type="pct"/>
            <w:tcBorders>
              <w:top w:val="nil"/>
              <w:left w:val="nil"/>
              <w:bottom w:val="nil"/>
              <w:right w:val="nil"/>
            </w:tcBorders>
            <w:shd w:val="clear" w:color="auto" w:fill="auto"/>
            <w:vAlign w:val="center"/>
            <w:hideMark/>
          </w:tcPr>
          <w:p w14:paraId="06E2A7DC" w14:textId="214192D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9</w:t>
            </w:r>
          </w:p>
        </w:tc>
        <w:tc>
          <w:tcPr>
            <w:tcW w:w="294" w:type="pct"/>
            <w:tcBorders>
              <w:top w:val="nil"/>
              <w:left w:val="nil"/>
              <w:bottom w:val="nil"/>
              <w:right w:val="nil"/>
            </w:tcBorders>
            <w:shd w:val="clear" w:color="auto" w:fill="auto"/>
            <w:vAlign w:val="center"/>
            <w:hideMark/>
          </w:tcPr>
          <w:p w14:paraId="404E537A" w14:textId="73169FF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.0</w:t>
            </w:r>
          </w:p>
        </w:tc>
        <w:tc>
          <w:tcPr>
            <w:tcW w:w="294" w:type="pct"/>
            <w:tcBorders>
              <w:top w:val="nil"/>
              <w:left w:val="nil"/>
              <w:bottom w:val="nil"/>
              <w:right w:val="nil"/>
            </w:tcBorders>
            <w:shd w:val="clear" w:color="auto" w:fill="auto"/>
            <w:vAlign w:val="center"/>
            <w:hideMark/>
          </w:tcPr>
          <w:p w14:paraId="17E53DC6" w14:textId="590CD81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507F8F39" w14:textId="7F62CB4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4</w:t>
            </w:r>
          </w:p>
        </w:tc>
        <w:tc>
          <w:tcPr>
            <w:tcW w:w="294" w:type="pct"/>
            <w:tcBorders>
              <w:top w:val="nil"/>
              <w:left w:val="nil"/>
              <w:bottom w:val="nil"/>
              <w:right w:val="nil"/>
            </w:tcBorders>
            <w:shd w:val="clear" w:color="auto" w:fill="auto"/>
            <w:vAlign w:val="center"/>
            <w:hideMark/>
          </w:tcPr>
          <w:p w14:paraId="48A663AF" w14:textId="6E0D7D9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324B1295" w14:textId="6B85F57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5</w:t>
            </w:r>
          </w:p>
        </w:tc>
        <w:tc>
          <w:tcPr>
            <w:tcW w:w="401" w:type="pct"/>
            <w:tcBorders>
              <w:top w:val="nil"/>
              <w:left w:val="nil"/>
              <w:bottom w:val="nil"/>
              <w:right w:val="nil"/>
            </w:tcBorders>
            <w:shd w:val="clear" w:color="auto" w:fill="auto"/>
            <w:vAlign w:val="center"/>
            <w:hideMark/>
          </w:tcPr>
          <w:p w14:paraId="0514A816" w14:textId="657A238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5</w:t>
            </w:r>
          </w:p>
        </w:tc>
        <w:tc>
          <w:tcPr>
            <w:tcW w:w="429" w:type="pct"/>
            <w:tcBorders>
              <w:top w:val="nil"/>
              <w:left w:val="nil"/>
              <w:bottom w:val="nil"/>
              <w:right w:val="nil"/>
            </w:tcBorders>
            <w:shd w:val="clear" w:color="auto" w:fill="auto"/>
            <w:vAlign w:val="center"/>
            <w:hideMark/>
          </w:tcPr>
          <w:p w14:paraId="04811230" w14:textId="0CE4168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253" w:type="pct"/>
            <w:tcBorders>
              <w:top w:val="nil"/>
              <w:left w:val="nil"/>
              <w:bottom w:val="nil"/>
              <w:right w:val="nil"/>
            </w:tcBorders>
            <w:shd w:val="clear" w:color="auto" w:fill="auto"/>
            <w:vAlign w:val="center"/>
            <w:hideMark/>
          </w:tcPr>
          <w:p w14:paraId="66A365C5"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5.01</w:t>
            </w:r>
          </w:p>
        </w:tc>
      </w:tr>
      <w:tr w:rsidR="0019205B" w:rsidRPr="008319F4" w14:paraId="6948539C" w14:textId="77777777" w:rsidTr="007C6CB2">
        <w:trPr>
          <w:trHeight w:val="300"/>
        </w:trPr>
        <w:tc>
          <w:tcPr>
            <w:tcW w:w="575" w:type="pct"/>
            <w:tcBorders>
              <w:top w:val="nil"/>
              <w:left w:val="nil"/>
              <w:bottom w:val="nil"/>
              <w:right w:val="nil"/>
            </w:tcBorders>
            <w:shd w:val="clear" w:color="auto" w:fill="auto"/>
            <w:vAlign w:val="center"/>
            <w:hideMark/>
          </w:tcPr>
          <w:p w14:paraId="5A10EDF0"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nil"/>
              <w:right w:val="nil"/>
            </w:tcBorders>
            <w:shd w:val="clear" w:color="auto" w:fill="auto"/>
            <w:noWrap/>
            <w:vAlign w:val="center"/>
            <w:hideMark/>
          </w:tcPr>
          <w:p w14:paraId="5684FD6F"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43" w:type="pct"/>
            <w:tcBorders>
              <w:top w:val="nil"/>
              <w:left w:val="nil"/>
              <w:bottom w:val="nil"/>
              <w:right w:val="nil"/>
            </w:tcBorders>
            <w:shd w:val="clear" w:color="auto" w:fill="auto"/>
            <w:vAlign w:val="center"/>
            <w:hideMark/>
          </w:tcPr>
          <w:p w14:paraId="46FB5EB8"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346D990D"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6B956A40"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5E1A13FB"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297D7241"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4C94FAEF"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0A6B7C11"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58835877"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41E5A13A" w14:textId="77777777" w:rsidR="0019205B" w:rsidRPr="008319F4" w:rsidRDefault="0019205B" w:rsidP="00FD7E50">
            <w:pPr>
              <w:spacing w:after="0" w:line="240" w:lineRule="auto"/>
              <w:jc w:val="center"/>
              <w:rPr>
                <w:rFonts w:eastAsia="Times New Roman" w:cs="Calibri"/>
                <w:color w:val="000000"/>
              </w:rPr>
            </w:pPr>
          </w:p>
        </w:tc>
        <w:tc>
          <w:tcPr>
            <w:tcW w:w="401" w:type="pct"/>
            <w:tcBorders>
              <w:top w:val="nil"/>
              <w:left w:val="nil"/>
              <w:bottom w:val="nil"/>
              <w:right w:val="nil"/>
            </w:tcBorders>
            <w:shd w:val="clear" w:color="auto" w:fill="auto"/>
            <w:vAlign w:val="center"/>
            <w:hideMark/>
          </w:tcPr>
          <w:p w14:paraId="2166F94D" w14:textId="77777777" w:rsidR="0019205B" w:rsidRPr="008319F4" w:rsidRDefault="0019205B" w:rsidP="00FD7E50">
            <w:pPr>
              <w:spacing w:after="0" w:line="240" w:lineRule="auto"/>
              <w:jc w:val="center"/>
              <w:rPr>
                <w:rFonts w:eastAsia="Times New Roman" w:cs="Calibri"/>
                <w:color w:val="000000"/>
              </w:rPr>
            </w:pPr>
          </w:p>
        </w:tc>
        <w:tc>
          <w:tcPr>
            <w:tcW w:w="429" w:type="pct"/>
            <w:tcBorders>
              <w:top w:val="nil"/>
              <w:left w:val="nil"/>
              <w:bottom w:val="nil"/>
              <w:right w:val="nil"/>
            </w:tcBorders>
            <w:shd w:val="clear" w:color="auto" w:fill="auto"/>
            <w:vAlign w:val="center"/>
            <w:hideMark/>
          </w:tcPr>
          <w:p w14:paraId="0676C08A" w14:textId="1883066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253" w:type="pct"/>
            <w:tcBorders>
              <w:top w:val="nil"/>
              <w:left w:val="nil"/>
              <w:bottom w:val="nil"/>
              <w:right w:val="nil"/>
            </w:tcBorders>
            <w:shd w:val="clear" w:color="auto" w:fill="auto"/>
            <w:vAlign w:val="center"/>
            <w:hideMark/>
          </w:tcPr>
          <w:p w14:paraId="14C51F24"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5.13</w:t>
            </w:r>
          </w:p>
        </w:tc>
      </w:tr>
      <w:tr w:rsidR="0019205B" w:rsidRPr="008319F4" w14:paraId="76816AE0" w14:textId="77777777" w:rsidTr="007C6CB2">
        <w:trPr>
          <w:trHeight w:val="300"/>
        </w:trPr>
        <w:tc>
          <w:tcPr>
            <w:tcW w:w="575" w:type="pct"/>
            <w:tcBorders>
              <w:top w:val="nil"/>
              <w:left w:val="nil"/>
              <w:bottom w:val="nil"/>
              <w:right w:val="nil"/>
            </w:tcBorders>
            <w:shd w:val="clear" w:color="auto" w:fill="auto"/>
            <w:vAlign w:val="center"/>
            <w:hideMark/>
          </w:tcPr>
          <w:p w14:paraId="0BBFEB56"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DIV</w:t>
            </w:r>
          </w:p>
        </w:tc>
        <w:tc>
          <w:tcPr>
            <w:tcW w:w="646" w:type="pct"/>
            <w:tcBorders>
              <w:top w:val="nil"/>
              <w:left w:val="nil"/>
              <w:bottom w:val="nil"/>
              <w:right w:val="nil"/>
            </w:tcBorders>
            <w:shd w:val="clear" w:color="auto" w:fill="auto"/>
            <w:noWrap/>
            <w:vAlign w:val="center"/>
            <w:hideMark/>
          </w:tcPr>
          <w:p w14:paraId="5CB40B39"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43" w:type="pct"/>
            <w:tcBorders>
              <w:top w:val="nil"/>
              <w:left w:val="nil"/>
              <w:bottom w:val="nil"/>
              <w:right w:val="nil"/>
            </w:tcBorders>
            <w:shd w:val="clear" w:color="auto" w:fill="auto"/>
            <w:vAlign w:val="center"/>
            <w:hideMark/>
          </w:tcPr>
          <w:p w14:paraId="021F6067" w14:textId="0002F48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294" w:type="pct"/>
            <w:tcBorders>
              <w:top w:val="nil"/>
              <w:left w:val="nil"/>
              <w:bottom w:val="nil"/>
              <w:right w:val="nil"/>
            </w:tcBorders>
            <w:shd w:val="clear" w:color="auto" w:fill="auto"/>
            <w:vAlign w:val="center"/>
            <w:hideMark/>
          </w:tcPr>
          <w:p w14:paraId="08C208F7" w14:textId="002F5BF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294" w:type="pct"/>
            <w:tcBorders>
              <w:top w:val="nil"/>
              <w:left w:val="nil"/>
              <w:bottom w:val="nil"/>
              <w:right w:val="nil"/>
            </w:tcBorders>
            <w:shd w:val="clear" w:color="auto" w:fill="auto"/>
            <w:vAlign w:val="center"/>
            <w:hideMark/>
          </w:tcPr>
          <w:p w14:paraId="16DEB265" w14:textId="1C6783E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nil"/>
              <w:left w:val="nil"/>
              <w:bottom w:val="nil"/>
              <w:right w:val="nil"/>
            </w:tcBorders>
            <w:shd w:val="clear" w:color="auto" w:fill="auto"/>
            <w:vAlign w:val="center"/>
            <w:hideMark/>
          </w:tcPr>
          <w:p w14:paraId="786E7BCF" w14:textId="3C959F7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4190AED2" w14:textId="21C5976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2</w:t>
            </w:r>
          </w:p>
        </w:tc>
        <w:tc>
          <w:tcPr>
            <w:tcW w:w="294" w:type="pct"/>
            <w:tcBorders>
              <w:top w:val="nil"/>
              <w:left w:val="nil"/>
              <w:bottom w:val="nil"/>
              <w:right w:val="nil"/>
            </w:tcBorders>
            <w:shd w:val="clear" w:color="auto" w:fill="auto"/>
            <w:vAlign w:val="center"/>
            <w:hideMark/>
          </w:tcPr>
          <w:p w14:paraId="668F7EAF" w14:textId="719025F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2</w:t>
            </w:r>
          </w:p>
        </w:tc>
        <w:tc>
          <w:tcPr>
            <w:tcW w:w="294" w:type="pct"/>
            <w:tcBorders>
              <w:top w:val="nil"/>
              <w:left w:val="nil"/>
              <w:bottom w:val="nil"/>
              <w:right w:val="nil"/>
            </w:tcBorders>
            <w:shd w:val="clear" w:color="auto" w:fill="auto"/>
            <w:vAlign w:val="center"/>
            <w:hideMark/>
          </w:tcPr>
          <w:p w14:paraId="29FBFBF5" w14:textId="3E15CB2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2</w:t>
            </w:r>
          </w:p>
        </w:tc>
        <w:tc>
          <w:tcPr>
            <w:tcW w:w="294" w:type="pct"/>
            <w:tcBorders>
              <w:top w:val="nil"/>
              <w:left w:val="nil"/>
              <w:bottom w:val="nil"/>
              <w:right w:val="nil"/>
            </w:tcBorders>
            <w:shd w:val="clear" w:color="auto" w:fill="auto"/>
            <w:vAlign w:val="center"/>
            <w:hideMark/>
          </w:tcPr>
          <w:p w14:paraId="42FDAD90" w14:textId="65142AB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1</w:t>
            </w:r>
          </w:p>
        </w:tc>
        <w:tc>
          <w:tcPr>
            <w:tcW w:w="294" w:type="pct"/>
            <w:tcBorders>
              <w:top w:val="nil"/>
              <w:left w:val="nil"/>
              <w:bottom w:val="nil"/>
              <w:right w:val="nil"/>
            </w:tcBorders>
            <w:shd w:val="clear" w:color="auto" w:fill="auto"/>
            <w:vAlign w:val="center"/>
            <w:hideMark/>
          </w:tcPr>
          <w:p w14:paraId="18F832B3" w14:textId="76BCA21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401" w:type="pct"/>
            <w:tcBorders>
              <w:top w:val="nil"/>
              <w:left w:val="nil"/>
              <w:bottom w:val="nil"/>
              <w:right w:val="nil"/>
            </w:tcBorders>
            <w:shd w:val="clear" w:color="auto" w:fill="auto"/>
            <w:vAlign w:val="center"/>
            <w:hideMark/>
          </w:tcPr>
          <w:p w14:paraId="04BDB826" w14:textId="7FA910F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2</w:t>
            </w:r>
          </w:p>
        </w:tc>
        <w:tc>
          <w:tcPr>
            <w:tcW w:w="429" w:type="pct"/>
            <w:tcBorders>
              <w:top w:val="nil"/>
              <w:left w:val="nil"/>
              <w:bottom w:val="nil"/>
              <w:right w:val="nil"/>
            </w:tcBorders>
            <w:shd w:val="clear" w:color="auto" w:fill="auto"/>
            <w:vAlign w:val="center"/>
            <w:hideMark/>
          </w:tcPr>
          <w:p w14:paraId="7D4E4957" w14:textId="7170439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221846">
              <w:rPr>
                <w:rFonts w:eastAsia="Times New Roman" w:cs="Calibri"/>
                <w:color w:val="000000"/>
              </w:rPr>
              <w:t>.</w:t>
            </w:r>
            <w:r w:rsidRPr="008319F4">
              <w:rPr>
                <w:rFonts w:eastAsia="Times New Roman" w:cs="Calibri"/>
                <w:color w:val="000000"/>
              </w:rPr>
              <w:t>3</w:t>
            </w:r>
          </w:p>
        </w:tc>
        <w:tc>
          <w:tcPr>
            <w:tcW w:w="253" w:type="pct"/>
            <w:tcBorders>
              <w:top w:val="nil"/>
              <w:left w:val="nil"/>
              <w:bottom w:val="nil"/>
              <w:right w:val="nil"/>
            </w:tcBorders>
            <w:shd w:val="clear" w:color="auto" w:fill="auto"/>
            <w:vAlign w:val="center"/>
            <w:hideMark/>
          </w:tcPr>
          <w:p w14:paraId="3F609002"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1.51</w:t>
            </w:r>
          </w:p>
        </w:tc>
      </w:tr>
      <w:tr w:rsidR="0019205B" w:rsidRPr="008319F4" w14:paraId="13EFE319" w14:textId="77777777" w:rsidTr="007C6CB2">
        <w:trPr>
          <w:trHeight w:val="300"/>
        </w:trPr>
        <w:tc>
          <w:tcPr>
            <w:tcW w:w="575" w:type="pct"/>
            <w:tcBorders>
              <w:top w:val="nil"/>
              <w:left w:val="nil"/>
              <w:bottom w:val="nil"/>
              <w:right w:val="nil"/>
            </w:tcBorders>
            <w:shd w:val="clear" w:color="auto" w:fill="auto"/>
            <w:vAlign w:val="center"/>
            <w:hideMark/>
          </w:tcPr>
          <w:p w14:paraId="5DEDFE85"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nil"/>
              <w:right w:val="nil"/>
            </w:tcBorders>
            <w:shd w:val="clear" w:color="auto" w:fill="auto"/>
            <w:noWrap/>
            <w:vAlign w:val="center"/>
            <w:hideMark/>
          </w:tcPr>
          <w:p w14:paraId="0E4A2AC8"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43" w:type="pct"/>
            <w:tcBorders>
              <w:top w:val="nil"/>
              <w:left w:val="nil"/>
              <w:bottom w:val="nil"/>
              <w:right w:val="nil"/>
            </w:tcBorders>
            <w:shd w:val="clear" w:color="auto" w:fill="auto"/>
            <w:vAlign w:val="center"/>
            <w:hideMark/>
          </w:tcPr>
          <w:p w14:paraId="4E57F4CD" w14:textId="6476296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1F573484" w14:textId="632FF1B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7</w:t>
            </w:r>
          </w:p>
        </w:tc>
        <w:tc>
          <w:tcPr>
            <w:tcW w:w="294" w:type="pct"/>
            <w:tcBorders>
              <w:top w:val="nil"/>
              <w:left w:val="nil"/>
              <w:bottom w:val="nil"/>
              <w:right w:val="nil"/>
            </w:tcBorders>
            <w:shd w:val="clear" w:color="auto" w:fill="auto"/>
            <w:vAlign w:val="center"/>
            <w:hideMark/>
          </w:tcPr>
          <w:p w14:paraId="6F866FD6" w14:textId="57041C4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8</w:t>
            </w:r>
          </w:p>
        </w:tc>
        <w:tc>
          <w:tcPr>
            <w:tcW w:w="294" w:type="pct"/>
            <w:tcBorders>
              <w:top w:val="nil"/>
              <w:left w:val="nil"/>
              <w:bottom w:val="nil"/>
              <w:right w:val="nil"/>
            </w:tcBorders>
            <w:shd w:val="clear" w:color="auto" w:fill="auto"/>
            <w:vAlign w:val="center"/>
            <w:hideMark/>
          </w:tcPr>
          <w:p w14:paraId="137D5450" w14:textId="0A986CE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294" w:type="pct"/>
            <w:tcBorders>
              <w:top w:val="nil"/>
              <w:left w:val="nil"/>
              <w:bottom w:val="nil"/>
              <w:right w:val="nil"/>
            </w:tcBorders>
            <w:shd w:val="clear" w:color="auto" w:fill="auto"/>
            <w:vAlign w:val="center"/>
            <w:hideMark/>
          </w:tcPr>
          <w:p w14:paraId="4A18465F" w14:textId="44D9ACF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294" w:type="pct"/>
            <w:tcBorders>
              <w:top w:val="nil"/>
              <w:left w:val="nil"/>
              <w:bottom w:val="nil"/>
              <w:right w:val="nil"/>
            </w:tcBorders>
            <w:shd w:val="clear" w:color="auto" w:fill="auto"/>
            <w:vAlign w:val="center"/>
            <w:hideMark/>
          </w:tcPr>
          <w:p w14:paraId="20508507" w14:textId="6C84DA1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294" w:type="pct"/>
            <w:tcBorders>
              <w:top w:val="nil"/>
              <w:left w:val="nil"/>
              <w:bottom w:val="nil"/>
              <w:right w:val="nil"/>
            </w:tcBorders>
            <w:shd w:val="clear" w:color="auto" w:fill="auto"/>
            <w:vAlign w:val="center"/>
            <w:hideMark/>
          </w:tcPr>
          <w:p w14:paraId="4C0C2134" w14:textId="3B1E7DD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294" w:type="pct"/>
            <w:tcBorders>
              <w:top w:val="nil"/>
              <w:left w:val="nil"/>
              <w:bottom w:val="nil"/>
              <w:right w:val="nil"/>
            </w:tcBorders>
            <w:shd w:val="clear" w:color="auto" w:fill="auto"/>
            <w:vAlign w:val="center"/>
            <w:hideMark/>
          </w:tcPr>
          <w:p w14:paraId="0862A28F" w14:textId="589DD5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7</w:t>
            </w:r>
          </w:p>
        </w:tc>
        <w:tc>
          <w:tcPr>
            <w:tcW w:w="294" w:type="pct"/>
            <w:tcBorders>
              <w:top w:val="nil"/>
              <w:left w:val="nil"/>
              <w:bottom w:val="nil"/>
              <w:right w:val="nil"/>
            </w:tcBorders>
            <w:shd w:val="clear" w:color="auto" w:fill="auto"/>
            <w:vAlign w:val="center"/>
            <w:hideMark/>
          </w:tcPr>
          <w:p w14:paraId="4B02F32F" w14:textId="47CB4EA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401" w:type="pct"/>
            <w:tcBorders>
              <w:top w:val="nil"/>
              <w:left w:val="nil"/>
              <w:bottom w:val="nil"/>
              <w:right w:val="nil"/>
            </w:tcBorders>
            <w:shd w:val="clear" w:color="auto" w:fill="auto"/>
            <w:vAlign w:val="center"/>
            <w:hideMark/>
          </w:tcPr>
          <w:p w14:paraId="4B38247F" w14:textId="7908DFB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429" w:type="pct"/>
            <w:tcBorders>
              <w:top w:val="nil"/>
              <w:left w:val="nil"/>
              <w:bottom w:val="nil"/>
              <w:right w:val="nil"/>
            </w:tcBorders>
            <w:shd w:val="clear" w:color="auto" w:fill="auto"/>
            <w:vAlign w:val="center"/>
            <w:hideMark/>
          </w:tcPr>
          <w:p w14:paraId="43DCEE7C" w14:textId="2043A42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221846">
              <w:rPr>
                <w:rFonts w:eastAsia="Times New Roman" w:cs="Calibri"/>
                <w:color w:val="000000"/>
              </w:rPr>
              <w:t>.</w:t>
            </w:r>
            <w:r w:rsidRPr="008319F4">
              <w:rPr>
                <w:rFonts w:eastAsia="Times New Roman" w:cs="Calibri"/>
                <w:color w:val="000000"/>
              </w:rPr>
              <w:t>4</w:t>
            </w:r>
          </w:p>
        </w:tc>
        <w:tc>
          <w:tcPr>
            <w:tcW w:w="253" w:type="pct"/>
            <w:tcBorders>
              <w:top w:val="nil"/>
              <w:left w:val="nil"/>
              <w:bottom w:val="nil"/>
              <w:right w:val="nil"/>
            </w:tcBorders>
            <w:shd w:val="clear" w:color="auto" w:fill="auto"/>
            <w:vAlign w:val="center"/>
            <w:hideMark/>
          </w:tcPr>
          <w:p w14:paraId="0DB5D66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1.56</w:t>
            </w:r>
          </w:p>
        </w:tc>
      </w:tr>
      <w:tr w:rsidR="0019205B" w:rsidRPr="008319F4" w14:paraId="243B6B13" w14:textId="77777777" w:rsidTr="007C6CB2">
        <w:trPr>
          <w:trHeight w:val="300"/>
        </w:trPr>
        <w:tc>
          <w:tcPr>
            <w:tcW w:w="575" w:type="pct"/>
            <w:tcBorders>
              <w:top w:val="nil"/>
              <w:left w:val="nil"/>
              <w:bottom w:val="nil"/>
              <w:right w:val="nil"/>
            </w:tcBorders>
            <w:shd w:val="clear" w:color="auto" w:fill="auto"/>
            <w:vAlign w:val="center"/>
            <w:hideMark/>
          </w:tcPr>
          <w:p w14:paraId="74E80534"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nil"/>
              <w:right w:val="nil"/>
            </w:tcBorders>
            <w:shd w:val="clear" w:color="auto" w:fill="auto"/>
            <w:noWrap/>
            <w:vAlign w:val="center"/>
            <w:hideMark/>
          </w:tcPr>
          <w:p w14:paraId="041C94E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43" w:type="pct"/>
            <w:tcBorders>
              <w:top w:val="nil"/>
              <w:left w:val="nil"/>
              <w:bottom w:val="nil"/>
              <w:right w:val="nil"/>
            </w:tcBorders>
            <w:shd w:val="clear" w:color="auto" w:fill="auto"/>
            <w:vAlign w:val="center"/>
            <w:hideMark/>
          </w:tcPr>
          <w:p w14:paraId="578922E1"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430BFE16"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3E1F5E7F"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5478F312"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3F11D793"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2A87FAAB"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3DA84AE9"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7C4EAFD9"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nil"/>
              <w:right w:val="nil"/>
            </w:tcBorders>
            <w:shd w:val="clear" w:color="auto" w:fill="auto"/>
            <w:vAlign w:val="center"/>
            <w:hideMark/>
          </w:tcPr>
          <w:p w14:paraId="71BD048D" w14:textId="77777777" w:rsidR="0019205B" w:rsidRPr="008319F4" w:rsidRDefault="0019205B" w:rsidP="00FD7E50">
            <w:pPr>
              <w:spacing w:after="0" w:line="240" w:lineRule="auto"/>
              <w:jc w:val="center"/>
              <w:rPr>
                <w:rFonts w:eastAsia="Times New Roman" w:cs="Calibri"/>
                <w:color w:val="000000"/>
              </w:rPr>
            </w:pPr>
          </w:p>
        </w:tc>
        <w:tc>
          <w:tcPr>
            <w:tcW w:w="401" w:type="pct"/>
            <w:tcBorders>
              <w:top w:val="nil"/>
              <w:left w:val="nil"/>
              <w:bottom w:val="nil"/>
              <w:right w:val="nil"/>
            </w:tcBorders>
            <w:shd w:val="clear" w:color="auto" w:fill="auto"/>
            <w:vAlign w:val="center"/>
            <w:hideMark/>
          </w:tcPr>
          <w:p w14:paraId="7B6484A3" w14:textId="77777777" w:rsidR="0019205B" w:rsidRPr="008319F4" w:rsidRDefault="0019205B" w:rsidP="00FD7E50">
            <w:pPr>
              <w:spacing w:after="0" w:line="240" w:lineRule="auto"/>
              <w:jc w:val="center"/>
              <w:rPr>
                <w:rFonts w:eastAsia="Times New Roman" w:cs="Calibri"/>
                <w:color w:val="000000"/>
              </w:rPr>
            </w:pPr>
          </w:p>
        </w:tc>
        <w:tc>
          <w:tcPr>
            <w:tcW w:w="429" w:type="pct"/>
            <w:tcBorders>
              <w:top w:val="nil"/>
              <w:left w:val="nil"/>
              <w:bottom w:val="nil"/>
              <w:right w:val="nil"/>
            </w:tcBorders>
            <w:shd w:val="clear" w:color="auto" w:fill="auto"/>
            <w:vAlign w:val="center"/>
            <w:hideMark/>
          </w:tcPr>
          <w:p w14:paraId="5A416550" w14:textId="20B7805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221846">
              <w:rPr>
                <w:rFonts w:eastAsia="Times New Roman" w:cs="Calibri"/>
                <w:color w:val="000000"/>
              </w:rPr>
              <w:t>.</w:t>
            </w:r>
            <w:r w:rsidRPr="008319F4">
              <w:rPr>
                <w:rFonts w:eastAsia="Times New Roman" w:cs="Calibri"/>
                <w:color w:val="000000"/>
              </w:rPr>
              <w:t>1</w:t>
            </w:r>
          </w:p>
        </w:tc>
        <w:tc>
          <w:tcPr>
            <w:tcW w:w="253" w:type="pct"/>
            <w:tcBorders>
              <w:top w:val="nil"/>
              <w:left w:val="nil"/>
              <w:bottom w:val="nil"/>
              <w:right w:val="nil"/>
            </w:tcBorders>
            <w:shd w:val="clear" w:color="auto" w:fill="auto"/>
            <w:vAlign w:val="center"/>
            <w:hideMark/>
          </w:tcPr>
          <w:p w14:paraId="19D890E5"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0.39</w:t>
            </w:r>
          </w:p>
        </w:tc>
      </w:tr>
      <w:tr w:rsidR="0019205B" w:rsidRPr="008319F4" w14:paraId="66F33330" w14:textId="77777777" w:rsidTr="007C6CB2">
        <w:trPr>
          <w:trHeight w:val="300"/>
        </w:trPr>
        <w:tc>
          <w:tcPr>
            <w:tcW w:w="575" w:type="pct"/>
            <w:tcBorders>
              <w:top w:val="nil"/>
              <w:left w:val="nil"/>
              <w:bottom w:val="nil"/>
              <w:right w:val="nil"/>
            </w:tcBorders>
            <w:shd w:val="clear" w:color="auto" w:fill="auto"/>
            <w:vAlign w:val="center"/>
            <w:hideMark/>
          </w:tcPr>
          <w:p w14:paraId="5412B9DA"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CF</w:t>
            </w:r>
          </w:p>
        </w:tc>
        <w:tc>
          <w:tcPr>
            <w:tcW w:w="646" w:type="pct"/>
            <w:tcBorders>
              <w:top w:val="nil"/>
              <w:left w:val="nil"/>
              <w:bottom w:val="nil"/>
              <w:right w:val="nil"/>
            </w:tcBorders>
            <w:shd w:val="clear" w:color="auto" w:fill="auto"/>
            <w:noWrap/>
            <w:vAlign w:val="center"/>
            <w:hideMark/>
          </w:tcPr>
          <w:p w14:paraId="6D70B53D"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43" w:type="pct"/>
            <w:tcBorders>
              <w:top w:val="nil"/>
              <w:left w:val="nil"/>
              <w:bottom w:val="nil"/>
              <w:right w:val="nil"/>
            </w:tcBorders>
            <w:shd w:val="clear" w:color="auto" w:fill="auto"/>
            <w:vAlign w:val="center"/>
            <w:hideMark/>
          </w:tcPr>
          <w:p w14:paraId="17E5C539" w14:textId="09EC2FB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9</w:t>
            </w:r>
          </w:p>
        </w:tc>
        <w:tc>
          <w:tcPr>
            <w:tcW w:w="294" w:type="pct"/>
            <w:tcBorders>
              <w:top w:val="nil"/>
              <w:left w:val="nil"/>
              <w:bottom w:val="nil"/>
              <w:right w:val="nil"/>
            </w:tcBorders>
            <w:shd w:val="clear" w:color="auto" w:fill="auto"/>
            <w:vAlign w:val="center"/>
            <w:hideMark/>
          </w:tcPr>
          <w:p w14:paraId="64CBC9F0" w14:textId="73D1DA6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7</w:t>
            </w:r>
          </w:p>
        </w:tc>
        <w:tc>
          <w:tcPr>
            <w:tcW w:w="294" w:type="pct"/>
            <w:tcBorders>
              <w:top w:val="nil"/>
              <w:left w:val="nil"/>
              <w:bottom w:val="nil"/>
              <w:right w:val="nil"/>
            </w:tcBorders>
            <w:shd w:val="clear" w:color="auto" w:fill="auto"/>
            <w:vAlign w:val="center"/>
            <w:hideMark/>
          </w:tcPr>
          <w:p w14:paraId="790ED8CC" w14:textId="4329DAA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nil"/>
              <w:left w:val="nil"/>
              <w:bottom w:val="nil"/>
              <w:right w:val="nil"/>
            </w:tcBorders>
            <w:shd w:val="clear" w:color="auto" w:fill="auto"/>
            <w:vAlign w:val="center"/>
            <w:hideMark/>
          </w:tcPr>
          <w:p w14:paraId="499FF76E" w14:textId="51A7737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4</w:t>
            </w:r>
          </w:p>
        </w:tc>
        <w:tc>
          <w:tcPr>
            <w:tcW w:w="294" w:type="pct"/>
            <w:tcBorders>
              <w:top w:val="nil"/>
              <w:left w:val="nil"/>
              <w:bottom w:val="nil"/>
              <w:right w:val="nil"/>
            </w:tcBorders>
            <w:shd w:val="clear" w:color="auto" w:fill="auto"/>
            <w:vAlign w:val="center"/>
            <w:hideMark/>
          </w:tcPr>
          <w:p w14:paraId="18E41167" w14:textId="54F767F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007C591D" w14:textId="3FA64A4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294" w:type="pct"/>
            <w:tcBorders>
              <w:top w:val="nil"/>
              <w:left w:val="nil"/>
              <w:bottom w:val="nil"/>
              <w:right w:val="nil"/>
            </w:tcBorders>
            <w:shd w:val="clear" w:color="auto" w:fill="auto"/>
            <w:vAlign w:val="center"/>
            <w:hideMark/>
          </w:tcPr>
          <w:p w14:paraId="3D7365F5" w14:textId="70A976E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294" w:type="pct"/>
            <w:tcBorders>
              <w:top w:val="nil"/>
              <w:left w:val="nil"/>
              <w:bottom w:val="nil"/>
              <w:right w:val="nil"/>
            </w:tcBorders>
            <w:shd w:val="clear" w:color="auto" w:fill="auto"/>
            <w:vAlign w:val="center"/>
            <w:hideMark/>
          </w:tcPr>
          <w:p w14:paraId="0F1B393B" w14:textId="3BD1FF1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294" w:type="pct"/>
            <w:tcBorders>
              <w:top w:val="nil"/>
              <w:left w:val="nil"/>
              <w:bottom w:val="nil"/>
              <w:right w:val="nil"/>
            </w:tcBorders>
            <w:shd w:val="clear" w:color="auto" w:fill="auto"/>
            <w:vAlign w:val="center"/>
            <w:hideMark/>
          </w:tcPr>
          <w:p w14:paraId="226F477B" w14:textId="09E83CD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5</w:t>
            </w:r>
          </w:p>
        </w:tc>
        <w:tc>
          <w:tcPr>
            <w:tcW w:w="401" w:type="pct"/>
            <w:tcBorders>
              <w:top w:val="nil"/>
              <w:left w:val="nil"/>
              <w:bottom w:val="nil"/>
              <w:right w:val="nil"/>
            </w:tcBorders>
            <w:shd w:val="clear" w:color="auto" w:fill="auto"/>
            <w:vAlign w:val="center"/>
            <w:hideMark/>
          </w:tcPr>
          <w:p w14:paraId="2215F242" w14:textId="76B2A45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6</w:t>
            </w:r>
          </w:p>
        </w:tc>
        <w:tc>
          <w:tcPr>
            <w:tcW w:w="429" w:type="pct"/>
            <w:tcBorders>
              <w:top w:val="nil"/>
              <w:left w:val="nil"/>
              <w:bottom w:val="nil"/>
              <w:right w:val="nil"/>
            </w:tcBorders>
            <w:shd w:val="clear" w:color="auto" w:fill="auto"/>
            <w:vAlign w:val="center"/>
            <w:hideMark/>
          </w:tcPr>
          <w:p w14:paraId="3EFB86C6" w14:textId="6FC9DE9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221846">
              <w:rPr>
                <w:rFonts w:eastAsia="Times New Roman" w:cs="Calibri"/>
                <w:color w:val="000000"/>
              </w:rPr>
              <w:t>.</w:t>
            </w:r>
            <w:r w:rsidRPr="008319F4">
              <w:rPr>
                <w:rFonts w:eastAsia="Times New Roman" w:cs="Calibri"/>
                <w:color w:val="000000"/>
              </w:rPr>
              <w:t>3</w:t>
            </w:r>
          </w:p>
        </w:tc>
        <w:tc>
          <w:tcPr>
            <w:tcW w:w="253" w:type="pct"/>
            <w:tcBorders>
              <w:top w:val="nil"/>
              <w:left w:val="nil"/>
              <w:bottom w:val="nil"/>
              <w:right w:val="nil"/>
            </w:tcBorders>
            <w:shd w:val="clear" w:color="auto" w:fill="auto"/>
            <w:vAlign w:val="center"/>
            <w:hideMark/>
          </w:tcPr>
          <w:p w14:paraId="526E27A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1.55</w:t>
            </w:r>
          </w:p>
        </w:tc>
      </w:tr>
      <w:tr w:rsidR="0019205B" w:rsidRPr="008319F4" w14:paraId="1198D761" w14:textId="77777777" w:rsidTr="007C6CB2">
        <w:trPr>
          <w:trHeight w:val="300"/>
        </w:trPr>
        <w:tc>
          <w:tcPr>
            <w:tcW w:w="575" w:type="pct"/>
            <w:tcBorders>
              <w:top w:val="nil"/>
              <w:left w:val="nil"/>
              <w:bottom w:val="nil"/>
              <w:right w:val="nil"/>
            </w:tcBorders>
            <w:shd w:val="clear" w:color="auto" w:fill="auto"/>
            <w:vAlign w:val="center"/>
            <w:hideMark/>
          </w:tcPr>
          <w:p w14:paraId="1AFFA144"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nil"/>
              <w:right w:val="nil"/>
            </w:tcBorders>
            <w:shd w:val="clear" w:color="auto" w:fill="auto"/>
            <w:noWrap/>
            <w:vAlign w:val="center"/>
            <w:hideMark/>
          </w:tcPr>
          <w:p w14:paraId="5BDA6599"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43" w:type="pct"/>
            <w:tcBorders>
              <w:top w:val="nil"/>
              <w:left w:val="nil"/>
              <w:bottom w:val="nil"/>
              <w:right w:val="nil"/>
            </w:tcBorders>
            <w:shd w:val="clear" w:color="auto" w:fill="auto"/>
            <w:vAlign w:val="center"/>
            <w:hideMark/>
          </w:tcPr>
          <w:p w14:paraId="64788BC0" w14:textId="103CA9E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r w:rsidR="00221846">
              <w:rPr>
                <w:rFonts w:eastAsia="Times New Roman" w:cs="Calibri"/>
                <w:color w:val="000000"/>
              </w:rPr>
              <w:t>.</w:t>
            </w:r>
            <w:r w:rsidRPr="008319F4">
              <w:rPr>
                <w:rFonts w:eastAsia="Times New Roman" w:cs="Calibri"/>
                <w:color w:val="000000"/>
              </w:rPr>
              <w:t>2</w:t>
            </w:r>
          </w:p>
        </w:tc>
        <w:tc>
          <w:tcPr>
            <w:tcW w:w="294" w:type="pct"/>
            <w:tcBorders>
              <w:top w:val="nil"/>
              <w:left w:val="nil"/>
              <w:bottom w:val="nil"/>
              <w:right w:val="nil"/>
            </w:tcBorders>
            <w:shd w:val="clear" w:color="auto" w:fill="auto"/>
            <w:vAlign w:val="center"/>
            <w:hideMark/>
          </w:tcPr>
          <w:p w14:paraId="7F963789" w14:textId="6DDFC5A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221846">
              <w:rPr>
                <w:rFonts w:eastAsia="Times New Roman" w:cs="Calibri"/>
                <w:color w:val="000000"/>
              </w:rPr>
              <w:t>.</w:t>
            </w:r>
            <w:r w:rsidRPr="008319F4">
              <w:rPr>
                <w:rFonts w:eastAsia="Times New Roman" w:cs="Calibri"/>
                <w:color w:val="000000"/>
              </w:rPr>
              <w:t>8</w:t>
            </w:r>
          </w:p>
        </w:tc>
        <w:tc>
          <w:tcPr>
            <w:tcW w:w="294" w:type="pct"/>
            <w:tcBorders>
              <w:top w:val="nil"/>
              <w:left w:val="nil"/>
              <w:bottom w:val="nil"/>
              <w:right w:val="nil"/>
            </w:tcBorders>
            <w:shd w:val="clear" w:color="auto" w:fill="auto"/>
            <w:vAlign w:val="center"/>
            <w:hideMark/>
          </w:tcPr>
          <w:p w14:paraId="40DD8D76" w14:textId="6954128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221846">
              <w:rPr>
                <w:rFonts w:eastAsia="Times New Roman" w:cs="Calibri"/>
                <w:color w:val="000000"/>
              </w:rPr>
              <w:t>.</w:t>
            </w:r>
            <w:r w:rsidRPr="008319F4">
              <w:rPr>
                <w:rFonts w:eastAsia="Times New Roman" w:cs="Calibri"/>
                <w:color w:val="000000"/>
              </w:rPr>
              <w:t>7</w:t>
            </w:r>
          </w:p>
        </w:tc>
        <w:tc>
          <w:tcPr>
            <w:tcW w:w="294" w:type="pct"/>
            <w:tcBorders>
              <w:top w:val="nil"/>
              <w:left w:val="nil"/>
              <w:bottom w:val="nil"/>
              <w:right w:val="nil"/>
            </w:tcBorders>
            <w:shd w:val="clear" w:color="auto" w:fill="auto"/>
            <w:vAlign w:val="center"/>
            <w:hideMark/>
          </w:tcPr>
          <w:p w14:paraId="0E88CA1A" w14:textId="4F10268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221846">
              <w:rPr>
                <w:rFonts w:eastAsia="Times New Roman" w:cs="Calibri"/>
                <w:color w:val="000000"/>
              </w:rPr>
              <w:t>.</w:t>
            </w:r>
            <w:r w:rsidRPr="008319F4">
              <w:rPr>
                <w:rFonts w:eastAsia="Times New Roman" w:cs="Calibri"/>
                <w:color w:val="000000"/>
              </w:rPr>
              <w:t>1</w:t>
            </w:r>
          </w:p>
        </w:tc>
        <w:tc>
          <w:tcPr>
            <w:tcW w:w="294" w:type="pct"/>
            <w:tcBorders>
              <w:top w:val="nil"/>
              <w:left w:val="nil"/>
              <w:bottom w:val="nil"/>
              <w:right w:val="nil"/>
            </w:tcBorders>
            <w:shd w:val="clear" w:color="auto" w:fill="auto"/>
            <w:vAlign w:val="center"/>
            <w:hideMark/>
          </w:tcPr>
          <w:p w14:paraId="30BDFFF1" w14:textId="22705DA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8</w:t>
            </w:r>
          </w:p>
        </w:tc>
        <w:tc>
          <w:tcPr>
            <w:tcW w:w="294" w:type="pct"/>
            <w:tcBorders>
              <w:top w:val="nil"/>
              <w:left w:val="nil"/>
              <w:bottom w:val="nil"/>
              <w:right w:val="nil"/>
            </w:tcBorders>
            <w:shd w:val="clear" w:color="auto" w:fill="auto"/>
            <w:vAlign w:val="center"/>
            <w:hideMark/>
          </w:tcPr>
          <w:p w14:paraId="041098BF" w14:textId="47F249A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8</w:t>
            </w:r>
          </w:p>
        </w:tc>
        <w:tc>
          <w:tcPr>
            <w:tcW w:w="294" w:type="pct"/>
            <w:tcBorders>
              <w:top w:val="nil"/>
              <w:left w:val="nil"/>
              <w:bottom w:val="nil"/>
              <w:right w:val="nil"/>
            </w:tcBorders>
            <w:shd w:val="clear" w:color="auto" w:fill="auto"/>
            <w:vAlign w:val="center"/>
            <w:hideMark/>
          </w:tcPr>
          <w:p w14:paraId="0BC082D9" w14:textId="7F4B649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9</w:t>
            </w:r>
          </w:p>
        </w:tc>
        <w:tc>
          <w:tcPr>
            <w:tcW w:w="294" w:type="pct"/>
            <w:tcBorders>
              <w:top w:val="nil"/>
              <w:left w:val="nil"/>
              <w:bottom w:val="nil"/>
              <w:right w:val="nil"/>
            </w:tcBorders>
            <w:shd w:val="clear" w:color="auto" w:fill="auto"/>
            <w:vAlign w:val="center"/>
            <w:hideMark/>
          </w:tcPr>
          <w:p w14:paraId="73687FCB" w14:textId="5798436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5</w:t>
            </w:r>
          </w:p>
        </w:tc>
        <w:tc>
          <w:tcPr>
            <w:tcW w:w="294" w:type="pct"/>
            <w:tcBorders>
              <w:top w:val="nil"/>
              <w:left w:val="nil"/>
              <w:bottom w:val="nil"/>
              <w:right w:val="nil"/>
            </w:tcBorders>
            <w:shd w:val="clear" w:color="auto" w:fill="auto"/>
            <w:vAlign w:val="center"/>
            <w:hideMark/>
          </w:tcPr>
          <w:p w14:paraId="0AFB7B19" w14:textId="4E1A37D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6</w:t>
            </w:r>
          </w:p>
        </w:tc>
        <w:tc>
          <w:tcPr>
            <w:tcW w:w="401" w:type="pct"/>
            <w:tcBorders>
              <w:top w:val="nil"/>
              <w:left w:val="nil"/>
              <w:bottom w:val="nil"/>
              <w:right w:val="nil"/>
            </w:tcBorders>
            <w:shd w:val="clear" w:color="auto" w:fill="auto"/>
            <w:vAlign w:val="center"/>
            <w:hideMark/>
          </w:tcPr>
          <w:p w14:paraId="6CAE1438" w14:textId="05F1901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221846">
              <w:rPr>
                <w:rFonts w:eastAsia="Times New Roman" w:cs="Calibri"/>
                <w:color w:val="000000"/>
              </w:rPr>
              <w:t>.</w:t>
            </w:r>
            <w:r w:rsidRPr="008319F4">
              <w:rPr>
                <w:rFonts w:eastAsia="Times New Roman" w:cs="Calibri"/>
                <w:color w:val="000000"/>
              </w:rPr>
              <w:t>5</w:t>
            </w:r>
          </w:p>
        </w:tc>
        <w:tc>
          <w:tcPr>
            <w:tcW w:w="429" w:type="pct"/>
            <w:tcBorders>
              <w:top w:val="nil"/>
              <w:left w:val="nil"/>
              <w:bottom w:val="nil"/>
              <w:right w:val="nil"/>
            </w:tcBorders>
            <w:shd w:val="clear" w:color="auto" w:fill="auto"/>
            <w:vAlign w:val="center"/>
            <w:hideMark/>
          </w:tcPr>
          <w:p w14:paraId="6D4A93A3" w14:textId="7EBB553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7***</w:t>
            </w:r>
          </w:p>
        </w:tc>
        <w:tc>
          <w:tcPr>
            <w:tcW w:w="253" w:type="pct"/>
            <w:tcBorders>
              <w:top w:val="nil"/>
              <w:left w:val="nil"/>
              <w:bottom w:val="nil"/>
              <w:right w:val="nil"/>
            </w:tcBorders>
            <w:shd w:val="clear" w:color="auto" w:fill="auto"/>
            <w:vAlign w:val="center"/>
            <w:hideMark/>
          </w:tcPr>
          <w:p w14:paraId="610ED89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4.22</w:t>
            </w:r>
          </w:p>
        </w:tc>
      </w:tr>
      <w:tr w:rsidR="0019205B" w:rsidRPr="008319F4" w14:paraId="0663B14E" w14:textId="77777777" w:rsidTr="007C6CB2">
        <w:trPr>
          <w:trHeight w:val="300"/>
        </w:trPr>
        <w:tc>
          <w:tcPr>
            <w:tcW w:w="575" w:type="pct"/>
            <w:tcBorders>
              <w:top w:val="nil"/>
              <w:left w:val="nil"/>
              <w:bottom w:val="single" w:sz="4" w:space="0" w:color="auto"/>
              <w:right w:val="nil"/>
            </w:tcBorders>
            <w:shd w:val="clear" w:color="auto" w:fill="auto"/>
            <w:noWrap/>
            <w:vAlign w:val="center"/>
            <w:hideMark/>
          </w:tcPr>
          <w:p w14:paraId="2F8B5DA2" w14:textId="77777777" w:rsidR="0019205B" w:rsidRPr="008319F4" w:rsidRDefault="0019205B" w:rsidP="00FD7E50">
            <w:pPr>
              <w:spacing w:after="0" w:line="240" w:lineRule="auto"/>
              <w:rPr>
                <w:rFonts w:eastAsia="Times New Roman" w:cs="Calibri"/>
                <w:color w:val="000000"/>
              </w:rPr>
            </w:pPr>
          </w:p>
        </w:tc>
        <w:tc>
          <w:tcPr>
            <w:tcW w:w="646" w:type="pct"/>
            <w:tcBorders>
              <w:top w:val="nil"/>
              <w:left w:val="nil"/>
              <w:bottom w:val="single" w:sz="4" w:space="0" w:color="auto"/>
              <w:right w:val="nil"/>
            </w:tcBorders>
            <w:shd w:val="clear" w:color="auto" w:fill="auto"/>
            <w:noWrap/>
            <w:vAlign w:val="center"/>
            <w:hideMark/>
          </w:tcPr>
          <w:p w14:paraId="1093EEF0"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43" w:type="pct"/>
            <w:tcBorders>
              <w:top w:val="nil"/>
              <w:left w:val="nil"/>
              <w:bottom w:val="single" w:sz="4" w:space="0" w:color="auto"/>
              <w:right w:val="nil"/>
            </w:tcBorders>
            <w:shd w:val="clear" w:color="auto" w:fill="auto"/>
            <w:noWrap/>
            <w:vAlign w:val="center"/>
            <w:hideMark/>
          </w:tcPr>
          <w:p w14:paraId="164233EC"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04CEAA32"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07640241"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22B73309"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692D9551"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14C63558"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12F9408C"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7F2DEA96" w14:textId="77777777" w:rsidR="0019205B" w:rsidRPr="008319F4" w:rsidRDefault="0019205B" w:rsidP="00FD7E50">
            <w:pPr>
              <w:spacing w:after="0" w:line="240" w:lineRule="auto"/>
              <w:jc w:val="center"/>
              <w:rPr>
                <w:rFonts w:eastAsia="Times New Roman" w:cs="Calibri"/>
                <w:color w:val="000000"/>
              </w:rPr>
            </w:pPr>
          </w:p>
        </w:tc>
        <w:tc>
          <w:tcPr>
            <w:tcW w:w="294" w:type="pct"/>
            <w:tcBorders>
              <w:top w:val="nil"/>
              <w:left w:val="nil"/>
              <w:bottom w:val="single" w:sz="4" w:space="0" w:color="auto"/>
              <w:right w:val="nil"/>
            </w:tcBorders>
            <w:shd w:val="clear" w:color="auto" w:fill="auto"/>
            <w:noWrap/>
            <w:vAlign w:val="center"/>
            <w:hideMark/>
          </w:tcPr>
          <w:p w14:paraId="1F8D7162" w14:textId="77777777" w:rsidR="0019205B" w:rsidRPr="008319F4" w:rsidRDefault="0019205B" w:rsidP="00FD7E50">
            <w:pPr>
              <w:spacing w:after="0" w:line="240" w:lineRule="auto"/>
              <w:jc w:val="center"/>
              <w:rPr>
                <w:rFonts w:eastAsia="Times New Roman" w:cs="Calibri"/>
                <w:color w:val="000000"/>
              </w:rPr>
            </w:pPr>
          </w:p>
        </w:tc>
        <w:tc>
          <w:tcPr>
            <w:tcW w:w="401" w:type="pct"/>
            <w:tcBorders>
              <w:top w:val="nil"/>
              <w:left w:val="nil"/>
              <w:bottom w:val="single" w:sz="4" w:space="0" w:color="auto"/>
              <w:right w:val="nil"/>
            </w:tcBorders>
            <w:shd w:val="clear" w:color="auto" w:fill="auto"/>
            <w:noWrap/>
            <w:vAlign w:val="center"/>
            <w:hideMark/>
          </w:tcPr>
          <w:p w14:paraId="10437DDE" w14:textId="77777777" w:rsidR="0019205B" w:rsidRPr="008319F4" w:rsidRDefault="0019205B" w:rsidP="00FD7E50">
            <w:pPr>
              <w:spacing w:after="0" w:line="240" w:lineRule="auto"/>
              <w:jc w:val="center"/>
              <w:rPr>
                <w:rFonts w:eastAsia="Times New Roman" w:cs="Calibri"/>
                <w:color w:val="000000"/>
              </w:rPr>
            </w:pPr>
          </w:p>
        </w:tc>
        <w:tc>
          <w:tcPr>
            <w:tcW w:w="429" w:type="pct"/>
            <w:tcBorders>
              <w:top w:val="nil"/>
              <w:left w:val="nil"/>
              <w:bottom w:val="single" w:sz="4" w:space="0" w:color="auto"/>
              <w:right w:val="nil"/>
            </w:tcBorders>
            <w:shd w:val="clear" w:color="auto" w:fill="auto"/>
            <w:noWrap/>
            <w:vAlign w:val="center"/>
            <w:hideMark/>
          </w:tcPr>
          <w:p w14:paraId="08406925" w14:textId="56A19EB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221846">
              <w:rPr>
                <w:rFonts w:eastAsia="Times New Roman" w:cs="Calibri"/>
                <w:color w:val="000000"/>
              </w:rPr>
              <w:t>.</w:t>
            </w:r>
            <w:r w:rsidRPr="008319F4">
              <w:rPr>
                <w:rFonts w:eastAsia="Times New Roman" w:cs="Calibri"/>
                <w:color w:val="000000"/>
              </w:rPr>
              <w:t>3***</w:t>
            </w:r>
          </w:p>
        </w:tc>
        <w:tc>
          <w:tcPr>
            <w:tcW w:w="253" w:type="pct"/>
            <w:tcBorders>
              <w:top w:val="nil"/>
              <w:left w:val="nil"/>
              <w:bottom w:val="single" w:sz="4" w:space="0" w:color="auto"/>
              <w:right w:val="nil"/>
            </w:tcBorders>
            <w:shd w:val="clear" w:color="auto" w:fill="auto"/>
            <w:noWrap/>
            <w:vAlign w:val="center"/>
            <w:hideMark/>
          </w:tcPr>
          <w:p w14:paraId="2A0E6C76"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3.40</w:t>
            </w:r>
          </w:p>
        </w:tc>
      </w:tr>
    </w:tbl>
    <w:p w14:paraId="2F4F5711" w14:textId="77777777" w:rsidR="0019205B" w:rsidRPr="008319F4" w:rsidRDefault="0019205B" w:rsidP="0019205B">
      <w:pPr>
        <w:spacing w:line="240" w:lineRule="auto"/>
        <w:rPr>
          <w:b/>
          <w:lang w:val="en-US"/>
        </w:rPr>
      </w:pPr>
      <w:r w:rsidRPr="008319F4">
        <w:rPr>
          <w:b/>
          <w:lang w:val="en-US"/>
        </w:rPr>
        <w:lastRenderedPageBreak/>
        <w:t xml:space="preserve">Table 2.  Continued </w:t>
      </w:r>
    </w:p>
    <w:p w14:paraId="2EC7569F" w14:textId="77777777" w:rsidR="0019205B" w:rsidRPr="008319F4" w:rsidRDefault="0019205B" w:rsidP="0019205B">
      <w:pPr>
        <w:spacing w:line="240" w:lineRule="auto"/>
      </w:pPr>
      <w:r w:rsidRPr="008319F4">
        <w:t>Panel C: Equal-weighted portfolio Fama-French monthly alphas</w:t>
      </w:r>
    </w:p>
    <w:tbl>
      <w:tblPr>
        <w:tblW w:w="5000" w:type="pct"/>
        <w:tblBorders>
          <w:top w:val="single" w:sz="4" w:space="0" w:color="auto"/>
          <w:bottom w:val="single" w:sz="4" w:space="0" w:color="auto"/>
        </w:tblBorders>
        <w:tblLook w:val="04A0" w:firstRow="1" w:lastRow="0" w:firstColumn="1" w:lastColumn="0" w:noHBand="0" w:noVBand="1"/>
      </w:tblPr>
      <w:tblGrid>
        <w:gridCol w:w="1893"/>
        <w:gridCol w:w="1510"/>
        <w:gridCol w:w="859"/>
        <w:gridCol w:w="859"/>
        <w:gridCol w:w="859"/>
        <w:gridCol w:w="859"/>
        <w:gridCol w:w="859"/>
        <w:gridCol w:w="862"/>
        <w:gridCol w:w="862"/>
        <w:gridCol w:w="862"/>
        <w:gridCol w:w="862"/>
        <w:gridCol w:w="1055"/>
        <w:gridCol w:w="1253"/>
        <w:gridCol w:w="720"/>
      </w:tblGrid>
      <w:tr w:rsidR="0019205B" w:rsidRPr="008319F4" w14:paraId="3B2ED8D2" w14:textId="77777777" w:rsidTr="007C6CB2">
        <w:trPr>
          <w:trHeight w:val="300"/>
        </w:trPr>
        <w:tc>
          <w:tcPr>
            <w:tcW w:w="668" w:type="pct"/>
            <w:tcBorders>
              <w:top w:val="single" w:sz="4" w:space="0" w:color="auto"/>
              <w:bottom w:val="single" w:sz="4" w:space="0" w:color="auto"/>
            </w:tcBorders>
            <w:shd w:val="clear" w:color="auto" w:fill="auto"/>
            <w:vAlign w:val="center"/>
          </w:tcPr>
          <w:p w14:paraId="3052D4E6"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Proxy</w:t>
            </w:r>
          </w:p>
        </w:tc>
        <w:tc>
          <w:tcPr>
            <w:tcW w:w="533" w:type="pct"/>
            <w:tcBorders>
              <w:top w:val="single" w:sz="4" w:space="0" w:color="auto"/>
              <w:bottom w:val="single" w:sz="4" w:space="0" w:color="auto"/>
            </w:tcBorders>
            <w:shd w:val="clear" w:color="auto" w:fill="auto"/>
            <w:vAlign w:val="center"/>
          </w:tcPr>
          <w:p w14:paraId="74BE4BCD"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 type</w:t>
            </w:r>
          </w:p>
        </w:tc>
        <w:tc>
          <w:tcPr>
            <w:tcW w:w="303" w:type="pct"/>
            <w:tcBorders>
              <w:top w:val="single" w:sz="4" w:space="0" w:color="auto"/>
              <w:bottom w:val="single" w:sz="4" w:space="0" w:color="auto"/>
            </w:tcBorders>
            <w:shd w:val="clear" w:color="auto" w:fill="auto"/>
            <w:vAlign w:val="center"/>
          </w:tcPr>
          <w:p w14:paraId="436EE5EB"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1(Low)</w:t>
            </w:r>
          </w:p>
        </w:tc>
        <w:tc>
          <w:tcPr>
            <w:tcW w:w="303" w:type="pct"/>
            <w:tcBorders>
              <w:top w:val="single" w:sz="4" w:space="0" w:color="auto"/>
              <w:bottom w:val="single" w:sz="4" w:space="0" w:color="auto"/>
            </w:tcBorders>
            <w:shd w:val="clear" w:color="auto" w:fill="auto"/>
            <w:vAlign w:val="center"/>
          </w:tcPr>
          <w:p w14:paraId="1077382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p>
        </w:tc>
        <w:tc>
          <w:tcPr>
            <w:tcW w:w="303" w:type="pct"/>
            <w:tcBorders>
              <w:top w:val="single" w:sz="4" w:space="0" w:color="auto"/>
              <w:bottom w:val="single" w:sz="4" w:space="0" w:color="auto"/>
            </w:tcBorders>
            <w:shd w:val="clear" w:color="auto" w:fill="auto"/>
            <w:vAlign w:val="center"/>
          </w:tcPr>
          <w:p w14:paraId="48B2B49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p>
        </w:tc>
        <w:tc>
          <w:tcPr>
            <w:tcW w:w="303" w:type="pct"/>
            <w:tcBorders>
              <w:top w:val="single" w:sz="4" w:space="0" w:color="auto"/>
              <w:bottom w:val="single" w:sz="4" w:space="0" w:color="auto"/>
            </w:tcBorders>
            <w:shd w:val="clear" w:color="auto" w:fill="auto"/>
            <w:vAlign w:val="center"/>
          </w:tcPr>
          <w:p w14:paraId="0AC7F9E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p>
        </w:tc>
        <w:tc>
          <w:tcPr>
            <w:tcW w:w="303" w:type="pct"/>
            <w:tcBorders>
              <w:top w:val="single" w:sz="4" w:space="0" w:color="auto"/>
              <w:bottom w:val="single" w:sz="4" w:space="0" w:color="auto"/>
            </w:tcBorders>
            <w:shd w:val="clear" w:color="auto" w:fill="auto"/>
            <w:vAlign w:val="center"/>
          </w:tcPr>
          <w:p w14:paraId="34CBBB7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w:t>
            </w:r>
          </w:p>
        </w:tc>
        <w:tc>
          <w:tcPr>
            <w:tcW w:w="304" w:type="pct"/>
            <w:tcBorders>
              <w:top w:val="single" w:sz="4" w:space="0" w:color="auto"/>
              <w:bottom w:val="single" w:sz="4" w:space="0" w:color="auto"/>
            </w:tcBorders>
            <w:shd w:val="clear" w:color="auto" w:fill="auto"/>
            <w:vAlign w:val="center"/>
          </w:tcPr>
          <w:p w14:paraId="06E45B5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6</w:t>
            </w:r>
          </w:p>
        </w:tc>
        <w:tc>
          <w:tcPr>
            <w:tcW w:w="304" w:type="pct"/>
            <w:tcBorders>
              <w:top w:val="single" w:sz="4" w:space="0" w:color="auto"/>
              <w:bottom w:val="single" w:sz="4" w:space="0" w:color="auto"/>
            </w:tcBorders>
            <w:shd w:val="clear" w:color="auto" w:fill="auto"/>
            <w:vAlign w:val="center"/>
          </w:tcPr>
          <w:p w14:paraId="0190E38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7</w:t>
            </w:r>
          </w:p>
        </w:tc>
        <w:tc>
          <w:tcPr>
            <w:tcW w:w="304" w:type="pct"/>
            <w:tcBorders>
              <w:top w:val="single" w:sz="4" w:space="0" w:color="auto"/>
              <w:bottom w:val="single" w:sz="4" w:space="0" w:color="auto"/>
            </w:tcBorders>
            <w:shd w:val="clear" w:color="auto" w:fill="auto"/>
            <w:vAlign w:val="center"/>
          </w:tcPr>
          <w:p w14:paraId="2E75CAD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8</w:t>
            </w:r>
          </w:p>
        </w:tc>
        <w:tc>
          <w:tcPr>
            <w:tcW w:w="304" w:type="pct"/>
            <w:tcBorders>
              <w:top w:val="single" w:sz="4" w:space="0" w:color="auto"/>
              <w:bottom w:val="single" w:sz="4" w:space="0" w:color="auto"/>
            </w:tcBorders>
            <w:shd w:val="clear" w:color="auto" w:fill="auto"/>
            <w:vAlign w:val="center"/>
          </w:tcPr>
          <w:p w14:paraId="77F2C22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9</w:t>
            </w:r>
          </w:p>
        </w:tc>
        <w:tc>
          <w:tcPr>
            <w:tcW w:w="372" w:type="pct"/>
            <w:tcBorders>
              <w:top w:val="single" w:sz="4" w:space="0" w:color="auto"/>
              <w:bottom w:val="single" w:sz="4" w:space="0" w:color="auto"/>
            </w:tcBorders>
            <w:shd w:val="clear" w:color="auto" w:fill="auto"/>
            <w:vAlign w:val="center"/>
          </w:tcPr>
          <w:p w14:paraId="370EBAFB"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10(High)</w:t>
            </w:r>
          </w:p>
        </w:tc>
        <w:tc>
          <w:tcPr>
            <w:tcW w:w="442" w:type="pct"/>
            <w:tcBorders>
              <w:top w:val="single" w:sz="4" w:space="0" w:color="auto"/>
              <w:bottom w:val="single" w:sz="4" w:space="0" w:color="auto"/>
            </w:tcBorders>
            <w:shd w:val="clear" w:color="auto" w:fill="auto"/>
            <w:vAlign w:val="center"/>
          </w:tcPr>
          <w:p w14:paraId="4B27ED7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Diff</w:t>
            </w:r>
            <w:r w:rsidRPr="008319F4">
              <w:rPr>
                <w:rFonts w:eastAsia="Times New Roman" w:cs="Calibri"/>
                <w:color w:val="000000"/>
              </w:rPr>
              <w:br/>
              <w:t>(1-10)</w:t>
            </w:r>
          </w:p>
        </w:tc>
        <w:tc>
          <w:tcPr>
            <w:tcW w:w="254" w:type="pct"/>
            <w:tcBorders>
              <w:top w:val="single" w:sz="4" w:space="0" w:color="auto"/>
              <w:bottom w:val="single" w:sz="4" w:space="0" w:color="auto"/>
            </w:tcBorders>
            <w:shd w:val="clear" w:color="auto" w:fill="auto"/>
            <w:vAlign w:val="center"/>
          </w:tcPr>
          <w:p w14:paraId="55CD2C7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t</w:t>
            </w:r>
          </w:p>
        </w:tc>
      </w:tr>
      <w:tr w:rsidR="0019205B" w:rsidRPr="008319F4" w14:paraId="6C78E3E9" w14:textId="77777777" w:rsidTr="007C6CB2">
        <w:trPr>
          <w:trHeight w:val="300"/>
        </w:trPr>
        <w:tc>
          <w:tcPr>
            <w:tcW w:w="668" w:type="pct"/>
            <w:tcBorders>
              <w:top w:val="single" w:sz="4" w:space="0" w:color="auto"/>
            </w:tcBorders>
            <w:shd w:val="clear" w:color="auto" w:fill="auto"/>
            <w:vAlign w:val="center"/>
            <w:hideMark/>
          </w:tcPr>
          <w:p w14:paraId="0F40CE1A"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RE</w:t>
            </w:r>
          </w:p>
        </w:tc>
        <w:tc>
          <w:tcPr>
            <w:tcW w:w="533" w:type="pct"/>
            <w:tcBorders>
              <w:top w:val="single" w:sz="4" w:space="0" w:color="auto"/>
            </w:tcBorders>
            <w:shd w:val="clear" w:color="auto" w:fill="auto"/>
            <w:vAlign w:val="center"/>
            <w:hideMark/>
          </w:tcPr>
          <w:p w14:paraId="442F7EC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tcBorders>
              <w:top w:val="single" w:sz="4" w:space="0" w:color="auto"/>
            </w:tcBorders>
            <w:shd w:val="clear" w:color="auto" w:fill="auto"/>
            <w:vAlign w:val="center"/>
            <w:hideMark/>
          </w:tcPr>
          <w:p w14:paraId="6D2089FD" w14:textId="73F3870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tcBorders>
              <w:top w:val="single" w:sz="4" w:space="0" w:color="auto"/>
            </w:tcBorders>
            <w:shd w:val="clear" w:color="auto" w:fill="auto"/>
            <w:vAlign w:val="center"/>
            <w:hideMark/>
          </w:tcPr>
          <w:p w14:paraId="145A90FF" w14:textId="5FD2B1A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tcBorders>
              <w:top w:val="single" w:sz="4" w:space="0" w:color="auto"/>
            </w:tcBorders>
            <w:shd w:val="clear" w:color="auto" w:fill="auto"/>
            <w:vAlign w:val="center"/>
            <w:hideMark/>
          </w:tcPr>
          <w:p w14:paraId="71793145" w14:textId="0543556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tcBorders>
              <w:top w:val="single" w:sz="4" w:space="0" w:color="auto"/>
            </w:tcBorders>
            <w:shd w:val="clear" w:color="auto" w:fill="auto"/>
            <w:vAlign w:val="center"/>
            <w:hideMark/>
          </w:tcPr>
          <w:p w14:paraId="51640B77" w14:textId="2B26DAE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tcBorders>
              <w:top w:val="single" w:sz="4" w:space="0" w:color="auto"/>
            </w:tcBorders>
            <w:shd w:val="clear" w:color="auto" w:fill="auto"/>
            <w:vAlign w:val="center"/>
            <w:hideMark/>
          </w:tcPr>
          <w:p w14:paraId="0618C78D" w14:textId="17CE86D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tcBorders>
              <w:top w:val="single" w:sz="4" w:space="0" w:color="auto"/>
            </w:tcBorders>
            <w:shd w:val="clear" w:color="auto" w:fill="auto"/>
            <w:vAlign w:val="center"/>
            <w:hideMark/>
          </w:tcPr>
          <w:p w14:paraId="7FAC0E3D" w14:textId="7D16393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4" w:type="pct"/>
            <w:tcBorders>
              <w:top w:val="single" w:sz="4" w:space="0" w:color="auto"/>
            </w:tcBorders>
            <w:shd w:val="clear" w:color="auto" w:fill="auto"/>
            <w:vAlign w:val="center"/>
            <w:hideMark/>
          </w:tcPr>
          <w:p w14:paraId="06AB25D6" w14:textId="7A161D3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tcBorders>
              <w:top w:val="single" w:sz="4" w:space="0" w:color="auto"/>
            </w:tcBorders>
            <w:shd w:val="clear" w:color="auto" w:fill="auto"/>
            <w:vAlign w:val="center"/>
            <w:hideMark/>
          </w:tcPr>
          <w:p w14:paraId="6ED736F7" w14:textId="32E7FA7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tcBorders>
              <w:top w:val="single" w:sz="4" w:space="0" w:color="auto"/>
            </w:tcBorders>
            <w:shd w:val="clear" w:color="auto" w:fill="auto"/>
            <w:vAlign w:val="center"/>
            <w:hideMark/>
          </w:tcPr>
          <w:p w14:paraId="516492B9" w14:textId="2D1DB44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72" w:type="pct"/>
            <w:tcBorders>
              <w:top w:val="single" w:sz="4" w:space="0" w:color="auto"/>
            </w:tcBorders>
            <w:shd w:val="clear" w:color="auto" w:fill="auto"/>
            <w:vAlign w:val="center"/>
            <w:hideMark/>
          </w:tcPr>
          <w:p w14:paraId="1A5D99C0" w14:textId="5BFC069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442" w:type="pct"/>
            <w:tcBorders>
              <w:top w:val="single" w:sz="4" w:space="0" w:color="auto"/>
            </w:tcBorders>
            <w:shd w:val="clear" w:color="auto" w:fill="auto"/>
            <w:vAlign w:val="center"/>
            <w:hideMark/>
          </w:tcPr>
          <w:p w14:paraId="13E02CB9" w14:textId="553E3E0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254" w:type="pct"/>
            <w:tcBorders>
              <w:top w:val="single" w:sz="4" w:space="0" w:color="auto"/>
            </w:tcBorders>
            <w:shd w:val="clear" w:color="auto" w:fill="auto"/>
            <w:vAlign w:val="center"/>
            <w:hideMark/>
          </w:tcPr>
          <w:p w14:paraId="1A20841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2.11</w:t>
            </w:r>
          </w:p>
        </w:tc>
      </w:tr>
      <w:tr w:rsidR="0019205B" w:rsidRPr="008319F4" w14:paraId="2D15E5B0" w14:textId="77777777" w:rsidTr="007C6CB2">
        <w:trPr>
          <w:trHeight w:val="300"/>
        </w:trPr>
        <w:tc>
          <w:tcPr>
            <w:tcW w:w="668" w:type="pct"/>
            <w:shd w:val="clear" w:color="auto" w:fill="auto"/>
            <w:vAlign w:val="center"/>
            <w:hideMark/>
          </w:tcPr>
          <w:p w14:paraId="74CC5542"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5DEFA94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4E3EF791" w14:textId="7DF6E7C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shd w:val="clear" w:color="auto" w:fill="auto"/>
            <w:vAlign w:val="center"/>
            <w:hideMark/>
          </w:tcPr>
          <w:p w14:paraId="60AC5489" w14:textId="637CA02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3" w:type="pct"/>
            <w:shd w:val="clear" w:color="auto" w:fill="auto"/>
            <w:vAlign w:val="center"/>
            <w:hideMark/>
          </w:tcPr>
          <w:p w14:paraId="4E33E3F6" w14:textId="3607D40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37BD2631" w14:textId="6C39DA6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6E6EE6C3" w14:textId="7AAD101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4" w:type="pct"/>
            <w:shd w:val="clear" w:color="auto" w:fill="auto"/>
            <w:vAlign w:val="center"/>
            <w:hideMark/>
          </w:tcPr>
          <w:p w14:paraId="2F97B330" w14:textId="0F22B0C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2</w:t>
            </w:r>
          </w:p>
        </w:tc>
        <w:tc>
          <w:tcPr>
            <w:tcW w:w="304" w:type="pct"/>
            <w:shd w:val="clear" w:color="auto" w:fill="auto"/>
            <w:vAlign w:val="center"/>
            <w:hideMark/>
          </w:tcPr>
          <w:p w14:paraId="69C204F0" w14:textId="678997A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0</w:t>
            </w:r>
          </w:p>
        </w:tc>
        <w:tc>
          <w:tcPr>
            <w:tcW w:w="304" w:type="pct"/>
            <w:shd w:val="clear" w:color="auto" w:fill="auto"/>
            <w:noWrap/>
            <w:vAlign w:val="center"/>
            <w:hideMark/>
          </w:tcPr>
          <w:p w14:paraId="5344567C" w14:textId="00A7D56D"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6</w:t>
            </w:r>
          </w:p>
        </w:tc>
        <w:tc>
          <w:tcPr>
            <w:tcW w:w="304" w:type="pct"/>
            <w:shd w:val="clear" w:color="auto" w:fill="auto"/>
            <w:noWrap/>
            <w:vAlign w:val="center"/>
            <w:hideMark/>
          </w:tcPr>
          <w:p w14:paraId="7FB6B114" w14:textId="3D3C1D95"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4</w:t>
            </w:r>
          </w:p>
        </w:tc>
        <w:tc>
          <w:tcPr>
            <w:tcW w:w="372" w:type="pct"/>
            <w:shd w:val="clear" w:color="auto" w:fill="auto"/>
            <w:noWrap/>
            <w:vAlign w:val="center"/>
            <w:hideMark/>
          </w:tcPr>
          <w:p w14:paraId="1EB44AE6" w14:textId="35FFDBE7"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1</w:t>
            </w:r>
            <w:r>
              <w:rPr>
                <w:rFonts w:eastAsia="Times New Roman" w:cs="Calibri"/>
                <w:color w:val="000000"/>
              </w:rPr>
              <w:t>.</w:t>
            </w:r>
            <w:r w:rsidR="0019205B" w:rsidRPr="008319F4">
              <w:rPr>
                <w:rFonts w:eastAsia="Times New Roman" w:cs="Calibri"/>
                <w:color w:val="000000"/>
              </w:rPr>
              <w:t>1</w:t>
            </w:r>
          </w:p>
        </w:tc>
        <w:tc>
          <w:tcPr>
            <w:tcW w:w="442" w:type="pct"/>
            <w:shd w:val="clear" w:color="auto" w:fill="auto"/>
            <w:vAlign w:val="center"/>
            <w:hideMark/>
          </w:tcPr>
          <w:p w14:paraId="05AA0BFC" w14:textId="007E94F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8***</w:t>
            </w:r>
          </w:p>
        </w:tc>
        <w:tc>
          <w:tcPr>
            <w:tcW w:w="254" w:type="pct"/>
            <w:shd w:val="clear" w:color="auto" w:fill="auto"/>
            <w:vAlign w:val="center"/>
            <w:hideMark/>
          </w:tcPr>
          <w:p w14:paraId="679A7F6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5.74</w:t>
            </w:r>
          </w:p>
        </w:tc>
      </w:tr>
      <w:tr w:rsidR="0019205B" w:rsidRPr="008319F4" w14:paraId="4F13EDCD" w14:textId="77777777" w:rsidTr="007C6CB2">
        <w:trPr>
          <w:trHeight w:val="300"/>
        </w:trPr>
        <w:tc>
          <w:tcPr>
            <w:tcW w:w="668" w:type="pct"/>
            <w:shd w:val="clear" w:color="auto" w:fill="auto"/>
            <w:vAlign w:val="center"/>
            <w:hideMark/>
          </w:tcPr>
          <w:p w14:paraId="3C1959EB"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339B6310"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vAlign w:val="center"/>
            <w:hideMark/>
          </w:tcPr>
          <w:p w14:paraId="6B343CB8"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4E0A4BDD"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7C0D4236"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23B20529"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7F7CACD0"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6CFEAD3B"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0148B270"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5CF22BDB"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5189611A" w14:textId="77777777" w:rsidR="0019205B" w:rsidRPr="008319F4" w:rsidRDefault="0019205B" w:rsidP="00FD7E50">
            <w:pPr>
              <w:spacing w:after="0" w:line="240" w:lineRule="auto"/>
              <w:jc w:val="center"/>
              <w:rPr>
                <w:rFonts w:eastAsia="Times New Roman" w:cs="Calibri"/>
                <w:color w:val="000000"/>
              </w:rPr>
            </w:pPr>
          </w:p>
        </w:tc>
        <w:tc>
          <w:tcPr>
            <w:tcW w:w="372" w:type="pct"/>
            <w:shd w:val="clear" w:color="auto" w:fill="auto"/>
            <w:noWrap/>
            <w:vAlign w:val="center"/>
            <w:hideMark/>
          </w:tcPr>
          <w:p w14:paraId="1E5F0102"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vAlign w:val="center"/>
            <w:hideMark/>
          </w:tcPr>
          <w:p w14:paraId="3DB6660B" w14:textId="08DD2C2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254" w:type="pct"/>
            <w:shd w:val="clear" w:color="auto" w:fill="auto"/>
            <w:vAlign w:val="center"/>
            <w:hideMark/>
          </w:tcPr>
          <w:p w14:paraId="1975964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4.03</w:t>
            </w:r>
          </w:p>
        </w:tc>
      </w:tr>
      <w:tr w:rsidR="0019205B" w:rsidRPr="008319F4" w14:paraId="08117C21" w14:textId="77777777" w:rsidTr="007C6CB2">
        <w:trPr>
          <w:trHeight w:val="300"/>
        </w:trPr>
        <w:tc>
          <w:tcPr>
            <w:tcW w:w="668" w:type="pct"/>
            <w:shd w:val="clear" w:color="auto" w:fill="auto"/>
            <w:vAlign w:val="center"/>
            <w:hideMark/>
          </w:tcPr>
          <w:p w14:paraId="33D006F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DIV</w:t>
            </w:r>
          </w:p>
        </w:tc>
        <w:tc>
          <w:tcPr>
            <w:tcW w:w="533" w:type="pct"/>
            <w:shd w:val="clear" w:color="auto" w:fill="auto"/>
            <w:vAlign w:val="center"/>
            <w:hideMark/>
          </w:tcPr>
          <w:p w14:paraId="4EA9143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shd w:val="clear" w:color="auto" w:fill="auto"/>
            <w:vAlign w:val="center"/>
            <w:hideMark/>
          </w:tcPr>
          <w:p w14:paraId="477968EF" w14:textId="65A6356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3" w:type="pct"/>
            <w:shd w:val="clear" w:color="auto" w:fill="auto"/>
            <w:vAlign w:val="center"/>
            <w:hideMark/>
          </w:tcPr>
          <w:p w14:paraId="17BB6255" w14:textId="69602BC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0AB811A0" w14:textId="3249D35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5288EA2F" w14:textId="02116F7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3" w:type="pct"/>
            <w:shd w:val="clear" w:color="auto" w:fill="auto"/>
            <w:vAlign w:val="center"/>
            <w:hideMark/>
          </w:tcPr>
          <w:p w14:paraId="698CFCB7" w14:textId="4D41A53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60C7EB0B" w14:textId="30A7E39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7090FAC8" w14:textId="313CB50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4" w:type="pct"/>
            <w:shd w:val="clear" w:color="auto" w:fill="auto"/>
            <w:vAlign w:val="center"/>
            <w:hideMark/>
          </w:tcPr>
          <w:p w14:paraId="04F1B92E" w14:textId="478717F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4" w:type="pct"/>
            <w:shd w:val="clear" w:color="auto" w:fill="auto"/>
            <w:vAlign w:val="center"/>
            <w:hideMark/>
          </w:tcPr>
          <w:p w14:paraId="4859CA30" w14:textId="13A7933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72" w:type="pct"/>
            <w:shd w:val="clear" w:color="auto" w:fill="auto"/>
            <w:noWrap/>
            <w:vAlign w:val="center"/>
            <w:hideMark/>
          </w:tcPr>
          <w:p w14:paraId="37AE8149" w14:textId="0F24E599"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1</w:t>
            </w:r>
          </w:p>
        </w:tc>
        <w:tc>
          <w:tcPr>
            <w:tcW w:w="442" w:type="pct"/>
            <w:shd w:val="clear" w:color="auto" w:fill="auto"/>
            <w:vAlign w:val="center"/>
            <w:hideMark/>
          </w:tcPr>
          <w:p w14:paraId="3CA28BEF" w14:textId="0DF973C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254" w:type="pct"/>
            <w:shd w:val="clear" w:color="auto" w:fill="auto"/>
            <w:vAlign w:val="center"/>
            <w:hideMark/>
          </w:tcPr>
          <w:p w14:paraId="42DF356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3.04</w:t>
            </w:r>
          </w:p>
        </w:tc>
      </w:tr>
      <w:tr w:rsidR="0019205B" w:rsidRPr="008319F4" w14:paraId="60C430FD" w14:textId="77777777" w:rsidTr="007C6CB2">
        <w:trPr>
          <w:trHeight w:val="300"/>
        </w:trPr>
        <w:tc>
          <w:tcPr>
            <w:tcW w:w="668" w:type="pct"/>
            <w:shd w:val="clear" w:color="auto" w:fill="auto"/>
            <w:vAlign w:val="center"/>
            <w:hideMark/>
          </w:tcPr>
          <w:p w14:paraId="21D3B630"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52010BC1"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0D2CCD6C" w14:textId="1F44569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shd w:val="clear" w:color="auto" w:fill="auto"/>
            <w:vAlign w:val="center"/>
            <w:hideMark/>
          </w:tcPr>
          <w:p w14:paraId="0AD167B4" w14:textId="57F4150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1E841219" w14:textId="565F562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shd w:val="clear" w:color="auto" w:fill="auto"/>
            <w:vAlign w:val="center"/>
            <w:hideMark/>
          </w:tcPr>
          <w:p w14:paraId="4BB71B47" w14:textId="3A6554A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3" w:type="pct"/>
            <w:shd w:val="clear" w:color="auto" w:fill="auto"/>
            <w:vAlign w:val="center"/>
            <w:hideMark/>
          </w:tcPr>
          <w:p w14:paraId="4A9E5699" w14:textId="00F44D8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376D0353" w14:textId="773A618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304" w:type="pct"/>
            <w:shd w:val="clear" w:color="auto" w:fill="auto"/>
            <w:vAlign w:val="center"/>
            <w:hideMark/>
          </w:tcPr>
          <w:p w14:paraId="6C255586" w14:textId="7BFBA99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6F4EF5BB" w14:textId="67EF85A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2</w:t>
            </w:r>
          </w:p>
        </w:tc>
        <w:tc>
          <w:tcPr>
            <w:tcW w:w="304" w:type="pct"/>
            <w:shd w:val="clear" w:color="auto" w:fill="auto"/>
            <w:vAlign w:val="center"/>
            <w:hideMark/>
          </w:tcPr>
          <w:p w14:paraId="4335F11B" w14:textId="3547E47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0</w:t>
            </w:r>
          </w:p>
        </w:tc>
        <w:tc>
          <w:tcPr>
            <w:tcW w:w="372" w:type="pct"/>
            <w:shd w:val="clear" w:color="auto" w:fill="auto"/>
            <w:noWrap/>
            <w:vAlign w:val="center"/>
            <w:hideMark/>
          </w:tcPr>
          <w:p w14:paraId="076F817D" w14:textId="4C6ACDAA"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4</w:t>
            </w:r>
          </w:p>
        </w:tc>
        <w:tc>
          <w:tcPr>
            <w:tcW w:w="442" w:type="pct"/>
            <w:shd w:val="clear" w:color="auto" w:fill="auto"/>
            <w:vAlign w:val="center"/>
            <w:hideMark/>
          </w:tcPr>
          <w:p w14:paraId="5BC7425E" w14:textId="5AB0A9E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1***</w:t>
            </w:r>
          </w:p>
        </w:tc>
        <w:tc>
          <w:tcPr>
            <w:tcW w:w="254" w:type="pct"/>
            <w:shd w:val="clear" w:color="auto" w:fill="auto"/>
            <w:vAlign w:val="center"/>
            <w:hideMark/>
          </w:tcPr>
          <w:p w14:paraId="064A059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5.66</w:t>
            </w:r>
          </w:p>
        </w:tc>
      </w:tr>
      <w:tr w:rsidR="0019205B" w:rsidRPr="008319F4" w14:paraId="0D1BB9FD" w14:textId="77777777" w:rsidTr="007C6CB2">
        <w:trPr>
          <w:trHeight w:val="300"/>
        </w:trPr>
        <w:tc>
          <w:tcPr>
            <w:tcW w:w="668" w:type="pct"/>
            <w:shd w:val="clear" w:color="auto" w:fill="auto"/>
            <w:vAlign w:val="center"/>
            <w:hideMark/>
          </w:tcPr>
          <w:p w14:paraId="61984548"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29A6C029"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vAlign w:val="center"/>
            <w:hideMark/>
          </w:tcPr>
          <w:p w14:paraId="7D26B909"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51958DCC"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716DAACA"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173E05DD"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4173BA24"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0FB8BC2A"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3D175CDE"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445280AC"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2C1F2006" w14:textId="77777777" w:rsidR="0019205B" w:rsidRPr="008319F4" w:rsidRDefault="0019205B" w:rsidP="00FD7E50">
            <w:pPr>
              <w:spacing w:after="0" w:line="240" w:lineRule="auto"/>
              <w:jc w:val="center"/>
              <w:rPr>
                <w:rFonts w:eastAsia="Times New Roman" w:cs="Calibri"/>
                <w:color w:val="000000"/>
              </w:rPr>
            </w:pPr>
          </w:p>
        </w:tc>
        <w:tc>
          <w:tcPr>
            <w:tcW w:w="372" w:type="pct"/>
            <w:shd w:val="clear" w:color="auto" w:fill="auto"/>
            <w:noWrap/>
            <w:vAlign w:val="center"/>
            <w:hideMark/>
          </w:tcPr>
          <w:p w14:paraId="411C6257"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vAlign w:val="center"/>
            <w:hideMark/>
          </w:tcPr>
          <w:p w14:paraId="78F58D7A" w14:textId="7332229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254" w:type="pct"/>
            <w:shd w:val="clear" w:color="auto" w:fill="auto"/>
            <w:vAlign w:val="center"/>
            <w:hideMark/>
          </w:tcPr>
          <w:p w14:paraId="7F41746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2.47</w:t>
            </w:r>
          </w:p>
        </w:tc>
      </w:tr>
      <w:tr w:rsidR="0019205B" w:rsidRPr="008319F4" w14:paraId="50D71E61" w14:textId="77777777" w:rsidTr="007C6CB2">
        <w:trPr>
          <w:trHeight w:val="300"/>
        </w:trPr>
        <w:tc>
          <w:tcPr>
            <w:tcW w:w="668" w:type="pct"/>
            <w:shd w:val="clear" w:color="auto" w:fill="auto"/>
            <w:vAlign w:val="center"/>
            <w:hideMark/>
          </w:tcPr>
          <w:p w14:paraId="76FC59D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CF</w:t>
            </w:r>
          </w:p>
        </w:tc>
        <w:tc>
          <w:tcPr>
            <w:tcW w:w="533" w:type="pct"/>
            <w:shd w:val="clear" w:color="auto" w:fill="auto"/>
            <w:vAlign w:val="center"/>
            <w:hideMark/>
          </w:tcPr>
          <w:p w14:paraId="4A0F83CB"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shd w:val="clear" w:color="auto" w:fill="auto"/>
            <w:vAlign w:val="center"/>
            <w:hideMark/>
          </w:tcPr>
          <w:p w14:paraId="503FD1CB" w14:textId="08E5599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3B604ACA" w14:textId="0B37607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7821EC63" w14:textId="439A2DA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48769D55" w14:textId="280BD08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097E9A07" w14:textId="56F588A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58E7B158" w14:textId="0A9FB89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4B8B5CA7" w14:textId="0DDD7B6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3C6E4AC9" w14:textId="5743A04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6E37CBDF" w14:textId="179C493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72" w:type="pct"/>
            <w:shd w:val="clear" w:color="auto" w:fill="auto"/>
            <w:vAlign w:val="center"/>
            <w:hideMark/>
          </w:tcPr>
          <w:p w14:paraId="6D951575" w14:textId="568C5D8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0</w:t>
            </w:r>
          </w:p>
        </w:tc>
        <w:tc>
          <w:tcPr>
            <w:tcW w:w="442" w:type="pct"/>
            <w:shd w:val="clear" w:color="auto" w:fill="auto"/>
            <w:vAlign w:val="center"/>
            <w:hideMark/>
          </w:tcPr>
          <w:p w14:paraId="0B65157B" w14:textId="7712D9B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254" w:type="pct"/>
            <w:shd w:val="clear" w:color="auto" w:fill="auto"/>
            <w:vAlign w:val="center"/>
            <w:hideMark/>
          </w:tcPr>
          <w:p w14:paraId="3FF5B96B"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2.81</w:t>
            </w:r>
          </w:p>
        </w:tc>
      </w:tr>
      <w:tr w:rsidR="0019205B" w:rsidRPr="008319F4" w14:paraId="0B835A63" w14:textId="77777777" w:rsidTr="007C6CB2">
        <w:trPr>
          <w:trHeight w:val="300"/>
        </w:trPr>
        <w:tc>
          <w:tcPr>
            <w:tcW w:w="668" w:type="pct"/>
            <w:shd w:val="clear" w:color="auto" w:fill="auto"/>
            <w:vAlign w:val="center"/>
            <w:hideMark/>
          </w:tcPr>
          <w:p w14:paraId="67B54747"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307C590B"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2D70C434" w14:textId="4457F29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3" w:type="pct"/>
            <w:shd w:val="clear" w:color="auto" w:fill="auto"/>
            <w:vAlign w:val="center"/>
            <w:hideMark/>
          </w:tcPr>
          <w:p w14:paraId="5A23C420" w14:textId="73B1271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shd w:val="clear" w:color="auto" w:fill="auto"/>
            <w:vAlign w:val="center"/>
            <w:hideMark/>
          </w:tcPr>
          <w:p w14:paraId="2927D32C" w14:textId="64B0B14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77DD06C3" w14:textId="0EB7963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3" w:type="pct"/>
            <w:shd w:val="clear" w:color="auto" w:fill="auto"/>
            <w:vAlign w:val="center"/>
            <w:hideMark/>
          </w:tcPr>
          <w:p w14:paraId="7559677D" w14:textId="0E11CB0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01E421F9" w14:textId="5B5BFDE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2</w:t>
            </w:r>
          </w:p>
        </w:tc>
        <w:tc>
          <w:tcPr>
            <w:tcW w:w="304" w:type="pct"/>
            <w:shd w:val="clear" w:color="auto" w:fill="auto"/>
            <w:vAlign w:val="center"/>
            <w:hideMark/>
          </w:tcPr>
          <w:p w14:paraId="27F7EECD" w14:textId="1CF0384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0</w:t>
            </w:r>
          </w:p>
        </w:tc>
        <w:tc>
          <w:tcPr>
            <w:tcW w:w="304" w:type="pct"/>
            <w:shd w:val="clear" w:color="auto" w:fill="auto"/>
            <w:noWrap/>
            <w:vAlign w:val="center"/>
            <w:hideMark/>
          </w:tcPr>
          <w:p w14:paraId="6D9101CB" w14:textId="21AB5BD7"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5</w:t>
            </w:r>
          </w:p>
        </w:tc>
        <w:tc>
          <w:tcPr>
            <w:tcW w:w="304" w:type="pct"/>
            <w:shd w:val="clear" w:color="auto" w:fill="auto"/>
            <w:noWrap/>
            <w:vAlign w:val="center"/>
            <w:hideMark/>
          </w:tcPr>
          <w:p w14:paraId="6EFEB8FC" w14:textId="47ECDA88"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6</w:t>
            </w:r>
          </w:p>
        </w:tc>
        <w:tc>
          <w:tcPr>
            <w:tcW w:w="372" w:type="pct"/>
            <w:shd w:val="clear" w:color="auto" w:fill="auto"/>
            <w:noWrap/>
            <w:vAlign w:val="center"/>
            <w:hideMark/>
          </w:tcPr>
          <w:p w14:paraId="3D0B9F7F" w14:textId="1013512D"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1</w:t>
            </w:r>
            <w:r>
              <w:rPr>
                <w:rFonts w:eastAsia="Times New Roman" w:cs="Calibri"/>
                <w:color w:val="000000"/>
              </w:rPr>
              <w:t>.0</w:t>
            </w:r>
          </w:p>
        </w:tc>
        <w:tc>
          <w:tcPr>
            <w:tcW w:w="442" w:type="pct"/>
            <w:shd w:val="clear" w:color="auto" w:fill="auto"/>
            <w:vAlign w:val="center"/>
            <w:hideMark/>
          </w:tcPr>
          <w:p w14:paraId="01F2A009" w14:textId="3EF51F5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6***</w:t>
            </w:r>
          </w:p>
        </w:tc>
        <w:tc>
          <w:tcPr>
            <w:tcW w:w="254" w:type="pct"/>
            <w:shd w:val="clear" w:color="auto" w:fill="auto"/>
            <w:vAlign w:val="center"/>
            <w:hideMark/>
          </w:tcPr>
          <w:p w14:paraId="53F22507"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4.67</w:t>
            </w:r>
          </w:p>
        </w:tc>
      </w:tr>
      <w:tr w:rsidR="0019205B" w:rsidRPr="008319F4" w14:paraId="1F2EA263" w14:textId="77777777" w:rsidTr="007C6CB2">
        <w:trPr>
          <w:trHeight w:val="300"/>
        </w:trPr>
        <w:tc>
          <w:tcPr>
            <w:tcW w:w="668" w:type="pct"/>
            <w:shd w:val="clear" w:color="auto" w:fill="auto"/>
            <w:noWrap/>
            <w:vAlign w:val="center"/>
            <w:hideMark/>
          </w:tcPr>
          <w:p w14:paraId="492F2E1A"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noWrap/>
            <w:vAlign w:val="center"/>
            <w:hideMark/>
          </w:tcPr>
          <w:p w14:paraId="320886BE"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noWrap/>
            <w:vAlign w:val="center"/>
            <w:hideMark/>
          </w:tcPr>
          <w:p w14:paraId="0C260510"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299CE8B7"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03988D46"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0E707346"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0B030ACA"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0EC1B05E"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3797B67A"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5240463A"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06D30C18" w14:textId="77777777" w:rsidR="0019205B" w:rsidRPr="008319F4" w:rsidRDefault="0019205B" w:rsidP="00FD7E50">
            <w:pPr>
              <w:spacing w:after="0" w:line="240" w:lineRule="auto"/>
              <w:jc w:val="center"/>
              <w:rPr>
                <w:rFonts w:eastAsia="Times New Roman" w:cs="Calibri"/>
                <w:color w:val="000000"/>
              </w:rPr>
            </w:pPr>
          </w:p>
        </w:tc>
        <w:tc>
          <w:tcPr>
            <w:tcW w:w="372" w:type="pct"/>
            <w:shd w:val="clear" w:color="auto" w:fill="auto"/>
            <w:noWrap/>
            <w:vAlign w:val="center"/>
            <w:hideMark/>
          </w:tcPr>
          <w:p w14:paraId="6983B335"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noWrap/>
            <w:vAlign w:val="center"/>
            <w:hideMark/>
          </w:tcPr>
          <w:p w14:paraId="7C7EE4D2" w14:textId="5E87A36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1***</w:t>
            </w:r>
          </w:p>
        </w:tc>
        <w:tc>
          <w:tcPr>
            <w:tcW w:w="254" w:type="pct"/>
            <w:shd w:val="clear" w:color="auto" w:fill="auto"/>
            <w:noWrap/>
            <w:vAlign w:val="center"/>
            <w:hideMark/>
          </w:tcPr>
          <w:p w14:paraId="2B1D541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3.86</w:t>
            </w:r>
          </w:p>
        </w:tc>
      </w:tr>
    </w:tbl>
    <w:p w14:paraId="6A25034D" w14:textId="77777777" w:rsidR="007C6CB2" w:rsidRPr="008319F4" w:rsidRDefault="007C6CB2" w:rsidP="0019205B">
      <w:pPr>
        <w:spacing w:line="240" w:lineRule="auto"/>
        <w:rPr>
          <w:b/>
          <w:lang w:val="en-US"/>
        </w:rPr>
      </w:pPr>
    </w:p>
    <w:p w14:paraId="593B6BD5" w14:textId="77777777" w:rsidR="0019205B" w:rsidRPr="008319F4" w:rsidRDefault="0019205B" w:rsidP="0019205B">
      <w:pPr>
        <w:spacing w:line="240" w:lineRule="auto"/>
      </w:pPr>
      <w:r w:rsidRPr="008319F4">
        <w:t>Panel D: Value-weighted portfolio Fama-French monthly alphas</w:t>
      </w:r>
    </w:p>
    <w:tbl>
      <w:tblPr>
        <w:tblW w:w="5000" w:type="pct"/>
        <w:tblBorders>
          <w:top w:val="single" w:sz="4" w:space="0" w:color="auto"/>
          <w:bottom w:val="single" w:sz="4" w:space="0" w:color="auto"/>
        </w:tblBorders>
        <w:tblLook w:val="04A0" w:firstRow="1" w:lastRow="0" w:firstColumn="1" w:lastColumn="0" w:noHBand="0" w:noVBand="1"/>
      </w:tblPr>
      <w:tblGrid>
        <w:gridCol w:w="1878"/>
        <w:gridCol w:w="1511"/>
        <w:gridCol w:w="859"/>
        <w:gridCol w:w="859"/>
        <w:gridCol w:w="859"/>
        <w:gridCol w:w="859"/>
        <w:gridCol w:w="859"/>
        <w:gridCol w:w="859"/>
        <w:gridCol w:w="862"/>
        <w:gridCol w:w="862"/>
        <w:gridCol w:w="862"/>
        <w:gridCol w:w="1052"/>
        <w:gridCol w:w="1253"/>
        <w:gridCol w:w="740"/>
      </w:tblGrid>
      <w:tr w:rsidR="0019205B" w:rsidRPr="008319F4" w14:paraId="233FD931" w14:textId="77777777" w:rsidTr="007C6CB2">
        <w:trPr>
          <w:trHeight w:val="300"/>
        </w:trPr>
        <w:tc>
          <w:tcPr>
            <w:tcW w:w="662" w:type="pct"/>
            <w:tcBorders>
              <w:top w:val="single" w:sz="4" w:space="0" w:color="auto"/>
              <w:bottom w:val="single" w:sz="4" w:space="0" w:color="auto"/>
            </w:tcBorders>
            <w:shd w:val="clear" w:color="auto" w:fill="auto"/>
            <w:vAlign w:val="center"/>
          </w:tcPr>
          <w:p w14:paraId="57A4B334"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Proxy</w:t>
            </w:r>
          </w:p>
        </w:tc>
        <w:tc>
          <w:tcPr>
            <w:tcW w:w="533" w:type="pct"/>
            <w:tcBorders>
              <w:top w:val="single" w:sz="4" w:space="0" w:color="auto"/>
              <w:bottom w:val="single" w:sz="4" w:space="0" w:color="auto"/>
            </w:tcBorders>
            <w:shd w:val="clear" w:color="auto" w:fill="auto"/>
            <w:vAlign w:val="center"/>
          </w:tcPr>
          <w:p w14:paraId="647BB026"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 type</w:t>
            </w:r>
          </w:p>
        </w:tc>
        <w:tc>
          <w:tcPr>
            <w:tcW w:w="303" w:type="pct"/>
            <w:tcBorders>
              <w:top w:val="single" w:sz="4" w:space="0" w:color="auto"/>
              <w:bottom w:val="single" w:sz="4" w:space="0" w:color="auto"/>
            </w:tcBorders>
            <w:shd w:val="clear" w:color="auto" w:fill="auto"/>
            <w:vAlign w:val="center"/>
          </w:tcPr>
          <w:p w14:paraId="78218EF9"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1(Low)</w:t>
            </w:r>
          </w:p>
        </w:tc>
        <w:tc>
          <w:tcPr>
            <w:tcW w:w="303" w:type="pct"/>
            <w:tcBorders>
              <w:top w:val="single" w:sz="4" w:space="0" w:color="auto"/>
              <w:bottom w:val="single" w:sz="4" w:space="0" w:color="auto"/>
            </w:tcBorders>
            <w:shd w:val="clear" w:color="auto" w:fill="auto"/>
            <w:vAlign w:val="center"/>
          </w:tcPr>
          <w:p w14:paraId="3A76D93F"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p>
        </w:tc>
        <w:tc>
          <w:tcPr>
            <w:tcW w:w="303" w:type="pct"/>
            <w:tcBorders>
              <w:top w:val="single" w:sz="4" w:space="0" w:color="auto"/>
              <w:bottom w:val="single" w:sz="4" w:space="0" w:color="auto"/>
            </w:tcBorders>
            <w:shd w:val="clear" w:color="auto" w:fill="auto"/>
            <w:vAlign w:val="center"/>
          </w:tcPr>
          <w:p w14:paraId="7C792A36"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p>
        </w:tc>
        <w:tc>
          <w:tcPr>
            <w:tcW w:w="303" w:type="pct"/>
            <w:tcBorders>
              <w:top w:val="single" w:sz="4" w:space="0" w:color="auto"/>
              <w:bottom w:val="single" w:sz="4" w:space="0" w:color="auto"/>
            </w:tcBorders>
            <w:shd w:val="clear" w:color="auto" w:fill="auto"/>
            <w:vAlign w:val="center"/>
          </w:tcPr>
          <w:p w14:paraId="4F556223"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4</w:t>
            </w:r>
          </w:p>
        </w:tc>
        <w:tc>
          <w:tcPr>
            <w:tcW w:w="303" w:type="pct"/>
            <w:tcBorders>
              <w:top w:val="single" w:sz="4" w:space="0" w:color="auto"/>
              <w:bottom w:val="single" w:sz="4" w:space="0" w:color="auto"/>
            </w:tcBorders>
            <w:shd w:val="clear" w:color="auto" w:fill="auto"/>
            <w:vAlign w:val="center"/>
          </w:tcPr>
          <w:p w14:paraId="19A2B09C"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5</w:t>
            </w:r>
          </w:p>
        </w:tc>
        <w:tc>
          <w:tcPr>
            <w:tcW w:w="303" w:type="pct"/>
            <w:tcBorders>
              <w:top w:val="single" w:sz="4" w:space="0" w:color="auto"/>
              <w:bottom w:val="single" w:sz="4" w:space="0" w:color="auto"/>
            </w:tcBorders>
            <w:shd w:val="clear" w:color="auto" w:fill="auto"/>
            <w:vAlign w:val="center"/>
          </w:tcPr>
          <w:p w14:paraId="115E06A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6</w:t>
            </w:r>
          </w:p>
        </w:tc>
        <w:tc>
          <w:tcPr>
            <w:tcW w:w="304" w:type="pct"/>
            <w:tcBorders>
              <w:top w:val="single" w:sz="4" w:space="0" w:color="auto"/>
              <w:bottom w:val="single" w:sz="4" w:space="0" w:color="auto"/>
            </w:tcBorders>
            <w:shd w:val="clear" w:color="auto" w:fill="auto"/>
            <w:vAlign w:val="center"/>
          </w:tcPr>
          <w:p w14:paraId="5F30D335"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7</w:t>
            </w:r>
          </w:p>
        </w:tc>
        <w:tc>
          <w:tcPr>
            <w:tcW w:w="304" w:type="pct"/>
            <w:tcBorders>
              <w:top w:val="single" w:sz="4" w:space="0" w:color="auto"/>
              <w:bottom w:val="single" w:sz="4" w:space="0" w:color="auto"/>
            </w:tcBorders>
            <w:shd w:val="clear" w:color="auto" w:fill="auto"/>
            <w:vAlign w:val="center"/>
          </w:tcPr>
          <w:p w14:paraId="6F238319"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8</w:t>
            </w:r>
          </w:p>
        </w:tc>
        <w:tc>
          <w:tcPr>
            <w:tcW w:w="304" w:type="pct"/>
            <w:tcBorders>
              <w:top w:val="single" w:sz="4" w:space="0" w:color="auto"/>
              <w:bottom w:val="single" w:sz="4" w:space="0" w:color="auto"/>
            </w:tcBorders>
            <w:shd w:val="clear" w:color="auto" w:fill="auto"/>
            <w:vAlign w:val="center"/>
          </w:tcPr>
          <w:p w14:paraId="40695709"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9</w:t>
            </w:r>
          </w:p>
        </w:tc>
        <w:tc>
          <w:tcPr>
            <w:tcW w:w="371" w:type="pct"/>
            <w:tcBorders>
              <w:top w:val="single" w:sz="4" w:space="0" w:color="auto"/>
              <w:bottom w:val="single" w:sz="4" w:space="0" w:color="auto"/>
            </w:tcBorders>
            <w:shd w:val="clear" w:color="auto" w:fill="auto"/>
            <w:vAlign w:val="center"/>
          </w:tcPr>
          <w:p w14:paraId="243CBEFA"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10(High)</w:t>
            </w:r>
          </w:p>
        </w:tc>
        <w:tc>
          <w:tcPr>
            <w:tcW w:w="442" w:type="pct"/>
            <w:tcBorders>
              <w:top w:val="single" w:sz="4" w:space="0" w:color="auto"/>
              <w:bottom w:val="single" w:sz="4" w:space="0" w:color="auto"/>
            </w:tcBorders>
            <w:shd w:val="clear" w:color="auto" w:fill="auto"/>
            <w:noWrap/>
            <w:vAlign w:val="center"/>
          </w:tcPr>
          <w:p w14:paraId="497733F8"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Diff</w:t>
            </w:r>
            <w:r w:rsidRPr="008319F4">
              <w:rPr>
                <w:rFonts w:eastAsia="Times New Roman" w:cs="Calibri"/>
                <w:color w:val="000000"/>
              </w:rPr>
              <w:br/>
              <w:t>(1-10)</w:t>
            </w:r>
          </w:p>
        </w:tc>
        <w:tc>
          <w:tcPr>
            <w:tcW w:w="261" w:type="pct"/>
            <w:tcBorders>
              <w:top w:val="single" w:sz="4" w:space="0" w:color="auto"/>
              <w:bottom w:val="single" w:sz="4" w:space="0" w:color="auto"/>
            </w:tcBorders>
            <w:shd w:val="clear" w:color="auto" w:fill="auto"/>
            <w:noWrap/>
            <w:vAlign w:val="center"/>
          </w:tcPr>
          <w:p w14:paraId="7D117EF1"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t</w:t>
            </w:r>
          </w:p>
        </w:tc>
      </w:tr>
      <w:tr w:rsidR="0019205B" w:rsidRPr="008319F4" w14:paraId="77F8C7DB" w14:textId="77777777" w:rsidTr="007C6CB2">
        <w:trPr>
          <w:trHeight w:val="300"/>
        </w:trPr>
        <w:tc>
          <w:tcPr>
            <w:tcW w:w="662" w:type="pct"/>
            <w:tcBorders>
              <w:top w:val="single" w:sz="4" w:space="0" w:color="auto"/>
            </w:tcBorders>
            <w:shd w:val="clear" w:color="auto" w:fill="auto"/>
            <w:vAlign w:val="center"/>
            <w:hideMark/>
          </w:tcPr>
          <w:p w14:paraId="637BE705"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RE</w:t>
            </w:r>
          </w:p>
        </w:tc>
        <w:tc>
          <w:tcPr>
            <w:tcW w:w="533" w:type="pct"/>
            <w:tcBorders>
              <w:top w:val="single" w:sz="4" w:space="0" w:color="auto"/>
            </w:tcBorders>
            <w:shd w:val="clear" w:color="auto" w:fill="auto"/>
            <w:vAlign w:val="center"/>
            <w:hideMark/>
          </w:tcPr>
          <w:p w14:paraId="235A89D4"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tcBorders>
              <w:top w:val="single" w:sz="4" w:space="0" w:color="auto"/>
            </w:tcBorders>
            <w:shd w:val="clear" w:color="auto" w:fill="auto"/>
            <w:vAlign w:val="center"/>
            <w:hideMark/>
          </w:tcPr>
          <w:p w14:paraId="636649C7" w14:textId="18FBAC7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03" w:type="pct"/>
            <w:tcBorders>
              <w:top w:val="single" w:sz="4" w:space="0" w:color="auto"/>
            </w:tcBorders>
            <w:shd w:val="clear" w:color="auto" w:fill="auto"/>
            <w:vAlign w:val="center"/>
            <w:hideMark/>
          </w:tcPr>
          <w:p w14:paraId="6629473C" w14:textId="0837809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303" w:type="pct"/>
            <w:tcBorders>
              <w:top w:val="single" w:sz="4" w:space="0" w:color="auto"/>
            </w:tcBorders>
            <w:shd w:val="clear" w:color="auto" w:fill="auto"/>
            <w:vAlign w:val="center"/>
            <w:hideMark/>
          </w:tcPr>
          <w:p w14:paraId="589EB0DF" w14:textId="7A3CEF0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tcBorders>
              <w:top w:val="single" w:sz="4" w:space="0" w:color="auto"/>
            </w:tcBorders>
            <w:shd w:val="clear" w:color="auto" w:fill="auto"/>
            <w:vAlign w:val="center"/>
            <w:hideMark/>
          </w:tcPr>
          <w:p w14:paraId="5AF44050" w14:textId="4E7474A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tcBorders>
              <w:top w:val="single" w:sz="4" w:space="0" w:color="auto"/>
            </w:tcBorders>
            <w:shd w:val="clear" w:color="auto" w:fill="auto"/>
            <w:vAlign w:val="center"/>
            <w:hideMark/>
          </w:tcPr>
          <w:p w14:paraId="67542D14" w14:textId="0D60C579"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tcBorders>
              <w:top w:val="single" w:sz="4" w:space="0" w:color="auto"/>
            </w:tcBorders>
            <w:shd w:val="clear" w:color="auto" w:fill="auto"/>
            <w:vAlign w:val="center"/>
            <w:hideMark/>
          </w:tcPr>
          <w:p w14:paraId="23524750" w14:textId="0D58A49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4" w:type="pct"/>
            <w:tcBorders>
              <w:top w:val="single" w:sz="4" w:space="0" w:color="auto"/>
            </w:tcBorders>
            <w:shd w:val="clear" w:color="auto" w:fill="auto"/>
            <w:vAlign w:val="center"/>
            <w:hideMark/>
          </w:tcPr>
          <w:p w14:paraId="268682E2" w14:textId="2CBF743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4" w:type="pct"/>
            <w:tcBorders>
              <w:top w:val="single" w:sz="4" w:space="0" w:color="auto"/>
            </w:tcBorders>
            <w:shd w:val="clear" w:color="auto" w:fill="auto"/>
            <w:vAlign w:val="center"/>
            <w:hideMark/>
          </w:tcPr>
          <w:p w14:paraId="1157E222" w14:textId="16DA9E0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304" w:type="pct"/>
            <w:tcBorders>
              <w:top w:val="single" w:sz="4" w:space="0" w:color="auto"/>
            </w:tcBorders>
            <w:shd w:val="clear" w:color="auto" w:fill="auto"/>
            <w:vAlign w:val="center"/>
            <w:hideMark/>
          </w:tcPr>
          <w:p w14:paraId="738AF782" w14:textId="6AC79A3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371" w:type="pct"/>
            <w:tcBorders>
              <w:top w:val="single" w:sz="4" w:space="0" w:color="auto"/>
            </w:tcBorders>
            <w:shd w:val="clear" w:color="auto" w:fill="auto"/>
            <w:vAlign w:val="center"/>
            <w:hideMark/>
          </w:tcPr>
          <w:p w14:paraId="3546292B" w14:textId="1460484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2</w:t>
            </w:r>
          </w:p>
        </w:tc>
        <w:tc>
          <w:tcPr>
            <w:tcW w:w="442" w:type="pct"/>
            <w:tcBorders>
              <w:top w:val="single" w:sz="4" w:space="0" w:color="auto"/>
            </w:tcBorders>
            <w:shd w:val="clear" w:color="auto" w:fill="auto"/>
            <w:noWrap/>
            <w:vAlign w:val="center"/>
            <w:hideMark/>
          </w:tcPr>
          <w:p w14:paraId="5FA62286" w14:textId="1B392631" w:rsidR="0019205B" w:rsidRPr="008319F4" w:rsidRDefault="001742ED" w:rsidP="00FD7E50">
            <w:pPr>
              <w:spacing w:after="0" w:line="240" w:lineRule="auto"/>
              <w:jc w:val="center"/>
              <w:rPr>
                <w:rFonts w:eastAsia="Times New Roman" w:cs="Calibri"/>
                <w:color w:val="000000"/>
              </w:rPr>
            </w:pPr>
            <w:r>
              <w:rPr>
                <w:rFonts w:eastAsia="Times New Roman" w:cs="Calibri"/>
                <w:color w:val="000000"/>
              </w:rPr>
              <w:t>-</w:t>
            </w:r>
            <w:r w:rsidR="0019205B" w:rsidRPr="008319F4">
              <w:rPr>
                <w:rFonts w:eastAsia="Times New Roman" w:cs="Calibri"/>
                <w:color w:val="000000"/>
              </w:rPr>
              <w:t>0</w:t>
            </w:r>
            <w:r>
              <w:rPr>
                <w:rFonts w:eastAsia="Times New Roman" w:cs="Calibri"/>
                <w:color w:val="000000"/>
              </w:rPr>
              <w:t>.</w:t>
            </w:r>
            <w:r w:rsidR="0019205B" w:rsidRPr="008319F4">
              <w:rPr>
                <w:rFonts w:eastAsia="Times New Roman" w:cs="Calibri"/>
                <w:color w:val="000000"/>
              </w:rPr>
              <w:t>2</w:t>
            </w:r>
          </w:p>
        </w:tc>
        <w:tc>
          <w:tcPr>
            <w:tcW w:w="261" w:type="pct"/>
            <w:tcBorders>
              <w:top w:val="single" w:sz="4" w:space="0" w:color="auto"/>
            </w:tcBorders>
            <w:shd w:val="clear" w:color="auto" w:fill="auto"/>
            <w:noWrap/>
            <w:vAlign w:val="center"/>
            <w:hideMark/>
          </w:tcPr>
          <w:p w14:paraId="03874899"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-0.77</w:t>
            </w:r>
          </w:p>
        </w:tc>
      </w:tr>
      <w:tr w:rsidR="0019205B" w:rsidRPr="008319F4" w14:paraId="290C6973" w14:textId="77777777" w:rsidTr="007C6CB2">
        <w:trPr>
          <w:trHeight w:val="300"/>
        </w:trPr>
        <w:tc>
          <w:tcPr>
            <w:tcW w:w="662" w:type="pct"/>
            <w:shd w:val="clear" w:color="auto" w:fill="auto"/>
            <w:vAlign w:val="center"/>
            <w:hideMark/>
          </w:tcPr>
          <w:p w14:paraId="1E181831"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1D64DE67"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41B4DDA6" w14:textId="4CBD650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w:t>
            </w:r>
            <w:r w:rsidR="001742ED">
              <w:rPr>
                <w:rFonts w:eastAsia="Times New Roman" w:cs="Calibri"/>
                <w:color w:val="000000"/>
              </w:rPr>
              <w:t>.0</w:t>
            </w:r>
          </w:p>
        </w:tc>
        <w:tc>
          <w:tcPr>
            <w:tcW w:w="303" w:type="pct"/>
            <w:shd w:val="clear" w:color="auto" w:fill="auto"/>
            <w:vAlign w:val="center"/>
            <w:hideMark/>
          </w:tcPr>
          <w:p w14:paraId="52A8070A" w14:textId="5246ED2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3</w:t>
            </w:r>
          </w:p>
        </w:tc>
        <w:tc>
          <w:tcPr>
            <w:tcW w:w="303" w:type="pct"/>
            <w:shd w:val="clear" w:color="auto" w:fill="auto"/>
            <w:vAlign w:val="center"/>
            <w:hideMark/>
          </w:tcPr>
          <w:p w14:paraId="1322ED64" w14:textId="1014686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2</w:t>
            </w:r>
          </w:p>
        </w:tc>
        <w:tc>
          <w:tcPr>
            <w:tcW w:w="303" w:type="pct"/>
            <w:shd w:val="clear" w:color="auto" w:fill="auto"/>
            <w:vAlign w:val="center"/>
            <w:hideMark/>
          </w:tcPr>
          <w:p w14:paraId="3DF9D83D" w14:textId="3AB40DA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9</w:t>
            </w:r>
          </w:p>
        </w:tc>
        <w:tc>
          <w:tcPr>
            <w:tcW w:w="303" w:type="pct"/>
            <w:shd w:val="clear" w:color="auto" w:fill="auto"/>
            <w:vAlign w:val="center"/>
            <w:hideMark/>
          </w:tcPr>
          <w:p w14:paraId="34E97DDE" w14:textId="1DD01EE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3</w:t>
            </w:r>
          </w:p>
        </w:tc>
        <w:tc>
          <w:tcPr>
            <w:tcW w:w="303" w:type="pct"/>
            <w:shd w:val="clear" w:color="auto" w:fill="auto"/>
            <w:vAlign w:val="center"/>
            <w:hideMark/>
          </w:tcPr>
          <w:p w14:paraId="7C8E8217" w14:textId="2B9AD3E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6</w:t>
            </w:r>
          </w:p>
        </w:tc>
        <w:tc>
          <w:tcPr>
            <w:tcW w:w="304" w:type="pct"/>
            <w:shd w:val="clear" w:color="auto" w:fill="auto"/>
            <w:vAlign w:val="center"/>
            <w:hideMark/>
          </w:tcPr>
          <w:p w14:paraId="0221A166" w14:textId="5D62C82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5F396EE4" w14:textId="280C965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304" w:type="pct"/>
            <w:shd w:val="clear" w:color="auto" w:fill="auto"/>
            <w:vAlign w:val="center"/>
            <w:hideMark/>
          </w:tcPr>
          <w:p w14:paraId="395FFA72" w14:textId="0F50680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371" w:type="pct"/>
            <w:shd w:val="clear" w:color="auto" w:fill="auto"/>
            <w:vAlign w:val="center"/>
            <w:hideMark/>
          </w:tcPr>
          <w:p w14:paraId="3217BB2F" w14:textId="737E98D2"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442" w:type="pct"/>
            <w:shd w:val="clear" w:color="auto" w:fill="auto"/>
            <w:vAlign w:val="center"/>
            <w:hideMark/>
          </w:tcPr>
          <w:p w14:paraId="5374D6C2" w14:textId="1874375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6***</w:t>
            </w:r>
          </w:p>
        </w:tc>
        <w:tc>
          <w:tcPr>
            <w:tcW w:w="261" w:type="pct"/>
            <w:shd w:val="clear" w:color="auto" w:fill="auto"/>
            <w:vAlign w:val="center"/>
            <w:hideMark/>
          </w:tcPr>
          <w:p w14:paraId="445FC4C4"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3.45</w:t>
            </w:r>
          </w:p>
        </w:tc>
      </w:tr>
      <w:tr w:rsidR="0019205B" w:rsidRPr="008319F4" w14:paraId="57B33D0A" w14:textId="77777777" w:rsidTr="007C6CB2">
        <w:trPr>
          <w:trHeight w:val="300"/>
        </w:trPr>
        <w:tc>
          <w:tcPr>
            <w:tcW w:w="662" w:type="pct"/>
            <w:shd w:val="clear" w:color="auto" w:fill="auto"/>
            <w:vAlign w:val="center"/>
            <w:hideMark/>
          </w:tcPr>
          <w:p w14:paraId="5C3616E0"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22186EC3"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vAlign w:val="center"/>
            <w:hideMark/>
          </w:tcPr>
          <w:p w14:paraId="1E5DEB16"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14105FF8"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533E70AE"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1D7596E9"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432B1800"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67448A0B"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4B70C43A"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4024C50E"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5DA877B6" w14:textId="77777777" w:rsidR="0019205B" w:rsidRPr="008319F4" w:rsidRDefault="0019205B" w:rsidP="00FD7E50">
            <w:pPr>
              <w:spacing w:after="0" w:line="240" w:lineRule="auto"/>
              <w:jc w:val="center"/>
              <w:rPr>
                <w:rFonts w:eastAsia="Times New Roman" w:cs="Calibri"/>
                <w:color w:val="000000"/>
              </w:rPr>
            </w:pPr>
          </w:p>
        </w:tc>
        <w:tc>
          <w:tcPr>
            <w:tcW w:w="371" w:type="pct"/>
            <w:shd w:val="clear" w:color="auto" w:fill="auto"/>
            <w:vAlign w:val="center"/>
            <w:hideMark/>
          </w:tcPr>
          <w:p w14:paraId="230561DA"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vAlign w:val="center"/>
            <w:hideMark/>
          </w:tcPr>
          <w:p w14:paraId="2087AEC8" w14:textId="38C0792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8***</w:t>
            </w:r>
          </w:p>
        </w:tc>
        <w:tc>
          <w:tcPr>
            <w:tcW w:w="261" w:type="pct"/>
            <w:shd w:val="clear" w:color="auto" w:fill="auto"/>
            <w:vAlign w:val="center"/>
            <w:hideMark/>
          </w:tcPr>
          <w:p w14:paraId="1048E62E"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3.71</w:t>
            </w:r>
          </w:p>
        </w:tc>
      </w:tr>
      <w:tr w:rsidR="0019205B" w:rsidRPr="008319F4" w14:paraId="700BBB3F" w14:textId="77777777" w:rsidTr="007C6CB2">
        <w:trPr>
          <w:trHeight w:val="300"/>
        </w:trPr>
        <w:tc>
          <w:tcPr>
            <w:tcW w:w="662" w:type="pct"/>
            <w:shd w:val="clear" w:color="auto" w:fill="auto"/>
            <w:vAlign w:val="center"/>
            <w:hideMark/>
          </w:tcPr>
          <w:p w14:paraId="08C91ADF"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DIV</w:t>
            </w:r>
          </w:p>
        </w:tc>
        <w:tc>
          <w:tcPr>
            <w:tcW w:w="533" w:type="pct"/>
            <w:shd w:val="clear" w:color="auto" w:fill="auto"/>
            <w:vAlign w:val="center"/>
            <w:hideMark/>
          </w:tcPr>
          <w:p w14:paraId="26188314"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shd w:val="clear" w:color="auto" w:fill="auto"/>
            <w:vAlign w:val="center"/>
            <w:hideMark/>
          </w:tcPr>
          <w:p w14:paraId="1569543C" w14:textId="4842F8D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shd w:val="clear" w:color="auto" w:fill="auto"/>
            <w:vAlign w:val="center"/>
            <w:hideMark/>
          </w:tcPr>
          <w:p w14:paraId="04D13D98" w14:textId="3A0B68B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303" w:type="pct"/>
            <w:shd w:val="clear" w:color="auto" w:fill="auto"/>
            <w:vAlign w:val="center"/>
            <w:hideMark/>
          </w:tcPr>
          <w:p w14:paraId="6A34A1BE" w14:textId="73C9019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002DF8B4" w14:textId="31E1009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7EAABC79" w14:textId="6C0CFAC0"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770D58CE" w14:textId="7B2F43E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5614BFCF" w14:textId="221F370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750F5478" w14:textId="562D765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304" w:type="pct"/>
            <w:shd w:val="clear" w:color="auto" w:fill="auto"/>
            <w:vAlign w:val="center"/>
            <w:hideMark/>
          </w:tcPr>
          <w:p w14:paraId="68286B7D" w14:textId="7777352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71" w:type="pct"/>
            <w:shd w:val="clear" w:color="auto" w:fill="auto"/>
            <w:vAlign w:val="center"/>
            <w:hideMark/>
          </w:tcPr>
          <w:p w14:paraId="71B089D3" w14:textId="0FE88A4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442" w:type="pct"/>
            <w:shd w:val="clear" w:color="auto" w:fill="auto"/>
            <w:vAlign w:val="center"/>
            <w:hideMark/>
          </w:tcPr>
          <w:p w14:paraId="1CA467AE" w14:textId="7150D84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3</w:t>
            </w:r>
          </w:p>
        </w:tc>
        <w:tc>
          <w:tcPr>
            <w:tcW w:w="261" w:type="pct"/>
            <w:shd w:val="clear" w:color="auto" w:fill="auto"/>
            <w:vAlign w:val="center"/>
            <w:hideMark/>
          </w:tcPr>
          <w:p w14:paraId="6A2A33A2"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1.12</w:t>
            </w:r>
          </w:p>
        </w:tc>
      </w:tr>
      <w:tr w:rsidR="0019205B" w:rsidRPr="008319F4" w14:paraId="2EFF373C" w14:textId="77777777" w:rsidTr="007C6CB2">
        <w:trPr>
          <w:trHeight w:val="300"/>
        </w:trPr>
        <w:tc>
          <w:tcPr>
            <w:tcW w:w="662" w:type="pct"/>
            <w:shd w:val="clear" w:color="auto" w:fill="auto"/>
            <w:vAlign w:val="center"/>
            <w:hideMark/>
          </w:tcPr>
          <w:p w14:paraId="0D1B4139"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69A1D962"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011D6EDB" w14:textId="5A8416E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303" w:type="pct"/>
            <w:shd w:val="clear" w:color="auto" w:fill="auto"/>
            <w:vAlign w:val="center"/>
            <w:hideMark/>
          </w:tcPr>
          <w:p w14:paraId="61326A66" w14:textId="0A1B215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1</w:t>
            </w:r>
          </w:p>
        </w:tc>
        <w:tc>
          <w:tcPr>
            <w:tcW w:w="303" w:type="pct"/>
            <w:shd w:val="clear" w:color="auto" w:fill="auto"/>
            <w:vAlign w:val="center"/>
            <w:hideMark/>
          </w:tcPr>
          <w:p w14:paraId="6628B6A7" w14:textId="2727F06E"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2</w:t>
            </w:r>
          </w:p>
        </w:tc>
        <w:tc>
          <w:tcPr>
            <w:tcW w:w="303" w:type="pct"/>
            <w:shd w:val="clear" w:color="auto" w:fill="auto"/>
            <w:vAlign w:val="center"/>
            <w:hideMark/>
          </w:tcPr>
          <w:p w14:paraId="42F403AD" w14:textId="0931DB6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03" w:type="pct"/>
            <w:shd w:val="clear" w:color="auto" w:fill="auto"/>
            <w:vAlign w:val="center"/>
            <w:hideMark/>
          </w:tcPr>
          <w:p w14:paraId="263DE9FA" w14:textId="2078237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4</w:t>
            </w:r>
          </w:p>
        </w:tc>
        <w:tc>
          <w:tcPr>
            <w:tcW w:w="303" w:type="pct"/>
            <w:shd w:val="clear" w:color="auto" w:fill="auto"/>
            <w:vAlign w:val="center"/>
            <w:hideMark/>
          </w:tcPr>
          <w:p w14:paraId="3045E567" w14:textId="09170FC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4" w:type="pct"/>
            <w:shd w:val="clear" w:color="auto" w:fill="auto"/>
            <w:vAlign w:val="center"/>
            <w:hideMark/>
          </w:tcPr>
          <w:p w14:paraId="047E6222" w14:textId="629078A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2</w:t>
            </w:r>
          </w:p>
        </w:tc>
        <w:tc>
          <w:tcPr>
            <w:tcW w:w="304" w:type="pct"/>
            <w:shd w:val="clear" w:color="auto" w:fill="auto"/>
            <w:vAlign w:val="center"/>
            <w:hideMark/>
          </w:tcPr>
          <w:p w14:paraId="7F87714A" w14:textId="5FE4AC1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04" w:type="pct"/>
            <w:shd w:val="clear" w:color="auto" w:fill="auto"/>
            <w:vAlign w:val="center"/>
            <w:hideMark/>
          </w:tcPr>
          <w:p w14:paraId="0A1213E7" w14:textId="3D352C5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71" w:type="pct"/>
            <w:shd w:val="clear" w:color="auto" w:fill="auto"/>
            <w:vAlign w:val="center"/>
            <w:hideMark/>
          </w:tcPr>
          <w:p w14:paraId="72924DAC" w14:textId="7A85E75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442" w:type="pct"/>
            <w:shd w:val="clear" w:color="auto" w:fill="auto"/>
            <w:vAlign w:val="center"/>
            <w:hideMark/>
          </w:tcPr>
          <w:p w14:paraId="71BAA7A2" w14:textId="5B9D853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5*</w:t>
            </w:r>
          </w:p>
        </w:tc>
        <w:tc>
          <w:tcPr>
            <w:tcW w:w="261" w:type="pct"/>
            <w:shd w:val="clear" w:color="auto" w:fill="auto"/>
            <w:vAlign w:val="center"/>
            <w:hideMark/>
          </w:tcPr>
          <w:p w14:paraId="20BDDE20"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1.88</w:t>
            </w:r>
          </w:p>
        </w:tc>
      </w:tr>
      <w:tr w:rsidR="0019205B" w:rsidRPr="008319F4" w14:paraId="20A4F722" w14:textId="77777777" w:rsidTr="007C6CB2">
        <w:trPr>
          <w:trHeight w:val="300"/>
        </w:trPr>
        <w:tc>
          <w:tcPr>
            <w:tcW w:w="662" w:type="pct"/>
            <w:shd w:val="clear" w:color="auto" w:fill="auto"/>
            <w:vAlign w:val="center"/>
            <w:hideMark/>
          </w:tcPr>
          <w:p w14:paraId="0FF6C8D3"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0982F9D5"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vAlign w:val="center"/>
            <w:hideMark/>
          </w:tcPr>
          <w:p w14:paraId="00B7162E"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0ADAA63A"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0127A570"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690278AA"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1EDBF215"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vAlign w:val="center"/>
            <w:hideMark/>
          </w:tcPr>
          <w:p w14:paraId="76E2CE91"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761B80B1"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1824F56C"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vAlign w:val="center"/>
            <w:hideMark/>
          </w:tcPr>
          <w:p w14:paraId="5CE7F218" w14:textId="77777777" w:rsidR="0019205B" w:rsidRPr="008319F4" w:rsidRDefault="0019205B" w:rsidP="00FD7E50">
            <w:pPr>
              <w:spacing w:after="0" w:line="240" w:lineRule="auto"/>
              <w:jc w:val="center"/>
              <w:rPr>
                <w:rFonts w:eastAsia="Times New Roman" w:cs="Calibri"/>
                <w:color w:val="000000"/>
              </w:rPr>
            </w:pPr>
          </w:p>
        </w:tc>
        <w:tc>
          <w:tcPr>
            <w:tcW w:w="371" w:type="pct"/>
            <w:shd w:val="clear" w:color="auto" w:fill="auto"/>
            <w:vAlign w:val="center"/>
            <w:hideMark/>
          </w:tcPr>
          <w:p w14:paraId="493F75F5"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vAlign w:val="center"/>
            <w:hideMark/>
          </w:tcPr>
          <w:p w14:paraId="229D1FC8" w14:textId="0852ADA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2</w:t>
            </w:r>
          </w:p>
        </w:tc>
        <w:tc>
          <w:tcPr>
            <w:tcW w:w="261" w:type="pct"/>
            <w:shd w:val="clear" w:color="auto" w:fill="auto"/>
            <w:vAlign w:val="center"/>
            <w:hideMark/>
          </w:tcPr>
          <w:p w14:paraId="00D90517"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0.60</w:t>
            </w:r>
          </w:p>
        </w:tc>
      </w:tr>
      <w:tr w:rsidR="0019205B" w:rsidRPr="008319F4" w14:paraId="726675FD" w14:textId="77777777" w:rsidTr="007C6CB2">
        <w:trPr>
          <w:trHeight w:val="300"/>
        </w:trPr>
        <w:tc>
          <w:tcPr>
            <w:tcW w:w="662" w:type="pct"/>
            <w:shd w:val="clear" w:color="auto" w:fill="auto"/>
            <w:vAlign w:val="center"/>
            <w:hideMark/>
          </w:tcPr>
          <w:p w14:paraId="40939E26"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CF</w:t>
            </w:r>
          </w:p>
        </w:tc>
        <w:tc>
          <w:tcPr>
            <w:tcW w:w="533" w:type="pct"/>
            <w:shd w:val="clear" w:color="auto" w:fill="auto"/>
            <w:vAlign w:val="center"/>
            <w:hideMark/>
          </w:tcPr>
          <w:p w14:paraId="7A26E055"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Mature</w:t>
            </w:r>
          </w:p>
        </w:tc>
        <w:tc>
          <w:tcPr>
            <w:tcW w:w="303" w:type="pct"/>
            <w:shd w:val="clear" w:color="auto" w:fill="auto"/>
            <w:vAlign w:val="center"/>
            <w:hideMark/>
          </w:tcPr>
          <w:p w14:paraId="4079167D" w14:textId="42E81B8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03" w:type="pct"/>
            <w:shd w:val="clear" w:color="auto" w:fill="auto"/>
            <w:vAlign w:val="center"/>
            <w:hideMark/>
          </w:tcPr>
          <w:p w14:paraId="00608BC3" w14:textId="7DD20CD8"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.0</w:t>
            </w:r>
          </w:p>
        </w:tc>
        <w:tc>
          <w:tcPr>
            <w:tcW w:w="303" w:type="pct"/>
            <w:shd w:val="clear" w:color="auto" w:fill="auto"/>
            <w:vAlign w:val="center"/>
            <w:hideMark/>
          </w:tcPr>
          <w:p w14:paraId="12DE5CDC" w14:textId="1561C9A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3" w:type="pct"/>
            <w:shd w:val="clear" w:color="auto" w:fill="auto"/>
            <w:vAlign w:val="center"/>
            <w:hideMark/>
          </w:tcPr>
          <w:p w14:paraId="779D0D0E" w14:textId="55589FC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shd w:val="clear" w:color="auto" w:fill="auto"/>
            <w:vAlign w:val="center"/>
            <w:hideMark/>
          </w:tcPr>
          <w:p w14:paraId="5F0AD5F0" w14:textId="4EE7BBEF"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3" w:type="pct"/>
            <w:shd w:val="clear" w:color="auto" w:fill="auto"/>
            <w:vAlign w:val="center"/>
            <w:hideMark/>
          </w:tcPr>
          <w:p w14:paraId="3DBE5432" w14:textId="72F74C1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7</w:t>
            </w:r>
          </w:p>
        </w:tc>
        <w:tc>
          <w:tcPr>
            <w:tcW w:w="304" w:type="pct"/>
            <w:shd w:val="clear" w:color="auto" w:fill="auto"/>
            <w:vAlign w:val="center"/>
            <w:hideMark/>
          </w:tcPr>
          <w:p w14:paraId="49B0CD3E" w14:textId="040BDB5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304" w:type="pct"/>
            <w:shd w:val="clear" w:color="auto" w:fill="auto"/>
            <w:vAlign w:val="center"/>
            <w:hideMark/>
          </w:tcPr>
          <w:p w14:paraId="1EBE9D84" w14:textId="20251BA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04" w:type="pct"/>
            <w:shd w:val="clear" w:color="auto" w:fill="auto"/>
            <w:vAlign w:val="center"/>
            <w:hideMark/>
          </w:tcPr>
          <w:p w14:paraId="11AD8A34" w14:textId="0BCC2E7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8</w:t>
            </w:r>
          </w:p>
        </w:tc>
        <w:tc>
          <w:tcPr>
            <w:tcW w:w="371" w:type="pct"/>
            <w:shd w:val="clear" w:color="auto" w:fill="auto"/>
            <w:vAlign w:val="center"/>
            <w:hideMark/>
          </w:tcPr>
          <w:p w14:paraId="499B97AD" w14:textId="00C39A14"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9</w:t>
            </w:r>
          </w:p>
        </w:tc>
        <w:tc>
          <w:tcPr>
            <w:tcW w:w="442" w:type="pct"/>
            <w:shd w:val="clear" w:color="auto" w:fill="auto"/>
            <w:vAlign w:val="center"/>
            <w:hideMark/>
          </w:tcPr>
          <w:p w14:paraId="711696D2" w14:textId="33AA23A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w:t>
            </w:r>
            <w:r w:rsidR="001742ED">
              <w:rPr>
                <w:rFonts w:eastAsia="Times New Roman" w:cs="Calibri"/>
                <w:color w:val="000000"/>
              </w:rPr>
              <w:t>.</w:t>
            </w:r>
            <w:r w:rsidRPr="008319F4">
              <w:rPr>
                <w:rFonts w:eastAsia="Times New Roman" w:cs="Calibri"/>
                <w:color w:val="000000"/>
              </w:rPr>
              <w:t>1</w:t>
            </w:r>
          </w:p>
        </w:tc>
        <w:tc>
          <w:tcPr>
            <w:tcW w:w="261" w:type="pct"/>
            <w:shd w:val="clear" w:color="auto" w:fill="auto"/>
            <w:vAlign w:val="center"/>
            <w:hideMark/>
          </w:tcPr>
          <w:p w14:paraId="0AA4E15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0.43</w:t>
            </w:r>
          </w:p>
        </w:tc>
      </w:tr>
      <w:tr w:rsidR="0019205B" w:rsidRPr="008319F4" w14:paraId="4D1097AA" w14:textId="77777777" w:rsidTr="007C6CB2">
        <w:trPr>
          <w:trHeight w:val="300"/>
        </w:trPr>
        <w:tc>
          <w:tcPr>
            <w:tcW w:w="662" w:type="pct"/>
            <w:shd w:val="clear" w:color="auto" w:fill="auto"/>
            <w:vAlign w:val="center"/>
            <w:hideMark/>
          </w:tcPr>
          <w:p w14:paraId="5FC95681"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vAlign w:val="center"/>
            <w:hideMark/>
          </w:tcPr>
          <w:p w14:paraId="4A088CC5"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Growth</w:t>
            </w:r>
          </w:p>
        </w:tc>
        <w:tc>
          <w:tcPr>
            <w:tcW w:w="303" w:type="pct"/>
            <w:shd w:val="clear" w:color="auto" w:fill="auto"/>
            <w:vAlign w:val="center"/>
            <w:hideMark/>
          </w:tcPr>
          <w:p w14:paraId="450D4FB6" w14:textId="3D2EE03D"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9</w:t>
            </w:r>
          </w:p>
        </w:tc>
        <w:tc>
          <w:tcPr>
            <w:tcW w:w="303" w:type="pct"/>
            <w:shd w:val="clear" w:color="auto" w:fill="auto"/>
            <w:vAlign w:val="center"/>
            <w:hideMark/>
          </w:tcPr>
          <w:p w14:paraId="2AB7D368" w14:textId="6987099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9</w:t>
            </w:r>
          </w:p>
        </w:tc>
        <w:tc>
          <w:tcPr>
            <w:tcW w:w="303" w:type="pct"/>
            <w:shd w:val="clear" w:color="auto" w:fill="auto"/>
            <w:vAlign w:val="center"/>
            <w:hideMark/>
          </w:tcPr>
          <w:p w14:paraId="693611E6" w14:textId="752FFD1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6</w:t>
            </w:r>
          </w:p>
        </w:tc>
        <w:tc>
          <w:tcPr>
            <w:tcW w:w="303" w:type="pct"/>
            <w:shd w:val="clear" w:color="auto" w:fill="auto"/>
            <w:vAlign w:val="center"/>
            <w:hideMark/>
          </w:tcPr>
          <w:p w14:paraId="5A598B94" w14:textId="600A97D1"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1</w:t>
            </w:r>
          </w:p>
        </w:tc>
        <w:tc>
          <w:tcPr>
            <w:tcW w:w="303" w:type="pct"/>
            <w:shd w:val="clear" w:color="auto" w:fill="auto"/>
            <w:vAlign w:val="center"/>
            <w:hideMark/>
          </w:tcPr>
          <w:p w14:paraId="384CA39A" w14:textId="77772F6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8</w:t>
            </w:r>
          </w:p>
        </w:tc>
        <w:tc>
          <w:tcPr>
            <w:tcW w:w="303" w:type="pct"/>
            <w:shd w:val="clear" w:color="auto" w:fill="auto"/>
            <w:vAlign w:val="center"/>
            <w:hideMark/>
          </w:tcPr>
          <w:p w14:paraId="6F2D27EE" w14:textId="4413772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9</w:t>
            </w:r>
          </w:p>
        </w:tc>
        <w:tc>
          <w:tcPr>
            <w:tcW w:w="304" w:type="pct"/>
            <w:shd w:val="clear" w:color="auto" w:fill="auto"/>
            <w:vAlign w:val="center"/>
            <w:hideMark/>
          </w:tcPr>
          <w:p w14:paraId="3261BF43" w14:textId="51A4B343"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w:t>
            </w:r>
            <w:r w:rsidR="001742ED">
              <w:rPr>
                <w:rFonts w:eastAsia="Times New Roman" w:cs="Calibri"/>
                <w:color w:val="000000"/>
              </w:rPr>
              <w:t>.</w:t>
            </w:r>
            <w:r w:rsidRPr="008319F4">
              <w:rPr>
                <w:rFonts w:eastAsia="Times New Roman" w:cs="Calibri"/>
                <w:color w:val="000000"/>
              </w:rPr>
              <w:t>1</w:t>
            </w:r>
          </w:p>
        </w:tc>
        <w:tc>
          <w:tcPr>
            <w:tcW w:w="304" w:type="pct"/>
            <w:shd w:val="clear" w:color="auto" w:fill="auto"/>
            <w:vAlign w:val="center"/>
            <w:hideMark/>
          </w:tcPr>
          <w:p w14:paraId="6AF33319" w14:textId="648CC745"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6</w:t>
            </w:r>
          </w:p>
        </w:tc>
        <w:tc>
          <w:tcPr>
            <w:tcW w:w="304" w:type="pct"/>
            <w:shd w:val="clear" w:color="auto" w:fill="auto"/>
            <w:vAlign w:val="center"/>
            <w:hideMark/>
          </w:tcPr>
          <w:p w14:paraId="0EFC240C" w14:textId="63A9A92A"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5</w:t>
            </w:r>
          </w:p>
        </w:tc>
        <w:tc>
          <w:tcPr>
            <w:tcW w:w="371" w:type="pct"/>
            <w:shd w:val="clear" w:color="auto" w:fill="auto"/>
            <w:vAlign w:val="center"/>
            <w:hideMark/>
          </w:tcPr>
          <w:p w14:paraId="79FF8B4A" w14:textId="4F23991C"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6</w:t>
            </w:r>
          </w:p>
        </w:tc>
        <w:tc>
          <w:tcPr>
            <w:tcW w:w="442" w:type="pct"/>
            <w:shd w:val="clear" w:color="auto" w:fill="auto"/>
            <w:vAlign w:val="center"/>
            <w:hideMark/>
          </w:tcPr>
          <w:p w14:paraId="5B8F9928" w14:textId="7761E18B"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2***</w:t>
            </w:r>
          </w:p>
        </w:tc>
        <w:tc>
          <w:tcPr>
            <w:tcW w:w="261" w:type="pct"/>
            <w:shd w:val="clear" w:color="auto" w:fill="auto"/>
            <w:vAlign w:val="center"/>
            <w:hideMark/>
          </w:tcPr>
          <w:p w14:paraId="2EF3765D"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2.91</w:t>
            </w:r>
          </w:p>
        </w:tc>
      </w:tr>
      <w:tr w:rsidR="0019205B" w:rsidRPr="008319F4" w14:paraId="0EB9B9E3" w14:textId="77777777" w:rsidTr="007C6CB2">
        <w:trPr>
          <w:trHeight w:val="300"/>
        </w:trPr>
        <w:tc>
          <w:tcPr>
            <w:tcW w:w="662" w:type="pct"/>
            <w:shd w:val="clear" w:color="auto" w:fill="auto"/>
            <w:noWrap/>
            <w:vAlign w:val="center"/>
            <w:hideMark/>
          </w:tcPr>
          <w:p w14:paraId="10973259" w14:textId="77777777" w:rsidR="0019205B" w:rsidRPr="008319F4" w:rsidRDefault="0019205B" w:rsidP="00FD7E50">
            <w:pPr>
              <w:spacing w:after="0" w:line="240" w:lineRule="auto"/>
              <w:rPr>
                <w:rFonts w:eastAsia="Times New Roman" w:cs="Calibri"/>
                <w:color w:val="000000"/>
              </w:rPr>
            </w:pPr>
          </w:p>
        </w:tc>
        <w:tc>
          <w:tcPr>
            <w:tcW w:w="533" w:type="pct"/>
            <w:shd w:val="clear" w:color="auto" w:fill="auto"/>
            <w:noWrap/>
            <w:vAlign w:val="center"/>
            <w:hideMark/>
          </w:tcPr>
          <w:p w14:paraId="13732ECA" w14:textId="77777777" w:rsidR="0019205B" w:rsidRPr="008319F4" w:rsidRDefault="0019205B" w:rsidP="00FD7E50">
            <w:pPr>
              <w:spacing w:after="0" w:line="240" w:lineRule="auto"/>
              <w:rPr>
                <w:rFonts w:eastAsia="Times New Roman" w:cs="Calibri"/>
                <w:color w:val="000000"/>
              </w:rPr>
            </w:pPr>
            <w:r w:rsidRPr="008319F4">
              <w:rPr>
                <w:rFonts w:eastAsia="Times New Roman" w:cs="Calibri"/>
                <w:color w:val="000000"/>
              </w:rPr>
              <w:t>Spread (G-M)</w:t>
            </w:r>
          </w:p>
        </w:tc>
        <w:tc>
          <w:tcPr>
            <w:tcW w:w="303" w:type="pct"/>
            <w:shd w:val="clear" w:color="auto" w:fill="auto"/>
            <w:noWrap/>
            <w:vAlign w:val="center"/>
            <w:hideMark/>
          </w:tcPr>
          <w:p w14:paraId="44D6C689"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7E8B56B9"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428AF90F"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6881860B"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4C004CC8" w14:textId="77777777" w:rsidR="0019205B" w:rsidRPr="008319F4" w:rsidRDefault="0019205B" w:rsidP="00FD7E50">
            <w:pPr>
              <w:spacing w:after="0" w:line="240" w:lineRule="auto"/>
              <w:jc w:val="center"/>
              <w:rPr>
                <w:rFonts w:eastAsia="Times New Roman" w:cs="Calibri"/>
                <w:color w:val="000000"/>
              </w:rPr>
            </w:pPr>
          </w:p>
        </w:tc>
        <w:tc>
          <w:tcPr>
            <w:tcW w:w="303" w:type="pct"/>
            <w:shd w:val="clear" w:color="auto" w:fill="auto"/>
            <w:noWrap/>
            <w:vAlign w:val="center"/>
            <w:hideMark/>
          </w:tcPr>
          <w:p w14:paraId="428E6701"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6C125CBD"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177CB486" w14:textId="77777777" w:rsidR="0019205B" w:rsidRPr="008319F4" w:rsidRDefault="0019205B" w:rsidP="00FD7E50">
            <w:pPr>
              <w:spacing w:after="0" w:line="240" w:lineRule="auto"/>
              <w:jc w:val="center"/>
              <w:rPr>
                <w:rFonts w:eastAsia="Times New Roman" w:cs="Calibri"/>
                <w:color w:val="000000"/>
              </w:rPr>
            </w:pPr>
          </w:p>
        </w:tc>
        <w:tc>
          <w:tcPr>
            <w:tcW w:w="304" w:type="pct"/>
            <w:shd w:val="clear" w:color="auto" w:fill="auto"/>
            <w:noWrap/>
            <w:vAlign w:val="center"/>
            <w:hideMark/>
          </w:tcPr>
          <w:p w14:paraId="262647E1" w14:textId="77777777" w:rsidR="0019205B" w:rsidRPr="008319F4" w:rsidRDefault="0019205B" w:rsidP="00FD7E50">
            <w:pPr>
              <w:spacing w:after="0" w:line="240" w:lineRule="auto"/>
              <w:jc w:val="center"/>
              <w:rPr>
                <w:rFonts w:eastAsia="Times New Roman" w:cs="Calibri"/>
                <w:color w:val="000000"/>
              </w:rPr>
            </w:pPr>
          </w:p>
        </w:tc>
        <w:tc>
          <w:tcPr>
            <w:tcW w:w="371" w:type="pct"/>
            <w:shd w:val="clear" w:color="auto" w:fill="auto"/>
            <w:noWrap/>
            <w:vAlign w:val="center"/>
            <w:hideMark/>
          </w:tcPr>
          <w:p w14:paraId="25A05C5B" w14:textId="77777777" w:rsidR="0019205B" w:rsidRPr="008319F4" w:rsidRDefault="0019205B" w:rsidP="00FD7E50">
            <w:pPr>
              <w:spacing w:after="0" w:line="240" w:lineRule="auto"/>
              <w:jc w:val="center"/>
              <w:rPr>
                <w:rFonts w:eastAsia="Times New Roman" w:cs="Calibri"/>
                <w:color w:val="000000"/>
              </w:rPr>
            </w:pPr>
          </w:p>
        </w:tc>
        <w:tc>
          <w:tcPr>
            <w:tcW w:w="442" w:type="pct"/>
            <w:shd w:val="clear" w:color="auto" w:fill="auto"/>
            <w:noWrap/>
            <w:vAlign w:val="center"/>
            <w:hideMark/>
          </w:tcPr>
          <w:p w14:paraId="1403CBD4" w14:textId="66FC1DA6"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1</w:t>
            </w:r>
            <w:r w:rsidR="001742ED">
              <w:rPr>
                <w:rFonts w:eastAsia="Times New Roman" w:cs="Calibri"/>
                <w:color w:val="000000"/>
              </w:rPr>
              <w:t>.</w:t>
            </w:r>
            <w:r w:rsidRPr="008319F4">
              <w:rPr>
                <w:rFonts w:eastAsia="Times New Roman" w:cs="Calibri"/>
                <w:color w:val="000000"/>
              </w:rPr>
              <w:t>2***</w:t>
            </w:r>
          </w:p>
        </w:tc>
        <w:tc>
          <w:tcPr>
            <w:tcW w:w="261" w:type="pct"/>
            <w:shd w:val="clear" w:color="auto" w:fill="auto"/>
            <w:noWrap/>
            <w:vAlign w:val="center"/>
            <w:hideMark/>
          </w:tcPr>
          <w:p w14:paraId="70AF4367" w14:textId="77777777" w:rsidR="0019205B" w:rsidRPr="008319F4" w:rsidRDefault="0019205B" w:rsidP="00FD7E50">
            <w:pPr>
              <w:spacing w:after="0" w:line="240" w:lineRule="auto"/>
              <w:jc w:val="center"/>
              <w:rPr>
                <w:rFonts w:eastAsia="Times New Roman" w:cs="Calibri"/>
                <w:color w:val="000000"/>
              </w:rPr>
            </w:pPr>
            <w:r w:rsidRPr="008319F4">
              <w:rPr>
                <w:rFonts w:eastAsia="Times New Roman" w:cs="Calibri"/>
                <w:color w:val="000000"/>
              </w:rPr>
              <w:t>2.86</w:t>
            </w:r>
          </w:p>
        </w:tc>
      </w:tr>
    </w:tbl>
    <w:p w14:paraId="565F6CF4" w14:textId="0F7EDFA4" w:rsidR="003F1225" w:rsidRPr="008319F4" w:rsidRDefault="001204CB" w:rsidP="00A32202">
      <w:pPr>
        <w:spacing w:line="240" w:lineRule="auto"/>
        <w:outlineLvl w:val="0"/>
        <w:rPr>
          <w:b/>
          <w:lang w:val="en-US"/>
        </w:rPr>
      </w:pPr>
      <w:r w:rsidRPr="008319F4">
        <w:rPr>
          <w:b/>
          <w:lang w:val="en-US"/>
        </w:rPr>
        <w:lastRenderedPageBreak/>
        <w:t>Table 3</w:t>
      </w:r>
      <w:r w:rsidR="003F1225" w:rsidRPr="008319F4">
        <w:rPr>
          <w:b/>
          <w:lang w:val="en-US"/>
        </w:rPr>
        <w:t xml:space="preserve">. </w:t>
      </w:r>
      <w:r w:rsidR="00A11817" w:rsidRPr="008319F4">
        <w:rPr>
          <w:b/>
          <w:lang w:val="en-US"/>
        </w:rPr>
        <w:t xml:space="preserve"> </w:t>
      </w:r>
      <w:r w:rsidR="003F1225" w:rsidRPr="008319F4">
        <w:rPr>
          <w:b/>
          <w:lang w:val="en-US"/>
        </w:rPr>
        <w:t xml:space="preserve">Growth type and </w:t>
      </w:r>
      <w:r w:rsidR="00BF5507" w:rsidRPr="008319F4">
        <w:rPr>
          <w:b/>
          <w:lang w:val="en-US"/>
        </w:rPr>
        <w:t xml:space="preserve">the </w:t>
      </w:r>
      <w:r w:rsidR="003F1225" w:rsidRPr="008319F4">
        <w:rPr>
          <w:b/>
          <w:lang w:val="en-US"/>
        </w:rPr>
        <w:t>asset growth anomaly</w:t>
      </w:r>
    </w:p>
    <w:p w14:paraId="25E39FD1" w14:textId="6547B2F0" w:rsidR="006856C5" w:rsidRPr="008319F4" w:rsidRDefault="006856C5" w:rsidP="00A32202">
      <w:pPr>
        <w:spacing w:line="240" w:lineRule="auto"/>
        <w:jc w:val="both"/>
        <w:rPr>
          <w:lang w:val="en-US"/>
        </w:rPr>
      </w:pPr>
      <w:r w:rsidRPr="008319F4">
        <w:rPr>
          <w:lang w:val="en-US"/>
        </w:rPr>
        <w:t>This table reports the time-series average of estimated coeffici</w:t>
      </w:r>
      <w:r w:rsidR="00906DD0" w:rsidRPr="008319F4">
        <w:rPr>
          <w:lang w:val="en-US"/>
        </w:rPr>
        <w:t xml:space="preserve">ents of </w:t>
      </w:r>
      <w:r w:rsidRPr="008319F4">
        <w:rPr>
          <w:lang w:val="en-US"/>
        </w:rPr>
        <w:t>month</w:t>
      </w:r>
      <w:r w:rsidR="006C36BC" w:rsidRPr="008319F4">
        <w:rPr>
          <w:lang w:val="en-US"/>
        </w:rPr>
        <w:t>ly regressions from 1963</w:t>
      </w:r>
      <w:r w:rsidRPr="008319F4">
        <w:rPr>
          <w:lang w:val="en-US"/>
        </w:rPr>
        <w:t xml:space="preserve"> to 2011. In each month we run the following regression:</w:t>
      </w:r>
    </w:p>
    <w:p w14:paraId="52375BC2" w14:textId="2B6A68AA" w:rsidR="00911EE4" w:rsidRPr="00911EE4" w:rsidRDefault="00A2686C" w:rsidP="000668F6">
      <w:pPr>
        <w:spacing w:line="240" w:lineRule="auto"/>
        <w:jc w:val="center"/>
        <w:rPr>
          <w:i/>
          <w:sz w:val="24"/>
          <w:szCs w:val="24"/>
          <w:lang w:val="en-US"/>
        </w:rPr>
      </w:pPr>
      <m:oMath>
        <m:sSub>
          <m:sSubPr>
            <m:ctrlPr>
              <w:rPr>
                <w:rFonts w:ascii="Cambria Math" w:hAnsi="Cambria Math"/>
                <w:i/>
                <w:lang w:val="en-US"/>
              </w:rPr>
            </m:ctrlPr>
          </m:sSubPr>
          <m:e>
            <m:r>
              <w:rPr>
                <w:rFonts w:ascii="Cambria Math" w:hAnsi="Cambria Math"/>
                <w:lang w:val="en-US"/>
              </w:rPr>
              <m:t>Ret</m:t>
            </m:r>
          </m:e>
          <m:sub>
            <m:r>
              <w:rPr>
                <w:rFonts w:ascii="Cambria Math" w:hAnsi="Cambria Math"/>
                <w:lang w:val="en-US"/>
              </w:rPr>
              <m:t>i</m:t>
            </m:r>
          </m:sub>
        </m:sSub>
        <m:r>
          <w:rPr>
            <w:rFonts w:ascii="Cambria Math"/>
            <w:lang w:val="en-US"/>
          </w:rPr>
          <m:t>=</m:t>
        </m:r>
        <m:r>
          <w:rPr>
            <w:rFonts w:ascii="Cambria Math" w:hAnsi="Cambria Math"/>
            <w:lang w:val="en-US"/>
          </w:rPr>
          <m:t>α</m:t>
        </m:r>
        <m:r>
          <w:rPr>
            <w:rFonts w:ascii="Cambria Math"/>
            <w:lang w:val="en-US"/>
          </w:rPr>
          <m:t>+</m:t>
        </m:r>
        <m:r>
          <w:rPr>
            <w:rFonts w:ascii="Cambria Math" w:hAnsi="Cambria Math"/>
            <w:lang w:val="en-US"/>
          </w:rPr>
          <m:t>β</m:t>
        </m:r>
        <m:sSub>
          <m:sSubPr>
            <m:ctrlPr>
              <w:rPr>
                <w:rFonts w:ascii="Cambria Math" w:hAnsi="Cambria Math"/>
                <w:i/>
                <w:lang w:val="en-US"/>
              </w:rPr>
            </m:ctrlPr>
          </m:sSubPr>
          <m:e>
            <m:r>
              <w:rPr>
                <w:rFonts w:ascii="Cambria Math" w:hAnsi="Cambria Math"/>
                <w:lang w:val="en-US"/>
              </w:rPr>
              <m:t>ln</m:t>
            </m:r>
            <m:r>
              <w:rPr>
                <w:rFonts w:hAnsi="Cambria Math"/>
                <w:lang w:val="en-US"/>
              </w:rPr>
              <m:t>⁡</m:t>
            </m:r>
            <m:r>
              <w:rPr>
                <w:rFonts w:ascii="Cambria Math"/>
                <w:lang w:val="en-US"/>
              </w:rPr>
              <m:t>(1+</m:t>
            </m:r>
            <m:r>
              <w:rPr>
                <w:rFonts w:ascii="Cambria Math" w:hAnsi="Cambria Math"/>
                <w:lang w:val="en-US"/>
              </w:rPr>
              <m:t>AG</m:t>
            </m:r>
            <m:r>
              <w:rPr>
                <w:rFonts w:ascii="Cambria Math"/>
                <w:lang w:val="en-US"/>
              </w:rPr>
              <m:t>)</m:t>
            </m:r>
          </m:e>
          <m:sub>
            <m:r>
              <w:rPr>
                <w:rFonts w:ascii="Cambria Math" w:hAnsi="Cambria Math"/>
                <w:lang w:val="en-US"/>
              </w:rPr>
              <m:t>i</m:t>
            </m:r>
          </m:sub>
        </m:sSub>
        <m:r>
          <w:rPr>
            <w:rFonts w:ascii="Cambria Math"/>
            <w:lang w:val="en-US"/>
          </w:rPr>
          <m:t>+</m:t>
        </m:r>
        <m:r>
          <w:rPr>
            <w:rFonts w:ascii="Cambria Math" w:hAnsi="Cambria Math"/>
            <w:lang w:val="en-US"/>
          </w:rPr>
          <m:t>φ</m:t>
        </m:r>
        <m:sSub>
          <m:sSubPr>
            <m:ctrlPr>
              <w:rPr>
                <w:rFonts w:ascii="Cambria Math" w:hAnsi="Cambria Math"/>
                <w:i/>
                <w:lang w:val="en-US"/>
              </w:rPr>
            </m:ctrlPr>
          </m:sSubPr>
          <m:e>
            <m:r>
              <w:rPr>
                <w:rFonts w:ascii="Cambria Math" w:hAnsi="Cambria Math"/>
                <w:lang w:val="en-US"/>
              </w:rPr>
              <m:t>ln</m:t>
            </m:r>
            <m:r>
              <w:rPr>
                <w:rFonts w:hAnsi="Cambria Math"/>
                <w:lang w:val="en-US"/>
              </w:rPr>
              <m:t>⁡</m:t>
            </m:r>
            <m:r>
              <w:rPr>
                <w:rFonts w:ascii="Cambria Math"/>
                <w:lang w:val="en-US"/>
              </w:rPr>
              <m:t>(1+</m:t>
            </m:r>
            <m:r>
              <w:rPr>
                <w:rFonts w:ascii="Cambria Math" w:hAnsi="Cambria Math"/>
                <w:lang w:val="en-US"/>
              </w:rPr>
              <m:t>AG</m:t>
            </m:r>
            <m:r>
              <w:rPr>
                <w:rFonts w:ascii="Cambria Math"/>
                <w:lang w:val="en-US"/>
              </w:rPr>
              <m:t>)</m:t>
            </m:r>
          </m:e>
          <m:sub>
            <m:r>
              <w:rPr>
                <w:rFonts w:ascii="Cambria Math" w:hAnsi="Cambria Math"/>
                <w:lang w:val="en-US"/>
              </w:rPr>
              <m:t>i</m:t>
            </m:r>
          </m:sub>
        </m:sSub>
        <m:r>
          <w:rPr>
            <w:rFonts w:ascii="Cambria Math"/>
            <w:lang w:val="en-US"/>
          </w:rPr>
          <m:t>×</m:t>
        </m:r>
        <m:r>
          <w:rPr>
            <w:rFonts w:ascii="Cambria Math" w:hAnsi="Cambria Math"/>
            <w:lang w:val="en-US"/>
          </w:rPr>
          <m:t>GT</m:t>
        </m:r>
        <m:r>
          <w:rPr>
            <w:rFonts w:ascii="Cambria Math"/>
            <w:sz w:val="24"/>
            <w:szCs w:val="24"/>
            <w:lang w:val="en-US"/>
          </w:rPr>
          <m:t>+</m:t>
        </m:r>
        <m:r>
          <w:rPr>
            <w:rFonts w:ascii="Cambria Math" w:hAnsi="Cambria Math"/>
            <w:sz w:val="24"/>
            <w:szCs w:val="24"/>
            <w:lang w:val="en-US"/>
          </w:rPr>
          <m:t>γGT</m:t>
        </m:r>
        <m:r>
          <w:rPr>
            <w:rFonts w:ascii="Cambria Math"/>
            <w:lang w:val="en-US"/>
          </w:rPr>
          <m:t>+</m:t>
        </m:r>
        <m:nary>
          <m:naryPr>
            <m:chr m:val="∑"/>
            <m:limLoc m:val="undOvr"/>
            <m:ctrlPr>
              <w:rPr>
                <w:rFonts w:ascii="Cambria Math" w:hAnsi="Cambria Math"/>
                <w:i/>
                <w:lang w:val="en-US"/>
              </w:rPr>
            </m:ctrlPr>
          </m:naryPr>
          <m:sub>
            <m:r>
              <w:rPr>
                <w:rFonts w:ascii="Cambria Math" w:hAnsi="Cambria Math"/>
                <w:lang w:val="en-US"/>
              </w:rPr>
              <m:t>j</m:t>
            </m:r>
            <m:r>
              <w:rPr>
                <w:rFonts w:ascii="Cambria Math"/>
                <w:lang w:val="en-US"/>
              </w:rPr>
              <m:t>=1</m:t>
            </m:r>
          </m:sub>
          <m:sup>
            <m:r>
              <w:rPr>
                <w:rFonts w:ascii="Cambria Math"/>
                <w:lang w:val="en-US"/>
              </w:rPr>
              <m:t>3</m:t>
            </m:r>
          </m:sup>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Control</m:t>
                </m:r>
              </m:e>
              <m:sub>
                <m:r>
                  <w:rPr>
                    <w:rFonts w:ascii="Cambria Math" w:hAnsi="Cambria Math"/>
                    <w:lang w:val="en-US"/>
                  </w:rPr>
                  <m:t>ij</m:t>
                </m:r>
              </m:sub>
            </m:sSub>
          </m:e>
        </m:nary>
        <m:r>
          <w:rPr>
            <w:rFonts w:ascii="Cambria Math"/>
            <w:lang w:val="en-US"/>
          </w:rPr>
          <m:t>+</m:t>
        </m:r>
        <m:r>
          <w:rPr>
            <w:rFonts w:ascii="Cambria Math" w:hAnsi="Cambria Math"/>
            <w:lang w:val="en-US"/>
          </w:rPr>
          <m:t>ε</m:t>
        </m:r>
      </m:oMath>
      <w:r w:rsidR="00911EE4">
        <w:rPr>
          <w:i/>
          <w:lang w:val="en-US"/>
        </w:rPr>
        <w:tab/>
      </w:r>
      <w:r w:rsidR="00911EE4">
        <w:rPr>
          <w:i/>
          <w:lang w:val="en-US"/>
        </w:rPr>
        <w:tab/>
        <w:t xml:space="preserve"> </w:t>
      </w:r>
      <w:r w:rsidR="00155774">
        <w:rPr>
          <w:i/>
          <w:sz w:val="24"/>
          <w:szCs w:val="24"/>
          <w:lang w:val="en-US"/>
        </w:rPr>
        <w:t>E</w:t>
      </w:r>
      <w:r w:rsidR="00911EE4">
        <w:rPr>
          <w:i/>
          <w:sz w:val="24"/>
          <w:szCs w:val="24"/>
          <w:lang w:val="en-US"/>
        </w:rPr>
        <w:t>q(1)</w:t>
      </w:r>
    </w:p>
    <w:p w14:paraId="554CC8FE" w14:textId="5AC58FDB" w:rsidR="006856C5" w:rsidRDefault="006856C5" w:rsidP="00710853">
      <w:pPr>
        <w:spacing w:line="240" w:lineRule="auto"/>
        <w:jc w:val="both"/>
      </w:pPr>
      <w:r w:rsidRPr="008319F4">
        <w:rPr>
          <w:lang w:val="en-US"/>
        </w:rPr>
        <w:t>Where Ret</w:t>
      </w:r>
      <w:r w:rsidRPr="008319F4">
        <w:rPr>
          <w:vertAlign w:val="subscript"/>
          <w:lang w:val="en-US"/>
        </w:rPr>
        <w:t>i</w:t>
      </w:r>
      <w:r w:rsidRPr="008319F4">
        <w:rPr>
          <w:lang w:val="en-US"/>
        </w:rPr>
        <w:t xml:space="preserve"> is the monthly raw return; AG is firm asset gro</w:t>
      </w:r>
      <w:r w:rsidR="00A11817" w:rsidRPr="008319F4">
        <w:rPr>
          <w:lang w:val="en-US"/>
        </w:rPr>
        <w:t>wth; GT indicates</w:t>
      </w:r>
      <w:r w:rsidRPr="008319F4">
        <w:rPr>
          <w:lang w:val="en-US"/>
        </w:rPr>
        <w:t xml:space="preserve"> a firm’s growth type (GT=1 i</w:t>
      </w:r>
      <w:r w:rsidR="00F30DA3" w:rsidRPr="008319F4">
        <w:rPr>
          <w:lang w:val="en-US"/>
        </w:rPr>
        <w:t>f growth firm</w:t>
      </w:r>
      <w:r w:rsidR="005A37DA">
        <w:rPr>
          <w:lang w:val="en-US"/>
        </w:rPr>
        <w:t xml:space="preserve"> and</w:t>
      </w:r>
      <w:r w:rsidR="00F30DA3" w:rsidRPr="008319F4">
        <w:rPr>
          <w:lang w:val="en-US"/>
        </w:rPr>
        <w:t xml:space="preserve"> </w:t>
      </w:r>
      <w:r w:rsidR="00906DD0" w:rsidRPr="008319F4">
        <w:rPr>
          <w:lang w:val="en-US"/>
        </w:rPr>
        <w:t>GT=</w:t>
      </w:r>
      <w:r w:rsidR="005A37DA">
        <w:rPr>
          <w:lang w:val="en-US"/>
        </w:rPr>
        <w:t>0</w:t>
      </w:r>
      <w:r w:rsidR="00906DD0" w:rsidRPr="008319F4">
        <w:rPr>
          <w:lang w:val="en-US"/>
        </w:rPr>
        <w:t xml:space="preserve"> if m</w:t>
      </w:r>
      <w:r w:rsidR="00A11817" w:rsidRPr="008319F4">
        <w:rPr>
          <w:lang w:val="en-US"/>
        </w:rPr>
        <w:t>ature firm</w:t>
      </w:r>
      <w:r w:rsidR="00906DD0" w:rsidRPr="008319F4">
        <w:rPr>
          <w:lang w:val="en-US"/>
        </w:rPr>
        <w:t xml:space="preserve">). </w:t>
      </w:r>
      <w:r w:rsidRPr="008319F4">
        <w:rPr>
          <w:lang w:val="en-US"/>
        </w:rPr>
        <w:t xml:space="preserve">Firms are divided into deciles based on the growth </w:t>
      </w:r>
      <w:r w:rsidR="00906DD0" w:rsidRPr="008319F4">
        <w:rPr>
          <w:lang w:val="en-US"/>
        </w:rPr>
        <w:t>type</w:t>
      </w:r>
      <w:r w:rsidRPr="008319F4">
        <w:rPr>
          <w:lang w:val="en-US"/>
        </w:rPr>
        <w:t xml:space="preserve"> proxies </w:t>
      </w:r>
      <w:r w:rsidRPr="008319F4">
        <w:t>including retained earnings scaled by total assets (RE), dividends scaled by earnings before extraordin</w:t>
      </w:r>
      <w:r w:rsidR="00906DD0" w:rsidRPr="008319F4">
        <w:t xml:space="preserve">ary items (DIV) and </w:t>
      </w:r>
      <w:r w:rsidRPr="008319F4">
        <w:t>cash flow scaled by total assets (CF). The top 3 deciles and bottom 3 deciles are considered as mature and growth f</w:t>
      </w:r>
      <w:r w:rsidR="00906DD0" w:rsidRPr="008319F4">
        <w:t xml:space="preserve">irms respectively for RE, </w:t>
      </w:r>
      <w:r w:rsidR="00906DD0" w:rsidRPr="00DC51AD">
        <w:rPr>
          <w:noProof/>
        </w:rPr>
        <w:t>DIV</w:t>
      </w:r>
      <w:r w:rsidR="00906DD0" w:rsidRPr="008319F4">
        <w:t xml:space="preserve"> and</w:t>
      </w:r>
      <w:r w:rsidRPr="008319F4">
        <w:t xml:space="preserve"> CF.</w:t>
      </w:r>
      <w:r w:rsidRPr="008319F4">
        <w:rPr>
          <w:lang w:val="en-US"/>
        </w:rPr>
        <w:t xml:space="preserve"> Control variables are the natural logarithm of market capitalization (</w:t>
      </w:r>
      <w:r w:rsidRPr="00DC51AD">
        <w:rPr>
          <w:noProof/>
          <w:lang w:val="en-US"/>
        </w:rPr>
        <w:t>lnMV</w:t>
      </w:r>
      <w:r w:rsidRPr="008319F4">
        <w:rPr>
          <w:lang w:val="en-US"/>
        </w:rPr>
        <w:t>), the natural logarithm of the book-to-market ratio (</w:t>
      </w:r>
      <w:r w:rsidRPr="00DC51AD">
        <w:rPr>
          <w:noProof/>
          <w:lang w:val="en-US"/>
        </w:rPr>
        <w:t>lnBM</w:t>
      </w:r>
      <w:r w:rsidRPr="008319F4">
        <w:rPr>
          <w:lang w:val="en-US"/>
        </w:rPr>
        <w:t xml:space="preserve">) and previous 6-month returns at the end of June. </w:t>
      </w:r>
      <w:r w:rsidRPr="008319F4">
        <w:t>The t-values in parentheses are based on Newey-West (1987) standard errors for correcting heteroscedasticity and autocorrelation; *, **, and *** indicate the significance level at 0.10, 0.05 and 0.01.</w:t>
      </w:r>
    </w:p>
    <w:p w14:paraId="2651EE86" w14:textId="77777777" w:rsidR="007C4A0E" w:rsidRDefault="007C4A0E" w:rsidP="00710853">
      <w:pPr>
        <w:spacing w:line="240" w:lineRule="auto"/>
        <w:jc w:val="both"/>
      </w:pPr>
    </w:p>
    <w:tbl>
      <w:tblPr>
        <w:tblW w:w="5000" w:type="pct"/>
        <w:tblLook w:val="04A0" w:firstRow="1" w:lastRow="0" w:firstColumn="1" w:lastColumn="0" w:noHBand="0" w:noVBand="1"/>
      </w:tblPr>
      <w:tblGrid>
        <w:gridCol w:w="4018"/>
        <w:gridCol w:w="2894"/>
        <w:gridCol w:w="737"/>
        <w:gridCol w:w="2894"/>
        <w:gridCol w:w="737"/>
        <w:gridCol w:w="2894"/>
      </w:tblGrid>
      <w:tr w:rsidR="00AA3B13" w:rsidRPr="00317C9F" w14:paraId="2168AA79" w14:textId="77777777" w:rsidTr="00B15095">
        <w:trPr>
          <w:trHeight w:val="300"/>
        </w:trPr>
        <w:tc>
          <w:tcPr>
            <w:tcW w:w="1417" w:type="pct"/>
            <w:tcBorders>
              <w:top w:val="single" w:sz="4" w:space="0" w:color="auto"/>
              <w:left w:val="nil"/>
              <w:bottom w:val="single" w:sz="4" w:space="0" w:color="auto"/>
              <w:right w:val="nil"/>
            </w:tcBorders>
            <w:shd w:val="clear" w:color="auto" w:fill="auto"/>
            <w:noWrap/>
            <w:vAlign w:val="center"/>
            <w:hideMark/>
          </w:tcPr>
          <w:p w14:paraId="0FF7ACB5"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2BA9682F"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RE</w:t>
            </w:r>
          </w:p>
        </w:tc>
        <w:tc>
          <w:tcPr>
            <w:tcW w:w="260" w:type="pct"/>
            <w:tcBorders>
              <w:top w:val="single" w:sz="4" w:space="0" w:color="auto"/>
              <w:left w:val="nil"/>
              <w:bottom w:val="single" w:sz="4" w:space="0" w:color="auto"/>
              <w:right w:val="nil"/>
            </w:tcBorders>
            <w:shd w:val="clear" w:color="auto" w:fill="auto"/>
            <w:noWrap/>
            <w:vAlign w:val="center"/>
            <w:hideMark/>
          </w:tcPr>
          <w:p w14:paraId="1D0E910B"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52DF0ECA"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DIV</w:t>
            </w:r>
          </w:p>
        </w:tc>
        <w:tc>
          <w:tcPr>
            <w:tcW w:w="260" w:type="pct"/>
            <w:tcBorders>
              <w:top w:val="single" w:sz="4" w:space="0" w:color="auto"/>
              <w:left w:val="nil"/>
              <w:bottom w:val="single" w:sz="4" w:space="0" w:color="auto"/>
              <w:right w:val="nil"/>
            </w:tcBorders>
            <w:shd w:val="clear" w:color="auto" w:fill="auto"/>
            <w:noWrap/>
            <w:vAlign w:val="center"/>
            <w:hideMark/>
          </w:tcPr>
          <w:p w14:paraId="52473346"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1086E0BF"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CF</w:t>
            </w:r>
          </w:p>
        </w:tc>
      </w:tr>
      <w:tr w:rsidR="00AA3B13" w:rsidRPr="00317C9F" w14:paraId="635D6525" w14:textId="77777777" w:rsidTr="00B15095">
        <w:trPr>
          <w:trHeight w:val="300"/>
        </w:trPr>
        <w:tc>
          <w:tcPr>
            <w:tcW w:w="1417" w:type="pct"/>
            <w:tcBorders>
              <w:top w:val="nil"/>
              <w:left w:val="nil"/>
              <w:bottom w:val="nil"/>
              <w:right w:val="nil"/>
            </w:tcBorders>
            <w:shd w:val="clear" w:color="auto" w:fill="auto"/>
            <w:noWrap/>
            <w:vAlign w:val="center"/>
            <w:hideMark/>
          </w:tcPr>
          <w:p w14:paraId="4760A871"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Intercept</w:t>
            </w:r>
          </w:p>
        </w:tc>
        <w:tc>
          <w:tcPr>
            <w:tcW w:w="1021" w:type="pct"/>
            <w:tcBorders>
              <w:top w:val="nil"/>
              <w:left w:val="nil"/>
              <w:bottom w:val="nil"/>
              <w:right w:val="nil"/>
            </w:tcBorders>
            <w:shd w:val="clear" w:color="auto" w:fill="auto"/>
            <w:noWrap/>
            <w:vAlign w:val="center"/>
            <w:hideMark/>
          </w:tcPr>
          <w:p w14:paraId="622AD1A3" w14:textId="2C93C445"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w:t>
            </w:r>
            <w:r w:rsidR="00E96EAA">
              <w:rPr>
                <w:rFonts w:eastAsia="Times New Roman" w:cs="Times New Roman"/>
                <w:color w:val="000000"/>
                <w:lang w:eastAsia="zh-CN"/>
              </w:rPr>
              <w:t>.</w:t>
            </w:r>
            <w:r w:rsidRPr="00317C9F">
              <w:rPr>
                <w:rFonts w:eastAsia="Times New Roman" w:cs="Times New Roman"/>
                <w:color w:val="000000"/>
                <w:lang w:eastAsia="zh-CN"/>
              </w:rPr>
              <w:t>07***</w:t>
            </w:r>
          </w:p>
        </w:tc>
        <w:tc>
          <w:tcPr>
            <w:tcW w:w="260" w:type="pct"/>
            <w:tcBorders>
              <w:top w:val="nil"/>
              <w:left w:val="nil"/>
              <w:bottom w:val="nil"/>
              <w:right w:val="nil"/>
            </w:tcBorders>
            <w:shd w:val="clear" w:color="auto" w:fill="auto"/>
            <w:noWrap/>
            <w:vAlign w:val="center"/>
            <w:hideMark/>
          </w:tcPr>
          <w:p w14:paraId="1FB94B36"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28706CC" w14:textId="489E2211"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96EAA">
              <w:rPr>
                <w:rFonts w:eastAsia="Times New Roman" w:cs="Times New Roman"/>
                <w:color w:val="000000"/>
                <w:lang w:eastAsia="zh-CN"/>
              </w:rPr>
              <w:t>.</w:t>
            </w:r>
            <w:r w:rsidRPr="00317C9F">
              <w:rPr>
                <w:rFonts w:eastAsia="Times New Roman" w:cs="Times New Roman"/>
                <w:color w:val="000000"/>
                <w:lang w:eastAsia="zh-CN"/>
              </w:rPr>
              <w:t>60***</w:t>
            </w:r>
          </w:p>
        </w:tc>
        <w:tc>
          <w:tcPr>
            <w:tcW w:w="260" w:type="pct"/>
            <w:tcBorders>
              <w:top w:val="nil"/>
              <w:left w:val="nil"/>
              <w:bottom w:val="nil"/>
              <w:right w:val="nil"/>
            </w:tcBorders>
            <w:shd w:val="clear" w:color="auto" w:fill="auto"/>
            <w:noWrap/>
            <w:vAlign w:val="center"/>
            <w:hideMark/>
          </w:tcPr>
          <w:p w14:paraId="311C9215"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01CFE88" w14:textId="028B4149"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w:t>
            </w:r>
            <w:r w:rsidR="00E96EAA">
              <w:rPr>
                <w:rFonts w:eastAsia="Times New Roman" w:cs="Times New Roman"/>
                <w:color w:val="000000"/>
                <w:lang w:eastAsia="zh-CN"/>
              </w:rPr>
              <w:t>.</w:t>
            </w:r>
            <w:r w:rsidRPr="00317C9F">
              <w:rPr>
                <w:rFonts w:eastAsia="Times New Roman" w:cs="Times New Roman"/>
                <w:color w:val="000000"/>
                <w:lang w:eastAsia="zh-CN"/>
              </w:rPr>
              <w:t>49***</w:t>
            </w:r>
          </w:p>
        </w:tc>
      </w:tr>
      <w:tr w:rsidR="00AA3B13" w:rsidRPr="00317C9F" w14:paraId="4ABF50BC" w14:textId="77777777" w:rsidTr="00B15095">
        <w:trPr>
          <w:trHeight w:val="300"/>
        </w:trPr>
        <w:tc>
          <w:tcPr>
            <w:tcW w:w="1417" w:type="pct"/>
            <w:tcBorders>
              <w:top w:val="nil"/>
              <w:left w:val="nil"/>
              <w:bottom w:val="nil"/>
              <w:right w:val="nil"/>
            </w:tcBorders>
            <w:shd w:val="clear" w:color="auto" w:fill="auto"/>
            <w:noWrap/>
            <w:vAlign w:val="center"/>
            <w:hideMark/>
          </w:tcPr>
          <w:p w14:paraId="10FE300F"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2866D58"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(6.80)</w:t>
            </w:r>
          </w:p>
        </w:tc>
        <w:tc>
          <w:tcPr>
            <w:tcW w:w="260" w:type="pct"/>
            <w:tcBorders>
              <w:top w:val="nil"/>
              <w:left w:val="nil"/>
              <w:bottom w:val="nil"/>
              <w:right w:val="nil"/>
            </w:tcBorders>
            <w:shd w:val="clear" w:color="auto" w:fill="auto"/>
            <w:noWrap/>
            <w:vAlign w:val="center"/>
            <w:hideMark/>
          </w:tcPr>
          <w:p w14:paraId="7A1D7DCA"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586FB0C2"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(6.30)</w:t>
            </w:r>
          </w:p>
        </w:tc>
        <w:tc>
          <w:tcPr>
            <w:tcW w:w="260" w:type="pct"/>
            <w:tcBorders>
              <w:top w:val="nil"/>
              <w:left w:val="nil"/>
              <w:bottom w:val="nil"/>
              <w:right w:val="nil"/>
            </w:tcBorders>
            <w:shd w:val="clear" w:color="auto" w:fill="auto"/>
            <w:noWrap/>
            <w:vAlign w:val="center"/>
            <w:hideMark/>
          </w:tcPr>
          <w:p w14:paraId="4FDCF57E"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AC2B5A4"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(7.47)</w:t>
            </w:r>
          </w:p>
        </w:tc>
      </w:tr>
      <w:tr w:rsidR="00AA3B13" w:rsidRPr="00317C9F" w14:paraId="1D7D5FF8" w14:textId="77777777" w:rsidTr="00B15095">
        <w:trPr>
          <w:trHeight w:val="300"/>
        </w:trPr>
        <w:tc>
          <w:tcPr>
            <w:tcW w:w="1417" w:type="pct"/>
            <w:tcBorders>
              <w:top w:val="nil"/>
              <w:left w:val="nil"/>
              <w:bottom w:val="nil"/>
              <w:right w:val="nil"/>
            </w:tcBorders>
            <w:shd w:val="clear" w:color="auto" w:fill="auto"/>
            <w:noWrap/>
            <w:vAlign w:val="center"/>
            <w:hideMark/>
          </w:tcPr>
          <w:p w14:paraId="28891550"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ln(1+AG)</w:t>
            </w:r>
          </w:p>
        </w:tc>
        <w:tc>
          <w:tcPr>
            <w:tcW w:w="1021" w:type="pct"/>
            <w:tcBorders>
              <w:top w:val="nil"/>
              <w:left w:val="nil"/>
              <w:bottom w:val="nil"/>
              <w:right w:val="nil"/>
            </w:tcBorders>
            <w:shd w:val="clear" w:color="auto" w:fill="auto"/>
            <w:noWrap/>
            <w:vAlign w:val="center"/>
            <w:hideMark/>
          </w:tcPr>
          <w:p w14:paraId="2E036FD0" w14:textId="5CD4FD76"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21</w:t>
            </w:r>
          </w:p>
        </w:tc>
        <w:tc>
          <w:tcPr>
            <w:tcW w:w="260" w:type="pct"/>
            <w:tcBorders>
              <w:top w:val="nil"/>
              <w:left w:val="nil"/>
              <w:bottom w:val="nil"/>
              <w:right w:val="nil"/>
            </w:tcBorders>
            <w:shd w:val="clear" w:color="auto" w:fill="auto"/>
            <w:noWrap/>
            <w:vAlign w:val="center"/>
            <w:hideMark/>
          </w:tcPr>
          <w:p w14:paraId="54E5388E"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8B7900D" w14:textId="7920E7B2"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66***</w:t>
            </w:r>
          </w:p>
        </w:tc>
        <w:tc>
          <w:tcPr>
            <w:tcW w:w="260" w:type="pct"/>
            <w:tcBorders>
              <w:top w:val="nil"/>
              <w:left w:val="nil"/>
              <w:bottom w:val="nil"/>
              <w:right w:val="nil"/>
            </w:tcBorders>
            <w:shd w:val="clear" w:color="auto" w:fill="auto"/>
            <w:noWrap/>
            <w:vAlign w:val="center"/>
            <w:hideMark/>
          </w:tcPr>
          <w:p w14:paraId="351E3537"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2EC476F" w14:textId="6303C24C"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59***</w:t>
            </w:r>
          </w:p>
        </w:tc>
      </w:tr>
      <w:tr w:rsidR="00AA3B13" w:rsidRPr="00317C9F" w14:paraId="4DBDDF9A" w14:textId="77777777" w:rsidTr="00B15095">
        <w:trPr>
          <w:trHeight w:val="300"/>
        </w:trPr>
        <w:tc>
          <w:tcPr>
            <w:tcW w:w="1417" w:type="pct"/>
            <w:tcBorders>
              <w:top w:val="nil"/>
              <w:left w:val="nil"/>
              <w:bottom w:val="nil"/>
              <w:right w:val="nil"/>
            </w:tcBorders>
            <w:shd w:val="clear" w:color="auto" w:fill="auto"/>
            <w:noWrap/>
            <w:vAlign w:val="center"/>
            <w:hideMark/>
          </w:tcPr>
          <w:p w14:paraId="6DD75D1F"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A1C58A8"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(-0.78)</w:t>
            </w:r>
          </w:p>
        </w:tc>
        <w:tc>
          <w:tcPr>
            <w:tcW w:w="260" w:type="pct"/>
            <w:tcBorders>
              <w:top w:val="nil"/>
              <w:left w:val="nil"/>
              <w:bottom w:val="nil"/>
              <w:right w:val="nil"/>
            </w:tcBorders>
            <w:shd w:val="clear" w:color="auto" w:fill="auto"/>
            <w:noWrap/>
            <w:vAlign w:val="center"/>
            <w:hideMark/>
          </w:tcPr>
          <w:p w14:paraId="2C82228A"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773C534"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(-2.79)</w:t>
            </w:r>
          </w:p>
        </w:tc>
        <w:tc>
          <w:tcPr>
            <w:tcW w:w="260" w:type="pct"/>
            <w:tcBorders>
              <w:top w:val="nil"/>
              <w:left w:val="nil"/>
              <w:bottom w:val="nil"/>
              <w:right w:val="nil"/>
            </w:tcBorders>
            <w:shd w:val="clear" w:color="auto" w:fill="auto"/>
            <w:noWrap/>
            <w:vAlign w:val="center"/>
            <w:hideMark/>
          </w:tcPr>
          <w:p w14:paraId="4F6110CA"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59CDF85D"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(-2.98)</w:t>
            </w:r>
          </w:p>
        </w:tc>
      </w:tr>
      <w:tr w:rsidR="00AA3B13" w:rsidRPr="00317C9F" w14:paraId="587CD29B" w14:textId="77777777" w:rsidTr="00B15095">
        <w:trPr>
          <w:trHeight w:val="300"/>
        </w:trPr>
        <w:tc>
          <w:tcPr>
            <w:tcW w:w="1417" w:type="pct"/>
            <w:tcBorders>
              <w:top w:val="nil"/>
              <w:left w:val="nil"/>
              <w:bottom w:val="nil"/>
              <w:right w:val="nil"/>
            </w:tcBorders>
            <w:shd w:val="clear" w:color="auto" w:fill="auto"/>
            <w:noWrap/>
            <w:vAlign w:val="center"/>
            <w:hideMark/>
          </w:tcPr>
          <w:p w14:paraId="0837EC4B"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ln(1+AG)*GT</w:t>
            </w:r>
          </w:p>
        </w:tc>
        <w:tc>
          <w:tcPr>
            <w:tcW w:w="1021" w:type="pct"/>
            <w:tcBorders>
              <w:top w:val="nil"/>
              <w:left w:val="nil"/>
              <w:bottom w:val="nil"/>
              <w:right w:val="nil"/>
            </w:tcBorders>
            <w:shd w:val="clear" w:color="auto" w:fill="auto"/>
            <w:noWrap/>
            <w:vAlign w:val="center"/>
            <w:hideMark/>
          </w:tcPr>
          <w:p w14:paraId="6470A873" w14:textId="2FFEFDF8"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1</w:t>
            </w:r>
            <w:r>
              <w:rPr>
                <w:rFonts w:eastAsia="Times New Roman" w:cs="Times New Roman"/>
                <w:color w:val="000000"/>
                <w:lang w:eastAsia="zh-CN"/>
              </w:rPr>
              <w:t>.</w:t>
            </w:r>
            <w:r w:rsidR="00AA3B13" w:rsidRPr="00317C9F">
              <w:rPr>
                <w:rFonts w:eastAsia="Times New Roman" w:cs="Times New Roman"/>
                <w:color w:val="000000"/>
                <w:lang w:eastAsia="zh-CN"/>
              </w:rPr>
              <w:t>12***</w:t>
            </w:r>
          </w:p>
        </w:tc>
        <w:tc>
          <w:tcPr>
            <w:tcW w:w="260" w:type="pct"/>
            <w:tcBorders>
              <w:top w:val="nil"/>
              <w:left w:val="nil"/>
              <w:bottom w:val="nil"/>
              <w:right w:val="nil"/>
            </w:tcBorders>
            <w:shd w:val="clear" w:color="auto" w:fill="auto"/>
            <w:noWrap/>
            <w:vAlign w:val="center"/>
            <w:hideMark/>
          </w:tcPr>
          <w:p w14:paraId="50FB2E40"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F2A2B5C" w14:textId="695B1590"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78**</w:t>
            </w:r>
          </w:p>
        </w:tc>
        <w:tc>
          <w:tcPr>
            <w:tcW w:w="260" w:type="pct"/>
            <w:tcBorders>
              <w:top w:val="nil"/>
              <w:left w:val="nil"/>
              <w:bottom w:val="nil"/>
              <w:right w:val="nil"/>
            </w:tcBorders>
            <w:shd w:val="clear" w:color="auto" w:fill="auto"/>
            <w:noWrap/>
            <w:vAlign w:val="center"/>
            <w:hideMark/>
          </w:tcPr>
          <w:p w14:paraId="1FCE47A8"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79FCCB3" w14:textId="28D49865"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94***</w:t>
            </w:r>
          </w:p>
        </w:tc>
      </w:tr>
      <w:tr w:rsidR="00AA3B13" w:rsidRPr="00317C9F" w14:paraId="391EF99F" w14:textId="77777777" w:rsidTr="00B15095">
        <w:trPr>
          <w:trHeight w:val="300"/>
        </w:trPr>
        <w:tc>
          <w:tcPr>
            <w:tcW w:w="1417" w:type="pct"/>
            <w:tcBorders>
              <w:top w:val="nil"/>
              <w:left w:val="nil"/>
              <w:bottom w:val="nil"/>
              <w:right w:val="nil"/>
            </w:tcBorders>
            <w:shd w:val="clear" w:color="auto" w:fill="auto"/>
            <w:noWrap/>
            <w:vAlign w:val="center"/>
            <w:hideMark/>
          </w:tcPr>
          <w:p w14:paraId="47A86D82"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37DEEF7"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(-3.53)</w:t>
            </w:r>
          </w:p>
        </w:tc>
        <w:tc>
          <w:tcPr>
            <w:tcW w:w="260" w:type="pct"/>
            <w:tcBorders>
              <w:top w:val="nil"/>
              <w:left w:val="nil"/>
              <w:bottom w:val="nil"/>
              <w:right w:val="nil"/>
            </w:tcBorders>
            <w:shd w:val="clear" w:color="auto" w:fill="auto"/>
            <w:noWrap/>
            <w:vAlign w:val="center"/>
            <w:hideMark/>
          </w:tcPr>
          <w:p w14:paraId="3145524C"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B72FBE9"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(-2.52)</w:t>
            </w:r>
          </w:p>
        </w:tc>
        <w:tc>
          <w:tcPr>
            <w:tcW w:w="260" w:type="pct"/>
            <w:tcBorders>
              <w:top w:val="nil"/>
              <w:left w:val="nil"/>
              <w:bottom w:val="nil"/>
              <w:right w:val="nil"/>
            </w:tcBorders>
            <w:shd w:val="clear" w:color="auto" w:fill="auto"/>
            <w:noWrap/>
            <w:vAlign w:val="center"/>
            <w:hideMark/>
          </w:tcPr>
          <w:p w14:paraId="1536EC5E"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7169A00"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(-3.46)</w:t>
            </w:r>
          </w:p>
        </w:tc>
      </w:tr>
      <w:tr w:rsidR="00AA3B13" w:rsidRPr="00317C9F" w14:paraId="0EB3261C" w14:textId="77777777" w:rsidTr="00B15095">
        <w:trPr>
          <w:trHeight w:val="300"/>
        </w:trPr>
        <w:tc>
          <w:tcPr>
            <w:tcW w:w="1417" w:type="pct"/>
            <w:tcBorders>
              <w:top w:val="nil"/>
              <w:left w:val="nil"/>
              <w:bottom w:val="nil"/>
              <w:right w:val="nil"/>
            </w:tcBorders>
            <w:shd w:val="clear" w:color="auto" w:fill="auto"/>
            <w:noWrap/>
            <w:vAlign w:val="center"/>
            <w:hideMark/>
          </w:tcPr>
          <w:p w14:paraId="745B19E8"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GT</w:t>
            </w:r>
          </w:p>
        </w:tc>
        <w:tc>
          <w:tcPr>
            <w:tcW w:w="1021" w:type="pct"/>
            <w:tcBorders>
              <w:top w:val="nil"/>
              <w:left w:val="nil"/>
              <w:bottom w:val="nil"/>
              <w:right w:val="nil"/>
            </w:tcBorders>
            <w:shd w:val="clear" w:color="auto" w:fill="auto"/>
            <w:noWrap/>
            <w:vAlign w:val="center"/>
            <w:hideMark/>
          </w:tcPr>
          <w:p w14:paraId="65FDCE9E" w14:textId="5C4946C1"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07</w:t>
            </w:r>
          </w:p>
        </w:tc>
        <w:tc>
          <w:tcPr>
            <w:tcW w:w="260" w:type="pct"/>
            <w:tcBorders>
              <w:top w:val="nil"/>
              <w:left w:val="nil"/>
              <w:bottom w:val="nil"/>
              <w:right w:val="nil"/>
            </w:tcBorders>
            <w:shd w:val="clear" w:color="auto" w:fill="auto"/>
            <w:noWrap/>
            <w:vAlign w:val="center"/>
            <w:hideMark/>
          </w:tcPr>
          <w:p w14:paraId="54EC6E9F"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D5CA0D5" w14:textId="1F3EE1D8"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23**</w:t>
            </w:r>
          </w:p>
        </w:tc>
        <w:tc>
          <w:tcPr>
            <w:tcW w:w="260" w:type="pct"/>
            <w:tcBorders>
              <w:top w:val="nil"/>
              <w:left w:val="nil"/>
              <w:bottom w:val="nil"/>
              <w:right w:val="nil"/>
            </w:tcBorders>
            <w:shd w:val="clear" w:color="auto" w:fill="auto"/>
            <w:noWrap/>
            <w:vAlign w:val="center"/>
            <w:hideMark/>
          </w:tcPr>
          <w:p w14:paraId="3592C167"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5A1264D5" w14:textId="1709A310"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34**</w:t>
            </w:r>
          </w:p>
        </w:tc>
      </w:tr>
      <w:tr w:rsidR="00AA3B13" w:rsidRPr="00317C9F" w14:paraId="55F1B5C6" w14:textId="77777777" w:rsidTr="00B15095">
        <w:trPr>
          <w:trHeight w:val="300"/>
        </w:trPr>
        <w:tc>
          <w:tcPr>
            <w:tcW w:w="1417" w:type="pct"/>
            <w:tcBorders>
              <w:top w:val="nil"/>
              <w:left w:val="nil"/>
              <w:bottom w:val="nil"/>
              <w:right w:val="nil"/>
            </w:tcBorders>
            <w:shd w:val="clear" w:color="auto" w:fill="auto"/>
            <w:noWrap/>
            <w:vAlign w:val="center"/>
            <w:hideMark/>
          </w:tcPr>
          <w:p w14:paraId="09C9B4C6"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A28D70A"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(-0.49)</w:t>
            </w:r>
          </w:p>
        </w:tc>
        <w:tc>
          <w:tcPr>
            <w:tcW w:w="260" w:type="pct"/>
            <w:tcBorders>
              <w:top w:val="nil"/>
              <w:left w:val="nil"/>
              <w:bottom w:val="nil"/>
              <w:right w:val="nil"/>
            </w:tcBorders>
            <w:shd w:val="clear" w:color="auto" w:fill="auto"/>
            <w:noWrap/>
            <w:vAlign w:val="center"/>
            <w:hideMark/>
          </w:tcPr>
          <w:p w14:paraId="2BCE5C92"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6C220E3"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(2.33)</w:t>
            </w:r>
          </w:p>
        </w:tc>
        <w:tc>
          <w:tcPr>
            <w:tcW w:w="260" w:type="pct"/>
            <w:tcBorders>
              <w:top w:val="nil"/>
              <w:left w:val="nil"/>
              <w:bottom w:val="nil"/>
              <w:right w:val="nil"/>
            </w:tcBorders>
            <w:shd w:val="clear" w:color="auto" w:fill="auto"/>
            <w:noWrap/>
            <w:vAlign w:val="center"/>
            <w:hideMark/>
          </w:tcPr>
          <w:p w14:paraId="007461C3"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BD71949"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(-2.16)</w:t>
            </w:r>
          </w:p>
        </w:tc>
      </w:tr>
      <w:tr w:rsidR="00AA3B13" w:rsidRPr="00317C9F" w14:paraId="2ADD58CC" w14:textId="77777777" w:rsidTr="00B15095">
        <w:trPr>
          <w:trHeight w:val="300"/>
        </w:trPr>
        <w:tc>
          <w:tcPr>
            <w:tcW w:w="1417" w:type="pct"/>
            <w:tcBorders>
              <w:top w:val="nil"/>
              <w:left w:val="nil"/>
              <w:bottom w:val="nil"/>
              <w:right w:val="nil"/>
            </w:tcBorders>
            <w:shd w:val="clear" w:color="auto" w:fill="auto"/>
            <w:noWrap/>
            <w:vAlign w:val="center"/>
            <w:hideMark/>
          </w:tcPr>
          <w:p w14:paraId="34D7515F"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lnBM</w:t>
            </w:r>
          </w:p>
        </w:tc>
        <w:tc>
          <w:tcPr>
            <w:tcW w:w="1021" w:type="pct"/>
            <w:tcBorders>
              <w:top w:val="nil"/>
              <w:left w:val="nil"/>
              <w:bottom w:val="nil"/>
              <w:right w:val="nil"/>
            </w:tcBorders>
            <w:shd w:val="clear" w:color="auto" w:fill="auto"/>
            <w:noWrap/>
            <w:vAlign w:val="center"/>
            <w:hideMark/>
          </w:tcPr>
          <w:p w14:paraId="435982FA" w14:textId="747F7BF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18***</w:t>
            </w:r>
          </w:p>
        </w:tc>
        <w:tc>
          <w:tcPr>
            <w:tcW w:w="260" w:type="pct"/>
            <w:tcBorders>
              <w:top w:val="nil"/>
              <w:left w:val="nil"/>
              <w:bottom w:val="nil"/>
              <w:right w:val="nil"/>
            </w:tcBorders>
            <w:shd w:val="clear" w:color="auto" w:fill="auto"/>
            <w:noWrap/>
            <w:vAlign w:val="center"/>
            <w:hideMark/>
          </w:tcPr>
          <w:p w14:paraId="5C028603"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7DC0F15" w14:textId="2D0D61B6"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07*</w:t>
            </w:r>
          </w:p>
        </w:tc>
        <w:tc>
          <w:tcPr>
            <w:tcW w:w="260" w:type="pct"/>
            <w:tcBorders>
              <w:top w:val="nil"/>
              <w:left w:val="nil"/>
              <w:bottom w:val="nil"/>
              <w:right w:val="nil"/>
            </w:tcBorders>
            <w:shd w:val="clear" w:color="auto" w:fill="auto"/>
            <w:noWrap/>
            <w:vAlign w:val="center"/>
            <w:hideMark/>
          </w:tcPr>
          <w:p w14:paraId="003B8B59"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75D8C55" w14:textId="76725128"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08**</w:t>
            </w:r>
          </w:p>
        </w:tc>
      </w:tr>
      <w:tr w:rsidR="00AA3B13" w:rsidRPr="00317C9F" w14:paraId="3E9044FD" w14:textId="77777777" w:rsidTr="00B15095">
        <w:trPr>
          <w:trHeight w:val="300"/>
        </w:trPr>
        <w:tc>
          <w:tcPr>
            <w:tcW w:w="1417" w:type="pct"/>
            <w:tcBorders>
              <w:top w:val="nil"/>
              <w:left w:val="nil"/>
              <w:bottom w:val="nil"/>
              <w:right w:val="nil"/>
            </w:tcBorders>
            <w:shd w:val="clear" w:color="auto" w:fill="auto"/>
            <w:noWrap/>
            <w:vAlign w:val="center"/>
            <w:hideMark/>
          </w:tcPr>
          <w:p w14:paraId="08A449A5"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1A9E45F"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(3.90)</w:t>
            </w:r>
          </w:p>
        </w:tc>
        <w:tc>
          <w:tcPr>
            <w:tcW w:w="260" w:type="pct"/>
            <w:tcBorders>
              <w:top w:val="nil"/>
              <w:left w:val="nil"/>
              <w:bottom w:val="nil"/>
              <w:right w:val="nil"/>
            </w:tcBorders>
            <w:shd w:val="clear" w:color="auto" w:fill="auto"/>
            <w:noWrap/>
            <w:vAlign w:val="center"/>
            <w:hideMark/>
          </w:tcPr>
          <w:p w14:paraId="0DAACCCC"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C7F5362"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(1.82)</w:t>
            </w:r>
          </w:p>
        </w:tc>
        <w:tc>
          <w:tcPr>
            <w:tcW w:w="260" w:type="pct"/>
            <w:tcBorders>
              <w:top w:val="nil"/>
              <w:left w:val="nil"/>
              <w:bottom w:val="nil"/>
              <w:right w:val="nil"/>
            </w:tcBorders>
            <w:shd w:val="clear" w:color="auto" w:fill="auto"/>
            <w:noWrap/>
            <w:vAlign w:val="center"/>
            <w:hideMark/>
          </w:tcPr>
          <w:p w14:paraId="6BAED1AB"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CAE877B"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(1.97)</w:t>
            </w:r>
          </w:p>
        </w:tc>
      </w:tr>
      <w:tr w:rsidR="00AA3B13" w:rsidRPr="00317C9F" w14:paraId="4AF2C035" w14:textId="77777777" w:rsidTr="00B15095">
        <w:trPr>
          <w:trHeight w:val="300"/>
        </w:trPr>
        <w:tc>
          <w:tcPr>
            <w:tcW w:w="1417" w:type="pct"/>
            <w:tcBorders>
              <w:top w:val="nil"/>
              <w:left w:val="nil"/>
              <w:bottom w:val="nil"/>
              <w:right w:val="nil"/>
            </w:tcBorders>
            <w:shd w:val="clear" w:color="auto" w:fill="auto"/>
            <w:noWrap/>
            <w:vAlign w:val="center"/>
            <w:hideMark/>
          </w:tcPr>
          <w:p w14:paraId="3FB36671"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lnMV</w:t>
            </w:r>
          </w:p>
        </w:tc>
        <w:tc>
          <w:tcPr>
            <w:tcW w:w="1021" w:type="pct"/>
            <w:tcBorders>
              <w:top w:val="nil"/>
              <w:left w:val="nil"/>
              <w:bottom w:val="nil"/>
              <w:right w:val="nil"/>
            </w:tcBorders>
            <w:shd w:val="clear" w:color="auto" w:fill="auto"/>
            <w:noWrap/>
            <w:vAlign w:val="center"/>
            <w:hideMark/>
          </w:tcPr>
          <w:p w14:paraId="606DD04B" w14:textId="31674024"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14***</w:t>
            </w:r>
          </w:p>
        </w:tc>
        <w:tc>
          <w:tcPr>
            <w:tcW w:w="260" w:type="pct"/>
            <w:tcBorders>
              <w:top w:val="nil"/>
              <w:left w:val="nil"/>
              <w:bottom w:val="nil"/>
              <w:right w:val="nil"/>
            </w:tcBorders>
            <w:shd w:val="clear" w:color="auto" w:fill="auto"/>
            <w:noWrap/>
            <w:vAlign w:val="center"/>
            <w:hideMark/>
          </w:tcPr>
          <w:p w14:paraId="6FDCC5E1"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3A03384" w14:textId="4B46F625"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09***</w:t>
            </w:r>
          </w:p>
        </w:tc>
        <w:tc>
          <w:tcPr>
            <w:tcW w:w="260" w:type="pct"/>
            <w:tcBorders>
              <w:top w:val="nil"/>
              <w:left w:val="nil"/>
              <w:bottom w:val="nil"/>
              <w:right w:val="nil"/>
            </w:tcBorders>
            <w:shd w:val="clear" w:color="auto" w:fill="auto"/>
            <w:noWrap/>
            <w:vAlign w:val="center"/>
            <w:hideMark/>
          </w:tcPr>
          <w:p w14:paraId="33E4FC49"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2AF523C" w14:textId="6C348032" w:rsidR="00AA3B13" w:rsidRPr="00317C9F" w:rsidRDefault="00E96EAA" w:rsidP="00AA3B13">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3B13" w:rsidRPr="00317C9F">
              <w:rPr>
                <w:rFonts w:eastAsia="Times New Roman" w:cs="Times New Roman"/>
                <w:color w:val="000000"/>
                <w:lang w:eastAsia="zh-CN"/>
              </w:rPr>
              <w:t>0</w:t>
            </w:r>
            <w:r>
              <w:rPr>
                <w:rFonts w:eastAsia="Times New Roman" w:cs="Times New Roman"/>
                <w:color w:val="000000"/>
                <w:lang w:eastAsia="zh-CN"/>
              </w:rPr>
              <w:t>.</w:t>
            </w:r>
            <w:r w:rsidR="00AA3B13" w:rsidRPr="00317C9F">
              <w:rPr>
                <w:rFonts w:eastAsia="Times New Roman" w:cs="Times New Roman"/>
                <w:color w:val="000000"/>
                <w:lang w:eastAsia="zh-CN"/>
              </w:rPr>
              <w:t>19***</w:t>
            </w:r>
          </w:p>
        </w:tc>
      </w:tr>
      <w:tr w:rsidR="00AA3B13" w:rsidRPr="00317C9F" w14:paraId="6849158E" w14:textId="77777777" w:rsidTr="00B15095">
        <w:trPr>
          <w:trHeight w:val="300"/>
        </w:trPr>
        <w:tc>
          <w:tcPr>
            <w:tcW w:w="1417" w:type="pct"/>
            <w:tcBorders>
              <w:top w:val="nil"/>
              <w:left w:val="nil"/>
              <w:bottom w:val="nil"/>
              <w:right w:val="nil"/>
            </w:tcBorders>
            <w:shd w:val="clear" w:color="auto" w:fill="auto"/>
            <w:noWrap/>
            <w:vAlign w:val="center"/>
            <w:hideMark/>
          </w:tcPr>
          <w:p w14:paraId="5DC48732"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5783701D"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(-3.79)</w:t>
            </w:r>
          </w:p>
        </w:tc>
        <w:tc>
          <w:tcPr>
            <w:tcW w:w="260" w:type="pct"/>
            <w:tcBorders>
              <w:top w:val="nil"/>
              <w:left w:val="nil"/>
              <w:bottom w:val="nil"/>
              <w:right w:val="nil"/>
            </w:tcBorders>
            <w:shd w:val="clear" w:color="auto" w:fill="auto"/>
            <w:noWrap/>
            <w:vAlign w:val="center"/>
            <w:hideMark/>
          </w:tcPr>
          <w:p w14:paraId="6870F867"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50F66886"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(-2.74)</w:t>
            </w:r>
          </w:p>
        </w:tc>
        <w:tc>
          <w:tcPr>
            <w:tcW w:w="260" w:type="pct"/>
            <w:tcBorders>
              <w:top w:val="nil"/>
              <w:left w:val="nil"/>
              <w:bottom w:val="nil"/>
              <w:right w:val="nil"/>
            </w:tcBorders>
            <w:shd w:val="clear" w:color="auto" w:fill="auto"/>
            <w:noWrap/>
            <w:vAlign w:val="center"/>
            <w:hideMark/>
          </w:tcPr>
          <w:p w14:paraId="1814C61B"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000C316"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(-5.47)</w:t>
            </w:r>
          </w:p>
        </w:tc>
      </w:tr>
      <w:tr w:rsidR="00AA3B13" w:rsidRPr="00317C9F" w14:paraId="0F492271" w14:textId="77777777" w:rsidTr="00B15095">
        <w:trPr>
          <w:trHeight w:val="300"/>
        </w:trPr>
        <w:tc>
          <w:tcPr>
            <w:tcW w:w="1417" w:type="pct"/>
            <w:tcBorders>
              <w:top w:val="nil"/>
              <w:left w:val="nil"/>
              <w:bottom w:val="nil"/>
              <w:right w:val="nil"/>
            </w:tcBorders>
            <w:shd w:val="clear" w:color="auto" w:fill="auto"/>
            <w:noWrap/>
            <w:vAlign w:val="center"/>
            <w:hideMark/>
          </w:tcPr>
          <w:p w14:paraId="56CCDE72"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Pre6ret</w:t>
            </w:r>
          </w:p>
        </w:tc>
        <w:tc>
          <w:tcPr>
            <w:tcW w:w="1021" w:type="pct"/>
            <w:tcBorders>
              <w:top w:val="nil"/>
              <w:left w:val="nil"/>
              <w:bottom w:val="nil"/>
              <w:right w:val="nil"/>
            </w:tcBorders>
            <w:shd w:val="clear" w:color="auto" w:fill="auto"/>
            <w:noWrap/>
            <w:vAlign w:val="center"/>
            <w:hideMark/>
          </w:tcPr>
          <w:p w14:paraId="0C7EB0E8" w14:textId="6975F23E"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16</w:t>
            </w:r>
          </w:p>
        </w:tc>
        <w:tc>
          <w:tcPr>
            <w:tcW w:w="260" w:type="pct"/>
            <w:tcBorders>
              <w:top w:val="nil"/>
              <w:left w:val="nil"/>
              <w:bottom w:val="nil"/>
              <w:right w:val="nil"/>
            </w:tcBorders>
            <w:shd w:val="clear" w:color="auto" w:fill="auto"/>
            <w:noWrap/>
            <w:vAlign w:val="center"/>
            <w:hideMark/>
          </w:tcPr>
          <w:p w14:paraId="73556090"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D665B91" w14:textId="0EBF921A"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63***</w:t>
            </w:r>
          </w:p>
        </w:tc>
        <w:tc>
          <w:tcPr>
            <w:tcW w:w="260" w:type="pct"/>
            <w:tcBorders>
              <w:top w:val="nil"/>
              <w:left w:val="nil"/>
              <w:bottom w:val="nil"/>
              <w:right w:val="nil"/>
            </w:tcBorders>
            <w:shd w:val="clear" w:color="auto" w:fill="auto"/>
            <w:noWrap/>
            <w:vAlign w:val="center"/>
            <w:hideMark/>
          </w:tcPr>
          <w:p w14:paraId="4AD388D7" w14:textId="77777777" w:rsidR="00AA3B13" w:rsidRPr="00317C9F" w:rsidRDefault="00AA3B13" w:rsidP="00AA3B1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0357EAB" w14:textId="42C9E9B3"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96EAA">
              <w:rPr>
                <w:rFonts w:eastAsia="Times New Roman" w:cs="Times New Roman"/>
                <w:color w:val="000000"/>
                <w:lang w:eastAsia="zh-CN"/>
              </w:rPr>
              <w:t>.</w:t>
            </w:r>
            <w:r w:rsidRPr="00317C9F">
              <w:rPr>
                <w:rFonts w:eastAsia="Times New Roman" w:cs="Times New Roman"/>
                <w:color w:val="000000"/>
                <w:lang w:eastAsia="zh-CN"/>
              </w:rPr>
              <w:t>26</w:t>
            </w:r>
          </w:p>
        </w:tc>
      </w:tr>
      <w:tr w:rsidR="00AA3B13" w:rsidRPr="00317C9F" w14:paraId="108F32E3" w14:textId="77777777" w:rsidTr="00B15095">
        <w:trPr>
          <w:trHeight w:val="300"/>
        </w:trPr>
        <w:tc>
          <w:tcPr>
            <w:tcW w:w="1417" w:type="pct"/>
            <w:tcBorders>
              <w:top w:val="nil"/>
              <w:left w:val="nil"/>
              <w:bottom w:val="single" w:sz="4" w:space="0" w:color="auto"/>
              <w:right w:val="nil"/>
            </w:tcBorders>
            <w:shd w:val="clear" w:color="auto" w:fill="auto"/>
            <w:noWrap/>
            <w:vAlign w:val="center"/>
            <w:hideMark/>
          </w:tcPr>
          <w:p w14:paraId="03BB04FF"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38BB6A1A"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(0.87)</w:t>
            </w:r>
          </w:p>
        </w:tc>
        <w:tc>
          <w:tcPr>
            <w:tcW w:w="260" w:type="pct"/>
            <w:tcBorders>
              <w:top w:val="nil"/>
              <w:left w:val="nil"/>
              <w:bottom w:val="single" w:sz="4" w:space="0" w:color="auto"/>
              <w:right w:val="nil"/>
            </w:tcBorders>
            <w:shd w:val="clear" w:color="auto" w:fill="auto"/>
            <w:noWrap/>
            <w:vAlign w:val="center"/>
            <w:hideMark/>
          </w:tcPr>
          <w:p w14:paraId="08E23B85"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6A120926"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(3.11)</w:t>
            </w:r>
          </w:p>
        </w:tc>
        <w:tc>
          <w:tcPr>
            <w:tcW w:w="260" w:type="pct"/>
            <w:tcBorders>
              <w:top w:val="nil"/>
              <w:left w:val="nil"/>
              <w:bottom w:val="single" w:sz="4" w:space="0" w:color="auto"/>
              <w:right w:val="nil"/>
            </w:tcBorders>
            <w:shd w:val="clear" w:color="auto" w:fill="auto"/>
            <w:noWrap/>
            <w:vAlign w:val="center"/>
            <w:hideMark/>
          </w:tcPr>
          <w:p w14:paraId="50F5DA9C"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02D06A6B" w14:textId="77777777" w:rsidR="00AA3B13" w:rsidRPr="00317C9F" w:rsidRDefault="00AA3B13" w:rsidP="00AA3B1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(1.50)</w:t>
            </w:r>
          </w:p>
        </w:tc>
      </w:tr>
    </w:tbl>
    <w:p w14:paraId="26887825" w14:textId="77777777" w:rsidR="00AC5294" w:rsidRDefault="00AC5294" w:rsidP="00A32202">
      <w:pPr>
        <w:spacing w:line="240" w:lineRule="auto"/>
        <w:outlineLvl w:val="0"/>
        <w:rPr>
          <w:b/>
          <w:lang w:val="en-US"/>
        </w:rPr>
        <w:sectPr w:rsidR="00AC5294" w:rsidSect="00FB128B">
          <w:footerReference w:type="default" r:id="rId9"/>
          <w:pgSz w:w="16838" w:h="11906" w:orient="landscape"/>
          <w:pgMar w:top="1800" w:right="1440" w:bottom="1800" w:left="1440" w:header="708" w:footer="708" w:gutter="0"/>
          <w:cols w:space="708"/>
          <w:docGrid w:linePitch="360"/>
        </w:sectPr>
      </w:pPr>
    </w:p>
    <w:p w14:paraId="12096B8A" w14:textId="491E329C" w:rsidR="003F1225" w:rsidRPr="008319F4" w:rsidRDefault="0083460E" w:rsidP="00A32202">
      <w:pPr>
        <w:spacing w:line="240" w:lineRule="auto"/>
        <w:outlineLvl w:val="0"/>
        <w:rPr>
          <w:b/>
          <w:lang w:val="en-US"/>
        </w:rPr>
      </w:pPr>
      <w:r w:rsidRPr="008319F4">
        <w:rPr>
          <w:b/>
          <w:lang w:val="en-US"/>
        </w:rPr>
        <w:lastRenderedPageBreak/>
        <w:t>Table 4</w:t>
      </w:r>
      <w:r w:rsidR="003F1225" w:rsidRPr="008319F4">
        <w:rPr>
          <w:b/>
          <w:lang w:val="en-US"/>
        </w:rPr>
        <w:t xml:space="preserve">. Growth type, </w:t>
      </w:r>
      <w:r w:rsidR="00E65622" w:rsidRPr="008319F4">
        <w:rPr>
          <w:b/>
          <w:lang w:val="en-US"/>
        </w:rPr>
        <w:t>limits-to-arbitrage</w:t>
      </w:r>
      <w:r w:rsidR="003F1225" w:rsidRPr="008319F4">
        <w:rPr>
          <w:b/>
          <w:lang w:val="en-US"/>
        </w:rPr>
        <w:t xml:space="preserve">, investment frictions and </w:t>
      </w:r>
      <w:r w:rsidR="00A11817" w:rsidRPr="008319F4">
        <w:rPr>
          <w:b/>
          <w:lang w:val="en-US"/>
        </w:rPr>
        <w:t xml:space="preserve">the </w:t>
      </w:r>
      <w:r w:rsidR="003F1225" w:rsidRPr="008319F4">
        <w:rPr>
          <w:b/>
          <w:lang w:val="en-US"/>
        </w:rPr>
        <w:t>asset growth anomaly</w:t>
      </w:r>
    </w:p>
    <w:p w14:paraId="0E6F567E" w14:textId="77777777" w:rsidR="003E14D4" w:rsidRPr="008319F4" w:rsidRDefault="003E14D4" w:rsidP="00A32202">
      <w:pPr>
        <w:spacing w:line="240" w:lineRule="auto"/>
        <w:jc w:val="both"/>
        <w:rPr>
          <w:lang w:val="en-US"/>
        </w:rPr>
      </w:pPr>
      <w:r w:rsidRPr="008319F4">
        <w:rPr>
          <w:lang w:val="en-US"/>
        </w:rPr>
        <w:t>This table reports the time-series avera</w:t>
      </w:r>
      <w:r w:rsidR="00906DD0" w:rsidRPr="008319F4">
        <w:rPr>
          <w:lang w:val="en-US"/>
        </w:rPr>
        <w:t>ge of estimated coefficients of</w:t>
      </w:r>
      <w:r w:rsidRPr="008319F4">
        <w:rPr>
          <w:lang w:val="en-US"/>
        </w:rPr>
        <w:t xml:space="preserve"> monthly regressions from</w:t>
      </w:r>
      <w:r w:rsidR="00906DD0" w:rsidRPr="008319F4">
        <w:rPr>
          <w:lang w:val="en-US"/>
        </w:rPr>
        <w:t xml:space="preserve"> 1963</w:t>
      </w:r>
      <w:r w:rsidRPr="008319F4">
        <w:rPr>
          <w:lang w:val="en-US"/>
        </w:rPr>
        <w:t xml:space="preserve"> to 2011. In each month we run the following regression:</w:t>
      </w:r>
    </w:p>
    <w:p w14:paraId="1F7E50FB" w14:textId="199FF788" w:rsidR="000D02E4" w:rsidRPr="000668F6" w:rsidRDefault="00A2686C" w:rsidP="000D02E4">
      <w:pPr>
        <w:spacing w:line="240" w:lineRule="auto"/>
        <w:jc w:val="both"/>
        <w:rPr>
          <w:i/>
          <w:lang w:val="en-US"/>
        </w:rPr>
      </w:pPr>
      <m:oMathPara>
        <m:oMathParaPr>
          <m:jc m:val="left"/>
        </m:oMathParaPr>
        <m:oMath>
          <m:sSub>
            <m:sSubPr>
              <m:ctrlPr>
                <w:rPr>
                  <w:rFonts w:ascii="Cambria Math" w:hAnsi="Cambria Math"/>
                  <w:i/>
                  <w:lang w:val="en-US"/>
                </w:rPr>
              </m:ctrlPr>
            </m:sSubPr>
            <m:e>
              <m:r>
                <w:rPr>
                  <w:rFonts w:ascii="Cambria Math" w:hAnsi="Cambria Math"/>
                  <w:lang w:val="en-US"/>
                </w:rPr>
                <m:t>Ret</m:t>
              </m:r>
            </m:e>
            <m:sub>
              <m:r>
                <w:rPr>
                  <w:rFonts w:ascii="Cambria Math" w:hAnsi="Cambria Math"/>
                  <w:lang w:val="en-US"/>
                </w:rPr>
                <m:t>i</m:t>
              </m:r>
            </m:sub>
          </m:sSub>
          <m:r>
            <w:rPr>
              <w:rFonts w:ascii="Cambria Math"/>
              <w:lang w:val="en-US"/>
            </w:rPr>
            <m:t>=</m:t>
          </m:r>
          <m:r>
            <w:rPr>
              <w:rFonts w:ascii="Cambria Math" w:hAnsi="Cambria Math"/>
              <w:lang w:val="en-US"/>
            </w:rPr>
            <m:t>α</m:t>
          </m:r>
          <m:r>
            <w:rPr>
              <w:rFonts w:ascii="Cambria Math"/>
              <w:lang w:val="en-US"/>
            </w:rPr>
            <m:t>+</m:t>
          </m:r>
          <m:r>
            <w:rPr>
              <w:rFonts w:ascii="Cambria Math" w:hAnsi="Cambria Math"/>
              <w:lang w:val="en-US"/>
            </w:rPr>
            <m:t>β</m:t>
          </m:r>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r>
            <w:rPr>
              <w:rFonts w:ascii="Cambria Math"/>
              <w:lang w:val="en-US"/>
            </w:rPr>
            <m:t>+</m:t>
          </m:r>
          <m:r>
            <w:rPr>
              <w:rFonts w:ascii="Cambria Math" w:hAnsi="Cambria Math"/>
              <w:lang w:val="en-US"/>
            </w:rPr>
            <m:t>φ</m:t>
          </m:r>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r>
            <w:rPr>
              <w:rFonts w:ascii="Cambria Math"/>
              <w:lang w:val="en-US"/>
            </w:rPr>
            <m:t>×</m:t>
          </m:r>
          <m:r>
            <w:rPr>
              <w:rFonts w:ascii="Cambria Math" w:hAnsi="Cambria Math"/>
              <w:lang w:val="en-US"/>
            </w:rPr>
            <m:t>GT</m:t>
          </m:r>
          <m:r>
            <w:rPr>
              <w:rFonts w:ascii="Cambria Math"/>
              <w:lang w:val="en-US"/>
            </w:rPr>
            <m:t>+</m:t>
          </m:r>
          <m:r>
            <w:rPr>
              <w:rFonts w:ascii="Cambria Math" w:hAnsi="Cambria Math"/>
              <w:lang w:val="en-US"/>
            </w:rPr>
            <m:t>γGT</m:t>
          </m:r>
          <m:r>
            <w:rPr>
              <w:rFonts w:ascii="Cambria Math"/>
              <w:lang w:val="en-US"/>
            </w:rPr>
            <m:t>+</m:t>
          </m:r>
          <m:r>
            <w:rPr>
              <w:rFonts w:ascii="Cambria Math" w:hAnsi="Cambria Math"/>
              <w:lang w:val="en-US"/>
            </w:rPr>
            <m:t>λ</m:t>
          </m:r>
          <m:func>
            <m:funcPr>
              <m:ctrlPr>
                <w:rPr>
                  <w:rFonts w:ascii="Cambria Math" w:hAnsi="Cambria Math"/>
                  <w:i/>
                  <w:lang w:val="en-US"/>
                </w:rPr>
              </m:ctrlPr>
            </m:funcPr>
            <m:fName>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fName>
            <m:e>
              <m:r>
                <w:rPr>
                  <w:rFonts w:ascii="Cambria Math"/>
                  <w:lang w:val="en-US"/>
                </w:rPr>
                <m:t>×</m:t>
              </m:r>
            </m:e>
          </m:func>
          <m:r>
            <w:rPr>
              <w:rFonts w:ascii="Cambria Math"/>
              <w:lang w:val="en-US"/>
            </w:rPr>
            <m:t>LIproxi +</m:t>
          </m:r>
          <m:r>
            <w:rPr>
              <w:rFonts w:ascii="Cambria Math" w:hAnsi="Cambria Math"/>
              <w:lang w:val="en-US"/>
            </w:rPr>
            <m:t>κ</m:t>
          </m:r>
          <m:r>
            <w:rPr>
              <w:rFonts w:ascii="Cambria Math"/>
              <w:lang w:val="en-US"/>
            </w:rPr>
            <m:t>LIproxy +</m:t>
          </m:r>
          <m:nary>
            <m:naryPr>
              <m:chr m:val="∑"/>
              <m:limLoc m:val="undOvr"/>
              <m:ctrlPr>
                <w:rPr>
                  <w:rFonts w:ascii="Cambria Math" w:hAnsi="Cambria Math"/>
                  <w:i/>
                  <w:lang w:val="en-US"/>
                </w:rPr>
              </m:ctrlPr>
            </m:naryPr>
            <m:sub>
              <m:r>
                <w:rPr>
                  <w:rFonts w:ascii="Cambria Math" w:hAnsi="Cambria Math"/>
                  <w:lang w:val="en-US"/>
                </w:rPr>
                <m:t>j</m:t>
              </m:r>
              <m:r>
                <w:rPr>
                  <w:rFonts w:ascii="Cambria Math"/>
                  <w:lang w:val="en-US"/>
                </w:rPr>
                <m:t>=1</m:t>
              </m:r>
            </m:sub>
            <m:sup>
              <m:r>
                <w:rPr>
                  <w:rFonts w:ascii="Cambria Math"/>
                  <w:lang w:val="en-US"/>
                </w:rPr>
                <m:t>3</m:t>
              </m:r>
            </m:sup>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Control</m:t>
                  </m:r>
                </m:e>
                <m:sub>
                  <m:r>
                    <w:rPr>
                      <w:rFonts w:ascii="Cambria Math" w:hAnsi="Cambria Math"/>
                      <w:lang w:val="en-US"/>
                    </w:rPr>
                    <m:t>ij</m:t>
                  </m:r>
                </m:sub>
              </m:sSub>
            </m:e>
          </m:nary>
          <m:r>
            <w:rPr>
              <w:rFonts w:ascii="Cambria Math"/>
              <w:lang w:val="en-US"/>
            </w:rPr>
            <m:t>+</m:t>
          </m:r>
          <m:r>
            <w:rPr>
              <w:rFonts w:ascii="Cambria Math" w:hAnsi="Cambria Math"/>
              <w:lang w:val="en-US"/>
            </w:rPr>
            <m:t>ε</m:t>
          </m:r>
        </m:oMath>
      </m:oMathPara>
    </w:p>
    <w:p w14:paraId="452B1B39" w14:textId="262BA377" w:rsidR="00155774" w:rsidRPr="000668F6" w:rsidRDefault="00155774" w:rsidP="00155774">
      <w:pPr>
        <w:spacing w:line="240" w:lineRule="auto"/>
        <w:jc w:val="right"/>
        <w:rPr>
          <w:i/>
          <w:szCs w:val="24"/>
          <w:lang w:val="en-US"/>
        </w:rPr>
      </w:pPr>
      <w:r w:rsidRPr="000668F6">
        <w:rPr>
          <w:i/>
          <w:szCs w:val="24"/>
          <w:lang w:val="en-US"/>
        </w:rPr>
        <w:t>Eq(2)</w:t>
      </w:r>
    </w:p>
    <w:p w14:paraId="28E7EAEF" w14:textId="77777777" w:rsidR="00155774" w:rsidRPr="008319F4" w:rsidRDefault="00155774" w:rsidP="000D02E4">
      <w:pPr>
        <w:spacing w:line="240" w:lineRule="auto"/>
        <w:jc w:val="both"/>
        <w:rPr>
          <w:i/>
          <w:sz w:val="24"/>
          <w:szCs w:val="24"/>
          <w:lang w:val="en-US"/>
        </w:rPr>
      </w:pPr>
    </w:p>
    <w:p w14:paraId="3D1C79CE" w14:textId="4F285F56" w:rsidR="003E14D4" w:rsidRPr="008319F4" w:rsidRDefault="00906DD0" w:rsidP="00A32202">
      <w:pPr>
        <w:spacing w:line="240" w:lineRule="auto"/>
        <w:jc w:val="both"/>
      </w:pPr>
      <w:r w:rsidRPr="008319F4">
        <w:rPr>
          <w:lang w:val="en-US"/>
        </w:rPr>
        <w:t>Where Ret</w:t>
      </w:r>
      <w:r w:rsidRPr="008319F4">
        <w:rPr>
          <w:vertAlign w:val="subscript"/>
          <w:lang w:val="en-US"/>
        </w:rPr>
        <w:t>i</w:t>
      </w:r>
      <w:r w:rsidRPr="008319F4">
        <w:rPr>
          <w:lang w:val="en-US"/>
        </w:rPr>
        <w:t xml:space="preserve"> is the monthly raw return; AG is firm asset gro</w:t>
      </w:r>
      <w:r w:rsidR="00A11817" w:rsidRPr="008319F4">
        <w:rPr>
          <w:lang w:val="en-US"/>
        </w:rPr>
        <w:t>wth; GT</w:t>
      </w:r>
      <w:r w:rsidRPr="008319F4">
        <w:rPr>
          <w:lang w:val="en-US"/>
        </w:rPr>
        <w:t xml:space="preserve"> </w:t>
      </w:r>
      <w:r w:rsidR="00A11817" w:rsidRPr="008319F4">
        <w:rPr>
          <w:lang w:val="en-US"/>
        </w:rPr>
        <w:t>indicates</w:t>
      </w:r>
      <w:r w:rsidRPr="008319F4">
        <w:rPr>
          <w:lang w:val="en-US"/>
        </w:rPr>
        <w:t xml:space="preserve"> a firm’s growth type (GT=1 if growth fir</w:t>
      </w:r>
      <w:r w:rsidR="00A11817" w:rsidRPr="008319F4">
        <w:rPr>
          <w:lang w:val="en-US"/>
        </w:rPr>
        <w:t>m,</w:t>
      </w:r>
      <w:r w:rsidRPr="008319F4">
        <w:rPr>
          <w:lang w:val="en-US"/>
        </w:rPr>
        <w:t xml:space="preserve"> </w:t>
      </w:r>
      <w:r w:rsidR="00A11817" w:rsidRPr="008319F4">
        <w:rPr>
          <w:lang w:val="en-US"/>
        </w:rPr>
        <w:t xml:space="preserve">GT=0 for </w:t>
      </w:r>
      <w:r w:rsidR="00095362" w:rsidRPr="003507D0">
        <w:rPr>
          <w:noProof/>
          <w:lang w:val="en-US"/>
        </w:rPr>
        <w:t>mature</w:t>
      </w:r>
      <w:r w:rsidR="00095362">
        <w:rPr>
          <w:lang w:val="en-US"/>
        </w:rPr>
        <w:t xml:space="preserve"> firm</w:t>
      </w:r>
      <w:r w:rsidRPr="008319F4">
        <w:rPr>
          <w:lang w:val="en-US"/>
        </w:rPr>
        <w:t xml:space="preserve">). Firms are divided into deciles based on the growth type proxies </w:t>
      </w:r>
      <w:r w:rsidRPr="008319F4">
        <w:t>including retained earnings scaled by total assets (RE), dividends scaled by earnings before extraordinary items (DIV) and cash flow scaled by total assets (CF)</w:t>
      </w:r>
      <w:r w:rsidR="0083460E" w:rsidRPr="008319F4">
        <w:t xml:space="preserve"> in Panels A, </w:t>
      </w:r>
      <w:r w:rsidR="0083460E" w:rsidRPr="003507D0">
        <w:rPr>
          <w:noProof/>
        </w:rPr>
        <w:t>B</w:t>
      </w:r>
      <w:r w:rsidR="0083460E" w:rsidRPr="008319F4">
        <w:t xml:space="preserve"> and C, respectively</w:t>
      </w:r>
      <w:r w:rsidRPr="008319F4">
        <w:t>. The top 3 deciles</w:t>
      </w:r>
      <w:r w:rsidR="00A11817" w:rsidRPr="008319F4">
        <w:t xml:space="preserve"> and</w:t>
      </w:r>
      <w:r w:rsidRPr="008319F4">
        <w:t xml:space="preserve"> bottom 3 deciles are considered as mature</w:t>
      </w:r>
      <w:r w:rsidR="00A11817" w:rsidRPr="008319F4">
        <w:t xml:space="preserve"> </w:t>
      </w:r>
      <w:r w:rsidRPr="008319F4">
        <w:t>and growth firms</w:t>
      </w:r>
      <w:r w:rsidR="003E14D4" w:rsidRPr="008319F4">
        <w:t>.</w:t>
      </w:r>
      <w:r w:rsidR="00A11817" w:rsidRPr="008319F4">
        <w:rPr>
          <w:lang w:val="en-US"/>
        </w:rPr>
        <w:t xml:space="preserve"> </w:t>
      </w:r>
      <w:r w:rsidR="000D02E4" w:rsidRPr="003507D0">
        <w:rPr>
          <w:noProof/>
          <w:sz w:val="24"/>
          <w:szCs w:val="24"/>
          <w:lang w:val="en-US"/>
        </w:rPr>
        <w:t>LIproxy</w:t>
      </w:r>
      <w:r w:rsidR="000D02E4">
        <w:rPr>
          <w:sz w:val="24"/>
          <w:szCs w:val="24"/>
          <w:lang w:val="en-US"/>
        </w:rPr>
        <w:t xml:space="preserve"> is a proxy of the limit-to-arbitrage or investment frictions</w:t>
      </w:r>
      <w:r w:rsidR="000D02E4" w:rsidRPr="008319F4">
        <w:rPr>
          <w:lang w:val="en-US"/>
        </w:rPr>
        <w:t xml:space="preserve"> </w:t>
      </w:r>
      <w:r w:rsidR="0083460E" w:rsidRPr="008319F4">
        <w:rPr>
          <w:lang w:val="en-US"/>
        </w:rPr>
        <w:t>Models 1</w:t>
      </w:r>
      <w:r w:rsidR="00A11817" w:rsidRPr="008319F4">
        <w:rPr>
          <w:lang w:val="en-US"/>
        </w:rPr>
        <w:t xml:space="preserve"> to</w:t>
      </w:r>
      <w:r w:rsidR="0083460E" w:rsidRPr="008319F4">
        <w:rPr>
          <w:lang w:val="en-US"/>
        </w:rPr>
        <w:t xml:space="preserve"> 5</w:t>
      </w:r>
      <w:r w:rsidR="003E14D4" w:rsidRPr="008319F4">
        <w:rPr>
          <w:lang w:val="en-US"/>
        </w:rPr>
        <w:t xml:space="preserve"> reports the interactive effect of growth type and asset growth by controlling for </w:t>
      </w:r>
      <w:r w:rsidR="00E65622" w:rsidRPr="008319F4">
        <w:rPr>
          <w:lang w:val="en-US"/>
        </w:rPr>
        <w:t>limits-to-arbitrage</w:t>
      </w:r>
      <w:r w:rsidR="003E14D4" w:rsidRPr="008319F4">
        <w:rPr>
          <w:lang w:val="en-US"/>
        </w:rPr>
        <w:t xml:space="preserve"> proxies -- idiosyncratic volatility (IVOL), bid-ask spread (BAS), analyst forecast (COV), forecast dispersion among analysts (DISP) and dollar trading volume (DVOL) respectively. </w:t>
      </w:r>
      <w:r w:rsidR="0083460E" w:rsidRPr="008319F4">
        <w:rPr>
          <w:lang w:val="en-US"/>
        </w:rPr>
        <w:t>Models 6 and 7</w:t>
      </w:r>
      <w:r w:rsidR="00A11817" w:rsidRPr="008319F4">
        <w:rPr>
          <w:lang w:val="en-US"/>
        </w:rPr>
        <w:t xml:space="preserve"> report</w:t>
      </w:r>
      <w:r w:rsidRPr="008319F4">
        <w:rPr>
          <w:lang w:val="en-US"/>
        </w:rPr>
        <w:t xml:space="preserve"> the interactive effect of growth type and asset growth by controlling for investment friction proxies – firm age (AGE) and firm total assets (ASSET).</w:t>
      </w:r>
      <w:r w:rsidR="00350EB1" w:rsidRPr="008319F4">
        <w:rPr>
          <w:lang w:val="en-US"/>
        </w:rPr>
        <w:t xml:space="preserve"> </w:t>
      </w:r>
      <w:r w:rsidR="0083460E" w:rsidRPr="008319F4">
        <w:rPr>
          <w:lang w:val="en-US"/>
        </w:rPr>
        <w:t xml:space="preserve"> </w:t>
      </w:r>
      <w:r w:rsidR="003E14D4" w:rsidRPr="008319F4">
        <w:rPr>
          <w:lang w:val="en-US"/>
        </w:rPr>
        <w:t>Control variables are the natural logarithm of market capitalization (</w:t>
      </w:r>
      <w:r w:rsidR="003E14D4" w:rsidRPr="003507D0">
        <w:rPr>
          <w:noProof/>
          <w:lang w:val="en-US"/>
        </w:rPr>
        <w:t>lnMV</w:t>
      </w:r>
      <w:r w:rsidR="003E14D4" w:rsidRPr="008319F4">
        <w:rPr>
          <w:lang w:val="en-US"/>
        </w:rPr>
        <w:t>), the natural logarithm of the book-to-market ratio (</w:t>
      </w:r>
      <w:r w:rsidR="003E14D4" w:rsidRPr="003507D0">
        <w:rPr>
          <w:noProof/>
          <w:lang w:val="en-US"/>
        </w:rPr>
        <w:t>lnBM</w:t>
      </w:r>
      <w:r w:rsidR="003E14D4" w:rsidRPr="008319F4">
        <w:rPr>
          <w:lang w:val="en-US"/>
        </w:rPr>
        <w:t xml:space="preserve">) and </w:t>
      </w:r>
      <w:r w:rsidR="00A11817" w:rsidRPr="008319F4">
        <w:rPr>
          <w:lang w:val="en-US"/>
        </w:rPr>
        <w:t xml:space="preserve">the </w:t>
      </w:r>
      <w:r w:rsidR="003E14D4" w:rsidRPr="008319F4">
        <w:rPr>
          <w:lang w:val="en-US"/>
        </w:rPr>
        <w:t>previous 6-month returns at the end of June</w:t>
      </w:r>
      <w:r w:rsidR="006A0453" w:rsidRPr="008319F4">
        <w:rPr>
          <w:lang w:val="en-US"/>
        </w:rPr>
        <w:t xml:space="preserve"> (Pre6ret)</w:t>
      </w:r>
      <w:r w:rsidR="003E14D4" w:rsidRPr="008319F4">
        <w:rPr>
          <w:lang w:val="en-US"/>
        </w:rPr>
        <w:t xml:space="preserve">. </w:t>
      </w:r>
      <w:r w:rsidR="003E14D4" w:rsidRPr="008319F4">
        <w:t>The t-values in parentheses are based on Newey-West (1987) standard errors for correcting heteroscedasticity and autocorrelation; *, **, and *** indicate the significance level at 0.10, 0.05 and 0.01.</w:t>
      </w:r>
    </w:p>
    <w:p w14:paraId="0879A61C" w14:textId="77777777" w:rsidR="003E14D4" w:rsidRPr="008319F4" w:rsidRDefault="003E14D4" w:rsidP="00A32202">
      <w:pPr>
        <w:spacing w:line="240" w:lineRule="auto"/>
        <w:rPr>
          <w:b/>
        </w:rPr>
      </w:pPr>
    </w:p>
    <w:p w14:paraId="3DE64495" w14:textId="77777777" w:rsidR="003E14D4" w:rsidRPr="008319F4" w:rsidRDefault="003E14D4" w:rsidP="00A32202">
      <w:pPr>
        <w:spacing w:line="240" w:lineRule="auto"/>
        <w:rPr>
          <w:b/>
        </w:rPr>
      </w:pPr>
    </w:p>
    <w:p w14:paraId="45E1DBC0" w14:textId="77777777" w:rsidR="003E14D4" w:rsidRPr="008319F4" w:rsidRDefault="003E14D4" w:rsidP="00A32202">
      <w:pPr>
        <w:spacing w:line="240" w:lineRule="auto"/>
        <w:rPr>
          <w:b/>
        </w:rPr>
      </w:pPr>
    </w:p>
    <w:p w14:paraId="04B82381" w14:textId="77777777" w:rsidR="003E14D4" w:rsidRPr="008319F4" w:rsidRDefault="003E14D4" w:rsidP="00A32202">
      <w:pPr>
        <w:spacing w:line="240" w:lineRule="auto"/>
        <w:rPr>
          <w:b/>
        </w:rPr>
      </w:pPr>
    </w:p>
    <w:p w14:paraId="598B6724" w14:textId="77777777" w:rsidR="007C6CB2" w:rsidRPr="008319F4" w:rsidRDefault="007C6CB2">
      <w:pPr>
        <w:rPr>
          <w:b/>
          <w:lang w:val="en-US"/>
        </w:rPr>
      </w:pPr>
      <w:r w:rsidRPr="008319F4">
        <w:rPr>
          <w:b/>
          <w:lang w:val="en-US"/>
        </w:rPr>
        <w:br w:type="page"/>
      </w:r>
    </w:p>
    <w:p w14:paraId="1DC9269E" w14:textId="77777777" w:rsidR="0092303A" w:rsidRDefault="0092303A" w:rsidP="0092303A">
      <w:pPr>
        <w:spacing w:line="360" w:lineRule="auto"/>
        <w:jc w:val="both"/>
      </w:pPr>
      <w:r>
        <w:lastRenderedPageBreak/>
        <w:t>Panel A: growth type proxy – RE</w:t>
      </w:r>
    </w:p>
    <w:tbl>
      <w:tblPr>
        <w:tblW w:w="5220" w:type="pct"/>
        <w:tblLook w:val="04A0" w:firstRow="1" w:lastRow="0" w:firstColumn="1" w:lastColumn="0" w:noHBand="0" w:noVBand="1"/>
      </w:tblPr>
      <w:tblGrid>
        <w:gridCol w:w="1809"/>
        <w:gridCol w:w="967"/>
        <w:gridCol w:w="967"/>
        <w:gridCol w:w="967"/>
        <w:gridCol w:w="968"/>
        <w:gridCol w:w="922"/>
        <w:gridCol w:w="955"/>
        <w:gridCol w:w="1342"/>
      </w:tblGrid>
      <w:tr w:rsidR="00EB3B52" w:rsidRPr="000668F6" w14:paraId="20D3849D" w14:textId="77777777" w:rsidTr="000668F6">
        <w:trPr>
          <w:trHeight w:val="220"/>
        </w:trPr>
        <w:tc>
          <w:tcPr>
            <w:tcW w:w="889" w:type="pct"/>
            <w:tcBorders>
              <w:top w:val="single" w:sz="4" w:space="0" w:color="auto"/>
              <w:left w:val="nil"/>
              <w:bottom w:val="single" w:sz="4" w:space="0" w:color="auto"/>
              <w:right w:val="nil"/>
            </w:tcBorders>
            <w:shd w:val="clear" w:color="auto" w:fill="auto"/>
            <w:noWrap/>
            <w:vAlign w:val="center"/>
            <w:hideMark/>
          </w:tcPr>
          <w:p w14:paraId="4A68E72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562" w:type="pct"/>
            <w:tcBorders>
              <w:top w:val="single" w:sz="4" w:space="0" w:color="auto"/>
              <w:left w:val="nil"/>
              <w:bottom w:val="single" w:sz="4" w:space="0" w:color="auto"/>
              <w:right w:val="nil"/>
            </w:tcBorders>
            <w:shd w:val="clear" w:color="auto" w:fill="auto"/>
            <w:noWrap/>
            <w:vAlign w:val="center"/>
            <w:hideMark/>
          </w:tcPr>
          <w:p w14:paraId="35790D0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1</w:t>
            </w:r>
          </w:p>
        </w:tc>
        <w:tc>
          <w:tcPr>
            <w:tcW w:w="562" w:type="pct"/>
            <w:tcBorders>
              <w:top w:val="single" w:sz="4" w:space="0" w:color="auto"/>
              <w:left w:val="nil"/>
              <w:bottom w:val="single" w:sz="4" w:space="0" w:color="auto"/>
              <w:right w:val="nil"/>
            </w:tcBorders>
            <w:shd w:val="clear" w:color="auto" w:fill="auto"/>
            <w:noWrap/>
            <w:vAlign w:val="center"/>
            <w:hideMark/>
          </w:tcPr>
          <w:p w14:paraId="7FF5860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2</w:t>
            </w:r>
          </w:p>
        </w:tc>
        <w:tc>
          <w:tcPr>
            <w:tcW w:w="562" w:type="pct"/>
            <w:tcBorders>
              <w:top w:val="single" w:sz="4" w:space="0" w:color="auto"/>
              <w:left w:val="nil"/>
              <w:bottom w:val="single" w:sz="4" w:space="0" w:color="auto"/>
              <w:right w:val="nil"/>
            </w:tcBorders>
            <w:shd w:val="clear" w:color="auto" w:fill="auto"/>
            <w:noWrap/>
            <w:vAlign w:val="center"/>
            <w:hideMark/>
          </w:tcPr>
          <w:p w14:paraId="0924AFF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3</w:t>
            </w:r>
          </w:p>
        </w:tc>
        <w:tc>
          <w:tcPr>
            <w:tcW w:w="562" w:type="pct"/>
            <w:tcBorders>
              <w:top w:val="single" w:sz="4" w:space="0" w:color="auto"/>
              <w:left w:val="nil"/>
              <w:bottom w:val="single" w:sz="4" w:space="0" w:color="auto"/>
              <w:right w:val="nil"/>
            </w:tcBorders>
            <w:shd w:val="clear" w:color="auto" w:fill="auto"/>
            <w:noWrap/>
            <w:vAlign w:val="center"/>
            <w:hideMark/>
          </w:tcPr>
          <w:p w14:paraId="5F803BC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4</w:t>
            </w:r>
          </w:p>
        </w:tc>
        <w:tc>
          <w:tcPr>
            <w:tcW w:w="529" w:type="pct"/>
            <w:tcBorders>
              <w:top w:val="single" w:sz="4" w:space="0" w:color="auto"/>
              <w:left w:val="nil"/>
              <w:bottom w:val="single" w:sz="4" w:space="0" w:color="auto"/>
              <w:right w:val="nil"/>
            </w:tcBorders>
            <w:shd w:val="clear" w:color="auto" w:fill="auto"/>
            <w:noWrap/>
            <w:vAlign w:val="center"/>
            <w:hideMark/>
          </w:tcPr>
          <w:p w14:paraId="558203F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5</w:t>
            </w:r>
          </w:p>
        </w:tc>
        <w:tc>
          <w:tcPr>
            <w:tcW w:w="562" w:type="pct"/>
            <w:tcBorders>
              <w:top w:val="single" w:sz="4" w:space="0" w:color="auto"/>
              <w:left w:val="nil"/>
              <w:bottom w:val="single" w:sz="4" w:space="0" w:color="auto"/>
              <w:right w:val="nil"/>
            </w:tcBorders>
            <w:shd w:val="clear" w:color="auto" w:fill="auto"/>
            <w:noWrap/>
            <w:vAlign w:val="center"/>
            <w:hideMark/>
          </w:tcPr>
          <w:p w14:paraId="77DF80F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6</w:t>
            </w:r>
          </w:p>
        </w:tc>
        <w:tc>
          <w:tcPr>
            <w:tcW w:w="773" w:type="pct"/>
            <w:tcBorders>
              <w:top w:val="single" w:sz="4" w:space="0" w:color="auto"/>
              <w:left w:val="nil"/>
              <w:bottom w:val="single" w:sz="4" w:space="0" w:color="auto"/>
              <w:right w:val="nil"/>
            </w:tcBorders>
            <w:shd w:val="clear" w:color="auto" w:fill="auto"/>
            <w:noWrap/>
            <w:vAlign w:val="center"/>
            <w:hideMark/>
          </w:tcPr>
          <w:p w14:paraId="5464245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7</w:t>
            </w:r>
          </w:p>
        </w:tc>
      </w:tr>
      <w:tr w:rsidR="00EB3B52" w:rsidRPr="000668F6" w14:paraId="756E771C" w14:textId="77777777" w:rsidTr="000668F6">
        <w:trPr>
          <w:trHeight w:val="220"/>
        </w:trPr>
        <w:tc>
          <w:tcPr>
            <w:tcW w:w="889" w:type="pct"/>
            <w:tcBorders>
              <w:top w:val="nil"/>
              <w:left w:val="nil"/>
              <w:bottom w:val="nil"/>
              <w:right w:val="nil"/>
            </w:tcBorders>
            <w:shd w:val="clear" w:color="auto" w:fill="auto"/>
            <w:noWrap/>
            <w:vAlign w:val="center"/>
            <w:hideMark/>
          </w:tcPr>
          <w:p w14:paraId="6D932E6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Intercept</w:t>
            </w:r>
          </w:p>
        </w:tc>
        <w:tc>
          <w:tcPr>
            <w:tcW w:w="562" w:type="pct"/>
            <w:tcBorders>
              <w:top w:val="nil"/>
              <w:left w:val="nil"/>
              <w:bottom w:val="nil"/>
              <w:right w:val="nil"/>
            </w:tcBorders>
            <w:shd w:val="clear" w:color="auto" w:fill="auto"/>
            <w:noWrap/>
            <w:vAlign w:val="center"/>
            <w:hideMark/>
          </w:tcPr>
          <w:p w14:paraId="42694964" w14:textId="39F4E9BC"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435B6D">
              <w:rPr>
                <w:rFonts w:eastAsia="Times New Roman" w:cs="Times New Roman"/>
                <w:color w:val="000000"/>
                <w:lang w:eastAsia="zh-CN"/>
              </w:rPr>
              <w:t>.</w:t>
            </w:r>
            <w:r w:rsidRPr="000668F6">
              <w:rPr>
                <w:rFonts w:eastAsia="Times New Roman" w:cs="Times New Roman"/>
                <w:color w:val="000000"/>
                <w:lang w:eastAsia="zh-CN"/>
              </w:rPr>
              <w:t>95***</w:t>
            </w:r>
          </w:p>
        </w:tc>
        <w:tc>
          <w:tcPr>
            <w:tcW w:w="562" w:type="pct"/>
            <w:tcBorders>
              <w:top w:val="nil"/>
              <w:left w:val="nil"/>
              <w:bottom w:val="nil"/>
              <w:right w:val="nil"/>
            </w:tcBorders>
            <w:shd w:val="clear" w:color="auto" w:fill="auto"/>
            <w:noWrap/>
            <w:vAlign w:val="center"/>
            <w:hideMark/>
          </w:tcPr>
          <w:p w14:paraId="5C315EEA" w14:textId="128655B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435B6D">
              <w:rPr>
                <w:rFonts w:eastAsia="Times New Roman" w:cs="Times New Roman"/>
                <w:color w:val="000000"/>
                <w:lang w:eastAsia="zh-CN"/>
              </w:rPr>
              <w:t>.</w:t>
            </w:r>
            <w:r w:rsidRPr="000668F6">
              <w:rPr>
                <w:rFonts w:eastAsia="Times New Roman" w:cs="Times New Roman"/>
                <w:color w:val="000000"/>
                <w:lang w:eastAsia="zh-CN"/>
              </w:rPr>
              <w:t>01**</w:t>
            </w:r>
          </w:p>
        </w:tc>
        <w:tc>
          <w:tcPr>
            <w:tcW w:w="562" w:type="pct"/>
            <w:tcBorders>
              <w:top w:val="nil"/>
              <w:left w:val="nil"/>
              <w:bottom w:val="nil"/>
              <w:right w:val="nil"/>
            </w:tcBorders>
            <w:shd w:val="clear" w:color="auto" w:fill="auto"/>
            <w:noWrap/>
            <w:vAlign w:val="center"/>
            <w:hideMark/>
          </w:tcPr>
          <w:p w14:paraId="6D130BD3" w14:textId="697C8B9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435B6D">
              <w:rPr>
                <w:rFonts w:eastAsia="Times New Roman" w:cs="Times New Roman"/>
                <w:color w:val="000000"/>
                <w:lang w:eastAsia="zh-CN"/>
              </w:rPr>
              <w:t>.</w:t>
            </w:r>
            <w:r w:rsidRPr="000668F6">
              <w:rPr>
                <w:rFonts w:eastAsia="Times New Roman" w:cs="Times New Roman"/>
                <w:color w:val="000000"/>
                <w:lang w:eastAsia="zh-CN"/>
              </w:rPr>
              <w:t>20***</w:t>
            </w:r>
          </w:p>
        </w:tc>
        <w:tc>
          <w:tcPr>
            <w:tcW w:w="562" w:type="pct"/>
            <w:tcBorders>
              <w:top w:val="nil"/>
              <w:left w:val="nil"/>
              <w:bottom w:val="nil"/>
              <w:right w:val="nil"/>
            </w:tcBorders>
            <w:shd w:val="clear" w:color="auto" w:fill="auto"/>
            <w:noWrap/>
            <w:vAlign w:val="center"/>
            <w:hideMark/>
          </w:tcPr>
          <w:p w14:paraId="0EB98F2C" w14:textId="04BA9BD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435B6D">
              <w:rPr>
                <w:rFonts w:eastAsia="Times New Roman" w:cs="Times New Roman"/>
                <w:color w:val="000000"/>
                <w:lang w:eastAsia="zh-CN"/>
              </w:rPr>
              <w:t>.</w:t>
            </w:r>
            <w:r w:rsidRPr="000668F6">
              <w:rPr>
                <w:rFonts w:eastAsia="Times New Roman" w:cs="Times New Roman"/>
                <w:color w:val="000000"/>
                <w:lang w:eastAsia="zh-CN"/>
              </w:rPr>
              <w:t>15***</w:t>
            </w:r>
          </w:p>
        </w:tc>
        <w:tc>
          <w:tcPr>
            <w:tcW w:w="529" w:type="pct"/>
            <w:tcBorders>
              <w:top w:val="nil"/>
              <w:left w:val="nil"/>
              <w:bottom w:val="nil"/>
              <w:right w:val="nil"/>
            </w:tcBorders>
            <w:shd w:val="clear" w:color="auto" w:fill="auto"/>
            <w:noWrap/>
            <w:vAlign w:val="center"/>
            <w:hideMark/>
          </w:tcPr>
          <w:p w14:paraId="7FB645A6" w14:textId="03E94CA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435B6D">
              <w:rPr>
                <w:rFonts w:eastAsia="Times New Roman" w:cs="Times New Roman"/>
                <w:color w:val="000000"/>
                <w:lang w:eastAsia="zh-CN"/>
              </w:rPr>
              <w:t>.</w:t>
            </w:r>
            <w:r w:rsidRPr="000668F6">
              <w:rPr>
                <w:rFonts w:eastAsia="Times New Roman" w:cs="Times New Roman"/>
                <w:color w:val="000000"/>
                <w:lang w:eastAsia="zh-CN"/>
              </w:rPr>
              <w:t>54*</w:t>
            </w:r>
          </w:p>
        </w:tc>
        <w:tc>
          <w:tcPr>
            <w:tcW w:w="562" w:type="pct"/>
            <w:tcBorders>
              <w:top w:val="nil"/>
              <w:left w:val="nil"/>
              <w:bottom w:val="nil"/>
              <w:right w:val="nil"/>
            </w:tcBorders>
            <w:shd w:val="clear" w:color="auto" w:fill="auto"/>
            <w:noWrap/>
            <w:vAlign w:val="center"/>
            <w:hideMark/>
          </w:tcPr>
          <w:p w14:paraId="0E9AFA21" w14:textId="57A157E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435B6D">
              <w:rPr>
                <w:rFonts w:eastAsia="Times New Roman" w:cs="Times New Roman"/>
                <w:color w:val="000000"/>
                <w:lang w:eastAsia="zh-CN"/>
              </w:rPr>
              <w:t>.</w:t>
            </w:r>
            <w:r w:rsidRPr="000668F6">
              <w:rPr>
                <w:rFonts w:eastAsia="Times New Roman" w:cs="Times New Roman"/>
                <w:color w:val="000000"/>
                <w:lang w:eastAsia="zh-CN"/>
              </w:rPr>
              <w:t>07***</w:t>
            </w:r>
          </w:p>
        </w:tc>
        <w:tc>
          <w:tcPr>
            <w:tcW w:w="773" w:type="pct"/>
            <w:tcBorders>
              <w:top w:val="nil"/>
              <w:left w:val="nil"/>
              <w:bottom w:val="nil"/>
              <w:right w:val="nil"/>
            </w:tcBorders>
            <w:shd w:val="clear" w:color="auto" w:fill="auto"/>
            <w:noWrap/>
            <w:vAlign w:val="center"/>
            <w:hideMark/>
          </w:tcPr>
          <w:p w14:paraId="6A7A6B2C" w14:textId="6749AFF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435B6D">
              <w:rPr>
                <w:rFonts w:eastAsia="Times New Roman" w:cs="Times New Roman"/>
                <w:color w:val="000000"/>
                <w:lang w:eastAsia="zh-CN"/>
              </w:rPr>
              <w:t>.</w:t>
            </w:r>
            <w:r w:rsidRPr="000668F6">
              <w:rPr>
                <w:rFonts w:eastAsia="Times New Roman" w:cs="Times New Roman"/>
                <w:color w:val="000000"/>
                <w:lang w:eastAsia="zh-CN"/>
              </w:rPr>
              <w:t>10***</w:t>
            </w:r>
          </w:p>
        </w:tc>
      </w:tr>
      <w:tr w:rsidR="00EB3B52" w:rsidRPr="000668F6" w14:paraId="7616E78F" w14:textId="77777777" w:rsidTr="000668F6">
        <w:trPr>
          <w:trHeight w:val="220"/>
        </w:trPr>
        <w:tc>
          <w:tcPr>
            <w:tcW w:w="889" w:type="pct"/>
            <w:tcBorders>
              <w:top w:val="nil"/>
              <w:left w:val="nil"/>
              <w:bottom w:val="nil"/>
              <w:right w:val="nil"/>
            </w:tcBorders>
            <w:shd w:val="clear" w:color="auto" w:fill="auto"/>
            <w:noWrap/>
            <w:vAlign w:val="center"/>
            <w:hideMark/>
          </w:tcPr>
          <w:p w14:paraId="29DC5E3E"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061827C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(8.70)</w:t>
            </w:r>
          </w:p>
        </w:tc>
        <w:tc>
          <w:tcPr>
            <w:tcW w:w="562" w:type="pct"/>
            <w:tcBorders>
              <w:top w:val="nil"/>
              <w:left w:val="nil"/>
              <w:bottom w:val="nil"/>
              <w:right w:val="nil"/>
            </w:tcBorders>
            <w:shd w:val="clear" w:color="auto" w:fill="auto"/>
            <w:noWrap/>
            <w:vAlign w:val="center"/>
            <w:hideMark/>
          </w:tcPr>
          <w:p w14:paraId="67B99F3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(2.33)</w:t>
            </w:r>
          </w:p>
        </w:tc>
        <w:tc>
          <w:tcPr>
            <w:tcW w:w="562" w:type="pct"/>
            <w:tcBorders>
              <w:top w:val="nil"/>
              <w:left w:val="nil"/>
              <w:bottom w:val="nil"/>
              <w:right w:val="nil"/>
            </w:tcBorders>
            <w:shd w:val="clear" w:color="auto" w:fill="auto"/>
            <w:noWrap/>
            <w:vAlign w:val="center"/>
            <w:hideMark/>
          </w:tcPr>
          <w:p w14:paraId="571D7F6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(5.08)</w:t>
            </w:r>
          </w:p>
        </w:tc>
        <w:tc>
          <w:tcPr>
            <w:tcW w:w="562" w:type="pct"/>
            <w:tcBorders>
              <w:top w:val="nil"/>
              <w:left w:val="nil"/>
              <w:bottom w:val="nil"/>
              <w:right w:val="nil"/>
            </w:tcBorders>
            <w:shd w:val="clear" w:color="auto" w:fill="auto"/>
            <w:noWrap/>
            <w:vAlign w:val="center"/>
            <w:hideMark/>
          </w:tcPr>
          <w:p w14:paraId="21AD99B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(5.40)</w:t>
            </w:r>
          </w:p>
        </w:tc>
        <w:tc>
          <w:tcPr>
            <w:tcW w:w="529" w:type="pct"/>
            <w:tcBorders>
              <w:top w:val="nil"/>
              <w:left w:val="nil"/>
              <w:bottom w:val="nil"/>
              <w:right w:val="nil"/>
            </w:tcBorders>
            <w:shd w:val="clear" w:color="auto" w:fill="auto"/>
            <w:noWrap/>
            <w:vAlign w:val="center"/>
            <w:hideMark/>
          </w:tcPr>
          <w:p w14:paraId="1BEFC32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(1.89)</w:t>
            </w:r>
          </w:p>
        </w:tc>
        <w:tc>
          <w:tcPr>
            <w:tcW w:w="562" w:type="pct"/>
            <w:tcBorders>
              <w:top w:val="nil"/>
              <w:left w:val="nil"/>
              <w:bottom w:val="nil"/>
              <w:right w:val="nil"/>
            </w:tcBorders>
            <w:shd w:val="clear" w:color="auto" w:fill="auto"/>
            <w:noWrap/>
            <w:vAlign w:val="center"/>
            <w:hideMark/>
          </w:tcPr>
          <w:p w14:paraId="581E5A5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(5.80)</w:t>
            </w:r>
          </w:p>
        </w:tc>
        <w:tc>
          <w:tcPr>
            <w:tcW w:w="773" w:type="pct"/>
            <w:tcBorders>
              <w:top w:val="nil"/>
              <w:left w:val="nil"/>
              <w:bottom w:val="nil"/>
              <w:right w:val="nil"/>
            </w:tcBorders>
            <w:shd w:val="clear" w:color="auto" w:fill="auto"/>
            <w:noWrap/>
            <w:vAlign w:val="center"/>
            <w:hideMark/>
          </w:tcPr>
          <w:p w14:paraId="1F7C13F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(6.58)</w:t>
            </w:r>
          </w:p>
        </w:tc>
      </w:tr>
      <w:tr w:rsidR="00EB3B52" w:rsidRPr="000668F6" w14:paraId="72BEAEFA" w14:textId="77777777" w:rsidTr="000668F6">
        <w:trPr>
          <w:trHeight w:val="220"/>
        </w:trPr>
        <w:tc>
          <w:tcPr>
            <w:tcW w:w="889" w:type="pct"/>
            <w:tcBorders>
              <w:top w:val="nil"/>
              <w:left w:val="nil"/>
              <w:bottom w:val="nil"/>
              <w:right w:val="nil"/>
            </w:tcBorders>
            <w:shd w:val="clear" w:color="auto" w:fill="auto"/>
            <w:noWrap/>
            <w:vAlign w:val="center"/>
            <w:hideMark/>
          </w:tcPr>
          <w:p w14:paraId="67BE4A5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w:t>
            </w:r>
          </w:p>
        </w:tc>
        <w:tc>
          <w:tcPr>
            <w:tcW w:w="562" w:type="pct"/>
            <w:tcBorders>
              <w:top w:val="nil"/>
              <w:left w:val="nil"/>
              <w:bottom w:val="nil"/>
              <w:right w:val="nil"/>
            </w:tcBorders>
            <w:shd w:val="clear" w:color="auto" w:fill="auto"/>
            <w:noWrap/>
            <w:vAlign w:val="center"/>
            <w:hideMark/>
          </w:tcPr>
          <w:p w14:paraId="0A35D886" w14:textId="1096B906"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32</w:t>
            </w:r>
          </w:p>
        </w:tc>
        <w:tc>
          <w:tcPr>
            <w:tcW w:w="562" w:type="pct"/>
            <w:tcBorders>
              <w:top w:val="nil"/>
              <w:left w:val="nil"/>
              <w:bottom w:val="nil"/>
              <w:right w:val="nil"/>
            </w:tcBorders>
            <w:shd w:val="clear" w:color="auto" w:fill="auto"/>
            <w:noWrap/>
            <w:vAlign w:val="center"/>
            <w:hideMark/>
          </w:tcPr>
          <w:p w14:paraId="4EC05104" w14:textId="7F1B42CE"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20</w:t>
            </w:r>
          </w:p>
        </w:tc>
        <w:tc>
          <w:tcPr>
            <w:tcW w:w="562" w:type="pct"/>
            <w:tcBorders>
              <w:top w:val="nil"/>
              <w:left w:val="nil"/>
              <w:bottom w:val="nil"/>
              <w:right w:val="nil"/>
            </w:tcBorders>
            <w:shd w:val="clear" w:color="auto" w:fill="auto"/>
            <w:noWrap/>
            <w:vAlign w:val="center"/>
            <w:hideMark/>
          </w:tcPr>
          <w:p w14:paraId="42F0D31B" w14:textId="7B575963"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86**</w:t>
            </w:r>
          </w:p>
        </w:tc>
        <w:tc>
          <w:tcPr>
            <w:tcW w:w="562" w:type="pct"/>
            <w:tcBorders>
              <w:top w:val="nil"/>
              <w:left w:val="nil"/>
              <w:bottom w:val="nil"/>
              <w:right w:val="nil"/>
            </w:tcBorders>
            <w:shd w:val="clear" w:color="auto" w:fill="auto"/>
            <w:noWrap/>
            <w:vAlign w:val="center"/>
            <w:hideMark/>
          </w:tcPr>
          <w:p w14:paraId="2BDF85AE" w14:textId="3231B64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05</w:t>
            </w:r>
          </w:p>
        </w:tc>
        <w:tc>
          <w:tcPr>
            <w:tcW w:w="529" w:type="pct"/>
            <w:tcBorders>
              <w:top w:val="nil"/>
              <w:left w:val="nil"/>
              <w:bottom w:val="nil"/>
              <w:right w:val="nil"/>
            </w:tcBorders>
            <w:shd w:val="clear" w:color="auto" w:fill="auto"/>
            <w:noWrap/>
            <w:vAlign w:val="center"/>
            <w:hideMark/>
          </w:tcPr>
          <w:p w14:paraId="39183A01" w14:textId="41DCD5DF"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15</w:t>
            </w:r>
          </w:p>
        </w:tc>
        <w:tc>
          <w:tcPr>
            <w:tcW w:w="562" w:type="pct"/>
            <w:tcBorders>
              <w:top w:val="nil"/>
              <w:left w:val="nil"/>
              <w:bottom w:val="nil"/>
              <w:right w:val="nil"/>
            </w:tcBorders>
            <w:shd w:val="clear" w:color="auto" w:fill="auto"/>
            <w:noWrap/>
            <w:vAlign w:val="center"/>
            <w:hideMark/>
          </w:tcPr>
          <w:p w14:paraId="71761160" w14:textId="7E6748EF"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54</w:t>
            </w:r>
          </w:p>
        </w:tc>
        <w:tc>
          <w:tcPr>
            <w:tcW w:w="773" w:type="pct"/>
            <w:tcBorders>
              <w:top w:val="nil"/>
              <w:left w:val="nil"/>
              <w:bottom w:val="nil"/>
              <w:right w:val="nil"/>
            </w:tcBorders>
            <w:shd w:val="clear" w:color="auto" w:fill="auto"/>
            <w:noWrap/>
            <w:vAlign w:val="center"/>
            <w:hideMark/>
          </w:tcPr>
          <w:p w14:paraId="598587FC" w14:textId="5128F03B"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38**</w:t>
            </w:r>
          </w:p>
        </w:tc>
      </w:tr>
      <w:tr w:rsidR="00EB3B52" w:rsidRPr="000668F6" w14:paraId="645FF8B2" w14:textId="77777777" w:rsidTr="000668F6">
        <w:trPr>
          <w:trHeight w:val="220"/>
        </w:trPr>
        <w:tc>
          <w:tcPr>
            <w:tcW w:w="889" w:type="pct"/>
            <w:tcBorders>
              <w:top w:val="nil"/>
              <w:left w:val="nil"/>
              <w:bottom w:val="nil"/>
              <w:right w:val="nil"/>
            </w:tcBorders>
            <w:shd w:val="clear" w:color="auto" w:fill="auto"/>
            <w:noWrap/>
            <w:vAlign w:val="center"/>
            <w:hideMark/>
          </w:tcPr>
          <w:p w14:paraId="184BA442"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28E9402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(0.83)</w:t>
            </w:r>
          </w:p>
        </w:tc>
        <w:tc>
          <w:tcPr>
            <w:tcW w:w="562" w:type="pct"/>
            <w:tcBorders>
              <w:top w:val="nil"/>
              <w:left w:val="nil"/>
              <w:bottom w:val="nil"/>
              <w:right w:val="nil"/>
            </w:tcBorders>
            <w:shd w:val="clear" w:color="auto" w:fill="auto"/>
            <w:noWrap/>
            <w:vAlign w:val="center"/>
            <w:hideMark/>
          </w:tcPr>
          <w:p w14:paraId="174E2F1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(-0.50)</w:t>
            </w:r>
          </w:p>
        </w:tc>
        <w:tc>
          <w:tcPr>
            <w:tcW w:w="562" w:type="pct"/>
            <w:tcBorders>
              <w:top w:val="nil"/>
              <w:left w:val="nil"/>
              <w:bottom w:val="nil"/>
              <w:right w:val="nil"/>
            </w:tcBorders>
            <w:shd w:val="clear" w:color="auto" w:fill="auto"/>
            <w:noWrap/>
            <w:vAlign w:val="center"/>
            <w:hideMark/>
          </w:tcPr>
          <w:p w14:paraId="2D7278C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(-2.57)</w:t>
            </w:r>
          </w:p>
        </w:tc>
        <w:tc>
          <w:tcPr>
            <w:tcW w:w="562" w:type="pct"/>
            <w:tcBorders>
              <w:top w:val="nil"/>
              <w:left w:val="nil"/>
              <w:bottom w:val="nil"/>
              <w:right w:val="nil"/>
            </w:tcBorders>
            <w:shd w:val="clear" w:color="auto" w:fill="auto"/>
            <w:noWrap/>
            <w:vAlign w:val="center"/>
            <w:hideMark/>
          </w:tcPr>
          <w:p w14:paraId="1B902CD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(0.16)</w:t>
            </w:r>
          </w:p>
        </w:tc>
        <w:tc>
          <w:tcPr>
            <w:tcW w:w="529" w:type="pct"/>
            <w:tcBorders>
              <w:top w:val="nil"/>
              <w:left w:val="nil"/>
              <w:bottom w:val="nil"/>
              <w:right w:val="nil"/>
            </w:tcBorders>
            <w:shd w:val="clear" w:color="auto" w:fill="auto"/>
            <w:noWrap/>
            <w:vAlign w:val="center"/>
            <w:hideMark/>
          </w:tcPr>
          <w:p w14:paraId="0514A63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(0.32)</w:t>
            </w:r>
          </w:p>
        </w:tc>
        <w:tc>
          <w:tcPr>
            <w:tcW w:w="562" w:type="pct"/>
            <w:tcBorders>
              <w:top w:val="nil"/>
              <w:left w:val="nil"/>
              <w:bottom w:val="nil"/>
              <w:right w:val="nil"/>
            </w:tcBorders>
            <w:shd w:val="clear" w:color="auto" w:fill="auto"/>
            <w:noWrap/>
            <w:vAlign w:val="center"/>
            <w:hideMark/>
          </w:tcPr>
          <w:p w14:paraId="043A819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(-0.91)</w:t>
            </w:r>
          </w:p>
        </w:tc>
        <w:tc>
          <w:tcPr>
            <w:tcW w:w="773" w:type="pct"/>
            <w:tcBorders>
              <w:top w:val="nil"/>
              <w:left w:val="nil"/>
              <w:bottom w:val="nil"/>
              <w:right w:val="nil"/>
            </w:tcBorders>
            <w:shd w:val="clear" w:color="auto" w:fill="auto"/>
            <w:noWrap/>
            <w:vAlign w:val="center"/>
            <w:hideMark/>
          </w:tcPr>
          <w:p w14:paraId="5389B13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(-2.30)</w:t>
            </w:r>
          </w:p>
        </w:tc>
      </w:tr>
      <w:tr w:rsidR="00EB3B52" w:rsidRPr="000668F6" w14:paraId="01A0AD34" w14:textId="77777777" w:rsidTr="000668F6">
        <w:trPr>
          <w:trHeight w:val="220"/>
        </w:trPr>
        <w:tc>
          <w:tcPr>
            <w:tcW w:w="889" w:type="pct"/>
            <w:tcBorders>
              <w:top w:val="nil"/>
              <w:left w:val="nil"/>
              <w:bottom w:val="nil"/>
              <w:right w:val="nil"/>
            </w:tcBorders>
            <w:shd w:val="clear" w:color="auto" w:fill="auto"/>
            <w:noWrap/>
            <w:vAlign w:val="center"/>
            <w:hideMark/>
          </w:tcPr>
          <w:p w14:paraId="50D4B89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ln(1+AG)*GT</w:t>
            </w:r>
          </w:p>
        </w:tc>
        <w:tc>
          <w:tcPr>
            <w:tcW w:w="562" w:type="pct"/>
            <w:tcBorders>
              <w:top w:val="nil"/>
              <w:left w:val="nil"/>
              <w:bottom w:val="nil"/>
              <w:right w:val="nil"/>
            </w:tcBorders>
            <w:shd w:val="clear" w:color="auto" w:fill="auto"/>
            <w:noWrap/>
            <w:vAlign w:val="center"/>
            <w:hideMark/>
          </w:tcPr>
          <w:p w14:paraId="0BB9DF89" w14:textId="3C852164"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63*</w:t>
            </w:r>
          </w:p>
        </w:tc>
        <w:tc>
          <w:tcPr>
            <w:tcW w:w="562" w:type="pct"/>
            <w:tcBorders>
              <w:top w:val="nil"/>
              <w:left w:val="nil"/>
              <w:bottom w:val="nil"/>
              <w:right w:val="nil"/>
            </w:tcBorders>
            <w:shd w:val="clear" w:color="auto" w:fill="auto"/>
            <w:noWrap/>
            <w:vAlign w:val="center"/>
            <w:hideMark/>
          </w:tcPr>
          <w:p w14:paraId="74C12F1B" w14:textId="182B6090"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34***</w:t>
            </w:r>
          </w:p>
        </w:tc>
        <w:tc>
          <w:tcPr>
            <w:tcW w:w="562" w:type="pct"/>
            <w:tcBorders>
              <w:top w:val="nil"/>
              <w:left w:val="nil"/>
              <w:bottom w:val="nil"/>
              <w:right w:val="nil"/>
            </w:tcBorders>
            <w:shd w:val="clear" w:color="auto" w:fill="auto"/>
            <w:noWrap/>
            <w:vAlign w:val="center"/>
            <w:hideMark/>
          </w:tcPr>
          <w:p w14:paraId="323922AF" w14:textId="02E98588"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80</w:t>
            </w:r>
          </w:p>
        </w:tc>
        <w:tc>
          <w:tcPr>
            <w:tcW w:w="562" w:type="pct"/>
            <w:tcBorders>
              <w:top w:val="nil"/>
              <w:left w:val="nil"/>
              <w:bottom w:val="nil"/>
              <w:right w:val="nil"/>
            </w:tcBorders>
            <w:shd w:val="clear" w:color="auto" w:fill="auto"/>
            <w:noWrap/>
            <w:vAlign w:val="center"/>
            <w:hideMark/>
          </w:tcPr>
          <w:p w14:paraId="54F4616C" w14:textId="115D83D1"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14**</w:t>
            </w:r>
          </w:p>
        </w:tc>
        <w:tc>
          <w:tcPr>
            <w:tcW w:w="529" w:type="pct"/>
            <w:tcBorders>
              <w:top w:val="nil"/>
              <w:left w:val="nil"/>
              <w:bottom w:val="nil"/>
              <w:right w:val="nil"/>
            </w:tcBorders>
            <w:shd w:val="clear" w:color="auto" w:fill="auto"/>
            <w:noWrap/>
            <w:vAlign w:val="center"/>
            <w:hideMark/>
          </w:tcPr>
          <w:p w14:paraId="3E4A61DF" w14:textId="27A3FA3C"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79**</w:t>
            </w:r>
          </w:p>
        </w:tc>
        <w:tc>
          <w:tcPr>
            <w:tcW w:w="562" w:type="pct"/>
            <w:tcBorders>
              <w:top w:val="nil"/>
              <w:left w:val="nil"/>
              <w:bottom w:val="nil"/>
              <w:right w:val="nil"/>
            </w:tcBorders>
            <w:shd w:val="clear" w:color="auto" w:fill="auto"/>
            <w:noWrap/>
            <w:vAlign w:val="center"/>
            <w:hideMark/>
          </w:tcPr>
          <w:p w14:paraId="46998898" w14:textId="142A9565"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00***</w:t>
            </w:r>
          </w:p>
        </w:tc>
        <w:tc>
          <w:tcPr>
            <w:tcW w:w="773" w:type="pct"/>
            <w:tcBorders>
              <w:top w:val="nil"/>
              <w:left w:val="nil"/>
              <w:bottom w:val="nil"/>
              <w:right w:val="nil"/>
            </w:tcBorders>
            <w:shd w:val="clear" w:color="auto" w:fill="auto"/>
            <w:noWrap/>
            <w:vAlign w:val="center"/>
            <w:hideMark/>
          </w:tcPr>
          <w:p w14:paraId="0B1A0E3B" w14:textId="64B3AA94"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73**</w:t>
            </w:r>
          </w:p>
        </w:tc>
      </w:tr>
      <w:tr w:rsidR="00EB3B52" w:rsidRPr="000668F6" w14:paraId="3CCD9593" w14:textId="77777777" w:rsidTr="000668F6">
        <w:trPr>
          <w:trHeight w:val="220"/>
        </w:trPr>
        <w:tc>
          <w:tcPr>
            <w:tcW w:w="889" w:type="pct"/>
            <w:tcBorders>
              <w:top w:val="nil"/>
              <w:left w:val="nil"/>
              <w:bottom w:val="nil"/>
              <w:right w:val="nil"/>
            </w:tcBorders>
            <w:shd w:val="clear" w:color="auto" w:fill="auto"/>
            <w:noWrap/>
            <w:vAlign w:val="center"/>
            <w:hideMark/>
          </w:tcPr>
          <w:p w14:paraId="0C21471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73B1BEE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(-1.69)</w:t>
            </w:r>
          </w:p>
        </w:tc>
        <w:tc>
          <w:tcPr>
            <w:tcW w:w="562" w:type="pct"/>
            <w:tcBorders>
              <w:top w:val="nil"/>
              <w:left w:val="nil"/>
              <w:bottom w:val="nil"/>
              <w:right w:val="nil"/>
            </w:tcBorders>
            <w:shd w:val="clear" w:color="auto" w:fill="auto"/>
            <w:noWrap/>
            <w:vAlign w:val="center"/>
            <w:hideMark/>
          </w:tcPr>
          <w:p w14:paraId="04F4D4E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(-2.86)</w:t>
            </w:r>
          </w:p>
        </w:tc>
        <w:tc>
          <w:tcPr>
            <w:tcW w:w="562" w:type="pct"/>
            <w:tcBorders>
              <w:top w:val="nil"/>
              <w:left w:val="nil"/>
              <w:bottom w:val="nil"/>
              <w:right w:val="nil"/>
            </w:tcBorders>
            <w:shd w:val="clear" w:color="auto" w:fill="auto"/>
            <w:noWrap/>
            <w:vAlign w:val="center"/>
            <w:hideMark/>
          </w:tcPr>
          <w:p w14:paraId="3F98A09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(-1.47)</w:t>
            </w:r>
          </w:p>
        </w:tc>
        <w:tc>
          <w:tcPr>
            <w:tcW w:w="562" w:type="pct"/>
            <w:tcBorders>
              <w:top w:val="nil"/>
              <w:left w:val="nil"/>
              <w:bottom w:val="nil"/>
              <w:right w:val="nil"/>
            </w:tcBorders>
            <w:shd w:val="clear" w:color="auto" w:fill="auto"/>
            <w:noWrap/>
            <w:vAlign w:val="center"/>
            <w:hideMark/>
          </w:tcPr>
          <w:p w14:paraId="5D56D38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(-2.05)</w:t>
            </w:r>
          </w:p>
        </w:tc>
        <w:tc>
          <w:tcPr>
            <w:tcW w:w="529" w:type="pct"/>
            <w:tcBorders>
              <w:top w:val="nil"/>
              <w:left w:val="nil"/>
              <w:bottom w:val="nil"/>
              <w:right w:val="nil"/>
            </w:tcBorders>
            <w:shd w:val="clear" w:color="auto" w:fill="auto"/>
            <w:noWrap/>
            <w:vAlign w:val="center"/>
            <w:hideMark/>
          </w:tcPr>
          <w:p w14:paraId="66FD746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(-2.40)</w:t>
            </w:r>
          </w:p>
        </w:tc>
        <w:tc>
          <w:tcPr>
            <w:tcW w:w="562" w:type="pct"/>
            <w:tcBorders>
              <w:top w:val="nil"/>
              <w:left w:val="nil"/>
              <w:bottom w:val="nil"/>
              <w:right w:val="nil"/>
            </w:tcBorders>
            <w:shd w:val="clear" w:color="auto" w:fill="auto"/>
            <w:noWrap/>
            <w:vAlign w:val="center"/>
            <w:hideMark/>
          </w:tcPr>
          <w:p w14:paraId="24675A2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(-2.95)</w:t>
            </w:r>
          </w:p>
        </w:tc>
        <w:tc>
          <w:tcPr>
            <w:tcW w:w="773" w:type="pct"/>
            <w:tcBorders>
              <w:top w:val="nil"/>
              <w:left w:val="nil"/>
              <w:bottom w:val="nil"/>
              <w:right w:val="nil"/>
            </w:tcBorders>
            <w:shd w:val="clear" w:color="auto" w:fill="auto"/>
            <w:noWrap/>
            <w:vAlign w:val="center"/>
            <w:hideMark/>
          </w:tcPr>
          <w:p w14:paraId="2BFA4FA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(-2.22)</w:t>
            </w:r>
          </w:p>
        </w:tc>
      </w:tr>
      <w:tr w:rsidR="00EB3B52" w:rsidRPr="000668F6" w14:paraId="492752B9" w14:textId="77777777" w:rsidTr="000668F6">
        <w:trPr>
          <w:trHeight w:val="220"/>
        </w:trPr>
        <w:tc>
          <w:tcPr>
            <w:tcW w:w="889" w:type="pct"/>
            <w:tcBorders>
              <w:top w:val="nil"/>
              <w:left w:val="nil"/>
              <w:bottom w:val="nil"/>
              <w:right w:val="nil"/>
            </w:tcBorders>
            <w:shd w:val="clear" w:color="auto" w:fill="auto"/>
            <w:noWrap/>
            <w:vAlign w:val="center"/>
            <w:hideMark/>
          </w:tcPr>
          <w:p w14:paraId="35F00A2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ln(1+AG)*IVOL</w:t>
            </w:r>
          </w:p>
        </w:tc>
        <w:tc>
          <w:tcPr>
            <w:tcW w:w="562" w:type="pct"/>
            <w:tcBorders>
              <w:top w:val="nil"/>
              <w:left w:val="nil"/>
              <w:bottom w:val="nil"/>
              <w:right w:val="nil"/>
            </w:tcBorders>
            <w:shd w:val="clear" w:color="auto" w:fill="auto"/>
            <w:noWrap/>
            <w:vAlign w:val="center"/>
            <w:hideMark/>
          </w:tcPr>
          <w:p w14:paraId="54C3887C" w14:textId="7791B5F7"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5</w:t>
            </w:r>
            <w:r>
              <w:rPr>
                <w:rFonts w:eastAsia="Times New Roman" w:cs="Times New Roman"/>
                <w:color w:val="000000"/>
                <w:lang w:eastAsia="zh-CN"/>
              </w:rPr>
              <w:t>.</w:t>
            </w:r>
            <w:r w:rsidR="00EB3B52" w:rsidRPr="000668F6">
              <w:rPr>
                <w:rFonts w:eastAsia="Times New Roman" w:cs="Times New Roman"/>
                <w:color w:val="000000"/>
                <w:lang w:eastAsia="zh-CN"/>
              </w:rPr>
              <w:t>20</w:t>
            </w:r>
          </w:p>
        </w:tc>
        <w:tc>
          <w:tcPr>
            <w:tcW w:w="562" w:type="pct"/>
            <w:tcBorders>
              <w:top w:val="nil"/>
              <w:left w:val="nil"/>
              <w:bottom w:val="nil"/>
              <w:right w:val="nil"/>
            </w:tcBorders>
            <w:shd w:val="clear" w:color="auto" w:fill="auto"/>
            <w:noWrap/>
            <w:vAlign w:val="center"/>
            <w:hideMark/>
          </w:tcPr>
          <w:p w14:paraId="6C57EDF6"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0450EC4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F86429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4CB5043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770047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7F67B8B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77124D4D" w14:textId="77777777" w:rsidTr="000668F6">
        <w:trPr>
          <w:trHeight w:val="220"/>
        </w:trPr>
        <w:tc>
          <w:tcPr>
            <w:tcW w:w="889" w:type="pct"/>
            <w:tcBorders>
              <w:top w:val="nil"/>
              <w:left w:val="nil"/>
              <w:bottom w:val="nil"/>
              <w:right w:val="nil"/>
            </w:tcBorders>
            <w:shd w:val="clear" w:color="auto" w:fill="auto"/>
            <w:noWrap/>
            <w:vAlign w:val="center"/>
            <w:hideMark/>
          </w:tcPr>
          <w:p w14:paraId="049D6D3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6744B1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(-1.56)</w:t>
            </w:r>
          </w:p>
        </w:tc>
        <w:tc>
          <w:tcPr>
            <w:tcW w:w="562" w:type="pct"/>
            <w:tcBorders>
              <w:top w:val="nil"/>
              <w:left w:val="nil"/>
              <w:bottom w:val="nil"/>
              <w:right w:val="nil"/>
            </w:tcBorders>
            <w:shd w:val="clear" w:color="auto" w:fill="auto"/>
            <w:noWrap/>
            <w:vAlign w:val="center"/>
            <w:hideMark/>
          </w:tcPr>
          <w:p w14:paraId="5671CFAE"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673918A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472D13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13D05CE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B88FFC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11C96AC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1FA4AAE6" w14:textId="77777777" w:rsidTr="000668F6">
        <w:trPr>
          <w:trHeight w:val="220"/>
        </w:trPr>
        <w:tc>
          <w:tcPr>
            <w:tcW w:w="889" w:type="pct"/>
            <w:tcBorders>
              <w:top w:val="nil"/>
              <w:left w:val="nil"/>
              <w:bottom w:val="nil"/>
              <w:right w:val="nil"/>
            </w:tcBorders>
            <w:shd w:val="clear" w:color="auto" w:fill="auto"/>
            <w:noWrap/>
            <w:vAlign w:val="center"/>
            <w:hideMark/>
          </w:tcPr>
          <w:p w14:paraId="142C6A3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ln(1+AG)*BAS</w:t>
            </w:r>
          </w:p>
        </w:tc>
        <w:tc>
          <w:tcPr>
            <w:tcW w:w="562" w:type="pct"/>
            <w:tcBorders>
              <w:top w:val="nil"/>
              <w:left w:val="nil"/>
              <w:bottom w:val="nil"/>
              <w:right w:val="nil"/>
            </w:tcBorders>
            <w:shd w:val="clear" w:color="auto" w:fill="auto"/>
            <w:noWrap/>
            <w:vAlign w:val="center"/>
            <w:hideMark/>
          </w:tcPr>
          <w:p w14:paraId="06F3F23D"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57A0C65B" w14:textId="3844F55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10</w:t>
            </w:r>
            <w:r w:rsidR="00435B6D">
              <w:rPr>
                <w:rFonts w:eastAsia="Times New Roman" w:cs="Times New Roman"/>
                <w:color w:val="000000"/>
                <w:lang w:eastAsia="zh-CN"/>
              </w:rPr>
              <w:t>.</w:t>
            </w:r>
            <w:r w:rsidRPr="000668F6">
              <w:rPr>
                <w:rFonts w:eastAsia="Times New Roman" w:cs="Times New Roman"/>
                <w:color w:val="000000"/>
                <w:lang w:eastAsia="zh-CN"/>
              </w:rPr>
              <w:t>45</w:t>
            </w:r>
          </w:p>
        </w:tc>
        <w:tc>
          <w:tcPr>
            <w:tcW w:w="562" w:type="pct"/>
            <w:tcBorders>
              <w:top w:val="nil"/>
              <w:left w:val="nil"/>
              <w:bottom w:val="nil"/>
              <w:right w:val="nil"/>
            </w:tcBorders>
            <w:shd w:val="clear" w:color="auto" w:fill="auto"/>
            <w:noWrap/>
            <w:vAlign w:val="center"/>
            <w:hideMark/>
          </w:tcPr>
          <w:p w14:paraId="4DE673BD"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CF2FBF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30B9188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7EFFA0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5C57640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798647E5" w14:textId="77777777" w:rsidTr="000668F6">
        <w:trPr>
          <w:trHeight w:val="220"/>
        </w:trPr>
        <w:tc>
          <w:tcPr>
            <w:tcW w:w="889" w:type="pct"/>
            <w:tcBorders>
              <w:top w:val="nil"/>
              <w:left w:val="nil"/>
              <w:bottom w:val="nil"/>
              <w:right w:val="nil"/>
            </w:tcBorders>
            <w:shd w:val="clear" w:color="auto" w:fill="auto"/>
            <w:noWrap/>
            <w:vAlign w:val="center"/>
            <w:hideMark/>
          </w:tcPr>
          <w:p w14:paraId="0B3CEAF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B0DA13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4EDFB3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(-0.82)</w:t>
            </w:r>
          </w:p>
        </w:tc>
        <w:tc>
          <w:tcPr>
            <w:tcW w:w="562" w:type="pct"/>
            <w:tcBorders>
              <w:top w:val="nil"/>
              <w:left w:val="nil"/>
              <w:bottom w:val="nil"/>
              <w:right w:val="nil"/>
            </w:tcBorders>
            <w:shd w:val="clear" w:color="auto" w:fill="auto"/>
            <w:noWrap/>
            <w:vAlign w:val="center"/>
            <w:hideMark/>
          </w:tcPr>
          <w:p w14:paraId="08CB5715"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7BD87BE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3B15F40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43FA9D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2963ECF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AF52296" w14:textId="77777777" w:rsidTr="000668F6">
        <w:trPr>
          <w:trHeight w:val="220"/>
        </w:trPr>
        <w:tc>
          <w:tcPr>
            <w:tcW w:w="889" w:type="pct"/>
            <w:tcBorders>
              <w:top w:val="nil"/>
              <w:left w:val="nil"/>
              <w:bottom w:val="nil"/>
              <w:right w:val="nil"/>
            </w:tcBorders>
            <w:shd w:val="clear" w:color="auto" w:fill="auto"/>
            <w:noWrap/>
            <w:vAlign w:val="center"/>
            <w:hideMark/>
          </w:tcPr>
          <w:p w14:paraId="2F8114A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ln(1+AG)*COV</w:t>
            </w:r>
          </w:p>
        </w:tc>
        <w:tc>
          <w:tcPr>
            <w:tcW w:w="562" w:type="pct"/>
            <w:tcBorders>
              <w:top w:val="nil"/>
              <w:left w:val="nil"/>
              <w:bottom w:val="nil"/>
              <w:right w:val="nil"/>
            </w:tcBorders>
            <w:shd w:val="clear" w:color="auto" w:fill="auto"/>
            <w:noWrap/>
            <w:vAlign w:val="center"/>
            <w:hideMark/>
          </w:tcPr>
          <w:p w14:paraId="06030DB0"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3E30CE7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16C6CAF" w14:textId="3C4AE1BD"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02</w:t>
            </w:r>
          </w:p>
        </w:tc>
        <w:tc>
          <w:tcPr>
            <w:tcW w:w="562" w:type="pct"/>
            <w:tcBorders>
              <w:top w:val="nil"/>
              <w:left w:val="nil"/>
              <w:bottom w:val="nil"/>
              <w:right w:val="nil"/>
            </w:tcBorders>
            <w:shd w:val="clear" w:color="auto" w:fill="auto"/>
            <w:noWrap/>
            <w:vAlign w:val="center"/>
            <w:hideMark/>
          </w:tcPr>
          <w:p w14:paraId="67927925" w14:textId="77777777" w:rsidR="00EB3B52" w:rsidRPr="000668F6" w:rsidRDefault="00EB3B52" w:rsidP="00EB3B52">
            <w:pPr>
              <w:spacing w:after="0" w:line="240" w:lineRule="auto"/>
              <w:jc w:val="center"/>
              <w:rPr>
                <w:rFonts w:eastAsia="Times New Roman" w:cs="Times New Roman"/>
                <w:color w:val="000000"/>
                <w:lang w:eastAsia="zh-CN"/>
              </w:rPr>
            </w:pPr>
          </w:p>
        </w:tc>
        <w:tc>
          <w:tcPr>
            <w:tcW w:w="529" w:type="pct"/>
            <w:tcBorders>
              <w:top w:val="nil"/>
              <w:left w:val="nil"/>
              <w:bottom w:val="nil"/>
              <w:right w:val="nil"/>
            </w:tcBorders>
            <w:shd w:val="clear" w:color="auto" w:fill="auto"/>
            <w:noWrap/>
            <w:vAlign w:val="center"/>
            <w:hideMark/>
          </w:tcPr>
          <w:p w14:paraId="793E7F2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DA08E3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437C19C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10E7477" w14:textId="77777777" w:rsidTr="000668F6">
        <w:trPr>
          <w:trHeight w:val="220"/>
        </w:trPr>
        <w:tc>
          <w:tcPr>
            <w:tcW w:w="889" w:type="pct"/>
            <w:tcBorders>
              <w:top w:val="nil"/>
              <w:left w:val="nil"/>
              <w:bottom w:val="nil"/>
              <w:right w:val="nil"/>
            </w:tcBorders>
            <w:shd w:val="clear" w:color="auto" w:fill="auto"/>
            <w:noWrap/>
            <w:vAlign w:val="center"/>
            <w:hideMark/>
          </w:tcPr>
          <w:p w14:paraId="793C98A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4BA09E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01BA44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F7A608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(1.04)</w:t>
            </w:r>
          </w:p>
        </w:tc>
        <w:tc>
          <w:tcPr>
            <w:tcW w:w="562" w:type="pct"/>
            <w:tcBorders>
              <w:top w:val="nil"/>
              <w:left w:val="nil"/>
              <w:bottom w:val="nil"/>
              <w:right w:val="nil"/>
            </w:tcBorders>
            <w:shd w:val="clear" w:color="auto" w:fill="auto"/>
            <w:noWrap/>
            <w:vAlign w:val="center"/>
            <w:hideMark/>
          </w:tcPr>
          <w:p w14:paraId="64D61D57" w14:textId="77777777" w:rsidR="00EB3B52" w:rsidRPr="000668F6" w:rsidRDefault="00EB3B52" w:rsidP="00EB3B52">
            <w:pPr>
              <w:spacing w:after="0" w:line="240" w:lineRule="auto"/>
              <w:jc w:val="center"/>
              <w:rPr>
                <w:rFonts w:eastAsia="Times New Roman" w:cs="Times New Roman"/>
                <w:color w:val="000000"/>
                <w:lang w:eastAsia="zh-CN"/>
              </w:rPr>
            </w:pPr>
          </w:p>
        </w:tc>
        <w:tc>
          <w:tcPr>
            <w:tcW w:w="529" w:type="pct"/>
            <w:tcBorders>
              <w:top w:val="nil"/>
              <w:left w:val="nil"/>
              <w:bottom w:val="nil"/>
              <w:right w:val="nil"/>
            </w:tcBorders>
            <w:shd w:val="clear" w:color="auto" w:fill="auto"/>
            <w:noWrap/>
            <w:vAlign w:val="center"/>
            <w:hideMark/>
          </w:tcPr>
          <w:p w14:paraId="05308DF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2C2094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58EAC18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DDAAE31" w14:textId="77777777" w:rsidTr="000668F6">
        <w:trPr>
          <w:trHeight w:val="220"/>
        </w:trPr>
        <w:tc>
          <w:tcPr>
            <w:tcW w:w="889" w:type="pct"/>
            <w:tcBorders>
              <w:top w:val="nil"/>
              <w:left w:val="nil"/>
              <w:bottom w:val="nil"/>
              <w:right w:val="nil"/>
            </w:tcBorders>
            <w:shd w:val="clear" w:color="auto" w:fill="auto"/>
            <w:noWrap/>
            <w:vAlign w:val="center"/>
            <w:hideMark/>
          </w:tcPr>
          <w:p w14:paraId="6296C3B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ln(1+AG)*DISP</w:t>
            </w:r>
          </w:p>
        </w:tc>
        <w:tc>
          <w:tcPr>
            <w:tcW w:w="562" w:type="pct"/>
            <w:tcBorders>
              <w:top w:val="nil"/>
              <w:left w:val="nil"/>
              <w:bottom w:val="nil"/>
              <w:right w:val="nil"/>
            </w:tcBorders>
            <w:shd w:val="clear" w:color="auto" w:fill="auto"/>
            <w:noWrap/>
            <w:vAlign w:val="center"/>
            <w:hideMark/>
          </w:tcPr>
          <w:p w14:paraId="4CDEE5B9"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E1FC46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3BF316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8D667C0" w14:textId="08B7713E"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10</w:t>
            </w:r>
            <w:r>
              <w:rPr>
                <w:rFonts w:eastAsia="Times New Roman" w:cs="Times New Roman"/>
                <w:color w:val="000000"/>
                <w:lang w:eastAsia="zh-CN"/>
              </w:rPr>
              <w:t>.</w:t>
            </w:r>
            <w:r w:rsidR="00EB3B52" w:rsidRPr="000668F6">
              <w:rPr>
                <w:rFonts w:eastAsia="Times New Roman" w:cs="Times New Roman"/>
                <w:color w:val="000000"/>
                <w:lang w:eastAsia="zh-CN"/>
              </w:rPr>
              <w:t>25</w:t>
            </w:r>
          </w:p>
        </w:tc>
        <w:tc>
          <w:tcPr>
            <w:tcW w:w="529" w:type="pct"/>
            <w:tcBorders>
              <w:top w:val="nil"/>
              <w:left w:val="nil"/>
              <w:bottom w:val="nil"/>
              <w:right w:val="nil"/>
            </w:tcBorders>
            <w:shd w:val="clear" w:color="auto" w:fill="auto"/>
            <w:noWrap/>
            <w:vAlign w:val="center"/>
            <w:hideMark/>
          </w:tcPr>
          <w:p w14:paraId="745700D8"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8C8655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4AE492A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22EEB52" w14:textId="77777777" w:rsidTr="000668F6">
        <w:trPr>
          <w:trHeight w:val="220"/>
        </w:trPr>
        <w:tc>
          <w:tcPr>
            <w:tcW w:w="889" w:type="pct"/>
            <w:tcBorders>
              <w:top w:val="nil"/>
              <w:left w:val="nil"/>
              <w:bottom w:val="nil"/>
              <w:right w:val="nil"/>
            </w:tcBorders>
            <w:shd w:val="clear" w:color="auto" w:fill="auto"/>
            <w:noWrap/>
            <w:vAlign w:val="center"/>
            <w:hideMark/>
          </w:tcPr>
          <w:p w14:paraId="0959570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36BACF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4D72CE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DE2D4C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20A23A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(-0.91)</w:t>
            </w:r>
          </w:p>
        </w:tc>
        <w:tc>
          <w:tcPr>
            <w:tcW w:w="529" w:type="pct"/>
            <w:tcBorders>
              <w:top w:val="nil"/>
              <w:left w:val="nil"/>
              <w:bottom w:val="nil"/>
              <w:right w:val="nil"/>
            </w:tcBorders>
            <w:shd w:val="clear" w:color="auto" w:fill="auto"/>
            <w:noWrap/>
            <w:vAlign w:val="center"/>
            <w:hideMark/>
          </w:tcPr>
          <w:p w14:paraId="7A07529A"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05F8C4F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33A9550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332E6F6" w14:textId="77777777" w:rsidTr="000668F6">
        <w:trPr>
          <w:trHeight w:val="220"/>
        </w:trPr>
        <w:tc>
          <w:tcPr>
            <w:tcW w:w="889" w:type="pct"/>
            <w:tcBorders>
              <w:top w:val="nil"/>
              <w:left w:val="nil"/>
              <w:bottom w:val="nil"/>
              <w:right w:val="nil"/>
            </w:tcBorders>
            <w:shd w:val="clear" w:color="auto" w:fill="auto"/>
            <w:noWrap/>
            <w:vAlign w:val="center"/>
            <w:hideMark/>
          </w:tcPr>
          <w:p w14:paraId="5D06681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ln(1+AG)*DVOL</w:t>
            </w:r>
          </w:p>
        </w:tc>
        <w:tc>
          <w:tcPr>
            <w:tcW w:w="562" w:type="pct"/>
            <w:tcBorders>
              <w:top w:val="nil"/>
              <w:left w:val="nil"/>
              <w:bottom w:val="nil"/>
              <w:right w:val="nil"/>
            </w:tcBorders>
            <w:shd w:val="clear" w:color="auto" w:fill="auto"/>
            <w:noWrap/>
            <w:vAlign w:val="center"/>
            <w:hideMark/>
          </w:tcPr>
          <w:p w14:paraId="59D499F1"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C22A3F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7FA214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1DAE6F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45DAC96D" w14:textId="020B9C9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14</w:t>
            </w:r>
          </w:p>
        </w:tc>
        <w:tc>
          <w:tcPr>
            <w:tcW w:w="562" w:type="pct"/>
            <w:tcBorders>
              <w:top w:val="nil"/>
              <w:left w:val="nil"/>
              <w:bottom w:val="nil"/>
              <w:right w:val="nil"/>
            </w:tcBorders>
            <w:shd w:val="clear" w:color="auto" w:fill="auto"/>
            <w:noWrap/>
            <w:vAlign w:val="center"/>
            <w:hideMark/>
          </w:tcPr>
          <w:p w14:paraId="756E2992" w14:textId="77777777" w:rsidR="00EB3B52" w:rsidRPr="000668F6" w:rsidRDefault="00EB3B52" w:rsidP="00EB3B52">
            <w:pPr>
              <w:spacing w:after="0" w:line="240" w:lineRule="auto"/>
              <w:jc w:val="center"/>
              <w:rPr>
                <w:rFonts w:eastAsia="Times New Roman" w:cs="Times New Roman"/>
                <w:color w:val="000000"/>
                <w:lang w:eastAsia="zh-CN"/>
              </w:rPr>
            </w:pPr>
          </w:p>
        </w:tc>
        <w:tc>
          <w:tcPr>
            <w:tcW w:w="773" w:type="pct"/>
            <w:tcBorders>
              <w:top w:val="nil"/>
              <w:left w:val="nil"/>
              <w:bottom w:val="nil"/>
              <w:right w:val="nil"/>
            </w:tcBorders>
            <w:shd w:val="clear" w:color="auto" w:fill="auto"/>
            <w:noWrap/>
            <w:vAlign w:val="center"/>
            <w:hideMark/>
          </w:tcPr>
          <w:p w14:paraId="1E3DC81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1FA256C" w14:textId="77777777" w:rsidTr="000668F6">
        <w:trPr>
          <w:trHeight w:val="220"/>
        </w:trPr>
        <w:tc>
          <w:tcPr>
            <w:tcW w:w="889" w:type="pct"/>
            <w:tcBorders>
              <w:top w:val="nil"/>
              <w:left w:val="nil"/>
              <w:bottom w:val="nil"/>
              <w:right w:val="nil"/>
            </w:tcBorders>
            <w:shd w:val="clear" w:color="auto" w:fill="auto"/>
            <w:noWrap/>
            <w:vAlign w:val="center"/>
            <w:hideMark/>
          </w:tcPr>
          <w:p w14:paraId="12D350D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FD05FE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7FB218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8428D1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C2A882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46B6759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(1.43)</w:t>
            </w:r>
          </w:p>
        </w:tc>
        <w:tc>
          <w:tcPr>
            <w:tcW w:w="562" w:type="pct"/>
            <w:tcBorders>
              <w:top w:val="nil"/>
              <w:left w:val="nil"/>
              <w:bottom w:val="nil"/>
              <w:right w:val="nil"/>
            </w:tcBorders>
            <w:shd w:val="clear" w:color="auto" w:fill="auto"/>
            <w:noWrap/>
            <w:vAlign w:val="center"/>
            <w:hideMark/>
          </w:tcPr>
          <w:p w14:paraId="60C9325C" w14:textId="77777777" w:rsidR="00EB3B52" w:rsidRPr="000668F6" w:rsidRDefault="00EB3B52" w:rsidP="00EB3B52">
            <w:pPr>
              <w:spacing w:after="0" w:line="240" w:lineRule="auto"/>
              <w:jc w:val="center"/>
              <w:rPr>
                <w:rFonts w:eastAsia="Times New Roman" w:cs="Times New Roman"/>
                <w:color w:val="000000"/>
                <w:lang w:eastAsia="zh-CN"/>
              </w:rPr>
            </w:pPr>
          </w:p>
        </w:tc>
        <w:tc>
          <w:tcPr>
            <w:tcW w:w="773" w:type="pct"/>
            <w:tcBorders>
              <w:top w:val="nil"/>
              <w:left w:val="nil"/>
              <w:bottom w:val="nil"/>
              <w:right w:val="nil"/>
            </w:tcBorders>
            <w:shd w:val="clear" w:color="auto" w:fill="auto"/>
            <w:noWrap/>
            <w:vAlign w:val="center"/>
            <w:hideMark/>
          </w:tcPr>
          <w:p w14:paraId="219DE8D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121756C8" w14:textId="77777777" w:rsidTr="000668F6">
        <w:trPr>
          <w:trHeight w:val="220"/>
        </w:trPr>
        <w:tc>
          <w:tcPr>
            <w:tcW w:w="889" w:type="pct"/>
            <w:tcBorders>
              <w:top w:val="nil"/>
              <w:left w:val="nil"/>
              <w:bottom w:val="nil"/>
              <w:right w:val="nil"/>
            </w:tcBorders>
            <w:shd w:val="clear" w:color="auto" w:fill="auto"/>
            <w:noWrap/>
            <w:vAlign w:val="center"/>
            <w:hideMark/>
          </w:tcPr>
          <w:p w14:paraId="347A653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ln(1+AG)*AGE</w:t>
            </w:r>
          </w:p>
        </w:tc>
        <w:tc>
          <w:tcPr>
            <w:tcW w:w="562" w:type="pct"/>
            <w:tcBorders>
              <w:top w:val="nil"/>
              <w:left w:val="nil"/>
              <w:bottom w:val="nil"/>
              <w:right w:val="nil"/>
            </w:tcBorders>
            <w:shd w:val="clear" w:color="auto" w:fill="auto"/>
            <w:noWrap/>
            <w:vAlign w:val="center"/>
            <w:hideMark/>
          </w:tcPr>
          <w:p w14:paraId="568AE087"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28D46F3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8BA5D9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0A5BCA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114244A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6519909" w14:textId="5746F6B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01</w:t>
            </w:r>
          </w:p>
        </w:tc>
        <w:tc>
          <w:tcPr>
            <w:tcW w:w="773" w:type="pct"/>
            <w:tcBorders>
              <w:top w:val="nil"/>
              <w:left w:val="nil"/>
              <w:bottom w:val="nil"/>
              <w:right w:val="nil"/>
            </w:tcBorders>
            <w:shd w:val="clear" w:color="auto" w:fill="auto"/>
            <w:noWrap/>
            <w:vAlign w:val="center"/>
            <w:hideMark/>
          </w:tcPr>
          <w:p w14:paraId="7368AF3B"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26596A28" w14:textId="77777777" w:rsidTr="000668F6">
        <w:trPr>
          <w:trHeight w:val="220"/>
        </w:trPr>
        <w:tc>
          <w:tcPr>
            <w:tcW w:w="889" w:type="pct"/>
            <w:tcBorders>
              <w:top w:val="nil"/>
              <w:left w:val="nil"/>
              <w:bottom w:val="nil"/>
              <w:right w:val="nil"/>
            </w:tcBorders>
            <w:shd w:val="clear" w:color="auto" w:fill="auto"/>
            <w:noWrap/>
            <w:vAlign w:val="center"/>
            <w:hideMark/>
          </w:tcPr>
          <w:p w14:paraId="2469034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BB0C09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6D876D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953A27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88CAE6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580AC8C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0C6738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(0.07)</w:t>
            </w:r>
          </w:p>
        </w:tc>
        <w:tc>
          <w:tcPr>
            <w:tcW w:w="773" w:type="pct"/>
            <w:tcBorders>
              <w:top w:val="nil"/>
              <w:left w:val="nil"/>
              <w:bottom w:val="nil"/>
              <w:right w:val="nil"/>
            </w:tcBorders>
            <w:shd w:val="clear" w:color="auto" w:fill="auto"/>
            <w:noWrap/>
            <w:vAlign w:val="center"/>
            <w:hideMark/>
          </w:tcPr>
          <w:p w14:paraId="484BFDEE"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02323156" w14:textId="77777777" w:rsidTr="000668F6">
        <w:trPr>
          <w:trHeight w:val="220"/>
        </w:trPr>
        <w:tc>
          <w:tcPr>
            <w:tcW w:w="889" w:type="pct"/>
            <w:tcBorders>
              <w:top w:val="nil"/>
              <w:left w:val="nil"/>
              <w:bottom w:val="nil"/>
              <w:right w:val="nil"/>
            </w:tcBorders>
            <w:shd w:val="clear" w:color="auto" w:fill="auto"/>
            <w:noWrap/>
            <w:vAlign w:val="center"/>
            <w:hideMark/>
          </w:tcPr>
          <w:p w14:paraId="4F4A3A1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ln(1+AG)*ASSET</w:t>
            </w:r>
          </w:p>
        </w:tc>
        <w:tc>
          <w:tcPr>
            <w:tcW w:w="562" w:type="pct"/>
            <w:tcBorders>
              <w:top w:val="nil"/>
              <w:left w:val="nil"/>
              <w:bottom w:val="nil"/>
              <w:right w:val="nil"/>
            </w:tcBorders>
            <w:shd w:val="clear" w:color="auto" w:fill="auto"/>
            <w:noWrap/>
            <w:vAlign w:val="center"/>
            <w:hideMark/>
          </w:tcPr>
          <w:p w14:paraId="6DA2D7E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B425D9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C0D303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0FF76F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6383920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987295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614A808B" w14:textId="17BFECE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23**</w:t>
            </w:r>
          </w:p>
        </w:tc>
      </w:tr>
      <w:tr w:rsidR="00EB3B52" w:rsidRPr="000668F6" w14:paraId="249146FA" w14:textId="77777777" w:rsidTr="000668F6">
        <w:trPr>
          <w:trHeight w:val="220"/>
        </w:trPr>
        <w:tc>
          <w:tcPr>
            <w:tcW w:w="889" w:type="pct"/>
            <w:tcBorders>
              <w:top w:val="nil"/>
              <w:left w:val="nil"/>
              <w:bottom w:val="nil"/>
              <w:right w:val="nil"/>
            </w:tcBorders>
            <w:shd w:val="clear" w:color="auto" w:fill="auto"/>
            <w:noWrap/>
            <w:vAlign w:val="center"/>
            <w:hideMark/>
          </w:tcPr>
          <w:p w14:paraId="5A9B65BD"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69AF80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229F26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E44DBF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2B7735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72CFA31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2AFCFA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4DBE9CC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(2.15)</w:t>
            </w:r>
          </w:p>
        </w:tc>
      </w:tr>
      <w:tr w:rsidR="00EB3B52" w:rsidRPr="000668F6" w14:paraId="36C2A469" w14:textId="77777777" w:rsidTr="000668F6">
        <w:trPr>
          <w:trHeight w:val="220"/>
        </w:trPr>
        <w:tc>
          <w:tcPr>
            <w:tcW w:w="889" w:type="pct"/>
            <w:tcBorders>
              <w:top w:val="nil"/>
              <w:left w:val="nil"/>
              <w:bottom w:val="nil"/>
              <w:right w:val="nil"/>
            </w:tcBorders>
            <w:shd w:val="clear" w:color="auto" w:fill="auto"/>
            <w:noWrap/>
            <w:vAlign w:val="center"/>
            <w:hideMark/>
          </w:tcPr>
          <w:p w14:paraId="745C9FA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GT</w:t>
            </w:r>
          </w:p>
        </w:tc>
        <w:tc>
          <w:tcPr>
            <w:tcW w:w="562" w:type="pct"/>
            <w:tcBorders>
              <w:top w:val="nil"/>
              <w:left w:val="nil"/>
              <w:bottom w:val="nil"/>
              <w:right w:val="nil"/>
            </w:tcBorders>
            <w:shd w:val="clear" w:color="auto" w:fill="auto"/>
            <w:noWrap/>
            <w:vAlign w:val="center"/>
            <w:hideMark/>
          </w:tcPr>
          <w:p w14:paraId="2065209C" w14:textId="584A93C2"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13</w:t>
            </w:r>
          </w:p>
        </w:tc>
        <w:tc>
          <w:tcPr>
            <w:tcW w:w="562" w:type="pct"/>
            <w:tcBorders>
              <w:top w:val="nil"/>
              <w:left w:val="nil"/>
              <w:bottom w:val="nil"/>
              <w:right w:val="nil"/>
            </w:tcBorders>
            <w:shd w:val="clear" w:color="auto" w:fill="auto"/>
            <w:noWrap/>
            <w:vAlign w:val="center"/>
            <w:hideMark/>
          </w:tcPr>
          <w:p w14:paraId="62A0C5D4" w14:textId="315264FF"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07</w:t>
            </w:r>
          </w:p>
        </w:tc>
        <w:tc>
          <w:tcPr>
            <w:tcW w:w="562" w:type="pct"/>
            <w:tcBorders>
              <w:top w:val="nil"/>
              <w:left w:val="nil"/>
              <w:bottom w:val="nil"/>
              <w:right w:val="nil"/>
            </w:tcBorders>
            <w:shd w:val="clear" w:color="auto" w:fill="auto"/>
            <w:noWrap/>
            <w:vAlign w:val="center"/>
            <w:hideMark/>
          </w:tcPr>
          <w:p w14:paraId="4CD248F5" w14:textId="0218D01D"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00</w:t>
            </w:r>
          </w:p>
        </w:tc>
        <w:tc>
          <w:tcPr>
            <w:tcW w:w="562" w:type="pct"/>
            <w:tcBorders>
              <w:top w:val="nil"/>
              <w:left w:val="nil"/>
              <w:bottom w:val="nil"/>
              <w:right w:val="nil"/>
            </w:tcBorders>
            <w:shd w:val="clear" w:color="auto" w:fill="auto"/>
            <w:noWrap/>
            <w:vAlign w:val="center"/>
            <w:hideMark/>
          </w:tcPr>
          <w:p w14:paraId="3A45AAE8" w14:textId="102CEF1F"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12</w:t>
            </w:r>
          </w:p>
        </w:tc>
        <w:tc>
          <w:tcPr>
            <w:tcW w:w="529" w:type="pct"/>
            <w:tcBorders>
              <w:top w:val="nil"/>
              <w:left w:val="nil"/>
              <w:bottom w:val="nil"/>
              <w:right w:val="nil"/>
            </w:tcBorders>
            <w:shd w:val="clear" w:color="auto" w:fill="auto"/>
            <w:noWrap/>
            <w:vAlign w:val="center"/>
            <w:hideMark/>
          </w:tcPr>
          <w:p w14:paraId="1DBA6033" w14:textId="2D4EA725"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08</w:t>
            </w:r>
          </w:p>
        </w:tc>
        <w:tc>
          <w:tcPr>
            <w:tcW w:w="562" w:type="pct"/>
            <w:tcBorders>
              <w:top w:val="nil"/>
              <w:left w:val="nil"/>
              <w:bottom w:val="nil"/>
              <w:right w:val="nil"/>
            </w:tcBorders>
            <w:shd w:val="clear" w:color="auto" w:fill="auto"/>
            <w:noWrap/>
            <w:vAlign w:val="center"/>
            <w:hideMark/>
          </w:tcPr>
          <w:p w14:paraId="120936CF" w14:textId="2CA890E9"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09</w:t>
            </w:r>
          </w:p>
        </w:tc>
        <w:tc>
          <w:tcPr>
            <w:tcW w:w="773" w:type="pct"/>
            <w:tcBorders>
              <w:top w:val="nil"/>
              <w:left w:val="nil"/>
              <w:bottom w:val="nil"/>
              <w:right w:val="nil"/>
            </w:tcBorders>
            <w:shd w:val="clear" w:color="auto" w:fill="auto"/>
            <w:noWrap/>
            <w:vAlign w:val="center"/>
            <w:hideMark/>
          </w:tcPr>
          <w:p w14:paraId="0688521C" w14:textId="2EF16BF1"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13</w:t>
            </w:r>
          </w:p>
        </w:tc>
      </w:tr>
      <w:tr w:rsidR="00EB3B52" w:rsidRPr="000668F6" w14:paraId="3F50D96B" w14:textId="77777777" w:rsidTr="000668F6">
        <w:trPr>
          <w:trHeight w:val="220"/>
        </w:trPr>
        <w:tc>
          <w:tcPr>
            <w:tcW w:w="889" w:type="pct"/>
            <w:tcBorders>
              <w:top w:val="nil"/>
              <w:left w:val="nil"/>
              <w:bottom w:val="nil"/>
              <w:right w:val="nil"/>
            </w:tcBorders>
            <w:shd w:val="clear" w:color="auto" w:fill="auto"/>
            <w:noWrap/>
            <w:vAlign w:val="center"/>
            <w:hideMark/>
          </w:tcPr>
          <w:p w14:paraId="642A1860"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3DF5F89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(-1.10)</w:t>
            </w:r>
          </w:p>
        </w:tc>
        <w:tc>
          <w:tcPr>
            <w:tcW w:w="562" w:type="pct"/>
            <w:tcBorders>
              <w:top w:val="nil"/>
              <w:left w:val="nil"/>
              <w:bottom w:val="nil"/>
              <w:right w:val="nil"/>
            </w:tcBorders>
            <w:shd w:val="clear" w:color="auto" w:fill="auto"/>
            <w:noWrap/>
            <w:vAlign w:val="center"/>
            <w:hideMark/>
          </w:tcPr>
          <w:p w14:paraId="204F5B6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(-0.30)</w:t>
            </w:r>
          </w:p>
        </w:tc>
        <w:tc>
          <w:tcPr>
            <w:tcW w:w="562" w:type="pct"/>
            <w:tcBorders>
              <w:top w:val="nil"/>
              <w:left w:val="nil"/>
              <w:bottom w:val="nil"/>
              <w:right w:val="nil"/>
            </w:tcBorders>
            <w:shd w:val="clear" w:color="auto" w:fill="auto"/>
            <w:noWrap/>
            <w:vAlign w:val="center"/>
            <w:hideMark/>
          </w:tcPr>
          <w:p w14:paraId="1F734DE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(0.01)</w:t>
            </w:r>
          </w:p>
        </w:tc>
        <w:tc>
          <w:tcPr>
            <w:tcW w:w="562" w:type="pct"/>
            <w:tcBorders>
              <w:top w:val="nil"/>
              <w:left w:val="nil"/>
              <w:bottom w:val="nil"/>
              <w:right w:val="nil"/>
            </w:tcBorders>
            <w:shd w:val="clear" w:color="auto" w:fill="auto"/>
            <w:noWrap/>
            <w:vAlign w:val="center"/>
            <w:hideMark/>
          </w:tcPr>
          <w:p w14:paraId="257F45B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-0.53</w:t>
            </w:r>
          </w:p>
        </w:tc>
        <w:tc>
          <w:tcPr>
            <w:tcW w:w="529" w:type="pct"/>
            <w:tcBorders>
              <w:top w:val="nil"/>
              <w:left w:val="nil"/>
              <w:bottom w:val="nil"/>
              <w:right w:val="nil"/>
            </w:tcBorders>
            <w:shd w:val="clear" w:color="auto" w:fill="auto"/>
            <w:noWrap/>
            <w:vAlign w:val="center"/>
            <w:hideMark/>
          </w:tcPr>
          <w:p w14:paraId="1EA2784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(-0.58)</w:t>
            </w:r>
          </w:p>
        </w:tc>
        <w:tc>
          <w:tcPr>
            <w:tcW w:w="562" w:type="pct"/>
            <w:tcBorders>
              <w:top w:val="nil"/>
              <w:left w:val="nil"/>
              <w:bottom w:val="nil"/>
              <w:right w:val="nil"/>
            </w:tcBorders>
            <w:shd w:val="clear" w:color="auto" w:fill="auto"/>
            <w:noWrap/>
            <w:vAlign w:val="center"/>
            <w:hideMark/>
          </w:tcPr>
          <w:p w14:paraId="59ED7D8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(-0.60)</w:t>
            </w:r>
          </w:p>
        </w:tc>
        <w:tc>
          <w:tcPr>
            <w:tcW w:w="773" w:type="pct"/>
            <w:tcBorders>
              <w:top w:val="nil"/>
              <w:left w:val="nil"/>
              <w:bottom w:val="nil"/>
              <w:right w:val="nil"/>
            </w:tcBorders>
            <w:shd w:val="clear" w:color="auto" w:fill="auto"/>
            <w:noWrap/>
            <w:vAlign w:val="center"/>
            <w:hideMark/>
          </w:tcPr>
          <w:p w14:paraId="06F6A62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(-0.83)</w:t>
            </w:r>
          </w:p>
        </w:tc>
      </w:tr>
      <w:tr w:rsidR="00EB3B52" w:rsidRPr="000668F6" w14:paraId="01162CD2" w14:textId="77777777" w:rsidTr="000668F6">
        <w:trPr>
          <w:trHeight w:val="220"/>
        </w:trPr>
        <w:tc>
          <w:tcPr>
            <w:tcW w:w="889" w:type="pct"/>
            <w:tcBorders>
              <w:top w:val="nil"/>
              <w:left w:val="nil"/>
              <w:bottom w:val="nil"/>
              <w:right w:val="nil"/>
            </w:tcBorders>
            <w:shd w:val="clear" w:color="auto" w:fill="auto"/>
            <w:noWrap/>
            <w:vAlign w:val="center"/>
            <w:hideMark/>
          </w:tcPr>
          <w:p w14:paraId="1BB1C10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IVOL</w:t>
            </w:r>
          </w:p>
        </w:tc>
        <w:tc>
          <w:tcPr>
            <w:tcW w:w="562" w:type="pct"/>
            <w:tcBorders>
              <w:top w:val="nil"/>
              <w:left w:val="nil"/>
              <w:bottom w:val="nil"/>
              <w:right w:val="nil"/>
            </w:tcBorders>
            <w:shd w:val="clear" w:color="auto" w:fill="auto"/>
            <w:noWrap/>
            <w:vAlign w:val="center"/>
            <w:hideMark/>
          </w:tcPr>
          <w:p w14:paraId="0D4602C2" w14:textId="64ABAF0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435B6D">
              <w:rPr>
                <w:rFonts w:eastAsia="Times New Roman" w:cs="Times New Roman"/>
                <w:color w:val="000000"/>
                <w:lang w:eastAsia="zh-CN"/>
              </w:rPr>
              <w:t>.</w:t>
            </w:r>
            <w:r w:rsidRPr="000668F6">
              <w:rPr>
                <w:rFonts w:eastAsia="Times New Roman" w:cs="Times New Roman"/>
                <w:color w:val="000000"/>
                <w:lang w:eastAsia="zh-CN"/>
              </w:rPr>
              <w:t>61</w:t>
            </w:r>
          </w:p>
        </w:tc>
        <w:tc>
          <w:tcPr>
            <w:tcW w:w="562" w:type="pct"/>
            <w:tcBorders>
              <w:top w:val="nil"/>
              <w:left w:val="nil"/>
              <w:bottom w:val="nil"/>
              <w:right w:val="nil"/>
            </w:tcBorders>
            <w:shd w:val="clear" w:color="auto" w:fill="auto"/>
            <w:noWrap/>
            <w:vAlign w:val="center"/>
            <w:hideMark/>
          </w:tcPr>
          <w:p w14:paraId="51E47337"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424DB4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4FDD60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290918E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D0CEC2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53CD2BC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521BA7A0" w14:textId="77777777" w:rsidTr="000668F6">
        <w:trPr>
          <w:trHeight w:val="220"/>
        </w:trPr>
        <w:tc>
          <w:tcPr>
            <w:tcW w:w="889" w:type="pct"/>
            <w:tcBorders>
              <w:top w:val="nil"/>
              <w:left w:val="nil"/>
              <w:bottom w:val="nil"/>
              <w:right w:val="nil"/>
            </w:tcBorders>
            <w:shd w:val="clear" w:color="auto" w:fill="auto"/>
            <w:noWrap/>
            <w:vAlign w:val="center"/>
            <w:hideMark/>
          </w:tcPr>
          <w:p w14:paraId="4AC2237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4D8834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(1.07)</w:t>
            </w:r>
          </w:p>
        </w:tc>
        <w:tc>
          <w:tcPr>
            <w:tcW w:w="562" w:type="pct"/>
            <w:tcBorders>
              <w:top w:val="nil"/>
              <w:left w:val="nil"/>
              <w:bottom w:val="nil"/>
              <w:right w:val="nil"/>
            </w:tcBorders>
            <w:shd w:val="clear" w:color="auto" w:fill="auto"/>
            <w:noWrap/>
            <w:vAlign w:val="center"/>
            <w:hideMark/>
          </w:tcPr>
          <w:p w14:paraId="512FF176"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374F131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F9BF6F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4D5DBED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06E193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3AC9284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12FA66E" w14:textId="77777777" w:rsidTr="000668F6">
        <w:trPr>
          <w:trHeight w:val="220"/>
        </w:trPr>
        <w:tc>
          <w:tcPr>
            <w:tcW w:w="889" w:type="pct"/>
            <w:tcBorders>
              <w:top w:val="nil"/>
              <w:left w:val="nil"/>
              <w:bottom w:val="nil"/>
              <w:right w:val="nil"/>
            </w:tcBorders>
            <w:shd w:val="clear" w:color="auto" w:fill="auto"/>
            <w:noWrap/>
            <w:vAlign w:val="center"/>
            <w:hideMark/>
          </w:tcPr>
          <w:p w14:paraId="09FA91E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BAS</w:t>
            </w:r>
          </w:p>
        </w:tc>
        <w:tc>
          <w:tcPr>
            <w:tcW w:w="562" w:type="pct"/>
            <w:tcBorders>
              <w:top w:val="nil"/>
              <w:left w:val="nil"/>
              <w:bottom w:val="nil"/>
              <w:right w:val="nil"/>
            </w:tcBorders>
            <w:shd w:val="clear" w:color="auto" w:fill="auto"/>
            <w:noWrap/>
            <w:vAlign w:val="center"/>
            <w:hideMark/>
          </w:tcPr>
          <w:p w14:paraId="6CBCDAAE"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241E3E26" w14:textId="3136FB6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8</w:t>
            </w:r>
            <w:r w:rsidR="00435B6D">
              <w:rPr>
                <w:rFonts w:eastAsia="Times New Roman" w:cs="Times New Roman"/>
                <w:color w:val="000000"/>
                <w:lang w:eastAsia="zh-CN"/>
              </w:rPr>
              <w:t>.</w:t>
            </w:r>
            <w:r w:rsidRPr="000668F6">
              <w:rPr>
                <w:rFonts w:eastAsia="Times New Roman" w:cs="Times New Roman"/>
                <w:color w:val="000000"/>
                <w:lang w:eastAsia="zh-CN"/>
              </w:rPr>
              <w:t>09</w:t>
            </w:r>
          </w:p>
        </w:tc>
        <w:tc>
          <w:tcPr>
            <w:tcW w:w="562" w:type="pct"/>
            <w:tcBorders>
              <w:top w:val="nil"/>
              <w:left w:val="nil"/>
              <w:bottom w:val="nil"/>
              <w:right w:val="nil"/>
            </w:tcBorders>
            <w:shd w:val="clear" w:color="auto" w:fill="auto"/>
            <w:noWrap/>
            <w:vAlign w:val="center"/>
            <w:hideMark/>
          </w:tcPr>
          <w:p w14:paraId="3742F1E0"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E45EF7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7BFFD6C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0DFA5D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3EEA64F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744C473A" w14:textId="77777777" w:rsidTr="000668F6">
        <w:trPr>
          <w:trHeight w:val="220"/>
        </w:trPr>
        <w:tc>
          <w:tcPr>
            <w:tcW w:w="889" w:type="pct"/>
            <w:tcBorders>
              <w:top w:val="nil"/>
              <w:left w:val="nil"/>
              <w:bottom w:val="nil"/>
              <w:right w:val="nil"/>
            </w:tcBorders>
            <w:shd w:val="clear" w:color="auto" w:fill="auto"/>
            <w:noWrap/>
            <w:vAlign w:val="center"/>
            <w:hideMark/>
          </w:tcPr>
          <w:p w14:paraId="5C108FD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26C238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99C7AE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(1.30)</w:t>
            </w:r>
          </w:p>
        </w:tc>
        <w:tc>
          <w:tcPr>
            <w:tcW w:w="562" w:type="pct"/>
            <w:tcBorders>
              <w:top w:val="nil"/>
              <w:left w:val="nil"/>
              <w:bottom w:val="nil"/>
              <w:right w:val="nil"/>
            </w:tcBorders>
            <w:shd w:val="clear" w:color="auto" w:fill="auto"/>
            <w:noWrap/>
            <w:vAlign w:val="center"/>
            <w:hideMark/>
          </w:tcPr>
          <w:p w14:paraId="532440AB"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30D1D2E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7C94BCF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122096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41D06F5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C80DEAE" w14:textId="77777777" w:rsidTr="000668F6">
        <w:trPr>
          <w:trHeight w:val="220"/>
        </w:trPr>
        <w:tc>
          <w:tcPr>
            <w:tcW w:w="889" w:type="pct"/>
            <w:tcBorders>
              <w:top w:val="nil"/>
              <w:left w:val="nil"/>
              <w:bottom w:val="nil"/>
              <w:right w:val="nil"/>
            </w:tcBorders>
            <w:shd w:val="clear" w:color="auto" w:fill="auto"/>
            <w:noWrap/>
            <w:vAlign w:val="center"/>
            <w:hideMark/>
          </w:tcPr>
          <w:p w14:paraId="2D55681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COV</w:t>
            </w:r>
          </w:p>
        </w:tc>
        <w:tc>
          <w:tcPr>
            <w:tcW w:w="562" w:type="pct"/>
            <w:tcBorders>
              <w:top w:val="nil"/>
              <w:left w:val="nil"/>
              <w:bottom w:val="nil"/>
              <w:right w:val="nil"/>
            </w:tcBorders>
            <w:shd w:val="clear" w:color="auto" w:fill="auto"/>
            <w:noWrap/>
            <w:vAlign w:val="center"/>
            <w:hideMark/>
          </w:tcPr>
          <w:p w14:paraId="40881E0A"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0F548F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CFDE635" w14:textId="6F9F6BB5"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00</w:t>
            </w:r>
          </w:p>
        </w:tc>
        <w:tc>
          <w:tcPr>
            <w:tcW w:w="562" w:type="pct"/>
            <w:tcBorders>
              <w:top w:val="nil"/>
              <w:left w:val="nil"/>
              <w:bottom w:val="nil"/>
              <w:right w:val="nil"/>
            </w:tcBorders>
            <w:shd w:val="clear" w:color="auto" w:fill="auto"/>
            <w:noWrap/>
            <w:vAlign w:val="center"/>
            <w:hideMark/>
          </w:tcPr>
          <w:p w14:paraId="53753FFE" w14:textId="77777777" w:rsidR="00EB3B52" w:rsidRPr="000668F6" w:rsidRDefault="00EB3B52" w:rsidP="00EB3B52">
            <w:pPr>
              <w:spacing w:after="0" w:line="240" w:lineRule="auto"/>
              <w:jc w:val="center"/>
              <w:rPr>
                <w:rFonts w:eastAsia="Times New Roman" w:cs="Times New Roman"/>
                <w:color w:val="000000"/>
                <w:lang w:eastAsia="zh-CN"/>
              </w:rPr>
            </w:pPr>
          </w:p>
        </w:tc>
        <w:tc>
          <w:tcPr>
            <w:tcW w:w="529" w:type="pct"/>
            <w:tcBorders>
              <w:top w:val="nil"/>
              <w:left w:val="nil"/>
              <w:bottom w:val="nil"/>
              <w:right w:val="nil"/>
            </w:tcBorders>
            <w:shd w:val="clear" w:color="auto" w:fill="auto"/>
            <w:noWrap/>
            <w:vAlign w:val="center"/>
            <w:hideMark/>
          </w:tcPr>
          <w:p w14:paraId="5424CAB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281A75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62FDC52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2410C5C" w14:textId="77777777" w:rsidTr="000668F6">
        <w:trPr>
          <w:trHeight w:val="220"/>
        </w:trPr>
        <w:tc>
          <w:tcPr>
            <w:tcW w:w="889" w:type="pct"/>
            <w:tcBorders>
              <w:top w:val="nil"/>
              <w:left w:val="nil"/>
              <w:bottom w:val="nil"/>
              <w:right w:val="nil"/>
            </w:tcBorders>
            <w:shd w:val="clear" w:color="auto" w:fill="auto"/>
            <w:noWrap/>
            <w:vAlign w:val="center"/>
            <w:hideMark/>
          </w:tcPr>
          <w:p w14:paraId="36EB829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3FCC7D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38B9B2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DCB563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(0.58)</w:t>
            </w:r>
          </w:p>
        </w:tc>
        <w:tc>
          <w:tcPr>
            <w:tcW w:w="562" w:type="pct"/>
            <w:tcBorders>
              <w:top w:val="nil"/>
              <w:left w:val="nil"/>
              <w:bottom w:val="nil"/>
              <w:right w:val="nil"/>
            </w:tcBorders>
            <w:shd w:val="clear" w:color="auto" w:fill="auto"/>
            <w:noWrap/>
            <w:vAlign w:val="center"/>
            <w:hideMark/>
          </w:tcPr>
          <w:p w14:paraId="2CB88222" w14:textId="77777777" w:rsidR="00EB3B52" w:rsidRPr="000668F6" w:rsidRDefault="00EB3B52" w:rsidP="00EB3B52">
            <w:pPr>
              <w:spacing w:after="0" w:line="240" w:lineRule="auto"/>
              <w:jc w:val="center"/>
              <w:rPr>
                <w:rFonts w:eastAsia="Times New Roman" w:cs="Times New Roman"/>
                <w:color w:val="000000"/>
                <w:lang w:eastAsia="zh-CN"/>
              </w:rPr>
            </w:pPr>
          </w:p>
        </w:tc>
        <w:tc>
          <w:tcPr>
            <w:tcW w:w="529" w:type="pct"/>
            <w:tcBorders>
              <w:top w:val="nil"/>
              <w:left w:val="nil"/>
              <w:bottom w:val="nil"/>
              <w:right w:val="nil"/>
            </w:tcBorders>
            <w:shd w:val="clear" w:color="auto" w:fill="auto"/>
            <w:noWrap/>
            <w:vAlign w:val="center"/>
            <w:hideMark/>
          </w:tcPr>
          <w:p w14:paraId="3D6524B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C3DB26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15F20F4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26B9FB19" w14:textId="77777777" w:rsidTr="000668F6">
        <w:trPr>
          <w:trHeight w:val="220"/>
        </w:trPr>
        <w:tc>
          <w:tcPr>
            <w:tcW w:w="889" w:type="pct"/>
            <w:tcBorders>
              <w:top w:val="nil"/>
              <w:left w:val="nil"/>
              <w:bottom w:val="nil"/>
              <w:right w:val="nil"/>
            </w:tcBorders>
            <w:shd w:val="clear" w:color="auto" w:fill="auto"/>
            <w:noWrap/>
            <w:vAlign w:val="center"/>
            <w:hideMark/>
          </w:tcPr>
          <w:p w14:paraId="1483D8A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DISP</w:t>
            </w:r>
          </w:p>
        </w:tc>
        <w:tc>
          <w:tcPr>
            <w:tcW w:w="562" w:type="pct"/>
            <w:tcBorders>
              <w:top w:val="nil"/>
              <w:left w:val="nil"/>
              <w:bottom w:val="nil"/>
              <w:right w:val="nil"/>
            </w:tcBorders>
            <w:shd w:val="clear" w:color="auto" w:fill="auto"/>
            <w:noWrap/>
            <w:vAlign w:val="center"/>
            <w:hideMark/>
          </w:tcPr>
          <w:p w14:paraId="211C219E"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F4280C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553AFC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368B62CC" w14:textId="2AF835D3"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5</w:t>
            </w:r>
            <w:r>
              <w:rPr>
                <w:rFonts w:eastAsia="Times New Roman" w:cs="Times New Roman"/>
                <w:color w:val="000000"/>
                <w:lang w:eastAsia="zh-CN"/>
              </w:rPr>
              <w:t>.</w:t>
            </w:r>
            <w:r w:rsidR="00EB3B52" w:rsidRPr="000668F6">
              <w:rPr>
                <w:rFonts w:eastAsia="Times New Roman" w:cs="Times New Roman"/>
                <w:color w:val="000000"/>
                <w:lang w:eastAsia="zh-CN"/>
              </w:rPr>
              <w:t>07**</w:t>
            </w:r>
          </w:p>
        </w:tc>
        <w:tc>
          <w:tcPr>
            <w:tcW w:w="529" w:type="pct"/>
            <w:tcBorders>
              <w:top w:val="nil"/>
              <w:left w:val="nil"/>
              <w:bottom w:val="nil"/>
              <w:right w:val="nil"/>
            </w:tcBorders>
            <w:shd w:val="clear" w:color="auto" w:fill="auto"/>
            <w:noWrap/>
            <w:vAlign w:val="center"/>
            <w:hideMark/>
          </w:tcPr>
          <w:p w14:paraId="1C5A0F77"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6101C8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732327C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6D0ADA45" w14:textId="77777777" w:rsidTr="000668F6">
        <w:trPr>
          <w:trHeight w:val="220"/>
        </w:trPr>
        <w:tc>
          <w:tcPr>
            <w:tcW w:w="889" w:type="pct"/>
            <w:tcBorders>
              <w:top w:val="nil"/>
              <w:left w:val="nil"/>
              <w:bottom w:val="nil"/>
              <w:right w:val="nil"/>
            </w:tcBorders>
            <w:shd w:val="clear" w:color="auto" w:fill="auto"/>
            <w:noWrap/>
            <w:vAlign w:val="center"/>
            <w:hideMark/>
          </w:tcPr>
          <w:p w14:paraId="47E2C70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1F9FBF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E43CA7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9BBC0C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2DF61F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(-2.35)</w:t>
            </w:r>
          </w:p>
        </w:tc>
        <w:tc>
          <w:tcPr>
            <w:tcW w:w="529" w:type="pct"/>
            <w:tcBorders>
              <w:top w:val="nil"/>
              <w:left w:val="nil"/>
              <w:bottom w:val="nil"/>
              <w:right w:val="nil"/>
            </w:tcBorders>
            <w:shd w:val="clear" w:color="auto" w:fill="auto"/>
            <w:noWrap/>
            <w:vAlign w:val="center"/>
            <w:hideMark/>
          </w:tcPr>
          <w:p w14:paraId="5EBD379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1C0B4C7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78804CA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7A1A1DD4" w14:textId="77777777" w:rsidTr="000668F6">
        <w:trPr>
          <w:trHeight w:val="220"/>
        </w:trPr>
        <w:tc>
          <w:tcPr>
            <w:tcW w:w="889" w:type="pct"/>
            <w:tcBorders>
              <w:top w:val="nil"/>
              <w:left w:val="nil"/>
              <w:bottom w:val="nil"/>
              <w:right w:val="nil"/>
            </w:tcBorders>
            <w:shd w:val="clear" w:color="auto" w:fill="auto"/>
            <w:noWrap/>
            <w:vAlign w:val="center"/>
            <w:hideMark/>
          </w:tcPr>
          <w:p w14:paraId="54647D4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DVOL</w:t>
            </w:r>
          </w:p>
        </w:tc>
        <w:tc>
          <w:tcPr>
            <w:tcW w:w="562" w:type="pct"/>
            <w:tcBorders>
              <w:top w:val="nil"/>
              <w:left w:val="nil"/>
              <w:bottom w:val="nil"/>
              <w:right w:val="nil"/>
            </w:tcBorders>
            <w:shd w:val="clear" w:color="auto" w:fill="auto"/>
            <w:noWrap/>
            <w:vAlign w:val="center"/>
            <w:hideMark/>
          </w:tcPr>
          <w:p w14:paraId="2E270282"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2997F66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45D51B6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B88D83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6BDABC38" w14:textId="73BCBB96"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06</w:t>
            </w:r>
          </w:p>
        </w:tc>
        <w:tc>
          <w:tcPr>
            <w:tcW w:w="562" w:type="pct"/>
            <w:tcBorders>
              <w:top w:val="nil"/>
              <w:left w:val="nil"/>
              <w:bottom w:val="nil"/>
              <w:right w:val="nil"/>
            </w:tcBorders>
            <w:shd w:val="clear" w:color="auto" w:fill="auto"/>
            <w:noWrap/>
            <w:vAlign w:val="center"/>
            <w:hideMark/>
          </w:tcPr>
          <w:p w14:paraId="4173AA2D" w14:textId="77777777" w:rsidR="00EB3B52" w:rsidRPr="000668F6" w:rsidRDefault="00EB3B52" w:rsidP="00EB3B52">
            <w:pPr>
              <w:spacing w:after="0" w:line="240" w:lineRule="auto"/>
              <w:jc w:val="center"/>
              <w:rPr>
                <w:rFonts w:eastAsia="Times New Roman" w:cs="Times New Roman"/>
                <w:color w:val="000000"/>
                <w:lang w:eastAsia="zh-CN"/>
              </w:rPr>
            </w:pPr>
          </w:p>
        </w:tc>
        <w:tc>
          <w:tcPr>
            <w:tcW w:w="773" w:type="pct"/>
            <w:tcBorders>
              <w:top w:val="nil"/>
              <w:left w:val="nil"/>
              <w:bottom w:val="nil"/>
              <w:right w:val="nil"/>
            </w:tcBorders>
            <w:shd w:val="clear" w:color="auto" w:fill="auto"/>
            <w:noWrap/>
            <w:vAlign w:val="center"/>
            <w:hideMark/>
          </w:tcPr>
          <w:p w14:paraId="0D5467A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276F4233" w14:textId="77777777" w:rsidTr="000668F6">
        <w:trPr>
          <w:trHeight w:val="220"/>
        </w:trPr>
        <w:tc>
          <w:tcPr>
            <w:tcW w:w="889" w:type="pct"/>
            <w:tcBorders>
              <w:top w:val="nil"/>
              <w:left w:val="nil"/>
              <w:bottom w:val="nil"/>
              <w:right w:val="nil"/>
            </w:tcBorders>
            <w:shd w:val="clear" w:color="auto" w:fill="auto"/>
            <w:noWrap/>
            <w:vAlign w:val="center"/>
            <w:hideMark/>
          </w:tcPr>
          <w:p w14:paraId="56F740E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680E31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9958E2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97C287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B2A430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0F59B0D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(-0.80)</w:t>
            </w:r>
          </w:p>
        </w:tc>
        <w:tc>
          <w:tcPr>
            <w:tcW w:w="562" w:type="pct"/>
            <w:tcBorders>
              <w:top w:val="nil"/>
              <w:left w:val="nil"/>
              <w:bottom w:val="nil"/>
              <w:right w:val="nil"/>
            </w:tcBorders>
            <w:shd w:val="clear" w:color="auto" w:fill="auto"/>
            <w:noWrap/>
            <w:vAlign w:val="center"/>
            <w:hideMark/>
          </w:tcPr>
          <w:p w14:paraId="7EE11CE3" w14:textId="77777777" w:rsidR="00EB3B52" w:rsidRPr="000668F6" w:rsidRDefault="00EB3B52" w:rsidP="00EB3B52">
            <w:pPr>
              <w:spacing w:after="0" w:line="240" w:lineRule="auto"/>
              <w:jc w:val="center"/>
              <w:rPr>
                <w:rFonts w:eastAsia="Times New Roman" w:cs="Times New Roman"/>
                <w:color w:val="000000"/>
                <w:lang w:eastAsia="zh-CN"/>
              </w:rPr>
            </w:pPr>
          </w:p>
        </w:tc>
        <w:tc>
          <w:tcPr>
            <w:tcW w:w="773" w:type="pct"/>
            <w:tcBorders>
              <w:top w:val="nil"/>
              <w:left w:val="nil"/>
              <w:bottom w:val="nil"/>
              <w:right w:val="nil"/>
            </w:tcBorders>
            <w:shd w:val="clear" w:color="auto" w:fill="auto"/>
            <w:noWrap/>
            <w:vAlign w:val="center"/>
            <w:hideMark/>
          </w:tcPr>
          <w:p w14:paraId="1D1E1DF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6F8E12F0" w14:textId="77777777" w:rsidTr="000668F6">
        <w:trPr>
          <w:trHeight w:val="220"/>
        </w:trPr>
        <w:tc>
          <w:tcPr>
            <w:tcW w:w="889" w:type="pct"/>
            <w:tcBorders>
              <w:top w:val="nil"/>
              <w:left w:val="nil"/>
              <w:bottom w:val="nil"/>
              <w:right w:val="nil"/>
            </w:tcBorders>
            <w:shd w:val="clear" w:color="auto" w:fill="auto"/>
            <w:noWrap/>
            <w:vAlign w:val="center"/>
            <w:hideMark/>
          </w:tcPr>
          <w:p w14:paraId="724B795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AGE</w:t>
            </w:r>
          </w:p>
        </w:tc>
        <w:tc>
          <w:tcPr>
            <w:tcW w:w="562" w:type="pct"/>
            <w:tcBorders>
              <w:top w:val="nil"/>
              <w:left w:val="nil"/>
              <w:bottom w:val="nil"/>
              <w:right w:val="nil"/>
            </w:tcBorders>
            <w:shd w:val="clear" w:color="auto" w:fill="auto"/>
            <w:noWrap/>
            <w:vAlign w:val="center"/>
            <w:hideMark/>
          </w:tcPr>
          <w:p w14:paraId="547ADE23"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08A8D55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00CF7F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C90BF2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7801220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5E82C2CD" w14:textId="19E854B6"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01</w:t>
            </w:r>
          </w:p>
        </w:tc>
        <w:tc>
          <w:tcPr>
            <w:tcW w:w="773" w:type="pct"/>
            <w:tcBorders>
              <w:top w:val="nil"/>
              <w:left w:val="nil"/>
              <w:bottom w:val="nil"/>
              <w:right w:val="nil"/>
            </w:tcBorders>
            <w:shd w:val="clear" w:color="auto" w:fill="auto"/>
            <w:noWrap/>
            <w:vAlign w:val="center"/>
            <w:hideMark/>
          </w:tcPr>
          <w:p w14:paraId="59781A19"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1FE1434A" w14:textId="77777777" w:rsidTr="000668F6">
        <w:trPr>
          <w:trHeight w:val="220"/>
        </w:trPr>
        <w:tc>
          <w:tcPr>
            <w:tcW w:w="889" w:type="pct"/>
            <w:tcBorders>
              <w:top w:val="nil"/>
              <w:left w:val="nil"/>
              <w:bottom w:val="nil"/>
              <w:right w:val="nil"/>
            </w:tcBorders>
            <w:shd w:val="clear" w:color="auto" w:fill="auto"/>
            <w:noWrap/>
            <w:vAlign w:val="center"/>
            <w:hideMark/>
          </w:tcPr>
          <w:p w14:paraId="3879639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3ED9E8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DE837C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0B09BB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253A8C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2E7DE11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2E2FE5D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(0.16)</w:t>
            </w:r>
          </w:p>
        </w:tc>
        <w:tc>
          <w:tcPr>
            <w:tcW w:w="773" w:type="pct"/>
            <w:tcBorders>
              <w:top w:val="nil"/>
              <w:left w:val="nil"/>
              <w:bottom w:val="nil"/>
              <w:right w:val="nil"/>
            </w:tcBorders>
            <w:shd w:val="clear" w:color="auto" w:fill="auto"/>
            <w:noWrap/>
            <w:vAlign w:val="center"/>
            <w:hideMark/>
          </w:tcPr>
          <w:p w14:paraId="7E911BB7"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61812BF2" w14:textId="77777777" w:rsidTr="000668F6">
        <w:trPr>
          <w:trHeight w:val="220"/>
        </w:trPr>
        <w:tc>
          <w:tcPr>
            <w:tcW w:w="889" w:type="pct"/>
            <w:tcBorders>
              <w:top w:val="nil"/>
              <w:left w:val="nil"/>
              <w:bottom w:val="nil"/>
              <w:right w:val="nil"/>
            </w:tcBorders>
            <w:shd w:val="clear" w:color="auto" w:fill="auto"/>
            <w:noWrap/>
            <w:vAlign w:val="center"/>
            <w:hideMark/>
          </w:tcPr>
          <w:p w14:paraId="1FDF3D3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ASSET</w:t>
            </w:r>
          </w:p>
        </w:tc>
        <w:tc>
          <w:tcPr>
            <w:tcW w:w="562" w:type="pct"/>
            <w:tcBorders>
              <w:top w:val="nil"/>
              <w:left w:val="nil"/>
              <w:bottom w:val="nil"/>
              <w:right w:val="nil"/>
            </w:tcBorders>
            <w:shd w:val="clear" w:color="auto" w:fill="auto"/>
            <w:noWrap/>
            <w:vAlign w:val="center"/>
            <w:hideMark/>
          </w:tcPr>
          <w:p w14:paraId="523CE7F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059C897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1514DD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723841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788EA05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2AB43B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4F50956C" w14:textId="0247E73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09</w:t>
            </w:r>
          </w:p>
        </w:tc>
      </w:tr>
      <w:tr w:rsidR="00EB3B52" w:rsidRPr="000668F6" w14:paraId="0545D9F0" w14:textId="77777777" w:rsidTr="000668F6">
        <w:trPr>
          <w:trHeight w:val="220"/>
        </w:trPr>
        <w:tc>
          <w:tcPr>
            <w:tcW w:w="889" w:type="pct"/>
            <w:tcBorders>
              <w:top w:val="nil"/>
              <w:left w:val="nil"/>
              <w:bottom w:val="nil"/>
              <w:right w:val="nil"/>
            </w:tcBorders>
            <w:shd w:val="clear" w:color="auto" w:fill="auto"/>
            <w:noWrap/>
            <w:vAlign w:val="center"/>
            <w:hideMark/>
          </w:tcPr>
          <w:p w14:paraId="337FC958"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85BF40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0AAEBB0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6C4A556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7ABC654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9" w:type="pct"/>
            <w:tcBorders>
              <w:top w:val="nil"/>
              <w:left w:val="nil"/>
              <w:bottom w:val="nil"/>
              <w:right w:val="nil"/>
            </w:tcBorders>
            <w:shd w:val="clear" w:color="auto" w:fill="auto"/>
            <w:noWrap/>
            <w:vAlign w:val="center"/>
            <w:hideMark/>
          </w:tcPr>
          <w:p w14:paraId="2885580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2" w:type="pct"/>
            <w:tcBorders>
              <w:top w:val="nil"/>
              <w:left w:val="nil"/>
              <w:bottom w:val="nil"/>
              <w:right w:val="nil"/>
            </w:tcBorders>
            <w:shd w:val="clear" w:color="auto" w:fill="auto"/>
            <w:noWrap/>
            <w:vAlign w:val="center"/>
            <w:hideMark/>
          </w:tcPr>
          <w:p w14:paraId="1E8F40F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773" w:type="pct"/>
            <w:tcBorders>
              <w:top w:val="nil"/>
              <w:left w:val="nil"/>
              <w:bottom w:val="nil"/>
              <w:right w:val="nil"/>
            </w:tcBorders>
            <w:shd w:val="clear" w:color="auto" w:fill="auto"/>
            <w:noWrap/>
            <w:vAlign w:val="center"/>
            <w:hideMark/>
          </w:tcPr>
          <w:p w14:paraId="78BCFD1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(1.11)</w:t>
            </w:r>
          </w:p>
        </w:tc>
      </w:tr>
      <w:tr w:rsidR="00EB3B52" w:rsidRPr="000668F6" w14:paraId="3E3C08D7" w14:textId="77777777" w:rsidTr="000668F6">
        <w:trPr>
          <w:trHeight w:val="220"/>
        </w:trPr>
        <w:tc>
          <w:tcPr>
            <w:tcW w:w="889" w:type="pct"/>
            <w:tcBorders>
              <w:top w:val="nil"/>
              <w:left w:val="nil"/>
              <w:bottom w:val="nil"/>
              <w:right w:val="nil"/>
            </w:tcBorders>
            <w:shd w:val="clear" w:color="auto" w:fill="auto"/>
            <w:noWrap/>
            <w:vAlign w:val="center"/>
            <w:hideMark/>
          </w:tcPr>
          <w:p w14:paraId="63C66E6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lnBM</w:t>
            </w:r>
          </w:p>
        </w:tc>
        <w:tc>
          <w:tcPr>
            <w:tcW w:w="562" w:type="pct"/>
            <w:tcBorders>
              <w:top w:val="nil"/>
              <w:left w:val="nil"/>
              <w:bottom w:val="nil"/>
              <w:right w:val="nil"/>
            </w:tcBorders>
            <w:shd w:val="clear" w:color="auto" w:fill="auto"/>
            <w:noWrap/>
            <w:vAlign w:val="center"/>
            <w:hideMark/>
          </w:tcPr>
          <w:p w14:paraId="4E874C2D" w14:textId="77F647DE"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17***</w:t>
            </w:r>
          </w:p>
        </w:tc>
        <w:tc>
          <w:tcPr>
            <w:tcW w:w="562" w:type="pct"/>
            <w:tcBorders>
              <w:top w:val="nil"/>
              <w:left w:val="nil"/>
              <w:bottom w:val="nil"/>
              <w:right w:val="nil"/>
            </w:tcBorders>
            <w:shd w:val="clear" w:color="auto" w:fill="auto"/>
            <w:noWrap/>
            <w:vAlign w:val="center"/>
            <w:hideMark/>
          </w:tcPr>
          <w:p w14:paraId="37822880" w14:textId="11C3398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20***</w:t>
            </w:r>
          </w:p>
        </w:tc>
        <w:tc>
          <w:tcPr>
            <w:tcW w:w="562" w:type="pct"/>
            <w:tcBorders>
              <w:top w:val="nil"/>
              <w:left w:val="nil"/>
              <w:bottom w:val="nil"/>
              <w:right w:val="nil"/>
            </w:tcBorders>
            <w:shd w:val="clear" w:color="auto" w:fill="auto"/>
            <w:noWrap/>
            <w:vAlign w:val="center"/>
            <w:hideMark/>
          </w:tcPr>
          <w:p w14:paraId="17587B49" w14:textId="2B5EDB1E"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12*</w:t>
            </w:r>
          </w:p>
        </w:tc>
        <w:tc>
          <w:tcPr>
            <w:tcW w:w="562" w:type="pct"/>
            <w:tcBorders>
              <w:top w:val="nil"/>
              <w:left w:val="nil"/>
              <w:bottom w:val="nil"/>
              <w:right w:val="nil"/>
            </w:tcBorders>
            <w:shd w:val="clear" w:color="auto" w:fill="auto"/>
            <w:noWrap/>
            <w:vAlign w:val="center"/>
            <w:hideMark/>
          </w:tcPr>
          <w:p w14:paraId="387E6F9E" w14:textId="06DD6778"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16**</w:t>
            </w:r>
          </w:p>
        </w:tc>
        <w:tc>
          <w:tcPr>
            <w:tcW w:w="529" w:type="pct"/>
            <w:tcBorders>
              <w:top w:val="nil"/>
              <w:left w:val="nil"/>
              <w:bottom w:val="nil"/>
              <w:right w:val="nil"/>
            </w:tcBorders>
            <w:shd w:val="clear" w:color="auto" w:fill="auto"/>
            <w:noWrap/>
            <w:vAlign w:val="center"/>
            <w:hideMark/>
          </w:tcPr>
          <w:p w14:paraId="658CE0E7" w14:textId="46D9C61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18***</w:t>
            </w:r>
          </w:p>
        </w:tc>
        <w:tc>
          <w:tcPr>
            <w:tcW w:w="562" w:type="pct"/>
            <w:tcBorders>
              <w:top w:val="nil"/>
              <w:left w:val="nil"/>
              <w:bottom w:val="nil"/>
              <w:right w:val="nil"/>
            </w:tcBorders>
            <w:shd w:val="clear" w:color="auto" w:fill="auto"/>
            <w:noWrap/>
            <w:vAlign w:val="center"/>
            <w:hideMark/>
          </w:tcPr>
          <w:p w14:paraId="689CFC52" w14:textId="63D7AA7C"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17***</w:t>
            </w:r>
          </w:p>
        </w:tc>
        <w:tc>
          <w:tcPr>
            <w:tcW w:w="773" w:type="pct"/>
            <w:tcBorders>
              <w:top w:val="nil"/>
              <w:left w:val="nil"/>
              <w:bottom w:val="nil"/>
              <w:right w:val="nil"/>
            </w:tcBorders>
            <w:shd w:val="clear" w:color="auto" w:fill="auto"/>
            <w:noWrap/>
            <w:vAlign w:val="center"/>
            <w:hideMark/>
          </w:tcPr>
          <w:p w14:paraId="6988C009" w14:textId="276C01B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08</w:t>
            </w:r>
          </w:p>
        </w:tc>
      </w:tr>
      <w:tr w:rsidR="00EB3B52" w:rsidRPr="000668F6" w14:paraId="4BEE5997" w14:textId="77777777" w:rsidTr="000668F6">
        <w:trPr>
          <w:trHeight w:val="220"/>
        </w:trPr>
        <w:tc>
          <w:tcPr>
            <w:tcW w:w="889" w:type="pct"/>
            <w:tcBorders>
              <w:top w:val="nil"/>
              <w:left w:val="nil"/>
              <w:bottom w:val="nil"/>
              <w:right w:val="nil"/>
            </w:tcBorders>
            <w:shd w:val="clear" w:color="auto" w:fill="auto"/>
            <w:noWrap/>
            <w:vAlign w:val="center"/>
            <w:hideMark/>
          </w:tcPr>
          <w:p w14:paraId="202BE557"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4F0A0E2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(4.04)</w:t>
            </w:r>
          </w:p>
        </w:tc>
        <w:tc>
          <w:tcPr>
            <w:tcW w:w="562" w:type="pct"/>
            <w:tcBorders>
              <w:top w:val="nil"/>
              <w:left w:val="nil"/>
              <w:bottom w:val="nil"/>
              <w:right w:val="nil"/>
            </w:tcBorders>
            <w:shd w:val="clear" w:color="auto" w:fill="auto"/>
            <w:noWrap/>
            <w:vAlign w:val="center"/>
            <w:hideMark/>
          </w:tcPr>
          <w:p w14:paraId="4FCDB5F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(2.74)</w:t>
            </w:r>
          </w:p>
        </w:tc>
        <w:tc>
          <w:tcPr>
            <w:tcW w:w="562" w:type="pct"/>
            <w:tcBorders>
              <w:top w:val="nil"/>
              <w:left w:val="nil"/>
              <w:bottom w:val="nil"/>
              <w:right w:val="nil"/>
            </w:tcBorders>
            <w:shd w:val="clear" w:color="auto" w:fill="auto"/>
            <w:noWrap/>
            <w:vAlign w:val="center"/>
            <w:hideMark/>
          </w:tcPr>
          <w:p w14:paraId="21CA059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(1.80)</w:t>
            </w:r>
          </w:p>
        </w:tc>
        <w:tc>
          <w:tcPr>
            <w:tcW w:w="562" w:type="pct"/>
            <w:tcBorders>
              <w:top w:val="nil"/>
              <w:left w:val="nil"/>
              <w:bottom w:val="nil"/>
              <w:right w:val="nil"/>
            </w:tcBorders>
            <w:shd w:val="clear" w:color="auto" w:fill="auto"/>
            <w:noWrap/>
            <w:vAlign w:val="center"/>
            <w:hideMark/>
          </w:tcPr>
          <w:p w14:paraId="5E4460C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(2.32)</w:t>
            </w:r>
          </w:p>
        </w:tc>
        <w:tc>
          <w:tcPr>
            <w:tcW w:w="529" w:type="pct"/>
            <w:tcBorders>
              <w:top w:val="nil"/>
              <w:left w:val="nil"/>
              <w:bottom w:val="nil"/>
              <w:right w:val="nil"/>
            </w:tcBorders>
            <w:shd w:val="clear" w:color="auto" w:fill="auto"/>
            <w:noWrap/>
            <w:vAlign w:val="center"/>
            <w:hideMark/>
          </w:tcPr>
          <w:p w14:paraId="004232C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(4.26)</w:t>
            </w:r>
          </w:p>
        </w:tc>
        <w:tc>
          <w:tcPr>
            <w:tcW w:w="562" w:type="pct"/>
            <w:tcBorders>
              <w:top w:val="nil"/>
              <w:left w:val="nil"/>
              <w:bottom w:val="nil"/>
              <w:right w:val="nil"/>
            </w:tcBorders>
            <w:shd w:val="clear" w:color="auto" w:fill="auto"/>
            <w:noWrap/>
            <w:vAlign w:val="center"/>
            <w:hideMark/>
          </w:tcPr>
          <w:p w14:paraId="06A2A66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(3.99)</w:t>
            </w:r>
          </w:p>
        </w:tc>
        <w:tc>
          <w:tcPr>
            <w:tcW w:w="773" w:type="pct"/>
            <w:tcBorders>
              <w:top w:val="nil"/>
              <w:left w:val="nil"/>
              <w:bottom w:val="nil"/>
              <w:right w:val="nil"/>
            </w:tcBorders>
            <w:shd w:val="clear" w:color="auto" w:fill="auto"/>
            <w:noWrap/>
            <w:vAlign w:val="center"/>
            <w:hideMark/>
          </w:tcPr>
          <w:p w14:paraId="28D69A6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(1.19)</w:t>
            </w:r>
          </w:p>
        </w:tc>
      </w:tr>
      <w:tr w:rsidR="00EB3B52" w:rsidRPr="000668F6" w14:paraId="7C3C2539" w14:textId="77777777" w:rsidTr="000668F6">
        <w:trPr>
          <w:trHeight w:val="220"/>
        </w:trPr>
        <w:tc>
          <w:tcPr>
            <w:tcW w:w="889" w:type="pct"/>
            <w:tcBorders>
              <w:top w:val="nil"/>
              <w:left w:val="nil"/>
              <w:bottom w:val="nil"/>
              <w:right w:val="nil"/>
            </w:tcBorders>
            <w:shd w:val="clear" w:color="auto" w:fill="auto"/>
            <w:noWrap/>
            <w:vAlign w:val="center"/>
            <w:hideMark/>
          </w:tcPr>
          <w:p w14:paraId="11EFC64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lnMV</w:t>
            </w:r>
          </w:p>
        </w:tc>
        <w:tc>
          <w:tcPr>
            <w:tcW w:w="562" w:type="pct"/>
            <w:tcBorders>
              <w:top w:val="nil"/>
              <w:left w:val="nil"/>
              <w:bottom w:val="nil"/>
              <w:right w:val="nil"/>
            </w:tcBorders>
            <w:shd w:val="clear" w:color="auto" w:fill="auto"/>
            <w:noWrap/>
            <w:vAlign w:val="center"/>
            <w:hideMark/>
          </w:tcPr>
          <w:p w14:paraId="3696F188" w14:textId="734474F1"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13***</w:t>
            </w:r>
          </w:p>
        </w:tc>
        <w:tc>
          <w:tcPr>
            <w:tcW w:w="562" w:type="pct"/>
            <w:tcBorders>
              <w:top w:val="nil"/>
              <w:left w:val="nil"/>
              <w:bottom w:val="nil"/>
              <w:right w:val="nil"/>
            </w:tcBorders>
            <w:shd w:val="clear" w:color="auto" w:fill="auto"/>
            <w:noWrap/>
            <w:vAlign w:val="center"/>
            <w:hideMark/>
          </w:tcPr>
          <w:p w14:paraId="57BCB06B" w14:textId="62DBEE2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04</w:t>
            </w:r>
          </w:p>
        </w:tc>
        <w:tc>
          <w:tcPr>
            <w:tcW w:w="562" w:type="pct"/>
            <w:tcBorders>
              <w:top w:val="nil"/>
              <w:left w:val="nil"/>
              <w:bottom w:val="nil"/>
              <w:right w:val="nil"/>
            </w:tcBorders>
            <w:shd w:val="clear" w:color="auto" w:fill="auto"/>
            <w:noWrap/>
            <w:vAlign w:val="center"/>
            <w:hideMark/>
          </w:tcPr>
          <w:p w14:paraId="7CC8D3AE" w14:textId="2A76C614"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15***</w:t>
            </w:r>
          </w:p>
        </w:tc>
        <w:tc>
          <w:tcPr>
            <w:tcW w:w="562" w:type="pct"/>
            <w:tcBorders>
              <w:top w:val="nil"/>
              <w:left w:val="nil"/>
              <w:bottom w:val="nil"/>
              <w:right w:val="nil"/>
            </w:tcBorders>
            <w:shd w:val="clear" w:color="auto" w:fill="auto"/>
            <w:noWrap/>
            <w:vAlign w:val="center"/>
            <w:hideMark/>
          </w:tcPr>
          <w:p w14:paraId="3F6DC01C" w14:textId="26208A09"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12***</w:t>
            </w:r>
          </w:p>
        </w:tc>
        <w:tc>
          <w:tcPr>
            <w:tcW w:w="529" w:type="pct"/>
            <w:tcBorders>
              <w:top w:val="nil"/>
              <w:left w:val="nil"/>
              <w:bottom w:val="nil"/>
              <w:right w:val="nil"/>
            </w:tcBorders>
            <w:shd w:val="clear" w:color="auto" w:fill="auto"/>
            <w:noWrap/>
            <w:vAlign w:val="center"/>
            <w:hideMark/>
          </w:tcPr>
          <w:p w14:paraId="706FBC6C" w14:textId="0D031682"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07</w:t>
            </w:r>
          </w:p>
        </w:tc>
        <w:tc>
          <w:tcPr>
            <w:tcW w:w="562" w:type="pct"/>
            <w:tcBorders>
              <w:top w:val="nil"/>
              <w:left w:val="nil"/>
              <w:bottom w:val="nil"/>
              <w:right w:val="nil"/>
            </w:tcBorders>
            <w:shd w:val="clear" w:color="auto" w:fill="auto"/>
            <w:noWrap/>
            <w:vAlign w:val="center"/>
            <w:hideMark/>
          </w:tcPr>
          <w:p w14:paraId="099C7BAA" w14:textId="5833E8E9"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14***</w:t>
            </w:r>
          </w:p>
        </w:tc>
        <w:tc>
          <w:tcPr>
            <w:tcW w:w="773" w:type="pct"/>
            <w:tcBorders>
              <w:top w:val="nil"/>
              <w:left w:val="nil"/>
              <w:bottom w:val="nil"/>
              <w:right w:val="nil"/>
            </w:tcBorders>
            <w:shd w:val="clear" w:color="auto" w:fill="auto"/>
            <w:noWrap/>
            <w:vAlign w:val="center"/>
            <w:hideMark/>
          </w:tcPr>
          <w:p w14:paraId="5340E91F" w14:textId="35BF5655" w:rsidR="00EB3B52" w:rsidRPr="000668F6" w:rsidRDefault="00435B6D"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24***</w:t>
            </w:r>
          </w:p>
        </w:tc>
      </w:tr>
      <w:tr w:rsidR="00EB3B52" w:rsidRPr="000668F6" w14:paraId="4AC07751" w14:textId="77777777" w:rsidTr="000668F6">
        <w:trPr>
          <w:trHeight w:val="220"/>
        </w:trPr>
        <w:tc>
          <w:tcPr>
            <w:tcW w:w="889" w:type="pct"/>
            <w:tcBorders>
              <w:top w:val="nil"/>
              <w:left w:val="nil"/>
              <w:bottom w:val="nil"/>
              <w:right w:val="nil"/>
            </w:tcBorders>
            <w:shd w:val="clear" w:color="auto" w:fill="auto"/>
            <w:noWrap/>
            <w:vAlign w:val="center"/>
            <w:hideMark/>
          </w:tcPr>
          <w:p w14:paraId="2A6CE92E" w14:textId="77777777" w:rsidR="00EB3B52" w:rsidRPr="000668F6" w:rsidRDefault="00EB3B52" w:rsidP="00EB3B52">
            <w:pPr>
              <w:spacing w:after="0" w:line="240" w:lineRule="auto"/>
              <w:jc w:val="center"/>
              <w:rPr>
                <w:rFonts w:eastAsia="Times New Roman" w:cs="Times New Roman"/>
                <w:color w:val="000000"/>
                <w:lang w:eastAsia="zh-CN"/>
              </w:rPr>
            </w:pPr>
          </w:p>
        </w:tc>
        <w:tc>
          <w:tcPr>
            <w:tcW w:w="562" w:type="pct"/>
            <w:tcBorders>
              <w:top w:val="nil"/>
              <w:left w:val="nil"/>
              <w:bottom w:val="nil"/>
              <w:right w:val="nil"/>
            </w:tcBorders>
            <w:shd w:val="clear" w:color="auto" w:fill="auto"/>
            <w:noWrap/>
            <w:vAlign w:val="center"/>
            <w:hideMark/>
          </w:tcPr>
          <w:p w14:paraId="2F3A4BB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(-4.15)</w:t>
            </w:r>
          </w:p>
        </w:tc>
        <w:tc>
          <w:tcPr>
            <w:tcW w:w="562" w:type="pct"/>
            <w:tcBorders>
              <w:top w:val="nil"/>
              <w:left w:val="nil"/>
              <w:bottom w:val="nil"/>
              <w:right w:val="nil"/>
            </w:tcBorders>
            <w:shd w:val="clear" w:color="auto" w:fill="auto"/>
            <w:noWrap/>
            <w:vAlign w:val="center"/>
            <w:hideMark/>
          </w:tcPr>
          <w:p w14:paraId="6A77D30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(0.78)</w:t>
            </w:r>
          </w:p>
        </w:tc>
        <w:tc>
          <w:tcPr>
            <w:tcW w:w="562" w:type="pct"/>
            <w:tcBorders>
              <w:top w:val="nil"/>
              <w:left w:val="nil"/>
              <w:bottom w:val="nil"/>
              <w:right w:val="nil"/>
            </w:tcBorders>
            <w:shd w:val="clear" w:color="auto" w:fill="auto"/>
            <w:noWrap/>
            <w:vAlign w:val="center"/>
            <w:hideMark/>
          </w:tcPr>
          <w:p w14:paraId="11E7465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(-2.69)</w:t>
            </w:r>
          </w:p>
        </w:tc>
        <w:tc>
          <w:tcPr>
            <w:tcW w:w="562" w:type="pct"/>
            <w:tcBorders>
              <w:top w:val="nil"/>
              <w:left w:val="nil"/>
              <w:bottom w:val="nil"/>
              <w:right w:val="nil"/>
            </w:tcBorders>
            <w:shd w:val="clear" w:color="auto" w:fill="auto"/>
            <w:noWrap/>
            <w:vAlign w:val="center"/>
            <w:hideMark/>
          </w:tcPr>
          <w:p w14:paraId="7082B4D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(-2.71)</w:t>
            </w:r>
          </w:p>
        </w:tc>
        <w:tc>
          <w:tcPr>
            <w:tcW w:w="529" w:type="pct"/>
            <w:tcBorders>
              <w:top w:val="nil"/>
              <w:left w:val="nil"/>
              <w:bottom w:val="nil"/>
              <w:right w:val="nil"/>
            </w:tcBorders>
            <w:shd w:val="clear" w:color="auto" w:fill="auto"/>
            <w:noWrap/>
            <w:vAlign w:val="center"/>
            <w:hideMark/>
          </w:tcPr>
          <w:p w14:paraId="6161C87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(-0.82)</w:t>
            </w:r>
          </w:p>
        </w:tc>
        <w:tc>
          <w:tcPr>
            <w:tcW w:w="562" w:type="pct"/>
            <w:tcBorders>
              <w:top w:val="nil"/>
              <w:left w:val="nil"/>
              <w:bottom w:val="nil"/>
              <w:right w:val="nil"/>
            </w:tcBorders>
            <w:shd w:val="clear" w:color="auto" w:fill="auto"/>
            <w:noWrap/>
            <w:vAlign w:val="center"/>
            <w:hideMark/>
          </w:tcPr>
          <w:p w14:paraId="7F548E5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(-3.80)</w:t>
            </w:r>
          </w:p>
        </w:tc>
        <w:tc>
          <w:tcPr>
            <w:tcW w:w="773" w:type="pct"/>
            <w:tcBorders>
              <w:top w:val="nil"/>
              <w:left w:val="nil"/>
              <w:bottom w:val="nil"/>
              <w:right w:val="nil"/>
            </w:tcBorders>
            <w:shd w:val="clear" w:color="auto" w:fill="auto"/>
            <w:noWrap/>
            <w:vAlign w:val="center"/>
            <w:hideMark/>
          </w:tcPr>
          <w:p w14:paraId="69E67FC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(-3.08)</w:t>
            </w:r>
          </w:p>
        </w:tc>
      </w:tr>
      <w:tr w:rsidR="00EB3B52" w:rsidRPr="000668F6" w14:paraId="50F18B18" w14:textId="77777777" w:rsidTr="000668F6">
        <w:trPr>
          <w:trHeight w:val="220"/>
        </w:trPr>
        <w:tc>
          <w:tcPr>
            <w:tcW w:w="889" w:type="pct"/>
            <w:tcBorders>
              <w:top w:val="nil"/>
              <w:left w:val="nil"/>
              <w:bottom w:val="nil"/>
              <w:right w:val="nil"/>
            </w:tcBorders>
            <w:shd w:val="clear" w:color="auto" w:fill="auto"/>
            <w:noWrap/>
            <w:vAlign w:val="center"/>
            <w:hideMark/>
          </w:tcPr>
          <w:p w14:paraId="54AE349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Pre6ret</w:t>
            </w:r>
          </w:p>
        </w:tc>
        <w:tc>
          <w:tcPr>
            <w:tcW w:w="562" w:type="pct"/>
            <w:tcBorders>
              <w:top w:val="nil"/>
              <w:left w:val="nil"/>
              <w:bottom w:val="nil"/>
              <w:right w:val="nil"/>
            </w:tcBorders>
            <w:shd w:val="clear" w:color="auto" w:fill="auto"/>
            <w:noWrap/>
            <w:vAlign w:val="center"/>
            <w:hideMark/>
          </w:tcPr>
          <w:p w14:paraId="3A2480B6" w14:textId="3A2981F9"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10</w:t>
            </w:r>
          </w:p>
        </w:tc>
        <w:tc>
          <w:tcPr>
            <w:tcW w:w="562" w:type="pct"/>
            <w:tcBorders>
              <w:top w:val="nil"/>
              <w:left w:val="nil"/>
              <w:bottom w:val="nil"/>
              <w:right w:val="nil"/>
            </w:tcBorders>
            <w:shd w:val="clear" w:color="auto" w:fill="auto"/>
            <w:noWrap/>
            <w:vAlign w:val="center"/>
            <w:hideMark/>
          </w:tcPr>
          <w:p w14:paraId="256AA9A0" w14:textId="528A3799"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08</w:t>
            </w:r>
          </w:p>
        </w:tc>
        <w:tc>
          <w:tcPr>
            <w:tcW w:w="562" w:type="pct"/>
            <w:tcBorders>
              <w:top w:val="nil"/>
              <w:left w:val="nil"/>
              <w:bottom w:val="nil"/>
              <w:right w:val="nil"/>
            </w:tcBorders>
            <w:shd w:val="clear" w:color="auto" w:fill="auto"/>
            <w:noWrap/>
            <w:vAlign w:val="center"/>
            <w:hideMark/>
          </w:tcPr>
          <w:p w14:paraId="07FA1AFF" w14:textId="47E162D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09</w:t>
            </w:r>
          </w:p>
        </w:tc>
        <w:tc>
          <w:tcPr>
            <w:tcW w:w="562" w:type="pct"/>
            <w:tcBorders>
              <w:top w:val="nil"/>
              <w:left w:val="nil"/>
              <w:bottom w:val="nil"/>
              <w:right w:val="nil"/>
            </w:tcBorders>
            <w:shd w:val="clear" w:color="auto" w:fill="auto"/>
            <w:noWrap/>
            <w:vAlign w:val="center"/>
            <w:hideMark/>
          </w:tcPr>
          <w:p w14:paraId="20EA6123" w14:textId="32AA4B06"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06</w:t>
            </w:r>
          </w:p>
        </w:tc>
        <w:tc>
          <w:tcPr>
            <w:tcW w:w="529" w:type="pct"/>
            <w:tcBorders>
              <w:top w:val="nil"/>
              <w:left w:val="nil"/>
              <w:bottom w:val="nil"/>
              <w:right w:val="nil"/>
            </w:tcBorders>
            <w:shd w:val="clear" w:color="auto" w:fill="auto"/>
            <w:noWrap/>
            <w:vAlign w:val="center"/>
            <w:hideMark/>
          </w:tcPr>
          <w:p w14:paraId="5A9D2D8A" w14:textId="7171AFC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27</w:t>
            </w:r>
          </w:p>
        </w:tc>
        <w:tc>
          <w:tcPr>
            <w:tcW w:w="562" w:type="pct"/>
            <w:tcBorders>
              <w:top w:val="nil"/>
              <w:left w:val="nil"/>
              <w:bottom w:val="nil"/>
              <w:right w:val="nil"/>
            </w:tcBorders>
            <w:shd w:val="clear" w:color="auto" w:fill="auto"/>
            <w:noWrap/>
            <w:vAlign w:val="center"/>
            <w:hideMark/>
          </w:tcPr>
          <w:p w14:paraId="5AE8FF51" w14:textId="044610F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16</w:t>
            </w:r>
          </w:p>
        </w:tc>
        <w:tc>
          <w:tcPr>
            <w:tcW w:w="773" w:type="pct"/>
            <w:tcBorders>
              <w:top w:val="nil"/>
              <w:left w:val="nil"/>
              <w:bottom w:val="nil"/>
              <w:right w:val="nil"/>
            </w:tcBorders>
            <w:shd w:val="clear" w:color="auto" w:fill="auto"/>
            <w:noWrap/>
            <w:vAlign w:val="center"/>
            <w:hideMark/>
          </w:tcPr>
          <w:p w14:paraId="3797ADC1" w14:textId="0B71325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435B6D">
              <w:rPr>
                <w:rFonts w:eastAsia="Times New Roman" w:cs="Times New Roman"/>
                <w:color w:val="000000"/>
                <w:lang w:eastAsia="zh-CN"/>
              </w:rPr>
              <w:t>.</w:t>
            </w:r>
            <w:r w:rsidRPr="000668F6">
              <w:rPr>
                <w:rFonts w:eastAsia="Times New Roman" w:cs="Times New Roman"/>
                <w:color w:val="000000"/>
                <w:lang w:eastAsia="zh-CN"/>
              </w:rPr>
              <w:t>22</w:t>
            </w:r>
          </w:p>
        </w:tc>
      </w:tr>
      <w:tr w:rsidR="00EB3B52" w:rsidRPr="000668F6" w14:paraId="33D56AD1" w14:textId="77777777" w:rsidTr="000668F6">
        <w:trPr>
          <w:trHeight w:val="220"/>
        </w:trPr>
        <w:tc>
          <w:tcPr>
            <w:tcW w:w="889" w:type="pct"/>
            <w:tcBorders>
              <w:top w:val="nil"/>
              <w:left w:val="nil"/>
              <w:bottom w:val="single" w:sz="4" w:space="0" w:color="auto"/>
              <w:right w:val="nil"/>
            </w:tcBorders>
            <w:shd w:val="clear" w:color="auto" w:fill="auto"/>
            <w:noWrap/>
            <w:vAlign w:val="center"/>
            <w:hideMark/>
          </w:tcPr>
          <w:p w14:paraId="5D720A9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562" w:type="pct"/>
            <w:tcBorders>
              <w:top w:val="nil"/>
              <w:left w:val="nil"/>
              <w:bottom w:val="single" w:sz="4" w:space="0" w:color="auto"/>
              <w:right w:val="nil"/>
            </w:tcBorders>
            <w:shd w:val="clear" w:color="auto" w:fill="auto"/>
            <w:noWrap/>
            <w:vAlign w:val="center"/>
            <w:hideMark/>
          </w:tcPr>
          <w:p w14:paraId="7B0CE16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(0.59)</w:t>
            </w:r>
          </w:p>
        </w:tc>
        <w:tc>
          <w:tcPr>
            <w:tcW w:w="562" w:type="pct"/>
            <w:tcBorders>
              <w:top w:val="nil"/>
              <w:left w:val="nil"/>
              <w:bottom w:val="single" w:sz="4" w:space="0" w:color="auto"/>
              <w:right w:val="nil"/>
            </w:tcBorders>
            <w:shd w:val="clear" w:color="auto" w:fill="auto"/>
            <w:noWrap/>
            <w:vAlign w:val="center"/>
            <w:hideMark/>
          </w:tcPr>
          <w:p w14:paraId="3830F0A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(0.46)</w:t>
            </w:r>
          </w:p>
        </w:tc>
        <w:tc>
          <w:tcPr>
            <w:tcW w:w="562" w:type="pct"/>
            <w:tcBorders>
              <w:top w:val="nil"/>
              <w:left w:val="nil"/>
              <w:bottom w:val="single" w:sz="4" w:space="0" w:color="auto"/>
              <w:right w:val="nil"/>
            </w:tcBorders>
            <w:shd w:val="clear" w:color="auto" w:fill="auto"/>
            <w:noWrap/>
            <w:vAlign w:val="center"/>
            <w:hideMark/>
          </w:tcPr>
          <w:p w14:paraId="488C4F3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(0.50)</w:t>
            </w:r>
          </w:p>
        </w:tc>
        <w:tc>
          <w:tcPr>
            <w:tcW w:w="562" w:type="pct"/>
            <w:tcBorders>
              <w:top w:val="nil"/>
              <w:left w:val="nil"/>
              <w:bottom w:val="single" w:sz="4" w:space="0" w:color="auto"/>
              <w:right w:val="nil"/>
            </w:tcBorders>
            <w:shd w:val="clear" w:color="auto" w:fill="auto"/>
            <w:noWrap/>
            <w:vAlign w:val="center"/>
            <w:hideMark/>
          </w:tcPr>
          <w:p w14:paraId="49C6EA8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(0.33)</w:t>
            </w:r>
          </w:p>
        </w:tc>
        <w:tc>
          <w:tcPr>
            <w:tcW w:w="529" w:type="pct"/>
            <w:tcBorders>
              <w:top w:val="nil"/>
              <w:left w:val="nil"/>
              <w:bottom w:val="single" w:sz="4" w:space="0" w:color="auto"/>
              <w:right w:val="nil"/>
            </w:tcBorders>
            <w:shd w:val="clear" w:color="auto" w:fill="auto"/>
            <w:noWrap/>
            <w:vAlign w:val="center"/>
            <w:hideMark/>
          </w:tcPr>
          <w:p w14:paraId="6F214F0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(1.60)</w:t>
            </w:r>
          </w:p>
        </w:tc>
        <w:tc>
          <w:tcPr>
            <w:tcW w:w="562" w:type="pct"/>
            <w:tcBorders>
              <w:top w:val="nil"/>
              <w:left w:val="nil"/>
              <w:bottom w:val="single" w:sz="4" w:space="0" w:color="auto"/>
              <w:right w:val="nil"/>
            </w:tcBorders>
            <w:shd w:val="clear" w:color="auto" w:fill="auto"/>
            <w:noWrap/>
            <w:vAlign w:val="center"/>
            <w:hideMark/>
          </w:tcPr>
          <w:p w14:paraId="6BE1D30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(0.90)</w:t>
            </w:r>
          </w:p>
        </w:tc>
        <w:tc>
          <w:tcPr>
            <w:tcW w:w="773" w:type="pct"/>
            <w:tcBorders>
              <w:top w:val="nil"/>
              <w:left w:val="nil"/>
              <w:bottom w:val="single" w:sz="4" w:space="0" w:color="auto"/>
              <w:right w:val="nil"/>
            </w:tcBorders>
            <w:shd w:val="clear" w:color="auto" w:fill="auto"/>
            <w:noWrap/>
            <w:vAlign w:val="center"/>
            <w:hideMark/>
          </w:tcPr>
          <w:p w14:paraId="516892D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(1.20)</w:t>
            </w:r>
          </w:p>
        </w:tc>
      </w:tr>
    </w:tbl>
    <w:p w14:paraId="467E0301" w14:textId="77777777" w:rsidR="0092303A" w:rsidRDefault="0092303A" w:rsidP="0092303A">
      <w:pPr>
        <w:spacing w:line="360" w:lineRule="auto"/>
        <w:jc w:val="both"/>
      </w:pPr>
    </w:p>
    <w:p w14:paraId="6B460B83" w14:textId="77777777" w:rsidR="0092303A" w:rsidRDefault="0092303A" w:rsidP="0092303A">
      <w:r>
        <w:br w:type="page"/>
      </w:r>
    </w:p>
    <w:p w14:paraId="0AD20B38" w14:textId="54634A16" w:rsidR="0092303A" w:rsidRDefault="0092303A" w:rsidP="0092303A">
      <w:pPr>
        <w:spacing w:line="360" w:lineRule="auto"/>
        <w:jc w:val="both"/>
      </w:pPr>
      <w:r>
        <w:lastRenderedPageBreak/>
        <w:t>Panel B: growth type proxy – DIV</w:t>
      </w:r>
    </w:p>
    <w:tbl>
      <w:tblPr>
        <w:tblW w:w="5303" w:type="pct"/>
        <w:tblLook w:val="04A0" w:firstRow="1" w:lastRow="0" w:firstColumn="1" w:lastColumn="0" w:noHBand="0" w:noVBand="1"/>
      </w:tblPr>
      <w:tblGrid>
        <w:gridCol w:w="1809"/>
        <w:gridCol w:w="984"/>
        <w:gridCol w:w="925"/>
        <w:gridCol w:w="925"/>
        <w:gridCol w:w="925"/>
        <w:gridCol w:w="985"/>
        <w:gridCol w:w="985"/>
        <w:gridCol w:w="1500"/>
      </w:tblGrid>
      <w:tr w:rsidR="00EB3B52" w:rsidRPr="000668F6" w14:paraId="31A2134B" w14:textId="77777777" w:rsidTr="000668F6">
        <w:trPr>
          <w:trHeight w:val="220"/>
        </w:trPr>
        <w:tc>
          <w:tcPr>
            <w:tcW w:w="887" w:type="pct"/>
            <w:tcBorders>
              <w:top w:val="single" w:sz="4" w:space="0" w:color="auto"/>
              <w:left w:val="nil"/>
              <w:bottom w:val="single" w:sz="4" w:space="0" w:color="auto"/>
              <w:right w:val="nil"/>
            </w:tcBorders>
            <w:shd w:val="clear" w:color="auto" w:fill="auto"/>
            <w:noWrap/>
            <w:vAlign w:val="center"/>
            <w:hideMark/>
          </w:tcPr>
          <w:p w14:paraId="0374473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561" w:type="pct"/>
            <w:tcBorders>
              <w:top w:val="single" w:sz="4" w:space="0" w:color="auto"/>
              <w:left w:val="nil"/>
              <w:bottom w:val="single" w:sz="4" w:space="0" w:color="auto"/>
              <w:right w:val="nil"/>
            </w:tcBorders>
            <w:shd w:val="clear" w:color="auto" w:fill="auto"/>
            <w:noWrap/>
            <w:vAlign w:val="center"/>
            <w:hideMark/>
          </w:tcPr>
          <w:p w14:paraId="1EDC489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1</w:t>
            </w:r>
          </w:p>
        </w:tc>
        <w:tc>
          <w:tcPr>
            <w:tcW w:w="528" w:type="pct"/>
            <w:tcBorders>
              <w:top w:val="single" w:sz="4" w:space="0" w:color="auto"/>
              <w:left w:val="nil"/>
              <w:bottom w:val="single" w:sz="4" w:space="0" w:color="auto"/>
              <w:right w:val="nil"/>
            </w:tcBorders>
            <w:shd w:val="clear" w:color="auto" w:fill="auto"/>
            <w:noWrap/>
            <w:vAlign w:val="center"/>
            <w:hideMark/>
          </w:tcPr>
          <w:p w14:paraId="03DAAE1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2</w:t>
            </w:r>
          </w:p>
        </w:tc>
        <w:tc>
          <w:tcPr>
            <w:tcW w:w="528" w:type="pct"/>
            <w:tcBorders>
              <w:top w:val="single" w:sz="4" w:space="0" w:color="auto"/>
              <w:left w:val="nil"/>
              <w:bottom w:val="single" w:sz="4" w:space="0" w:color="auto"/>
              <w:right w:val="nil"/>
            </w:tcBorders>
            <w:shd w:val="clear" w:color="auto" w:fill="auto"/>
            <w:noWrap/>
            <w:vAlign w:val="center"/>
            <w:hideMark/>
          </w:tcPr>
          <w:p w14:paraId="77566AC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3</w:t>
            </w:r>
          </w:p>
        </w:tc>
        <w:tc>
          <w:tcPr>
            <w:tcW w:w="528" w:type="pct"/>
            <w:tcBorders>
              <w:top w:val="single" w:sz="4" w:space="0" w:color="auto"/>
              <w:left w:val="nil"/>
              <w:bottom w:val="single" w:sz="4" w:space="0" w:color="auto"/>
              <w:right w:val="nil"/>
            </w:tcBorders>
            <w:shd w:val="clear" w:color="auto" w:fill="auto"/>
            <w:noWrap/>
            <w:vAlign w:val="center"/>
            <w:hideMark/>
          </w:tcPr>
          <w:p w14:paraId="494AF86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4</w:t>
            </w:r>
          </w:p>
        </w:tc>
        <w:tc>
          <w:tcPr>
            <w:tcW w:w="561" w:type="pct"/>
            <w:tcBorders>
              <w:top w:val="single" w:sz="4" w:space="0" w:color="auto"/>
              <w:left w:val="nil"/>
              <w:bottom w:val="single" w:sz="4" w:space="0" w:color="auto"/>
              <w:right w:val="nil"/>
            </w:tcBorders>
            <w:shd w:val="clear" w:color="auto" w:fill="auto"/>
            <w:noWrap/>
            <w:vAlign w:val="center"/>
            <w:hideMark/>
          </w:tcPr>
          <w:p w14:paraId="5C289CE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5</w:t>
            </w:r>
          </w:p>
        </w:tc>
        <w:tc>
          <w:tcPr>
            <w:tcW w:w="561" w:type="pct"/>
            <w:tcBorders>
              <w:top w:val="single" w:sz="4" w:space="0" w:color="auto"/>
              <w:left w:val="nil"/>
              <w:bottom w:val="single" w:sz="4" w:space="0" w:color="auto"/>
              <w:right w:val="nil"/>
            </w:tcBorders>
            <w:shd w:val="clear" w:color="auto" w:fill="auto"/>
            <w:noWrap/>
            <w:vAlign w:val="center"/>
            <w:hideMark/>
          </w:tcPr>
          <w:p w14:paraId="1D180BB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6</w:t>
            </w:r>
          </w:p>
        </w:tc>
        <w:tc>
          <w:tcPr>
            <w:tcW w:w="847" w:type="pct"/>
            <w:tcBorders>
              <w:top w:val="single" w:sz="4" w:space="0" w:color="auto"/>
              <w:left w:val="nil"/>
              <w:bottom w:val="single" w:sz="4" w:space="0" w:color="auto"/>
              <w:right w:val="nil"/>
            </w:tcBorders>
            <w:shd w:val="clear" w:color="auto" w:fill="auto"/>
            <w:noWrap/>
            <w:vAlign w:val="center"/>
            <w:hideMark/>
          </w:tcPr>
          <w:p w14:paraId="3E85E4A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7</w:t>
            </w:r>
          </w:p>
        </w:tc>
      </w:tr>
      <w:tr w:rsidR="00EB3B52" w:rsidRPr="000668F6" w14:paraId="36C61D7E" w14:textId="77777777" w:rsidTr="000668F6">
        <w:trPr>
          <w:trHeight w:val="220"/>
        </w:trPr>
        <w:tc>
          <w:tcPr>
            <w:tcW w:w="887" w:type="pct"/>
            <w:tcBorders>
              <w:top w:val="nil"/>
              <w:left w:val="nil"/>
              <w:bottom w:val="nil"/>
              <w:right w:val="nil"/>
            </w:tcBorders>
            <w:shd w:val="clear" w:color="auto" w:fill="auto"/>
            <w:noWrap/>
            <w:vAlign w:val="center"/>
            <w:hideMark/>
          </w:tcPr>
          <w:p w14:paraId="31CAED4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Intercept</w:t>
            </w:r>
          </w:p>
        </w:tc>
        <w:tc>
          <w:tcPr>
            <w:tcW w:w="561" w:type="pct"/>
            <w:tcBorders>
              <w:top w:val="nil"/>
              <w:left w:val="nil"/>
              <w:bottom w:val="nil"/>
              <w:right w:val="nil"/>
            </w:tcBorders>
            <w:shd w:val="clear" w:color="auto" w:fill="auto"/>
            <w:noWrap/>
            <w:vAlign w:val="center"/>
            <w:hideMark/>
          </w:tcPr>
          <w:p w14:paraId="50FE80A2" w14:textId="3CB9ED36"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48***</w:t>
            </w:r>
          </w:p>
        </w:tc>
        <w:tc>
          <w:tcPr>
            <w:tcW w:w="528" w:type="pct"/>
            <w:tcBorders>
              <w:top w:val="nil"/>
              <w:left w:val="nil"/>
              <w:bottom w:val="nil"/>
              <w:right w:val="nil"/>
            </w:tcBorders>
            <w:shd w:val="clear" w:color="auto" w:fill="auto"/>
            <w:noWrap/>
            <w:vAlign w:val="center"/>
            <w:hideMark/>
          </w:tcPr>
          <w:p w14:paraId="4E99A2A3" w14:textId="10A51B6F"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25***</w:t>
            </w:r>
          </w:p>
        </w:tc>
        <w:tc>
          <w:tcPr>
            <w:tcW w:w="528" w:type="pct"/>
            <w:tcBorders>
              <w:top w:val="nil"/>
              <w:left w:val="nil"/>
              <w:bottom w:val="nil"/>
              <w:right w:val="nil"/>
            </w:tcBorders>
            <w:shd w:val="clear" w:color="auto" w:fill="auto"/>
            <w:noWrap/>
            <w:vAlign w:val="center"/>
            <w:hideMark/>
          </w:tcPr>
          <w:p w14:paraId="7701349B" w14:textId="7F35CD71"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65***</w:t>
            </w:r>
          </w:p>
        </w:tc>
        <w:tc>
          <w:tcPr>
            <w:tcW w:w="528" w:type="pct"/>
            <w:tcBorders>
              <w:top w:val="nil"/>
              <w:left w:val="nil"/>
              <w:bottom w:val="nil"/>
              <w:right w:val="nil"/>
            </w:tcBorders>
            <w:shd w:val="clear" w:color="auto" w:fill="auto"/>
            <w:noWrap/>
            <w:vAlign w:val="center"/>
            <w:hideMark/>
          </w:tcPr>
          <w:p w14:paraId="044C2602" w14:textId="6EE4D76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57***</w:t>
            </w:r>
          </w:p>
        </w:tc>
        <w:tc>
          <w:tcPr>
            <w:tcW w:w="561" w:type="pct"/>
            <w:tcBorders>
              <w:top w:val="nil"/>
              <w:left w:val="nil"/>
              <w:bottom w:val="nil"/>
              <w:right w:val="nil"/>
            </w:tcBorders>
            <w:shd w:val="clear" w:color="auto" w:fill="auto"/>
            <w:noWrap/>
            <w:vAlign w:val="center"/>
            <w:hideMark/>
          </w:tcPr>
          <w:p w14:paraId="785ACC67" w14:textId="45F717A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97</w:t>
            </w:r>
          </w:p>
        </w:tc>
        <w:tc>
          <w:tcPr>
            <w:tcW w:w="561" w:type="pct"/>
            <w:tcBorders>
              <w:top w:val="nil"/>
              <w:left w:val="nil"/>
              <w:bottom w:val="nil"/>
              <w:right w:val="nil"/>
            </w:tcBorders>
            <w:shd w:val="clear" w:color="auto" w:fill="auto"/>
            <w:noWrap/>
            <w:vAlign w:val="center"/>
            <w:hideMark/>
          </w:tcPr>
          <w:p w14:paraId="4E6075AA" w14:textId="0323932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52***</w:t>
            </w:r>
          </w:p>
        </w:tc>
        <w:tc>
          <w:tcPr>
            <w:tcW w:w="847" w:type="pct"/>
            <w:tcBorders>
              <w:top w:val="nil"/>
              <w:left w:val="nil"/>
              <w:bottom w:val="nil"/>
              <w:right w:val="nil"/>
            </w:tcBorders>
            <w:shd w:val="clear" w:color="auto" w:fill="auto"/>
            <w:noWrap/>
            <w:vAlign w:val="center"/>
            <w:hideMark/>
          </w:tcPr>
          <w:p w14:paraId="658EEA79" w14:textId="75740EB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70***</w:t>
            </w:r>
          </w:p>
        </w:tc>
      </w:tr>
      <w:tr w:rsidR="00EB3B52" w:rsidRPr="000668F6" w14:paraId="686F3E62" w14:textId="77777777" w:rsidTr="000668F6">
        <w:trPr>
          <w:trHeight w:val="220"/>
        </w:trPr>
        <w:tc>
          <w:tcPr>
            <w:tcW w:w="887" w:type="pct"/>
            <w:tcBorders>
              <w:top w:val="nil"/>
              <w:left w:val="nil"/>
              <w:bottom w:val="nil"/>
              <w:right w:val="nil"/>
            </w:tcBorders>
            <w:shd w:val="clear" w:color="auto" w:fill="auto"/>
            <w:noWrap/>
            <w:vAlign w:val="center"/>
            <w:hideMark/>
          </w:tcPr>
          <w:p w14:paraId="69663613"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113565C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(7.66)</w:t>
            </w:r>
          </w:p>
        </w:tc>
        <w:tc>
          <w:tcPr>
            <w:tcW w:w="528" w:type="pct"/>
            <w:tcBorders>
              <w:top w:val="nil"/>
              <w:left w:val="nil"/>
              <w:bottom w:val="nil"/>
              <w:right w:val="nil"/>
            </w:tcBorders>
            <w:shd w:val="clear" w:color="auto" w:fill="auto"/>
            <w:noWrap/>
            <w:vAlign w:val="center"/>
            <w:hideMark/>
          </w:tcPr>
          <w:p w14:paraId="488F165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(3.23)</w:t>
            </w:r>
          </w:p>
        </w:tc>
        <w:tc>
          <w:tcPr>
            <w:tcW w:w="528" w:type="pct"/>
            <w:tcBorders>
              <w:top w:val="nil"/>
              <w:left w:val="nil"/>
              <w:bottom w:val="nil"/>
              <w:right w:val="nil"/>
            </w:tcBorders>
            <w:shd w:val="clear" w:color="auto" w:fill="auto"/>
            <w:noWrap/>
            <w:vAlign w:val="center"/>
            <w:hideMark/>
          </w:tcPr>
          <w:p w14:paraId="3459735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(4.39)</w:t>
            </w:r>
          </w:p>
        </w:tc>
        <w:tc>
          <w:tcPr>
            <w:tcW w:w="528" w:type="pct"/>
            <w:tcBorders>
              <w:top w:val="nil"/>
              <w:left w:val="nil"/>
              <w:bottom w:val="nil"/>
              <w:right w:val="nil"/>
            </w:tcBorders>
            <w:shd w:val="clear" w:color="auto" w:fill="auto"/>
            <w:noWrap/>
            <w:vAlign w:val="center"/>
            <w:hideMark/>
          </w:tcPr>
          <w:p w14:paraId="66AA484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(4.61)</w:t>
            </w:r>
          </w:p>
        </w:tc>
        <w:tc>
          <w:tcPr>
            <w:tcW w:w="561" w:type="pct"/>
            <w:tcBorders>
              <w:top w:val="nil"/>
              <w:left w:val="nil"/>
              <w:bottom w:val="nil"/>
              <w:right w:val="nil"/>
            </w:tcBorders>
            <w:shd w:val="clear" w:color="auto" w:fill="auto"/>
            <w:noWrap/>
            <w:vAlign w:val="center"/>
            <w:hideMark/>
          </w:tcPr>
          <w:p w14:paraId="2DA4128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(1.35)</w:t>
            </w:r>
          </w:p>
        </w:tc>
        <w:tc>
          <w:tcPr>
            <w:tcW w:w="561" w:type="pct"/>
            <w:tcBorders>
              <w:top w:val="nil"/>
              <w:left w:val="nil"/>
              <w:bottom w:val="nil"/>
              <w:right w:val="nil"/>
            </w:tcBorders>
            <w:shd w:val="clear" w:color="auto" w:fill="auto"/>
            <w:noWrap/>
            <w:vAlign w:val="center"/>
            <w:hideMark/>
          </w:tcPr>
          <w:p w14:paraId="0A66AD9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(5.32)</w:t>
            </w:r>
          </w:p>
        </w:tc>
        <w:tc>
          <w:tcPr>
            <w:tcW w:w="847" w:type="pct"/>
            <w:tcBorders>
              <w:top w:val="nil"/>
              <w:left w:val="nil"/>
              <w:bottom w:val="nil"/>
              <w:right w:val="nil"/>
            </w:tcBorders>
            <w:shd w:val="clear" w:color="auto" w:fill="auto"/>
            <w:noWrap/>
            <w:vAlign w:val="center"/>
            <w:hideMark/>
          </w:tcPr>
          <w:p w14:paraId="201F363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(6.60)</w:t>
            </w:r>
          </w:p>
        </w:tc>
      </w:tr>
      <w:tr w:rsidR="00EB3B52" w:rsidRPr="000668F6" w14:paraId="3A5A2439" w14:textId="77777777" w:rsidTr="000668F6">
        <w:trPr>
          <w:trHeight w:val="220"/>
        </w:trPr>
        <w:tc>
          <w:tcPr>
            <w:tcW w:w="887" w:type="pct"/>
            <w:tcBorders>
              <w:top w:val="nil"/>
              <w:left w:val="nil"/>
              <w:bottom w:val="nil"/>
              <w:right w:val="nil"/>
            </w:tcBorders>
            <w:shd w:val="clear" w:color="auto" w:fill="auto"/>
            <w:noWrap/>
            <w:vAlign w:val="center"/>
            <w:hideMark/>
          </w:tcPr>
          <w:p w14:paraId="0EB9191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w:t>
            </w:r>
          </w:p>
        </w:tc>
        <w:tc>
          <w:tcPr>
            <w:tcW w:w="561" w:type="pct"/>
            <w:tcBorders>
              <w:top w:val="nil"/>
              <w:left w:val="nil"/>
              <w:bottom w:val="nil"/>
              <w:right w:val="nil"/>
            </w:tcBorders>
            <w:shd w:val="clear" w:color="auto" w:fill="auto"/>
            <w:noWrap/>
            <w:vAlign w:val="center"/>
            <w:hideMark/>
          </w:tcPr>
          <w:p w14:paraId="6E050309" w14:textId="4C273AB5"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07</w:t>
            </w:r>
          </w:p>
        </w:tc>
        <w:tc>
          <w:tcPr>
            <w:tcW w:w="528" w:type="pct"/>
            <w:tcBorders>
              <w:top w:val="nil"/>
              <w:left w:val="nil"/>
              <w:bottom w:val="nil"/>
              <w:right w:val="nil"/>
            </w:tcBorders>
            <w:shd w:val="clear" w:color="auto" w:fill="auto"/>
            <w:noWrap/>
            <w:vAlign w:val="center"/>
            <w:hideMark/>
          </w:tcPr>
          <w:p w14:paraId="5152757E" w14:textId="302316F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04</w:t>
            </w:r>
          </w:p>
        </w:tc>
        <w:tc>
          <w:tcPr>
            <w:tcW w:w="528" w:type="pct"/>
            <w:tcBorders>
              <w:top w:val="nil"/>
              <w:left w:val="nil"/>
              <w:bottom w:val="nil"/>
              <w:right w:val="nil"/>
            </w:tcBorders>
            <w:shd w:val="clear" w:color="auto" w:fill="auto"/>
            <w:noWrap/>
            <w:vAlign w:val="center"/>
            <w:hideMark/>
          </w:tcPr>
          <w:p w14:paraId="63723B1D" w14:textId="4877CAF2"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46</w:t>
            </w:r>
          </w:p>
        </w:tc>
        <w:tc>
          <w:tcPr>
            <w:tcW w:w="528" w:type="pct"/>
            <w:tcBorders>
              <w:top w:val="nil"/>
              <w:left w:val="nil"/>
              <w:bottom w:val="nil"/>
              <w:right w:val="nil"/>
            </w:tcBorders>
            <w:shd w:val="clear" w:color="auto" w:fill="auto"/>
            <w:noWrap/>
            <w:vAlign w:val="center"/>
            <w:hideMark/>
          </w:tcPr>
          <w:p w14:paraId="3052A74B" w14:textId="7C15F3B8"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00</w:t>
            </w:r>
          </w:p>
        </w:tc>
        <w:tc>
          <w:tcPr>
            <w:tcW w:w="561" w:type="pct"/>
            <w:tcBorders>
              <w:top w:val="nil"/>
              <w:left w:val="nil"/>
              <w:bottom w:val="nil"/>
              <w:right w:val="nil"/>
            </w:tcBorders>
            <w:shd w:val="clear" w:color="auto" w:fill="auto"/>
            <w:noWrap/>
            <w:vAlign w:val="center"/>
            <w:hideMark/>
          </w:tcPr>
          <w:p w14:paraId="6DE8C754" w14:textId="050C699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32</w:t>
            </w:r>
          </w:p>
        </w:tc>
        <w:tc>
          <w:tcPr>
            <w:tcW w:w="561" w:type="pct"/>
            <w:tcBorders>
              <w:top w:val="nil"/>
              <w:left w:val="nil"/>
              <w:bottom w:val="nil"/>
              <w:right w:val="nil"/>
            </w:tcBorders>
            <w:shd w:val="clear" w:color="auto" w:fill="auto"/>
            <w:noWrap/>
            <w:vAlign w:val="center"/>
            <w:hideMark/>
          </w:tcPr>
          <w:p w14:paraId="1633CE9D" w14:textId="47EA127E"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25*</w:t>
            </w:r>
          </w:p>
        </w:tc>
        <w:tc>
          <w:tcPr>
            <w:tcW w:w="847" w:type="pct"/>
            <w:tcBorders>
              <w:top w:val="nil"/>
              <w:left w:val="nil"/>
              <w:bottom w:val="nil"/>
              <w:right w:val="nil"/>
            </w:tcBorders>
            <w:shd w:val="clear" w:color="auto" w:fill="auto"/>
            <w:noWrap/>
            <w:vAlign w:val="center"/>
            <w:hideMark/>
          </w:tcPr>
          <w:p w14:paraId="5C8A227E" w14:textId="33284EFF"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91***</w:t>
            </w:r>
          </w:p>
        </w:tc>
      </w:tr>
      <w:tr w:rsidR="00EB3B52" w:rsidRPr="000668F6" w14:paraId="11DBDB0B" w14:textId="77777777" w:rsidTr="000668F6">
        <w:trPr>
          <w:trHeight w:val="220"/>
        </w:trPr>
        <w:tc>
          <w:tcPr>
            <w:tcW w:w="887" w:type="pct"/>
            <w:tcBorders>
              <w:top w:val="nil"/>
              <w:left w:val="nil"/>
              <w:bottom w:val="nil"/>
              <w:right w:val="nil"/>
            </w:tcBorders>
            <w:shd w:val="clear" w:color="auto" w:fill="auto"/>
            <w:noWrap/>
            <w:vAlign w:val="center"/>
            <w:hideMark/>
          </w:tcPr>
          <w:p w14:paraId="2F2C807D"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594A16D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(0.18)</w:t>
            </w:r>
          </w:p>
        </w:tc>
        <w:tc>
          <w:tcPr>
            <w:tcW w:w="528" w:type="pct"/>
            <w:tcBorders>
              <w:top w:val="nil"/>
              <w:left w:val="nil"/>
              <w:bottom w:val="nil"/>
              <w:right w:val="nil"/>
            </w:tcBorders>
            <w:shd w:val="clear" w:color="auto" w:fill="auto"/>
            <w:noWrap/>
            <w:vAlign w:val="center"/>
            <w:hideMark/>
          </w:tcPr>
          <w:p w14:paraId="0A5A673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(0.08)</w:t>
            </w:r>
          </w:p>
        </w:tc>
        <w:tc>
          <w:tcPr>
            <w:tcW w:w="528" w:type="pct"/>
            <w:tcBorders>
              <w:top w:val="nil"/>
              <w:left w:val="nil"/>
              <w:bottom w:val="nil"/>
              <w:right w:val="nil"/>
            </w:tcBorders>
            <w:shd w:val="clear" w:color="auto" w:fill="auto"/>
            <w:noWrap/>
            <w:vAlign w:val="center"/>
            <w:hideMark/>
          </w:tcPr>
          <w:p w14:paraId="49362BD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(-1.27)</w:t>
            </w:r>
          </w:p>
        </w:tc>
        <w:tc>
          <w:tcPr>
            <w:tcW w:w="528" w:type="pct"/>
            <w:tcBorders>
              <w:top w:val="nil"/>
              <w:left w:val="nil"/>
              <w:bottom w:val="nil"/>
              <w:right w:val="nil"/>
            </w:tcBorders>
            <w:shd w:val="clear" w:color="auto" w:fill="auto"/>
            <w:noWrap/>
            <w:vAlign w:val="center"/>
            <w:hideMark/>
          </w:tcPr>
          <w:p w14:paraId="3E3C3A1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(0.01)</w:t>
            </w:r>
          </w:p>
        </w:tc>
        <w:tc>
          <w:tcPr>
            <w:tcW w:w="561" w:type="pct"/>
            <w:tcBorders>
              <w:top w:val="nil"/>
              <w:left w:val="nil"/>
              <w:bottom w:val="nil"/>
              <w:right w:val="nil"/>
            </w:tcBorders>
            <w:shd w:val="clear" w:color="auto" w:fill="auto"/>
            <w:noWrap/>
            <w:vAlign w:val="center"/>
            <w:hideMark/>
          </w:tcPr>
          <w:p w14:paraId="278E12B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(0.84)</w:t>
            </w:r>
          </w:p>
        </w:tc>
        <w:tc>
          <w:tcPr>
            <w:tcW w:w="561" w:type="pct"/>
            <w:tcBorders>
              <w:top w:val="nil"/>
              <w:left w:val="nil"/>
              <w:bottom w:val="nil"/>
              <w:right w:val="nil"/>
            </w:tcBorders>
            <w:shd w:val="clear" w:color="auto" w:fill="auto"/>
            <w:noWrap/>
            <w:vAlign w:val="center"/>
            <w:hideMark/>
          </w:tcPr>
          <w:p w14:paraId="10701E4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(-1.68)</w:t>
            </w:r>
          </w:p>
        </w:tc>
        <w:tc>
          <w:tcPr>
            <w:tcW w:w="847" w:type="pct"/>
            <w:tcBorders>
              <w:top w:val="nil"/>
              <w:left w:val="nil"/>
              <w:bottom w:val="nil"/>
              <w:right w:val="nil"/>
            </w:tcBorders>
            <w:shd w:val="clear" w:color="auto" w:fill="auto"/>
            <w:noWrap/>
            <w:vAlign w:val="center"/>
            <w:hideMark/>
          </w:tcPr>
          <w:p w14:paraId="3846DEB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(-3.35)</w:t>
            </w:r>
          </w:p>
        </w:tc>
      </w:tr>
      <w:tr w:rsidR="00EB3B52" w:rsidRPr="000668F6" w14:paraId="4ED12B5F" w14:textId="77777777" w:rsidTr="000668F6">
        <w:trPr>
          <w:trHeight w:val="220"/>
        </w:trPr>
        <w:tc>
          <w:tcPr>
            <w:tcW w:w="887" w:type="pct"/>
            <w:tcBorders>
              <w:top w:val="nil"/>
              <w:left w:val="nil"/>
              <w:bottom w:val="nil"/>
              <w:right w:val="nil"/>
            </w:tcBorders>
            <w:shd w:val="clear" w:color="auto" w:fill="auto"/>
            <w:noWrap/>
            <w:vAlign w:val="center"/>
            <w:hideMark/>
          </w:tcPr>
          <w:p w14:paraId="3A6EFB6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ln(1+AG)*GT</w:t>
            </w:r>
          </w:p>
        </w:tc>
        <w:tc>
          <w:tcPr>
            <w:tcW w:w="561" w:type="pct"/>
            <w:tcBorders>
              <w:top w:val="nil"/>
              <w:left w:val="nil"/>
              <w:bottom w:val="nil"/>
              <w:right w:val="nil"/>
            </w:tcBorders>
            <w:shd w:val="clear" w:color="auto" w:fill="auto"/>
            <w:noWrap/>
            <w:vAlign w:val="center"/>
            <w:hideMark/>
          </w:tcPr>
          <w:p w14:paraId="4EB07AE9" w14:textId="7474AF38"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31</w:t>
            </w:r>
          </w:p>
        </w:tc>
        <w:tc>
          <w:tcPr>
            <w:tcW w:w="528" w:type="pct"/>
            <w:tcBorders>
              <w:top w:val="nil"/>
              <w:left w:val="nil"/>
              <w:bottom w:val="nil"/>
              <w:right w:val="nil"/>
            </w:tcBorders>
            <w:shd w:val="clear" w:color="auto" w:fill="auto"/>
            <w:noWrap/>
            <w:vAlign w:val="center"/>
            <w:hideMark/>
          </w:tcPr>
          <w:p w14:paraId="63680F37" w14:textId="2BA70F35"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07*</w:t>
            </w:r>
          </w:p>
        </w:tc>
        <w:tc>
          <w:tcPr>
            <w:tcW w:w="528" w:type="pct"/>
            <w:tcBorders>
              <w:top w:val="nil"/>
              <w:left w:val="nil"/>
              <w:bottom w:val="nil"/>
              <w:right w:val="nil"/>
            </w:tcBorders>
            <w:shd w:val="clear" w:color="auto" w:fill="auto"/>
            <w:noWrap/>
            <w:vAlign w:val="center"/>
            <w:hideMark/>
          </w:tcPr>
          <w:p w14:paraId="2A1C9144" w14:textId="5AFC4F5D"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45</w:t>
            </w:r>
          </w:p>
        </w:tc>
        <w:tc>
          <w:tcPr>
            <w:tcW w:w="528" w:type="pct"/>
            <w:tcBorders>
              <w:top w:val="nil"/>
              <w:left w:val="nil"/>
              <w:bottom w:val="nil"/>
              <w:right w:val="nil"/>
            </w:tcBorders>
            <w:shd w:val="clear" w:color="auto" w:fill="auto"/>
            <w:noWrap/>
            <w:vAlign w:val="center"/>
            <w:hideMark/>
          </w:tcPr>
          <w:p w14:paraId="24FDA0D7" w14:textId="652EB9DD"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66</w:t>
            </w:r>
          </w:p>
        </w:tc>
        <w:tc>
          <w:tcPr>
            <w:tcW w:w="561" w:type="pct"/>
            <w:tcBorders>
              <w:top w:val="nil"/>
              <w:left w:val="nil"/>
              <w:bottom w:val="nil"/>
              <w:right w:val="nil"/>
            </w:tcBorders>
            <w:shd w:val="clear" w:color="auto" w:fill="auto"/>
            <w:noWrap/>
            <w:vAlign w:val="center"/>
            <w:hideMark/>
          </w:tcPr>
          <w:p w14:paraId="3110285B" w14:textId="5B50E13D"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01***</w:t>
            </w:r>
          </w:p>
        </w:tc>
        <w:tc>
          <w:tcPr>
            <w:tcW w:w="561" w:type="pct"/>
            <w:tcBorders>
              <w:top w:val="nil"/>
              <w:left w:val="nil"/>
              <w:bottom w:val="nil"/>
              <w:right w:val="nil"/>
            </w:tcBorders>
            <w:shd w:val="clear" w:color="auto" w:fill="auto"/>
            <w:noWrap/>
            <w:vAlign w:val="center"/>
            <w:hideMark/>
          </w:tcPr>
          <w:p w14:paraId="53E8F324" w14:textId="0EE664D3"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63**</w:t>
            </w:r>
          </w:p>
        </w:tc>
        <w:tc>
          <w:tcPr>
            <w:tcW w:w="847" w:type="pct"/>
            <w:tcBorders>
              <w:top w:val="nil"/>
              <w:left w:val="nil"/>
              <w:bottom w:val="nil"/>
              <w:right w:val="nil"/>
            </w:tcBorders>
            <w:shd w:val="clear" w:color="auto" w:fill="auto"/>
            <w:noWrap/>
            <w:vAlign w:val="center"/>
            <w:hideMark/>
          </w:tcPr>
          <w:p w14:paraId="2AC47BE1" w14:textId="522B6564"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79**</w:t>
            </w:r>
          </w:p>
        </w:tc>
      </w:tr>
      <w:tr w:rsidR="00EB3B52" w:rsidRPr="000668F6" w14:paraId="4A90862E" w14:textId="77777777" w:rsidTr="000668F6">
        <w:trPr>
          <w:trHeight w:val="220"/>
        </w:trPr>
        <w:tc>
          <w:tcPr>
            <w:tcW w:w="887" w:type="pct"/>
            <w:tcBorders>
              <w:top w:val="nil"/>
              <w:left w:val="nil"/>
              <w:bottom w:val="nil"/>
              <w:right w:val="nil"/>
            </w:tcBorders>
            <w:shd w:val="clear" w:color="auto" w:fill="auto"/>
            <w:noWrap/>
            <w:vAlign w:val="center"/>
            <w:hideMark/>
          </w:tcPr>
          <w:p w14:paraId="4979C409"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5F62760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(-0.88)</w:t>
            </w:r>
          </w:p>
        </w:tc>
        <w:tc>
          <w:tcPr>
            <w:tcW w:w="528" w:type="pct"/>
            <w:tcBorders>
              <w:top w:val="nil"/>
              <w:left w:val="nil"/>
              <w:bottom w:val="nil"/>
              <w:right w:val="nil"/>
            </w:tcBorders>
            <w:shd w:val="clear" w:color="auto" w:fill="auto"/>
            <w:noWrap/>
            <w:vAlign w:val="center"/>
            <w:hideMark/>
          </w:tcPr>
          <w:p w14:paraId="5F56751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(-1.95)</w:t>
            </w:r>
          </w:p>
        </w:tc>
        <w:tc>
          <w:tcPr>
            <w:tcW w:w="528" w:type="pct"/>
            <w:tcBorders>
              <w:top w:val="nil"/>
              <w:left w:val="nil"/>
              <w:bottom w:val="nil"/>
              <w:right w:val="nil"/>
            </w:tcBorders>
            <w:shd w:val="clear" w:color="auto" w:fill="auto"/>
            <w:noWrap/>
            <w:vAlign w:val="center"/>
            <w:hideMark/>
          </w:tcPr>
          <w:p w14:paraId="12D77E1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(-0.99)</w:t>
            </w:r>
          </w:p>
        </w:tc>
        <w:tc>
          <w:tcPr>
            <w:tcW w:w="528" w:type="pct"/>
            <w:tcBorders>
              <w:top w:val="nil"/>
              <w:left w:val="nil"/>
              <w:bottom w:val="nil"/>
              <w:right w:val="nil"/>
            </w:tcBorders>
            <w:shd w:val="clear" w:color="auto" w:fill="auto"/>
            <w:noWrap/>
            <w:vAlign w:val="center"/>
            <w:hideMark/>
          </w:tcPr>
          <w:p w14:paraId="700D777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(-1.34)</w:t>
            </w:r>
          </w:p>
        </w:tc>
        <w:tc>
          <w:tcPr>
            <w:tcW w:w="561" w:type="pct"/>
            <w:tcBorders>
              <w:top w:val="nil"/>
              <w:left w:val="nil"/>
              <w:bottom w:val="nil"/>
              <w:right w:val="nil"/>
            </w:tcBorders>
            <w:shd w:val="clear" w:color="auto" w:fill="auto"/>
            <w:noWrap/>
            <w:vAlign w:val="center"/>
            <w:hideMark/>
          </w:tcPr>
          <w:p w14:paraId="4FAE2AF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(-3.26)</w:t>
            </w:r>
          </w:p>
        </w:tc>
        <w:tc>
          <w:tcPr>
            <w:tcW w:w="561" w:type="pct"/>
            <w:tcBorders>
              <w:top w:val="nil"/>
              <w:left w:val="nil"/>
              <w:bottom w:val="nil"/>
              <w:right w:val="nil"/>
            </w:tcBorders>
            <w:shd w:val="clear" w:color="auto" w:fill="auto"/>
            <w:noWrap/>
            <w:vAlign w:val="center"/>
            <w:hideMark/>
          </w:tcPr>
          <w:p w14:paraId="67B3FC7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(-2.00)</w:t>
            </w:r>
          </w:p>
        </w:tc>
        <w:tc>
          <w:tcPr>
            <w:tcW w:w="847" w:type="pct"/>
            <w:tcBorders>
              <w:top w:val="nil"/>
              <w:left w:val="nil"/>
              <w:bottom w:val="nil"/>
              <w:right w:val="nil"/>
            </w:tcBorders>
            <w:shd w:val="clear" w:color="auto" w:fill="auto"/>
            <w:noWrap/>
            <w:vAlign w:val="center"/>
            <w:hideMark/>
          </w:tcPr>
          <w:p w14:paraId="7EE8F87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(-2.54)</w:t>
            </w:r>
          </w:p>
        </w:tc>
      </w:tr>
      <w:tr w:rsidR="00EB3B52" w:rsidRPr="000668F6" w14:paraId="3867BAC3" w14:textId="77777777" w:rsidTr="000668F6">
        <w:trPr>
          <w:trHeight w:val="220"/>
        </w:trPr>
        <w:tc>
          <w:tcPr>
            <w:tcW w:w="887" w:type="pct"/>
            <w:tcBorders>
              <w:top w:val="nil"/>
              <w:left w:val="nil"/>
              <w:bottom w:val="nil"/>
              <w:right w:val="nil"/>
            </w:tcBorders>
            <w:shd w:val="clear" w:color="auto" w:fill="auto"/>
            <w:noWrap/>
            <w:vAlign w:val="center"/>
            <w:hideMark/>
          </w:tcPr>
          <w:p w14:paraId="25787F4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ln(1+AG)*IVOL</w:t>
            </w:r>
          </w:p>
        </w:tc>
        <w:tc>
          <w:tcPr>
            <w:tcW w:w="561" w:type="pct"/>
            <w:tcBorders>
              <w:top w:val="nil"/>
              <w:left w:val="nil"/>
              <w:bottom w:val="nil"/>
              <w:right w:val="nil"/>
            </w:tcBorders>
            <w:shd w:val="clear" w:color="auto" w:fill="auto"/>
            <w:noWrap/>
            <w:vAlign w:val="center"/>
            <w:hideMark/>
          </w:tcPr>
          <w:p w14:paraId="1AB7CE91" w14:textId="7BF22BF9"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10</w:t>
            </w:r>
            <w:r>
              <w:rPr>
                <w:rFonts w:eastAsia="Times New Roman" w:cs="Times New Roman"/>
                <w:color w:val="000000"/>
                <w:lang w:eastAsia="zh-CN"/>
              </w:rPr>
              <w:t>.</w:t>
            </w:r>
            <w:r w:rsidR="00EB3B52" w:rsidRPr="000668F6">
              <w:rPr>
                <w:rFonts w:eastAsia="Times New Roman" w:cs="Times New Roman"/>
                <w:color w:val="000000"/>
                <w:lang w:eastAsia="zh-CN"/>
              </w:rPr>
              <w:t>10**</w:t>
            </w:r>
          </w:p>
        </w:tc>
        <w:tc>
          <w:tcPr>
            <w:tcW w:w="528" w:type="pct"/>
            <w:tcBorders>
              <w:top w:val="nil"/>
              <w:left w:val="nil"/>
              <w:bottom w:val="nil"/>
              <w:right w:val="nil"/>
            </w:tcBorders>
            <w:shd w:val="clear" w:color="auto" w:fill="auto"/>
            <w:noWrap/>
            <w:vAlign w:val="center"/>
            <w:hideMark/>
          </w:tcPr>
          <w:p w14:paraId="187C4940"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7312D50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483FB1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643563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04FB88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2D65E0A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0D4478C" w14:textId="77777777" w:rsidTr="000668F6">
        <w:trPr>
          <w:trHeight w:val="220"/>
        </w:trPr>
        <w:tc>
          <w:tcPr>
            <w:tcW w:w="887" w:type="pct"/>
            <w:tcBorders>
              <w:top w:val="nil"/>
              <w:left w:val="nil"/>
              <w:bottom w:val="nil"/>
              <w:right w:val="nil"/>
            </w:tcBorders>
            <w:shd w:val="clear" w:color="auto" w:fill="auto"/>
            <w:noWrap/>
            <w:vAlign w:val="center"/>
            <w:hideMark/>
          </w:tcPr>
          <w:p w14:paraId="7E7493B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954D61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(-2.00)</w:t>
            </w:r>
          </w:p>
        </w:tc>
        <w:tc>
          <w:tcPr>
            <w:tcW w:w="528" w:type="pct"/>
            <w:tcBorders>
              <w:top w:val="nil"/>
              <w:left w:val="nil"/>
              <w:bottom w:val="nil"/>
              <w:right w:val="nil"/>
            </w:tcBorders>
            <w:shd w:val="clear" w:color="auto" w:fill="auto"/>
            <w:noWrap/>
            <w:vAlign w:val="center"/>
            <w:hideMark/>
          </w:tcPr>
          <w:p w14:paraId="26A6D434"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6927952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E92A15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A45213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918DA5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297CB90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E5B526C" w14:textId="77777777" w:rsidTr="000668F6">
        <w:trPr>
          <w:trHeight w:val="220"/>
        </w:trPr>
        <w:tc>
          <w:tcPr>
            <w:tcW w:w="887" w:type="pct"/>
            <w:tcBorders>
              <w:top w:val="nil"/>
              <w:left w:val="nil"/>
              <w:bottom w:val="nil"/>
              <w:right w:val="nil"/>
            </w:tcBorders>
            <w:shd w:val="clear" w:color="auto" w:fill="auto"/>
            <w:noWrap/>
            <w:vAlign w:val="center"/>
            <w:hideMark/>
          </w:tcPr>
          <w:p w14:paraId="5AC98A3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ln(1+AG)*BAS</w:t>
            </w:r>
          </w:p>
        </w:tc>
        <w:tc>
          <w:tcPr>
            <w:tcW w:w="561" w:type="pct"/>
            <w:tcBorders>
              <w:top w:val="nil"/>
              <w:left w:val="nil"/>
              <w:bottom w:val="nil"/>
              <w:right w:val="nil"/>
            </w:tcBorders>
            <w:shd w:val="clear" w:color="auto" w:fill="auto"/>
            <w:noWrap/>
            <w:vAlign w:val="center"/>
            <w:hideMark/>
          </w:tcPr>
          <w:p w14:paraId="00C76CD2"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7DA660CB" w14:textId="43B9FEDF"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48</w:t>
            </w:r>
            <w:r>
              <w:rPr>
                <w:rFonts w:eastAsia="Times New Roman" w:cs="Times New Roman"/>
                <w:color w:val="000000"/>
                <w:lang w:eastAsia="zh-CN"/>
              </w:rPr>
              <w:t>.</w:t>
            </w:r>
            <w:r w:rsidR="00EB3B52" w:rsidRPr="000668F6">
              <w:rPr>
                <w:rFonts w:eastAsia="Times New Roman" w:cs="Times New Roman"/>
                <w:color w:val="000000"/>
                <w:lang w:eastAsia="zh-CN"/>
              </w:rPr>
              <w:t>72</w:t>
            </w:r>
          </w:p>
        </w:tc>
        <w:tc>
          <w:tcPr>
            <w:tcW w:w="528" w:type="pct"/>
            <w:tcBorders>
              <w:top w:val="nil"/>
              <w:left w:val="nil"/>
              <w:bottom w:val="nil"/>
              <w:right w:val="nil"/>
            </w:tcBorders>
            <w:shd w:val="clear" w:color="auto" w:fill="auto"/>
            <w:noWrap/>
            <w:vAlign w:val="center"/>
            <w:hideMark/>
          </w:tcPr>
          <w:p w14:paraId="72DC47E7"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07BF4D8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10ECB9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FA5A15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502AA07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95621CB" w14:textId="77777777" w:rsidTr="000668F6">
        <w:trPr>
          <w:trHeight w:val="220"/>
        </w:trPr>
        <w:tc>
          <w:tcPr>
            <w:tcW w:w="887" w:type="pct"/>
            <w:tcBorders>
              <w:top w:val="nil"/>
              <w:left w:val="nil"/>
              <w:bottom w:val="nil"/>
              <w:right w:val="nil"/>
            </w:tcBorders>
            <w:shd w:val="clear" w:color="auto" w:fill="auto"/>
            <w:noWrap/>
            <w:vAlign w:val="center"/>
            <w:hideMark/>
          </w:tcPr>
          <w:p w14:paraId="6075B48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E9A865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9208A6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(-1.61)</w:t>
            </w:r>
          </w:p>
        </w:tc>
        <w:tc>
          <w:tcPr>
            <w:tcW w:w="528" w:type="pct"/>
            <w:tcBorders>
              <w:top w:val="nil"/>
              <w:left w:val="nil"/>
              <w:bottom w:val="nil"/>
              <w:right w:val="nil"/>
            </w:tcBorders>
            <w:shd w:val="clear" w:color="auto" w:fill="auto"/>
            <w:noWrap/>
            <w:vAlign w:val="center"/>
            <w:hideMark/>
          </w:tcPr>
          <w:p w14:paraId="606A603E"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6BFB07A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861AFC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6A0D63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1347821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5475A7EE" w14:textId="77777777" w:rsidTr="000668F6">
        <w:trPr>
          <w:trHeight w:val="220"/>
        </w:trPr>
        <w:tc>
          <w:tcPr>
            <w:tcW w:w="887" w:type="pct"/>
            <w:tcBorders>
              <w:top w:val="nil"/>
              <w:left w:val="nil"/>
              <w:bottom w:val="nil"/>
              <w:right w:val="nil"/>
            </w:tcBorders>
            <w:shd w:val="clear" w:color="auto" w:fill="auto"/>
            <w:noWrap/>
            <w:vAlign w:val="center"/>
            <w:hideMark/>
          </w:tcPr>
          <w:p w14:paraId="385B2B2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ln(1+AG)*COV</w:t>
            </w:r>
          </w:p>
        </w:tc>
        <w:tc>
          <w:tcPr>
            <w:tcW w:w="561" w:type="pct"/>
            <w:tcBorders>
              <w:top w:val="nil"/>
              <w:left w:val="nil"/>
              <w:bottom w:val="nil"/>
              <w:right w:val="nil"/>
            </w:tcBorders>
            <w:shd w:val="clear" w:color="auto" w:fill="auto"/>
            <w:noWrap/>
            <w:vAlign w:val="center"/>
            <w:hideMark/>
          </w:tcPr>
          <w:p w14:paraId="1C928EA5"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3D771AD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1D4EA911" w14:textId="71F9819B"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00</w:t>
            </w:r>
          </w:p>
        </w:tc>
        <w:tc>
          <w:tcPr>
            <w:tcW w:w="528" w:type="pct"/>
            <w:tcBorders>
              <w:top w:val="nil"/>
              <w:left w:val="nil"/>
              <w:bottom w:val="nil"/>
              <w:right w:val="nil"/>
            </w:tcBorders>
            <w:shd w:val="clear" w:color="auto" w:fill="auto"/>
            <w:noWrap/>
            <w:vAlign w:val="center"/>
            <w:hideMark/>
          </w:tcPr>
          <w:p w14:paraId="6DB8B2A9"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61AAF42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665789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2DD160A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3FB3420" w14:textId="77777777" w:rsidTr="000668F6">
        <w:trPr>
          <w:trHeight w:val="220"/>
        </w:trPr>
        <w:tc>
          <w:tcPr>
            <w:tcW w:w="887" w:type="pct"/>
            <w:tcBorders>
              <w:top w:val="nil"/>
              <w:left w:val="nil"/>
              <w:bottom w:val="nil"/>
              <w:right w:val="nil"/>
            </w:tcBorders>
            <w:shd w:val="clear" w:color="auto" w:fill="auto"/>
            <w:noWrap/>
            <w:vAlign w:val="center"/>
            <w:hideMark/>
          </w:tcPr>
          <w:p w14:paraId="40B8375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62F00C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043ECBA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7816D5C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(-0.24)</w:t>
            </w:r>
          </w:p>
        </w:tc>
        <w:tc>
          <w:tcPr>
            <w:tcW w:w="528" w:type="pct"/>
            <w:tcBorders>
              <w:top w:val="nil"/>
              <w:left w:val="nil"/>
              <w:bottom w:val="nil"/>
              <w:right w:val="nil"/>
            </w:tcBorders>
            <w:shd w:val="clear" w:color="auto" w:fill="auto"/>
            <w:noWrap/>
            <w:vAlign w:val="center"/>
            <w:hideMark/>
          </w:tcPr>
          <w:p w14:paraId="1F14EC0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00B0426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4F1470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373EEC4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213BBEDE" w14:textId="77777777" w:rsidTr="000668F6">
        <w:trPr>
          <w:trHeight w:val="220"/>
        </w:trPr>
        <w:tc>
          <w:tcPr>
            <w:tcW w:w="887" w:type="pct"/>
            <w:tcBorders>
              <w:top w:val="nil"/>
              <w:left w:val="nil"/>
              <w:bottom w:val="nil"/>
              <w:right w:val="nil"/>
            </w:tcBorders>
            <w:shd w:val="clear" w:color="auto" w:fill="auto"/>
            <w:noWrap/>
            <w:vAlign w:val="center"/>
            <w:hideMark/>
          </w:tcPr>
          <w:p w14:paraId="570B590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ln(1+AG)*DISP</w:t>
            </w:r>
          </w:p>
        </w:tc>
        <w:tc>
          <w:tcPr>
            <w:tcW w:w="561" w:type="pct"/>
            <w:tcBorders>
              <w:top w:val="nil"/>
              <w:left w:val="nil"/>
              <w:bottom w:val="nil"/>
              <w:right w:val="nil"/>
            </w:tcBorders>
            <w:shd w:val="clear" w:color="auto" w:fill="auto"/>
            <w:noWrap/>
            <w:vAlign w:val="center"/>
            <w:hideMark/>
          </w:tcPr>
          <w:p w14:paraId="69647F72"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4F7A20F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1B4E7FF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D8EF17B" w14:textId="6926D409"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12</w:t>
            </w:r>
            <w:r>
              <w:rPr>
                <w:rFonts w:eastAsia="Times New Roman" w:cs="Times New Roman"/>
                <w:color w:val="000000"/>
                <w:lang w:eastAsia="zh-CN"/>
              </w:rPr>
              <w:t>.</w:t>
            </w:r>
            <w:r w:rsidR="00EB3B52" w:rsidRPr="000668F6">
              <w:rPr>
                <w:rFonts w:eastAsia="Times New Roman" w:cs="Times New Roman"/>
                <w:color w:val="000000"/>
                <w:lang w:eastAsia="zh-CN"/>
              </w:rPr>
              <w:t>26</w:t>
            </w:r>
          </w:p>
        </w:tc>
        <w:tc>
          <w:tcPr>
            <w:tcW w:w="561" w:type="pct"/>
            <w:tcBorders>
              <w:top w:val="nil"/>
              <w:left w:val="nil"/>
              <w:bottom w:val="nil"/>
              <w:right w:val="nil"/>
            </w:tcBorders>
            <w:shd w:val="clear" w:color="auto" w:fill="auto"/>
            <w:noWrap/>
            <w:vAlign w:val="center"/>
            <w:hideMark/>
          </w:tcPr>
          <w:p w14:paraId="5FD2C69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341A411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6E3FD0D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7114D25" w14:textId="77777777" w:rsidTr="000668F6">
        <w:trPr>
          <w:trHeight w:val="220"/>
        </w:trPr>
        <w:tc>
          <w:tcPr>
            <w:tcW w:w="887" w:type="pct"/>
            <w:tcBorders>
              <w:top w:val="nil"/>
              <w:left w:val="nil"/>
              <w:bottom w:val="nil"/>
              <w:right w:val="nil"/>
            </w:tcBorders>
            <w:shd w:val="clear" w:color="auto" w:fill="auto"/>
            <w:noWrap/>
            <w:vAlign w:val="center"/>
            <w:hideMark/>
          </w:tcPr>
          <w:p w14:paraId="0C1620B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7F2E78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4CA9CD7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93CEFE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1CC534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(-1.25)</w:t>
            </w:r>
          </w:p>
        </w:tc>
        <w:tc>
          <w:tcPr>
            <w:tcW w:w="561" w:type="pct"/>
            <w:tcBorders>
              <w:top w:val="nil"/>
              <w:left w:val="nil"/>
              <w:bottom w:val="nil"/>
              <w:right w:val="nil"/>
            </w:tcBorders>
            <w:shd w:val="clear" w:color="auto" w:fill="auto"/>
            <w:noWrap/>
            <w:vAlign w:val="center"/>
            <w:hideMark/>
          </w:tcPr>
          <w:p w14:paraId="36A47768"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5E85A0B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4773F88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F302BC1" w14:textId="77777777" w:rsidTr="000668F6">
        <w:trPr>
          <w:trHeight w:val="220"/>
        </w:trPr>
        <w:tc>
          <w:tcPr>
            <w:tcW w:w="887" w:type="pct"/>
            <w:tcBorders>
              <w:top w:val="nil"/>
              <w:left w:val="nil"/>
              <w:bottom w:val="nil"/>
              <w:right w:val="nil"/>
            </w:tcBorders>
            <w:shd w:val="clear" w:color="auto" w:fill="auto"/>
            <w:noWrap/>
            <w:vAlign w:val="center"/>
            <w:hideMark/>
          </w:tcPr>
          <w:p w14:paraId="7DC96DF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ln(1+AG)*DVOL</w:t>
            </w:r>
          </w:p>
        </w:tc>
        <w:tc>
          <w:tcPr>
            <w:tcW w:w="561" w:type="pct"/>
            <w:tcBorders>
              <w:top w:val="nil"/>
              <w:left w:val="nil"/>
              <w:bottom w:val="nil"/>
              <w:right w:val="nil"/>
            </w:tcBorders>
            <w:shd w:val="clear" w:color="auto" w:fill="auto"/>
            <w:noWrap/>
            <w:vAlign w:val="center"/>
            <w:hideMark/>
          </w:tcPr>
          <w:p w14:paraId="338B86CD"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0ABF2EA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636CAD4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B3F7D7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DBE0D50" w14:textId="238A2BA9"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24***</w:t>
            </w:r>
          </w:p>
        </w:tc>
        <w:tc>
          <w:tcPr>
            <w:tcW w:w="561" w:type="pct"/>
            <w:tcBorders>
              <w:top w:val="nil"/>
              <w:left w:val="nil"/>
              <w:bottom w:val="nil"/>
              <w:right w:val="nil"/>
            </w:tcBorders>
            <w:shd w:val="clear" w:color="auto" w:fill="auto"/>
            <w:noWrap/>
            <w:vAlign w:val="center"/>
            <w:hideMark/>
          </w:tcPr>
          <w:p w14:paraId="6F1174ED" w14:textId="77777777" w:rsidR="00EB3B52" w:rsidRPr="000668F6" w:rsidRDefault="00EB3B52" w:rsidP="00EB3B52">
            <w:pPr>
              <w:spacing w:after="0" w:line="240" w:lineRule="auto"/>
              <w:jc w:val="center"/>
              <w:rPr>
                <w:rFonts w:eastAsia="Times New Roman" w:cs="Times New Roman"/>
                <w:color w:val="000000"/>
                <w:lang w:eastAsia="zh-CN"/>
              </w:rPr>
            </w:pPr>
          </w:p>
        </w:tc>
        <w:tc>
          <w:tcPr>
            <w:tcW w:w="847" w:type="pct"/>
            <w:tcBorders>
              <w:top w:val="nil"/>
              <w:left w:val="nil"/>
              <w:bottom w:val="nil"/>
              <w:right w:val="nil"/>
            </w:tcBorders>
            <w:shd w:val="clear" w:color="auto" w:fill="auto"/>
            <w:noWrap/>
            <w:vAlign w:val="center"/>
            <w:hideMark/>
          </w:tcPr>
          <w:p w14:paraId="0BBF912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0964AEF" w14:textId="77777777" w:rsidTr="000668F6">
        <w:trPr>
          <w:trHeight w:val="220"/>
        </w:trPr>
        <w:tc>
          <w:tcPr>
            <w:tcW w:w="887" w:type="pct"/>
            <w:tcBorders>
              <w:top w:val="nil"/>
              <w:left w:val="nil"/>
              <w:bottom w:val="nil"/>
              <w:right w:val="nil"/>
            </w:tcBorders>
            <w:shd w:val="clear" w:color="auto" w:fill="auto"/>
            <w:noWrap/>
            <w:vAlign w:val="center"/>
            <w:hideMark/>
          </w:tcPr>
          <w:p w14:paraId="060B79D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14EB23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43185BF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188C3CF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70AA95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F0E520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(2.76)</w:t>
            </w:r>
          </w:p>
        </w:tc>
        <w:tc>
          <w:tcPr>
            <w:tcW w:w="561" w:type="pct"/>
            <w:tcBorders>
              <w:top w:val="nil"/>
              <w:left w:val="nil"/>
              <w:bottom w:val="nil"/>
              <w:right w:val="nil"/>
            </w:tcBorders>
            <w:shd w:val="clear" w:color="auto" w:fill="auto"/>
            <w:noWrap/>
            <w:vAlign w:val="center"/>
            <w:hideMark/>
          </w:tcPr>
          <w:p w14:paraId="736CD870" w14:textId="77777777" w:rsidR="00EB3B52" w:rsidRPr="000668F6" w:rsidRDefault="00EB3B52" w:rsidP="00EB3B52">
            <w:pPr>
              <w:spacing w:after="0" w:line="240" w:lineRule="auto"/>
              <w:jc w:val="center"/>
              <w:rPr>
                <w:rFonts w:eastAsia="Times New Roman" w:cs="Times New Roman"/>
                <w:color w:val="000000"/>
                <w:lang w:eastAsia="zh-CN"/>
              </w:rPr>
            </w:pPr>
          </w:p>
        </w:tc>
        <w:tc>
          <w:tcPr>
            <w:tcW w:w="847" w:type="pct"/>
            <w:tcBorders>
              <w:top w:val="nil"/>
              <w:left w:val="nil"/>
              <w:bottom w:val="nil"/>
              <w:right w:val="nil"/>
            </w:tcBorders>
            <w:shd w:val="clear" w:color="auto" w:fill="auto"/>
            <w:noWrap/>
            <w:vAlign w:val="center"/>
            <w:hideMark/>
          </w:tcPr>
          <w:p w14:paraId="31B825F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672C5687" w14:textId="77777777" w:rsidTr="000668F6">
        <w:trPr>
          <w:trHeight w:val="220"/>
        </w:trPr>
        <w:tc>
          <w:tcPr>
            <w:tcW w:w="887" w:type="pct"/>
            <w:tcBorders>
              <w:top w:val="nil"/>
              <w:left w:val="nil"/>
              <w:bottom w:val="nil"/>
              <w:right w:val="nil"/>
            </w:tcBorders>
            <w:shd w:val="clear" w:color="auto" w:fill="auto"/>
            <w:noWrap/>
            <w:vAlign w:val="center"/>
            <w:hideMark/>
          </w:tcPr>
          <w:p w14:paraId="20C5552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ln(1+AG)*AGE</w:t>
            </w:r>
          </w:p>
        </w:tc>
        <w:tc>
          <w:tcPr>
            <w:tcW w:w="561" w:type="pct"/>
            <w:tcBorders>
              <w:top w:val="nil"/>
              <w:left w:val="nil"/>
              <w:bottom w:val="nil"/>
              <w:right w:val="nil"/>
            </w:tcBorders>
            <w:shd w:val="clear" w:color="auto" w:fill="auto"/>
            <w:noWrap/>
            <w:vAlign w:val="center"/>
            <w:hideMark/>
          </w:tcPr>
          <w:p w14:paraId="4D602743"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7CCF0AD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DE0E0C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71C357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03CFEA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F018137" w14:textId="385BA261"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05</w:t>
            </w:r>
          </w:p>
        </w:tc>
        <w:tc>
          <w:tcPr>
            <w:tcW w:w="847" w:type="pct"/>
            <w:tcBorders>
              <w:top w:val="nil"/>
              <w:left w:val="nil"/>
              <w:bottom w:val="nil"/>
              <w:right w:val="nil"/>
            </w:tcBorders>
            <w:shd w:val="clear" w:color="auto" w:fill="auto"/>
            <w:noWrap/>
            <w:vAlign w:val="center"/>
            <w:hideMark/>
          </w:tcPr>
          <w:p w14:paraId="37C6F832"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5B310B99" w14:textId="77777777" w:rsidTr="000668F6">
        <w:trPr>
          <w:trHeight w:val="220"/>
        </w:trPr>
        <w:tc>
          <w:tcPr>
            <w:tcW w:w="887" w:type="pct"/>
            <w:tcBorders>
              <w:top w:val="nil"/>
              <w:left w:val="nil"/>
              <w:bottom w:val="nil"/>
              <w:right w:val="nil"/>
            </w:tcBorders>
            <w:shd w:val="clear" w:color="auto" w:fill="auto"/>
            <w:noWrap/>
            <w:vAlign w:val="center"/>
            <w:hideMark/>
          </w:tcPr>
          <w:p w14:paraId="2B00540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6A397D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0D04AEA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07AE1D0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D9D85B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F2093D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FD402A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(0.28)</w:t>
            </w:r>
          </w:p>
        </w:tc>
        <w:tc>
          <w:tcPr>
            <w:tcW w:w="847" w:type="pct"/>
            <w:tcBorders>
              <w:top w:val="nil"/>
              <w:left w:val="nil"/>
              <w:bottom w:val="nil"/>
              <w:right w:val="nil"/>
            </w:tcBorders>
            <w:shd w:val="clear" w:color="auto" w:fill="auto"/>
            <w:noWrap/>
            <w:vAlign w:val="center"/>
            <w:hideMark/>
          </w:tcPr>
          <w:p w14:paraId="0375D9CC"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42620ABA" w14:textId="77777777" w:rsidTr="000668F6">
        <w:trPr>
          <w:trHeight w:val="220"/>
        </w:trPr>
        <w:tc>
          <w:tcPr>
            <w:tcW w:w="887" w:type="pct"/>
            <w:tcBorders>
              <w:top w:val="nil"/>
              <w:left w:val="nil"/>
              <w:bottom w:val="nil"/>
              <w:right w:val="nil"/>
            </w:tcBorders>
            <w:shd w:val="clear" w:color="auto" w:fill="auto"/>
            <w:noWrap/>
            <w:vAlign w:val="center"/>
            <w:hideMark/>
          </w:tcPr>
          <w:p w14:paraId="0396D80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ln(1+AG)*ASSET</w:t>
            </w:r>
          </w:p>
        </w:tc>
        <w:tc>
          <w:tcPr>
            <w:tcW w:w="561" w:type="pct"/>
            <w:tcBorders>
              <w:top w:val="nil"/>
              <w:left w:val="nil"/>
              <w:bottom w:val="nil"/>
              <w:right w:val="nil"/>
            </w:tcBorders>
            <w:shd w:val="clear" w:color="auto" w:fill="auto"/>
            <w:noWrap/>
            <w:vAlign w:val="center"/>
            <w:hideMark/>
          </w:tcPr>
          <w:p w14:paraId="4CEA7084"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58EB47F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5351B5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7167749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8F0620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8EC8D2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15F06511" w14:textId="0443798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24**</w:t>
            </w:r>
          </w:p>
        </w:tc>
      </w:tr>
      <w:tr w:rsidR="00EB3B52" w:rsidRPr="000668F6" w14:paraId="010AF3AA" w14:textId="77777777" w:rsidTr="000668F6">
        <w:trPr>
          <w:trHeight w:val="220"/>
        </w:trPr>
        <w:tc>
          <w:tcPr>
            <w:tcW w:w="887" w:type="pct"/>
            <w:tcBorders>
              <w:top w:val="nil"/>
              <w:left w:val="nil"/>
              <w:bottom w:val="nil"/>
              <w:right w:val="nil"/>
            </w:tcBorders>
            <w:shd w:val="clear" w:color="auto" w:fill="auto"/>
            <w:noWrap/>
            <w:vAlign w:val="center"/>
            <w:hideMark/>
          </w:tcPr>
          <w:p w14:paraId="46425B56"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7AB6BCF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4F7B6D6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4D21BC7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247570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5E36E4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210B855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5207671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(2.57)</w:t>
            </w:r>
          </w:p>
        </w:tc>
      </w:tr>
      <w:tr w:rsidR="00EB3B52" w:rsidRPr="000668F6" w14:paraId="7C0FF384" w14:textId="77777777" w:rsidTr="000668F6">
        <w:trPr>
          <w:trHeight w:val="220"/>
        </w:trPr>
        <w:tc>
          <w:tcPr>
            <w:tcW w:w="887" w:type="pct"/>
            <w:tcBorders>
              <w:top w:val="nil"/>
              <w:left w:val="nil"/>
              <w:bottom w:val="nil"/>
              <w:right w:val="nil"/>
            </w:tcBorders>
            <w:shd w:val="clear" w:color="auto" w:fill="auto"/>
            <w:noWrap/>
            <w:vAlign w:val="center"/>
            <w:hideMark/>
          </w:tcPr>
          <w:p w14:paraId="1C32827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GT</w:t>
            </w:r>
          </w:p>
        </w:tc>
        <w:tc>
          <w:tcPr>
            <w:tcW w:w="561" w:type="pct"/>
            <w:tcBorders>
              <w:top w:val="nil"/>
              <w:left w:val="nil"/>
              <w:bottom w:val="nil"/>
              <w:right w:val="nil"/>
            </w:tcBorders>
            <w:shd w:val="clear" w:color="auto" w:fill="auto"/>
            <w:noWrap/>
            <w:vAlign w:val="center"/>
            <w:hideMark/>
          </w:tcPr>
          <w:p w14:paraId="58C41AE6" w14:textId="4EC7C39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18**</w:t>
            </w:r>
          </w:p>
        </w:tc>
        <w:tc>
          <w:tcPr>
            <w:tcW w:w="528" w:type="pct"/>
            <w:tcBorders>
              <w:top w:val="nil"/>
              <w:left w:val="nil"/>
              <w:bottom w:val="nil"/>
              <w:right w:val="nil"/>
            </w:tcBorders>
            <w:shd w:val="clear" w:color="auto" w:fill="auto"/>
            <w:noWrap/>
            <w:vAlign w:val="center"/>
            <w:hideMark/>
          </w:tcPr>
          <w:p w14:paraId="7648BEB5" w14:textId="1292036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32**</w:t>
            </w:r>
          </w:p>
        </w:tc>
        <w:tc>
          <w:tcPr>
            <w:tcW w:w="528" w:type="pct"/>
            <w:tcBorders>
              <w:top w:val="nil"/>
              <w:left w:val="nil"/>
              <w:bottom w:val="nil"/>
              <w:right w:val="nil"/>
            </w:tcBorders>
            <w:shd w:val="clear" w:color="auto" w:fill="auto"/>
            <w:noWrap/>
            <w:vAlign w:val="center"/>
            <w:hideMark/>
          </w:tcPr>
          <w:p w14:paraId="5FC9237B" w14:textId="7387A3CC"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30***</w:t>
            </w:r>
          </w:p>
        </w:tc>
        <w:tc>
          <w:tcPr>
            <w:tcW w:w="528" w:type="pct"/>
            <w:tcBorders>
              <w:top w:val="nil"/>
              <w:left w:val="nil"/>
              <w:bottom w:val="nil"/>
              <w:right w:val="nil"/>
            </w:tcBorders>
            <w:shd w:val="clear" w:color="auto" w:fill="auto"/>
            <w:noWrap/>
            <w:vAlign w:val="center"/>
            <w:hideMark/>
          </w:tcPr>
          <w:p w14:paraId="42631E18" w14:textId="53BE3B7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35***</w:t>
            </w:r>
          </w:p>
        </w:tc>
        <w:tc>
          <w:tcPr>
            <w:tcW w:w="561" w:type="pct"/>
            <w:tcBorders>
              <w:top w:val="nil"/>
              <w:left w:val="nil"/>
              <w:bottom w:val="nil"/>
              <w:right w:val="nil"/>
            </w:tcBorders>
            <w:shd w:val="clear" w:color="auto" w:fill="auto"/>
            <w:noWrap/>
            <w:vAlign w:val="center"/>
            <w:hideMark/>
          </w:tcPr>
          <w:p w14:paraId="6F865496" w14:textId="5930595A"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27***</w:t>
            </w:r>
          </w:p>
        </w:tc>
        <w:tc>
          <w:tcPr>
            <w:tcW w:w="561" w:type="pct"/>
            <w:tcBorders>
              <w:top w:val="nil"/>
              <w:left w:val="nil"/>
              <w:bottom w:val="nil"/>
              <w:right w:val="nil"/>
            </w:tcBorders>
            <w:shd w:val="clear" w:color="auto" w:fill="auto"/>
            <w:noWrap/>
            <w:vAlign w:val="center"/>
            <w:hideMark/>
          </w:tcPr>
          <w:p w14:paraId="0F67DE7B" w14:textId="23B924CF"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22**</w:t>
            </w:r>
          </w:p>
        </w:tc>
        <w:tc>
          <w:tcPr>
            <w:tcW w:w="847" w:type="pct"/>
            <w:tcBorders>
              <w:top w:val="nil"/>
              <w:left w:val="nil"/>
              <w:bottom w:val="nil"/>
              <w:right w:val="nil"/>
            </w:tcBorders>
            <w:shd w:val="clear" w:color="auto" w:fill="auto"/>
            <w:noWrap/>
            <w:vAlign w:val="center"/>
            <w:hideMark/>
          </w:tcPr>
          <w:p w14:paraId="1ECEBC06" w14:textId="1027FD6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24**</w:t>
            </w:r>
          </w:p>
        </w:tc>
      </w:tr>
      <w:tr w:rsidR="00EB3B52" w:rsidRPr="000668F6" w14:paraId="59A21278" w14:textId="77777777" w:rsidTr="000668F6">
        <w:trPr>
          <w:trHeight w:val="220"/>
        </w:trPr>
        <w:tc>
          <w:tcPr>
            <w:tcW w:w="887" w:type="pct"/>
            <w:tcBorders>
              <w:top w:val="nil"/>
              <w:left w:val="nil"/>
              <w:bottom w:val="nil"/>
              <w:right w:val="nil"/>
            </w:tcBorders>
            <w:shd w:val="clear" w:color="auto" w:fill="auto"/>
            <w:noWrap/>
            <w:vAlign w:val="center"/>
            <w:hideMark/>
          </w:tcPr>
          <w:p w14:paraId="0AFDF7C8"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4C176BA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(2.07)</w:t>
            </w:r>
          </w:p>
        </w:tc>
        <w:tc>
          <w:tcPr>
            <w:tcW w:w="528" w:type="pct"/>
            <w:tcBorders>
              <w:top w:val="nil"/>
              <w:left w:val="nil"/>
              <w:bottom w:val="nil"/>
              <w:right w:val="nil"/>
            </w:tcBorders>
            <w:shd w:val="clear" w:color="auto" w:fill="auto"/>
            <w:noWrap/>
            <w:vAlign w:val="center"/>
            <w:hideMark/>
          </w:tcPr>
          <w:p w14:paraId="3988CD4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(2.39)</w:t>
            </w:r>
          </w:p>
        </w:tc>
        <w:tc>
          <w:tcPr>
            <w:tcW w:w="528" w:type="pct"/>
            <w:tcBorders>
              <w:top w:val="nil"/>
              <w:left w:val="nil"/>
              <w:bottom w:val="nil"/>
              <w:right w:val="nil"/>
            </w:tcBorders>
            <w:shd w:val="clear" w:color="auto" w:fill="auto"/>
            <w:noWrap/>
            <w:vAlign w:val="center"/>
            <w:hideMark/>
          </w:tcPr>
          <w:p w14:paraId="5037720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(2.70)</w:t>
            </w:r>
          </w:p>
        </w:tc>
        <w:tc>
          <w:tcPr>
            <w:tcW w:w="528" w:type="pct"/>
            <w:tcBorders>
              <w:top w:val="nil"/>
              <w:left w:val="nil"/>
              <w:bottom w:val="nil"/>
              <w:right w:val="nil"/>
            </w:tcBorders>
            <w:shd w:val="clear" w:color="auto" w:fill="auto"/>
            <w:noWrap/>
            <w:vAlign w:val="center"/>
            <w:hideMark/>
          </w:tcPr>
          <w:p w14:paraId="7A1D9B6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(3.02)</w:t>
            </w:r>
          </w:p>
        </w:tc>
        <w:tc>
          <w:tcPr>
            <w:tcW w:w="561" w:type="pct"/>
            <w:tcBorders>
              <w:top w:val="nil"/>
              <w:left w:val="nil"/>
              <w:bottom w:val="nil"/>
              <w:right w:val="nil"/>
            </w:tcBorders>
            <w:shd w:val="clear" w:color="auto" w:fill="auto"/>
            <w:noWrap/>
            <w:vAlign w:val="center"/>
            <w:hideMark/>
          </w:tcPr>
          <w:p w14:paraId="5CE0A99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(3.07)</w:t>
            </w:r>
          </w:p>
        </w:tc>
        <w:tc>
          <w:tcPr>
            <w:tcW w:w="561" w:type="pct"/>
            <w:tcBorders>
              <w:top w:val="nil"/>
              <w:left w:val="nil"/>
              <w:bottom w:val="nil"/>
              <w:right w:val="nil"/>
            </w:tcBorders>
            <w:shd w:val="clear" w:color="auto" w:fill="auto"/>
            <w:noWrap/>
            <w:vAlign w:val="center"/>
            <w:hideMark/>
          </w:tcPr>
          <w:p w14:paraId="31D715F2"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(2.24)</w:t>
            </w:r>
          </w:p>
        </w:tc>
        <w:tc>
          <w:tcPr>
            <w:tcW w:w="847" w:type="pct"/>
            <w:tcBorders>
              <w:top w:val="nil"/>
              <w:left w:val="nil"/>
              <w:bottom w:val="nil"/>
              <w:right w:val="nil"/>
            </w:tcBorders>
            <w:shd w:val="clear" w:color="auto" w:fill="auto"/>
            <w:noWrap/>
            <w:vAlign w:val="center"/>
            <w:hideMark/>
          </w:tcPr>
          <w:p w14:paraId="2371A3B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(2.47)</w:t>
            </w:r>
          </w:p>
        </w:tc>
      </w:tr>
      <w:tr w:rsidR="00EB3B52" w:rsidRPr="000668F6" w14:paraId="436D7E10" w14:textId="77777777" w:rsidTr="000668F6">
        <w:trPr>
          <w:trHeight w:val="220"/>
        </w:trPr>
        <w:tc>
          <w:tcPr>
            <w:tcW w:w="887" w:type="pct"/>
            <w:tcBorders>
              <w:top w:val="nil"/>
              <w:left w:val="nil"/>
              <w:bottom w:val="nil"/>
              <w:right w:val="nil"/>
            </w:tcBorders>
            <w:shd w:val="clear" w:color="auto" w:fill="auto"/>
            <w:noWrap/>
            <w:vAlign w:val="center"/>
            <w:hideMark/>
          </w:tcPr>
          <w:p w14:paraId="39AB7CE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IVOL</w:t>
            </w:r>
          </w:p>
        </w:tc>
        <w:tc>
          <w:tcPr>
            <w:tcW w:w="561" w:type="pct"/>
            <w:tcBorders>
              <w:top w:val="nil"/>
              <w:left w:val="nil"/>
              <w:bottom w:val="nil"/>
              <w:right w:val="nil"/>
            </w:tcBorders>
            <w:shd w:val="clear" w:color="auto" w:fill="auto"/>
            <w:noWrap/>
            <w:vAlign w:val="center"/>
            <w:hideMark/>
          </w:tcPr>
          <w:p w14:paraId="02E2A42D" w14:textId="0C2C288D"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353319">
              <w:rPr>
                <w:rFonts w:eastAsia="Times New Roman" w:cs="Times New Roman"/>
                <w:color w:val="000000"/>
                <w:lang w:eastAsia="zh-CN"/>
              </w:rPr>
              <w:t>.</w:t>
            </w:r>
            <w:r w:rsidRPr="000668F6">
              <w:rPr>
                <w:rFonts w:eastAsia="Times New Roman" w:cs="Times New Roman"/>
                <w:color w:val="000000"/>
                <w:lang w:eastAsia="zh-CN"/>
              </w:rPr>
              <w:t>55</w:t>
            </w:r>
          </w:p>
        </w:tc>
        <w:tc>
          <w:tcPr>
            <w:tcW w:w="528" w:type="pct"/>
            <w:tcBorders>
              <w:top w:val="nil"/>
              <w:left w:val="nil"/>
              <w:bottom w:val="nil"/>
              <w:right w:val="nil"/>
            </w:tcBorders>
            <w:shd w:val="clear" w:color="auto" w:fill="auto"/>
            <w:noWrap/>
            <w:vAlign w:val="center"/>
            <w:hideMark/>
          </w:tcPr>
          <w:p w14:paraId="4BC0FD0E"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45B8F07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62ED985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FFA014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510833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2586E78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66F75596" w14:textId="77777777" w:rsidTr="000668F6">
        <w:trPr>
          <w:trHeight w:val="220"/>
        </w:trPr>
        <w:tc>
          <w:tcPr>
            <w:tcW w:w="887" w:type="pct"/>
            <w:tcBorders>
              <w:top w:val="nil"/>
              <w:left w:val="nil"/>
              <w:bottom w:val="nil"/>
              <w:right w:val="nil"/>
            </w:tcBorders>
            <w:shd w:val="clear" w:color="auto" w:fill="auto"/>
            <w:noWrap/>
            <w:vAlign w:val="center"/>
            <w:hideMark/>
          </w:tcPr>
          <w:p w14:paraId="5A89F8F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A21DF31"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(0.85)</w:t>
            </w:r>
          </w:p>
        </w:tc>
        <w:tc>
          <w:tcPr>
            <w:tcW w:w="528" w:type="pct"/>
            <w:tcBorders>
              <w:top w:val="nil"/>
              <w:left w:val="nil"/>
              <w:bottom w:val="nil"/>
              <w:right w:val="nil"/>
            </w:tcBorders>
            <w:shd w:val="clear" w:color="auto" w:fill="auto"/>
            <w:noWrap/>
            <w:vAlign w:val="center"/>
            <w:hideMark/>
          </w:tcPr>
          <w:p w14:paraId="007C607A"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3E8DDD9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637AEFA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E49B4E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6CAD37A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4C3D4E7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B0980B6" w14:textId="77777777" w:rsidTr="000668F6">
        <w:trPr>
          <w:trHeight w:val="220"/>
        </w:trPr>
        <w:tc>
          <w:tcPr>
            <w:tcW w:w="887" w:type="pct"/>
            <w:tcBorders>
              <w:top w:val="nil"/>
              <w:left w:val="nil"/>
              <w:bottom w:val="nil"/>
              <w:right w:val="nil"/>
            </w:tcBorders>
            <w:shd w:val="clear" w:color="auto" w:fill="auto"/>
            <w:noWrap/>
            <w:vAlign w:val="center"/>
            <w:hideMark/>
          </w:tcPr>
          <w:p w14:paraId="399B441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BAS</w:t>
            </w:r>
          </w:p>
        </w:tc>
        <w:tc>
          <w:tcPr>
            <w:tcW w:w="561" w:type="pct"/>
            <w:tcBorders>
              <w:top w:val="nil"/>
              <w:left w:val="nil"/>
              <w:bottom w:val="nil"/>
              <w:right w:val="nil"/>
            </w:tcBorders>
            <w:shd w:val="clear" w:color="auto" w:fill="auto"/>
            <w:noWrap/>
            <w:vAlign w:val="center"/>
            <w:hideMark/>
          </w:tcPr>
          <w:p w14:paraId="14901614"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76ABAA12" w14:textId="35D663A9"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353319">
              <w:rPr>
                <w:rFonts w:eastAsia="Times New Roman" w:cs="Times New Roman"/>
                <w:color w:val="000000"/>
                <w:lang w:eastAsia="zh-CN"/>
              </w:rPr>
              <w:t>.</w:t>
            </w:r>
            <w:r w:rsidRPr="000668F6">
              <w:rPr>
                <w:rFonts w:eastAsia="Times New Roman" w:cs="Times New Roman"/>
                <w:color w:val="000000"/>
                <w:lang w:eastAsia="zh-CN"/>
              </w:rPr>
              <w:t>00</w:t>
            </w:r>
          </w:p>
        </w:tc>
        <w:tc>
          <w:tcPr>
            <w:tcW w:w="528" w:type="pct"/>
            <w:tcBorders>
              <w:top w:val="nil"/>
              <w:left w:val="nil"/>
              <w:bottom w:val="nil"/>
              <w:right w:val="nil"/>
            </w:tcBorders>
            <w:shd w:val="clear" w:color="auto" w:fill="auto"/>
            <w:noWrap/>
            <w:vAlign w:val="center"/>
            <w:hideMark/>
          </w:tcPr>
          <w:p w14:paraId="32A86635"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0165C7D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8B11D2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DB795D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06FD35E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304207F3" w14:textId="77777777" w:rsidTr="000668F6">
        <w:trPr>
          <w:trHeight w:val="220"/>
        </w:trPr>
        <w:tc>
          <w:tcPr>
            <w:tcW w:w="887" w:type="pct"/>
            <w:tcBorders>
              <w:top w:val="nil"/>
              <w:left w:val="nil"/>
              <w:bottom w:val="nil"/>
              <w:right w:val="nil"/>
            </w:tcBorders>
            <w:shd w:val="clear" w:color="auto" w:fill="auto"/>
            <w:noWrap/>
            <w:vAlign w:val="center"/>
            <w:hideMark/>
          </w:tcPr>
          <w:p w14:paraId="769B9CE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ADE70F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2A10FC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(0.23)</w:t>
            </w:r>
          </w:p>
        </w:tc>
        <w:tc>
          <w:tcPr>
            <w:tcW w:w="528" w:type="pct"/>
            <w:tcBorders>
              <w:top w:val="nil"/>
              <w:left w:val="nil"/>
              <w:bottom w:val="nil"/>
              <w:right w:val="nil"/>
            </w:tcBorders>
            <w:shd w:val="clear" w:color="auto" w:fill="auto"/>
            <w:noWrap/>
            <w:vAlign w:val="center"/>
            <w:hideMark/>
          </w:tcPr>
          <w:p w14:paraId="07E7CAF2"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6261647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4D588FD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993C83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1574789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599F6948" w14:textId="77777777" w:rsidTr="000668F6">
        <w:trPr>
          <w:trHeight w:val="220"/>
        </w:trPr>
        <w:tc>
          <w:tcPr>
            <w:tcW w:w="887" w:type="pct"/>
            <w:tcBorders>
              <w:top w:val="nil"/>
              <w:left w:val="nil"/>
              <w:bottom w:val="nil"/>
              <w:right w:val="nil"/>
            </w:tcBorders>
            <w:shd w:val="clear" w:color="auto" w:fill="auto"/>
            <w:noWrap/>
            <w:vAlign w:val="center"/>
            <w:hideMark/>
          </w:tcPr>
          <w:p w14:paraId="7037D4B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COV</w:t>
            </w:r>
          </w:p>
        </w:tc>
        <w:tc>
          <w:tcPr>
            <w:tcW w:w="561" w:type="pct"/>
            <w:tcBorders>
              <w:top w:val="nil"/>
              <w:left w:val="nil"/>
              <w:bottom w:val="nil"/>
              <w:right w:val="nil"/>
            </w:tcBorders>
            <w:shd w:val="clear" w:color="auto" w:fill="auto"/>
            <w:noWrap/>
            <w:vAlign w:val="center"/>
            <w:hideMark/>
          </w:tcPr>
          <w:p w14:paraId="28E919DF"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1192574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62C1644" w14:textId="2789C538"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00</w:t>
            </w:r>
          </w:p>
        </w:tc>
        <w:tc>
          <w:tcPr>
            <w:tcW w:w="528" w:type="pct"/>
            <w:tcBorders>
              <w:top w:val="nil"/>
              <w:left w:val="nil"/>
              <w:bottom w:val="nil"/>
              <w:right w:val="nil"/>
            </w:tcBorders>
            <w:shd w:val="clear" w:color="auto" w:fill="auto"/>
            <w:noWrap/>
            <w:vAlign w:val="center"/>
            <w:hideMark/>
          </w:tcPr>
          <w:p w14:paraId="545EFAC1"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5AC6A5F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1D9C52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6A6C590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0763EA0" w14:textId="77777777" w:rsidTr="000668F6">
        <w:trPr>
          <w:trHeight w:val="220"/>
        </w:trPr>
        <w:tc>
          <w:tcPr>
            <w:tcW w:w="887" w:type="pct"/>
            <w:tcBorders>
              <w:top w:val="nil"/>
              <w:left w:val="nil"/>
              <w:bottom w:val="nil"/>
              <w:right w:val="nil"/>
            </w:tcBorders>
            <w:shd w:val="clear" w:color="auto" w:fill="auto"/>
            <w:noWrap/>
            <w:vAlign w:val="center"/>
            <w:hideMark/>
          </w:tcPr>
          <w:p w14:paraId="5396DAE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D58B16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E9A7BF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7792410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(0.75)</w:t>
            </w:r>
          </w:p>
        </w:tc>
        <w:tc>
          <w:tcPr>
            <w:tcW w:w="528" w:type="pct"/>
            <w:tcBorders>
              <w:top w:val="nil"/>
              <w:left w:val="nil"/>
              <w:bottom w:val="nil"/>
              <w:right w:val="nil"/>
            </w:tcBorders>
            <w:shd w:val="clear" w:color="auto" w:fill="auto"/>
            <w:noWrap/>
            <w:vAlign w:val="center"/>
            <w:hideMark/>
          </w:tcPr>
          <w:p w14:paraId="40D61112"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6F59C3D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61BBFDC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04049FE1"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64E879A5" w14:textId="77777777" w:rsidTr="000668F6">
        <w:trPr>
          <w:trHeight w:val="220"/>
        </w:trPr>
        <w:tc>
          <w:tcPr>
            <w:tcW w:w="887" w:type="pct"/>
            <w:tcBorders>
              <w:top w:val="nil"/>
              <w:left w:val="nil"/>
              <w:bottom w:val="nil"/>
              <w:right w:val="nil"/>
            </w:tcBorders>
            <w:shd w:val="clear" w:color="auto" w:fill="auto"/>
            <w:noWrap/>
            <w:vAlign w:val="center"/>
            <w:hideMark/>
          </w:tcPr>
          <w:p w14:paraId="134D495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DISP</w:t>
            </w:r>
          </w:p>
        </w:tc>
        <w:tc>
          <w:tcPr>
            <w:tcW w:w="561" w:type="pct"/>
            <w:tcBorders>
              <w:top w:val="nil"/>
              <w:left w:val="nil"/>
              <w:bottom w:val="nil"/>
              <w:right w:val="nil"/>
            </w:tcBorders>
            <w:shd w:val="clear" w:color="auto" w:fill="auto"/>
            <w:noWrap/>
            <w:vAlign w:val="center"/>
            <w:hideMark/>
          </w:tcPr>
          <w:p w14:paraId="1703071E"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6A34B71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0360686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4925E6F" w14:textId="7A7A6DFF"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w:t>
            </w:r>
            <w:r w:rsidR="00EB3B52" w:rsidRPr="000668F6">
              <w:rPr>
                <w:rFonts w:eastAsia="Times New Roman" w:cs="Times New Roman"/>
                <w:color w:val="000000"/>
                <w:lang w:eastAsia="zh-CN"/>
              </w:rPr>
              <w:t>62</w:t>
            </w:r>
          </w:p>
        </w:tc>
        <w:tc>
          <w:tcPr>
            <w:tcW w:w="561" w:type="pct"/>
            <w:tcBorders>
              <w:top w:val="nil"/>
              <w:left w:val="nil"/>
              <w:bottom w:val="nil"/>
              <w:right w:val="nil"/>
            </w:tcBorders>
            <w:shd w:val="clear" w:color="auto" w:fill="auto"/>
            <w:noWrap/>
            <w:vAlign w:val="center"/>
            <w:hideMark/>
          </w:tcPr>
          <w:p w14:paraId="1E3D9D72"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3CCDDF1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40F3D2B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41D2272F" w14:textId="77777777" w:rsidTr="000668F6">
        <w:trPr>
          <w:trHeight w:val="220"/>
        </w:trPr>
        <w:tc>
          <w:tcPr>
            <w:tcW w:w="887" w:type="pct"/>
            <w:tcBorders>
              <w:top w:val="nil"/>
              <w:left w:val="nil"/>
              <w:bottom w:val="nil"/>
              <w:right w:val="nil"/>
            </w:tcBorders>
            <w:shd w:val="clear" w:color="auto" w:fill="auto"/>
            <w:noWrap/>
            <w:vAlign w:val="center"/>
            <w:hideMark/>
          </w:tcPr>
          <w:p w14:paraId="458F98BD"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0E376C8"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150B49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02DE2B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6B5EA39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(-0.97)</w:t>
            </w:r>
          </w:p>
        </w:tc>
        <w:tc>
          <w:tcPr>
            <w:tcW w:w="561" w:type="pct"/>
            <w:tcBorders>
              <w:top w:val="nil"/>
              <w:left w:val="nil"/>
              <w:bottom w:val="nil"/>
              <w:right w:val="nil"/>
            </w:tcBorders>
            <w:shd w:val="clear" w:color="auto" w:fill="auto"/>
            <w:noWrap/>
            <w:vAlign w:val="center"/>
            <w:hideMark/>
          </w:tcPr>
          <w:p w14:paraId="28B6213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6E25C4C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39F9DE4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0801B99A" w14:textId="77777777" w:rsidTr="000668F6">
        <w:trPr>
          <w:trHeight w:val="220"/>
        </w:trPr>
        <w:tc>
          <w:tcPr>
            <w:tcW w:w="887" w:type="pct"/>
            <w:tcBorders>
              <w:top w:val="nil"/>
              <w:left w:val="nil"/>
              <w:bottom w:val="nil"/>
              <w:right w:val="nil"/>
            </w:tcBorders>
            <w:shd w:val="clear" w:color="auto" w:fill="auto"/>
            <w:noWrap/>
            <w:vAlign w:val="center"/>
            <w:hideMark/>
          </w:tcPr>
          <w:p w14:paraId="36360F8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DVOL</w:t>
            </w:r>
          </w:p>
        </w:tc>
        <w:tc>
          <w:tcPr>
            <w:tcW w:w="561" w:type="pct"/>
            <w:tcBorders>
              <w:top w:val="nil"/>
              <w:left w:val="nil"/>
              <w:bottom w:val="nil"/>
              <w:right w:val="nil"/>
            </w:tcBorders>
            <w:shd w:val="clear" w:color="auto" w:fill="auto"/>
            <w:noWrap/>
            <w:vAlign w:val="center"/>
            <w:hideMark/>
          </w:tcPr>
          <w:p w14:paraId="52FEF653"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1A3CBC2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70ACA29"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63FA3DE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2253A1C" w14:textId="3743DA20"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08</w:t>
            </w:r>
          </w:p>
        </w:tc>
        <w:tc>
          <w:tcPr>
            <w:tcW w:w="561" w:type="pct"/>
            <w:tcBorders>
              <w:top w:val="nil"/>
              <w:left w:val="nil"/>
              <w:bottom w:val="nil"/>
              <w:right w:val="nil"/>
            </w:tcBorders>
            <w:shd w:val="clear" w:color="auto" w:fill="auto"/>
            <w:noWrap/>
            <w:vAlign w:val="center"/>
            <w:hideMark/>
          </w:tcPr>
          <w:p w14:paraId="3932F553" w14:textId="77777777" w:rsidR="00EB3B52" w:rsidRPr="000668F6" w:rsidRDefault="00EB3B52" w:rsidP="00EB3B52">
            <w:pPr>
              <w:spacing w:after="0" w:line="240" w:lineRule="auto"/>
              <w:jc w:val="center"/>
              <w:rPr>
                <w:rFonts w:eastAsia="Times New Roman" w:cs="Times New Roman"/>
                <w:color w:val="000000"/>
                <w:lang w:eastAsia="zh-CN"/>
              </w:rPr>
            </w:pPr>
          </w:p>
        </w:tc>
        <w:tc>
          <w:tcPr>
            <w:tcW w:w="847" w:type="pct"/>
            <w:tcBorders>
              <w:top w:val="nil"/>
              <w:left w:val="nil"/>
              <w:bottom w:val="nil"/>
              <w:right w:val="nil"/>
            </w:tcBorders>
            <w:shd w:val="clear" w:color="auto" w:fill="auto"/>
            <w:noWrap/>
            <w:vAlign w:val="center"/>
            <w:hideMark/>
          </w:tcPr>
          <w:p w14:paraId="72FA50F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2410C31B" w14:textId="77777777" w:rsidTr="000668F6">
        <w:trPr>
          <w:trHeight w:val="220"/>
        </w:trPr>
        <w:tc>
          <w:tcPr>
            <w:tcW w:w="887" w:type="pct"/>
            <w:tcBorders>
              <w:top w:val="nil"/>
              <w:left w:val="nil"/>
              <w:bottom w:val="nil"/>
              <w:right w:val="nil"/>
            </w:tcBorders>
            <w:shd w:val="clear" w:color="auto" w:fill="auto"/>
            <w:noWrap/>
            <w:vAlign w:val="center"/>
            <w:hideMark/>
          </w:tcPr>
          <w:p w14:paraId="453A0BB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5EDFF28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067DB5E"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B57731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4E67626"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84F45E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(-1.30)</w:t>
            </w:r>
          </w:p>
        </w:tc>
        <w:tc>
          <w:tcPr>
            <w:tcW w:w="561" w:type="pct"/>
            <w:tcBorders>
              <w:top w:val="nil"/>
              <w:left w:val="nil"/>
              <w:bottom w:val="nil"/>
              <w:right w:val="nil"/>
            </w:tcBorders>
            <w:shd w:val="clear" w:color="auto" w:fill="auto"/>
            <w:noWrap/>
            <w:vAlign w:val="center"/>
            <w:hideMark/>
          </w:tcPr>
          <w:p w14:paraId="54398E4D" w14:textId="77777777" w:rsidR="00EB3B52" w:rsidRPr="000668F6" w:rsidRDefault="00EB3B52" w:rsidP="00EB3B52">
            <w:pPr>
              <w:spacing w:after="0" w:line="240" w:lineRule="auto"/>
              <w:jc w:val="center"/>
              <w:rPr>
                <w:rFonts w:eastAsia="Times New Roman" w:cs="Times New Roman"/>
                <w:color w:val="000000"/>
                <w:lang w:eastAsia="zh-CN"/>
              </w:rPr>
            </w:pPr>
          </w:p>
        </w:tc>
        <w:tc>
          <w:tcPr>
            <w:tcW w:w="847" w:type="pct"/>
            <w:tcBorders>
              <w:top w:val="nil"/>
              <w:left w:val="nil"/>
              <w:bottom w:val="nil"/>
              <w:right w:val="nil"/>
            </w:tcBorders>
            <w:shd w:val="clear" w:color="auto" w:fill="auto"/>
            <w:noWrap/>
            <w:vAlign w:val="center"/>
            <w:hideMark/>
          </w:tcPr>
          <w:p w14:paraId="3F150294"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r>
      <w:tr w:rsidR="00EB3B52" w:rsidRPr="000668F6" w14:paraId="1355DEF2" w14:textId="77777777" w:rsidTr="000668F6">
        <w:trPr>
          <w:trHeight w:val="220"/>
        </w:trPr>
        <w:tc>
          <w:tcPr>
            <w:tcW w:w="887" w:type="pct"/>
            <w:tcBorders>
              <w:top w:val="nil"/>
              <w:left w:val="nil"/>
              <w:bottom w:val="nil"/>
              <w:right w:val="nil"/>
            </w:tcBorders>
            <w:shd w:val="clear" w:color="auto" w:fill="auto"/>
            <w:noWrap/>
            <w:vAlign w:val="center"/>
            <w:hideMark/>
          </w:tcPr>
          <w:p w14:paraId="3219A66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AGE</w:t>
            </w:r>
          </w:p>
        </w:tc>
        <w:tc>
          <w:tcPr>
            <w:tcW w:w="561" w:type="pct"/>
            <w:tcBorders>
              <w:top w:val="nil"/>
              <w:left w:val="nil"/>
              <w:bottom w:val="nil"/>
              <w:right w:val="nil"/>
            </w:tcBorders>
            <w:shd w:val="clear" w:color="auto" w:fill="auto"/>
            <w:noWrap/>
            <w:vAlign w:val="center"/>
            <w:hideMark/>
          </w:tcPr>
          <w:p w14:paraId="1D114464"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3A795FA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D588E9F"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9643FA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5E9E37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8C86694" w14:textId="64702C54"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02</w:t>
            </w:r>
          </w:p>
        </w:tc>
        <w:tc>
          <w:tcPr>
            <w:tcW w:w="847" w:type="pct"/>
            <w:tcBorders>
              <w:top w:val="nil"/>
              <w:left w:val="nil"/>
              <w:bottom w:val="nil"/>
              <w:right w:val="nil"/>
            </w:tcBorders>
            <w:shd w:val="clear" w:color="auto" w:fill="auto"/>
            <w:noWrap/>
            <w:vAlign w:val="center"/>
            <w:hideMark/>
          </w:tcPr>
          <w:p w14:paraId="3B1442DD"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6A6C1498" w14:textId="77777777" w:rsidTr="000668F6">
        <w:trPr>
          <w:trHeight w:val="220"/>
        </w:trPr>
        <w:tc>
          <w:tcPr>
            <w:tcW w:w="887" w:type="pct"/>
            <w:tcBorders>
              <w:top w:val="nil"/>
              <w:left w:val="nil"/>
              <w:bottom w:val="nil"/>
              <w:right w:val="nil"/>
            </w:tcBorders>
            <w:shd w:val="clear" w:color="auto" w:fill="auto"/>
            <w:noWrap/>
            <w:vAlign w:val="center"/>
            <w:hideMark/>
          </w:tcPr>
          <w:p w14:paraId="6056A86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78763F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013C25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1127C5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D39B49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9D185D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1607FDB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(0.72)</w:t>
            </w:r>
          </w:p>
        </w:tc>
        <w:tc>
          <w:tcPr>
            <w:tcW w:w="847" w:type="pct"/>
            <w:tcBorders>
              <w:top w:val="nil"/>
              <w:left w:val="nil"/>
              <w:bottom w:val="nil"/>
              <w:right w:val="nil"/>
            </w:tcBorders>
            <w:shd w:val="clear" w:color="auto" w:fill="auto"/>
            <w:noWrap/>
            <w:vAlign w:val="center"/>
            <w:hideMark/>
          </w:tcPr>
          <w:p w14:paraId="4B9D3E4E" w14:textId="77777777" w:rsidR="00EB3B52" w:rsidRPr="000668F6" w:rsidRDefault="00EB3B52" w:rsidP="00EB3B52">
            <w:pPr>
              <w:spacing w:after="0" w:line="240" w:lineRule="auto"/>
              <w:jc w:val="center"/>
              <w:rPr>
                <w:rFonts w:eastAsia="Times New Roman" w:cs="Times New Roman"/>
                <w:color w:val="000000"/>
                <w:lang w:eastAsia="zh-CN"/>
              </w:rPr>
            </w:pPr>
          </w:p>
        </w:tc>
      </w:tr>
      <w:tr w:rsidR="00EB3B52" w:rsidRPr="000668F6" w14:paraId="6AD6F291" w14:textId="77777777" w:rsidTr="000668F6">
        <w:trPr>
          <w:trHeight w:val="220"/>
        </w:trPr>
        <w:tc>
          <w:tcPr>
            <w:tcW w:w="887" w:type="pct"/>
            <w:tcBorders>
              <w:top w:val="nil"/>
              <w:left w:val="nil"/>
              <w:bottom w:val="nil"/>
              <w:right w:val="nil"/>
            </w:tcBorders>
            <w:shd w:val="clear" w:color="auto" w:fill="auto"/>
            <w:noWrap/>
            <w:vAlign w:val="center"/>
            <w:hideMark/>
          </w:tcPr>
          <w:p w14:paraId="4F5EF86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ASSET</w:t>
            </w:r>
          </w:p>
        </w:tc>
        <w:tc>
          <w:tcPr>
            <w:tcW w:w="561" w:type="pct"/>
            <w:tcBorders>
              <w:top w:val="nil"/>
              <w:left w:val="nil"/>
              <w:bottom w:val="nil"/>
              <w:right w:val="nil"/>
            </w:tcBorders>
            <w:shd w:val="clear" w:color="auto" w:fill="auto"/>
            <w:noWrap/>
            <w:vAlign w:val="center"/>
            <w:hideMark/>
          </w:tcPr>
          <w:p w14:paraId="096BE0C2" w14:textId="77777777" w:rsidR="00EB3B52" w:rsidRPr="000668F6" w:rsidRDefault="00EB3B52" w:rsidP="00EB3B52">
            <w:pPr>
              <w:spacing w:after="0" w:line="240" w:lineRule="auto"/>
              <w:jc w:val="center"/>
              <w:rPr>
                <w:rFonts w:eastAsia="Times New Roman" w:cs="Times New Roman"/>
                <w:color w:val="000000"/>
                <w:lang w:eastAsia="zh-CN"/>
              </w:rPr>
            </w:pPr>
          </w:p>
        </w:tc>
        <w:tc>
          <w:tcPr>
            <w:tcW w:w="528" w:type="pct"/>
            <w:tcBorders>
              <w:top w:val="nil"/>
              <w:left w:val="nil"/>
              <w:bottom w:val="nil"/>
              <w:right w:val="nil"/>
            </w:tcBorders>
            <w:shd w:val="clear" w:color="auto" w:fill="auto"/>
            <w:noWrap/>
            <w:vAlign w:val="center"/>
            <w:hideMark/>
          </w:tcPr>
          <w:p w14:paraId="0A9A3072"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841413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5A6F6625"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7EAE75C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5E83E9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39B4DEDF" w14:textId="21677868"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01</w:t>
            </w:r>
          </w:p>
        </w:tc>
      </w:tr>
      <w:tr w:rsidR="00EB3B52" w:rsidRPr="000668F6" w14:paraId="787E45E1" w14:textId="77777777" w:rsidTr="000668F6">
        <w:trPr>
          <w:trHeight w:val="220"/>
        </w:trPr>
        <w:tc>
          <w:tcPr>
            <w:tcW w:w="887" w:type="pct"/>
            <w:tcBorders>
              <w:top w:val="nil"/>
              <w:left w:val="nil"/>
              <w:bottom w:val="nil"/>
              <w:right w:val="nil"/>
            </w:tcBorders>
            <w:shd w:val="clear" w:color="auto" w:fill="auto"/>
            <w:noWrap/>
            <w:vAlign w:val="center"/>
            <w:hideMark/>
          </w:tcPr>
          <w:p w14:paraId="5324918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3CF07EDA"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713F469C"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2384D193"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28" w:type="pct"/>
            <w:tcBorders>
              <w:top w:val="nil"/>
              <w:left w:val="nil"/>
              <w:bottom w:val="nil"/>
              <w:right w:val="nil"/>
            </w:tcBorders>
            <w:shd w:val="clear" w:color="auto" w:fill="auto"/>
            <w:noWrap/>
            <w:vAlign w:val="center"/>
            <w:hideMark/>
          </w:tcPr>
          <w:p w14:paraId="3968B477"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00E01EB0"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561" w:type="pct"/>
            <w:tcBorders>
              <w:top w:val="nil"/>
              <w:left w:val="nil"/>
              <w:bottom w:val="nil"/>
              <w:right w:val="nil"/>
            </w:tcBorders>
            <w:shd w:val="clear" w:color="auto" w:fill="auto"/>
            <w:noWrap/>
            <w:vAlign w:val="center"/>
            <w:hideMark/>
          </w:tcPr>
          <w:p w14:paraId="3105F72B" w14:textId="77777777" w:rsidR="00EB3B52" w:rsidRPr="000668F6" w:rsidRDefault="00EB3B52" w:rsidP="00EB3B52">
            <w:pPr>
              <w:spacing w:after="0" w:line="240" w:lineRule="auto"/>
              <w:jc w:val="center"/>
              <w:rPr>
                <w:rFonts w:ascii="Times New Roman" w:eastAsia="Times New Roman" w:hAnsi="Times New Roman" w:cs="Times New Roman"/>
                <w:lang w:eastAsia="zh-CN"/>
              </w:rPr>
            </w:pPr>
          </w:p>
        </w:tc>
        <w:tc>
          <w:tcPr>
            <w:tcW w:w="847" w:type="pct"/>
            <w:tcBorders>
              <w:top w:val="nil"/>
              <w:left w:val="nil"/>
              <w:bottom w:val="nil"/>
              <w:right w:val="nil"/>
            </w:tcBorders>
            <w:shd w:val="clear" w:color="auto" w:fill="auto"/>
            <w:noWrap/>
            <w:vAlign w:val="center"/>
            <w:hideMark/>
          </w:tcPr>
          <w:p w14:paraId="4CE7ED0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(-0.22)</w:t>
            </w:r>
          </w:p>
        </w:tc>
      </w:tr>
      <w:tr w:rsidR="00EB3B52" w:rsidRPr="000668F6" w14:paraId="4F9FBD9D" w14:textId="77777777" w:rsidTr="000668F6">
        <w:trPr>
          <w:trHeight w:val="220"/>
        </w:trPr>
        <w:tc>
          <w:tcPr>
            <w:tcW w:w="887" w:type="pct"/>
            <w:tcBorders>
              <w:top w:val="nil"/>
              <w:left w:val="nil"/>
              <w:bottom w:val="nil"/>
              <w:right w:val="nil"/>
            </w:tcBorders>
            <w:shd w:val="clear" w:color="auto" w:fill="auto"/>
            <w:noWrap/>
            <w:vAlign w:val="center"/>
            <w:hideMark/>
          </w:tcPr>
          <w:p w14:paraId="1F4BC0C7"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lnBM</w:t>
            </w:r>
          </w:p>
        </w:tc>
        <w:tc>
          <w:tcPr>
            <w:tcW w:w="561" w:type="pct"/>
            <w:tcBorders>
              <w:top w:val="nil"/>
              <w:left w:val="nil"/>
              <w:bottom w:val="nil"/>
              <w:right w:val="nil"/>
            </w:tcBorders>
            <w:shd w:val="clear" w:color="auto" w:fill="auto"/>
            <w:noWrap/>
            <w:vAlign w:val="center"/>
            <w:hideMark/>
          </w:tcPr>
          <w:p w14:paraId="382F4578" w14:textId="68201AC0"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06*</w:t>
            </w:r>
          </w:p>
        </w:tc>
        <w:tc>
          <w:tcPr>
            <w:tcW w:w="528" w:type="pct"/>
            <w:tcBorders>
              <w:top w:val="nil"/>
              <w:left w:val="nil"/>
              <w:bottom w:val="nil"/>
              <w:right w:val="nil"/>
            </w:tcBorders>
            <w:shd w:val="clear" w:color="auto" w:fill="auto"/>
            <w:noWrap/>
            <w:vAlign w:val="center"/>
            <w:hideMark/>
          </w:tcPr>
          <w:p w14:paraId="0888E8C2" w14:textId="51C2CD38"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00</w:t>
            </w:r>
          </w:p>
        </w:tc>
        <w:tc>
          <w:tcPr>
            <w:tcW w:w="528" w:type="pct"/>
            <w:tcBorders>
              <w:top w:val="nil"/>
              <w:left w:val="nil"/>
              <w:bottom w:val="nil"/>
              <w:right w:val="nil"/>
            </w:tcBorders>
            <w:shd w:val="clear" w:color="auto" w:fill="auto"/>
            <w:noWrap/>
            <w:vAlign w:val="center"/>
            <w:hideMark/>
          </w:tcPr>
          <w:p w14:paraId="07561DFE" w14:textId="2166829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02</w:t>
            </w:r>
          </w:p>
        </w:tc>
        <w:tc>
          <w:tcPr>
            <w:tcW w:w="528" w:type="pct"/>
            <w:tcBorders>
              <w:top w:val="nil"/>
              <w:left w:val="nil"/>
              <w:bottom w:val="nil"/>
              <w:right w:val="nil"/>
            </w:tcBorders>
            <w:shd w:val="clear" w:color="auto" w:fill="auto"/>
            <w:noWrap/>
            <w:vAlign w:val="center"/>
            <w:hideMark/>
          </w:tcPr>
          <w:p w14:paraId="0DC93FA4" w14:textId="5712C5A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09*</w:t>
            </w:r>
          </w:p>
        </w:tc>
        <w:tc>
          <w:tcPr>
            <w:tcW w:w="561" w:type="pct"/>
            <w:tcBorders>
              <w:top w:val="nil"/>
              <w:left w:val="nil"/>
              <w:bottom w:val="nil"/>
              <w:right w:val="nil"/>
            </w:tcBorders>
            <w:shd w:val="clear" w:color="auto" w:fill="auto"/>
            <w:noWrap/>
            <w:vAlign w:val="center"/>
            <w:hideMark/>
          </w:tcPr>
          <w:p w14:paraId="7C9B2A0D" w14:textId="7765BBC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08**</w:t>
            </w:r>
          </w:p>
        </w:tc>
        <w:tc>
          <w:tcPr>
            <w:tcW w:w="561" w:type="pct"/>
            <w:tcBorders>
              <w:top w:val="nil"/>
              <w:left w:val="nil"/>
              <w:bottom w:val="nil"/>
              <w:right w:val="nil"/>
            </w:tcBorders>
            <w:shd w:val="clear" w:color="auto" w:fill="auto"/>
            <w:noWrap/>
            <w:vAlign w:val="center"/>
            <w:hideMark/>
          </w:tcPr>
          <w:p w14:paraId="67A92CC1" w14:textId="4DDCA70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06</w:t>
            </w:r>
          </w:p>
        </w:tc>
        <w:tc>
          <w:tcPr>
            <w:tcW w:w="847" w:type="pct"/>
            <w:tcBorders>
              <w:top w:val="nil"/>
              <w:left w:val="nil"/>
              <w:bottom w:val="nil"/>
              <w:right w:val="nil"/>
            </w:tcBorders>
            <w:shd w:val="clear" w:color="auto" w:fill="auto"/>
            <w:noWrap/>
            <w:vAlign w:val="center"/>
            <w:hideMark/>
          </w:tcPr>
          <w:p w14:paraId="6026E804" w14:textId="7932A1B5"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04</w:t>
            </w:r>
          </w:p>
        </w:tc>
      </w:tr>
      <w:tr w:rsidR="00EB3B52" w:rsidRPr="000668F6" w14:paraId="5F36958D" w14:textId="77777777" w:rsidTr="000668F6">
        <w:trPr>
          <w:trHeight w:val="220"/>
        </w:trPr>
        <w:tc>
          <w:tcPr>
            <w:tcW w:w="887" w:type="pct"/>
            <w:tcBorders>
              <w:top w:val="nil"/>
              <w:left w:val="nil"/>
              <w:bottom w:val="nil"/>
              <w:right w:val="nil"/>
            </w:tcBorders>
            <w:shd w:val="clear" w:color="auto" w:fill="auto"/>
            <w:noWrap/>
            <w:vAlign w:val="center"/>
            <w:hideMark/>
          </w:tcPr>
          <w:p w14:paraId="3E3A19E9"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5600CC5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(1.78)</w:t>
            </w:r>
          </w:p>
        </w:tc>
        <w:tc>
          <w:tcPr>
            <w:tcW w:w="528" w:type="pct"/>
            <w:tcBorders>
              <w:top w:val="nil"/>
              <w:left w:val="nil"/>
              <w:bottom w:val="nil"/>
              <w:right w:val="nil"/>
            </w:tcBorders>
            <w:shd w:val="clear" w:color="auto" w:fill="auto"/>
            <w:noWrap/>
            <w:vAlign w:val="center"/>
            <w:hideMark/>
          </w:tcPr>
          <w:p w14:paraId="77AD325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(0.01)</w:t>
            </w:r>
          </w:p>
        </w:tc>
        <w:tc>
          <w:tcPr>
            <w:tcW w:w="528" w:type="pct"/>
            <w:tcBorders>
              <w:top w:val="nil"/>
              <w:left w:val="nil"/>
              <w:bottom w:val="nil"/>
              <w:right w:val="nil"/>
            </w:tcBorders>
            <w:shd w:val="clear" w:color="auto" w:fill="auto"/>
            <w:noWrap/>
            <w:vAlign w:val="center"/>
            <w:hideMark/>
          </w:tcPr>
          <w:p w14:paraId="4A71785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(0.39)</w:t>
            </w:r>
          </w:p>
        </w:tc>
        <w:tc>
          <w:tcPr>
            <w:tcW w:w="528" w:type="pct"/>
            <w:tcBorders>
              <w:top w:val="nil"/>
              <w:left w:val="nil"/>
              <w:bottom w:val="nil"/>
              <w:right w:val="nil"/>
            </w:tcBorders>
            <w:shd w:val="clear" w:color="auto" w:fill="auto"/>
            <w:noWrap/>
            <w:vAlign w:val="center"/>
            <w:hideMark/>
          </w:tcPr>
          <w:p w14:paraId="7E2387AF"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(1.65)</w:t>
            </w:r>
          </w:p>
        </w:tc>
        <w:tc>
          <w:tcPr>
            <w:tcW w:w="561" w:type="pct"/>
            <w:tcBorders>
              <w:top w:val="nil"/>
              <w:left w:val="nil"/>
              <w:bottom w:val="nil"/>
              <w:right w:val="nil"/>
            </w:tcBorders>
            <w:shd w:val="clear" w:color="auto" w:fill="auto"/>
            <w:noWrap/>
            <w:vAlign w:val="center"/>
            <w:hideMark/>
          </w:tcPr>
          <w:p w14:paraId="3419471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(2.08)</w:t>
            </w:r>
          </w:p>
        </w:tc>
        <w:tc>
          <w:tcPr>
            <w:tcW w:w="561" w:type="pct"/>
            <w:tcBorders>
              <w:top w:val="nil"/>
              <w:left w:val="nil"/>
              <w:bottom w:val="nil"/>
              <w:right w:val="nil"/>
            </w:tcBorders>
            <w:shd w:val="clear" w:color="auto" w:fill="auto"/>
            <w:noWrap/>
            <w:vAlign w:val="center"/>
            <w:hideMark/>
          </w:tcPr>
          <w:p w14:paraId="48C9741B"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(1.60)</w:t>
            </w:r>
          </w:p>
        </w:tc>
        <w:tc>
          <w:tcPr>
            <w:tcW w:w="847" w:type="pct"/>
            <w:tcBorders>
              <w:top w:val="nil"/>
              <w:left w:val="nil"/>
              <w:bottom w:val="nil"/>
              <w:right w:val="nil"/>
            </w:tcBorders>
            <w:shd w:val="clear" w:color="auto" w:fill="auto"/>
            <w:noWrap/>
            <w:vAlign w:val="center"/>
            <w:hideMark/>
          </w:tcPr>
          <w:p w14:paraId="73780A7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(0.79)</w:t>
            </w:r>
          </w:p>
        </w:tc>
      </w:tr>
      <w:tr w:rsidR="00EB3B52" w:rsidRPr="000668F6" w14:paraId="4F65B1B8" w14:textId="77777777" w:rsidTr="000668F6">
        <w:trPr>
          <w:trHeight w:val="220"/>
        </w:trPr>
        <w:tc>
          <w:tcPr>
            <w:tcW w:w="887" w:type="pct"/>
            <w:tcBorders>
              <w:top w:val="nil"/>
              <w:left w:val="nil"/>
              <w:bottom w:val="nil"/>
              <w:right w:val="nil"/>
            </w:tcBorders>
            <w:shd w:val="clear" w:color="auto" w:fill="auto"/>
            <w:noWrap/>
            <w:vAlign w:val="center"/>
            <w:hideMark/>
          </w:tcPr>
          <w:p w14:paraId="4C143B15"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lnMV</w:t>
            </w:r>
          </w:p>
        </w:tc>
        <w:tc>
          <w:tcPr>
            <w:tcW w:w="561" w:type="pct"/>
            <w:tcBorders>
              <w:top w:val="nil"/>
              <w:left w:val="nil"/>
              <w:bottom w:val="nil"/>
              <w:right w:val="nil"/>
            </w:tcBorders>
            <w:shd w:val="clear" w:color="auto" w:fill="auto"/>
            <w:noWrap/>
            <w:vAlign w:val="center"/>
            <w:hideMark/>
          </w:tcPr>
          <w:p w14:paraId="3F2B6DF2" w14:textId="00FD3FB5"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08***</w:t>
            </w:r>
          </w:p>
        </w:tc>
        <w:tc>
          <w:tcPr>
            <w:tcW w:w="528" w:type="pct"/>
            <w:tcBorders>
              <w:top w:val="nil"/>
              <w:left w:val="nil"/>
              <w:bottom w:val="nil"/>
              <w:right w:val="nil"/>
            </w:tcBorders>
            <w:shd w:val="clear" w:color="auto" w:fill="auto"/>
            <w:noWrap/>
            <w:vAlign w:val="center"/>
            <w:hideMark/>
          </w:tcPr>
          <w:p w14:paraId="0025A42D" w14:textId="2B6801D3"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05</w:t>
            </w:r>
          </w:p>
        </w:tc>
        <w:tc>
          <w:tcPr>
            <w:tcW w:w="528" w:type="pct"/>
            <w:tcBorders>
              <w:top w:val="nil"/>
              <w:left w:val="nil"/>
              <w:bottom w:val="nil"/>
              <w:right w:val="nil"/>
            </w:tcBorders>
            <w:shd w:val="clear" w:color="auto" w:fill="auto"/>
            <w:noWrap/>
            <w:vAlign w:val="center"/>
            <w:hideMark/>
          </w:tcPr>
          <w:p w14:paraId="3F17FBDC" w14:textId="4AD8498B"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09*</w:t>
            </w:r>
          </w:p>
        </w:tc>
        <w:tc>
          <w:tcPr>
            <w:tcW w:w="528" w:type="pct"/>
            <w:tcBorders>
              <w:top w:val="nil"/>
              <w:left w:val="nil"/>
              <w:bottom w:val="nil"/>
              <w:right w:val="nil"/>
            </w:tcBorders>
            <w:shd w:val="clear" w:color="auto" w:fill="auto"/>
            <w:noWrap/>
            <w:vAlign w:val="center"/>
            <w:hideMark/>
          </w:tcPr>
          <w:p w14:paraId="1625F287" w14:textId="1EF14312"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07*</w:t>
            </w:r>
          </w:p>
        </w:tc>
        <w:tc>
          <w:tcPr>
            <w:tcW w:w="561" w:type="pct"/>
            <w:tcBorders>
              <w:top w:val="nil"/>
              <w:left w:val="nil"/>
              <w:bottom w:val="nil"/>
              <w:right w:val="nil"/>
            </w:tcBorders>
            <w:shd w:val="clear" w:color="auto" w:fill="auto"/>
            <w:noWrap/>
            <w:vAlign w:val="center"/>
            <w:hideMark/>
          </w:tcPr>
          <w:p w14:paraId="48D5F178" w14:textId="302F073B"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01</w:t>
            </w:r>
          </w:p>
        </w:tc>
        <w:tc>
          <w:tcPr>
            <w:tcW w:w="561" w:type="pct"/>
            <w:tcBorders>
              <w:top w:val="nil"/>
              <w:left w:val="nil"/>
              <w:bottom w:val="nil"/>
              <w:right w:val="nil"/>
            </w:tcBorders>
            <w:shd w:val="clear" w:color="auto" w:fill="auto"/>
            <w:noWrap/>
            <w:vAlign w:val="center"/>
            <w:hideMark/>
          </w:tcPr>
          <w:p w14:paraId="529D6CEC" w14:textId="0AD8FABF"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10***</w:t>
            </w:r>
          </w:p>
        </w:tc>
        <w:tc>
          <w:tcPr>
            <w:tcW w:w="847" w:type="pct"/>
            <w:tcBorders>
              <w:top w:val="nil"/>
              <w:left w:val="nil"/>
              <w:bottom w:val="nil"/>
              <w:right w:val="nil"/>
            </w:tcBorders>
            <w:shd w:val="clear" w:color="auto" w:fill="auto"/>
            <w:noWrap/>
            <w:vAlign w:val="center"/>
            <w:hideMark/>
          </w:tcPr>
          <w:p w14:paraId="7C687BE3" w14:textId="1F5F18C5" w:rsidR="00EB3B52" w:rsidRPr="000668F6" w:rsidRDefault="00353319" w:rsidP="00EB3B52">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09</w:t>
            </w:r>
          </w:p>
        </w:tc>
      </w:tr>
      <w:tr w:rsidR="00EB3B52" w:rsidRPr="000668F6" w14:paraId="1D7DFB85" w14:textId="77777777" w:rsidTr="000668F6">
        <w:trPr>
          <w:trHeight w:val="220"/>
        </w:trPr>
        <w:tc>
          <w:tcPr>
            <w:tcW w:w="887" w:type="pct"/>
            <w:tcBorders>
              <w:top w:val="nil"/>
              <w:left w:val="nil"/>
              <w:bottom w:val="nil"/>
              <w:right w:val="nil"/>
            </w:tcBorders>
            <w:shd w:val="clear" w:color="auto" w:fill="auto"/>
            <w:noWrap/>
            <w:vAlign w:val="center"/>
            <w:hideMark/>
          </w:tcPr>
          <w:p w14:paraId="0B5FBC3C" w14:textId="77777777" w:rsidR="00EB3B52" w:rsidRPr="000668F6" w:rsidRDefault="00EB3B52" w:rsidP="00EB3B52">
            <w:pPr>
              <w:spacing w:after="0" w:line="240" w:lineRule="auto"/>
              <w:jc w:val="center"/>
              <w:rPr>
                <w:rFonts w:eastAsia="Times New Roman" w:cs="Times New Roman"/>
                <w:color w:val="000000"/>
                <w:lang w:eastAsia="zh-CN"/>
              </w:rPr>
            </w:pPr>
          </w:p>
        </w:tc>
        <w:tc>
          <w:tcPr>
            <w:tcW w:w="561" w:type="pct"/>
            <w:tcBorders>
              <w:top w:val="nil"/>
              <w:left w:val="nil"/>
              <w:bottom w:val="nil"/>
              <w:right w:val="nil"/>
            </w:tcBorders>
            <w:shd w:val="clear" w:color="auto" w:fill="auto"/>
            <w:noWrap/>
            <w:vAlign w:val="center"/>
            <w:hideMark/>
          </w:tcPr>
          <w:p w14:paraId="72C4FBD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(-2.91)</w:t>
            </w:r>
          </w:p>
        </w:tc>
        <w:tc>
          <w:tcPr>
            <w:tcW w:w="528" w:type="pct"/>
            <w:tcBorders>
              <w:top w:val="nil"/>
              <w:left w:val="nil"/>
              <w:bottom w:val="nil"/>
              <w:right w:val="nil"/>
            </w:tcBorders>
            <w:shd w:val="clear" w:color="auto" w:fill="auto"/>
            <w:noWrap/>
            <w:vAlign w:val="center"/>
            <w:hideMark/>
          </w:tcPr>
          <w:p w14:paraId="09FE9A90"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(-0.92)</w:t>
            </w:r>
          </w:p>
        </w:tc>
        <w:tc>
          <w:tcPr>
            <w:tcW w:w="528" w:type="pct"/>
            <w:tcBorders>
              <w:top w:val="nil"/>
              <w:left w:val="nil"/>
              <w:bottom w:val="nil"/>
              <w:right w:val="nil"/>
            </w:tcBorders>
            <w:shd w:val="clear" w:color="auto" w:fill="auto"/>
            <w:noWrap/>
            <w:vAlign w:val="center"/>
            <w:hideMark/>
          </w:tcPr>
          <w:p w14:paraId="077C3AF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(-1.86)</w:t>
            </w:r>
          </w:p>
        </w:tc>
        <w:tc>
          <w:tcPr>
            <w:tcW w:w="528" w:type="pct"/>
            <w:tcBorders>
              <w:top w:val="nil"/>
              <w:left w:val="nil"/>
              <w:bottom w:val="nil"/>
              <w:right w:val="nil"/>
            </w:tcBorders>
            <w:shd w:val="clear" w:color="auto" w:fill="auto"/>
            <w:noWrap/>
            <w:vAlign w:val="center"/>
            <w:hideMark/>
          </w:tcPr>
          <w:p w14:paraId="43EFC9FC"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(-1.74)</w:t>
            </w:r>
          </w:p>
        </w:tc>
        <w:tc>
          <w:tcPr>
            <w:tcW w:w="561" w:type="pct"/>
            <w:tcBorders>
              <w:top w:val="nil"/>
              <w:left w:val="nil"/>
              <w:bottom w:val="nil"/>
              <w:right w:val="nil"/>
            </w:tcBorders>
            <w:shd w:val="clear" w:color="auto" w:fill="auto"/>
            <w:noWrap/>
            <w:vAlign w:val="center"/>
            <w:hideMark/>
          </w:tcPr>
          <w:p w14:paraId="6124ACB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(-0.16)</w:t>
            </w:r>
          </w:p>
        </w:tc>
        <w:tc>
          <w:tcPr>
            <w:tcW w:w="561" w:type="pct"/>
            <w:tcBorders>
              <w:top w:val="nil"/>
              <w:left w:val="nil"/>
              <w:bottom w:val="nil"/>
              <w:right w:val="nil"/>
            </w:tcBorders>
            <w:shd w:val="clear" w:color="auto" w:fill="auto"/>
            <w:noWrap/>
            <w:vAlign w:val="center"/>
            <w:hideMark/>
          </w:tcPr>
          <w:p w14:paraId="57032FCA"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(-3.12)</w:t>
            </w:r>
          </w:p>
        </w:tc>
        <w:tc>
          <w:tcPr>
            <w:tcW w:w="847" w:type="pct"/>
            <w:tcBorders>
              <w:top w:val="nil"/>
              <w:left w:val="nil"/>
              <w:bottom w:val="nil"/>
              <w:right w:val="nil"/>
            </w:tcBorders>
            <w:shd w:val="clear" w:color="auto" w:fill="auto"/>
            <w:noWrap/>
            <w:vAlign w:val="center"/>
            <w:hideMark/>
          </w:tcPr>
          <w:p w14:paraId="304D3884"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(-1.37)</w:t>
            </w:r>
          </w:p>
        </w:tc>
      </w:tr>
      <w:tr w:rsidR="00EB3B52" w:rsidRPr="000668F6" w14:paraId="641C728E" w14:textId="77777777" w:rsidTr="000668F6">
        <w:trPr>
          <w:trHeight w:val="220"/>
        </w:trPr>
        <w:tc>
          <w:tcPr>
            <w:tcW w:w="887" w:type="pct"/>
            <w:tcBorders>
              <w:top w:val="nil"/>
              <w:left w:val="nil"/>
              <w:bottom w:val="nil"/>
              <w:right w:val="nil"/>
            </w:tcBorders>
            <w:shd w:val="clear" w:color="auto" w:fill="auto"/>
            <w:noWrap/>
            <w:vAlign w:val="center"/>
            <w:hideMark/>
          </w:tcPr>
          <w:p w14:paraId="0526CF7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Pre6ret</w:t>
            </w:r>
          </w:p>
        </w:tc>
        <w:tc>
          <w:tcPr>
            <w:tcW w:w="561" w:type="pct"/>
            <w:tcBorders>
              <w:top w:val="nil"/>
              <w:left w:val="nil"/>
              <w:bottom w:val="nil"/>
              <w:right w:val="nil"/>
            </w:tcBorders>
            <w:shd w:val="clear" w:color="auto" w:fill="auto"/>
            <w:noWrap/>
            <w:vAlign w:val="center"/>
            <w:hideMark/>
          </w:tcPr>
          <w:p w14:paraId="3CF10FBF" w14:textId="2FDD2785"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64***</w:t>
            </w:r>
          </w:p>
        </w:tc>
        <w:tc>
          <w:tcPr>
            <w:tcW w:w="528" w:type="pct"/>
            <w:tcBorders>
              <w:top w:val="nil"/>
              <w:left w:val="nil"/>
              <w:bottom w:val="nil"/>
              <w:right w:val="nil"/>
            </w:tcBorders>
            <w:shd w:val="clear" w:color="auto" w:fill="auto"/>
            <w:noWrap/>
            <w:vAlign w:val="center"/>
            <w:hideMark/>
          </w:tcPr>
          <w:p w14:paraId="06F5E93B" w14:textId="249ED4E9"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79***</w:t>
            </w:r>
          </w:p>
        </w:tc>
        <w:tc>
          <w:tcPr>
            <w:tcW w:w="528" w:type="pct"/>
            <w:tcBorders>
              <w:top w:val="nil"/>
              <w:left w:val="nil"/>
              <w:bottom w:val="nil"/>
              <w:right w:val="nil"/>
            </w:tcBorders>
            <w:shd w:val="clear" w:color="auto" w:fill="auto"/>
            <w:noWrap/>
            <w:vAlign w:val="center"/>
            <w:hideMark/>
          </w:tcPr>
          <w:p w14:paraId="230143EB" w14:textId="55B4A73F"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53**</w:t>
            </w:r>
          </w:p>
        </w:tc>
        <w:tc>
          <w:tcPr>
            <w:tcW w:w="528" w:type="pct"/>
            <w:tcBorders>
              <w:top w:val="nil"/>
              <w:left w:val="nil"/>
              <w:bottom w:val="nil"/>
              <w:right w:val="nil"/>
            </w:tcBorders>
            <w:shd w:val="clear" w:color="auto" w:fill="auto"/>
            <w:noWrap/>
            <w:vAlign w:val="center"/>
            <w:hideMark/>
          </w:tcPr>
          <w:p w14:paraId="02974CCA" w14:textId="56ADDE4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48**</w:t>
            </w:r>
          </w:p>
        </w:tc>
        <w:tc>
          <w:tcPr>
            <w:tcW w:w="561" w:type="pct"/>
            <w:tcBorders>
              <w:top w:val="nil"/>
              <w:left w:val="nil"/>
              <w:bottom w:val="nil"/>
              <w:right w:val="nil"/>
            </w:tcBorders>
            <w:shd w:val="clear" w:color="auto" w:fill="auto"/>
            <w:noWrap/>
            <w:vAlign w:val="center"/>
            <w:hideMark/>
          </w:tcPr>
          <w:p w14:paraId="0169A0A0" w14:textId="7F19FEA2"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69***</w:t>
            </w:r>
          </w:p>
        </w:tc>
        <w:tc>
          <w:tcPr>
            <w:tcW w:w="561" w:type="pct"/>
            <w:tcBorders>
              <w:top w:val="nil"/>
              <w:left w:val="nil"/>
              <w:bottom w:val="nil"/>
              <w:right w:val="nil"/>
            </w:tcBorders>
            <w:shd w:val="clear" w:color="auto" w:fill="auto"/>
            <w:noWrap/>
            <w:vAlign w:val="center"/>
            <w:hideMark/>
          </w:tcPr>
          <w:p w14:paraId="4C43D94B" w14:textId="1972388B"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64***</w:t>
            </w:r>
          </w:p>
        </w:tc>
        <w:tc>
          <w:tcPr>
            <w:tcW w:w="847" w:type="pct"/>
            <w:tcBorders>
              <w:top w:val="nil"/>
              <w:left w:val="nil"/>
              <w:bottom w:val="nil"/>
              <w:right w:val="nil"/>
            </w:tcBorders>
            <w:shd w:val="clear" w:color="auto" w:fill="auto"/>
            <w:noWrap/>
            <w:vAlign w:val="center"/>
            <w:hideMark/>
          </w:tcPr>
          <w:p w14:paraId="61F3E170" w14:textId="3F8D0473"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353319">
              <w:rPr>
                <w:rFonts w:eastAsia="Times New Roman" w:cs="Times New Roman"/>
                <w:color w:val="000000"/>
                <w:lang w:eastAsia="zh-CN"/>
              </w:rPr>
              <w:t>.</w:t>
            </w:r>
            <w:r w:rsidRPr="000668F6">
              <w:rPr>
                <w:rFonts w:eastAsia="Times New Roman" w:cs="Times New Roman"/>
                <w:color w:val="000000"/>
                <w:lang w:eastAsia="zh-CN"/>
              </w:rPr>
              <w:t>63***</w:t>
            </w:r>
          </w:p>
        </w:tc>
      </w:tr>
      <w:tr w:rsidR="00EB3B52" w:rsidRPr="000668F6" w14:paraId="3A196C3D" w14:textId="77777777" w:rsidTr="000668F6">
        <w:trPr>
          <w:trHeight w:val="220"/>
        </w:trPr>
        <w:tc>
          <w:tcPr>
            <w:tcW w:w="887" w:type="pct"/>
            <w:tcBorders>
              <w:top w:val="nil"/>
              <w:left w:val="nil"/>
              <w:bottom w:val="single" w:sz="4" w:space="0" w:color="auto"/>
              <w:right w:val="nil"/>
            </w:tcBorders>
            <w:shd w:val="clear" w:color="auto" w:fill="auto"/>
            <w:noWrap/>
            <w:vAlign w:val="center"/>
            <w:hideMark/>
          </w:tcPr>
          <w:p w14:paraId="3263AEDE"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561" w:type="pct"/>
            <w:tcBorders>
              <w:top w:val="nil"/>
              <w:left w:val="nil"/>
              <w:bottom w:val="single" w:sz="4" w:space="0" w:color="auto"/>
              <w:right w:val="nil"/>
            </w:tcBorders>
            <w:shd w:val="clear" w:color="auto" w:fill="auto"/>
            <w:noWrap/>
            <w:vAlign w:val="center"/>
            <w:hideMark/>
          </w:tcPr>
          <w:p w14:paraId="3538491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(3.27)</w:t>
            </w:r>
          </w:p>
        </w:tc>
        <w:tc>
          <w:tcPr>
            <w:tcW w:w="528" w:type="pct"/>
            <w:tcBorders>
              <w:top w:val="nil"/>
              <w:left w:val="nil"/>
              <w:bottom w:val="single" w:sz="4" w:space="0" w:color="auto"/>
              <w:right w:val="nil"/>
            </w:tcBorders>
            <w:shd w:val="clear" w:color="auto" w:fill="auto"/>
            <w:noWrap/>
            <w:vAlign w:val="center"/>
            <w:hideMark/>
          </w:tcPr>
          <w:p w14:paraId="4B5924BD"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(3.18)</w:t>
            </w:r>
          </w:p>
        </w:tc>
        <w:tc>
          <w:tcPr>
            <w:tcW w:w="528" w:type="pct"/>
            <w:tcBorders>
              <w:top w:val="nil"/>
              <w:left w:val="nil"/>
              <w:bottom w:val="single" w:sz="4" w:space="0" w:color="auto"/>
              <w:right w:val="nil"/>
            </w:tcBorders>
            <w:shd w:val="clear" w:color="auto" w:fill="auto"/>
            <w:noWrap/>
            <w:vAlign w:val="center"/>
            <w:hideMark/>
          </w:tcPr>
          <w:p w14:paraId="35E34CA3"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(2.38)</w:t>
            </w:r>
          </w:p>
        </w:tc>
        <w:tc>
          <w:tcPr>
            <w:tcW w:w="528" w:type="pct"/>
            <w:tcBorders>
              <w:top w:val="nil"/>
              <w:left w:val="nil"/>
              <w:bottom w:val="single" w:sz="4" w:space="0" w:color="auto"/>
              <w:right w:val="nil"/>
            </w:tcBorders>
            <w:shd w:val="clear" w:color="auto" w:fill="auto"/>
            <w:noWrap/>
            <w:vAlign w:val="center"/>
            <w:hideMark/>
          </w:tcPr>
          <w:p w14:paraId="6BFFEB38"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(2.05)</w:t>
            </w:r>
          </w:p>
        </w:tc>
        <w:tc>
          <w:tcPr>
            <w:tcW w:w="561" w:type="pct"/>
            <w:tcBorders>
              <w:top w:val="nil"/>
              <w:left w:val="nil"/>
              <w:bottom w:val="single" w:sz="4" w:space="0" w:color="auto"/>
              <w:right w:val="nil"/>
            </w:tcBorders>
            <w:shd w:val="clear" w:color="auto" w:fill="auto"/>
            <w:noWrap/>
            <w:vAlign w:val="center"/>
            <w:hideMark/>
          </w:tcPr>
          <w:p w14:paraId="53EFB3A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(3.48)</w:t>
            </w:r>
          </w:p>
        </w:tc>
        <w:tc>
          <w:tcPr>
            <w:tcW w:w="561" w:type="pct"/>
            <w:tcBorders>
              <w:top w:val="nil"/>
              <w:left w:val="nil"/>
              <w:bottom w:val="single" w:sz="4" w:space="0" w:color="auto"/>
              <w:right w:val="nil"/>
            </w:tcBorders>
            <w:shd w:val="clear" w:color="auto" w:fill="auto"/>
            <w:noWrap/>
            <w:vAlign w:val="center"/>
            <w:hideMark/>
          </w:tcPr>
          <w:p w14:paraId="2DCC3F06"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(3.12)</w:t>
            </w:r>
          </w:p>
        </w:tc>
        <w:tc>
          <w:tcPr>
            <w:tcW w:w="847" w:type="pct"/>
            <w:tcBorders>
              <w:top w:val="nil"/>
              <w:left w:val="nil"/>
              <w:bottom w:val="single" w:sz="4" w:space="0" w:color="auto"/>
              <w:right w:val="nil"/>
            </w:tcBorders>
            <w:shd w:val="clear" w:color="auto" w:fill="auto"/>
            <w:noWrap/>
            <w:vAlign w:val="center"/>
            <w:hideMark/>
          </w:tcPr>
          <w:p w14:paraId="0F9AA0D9" w14:textId="77777777" w:rsidR="00EB3B52" w:rsidRPr="000668F6" w:rsidRDefault="00EB3B52" w:rsidP="00EB3B52">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(3.09)</w:t>
            </w:r>
          </w:p>
        </w:tc>
      </w:tr>
    </w:tbl>
    <w:p w14:paraId="2C6A92CC" w14:textId="77777777" w:rsidR="0092303A" w:rsidRDefault="0092303A" w:rsidP="0092303A">
      <w:pPr>
        <w:spacing w:line="360" w:lineRule="auto"/>
        <w:jc w:val="both"/>
      </w:pPr>
    </w:p>
    <w:p w14:paraId="0F8E6C83" w14:textId="77777777" w:rsidR="0092303A" w:rsidRDefault="0092303A" w:rsidP="0092303A">
      <w:r>
        <w:br w:type="page"/>
      </w:r>
    </w:p>
    <w:p w14:paraId="6FE4729D" w14:textId="77777777" w:rsidR="0092303A" w:rsidRDefault="0092303A" w:rsidP="0092303A">
      <w:pPr>
        <w:spacing w:line="360" w:lineRule="auto"/>
        <w:jc w:val="both"/>
      </w:pPr>
      <w:r>
        <w:lastRenderedPageBreak/>
        <w:t>Panel C: growth type proxy – CF</w:t>
      </w:r>
    </w:p>
    <w:tbl>
      <w:tblPr>
        <w:tblW w:w="5056" w:type="pct"/>
        <w:tblLook w:val="04A0" w:firstRow="1" w:lastRow="0" w:firstColumn="1" w:lastColumn="0" w:noHBand="0" w:noVBand="1"/>
      </w:tblPr>
      <w:tblGrid>
        <w:gridCol w:w="1809"/>
        <w:gridCol w:w="1054"/>
        <w:gridCol w:w="959"/>
        <w:gridCol w:w="959"/>
        <w:gridCol w:w="959"/>
        <w:gridCol w:w="959"/>
        <w:gridCol w:w="959"/>
        <w:gridCol w:w="959"/>
      </w:tblGrid>
      <w:tr w:rsidR="00EB3B52" w:rsidRPr="000668F6" w14:paraId="5637768C" w14:textId="77777777" w:rsidTr="0094735D">
        <w:trPr>
          <w:trHeight w:val="220"/>
        </w:trPr>
        <w:tc>
          <w:tcPr>
            <w:tcW w:w="911" w:type="pct"/>
            <w:tcBorders>
              <w:top w:val="single" w:sz="4" w:space="0" w:color="auto"/>
              <w:left w:val="nil"/>
              <w:bottom w:val="single" w:sz="4" w:space="0" w:color="auto"/>
              <w:right w:val="nil"/>
            </w:tcBorders>
            <w:shd w:val="clear" w:color="auto" w:fill="auto"/>
            <w:noWrap/>
            <w:vAlign w:val="center"/>
            <w:hideMark/>
          </w:tcPr>
          <w:p w14:paraId="266D136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632" w:type="pct"/>
            <w:tcBorders>
              <w:top w:val="single" w:sz="4" w:space="0" w:color="auto"/>
              <w:left w:val="nil"/>
              <w:bottom w:val="single" w:sz="4" w:space="0" w:color="auto"/>
              <w:right w:val="nil"/>
            </w:tcBorders>
            <w:shd w:val="clear" w:color="auto" w:fill="auto"/>
            <w:noWrap/>
            <w:vAlign w:val="center"/>
            <w:hideMark/>
          </w:tcPr>
          <w:p w14:paraId="418F49EA"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1</w:t>
            </w:r>
          </w:p>
        </w:tc>
        <w:tc>
          <w:tcPr>
            <w:tcW w:w="576" w:type="pct"/>
            <w:tcBorders>
              <w:top w:val="single" w:sz="4" w:space="0" w:color="auto"/>
              <w:left w:val="nil"/>
              <w:bottom w:val="single" w:sz="4" w:space="0" w:color="auto"/>
              <w:right w:val="nil"/>
            </w:tcBorders>
            <w:shd w:val="clear" w:color="auto" w:fill="auto"/>
            <w:noWrap/>
            <w:vAlign w:val="center"/>
            <w:hideMark/>
          </w:tcPr>
          <w:p w14:paraId="31135F8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2</w:t>
            </w:r>
          </w:p>
        </w:tc>
        <w:tc>
          <w:tcPr>
            <w:tcW w:w="576" w:type="pct"/>
            <w:tcBorders>
              <w:top w:val="single" w:sz="4" w:space="0" w:color="auto"/>
              <w:left w:val="nil"/>
              <w:bottom w:val="single" w:sz="4" w:space="0" w:color="auto"/>
              <w:right w:val="nil"/>
            </w:tcBorders>
            <w:shd w:val="clear" w:color="auto" w:fill="auto"/>
            <w:noWrap/>
            <w:vAlign w:val="center"/>
            <w:hideMark/>
          </w:tcPr>
          <w:p w14:paraId="4F4405B2"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3</w:t>
            </w:r>
          </w:p>
        </w:tc>
        <w:tc>
          <w:tcPr>
            <w:tcW w:w="576" w:type="pct"/>
            <w:tcBorders>
              <w:top w:val="single" w:sz="4" w:space="0" w:color="auto"/>
              <w:left w:val="nil"/>
              <w:bottom w:val="single" w:sz="4" w:space="0" w:color="auto"/>
              <w:right w:val="nil"/>
            </w:tcBorders>
            <w:shd w:val="clear" w:color="auto" w:fill="auto"/>
            <w:noWrap/>
            <w:vAlign w:val="center"/>
            <w:hideMark/>
          </w:tcPr>
          <w:p w14:paraId="7F9B671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4</w:t>
            </w:r>
          </w:p>
        </w:tc>
        <w:tc>
          <w:tcPr>
            <w:tcW w:w="576" w:type="pct"/>
            <w:tcBorders>
              <w:top w:val="single" w:sz="4" w:space="0" w:color="auto"/>
              <w:left w:val="nil"/>
              <w:bottom w:val="single" w:sz="4" w:space="0" w:color="auto"/>
              <w:right w:val="nil"/>
            </w:tcBorders>
            <w:shd w:val="clear" w:color="auto" w:fill="auto"/>
            <w:noWrap/>
            <w:vAlign w:val="center"/>
            <w:hideMark/>
          </w:tcPr>
          <w:p w14:paraId="07CEA6A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5</w:t>
            </w:r>
          </w:p>
        </w:tc>
        <w:tc>
          <w:tcPr>
            <w:tcW w:w="576" w:type="pct"/>
            <w:tcBorders>
              <w:top w:val="single" w:sz="4" w:space="0" w:color="auto"/>
              <w:left w:val="nil"/>
              <w:bottom w:val="single" w:sz="4" w:space="0" w:color="auto"/>
              <w:right w:val="nil"/>
            </w:tcBorders>
            <w:shd w:val="clear" w:color="auto" w:fill="auto"/>
            <w:noWrap/>
            <w:vAlign w:val="center"/>
            <w:hideMark/>
          </w:tcPr>
          <w:p w14:paraId="1DDB8792"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6</w:t>
            </w:r>
          </w:p>
        </w:tc>
        <w:tc>
          <w:tcPr>
            <w:tcW w:w="576" w:type="pct"/>
            <w:tcBorders>
              <w:top w:val="single" w:sz="4" w:space="0" w:color="auto"/>
              <w:left w:val="nil"/>
              <w:bottom w:val="single" w:sz="4" w:space="0" w:color="auto"/>
              <w:right w:val="nil"/>
            </w:tcBorders>
            <w:shd w:val="clear" w:color="auto" w:fill="auto"/>
            <w:noWrap/>
            <w:vAlign w:val="center"/>
            <w:hideMark/>
          </w:tcPr>
          <w:p w14:paraId="09ECA30A"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Model 7</w:t>
            </w:r>
          </w:p>
        </w:tc>
      </w:tr>
      <w:tr w:rsidR="00EB3B52" w:rsidRPr="000668F6" w14:paraId="4EE85B44" w14:textId="77777777" w:rsidTr="0094735D">
        <w:trPr>
          <w:trHeight w:val="220"/>
        </w:trPr>
        <w:tc>
          <w:tcPr>
            <w:tcW w:w="911" w:type="pct"/>
            <w:tcBorders>
              <w:top w:val="nil"/>
              <w:left w:val="nil"/>
              <w:bottom w:val="nil"/>
              <w:right w:val="nil"/>
            </w:tcBorders>
            <w:shd w:val="clear" w:color="auto" w:fill="auto"/>
            <w:noWrap/>
            <w:vAlign w:val="center"/>
            <w:hideMark/>
          </w:tcPr>
          <w:p w14:paraId="28CBB06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Intercept</w:t>
            </w:r>
          </w:p>
        </w:tc>
        <w:tc>
          <w:tcPr>
            <w:tcW w:w="632" w:type="pct"/>
            <w:tcBorders>
              <w:top w:val="nil"/>
              <w:left w:val="nil"/>
              <w:bottom w:val="nil"/>
              <w:right w:val="nil"/>
            </w:tcBorders>
            <w:shd w:val="clear" w:color="auto" w:fill="auto"/>
            <w:noWrap/>
            <w:vAlign w:val="center"/>
            <w:hideMark/>
          </w:tcPr>
          <w:p w14:paraId="293A32B6" w14:textId="5B95D49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DA3D14">
              <w:rPr>
                <w:rFonts w:eastAsia="Times New Roman" w:cs="Times New Roman"/>
                <w:color w:val="000000"/>
                <w:lang w:eastAsia="zh-CN"/>
              </w:rPr>
              <w:t>.</w:t>
            </w:r>
            <w:r w:rsidRPr="000668F6">
              <w:rPr>
                <w:rFonts w:eastAsia="Times New Roman" w:cs="Times New Roman"/>
                <w:color w:val="000000"/>
                <w:lang w:eastAsia="zh-CN"/>
              </w:rPr>
              <w:t>43***</w:t>
            </w:r>
          </w:p>
        </w:tc>
        <w:tc>
          <w:tcPr>
            <w:tcW w:w="576" w:type="pct"/>
            <w:tcBorders>
              <w:top w:val="nil"/>
              <w:left w:val="nil"/>
              <w:bottom w:val="nil"/>
              <w:right w:val="nil"/>
            </w:tcBorders>
            <w:shd w:val="clear" w:color="auto" w:fill="auto"/>
            <w:noWrap/>
            <w:vAlign w:val="center"/>
            <w:hideMark/>
          </w:tcPr>
          <w:p w14:paraId="38B82FCF" w14:textId="0655DE6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DA3D14">
              <w:rPr>
                <w:rFonts w:eastAsia="Times New Roman" w:cs="Times New Roman"/>
                <w:color w:val="000000"/>
                <w:lang w:eastAsia="zh-CN"/>
              </w:rPr>
              <w:t>.</w:t>
            </w:r>
            <w:r w:rsidRPr="000668F6">
              <w:rPr>
                <w:rFonts w:eastAsia="Times New Roman" w:cs="Times New Roman"/>
                <w:color w:val="000000"/>
                <w:lang w:eastAsia="zh-CN"/>
              </w:rPr>
              <w:t>78***</w:t>
            </w:r>
          </w:p>
        </w:tc>
        <w:tc>
          <w:tcPr>
            <w:tcW w:w="576" w:type="pct"/>
            <w:tcBorders>
              <w:top w:val="nil"/>
              <w:left w:val="nil"/>
              <w:bottom w:val="nil"/>
              <w:right w:val="nil"/>
            </w:tcBorders>
            <w:shd w:val="clear" w:color="auto" w:fill="auto"/>
            <w:noWrap/>
            <w:vAlign w:val="center"/>
            <w:hideMark/>
          </w:tcPr>
          <w:p w14:paraId="0D0EDAD0" w14:textId="73C7C47B"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DA3D14">
              <w:rPr>
                <w:rFonts w:eastAsia="Times New Roman" w:cs="Times New Roman"/>
                <w:color w:val="000000"/>
                <w:lang w:eastAsia="zh-CN"/>
              </w:rPr>
              <w:t>.</w:t>
            </w:r>
            <w:r w:rsidRPr="000668F6">
              <w:rPr>
                <w:rFonts w:eastAsia="Times New Roman" w:cs="Times New Roman"/>
                <w:color w:val="000000"/>
                <w:lang w:eastAsia="zh-CN"/>
              </w:rPr>
              <w:t>34***</w:t>
            </w:r>
          </w:p>
        </w:tc>
        <w:tc>
          <w:tcPr>
            <w:tcW w:w="576" w:type="pct"/>
            <w:tcBorders>
              <w:top w:val="nil"/>
              <w:left w:val="nil"/>
              <w:bottom w:val="nil"/>
              <w:right w:val="nil"/>
            </w:tcBorders>
            <w:shd w:val="clear" w:color="auto" w:fill="auto"/>
            <w:noWrap/>
            <w:vAlign w:val="center"/>
            <w:hideMark/>
          </w:tcPr>
          <w:p w14:paraId="0DED2366" w14:textId="74A8DE6E"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DA3D14">
              <w:rPr>
                <w:rFonts w:eastAsia="Times New Roman" w:cs="Times New Roman"/>
                <w:color w:val="000000"/>
                <w:lang w:eastAsia="zh-CN"/>
              </w:rPr>
              <w:t>.</w:t>
            </w:r>
            <w:r w:rsidRPr="000668F6">
              <w:rPr>
                <w:rFonts w:eastAsia="Times New Roman" w:cs="Times New Roman"/>
                <w:color w:val="000000"/>
                <w:lang w:eastAsia="zh-CN"/>
              </w:rPr>
              <w:t>26***</w:t>
            </w:r>
          </w:p>
        </w:tc>
        <w:tc>
          <w:tcPr>
            <w:tcW w:w="576" w:type="pct"/>
            <w:tcBorders>
              <w:top w:val="nil"/>
              <w:left w:val="nil"/>
              <w:bottom w:val="nil"/>
              <w:right w:val="nil"/>
            </w:tcBorders>
            <w:shd w:val="clear" w:color="auto" w:fill="auto"/>
            <w:noWrap/>
            <w:vAlign w:val="center"/>
            <w:hideMark/>
          </w:tcPr>
          <w:p w14:paraId="5D73BE9E" w14:textId="5E6EE03A"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w:t>
            </w:r>
            <w:r w:rsidR="00DA3D14">
              <w:rPr>
                <w:rFonts w:eastAsia="Times New Roman" w:cs="Times New Roman"/>
                <w:color w:val="000000"/>
                <w:lang w:eastAsia="zh-CN"/>
              </w:rPr>
              <w:t>.</w:t>
            </w:r>
            <w:r w:rsidRPr="000668F6">
              <w:rPr>
                <w:rFonts w:eastAsia="Times New Roman" w:cs="Times New Roman"/>
                <w:color w:val="000000"/>
                <w:lang w:eastAsia="zh-CN"/>
              </w:rPr>
              <w:t>77**</w:t>
            </w:r>
          </w:p>
        </w:tc>
        <w:tc>
          <w:tcPr>
            <w:tcW w:w="576" w:type="pct"/>
            <w:tcBorders>
              <w:top w:val="nil"/>
              <w:left w:val="nil"/>
              <w:bottom w:val="nil"/>
              <w:right w:val="nil"/>
            </w:tcBorders>
            <w:shd w:val="clear" w:color="auto" w:fill="auto"/>
            <w:noWrap/>
            <w:vAlign w:val="center"/>
            <w:hideMark/>
          </w:tcPr>
          <w:p w14:paraId="3C64A6F0" w14:textId="257DF802"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DA3D14">
              <w:rPr>
                <w:rFonts w:eastAsia="Times New Roman" w:cs="Times New Roman"/>
                <w:color w:val="000000"/>
                <w:lang w:eastAsia="zh-CN"/>
              </w:rPr>
              <w:t>.</w:t>
            </w:r>
            <w:r w:rsidRPr="000668F6">
              <w:rPr>
                <w:rFonts w:eastAsia="Times New Roman" w:cs="Times New Roman"/>
                <w:color w:val="000000"/>
                <w:lang w:eastAsia="zh-CN"/>
              </w:rPr>
              <w:t>33***</w:t>
            </w:r>
          </w:p>
        </w:tc>
        <w:tc>
          <w:tcPr>
            <w:tcW w:w="576" w:type="pct"/>
            <w:tcBorders>
              <w:top w:val="nil"/>
              <w:left w:val="nil"/>
              <w:bottom w:val="nil"/>
              <w:right w:val="nil"/>
            </w:tcBorders>
            <w:shd w:val="clear" w:color="auto" w:fill="auto"/>
            <w:noWrap/>
            <w:vAlign w:val="center"/>
            <w:hideMark/>
          </w:tcPr>
          <w:p w14:paraId="7C652278" w14:textId="6C1C0BE5"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w:t>
            </w:r>
            <w:r w:rsidR="00DA3D14">
              <w:rPr>
                <w:rFonts w:eastAsia="Times New Roman" w:cs="Times New Roman"/>
                <w:color w:val="000000"/>
                <w:lang w:eastAsia="zh-CN"/>
              </w:rPr>
              <w:t>.</w:t>
            </w:r>
            <w:r w:rsidRPr="000668F6">
              <w:rPr>
                <w:rFonts w:eastAsia="Times New Roman" w:cs="Times New Roman"/>
                <w:color w:val="000000"/>
                <w:lang w:eastAsia="zh-CN"/>
              </w:rPr>
              <w:t>66***</w:t>
            </w:r>
          </w:p>
        </w:tc>
      </w:tr>
      <w:tr w:rsidR="00EB3B52" w:rsidRPr="000668F6" w14:paraId="56F2A7FD" w14:textId="77777777" w:rsidTr="0094735D">
        <w:trPr>
          <w:trHeight w:val="220"/>
        </w:trPr>
        <w:tc>
          <w:tcPr>
            <w:tcW w:w="911" w:type="pct"/>
            <w:tcBorders>
              <w:top w:val="nil"/>
              <w:left w:val="nil"/>
              <w:bottom w:val="nil"/>
              <w:right w:val="nil"/>
            </w:tcBorders>
            <w:shd w:val="clear" w:color="auto" w:fill="auto"/>
            <w:noWrap/>
            <w:vAlign w:val="center"/>
            <w:hideMark/>
          </w:tcPr>
          <w:p w14:paraId="43021B57"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42DFB81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(9.34)</w:t>
            </w:r>
          </w:p>
        </w:tc>
        <w:tc>
          <w:tcPr>
            <w:tcW w:w="576" w:type="pct"/>
            <w:tcBorders>
              <w:top w:val="nil"/>
              <w:left w:val="nil"/>
              <w:bottom w:val="nil"/>
              <w:right w:val="nil"/>
            </w:tcBorders>
            <w:shd w:val="clear" w:color="auto" w:fill="auto"/>
            <w:noWrap/>
            <w:vAlign w:val="center"/>
            <w:hideMark/>
          </w:tcPr>
          <w:p w14:paraId="1BA5276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(3.39)</w:t>
            </w:r>
          </w:p>
        </w:tc>
        <w:tc>
          <w:tcPr>
            <w:tcW w:w="576" w:type="pct"/>
            <w:tcBorders>
              <w:top w:val="nil"/>
              <w:left w:val="nil"/>
              <w:bottom w:val="nil"/>
              <w:right w:val="nil"/>
            </w:tcBorders>
            <w:shd w:val="clear" w:color="auto" w:fill="auto"/>
            <w:noWrap/>
            <w:vAlign w:val="center"/>
            <w:hideMark/>
          </w:tcPr>
          <w:p w14:paraId="29E4D82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(4.76)</w:t>
            </w:r>
          </w:p>
        </w:tc>
        <w:tc>
          <w:tcPr>
            <w:tcW w:w="576" w:type="pct"/>
            <w:tcBorders>
              <w:top w:val="nil"/>
              <w:left w:val="nil"/>
              <w:bottom w:val="nil"/>
              <w:right w:val="nil"/>
            </w:tcBorders>
            <w:shd w:val="clear" w:color="auto" w:fill="auto"/>
            <w:noWrap/>
            <w:vAlign w:val="center"/>
            <w:hideMark/>
          </w:tcPr>
          <w:p w14:paraId="4B464709"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(5.10)</w:t>
            </w:r>
          </w:p>
        </w:tc>
        <w:tc>
          <w:tcPr>
            <w:tcW w:w="576" w:type="pct"/>
            <w:tcBorders>
              <w:top w:val="nil"/>
              <w:left w:val="nil"/>
              <w:bottom w:val="nil"/>
              <w:right w:val="nil"/>
            </w:tcBorders>
            <w:shd w:val="clear" w:color="auto" w:fill="auto"/>
            <w:noWrap/>
            <w:vAlign w:val="center"/>
            <w:hideMark/>
          </w:tcPr>
          <w:p w14:paraId="621FF47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(2.16)</w:t>
            </w:r>
          </w:p>
        </w:tc>
        <w:tc>
          <w:tcPr>
            <w:tcW w:w="576" w:type="pct"/>
            <w:tcBorders>
              <w:top w:val="nil"/>
              <w:left w:val="nil"/>
              <w:bottom w:val="nil"/>
              <w:right w:val="nil"/>
            </w:tcBorders>
            <w:shd w:val="clear" w:color="auto" w:fill="auto"/>
            <w:noWrap/>
            <w:vAlign w:val="center"/>
            <w:hideMark/>
          </w:tcPr>
          <w:p w14:paraId="7EF17A8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(6.44)</w:t>
            </w:r>
          </w:p>
        </w:tc>
        <w:tc>
          <w:tcPr>
            <w:tcW w:w="576" w:type="pct"/>
            <w:tcBorders>
              <w:top w:val="nil"/>
              <w:left w:val="nil"/>
              <w:bottom w:val="nil"/>
              <w:right w:val="nil"/>
            </w:tcBorders>
            <w:shd w:val="clear" w:color="auto" w:fill="auto"/>
            <w:noWrap/>
            <w:vAlign w:val="center"/>
            <w:hideMark/>
          </w:tcPr>
          <w:p w14:paraId="10F660F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(7.93)</w:t>
            </w:r>
          </w:p>
        </w:tc>
      </w:tr>
      <w:tr w:rsidR="00EB3B52" w:rsidRPr="000668F6" w14:paraId="474C2C74" w14:textId="77777777" w:rsidTr="0094735D">
        <w:trPr>
          <w:trHeight w:val="220"/>
        </w:trPr>
        <w:tc>
          <w:tcPr>
            <w:tcW w:w="911" w:type="pct"/>
            <w:tcBorders>
              <w:top w:val="nil"/>
              <w:left w:val="nil"/>
              <w:bottom w:val="nil"/>
              <w:right w:val="nil"/>
            </w:tcBorders>
            <w:shd w:val="clear" w:color="auto" w:fill="auto"/>
            <w:noWrap/>
            <w:vAlign w:val="center"/>
            <w:hideMark/>
          </w:tcPr>
          <w:p w14:paraId="362380F5"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w:t>
            </w:r>
          </w:p>
        </w:tc>
        <w:tc>
          <w:tcPr>
            <w:tcW w:w="632" w:type="pct"/>
            <w:tcBorders>
              <w:top w:val="nil"/>
              <w:left w:val="nil"/>
              <w:bottom w:val="nil"/>
              <w:right w:val="nil"/>
            </w:tcBorders>
            <w:shd w:val="clear" w:color="auto" w:fill="auto"/>
            <w:noWrap/>
            <w:vAlign w:val="center"/>
            <w:hideMark/>
          </w:tcPr>
          <w:p w14:paraId="0B170E00" w14:textId="7826E7F4"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42</w:t>
            </w:r>
          </w:p>
        </w:tc>
        <w:tc>
          <w:tcPr>
            <w:tcW w:w="576" w:type="pct"/>
            <w:tcBorders>
              <w:top w:val="nil"/>
              <w:left w:val="nil"/>
              <w:bottom w:val="nil"/>
              <w:right w:val="nil"/>
            </w:tcBorders>
            <w:shd w:val="clear" w:color="auto" w:fill="auto"/>
            <w:noWrap/>
            <w:vAlign w:val="center"/>
            <w:hideMark/>
          </w:tcPr>
          <w:p w14:paraId="0E80C50F" w14:textId="2237882D"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62*</w:t>
            </w:r>
          </w:p>
        </w:tc>
        <w:tc>
          <w:tcPr>
            <w:tcW w:w="576" w:type="pct"/>
            <w:tcBorders>
              <w:top w:val="nil"/>
              <w:left w:val="nil"/>
              <w:bottom w:val="nil"/>
              <w:right w:val="nil"/>
            </w:tcBorders>
            <w:shd w:val="clear" w:color="auto" w:fill="auto"/>
            <w:noWrap/>
            <w:vAlign w:val="center"/>
            <w:hideMark/>
          </w:tcPr>
          <w:p w14:paraId="7D14869E" w14:textId="5530A2D4"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69**</w:t>
            </w:r>
          </w:p>
        </w:tc>
        <w:tc>
          <w:tcPr>
            <w:tcW w:w="576" w:type="pct"/>
            <w:tcBorders>
              <w:top w:val="nil"/>
              <w:left w:val="nil"/>
              <w:bottom w:val="nil"/>
              <w:right w:val="nil"/>
            </w:tcBorders>
            <w:shd w:val="clear" w:color="auto" w:fill="auto"/>
            <w:noWrap/>
            <w:vAlign w:val="center"/>
            <w:hideMark/>
          </w:tcPr>
          <w:p w14:paraId="177D681E" w14:textId="1F292C49"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22</w:t>
            </w:r>
          </w:p>
        </w:tc>
        <w:tc>
          <w:tcPr>
            <w:tcW w:w="576" w:type="pct"/>
            <w:tcBorders>
              <w:top w:val="nil"/>
              <w:left w:val="nil"/>
              <w:bottom w:val="nil"/>
              <w:right w:val="nil"/>
            </w:tcBorders>
            <w:shd w:val="clear" w:color="auto" w:fill="auto"/>
            <w:noWrap/>
            <w:vAlign w:val="center"/>
            <w:hideMark/>
          </w:tcPr>
          <w:p w14:paraId="410FFF2B" w14:textId="0638B6FF"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25</w:t>
            </w:r>
          </w:p>
        </w:tc>
        <w:tc>
          <w:tcPr>
            <w:tcW w:w="576" w:type="pct"/>
            <w:tcBorders>
              <w:top w:val="nil"/>
              <w:left w:val="nil"/>
              <w:bottom w:val="nil"/>
              <w:right w:val="nil"/>
            </w:tcBorders>
            <w:shd w:val="clear" w:color="auto" w:fill="auto"/>
            <w:noWrap/>
            <w:vAlign w:val="center"/>
            <w:hideMark/>
          </w:tcPr>
          <w:p w14:paraId="1DBCFE46" w14:textId="727E2376"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80</w:t>
            </w:r>
          </w:p>
        </w:tc>
        <w:tc>
          <w:tcPr>
            <w:tcW w:w="576" w:type="pct"/>
            <w:tcBorders>
              <w:top w:val="nil"/>
              <w:left w:val="nil"/>
              <w:bottom w:val="nil"/>
              <w:right w:val="nil"/>
            </w:tcBorders>
            <w:shd w:val="clear" w:color="auto" w:fill="auto"/>
            <w:noWrap/>
            <w:vAlign w:val="center"/>
            <w:hideMark/>
          </w:tcPr>
          <w:p w14:paraId="76737B40" w14:textId="67816CE3"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2</w:t>
            </w:r>
            <w:r>
              <w:rPr>
                <w:rFonts w:eastAsia="Times New Roman" w:cs="Times New Roman"/>
                <w:color w:val="000000"/>
                <w:lang w:eastAsia="zh-CN"/>
              </w:rPr>
              <w:t>.</w:t>
            </w:r>
            <w:r w:rsidR="00EB3B52" w:rsidRPr="000668F6">
              <w:rPr>
                <w:rFonts w:eastAsia="Times New Roman" w:cs="Times New Roman"/>
                <w:color w:val="000000"/>
                <w:lang w:eastAsia="zh-CN"/>
              </w:rPr>
              <w:t>43***</w:t>
            </w:r>
          </w:p>
        </w:tc>
      </w:tr>
      <w:tr w:rsidR="00EB3B52" w:rsidRPr="000668F6" w14:paraId="27A5B542" w14:textId="77777777" w:rsidTr="0094735D">
        <w:trPr>
          <w:trHeight w:val="220"/>
        </w:trPr>
        <w:tc>
          <w:tcPr>
            <w:tcW w:w="911" w:type="pct"/>
            <w:tcBorders>
              <w:top w:val="nil"/>
              <w:left w:val="nil"/>
              <w:bottom w:val="nil"/>
              <w:right w:val="nil"/>
            </w:tcBorders>
            <w:shd w:val="clear" w:color="auto" w:fill="auto"/>
            <w:noWrap/>
            <w:vAlign w:val="center"/>
            <w:hideMark/>
          </w:tcPr>
          <w:p w14:paraId="50522EB0"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7BD5F9E3"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(-1.29)</w:t>
            </w:r>
          </w:p>
        </w:tc>
        <w:tc>
          <w:tcPr>
            <w:tcW w:w="576" w:type="pct"/>
            <w:tcBorders>
              <w:top w:val="nil"/>
              <w:left w:val="nil"/>
              <w:bottom w:val="nil"/>
              <w:right w:val="nil"/>
            </w:tcBorders>
            <w:shd w:val="clear" w:color="auto" w:fill="auto"/>
            <w:noWrap/>
            <w:vAlign w:val="center"/>
            <w:hideMark/>
          </w:tcPr>
          <w:p w14:paraId="5AE0858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(-1.76)</w:t>
            </w:r>
          </w:p>
        </w:tc>
        <w:tc>
          <w:tcPr>
            <w:tcW w:w="576" w:type="pct"/>
            <w:tcBorders>
              <w:top w:val="nil"/>
              <w:left w:val="nil"/>
              <w:bottom w:val="nil"/>
              <w:right w:val="nil"/>
            </w:tcBorders>
            <w:shd w:val="clear" w:color="auto" w:fill="auto"/>
            <w:noWrap/>
            <w:vAlign w:val="center"/>
            <w:hideMark/>
          </w:tcPr>
          <w:p w14:paraId="726E926E"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(-2.40)</w:t>
            </w:r>
          </w:p>
        </w:tc>
        <w:tc>
          <w:tcPr>
            <w:tcW w:w="576" w:type="pct"/>
            <w:tcBorders>
              <w:top w:val="nil"/>
              <w:left w:val="nil"/>
              <w:bottom w:val="nil"/>
              <w:right w:val="nil"/>
            </w:tcBorders>
            <w:shd w:val="clear" w:color="auto" w:fill="auto"/>
            <w:noWrap/>
            <w:vAlign w:val="center"/>
            <w:hideMark/>
          </w:tcPr>
          <w:p w14:paraId="16F48DBC"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(-0.79)</w:t>
            </w:r>
          </w:p>
        </w:tc>
        <w:tc>
          <w:tcPr>
            <w:tcW w:w="576" w:type="pct"/>
            <w:tcBorders>
              <w:top w:val="nil"/>
              <w:left w:val="nil"/>
              <w:bottom w:val="nil"/>
              <w:right w:val="nil"/>
            </w:tcBorders>
            <w:shd w:val="clear" w:color="auto" w:fill="auto"/>
            <w:noWrap/>
            <w:vAlign w:val="center"/>
            <w:hideMark/>
          </w:tcPr>
          <w:p w14:paraId="3EEE1DDE"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(-0.82)</w:t>
            </w:r>
          </w:p>
        </w:tc>
        <w:tc>
          <w:tcPr>
            <w:tcW w:w="576" w:type="pct"/>
            <w:tcBorders>
              <w:top w:val="nil"/>
              <w:left w:val="nil"/>
              <w:bottom w:val="nil"/>
              <w:right w:val="nil"/>
            </w:tcBorders>
            <w:shd w:val="clear" w:color="auto" w:fill="auto"/>
            <w:noWrap/>
            <w:vAlign w:val="center"/>
            <w:hideMark/>
          </w:tcPr>
          <w:p w14:paraId="4FFCACC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(-1.48)</w:t>
            </w:r>
          </w:p>
        </w:tc>
        <w:tc>
          <w:tcPr>
            <w:tcW w:w="576" w:type="pct"/>
            <w:tcBorders>
              <w:top w:val="nil"/>
              <w:left w:val="nil"/>
              <w:bottom w:val="nil"/>
              <w:right w:val="nil"/>
            </w:tcBorders>
            <w:shd w:val="clear" w:color="auto" w:fill="auto"/>
            <w:noWrap/>
            <w:vAlign w:val="center"/>
            <w:hideMark/>
          </w:tcPr>
          <w:p w14:paraId="2B7E4EE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(-3.49)</w:t>
            </w:r>
          </w:p>
        </w:tc>
      </w:tr>
      <w:tr w:rsidR="00EB3B52" w:rsidRPr="000668F6" w14:paraId="65DFA0B9" w14:textId="77777777" w:rsidTr="0094735D">
        <w:trPr>
          <w:trHeight w:val="220"/>
        </w:trPr>
        <w:tc>
          <w:tcPr>
            <w:tcW w:w="911" w:type="pct"/>
            <w:tcBorders>
              <w:top w:val="nil"/>
              <w:left w:val="nil"/>
              <w:bottom w:val="nil"/>
              <w:right w:val="nil"/>
            </w:tcBorders>
            <w:shd w:val="clear" w:color="auto" w:fill="auto"/>
            <w:noWrap/>
            <w:vAlign w:val="center"/>
            <w:hideMark/>
          </w:tcPr>
          <w:p w14:paraId="1B27677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ln(1+AG)*GT</w:t>
            </w:r>
          </w:p>
        </w:tc>
        <w:tc>
          <w:tcPr>
            <w:tcW w:w="632" w:type="pct"/>
            <w:tcBorders>
              <w:top w:val="nil"/>
              <w:left w:val="nil"/>
              <w:bottom w:val="nil"/>
              <w:right w:val="nil"/>
            </w:tcBorders>
            <w:shd w:val="clear" w:color="auto" w:fill="auto"/>
            <w:noWrap/>
            <w:vAlign w:val="center"/>
            <w:hideMark/>
          </w:tcPr>
          <w:p w14:paraId="51B811F2" w14:textId="5FE98888"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80***</w:t>
            </w:r>
          </w:p>
        </w:tc>
        <w:tc>
          <w:tcPr>
            <w:tcW w:w="576" w:type="pct"/>
            <w:tcBorders>
              <w:top w:val="nil"/>
              <w:left w:val="nil"/>
              <w:bottom w:val="nil"/>
              <w:right w:val="nil"/>
            </w:tcBorders>
            <w:shd w:val="clear" w:color="auto" w:fill="auto"/>
            <w:noWrap/>
            <w:vAlign w:val="center"/>
            <w:hideMark/>
          </w:tcPr>
          <w:p w14:paraId="1D955E16" w14:textId="170B7F97"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70</w:t>
            </w:r>
          </w:p>
        </w:tc>
        <w:tc>
          <w:tcPr>
            <w:tcW w:w="576" w:type="pct"/>
            <w:tcBorders>
              <w:top w:val="nil"/>
              <w:left w:val="nil"/>
              <w:bottom w:val="nil"/>
              <w:right w:val="nil"/>
            </w:tcBorders>
            <w:shd w:val="clear" w:color="auto" w:fill="auto"/>
            <w:noWrap/>
            <w:vAlign w:val="center"/>
            <w:hideMark/>
          </w:tcPr>
          <w:p w14:paraId="06473E6C" w14:textId="538BEE66"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29</w:t>
            </w:r>
          </w:p>
        </w:tc>
        <w:tc>
          <w:tcPr>
            <w:tcW w:w="576" w:type="pct"/>
            <w:tcBorders>
              <w:top w:val="nil"/>
              <w:left w:val="nil"/>
              <w:bottom w:val="nil"/>
              <w:right w:val="nil"/>
            </w:tcBorders>
            <w:shd w:val="clear" w:color="auto" w:fill="auto"/>
            <w:noWrap/>
            <w:vAlign w:val="center"/>
            <w:hideMark/>
          </w:tcPr>
          <w:p w14:paraId="76327332" w14:textId="7AA069A2"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41</w:t>
            </w:r>
          </w:p>
        </w:tc>
        <w:tc>
          <w:tcPr>
            <w:tcW w:w="576" w:type="pct"/>
            <w:tcBorders>
              <w:top w:val="nil"/>
              <w:left w:val="nil"/>
              <w:bottom w:val="nil"/>
              <w:right w:val="nil"/>
            </w:tcBorders>
            <w:shd w:val="clear" w:color="auto" w:fill="auto"/>
            <w:noWrap/>
            <w:vAlign w:val="center"/>
            <w:hideMark/>
          </w:tcPr>
          <w:p w14:paraId="087A4DB0" w14:textId="4851422C"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01</w:t>
            </w:r>
          </w:p>
        </w:tc>
        <w:tc>
          <w:tcPr>
            <w:tcW w:w="576" w:type="pct"/>
            <w:tcBorders>
              <w:top w:val="nil"/>
              <w:left w:val="nil"/>
              <w:bottom w:val="nil"/>
              <w:right w:val="nil"/>
            </w:tcBorders>
            <w:shd w:val="clear" w:color="auto" w:fill="auto"/>
            <w:noWrap/>
            <w:vAlign w:val="center"/>
            <w:hideMark/>
          </w:tcPr>
          <w:p w14:paraId="57030A9D" w14:textId="2ADBE0E6"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83***</w:t>
            </w:r>
          </w:p>
        </w:tc>
        <w:tc>
          <w:tcPr>
            <w:tcW w:w="576" w:type="pct"/>
            <w:tcBorders>
              <w:top w:val="nil"/>
              <w:left w:val="nil"/>
              <w:bottom w:val="nil"/>
              <w:right w:val="nil"/>
            </w:tcBorders>
            <w:shd w:val="clear" w:color="auto" w:fill="auto"/>
            <w:noWrap/>
            <w:vAlign w:val="center"/>
            <w:hideMark/>
          </w:tcPr>
          <w:p w14:paraId="2ABB1349" w14:textId="6AD36223"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02</w:t>
            </w:r>
          </w:p>
        </w:tc>
      </w:tr>
      <w:tr w:rsidR="00EB3B52" w:rsidRPr="000668F6" w14:paraId="55CBC2DE" w14:textId="77777777" w:rsidTr="0094735D">
        <w:trPr>
          <w:trHeight w:val="220"/>
        </w:trPr>
        <w:tc>
          <w:tcPr>
            <w:tcW w:w="911" w:type="pct"/>
            <w:tcBorders>
              <w:top w:val="nil"/>
              <w:left w:val="nil"/>
              <w:bottom w:val="nil"/>
              <w:right w:val="nil"/>
            </w:tcBorders>
            <w:shd w:val="clear" w:color="auto" w:fill="auto"/>
            <w:noWrap/>
            <w:vAlign w:val="center"/>
            <w:hideMark/>
          </w:tcPr>
          <w:p w14:paraId="4F25C4CE"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76FBE66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(-2.59)</w:t>
            </w:r>
          </w:p>
        </w:tc>
        <w:tc>
          <w:tcPr>
            <w:tcW w:w="576" w:type="pct"/>
            <w:tcBorders>
              <w:top w:val="nil"/>
              <w:left w:val="nil"/>
              <w:bottom w:val="nil"/>
              <w:right w:val="nil"/>
            </w:tcBorders>
            <w:shd w:val="clear" w:color="auto" w:fill="auto"/>
            <w:noWrap/>
            <w:vAlign w:val="center"/>
            <w:hideMark/>
          </w:tcPr>
          <w:p w14:paraId="38C20562"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(-1.50)</w:t>
            </w:r>
          </w:p>
        </w:tc>
        <w:tc>
          <w:tcPr>
            <w:tcW w:w="576" w:type="pct"/>
            <w:tcBorders>
              <w:top w:val="nil"/>
              <w:left w:val="nil"/>
              <w:bottom w:val="nil"/>
              <w:right w:val="nil"/>
            </w:tcBorders>
            <w:shd w:val="clear" w:color="auto" w:fill="auto"/>
            <w:noWrap/>
            <w:vAlign w:val="center"/>
            <w:hideMark/>
          </w:tcPr>
          <w:p w14:paraId="06555B0B"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(-0.71)</w:t>
            </w:r>
          </w:p>
        </w:tc>
        <w:tc>
          <w:tcPr>
            <w:tcW w:w="576" w:type="pct"/>
            <w:tcBorders>
              <w:top w:val="nil"/>
              <w:left w:val="nil"/>
              <w:bottom w:val="nil"/>
              <w:right w:val="nil"/>
            </w:tcBorders>
            <w:shd w:val="clear" w:color="auto" w:fill="auto"/>
            <w:noWrap/>
            <w:vAlign w:val="center"/>
            <w:hideMark/>
          </w:tcPr>
          <w:p w14:paraId="139271B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(-0.88)</w:t>
            </w:r>
          </w:p>
        </w:tc>
        <w:tc>
          <w:tcPr>
            <w:tcW w:w="576" w:type="pct"/>
            <w:tcBorders>
              <w:top w:val="nil"/>
              <w:left w:val="nil"/>
              <w:bottom w:val="nil"/>
              <w:right w:val="nil"/>
            </w:tcBorders>
            <w:shd w:val="clear" w:color="auto" w:fill="auto"/>
            <w:noWrap/>
            <w:vAlign w:val="center"/>
            <w:hideMark/>
          </w:tcPr>
          <w:p w14:paraId="74204BB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(0.04)</w:t>
            </w:r>
          </w:p>
        </w:tc>
        <w:tc>
          <w:tcPr>
            <w:tcW w:w="576" w:type="pct"/>
            <w:tcBorders>
              <w:top w:val="nil"/>
              <w:left w:val="nil"/>
              <w:bottom w:val="nil"/>
              <w:right w:val="nil"/>
            </w:tcBorders>
            <w:shd w:val="clear" w:color="auto" w:fill="auto"/>
            <w:noWrap/>
            <w:vAlign w:val="center"/>
            <w:hideMark/>
          </w:tcPr>
          <w:p w14:paraId="1605C96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(-2.93)</w:t>
            </w:r>
          </w:p>
        </w:tc>
        <w:tc>
          <w:tcPr>
            <w:tcW w:w="576" w:type="pct"/>
            <w:tcBorders>
              <w:top w:val="nil"/>
              <w:left w:val="nil"/>
              <w:bottom w:val="nil"/>
              <w:right w:val="nil"/>
            </w:tcBorders>
            <w:shd w:val="clear" w:color="auto" w:fill="auto"/>
            <w:noWrap/>
            <w:vAlign w:val="center"/>
            <w:hideMark/>
          </w:tcPr>
          <w:p w14:paraId="770D56E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(-0.05)</w:t>
            </w:r>
          </w:p>
        </w:tc>
      </w:tr>
      <w:tr w:rsidR="00EB3B52" w:rsidRPr="000668F6" w14:paraId="109E277A" w14:textId="77777777" w:rsidTr="0094735D">
        <w:trPr>
          <w:trHeight w:val="220"/>
        </w:trPr>
        <w:tc>
          <w:tcPr>
            <w:tcW w:w="911" w:type="pct"/>
            <w:tcBorders>
              <w:top w:val="nil"/>
              <w:left w:val="nil"/>
              <w:bottom w:val="nil"/>
              <w:right w:val="nil"/>
            </w:tcBorders>
            <w:shd w:val="clear" w:color="auto" w:fill="auto"/>
            <w:noWrap/>
            <w:vAlign w:val="center"/>
            <w:hideMark/>
          </w:tcPr>
          <w:p w14:paraId="04FFAEAC"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ln(1+AG)*IVOL</w:t>
            </w:r>
          </w:p>
        </w:tc>
        <w:tc>
          <w:tcPr>
            <w:tcW w:w="632" w:type="pct"/>
            <w:tcBorders>
              <w:top w:val="nil"/>
              <w:left w:val="nil"/>
              <w:bottom w:val="nil"/>
              <w:right w:val="nil"/>
            </w:tcBorders>
            <w:shd w:val="clear" w:color="auto" w:fill="auto"/>
            <w:noWrap/>
            <w:vAlign w:val="center"/>
            <w:hideMark/>
          </w:tcPr>
          <w:p w14:paraId="5FDC9ECD" w14:textId="77E50327"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2</w:t>
            </w: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0</w:t>
            </w:r>
          </w:p>
        </w:tc>
        <w:tc>
          <w:tcPr>
            <w:tcW w:w="576" w:type="pct"/>
            <w:tcBorders>
              <w:top w:val="nil"/>
              <w:left w:val="nil"/>
              <w:bottom w:val="nil"/>
              <w:right w:val="nil"/>
            </w:tcBorders>
            <w:shd w:val="clear" w:color="auto" w:fill="auto"/>
            <w:noWrap/>
            <w:vAlign w:val="center"/>
            <w:hideMark/>
          </w:tcPr>
          <w:p w14:paraId="2DC4FFA8"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79909A0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B731CF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A2B491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9A08A0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EDC9DC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73A35990" w14:textId="77777777" w:rsidTr="0094735D">
        <w:trPr>
          <w:trHeight w:val="220"/>
        </w:trPr>
        <w:tc>
          <w:tcPr>
            <w:tcW w:w="911" w:type="pct"/>
            <w:tcBorders>
              <w:top w:val="nil"/>
              <w:left w:val="nil"/>
              <w:bottom w:val="nil"/>
              <w:right w:val="nil"/>
            </w:tcBorders>
            <w:shd w:val="clear" w:color="auto" w:fill="auto"/>
            <w:noWrap/>
            <w:vAlign w:val="center"/>
            <w:hideMark/>
          </w:tcPr>
          <w:p w14:paraId="1E5D25A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767B13B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(-0.71)</w:t>
            </w:r>
          </w:p>
        </w:tc>
        <w:tc>
          <w:tcPr>
            <w:tcW w:w="576" w:type="pct"/>
            <w:tcBorders>
              <w:top w:val="nil"/>
              <w:left w:val="nil"/>
              <w:bottom w:val="nil"/>
              <w:right w:val="nil"/>
            </w:tcBorders>
            <w:shd w:val="clear" w:color="auto" w:fill="auto"/>
            <w:noWrap/>
            <w:vAlign w:val="center"/>
            <w:hideMark/>
          </w:tcPr>
          <w:p w14:paraId="6AB06AAF"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CF9AAB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116307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B4D980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ACEF04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FE3DD0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1F09EB6C" w14:textId="77777777" w:rsidTr="0094735D">
        <w:trPr>
          <w:trHeight w:val="220"/>
        </w:trPr>
        <w:tc>
          <w:tcPr>
            <w:tcW w:w="911" w:type="pct"/>
            <w:tcBorders>
              <w:top w:val="nil"/>
              <w:left w:val="nil"/>
              <w:bottom w:val="nil"/>
              <w:right w:val="nil"/>
            </w:tcBorders>
            <w:shd w:val="clear" w:color="auto" w:fill="auto"/>
            <w:noWrap/>
            <w:vAlign w:val="center"/>
            <w:hideMark/>
          </w:tcPr>
          <w:p w14:paraId="5CAFEB7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ln(1+AG)*BAS</w:t>
            </w:r>
          </w:p>
        </w:tc>
        <w:tc>
          <w:tcPr>
            <w:tcW w:w="632" w:type="pct"/>
            <w:tcBorders>
              <w:top w:val="nil"/>
              <w:left w:val="nil"/>
              <w:bottom w:val="nil"/>
              <w:right w:val="nil"/>
            </w:tcBorders>
            <w:shd w:val="clear" w:color="auto" w:fill="auto"/>
            <w:noWrap/>
            <w:vAlign w:val="center"/>
            <w:hideMark/>
          </w:tcPr>
          <w:p w14:paraId="63E8FB56"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7BFEFA8A" w14:textId="2A9F31B8"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7</w:t>
            </w:r>
            <w:r>
              <w:rPr>
                <w:rFonts w:eastAsia="Times New Roman" w:cs="Times New Roman"/>
                <w:color w:val="000000"/>
                <w:lang w:eastAsia="zh-CN"/>
              </w:rPr>
              <w:t>.</w:t>
            </w:r>
            <w:r w:rsidR="00EB3B52" w:rsidRPr="000668F6">
              <w:rPr>
                <w:rFonts w:eastAsia="Times New Roman" w:cs="Times New Roman"/>
                <w:color w:val="000000"/>
                <w:lang w:eastAsia="zh-CN"/>
              </w:rPr>
              <w:t>78</w:t>
            </w:r>
          </w:p>
        </w:tc>
        <w:tc>
          <w:tcPr>
            <w:tcW w:w="576" w:type="pct"/>
            <w:tcBorders>
              <w:top w:val="nil"/>
              <w:left w:val="nil"/>
              <w:bottom w:val="nil"/>
              <w:right w:val="nil"/>
            </w:tcBorders>
            <w:shd w:val="clear" w:color="auto" w:fill="auto"/>
            <w:noWrap/>
            <w:vAlign w:val="center"/>
            <w:hideMark/>
          </w:tcPr>
          <w:p w14:paraId="7FDE7A56"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15083F5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872971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F1B26D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FAD1BA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3AB6CEF3" w14:textId="77777777" w:rsidTr="0094735D">
        <w:trPr>
          <w:trHeight w:val="220"/>
        </w:trPr>
        <w:tc>
          <w:tcPr>
            <w:tcW w:w="911" w:type="pct"/>
            <w:tcBorders>
              <w:top w:val="nil"/>
              <w:left w:val="nil"/>
              <w:bottom w:val="nil"/>
              <w:right w:val="nil"/>
            </w:tcBorders>
            <w:shd w:val="clear" w:color="auto" w:fill="auto"/>
            <w:noWrap/>
            <w:vAlign w:val="center"/>
            <w:hideMark/>
          </w:tcPr>
          <w:p w14:paraId="5A99525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46F8D81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386568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(-0.38)</w:t>
            </w:r>
          </w:p>
        </w:tc>
        <w:tc>
          <w:tcPr>
            <w:tcW w:w="576" w:type="pct"/>
            <w:tcBorders>
              <w:top w:val="nil"/>
              <w:left w:val="nil"/>
              <w:bottom w:val="nil"/>
              <w:right w:val="nil"/>
            </w:tcBorders>
            <w:shd w:val="clear" w:color="auto" w:fill="auto"/>
            <w:noWrap/>
            <w:vAlign w:val="center"/>
            <w:hideMark/>
          </w:tcPr>
          <w:p w14:paraId="63B1412B"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221DF23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1E177B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1BAF54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C61B05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0CD156E5" w14:textId="77777777" w:rsidTr="0094735D">
        <w:trPr>
          <w:trHeight w:val="220"/>
        </w:trPr>
        <w:tc>
          <w:tcPr>
            <w:tcW w:w="911" w:type="pct"/>
            <w:tcBorders>
              <w:top w:val="nil"/>
              <w:left w:val="nil"/>
              <w:bottom w:val="nil"/>
              <w:right w:val="nil"/>
            </w:tcBorders>
            <w:shd w:val="clear" w:color="auto" w:fill="auto"/>
            <w:noWrap/>
            <w:vAlign w:val="center"/>
            <w:hideMark/>
          </w:tcPr>
          <w:p w14:paraId="122E15D9"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ln(1+AG)*COV</w:t>
            </w:r>
          </w:p>
        </w:tc>
        <w:tc>
          <w:tcPr>
            <w:tcW w:w="632" w:type="pct"/>
            <w:tcBorders>
              <w:top w:val="nil"/>
              <w:left w:val="nil"/>
              <w:bottom w:val="nil"/>
              <w:right w:val="nil"/>
            </w:tcBorders>
            <w:shd w:val="clear" w:color="auto" w:fill="auto"/>
            <w:noWrap/>
            <w:vAlign w:val="center"/>
            <w:hideMark/>
          </w:tcPr>
          <w:p w14:paraId="0D08E9F2"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2A03A0A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83752A0" w14:textId="3E4D22EC"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01</w:t>
            </w:r>
          </w:p>
        </w:tc>
        <w:tc>
          <w:tcPr>
            <w:tcW w:w="576" w:type="pct"/>
            <w:tcBorders>
              <w:top w:val="nil"/>
              <w:left w:val="nil"/>
              <w:bottom w:val="nil"/>
              <w:right w:val="nil"/>
            </w:tcBorders>
            <w:shd w:val="clear" w:color="auto" w:fill="auto"/>
            <w:noWrap/>
            <w:vAlign w:val="center"/>
            <w:hideMark/>
          </w:tcPr>
          <w:p w14:paraId="2D69BF29"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4CD7451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9832C5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84A134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7824384C" w14:textId="77777777" w:rsidTr="0094735D">
        <w:trPr>
          <w:trHeight w:val="220"/>
        </w:trPr>
        <w:tc>
          <w:tcPr>
            <w:tcW w:w="911" w:type="pct"/>
            <w:tcBorders>
              <w:top w:val="nil"/>
              <w:left w:val="nil"/>
              <w:bottom w:val="nil"/>
              <w:right w:val="nil"/>
            </w:tcBorders>
            <w:shd w:val="clear" w:color="auto" w:fill="auto"/>
            <w:noWrap/>
            <w:vAlign w:val="center"/>
            <w:hideMark/>
          </w:tcPr>
          <w:p w14:paraId="55FF3E1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3BFE13A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D45E8C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E010493"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(0.62)</w:t>
            </w:r>
          </w:p>
        </w:tc>
        <w:tc>
          <w:tcPr>
            <w:tcW w:w="576" w:type="pct"/>
            <w:tcBorders>
              <w:top w:val="nil"/>
              <w:left w:val="nil"/>
              <w:bottom w:val="nil"/>
              <w:right w:val="nil"/>
            </w:tcBorders>
            <w:shd w:val="clear" w:color="auto" w:fill="auto"/>
            <w:noWrap/>
            <w:vAlign w:val="center"/>
            <w:hideMark/>
          </w:tcPr>
          <w:p w14:paraId="281937CC"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6A7E500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AD0B18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337362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418E46C6" w14:textId="77777777" w:rsidTr="0094735D">
        <w:trPr>
          <w:trHeight w:val="220"/>
        </w:trPr>
        <w:tc>
          <w:tcPr>
            <w:tcW w:w="911" w:type="pct"/>
            <w:tcBorders>
              <w:top w:val="nil"/>
              <w:left w:val="nil"/>
              <w:bottom w:val="nil"/>
              <w:right w:val="nil"/>
            </w:tcBorders>
            <w:shd w:val="clear" w:color="auto" w:fill="auto"/>
            <w:noWrap/>
            <w:vAlign w:val="center"/>
            <w:hideMark/>
          </w:tcPr>
          <w:p w14:paraId="2090B12D"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ln(1+AG)*DISP</w:t>
            </w:r>
          </w:p>
        </w:tc>
        <w:tc>
          <w:tcPr>
            <w:tcW w:w="632" w:type="pct"/>
            <w:tcBorders>
              <w:top w:val="nil"/>
              <w:left w:val="nil"/>
              <w:bottom w:val="nil"/>
              <w:right w:val="nil"/>
            </w:tcBorders>
            <w:shd w:val="clear" w:color="auto" w:fill="auto"/>
            <w:noWrap/>
            <w:vAlign w:val="center"/>
            <w:hideMark/>
          </w:tcPr>
          <w:p w14:paraId="69E9D599"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4AB44F0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247E64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B5B0B5D" w14:textId="69D23399"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19</w:t>
            </w:r>
            <w:r>
              <w:rPr>
                <w:rFonts w:eastAsia="Times New Roman" w:cs="Times New Roman"/>
                <w:color w:val="000000"/>
                <w:lang w:eastAsia="zh-CN"/>
              </w:rPr>
              <w:t>.</w:t>
            </w:r>
            <w:r w:rsidR="00EB3B52" w:rsidRPr="000668F6">
              <w:rPr>
                <w:rFonts w:eastAsia="Times New Roman" w:cs="Times New Roman"/>
                <w:color w:val="000000"/>
                <w:lang w:eastAsia="zh-CN"/>
              </w:rPr>
              <w:t>26**</w:t>
            </w:r>
          </w:p>
        </w:tc>
        <w:tc>
          <w:tcPr>
            <w:tcW w:w="576" w:type="pct"/>
            <w:tcBorders>
              <w:top w:val="nil"/>
              <w:left w:val="nil"/>
              <w:bottom w:val="nil"/>
              <w:right w:val="nil"/>
            </w:tcBorders>
            <w:shd w:val="clear" w:color="auto" w:fill="auto"/>
            <w:noWrap/>
            <w:vAlign w:val="center"/>
            <w:hideMark/>
          </w:tcPr>
          <w:p w14:paraId="0ECFBE24"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52BE1CE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267C21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79E4B153" w14:textId="77777777" w:rsidTr="0094735D">
        <w:trPr>
          <w:trHeight w:val="220"/>
        </w:trPr>
        <w:tc>
          <w:tcPr>
            <w:tcW w:w="911" w:type="pct"/>
            <w:tcBorders>
              <w:top w:val="nil"/>
              <w:left w:val="nil"/>
              <w:bottom w:val="nil"/>
              <w:right w:val="nil"/>
            </w:tcBorders>
            <w:shd w:val="clear" w:color="auto" w:fill="auto"/>
            <w:noWrap/>
            <w:vAlign w:val="center"/>
            <w:hideMark/>
          </w:tcPr>
          <w:p w14:paraId="0A3DDFE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02C3E08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F88C68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D34E0B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09DBBB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(-2.04)</w:t>
            </w:r>
          </w:p>
        </w:tc>
        <w:tc>
          <w:tcPr>
            <w:tcW w:w="576" w:type="pct"/>
            <w:tcBorders>
              <w:top w:val="nil"/>
              <w:left w:val="nil"/>
              <w:bottom w:val="nil"/>
              <w:right w:val="nil"/>
            </w:tcBorders>
            <w:shd w:val="clear" w:color="auto" w:fill="auto"/>
            <w:noWrap/>
            <w:vAlign w:val="center"/>
            <w:hideMark/>
          </w:tcPr>
          <w:p w14:paraId="1E38847A"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793EF9F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009253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5D849644" w14:textId="77777777" w:rsidTr="0094735D">
        <w:trPr>
          <w:trHeight w:val="220"/>
        </w:trPr>
        <w:tc>
          <w:tcPr>
            <w:tcW w:w="911" w:type="pct"/>
            <w:tcBorders>
              <w:top w:val="nil"/>
              <w:left w:val="nil"/>
              <w:bottom w:val="nil"/>
              <w:right w:val="nil"/>
            </w:tcBorders>
            <w:shd w:val="clear" w:color="auto" w:fill="auto"/>
            <w:noWrap/>
            <w:vAlign w:val="center"/>
            <w:hideMark/>
          </w:tcPr>
          <w:p w14:paraId="5573A5E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ln(1+AG)*DVOL</w:t>
            </w:r>
          </w:p>
        </w:tc>
        <w:tc>
          <w:tcPr>
            <w:tcW w:w="632" w:type="pct"/>
            <w:tcBorders>
              <w:top w:val="nil"/>
              <w:left w:val="nil"/>
              <w:bottom w:val="nil"/>
              <w:right w:val="nil"/>
            </w:tcBorders>
            <w:shd w:val="clear" w:color="auto" w:fill="auto"/>
            <w:noWrap/>
            <w:vAlign w:val="center"/>
            <w:hideMark/>
          </w:tcPr>
          <w:p w14:paraId="50B073FF"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1C5ED8C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DAE12C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A13D5C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5FE1495" w14:textId="024EBE08"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27***</w:t>
            </w:r>
          </w:p>
        </w:tc>
        <w:tc>
          <w:tcPr>
            <w:tcW w:w="576" w:type="pct"/>
            <w:tcBorders>
              <w:top w:val="nil"/>
              <w:left w:val="nil"/>
              <w:bottom w:val="nil"/>
              <w:right w:val="nil"/>
            </w:tcBorders>
            <w:shd w:val="clear" w:color="auto" w:fill="auto"/>
            <w:noWrap/>
            <w:vAlign w:val="center"/>
            <w:hideMark/>
          </w:tcPr>
          <w:p w14:paraId="7F685C4F"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61AA4E2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7F13F3FA" w14:textId="77777777" w:rsidTr="0094735D">
        <w:trPr>
          <w:trHeight w:val="220"/>
        </w:trPr>
        <w:tc>
          <w:tcPr>
            <w:tcW w:w="911" w:type="pct"/>
            <w:tcBorders>
              <w:top w:val="nil"/>
              <w:left w:val="nil"/>
              <w:bottom w:val="nil"/>
              <w:right w:val="nil"/>
            </w:tcBorders>
            <w:shd w:val="clear" w:color="auto" w:fill="auto"/>
            <w:noWrap/>
            <w:vAlign w:val="center"/>
            <w:hideMark/>
          </w:tcPr>
          <w:p w14:paraId="42858AB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18276A6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B2A5FD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3AB943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8611AE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05105F9"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(2.94)</w:t>
            </w:r>
          </w:p>
        </w:tc>
        <w:tc>
          <w:tcPr>
            <w:tcW w:w="576" w:type="pct"/>
            <w:tcBorders>
              <w:top w:val="nil"/>
              <w:left w:val="nil"/>
              <w:bottom w:val="nil"/>
              <w:right w:val="nil"/>
            </w:tcBorders>
            <w:shd w:val="clear" w:color="auto" w:fill="auto"/>
            <w:noWrap/>
            <w:vAlign w:val="center"/>
            <w:hideMark/>
          </w:tcPr>
          <w:p w14:paraId="4F5F124C"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D4DDC9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40C3FAA9" w14:textId="77777777" w:rsidTr="0094735D">
        <w:trPr>
          <w:trHeight w:val="220"/>
        </w:trPr>
        <w:tc>
          <w:tcPr>
            <w:tcW w:w="911" w:type="pct"/>
            <w:tcBorders>
              <w:top w:val="nil"/>
              <w:left w:val="nil"/>
              <w:bottom w:val="nil"/>
              <w:right w:val="nil"/>
            </w:tcBorders>
            <w:shd w:val="clear" w:color="auto" w:fill="auto"/>
            <w:noWrap/>
            <w:vAlign w:val="center"/>
            <w:hideMark/>
          </w:tcPr>
          <w:p w14:paraId="3B83B25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ln(1+AG)*AGE</w:t>
            </w:r>
          </w:p>
        </w:tc>
        <w:tc>
          <w:tcPr>
            <w:tcW w:w="632" w:type="pct"/>
            <w:tcBorders>
              <w:top w:val="nil"/>
              <w:left w:val="nil"/>
              <w:bottom w:val="nil"/>
              <w:right w:val="nil"/>
            </w:tcBorders>
            <w:shd w:val="clear" w:color="auto" w:fill="auto"/>
            <w:noWrap/>
            <w:vAlign w:val="center"/>
            <w:hideMark/>
          </w:tcPr>
          <w:p w14:paraId="465D521A"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523868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EEC2BF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55FEE3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C435A8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EF4A1A4" w14:textId="2AD4A974"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04</w:t>
            </w:r>
          </w:p>
        </w:tc>
        <w:tc>
          <w:tcPr>
            <w:tcW w:w="576" w:type="pct"/>
            <w:tcBorders>
              <w:top w:val="nil"/>
              <w:left w:val="nil"/>
              <w:bottom w:val="nil"/>
              <w:right w:val="nil"/>
            </w:tcBorders>
            <w:shd w:val="clear" w:color="auto" w:fill="auto"/>
            <w:noWrap/>
            <w:vAlign w:val="center"/>
            <w:hideMark/>
          </w:tcPr>
          <w:p w14:paraId="19E9FE0D" w14:textId="77777777" w:rsidR="00EB3B52" w:rsidRPr="000668F6" w:rsidRDefault="00EB3B52" w:rsidP="0094735D">
            <w:pPr>
              <w:spacing w:after="0" w:line="240" w:lineRule="auto"/>
              <w:jc w:val="center"/>
              <w:rPr>
                <w:rFonts w:eastAsia="Times New Roman" w:cs="Times New Roman"/>
                <w:color w:val="000000"/>
                <w:lang w:eastAsia="zh-CN"/>
              </w:rPr>
            </w:pPr>
          </w:p>
        </w:tc>
      </w:tr>
      <w:tr w:rsidR="00EB3B52" w:rsidRPr="000668F6" w14:paraId="522D1955" w14:textId="77777777" w:rsidTr="0094735D">
        <w:trPr>
          <w:trHeight w:val="220"/>
        </w:trPr>
        <w:tc>
          <w:tcPr>
            <w:tcW w:w="911" w:type="pct"/>
            <w:tcBorders>
              <w:top w:val="nil"/>
              <w:left w:val="nil"/>
              <w:bottom w:val="nil"/>
              <w:right w:val="nil"/>
            </w:tcBorders>
            <w:shd w:val="clear" w:color="auto" w:fill="auto"/>
            <w:noWrap/>
            <w:vAlign w:val="center"/>
            <w:hideMark/>
          </w:tcPr>
          <w:p w14:paraId="3973F93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312D7CD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91A27B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B73078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6F5852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402670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B37A8B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(-0.39)</w:t>
            </w:r>
          </w:p>
        </w:tc>
        <w:tc>
          <w:tcPr>
            <w:tcW w:w="576" w:type="pct"/>
            <w:tcBorders>
              <w:top w:val="nil"/>
              <w:left w:val="nil"/>
              <w:bottom w:val="nil"/>
              <w:right w:val="nil"/>
            </w:tcBorders>
            <w:shd w:val="clear" w:color="auto" w:fill="auto"/>
            <w:noWrap/>
            <w:vAlign w:val="center"/>
            <w:hideMark/>
          </w:tcPr>
          <w:p w14:paraId="2151977B" w14:textId="77777777" w:rsidR="00EB3B52" w:rsidRPr="000668F6" w:rsidRDefault="00EB3B52" w:rsidP="0094735D">
            <w:pPr>
              <w:spacing w:after="0" w:line="240" w:lineRule="auto"/>
              <w:jc w:val="center"/>
              <w:rPr>
                <w:rFonts w:eastAsia="Times New Roman" w:cs="Times New Roman"/>
                <w:color w:val="000000"/>
                <w:lang w:eastAsia="zh-CN"/>
              </w:rPr>
            </w:pPr>
          </w:p>
        </w:tc>
      </w:tr>
      <w:tr w:rsidR="00EB3B52" w:rsidRPr="000668F6" w14:paraId="0FBD9C74" w14:textId="77777777" w:rsidTr="0094735D">
        <w:trPr>
          <w:trHeight w:val="220"/>
        </w:trPr>
        <w:tc>
          <w:tcPr>
            <w:tcW w:w="911" w:type="pct"/>
            <w:tcBorders>
              <w:top w:val="nil"/>
              <w:left w:val="nil"/>
              <w:bottom w:val="nil"/>
              <w:right w:val="nil"/>
            </w:tcBorders>
            <w:shd w:val="clear" w:color="auto" w:fill="auto"/>
            <w:noWrap/>
            <w:vAlign w:val="center"/>
            <w:hideMark/>
          </w:tcPr>
          <w:p w14:paraId="2731AEF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ln(1+AG)*ASSET</w:t>
            </w:r>
          </w:p>
        </w:tc>
        <w:tc>
          <w:tcPr>
            <w:tcW w:w="632" w:type="pct"/>
            <w:tcBorders>
              <w:top w:val="nil"/>
              <w:left w:val="nil"/>
              <w:bottom w:val="nil"/>
              <w:right w:val="nil"/>
            </w:tcBorders>
            <w:shd w:val="clear" w:color="auto" w:fill="auto"/>
            <w:noWrap/>
            <w:vAlign w:val="center"/>
            <w:hideMark/>
          </w:tcPr>
          <w:p w14:paraId="38111DF5"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3B701A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EC6CEE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BFCB4C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8B04B5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E4693D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4A31731" w14:textId="524F6BB5"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29***</w:t>
            </w:r>
          </w:p>
        </w:tc>
      </w:tr>
      <w:tr w:rsidR="00EB3B52" w:rsidRPr="000668F6" w14:paraId="04AF3946" w14:textId="77777777" w:rsidTr="0094735D">
        <w:trPr>
          <w:trHeight w:val="220"/>
        </w:trPr>
        <w:tc>
          <w:tcPr>
            <w:tcW w:w="911" w:type="pct"/>
            <w:tcBorders>
              <w:top w:val="nil"/>
              <w:left w:val="nil"/>
              <w:bottom w:val="nil"/>
              <w:right w:val="nil"/>
            </w:tcBorders>
            <w:shd w:val="clear" w:color="auto" w:fill="auto"/>
            <w:noWrap/>
            <w:vAlign w:val="center"/>
            <w:hideMark/>
          </w:tcPr>
          <w:p w14:paraId="7827C5F6"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28E2549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DD3359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ABB9F7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AE0BE1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AE964E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6D1B98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6C668CD"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(2.69)</w:t>
            </w:r>
          </w:p>
        </w:tc>
      </w:tr>
      <w:tr w:rsidR="00EB3B52" w:rsidRPr="000668F6" w14:paraId="68BD9E49" w14:textId="77777777" w:rsidTr="0094735D">
        <w:trPr>
          <w:trHeight w:val="220"/>
        </w:trPr>
        <w:tc>
          <w:tcPr>
            <w:tcW w:w="911" w:type="pct"/>
            <w:tcBorders>
              <w:top w:val="nil"/>
              <w:left w:val="nil"/>
              <w:bottom w:val="nil"/>
              <w:right w:val="nil"/>
            </w:tcBorders>
            <w:shd w:val="clear" w:color="auto" w:fill="auto"/>
            <w:noWrap/>
            <w:vAlign w:val="center"/>
            <w:hideMark/>
          </w:tcPr>
          <w:p w14:paraId="5134D9C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GT</w:t>
            </w:r>
          </w:p>
        </w:tc>
        <w:tc>
          <w:tcPr>
            <w:tcW w:w="632" w:type="pct"/>
            <w:tcBorders>
              <w:top w:val="nil"/>
              <w:left w:val="nil"/>
              <w:bottom w:val="nil"/>
              <w:right w:val="nil"/>
            </w:tcBorders>
            <w:shd w:val="clear" w:color="auto" w:fill="auto"/>
            <w:noWrap/>
            <w:vAlign w:val="center"/>
            <w:hideMark/>
          </w:tcPr>
          <w:p w14:paraId="73931BE7" w14:textId="60C65014"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37***</w:t>
            </w:r>
          </w:p>
        </w:tc>
        <w:tc>
          <w:tcPr>
            <w:tcW w:w="576" w:type="pct"/>
            <w:tcBorders>
              <w:top w:val="nil"/>
              <w:left w:val="nil"/>
              <w:bottom w:val="nil"/>
              <w:right w:val="nil"/>
            </w:tcBorders>
            <w:shd w:val="clear" w:color="auto" w:fill="auto"/>
            <w:noWrap/>
            <w:vAlign w:val="center"/>
            <w:hideMark/>
          </w:tcPr>
          <w:p w14:paraId="6DA255BD" w14:textId="46AFED0F"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71***</w:t>
            </w:r>
          </w:p>
        </w:tc>
        <w:tc>
          <w:tcPr>
            <w:tcW w:w="576" w:type="pct"/>
            <w:tcBorders>
              <w:top w:val="nil"/>
              <w:left w:val="nil"/>
              <w:bottom w:val="nil"/>
              <w:right w:val="nil"/>
            </w:tcBorders>
            <w:shd w:val="clear" w:color="auto" w:fill="auto"/>
            <w:noWrap/>
            <w:vAlign w:val="center"/>
            <w:hideMark/>
          </w:tcPr>
          <w:p w14:paraId="07C0385D" w14:textId="5BCAE7F3"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44**</w:t>
            </w:r>
          </w:p>
        </w:tc>
        <w:tc>
          <w:tcPr>
            <w:tcW w:w="576" w:type="pct"/>
            <w:tcBorders>
              <w:top w:val="nil"/>
              <w:left w:val="nil"/>
              <w:bottom w:val="nil"/>
              <w:right w:val="nil"/>
            </w:tcBorders>
            <w:shd w:val="clear" w:color="auto" w:fill="auto"/>
            <w:noWrap/>
            <w:vAlign w:val="center"/>
            <w:hideMark/>
          </w:tcPr>
          <w:p w14:paraId="743EEF45" w14:textId="6709501B"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37*</w:t>
            </w:r>
          </w:p>
        </w:tc>
        <w:tc>
          <w:tcPr>
            <w:tcW w:w="576" w:type="pct"/>
            <w:tcBorders>
              <w:top w:val="nil"/>
              <w:left w:val="nil"/>
              <w:bottom w:val="nil"/>
              <w:right w:val="nil"/>
            </w:tcBorders>
            <w:shd w:val="clear" w:color="auto" w:fill="auto"/>
            <w:noWrap/>
            <w:vAlign w:val="center"/>
            <w:hideMark/>
          </w:tcPr>
          <w:p w14:paraId="2D6E1FB5" w14:textId="2F337DCF"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42***</w:t>
            </w:r>
          </w:p>
        </w:tc>
        <w:tc>
          <w:tcPr>
            <w:tcW w:w="576" w:type="pct"/>
            <w:tcBorders>
              <w:top w:val="nil"/>
              <w:left w:val="nil"/>
              <w:bottom w:val="nil"/>
              <w:right w:val="nil"/>
            </w:tcBorders>
            <w:shd w:val="clear" w:color="auto" w:fill="auto"/>
            <w:noWrap/>
            <w:vAlign w:val="center"/>
            <w:hideMark/>
          </w:tcPr>
          <w:p w14:paraId="74C31D1F" w14:textId="55647353"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33**</w:t>
            </w:r>
          </w:p>
        </w:tc>
        <w:tc>
          <w:tcPr>
            <w:tcW w:w="576" w:type="pct"/>
            <w:tcBorders>
              <w:top w:val="nil"/>
              <w:left w:val="nil"/>
              <w:bottom w:val="nil"/>
              <w:right w:val="nil"/>
            </w:tcBorders>
            <w:shd w:val="clear" w:color="auto" w:fill="auto"/>
            <w:noWrap/>
            <w:vAlign w:val="center"/>
            <w:hideMark/>
          </w:tcPr>
          <w:p w14:paraId="7C411B34" w14:textId="3D47D2B1"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43***</w:t>
            </w:r>
          </w:p>
        </w:tc>
      </w:tr>
      <w:tr w:rsidR="00EB3B52" w:rsidRPr="000668F6" w14:paraId="62F6C304" w14:textId="77777777" w:rsidTr="0094735D">
        <w:trPr>
          <w:trHeight w:val="220"/>
        </w:trPr>
        <w:tc>
          <w:tcPr>
            <w:tcW w:w="911" w:type="pct"/>
            <w:tcBorders>
              <w:top w:val="nil"/>
              <w:left w:val="nil"/>
              <w:bottom w:val="nil"/>
              <w:right w:val="nil"/>
            </w:tcBorders>
            <w:shd w:val="clear" w:color="auto" w:fill="auto"/>
            <w:noWrap/>
            <w:vAlign w:val="center"/>
            <w:hideMark/>
          </w:tcPr>
          <w:p w14:paraId="4D6E5539"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1CC84B7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(-2.77)</w:t>
            </w:r>
          </w:p>
        </w:tc>
        <w:tc>
          <w:tcPr>
            <w:tcW w:w="576" w:type="pct"/>
            <w:tcBorders>
              <w:top w:val="nil"/>
              <w:left w:val="nil"/>
              <w:bottom w:val="nil"/>
              <w:right w:val="nil"/>
            </w:tcBorders>
            <w:shd w:val="clear" w:color="auto" w:fill="auto"/>
            <w:noWrap/>
            <w:vAlign w:val="center"/>
            <w:hideMark/>
          </w:tcPr>
          <w:p w14:paraId="4B03F35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(-2.93)</w:t>
            </w:r>
          </w:p>
        </w:tc>
        <w:tc>
          <w:tcPr>
            <w:tcW w:w="576" w:type="pct"/>
            <w:tcBorders>
              <w:top w:val="nil"/>
              <w:left w:val="nil"/>
              <w:bottom w:val="nil"/>
              <w:right w:val="nil"/>
            </w:tcBorders>
            <w:shd w:val="clear" w:color="auto" w:fill="auto"/>
            <w:noWrap/>
            <w:vAlign w:val="center"/>
            <w:hideMark/>
          </w:tcPr>
          <w:p w14:paraId="719A312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(-2.20)</w:t>
            </w:r>
          </w:p>
        </w:tc>
        <w:tc>
          <w:tcPr>
            <w:tcW w:w="576" w:type="pct"/>
            <w:tcBorders>
              <w:top w:val="nil"/>
              <w:left w:val="nil"/>
              <w:bottom w:val="nil"/>
              <w:right w:val="nil"/>
            </w:tcBorders>
            <w:shd w:val="clear" w:color="auto" w:fill="auto"/>
            <w:noWrap/>
            <w:vAlign w:val="center"/>
            <w:hideMark/>
          </w:tcPr>
          <w:p w14:paraId="435CB75A"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(-1.72)</w:t>
            </w:r>
          </w:p>
        </w:tc>
        <w:tc>
          <w:tcPr>
            <w:tcW w:w="576" w:type="pct"/>
            <w:tcBorders>
              <w:top w:val="nil"/>
              <w:left w:val="nil"/>
              <w:bottom w:val="nil"/>
              <w:right w:val="nil"/>
            </w:tcBorders>
            <w:shd w:val="clear" w:color="auto" w:fill="auto"/>
            <w:noWrap/>
            <w:vAlign w:val="center"/>
            <w:hideMark/>
          </w:tcPr>
          <w:p w14:paraId="56F2E03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(-2.90)</w:t>
            </w:r>
          </w:p>
        </w:tc>
        <w:tc>
          <w:tcPr>
            <w:tcW w:w="576" w:type="pct"/>
            <w:tcBorders>
              <w:top w:val="nil"/>
              <w:left w:val="nil"/>
              <w:bottom w:val="nil"/>
              <w:right w:val="nil"/>
            </w:tcBorders>
            <w:shd w:val="clear" w:color="auto" w:fill="auto"/>
            <w:noWrap/>
            <w:vAlign w:val="center"/>
            <w:hideMark/>
          </w:tcPr>
          <w:p w14:paraId="3E90AD1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(-2.16)</w:t>
            </w:r>
          </w:p>
        </w:tc>
        <w:tc>
          <w:tcPr>
            <w:tcW w:w="576" w:type="pct"/>
            <w:tcBorders>
              <w:top w:val="nil"/>
              <w:left w:val="nil"/>
              <w:bottom w:val="nil"/>
              <w:right w:val="nil"/>
            </w:tcBorders>
            <w:shd w:val="clear" w:color="auto" w:fill="auto"/>
            <w:noWrap/>
            <w:vAlign w:val="center"/>
            <w:hideMark/>
          </w:tcPr>
          <w:p w14:paraId="4F4D4902"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(-2.82)</w:t>
            </w:r>
          </w:p>
        </w:tc>
      </w:tr>
      <w:tr w:rsidR="00EB3B52" w:rsidRPr="000668F6" w14:paraId="23291327" w14:textId="77777777" w:rsidTr="0094735D">
        <w:trPr>
          <w:trHeight w:val="220"/>
        </w:trPr>
        <w:tc>
          <w:tcPr>
            <w:tcW w:w="911" w:type="pct"/>
            <w:tcBorders>
              <w:top w:val="nil"/>
              <w:left w:val="nil"/>
              <w:bottom w:val="nil"/>
              <w:right w:val="nil"/>
            </w:tcBorders>
            <w:shd w:val="clear" w:color="auto" w:fill="auto"/>
            <w:noWrap/>
            <w:vAlign w:val="center"/>
            <w:hideMark/>
          </w:tcPr>
          <w:p w14:paraId="2FA462D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IVOL</w:t>
            </w:r>
          </w:p>
        </w:tc>
        <w:tc>
          <w:tcPr>
            <w:tcW w:w="632" w:type="pct"/>
            <w:tcBorders>
              <w:top w:val="nil"/>
              <w:left w:val="nil"/>
              <w:bottom w:val="nil"/>
              <w:right w:val="nil"/>
            </w:tcBorders>
            <w:shd w:val="clear" w:color="auto" w:fill="auto"/>
            <w:noWrap/>
            <w:vAlign w:val="center"/>
            <w:hideMark/>
          </w:tcPr>
          <w:p w14:paraId="5071C680" w14:textId="3A9476F9"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58</w:t>
            </w:r>
          </w:p>
        </w:tc>
        <w:tc>
          <w:tcPr>
            <w:tcW w:w="576" w:type="pct"/>
            <w:tcBorders>
              <w:top w:val="nil"/>
              <w:left w:val="nil"/>
              <w:bottom w:val="nil"/>
              <w:right w:val="nil"/>
            </w:tcBorders>
            <w:shd w:val="clear" w:color="auto" w:fill="auto"/>
            <w:noWrap/>
            <w:vAlign w:val="center"/>
            <w:hideMark/>
          </w:tcPr>
          <w:p w14:paraId="37D8ECE6"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1805099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44D13F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C0389C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EC86C3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9ECF96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4441E1DA" w14:textId="77777777" w:rsidTr="0094735D">
        <w:trPr>
          <w:trHeight w:val="220"/>
        </w:trPr>
        <w:tc>
          <w:tcPr>
            <w:tcW w:w="911" w:type="pct"/>
            <w:tcBorders>
              <w:top w:val="nil"/>
              <w:left w:val="nil"/>
              <w:bottom w:val="nil"/>
              <w:right w:val="nil"/>
            </w:tcBorders>
            <w:shd w:val="clear" w:color="auto" w:fill="auto"/>
            <w:noWrap/>
            <w:vAlign w:val="center"/>
            <w:hideMark/>
          </w:tcPr>
          <w:p w14:paraId="79D0891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50294ED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(0.42)</w:t>
            </w:r>
          </w:p>
        </w:tc>
        <w:tc>
          <w:tcPr>
            <w:tcW w:w="576" w:type="pct"/>
            <w:tcBorders>
              <w:top w:val="nil"/>
              <w:left w:val="nil"/>
              <w:bottom w:val="nil"/>
              <w:right w:val="nil"/>
            </w:tcBorders>
            <w:shd w:val="clear" w:color="auto" w:fill="auto"/>
            <w:noWrap/>
            <w:vAlign w:val="center"/>
            <w:hideMark/>
          </w:tcPr>
          <w:p w14:paraId="5BC178C6"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28431D6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1CB80E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71C4C1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3A0276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215AAAF"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4A38465A" w14:textId="77777777" w:rsidTr="0094735D">
        <w:trPr>
          <w:trHeight w:val="220"/>
        </w:trPr>
        <w:tc>
          <w:tcPr>
            <w:tcW w:w="911" w:type="pct"/>
            <w:tcBorders>
              <w:top w:val="nil"/>
              <w:left w:val="nil"/>
              <w:bottom w:val="nil"/>
              <w:right w:val="nil"/>
            </w:tcBorders>
            <w:shd w:val="clear" w:color="auto" w:fill="auto"/>
            <w:noWrap/>
            <w:vAlign w:val="center"/>
            <w:hideMark/>
          </w:tcPr>
          <w:p w14:paraId="2E823FCA"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BAS</w:t>
            </w:r>
          </w:p>
        </w:tc>
        <w:tc>
          <w:tcPr>
            <w:tcW w:w="632" w:type="pct"/>
            <w:tcBorders>
              <w:top w:val="nil"/>
              <w:left w:val="nil"/>
              <w:bottom w:val="nil"/>
              <w:right w:val="nil"/>
            </w:tcBorders>
            <w:shd w:val="clear" w:color="auto" w:fill="auto"/>
            <w:noWrap/>
            <w:vAlign w:val="center"/>
            <w:hideMark/>
          </w:tcPr>
          <w:p w14:paraId="55D5E8D2"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A51A239" w14:textId="72E7D7F5"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w:t>
            </w:r>
            <w:r w:rsidR="00DA3D14">
              <w:rPr>
                <w:rFonts w:eastAsia="Times New Roman" w:cs="Times New Roman"/>
                <w:color w:val="000000"/>
                <w:lang w:eastAsia="zh-CN"/>
              </w:rPr>
              <w:t>.</w:t>
            </w:r>
            <w:r w:rsidRPr="000668F6">
              <w:rPr>
                <w:rFonts w:eastAsia="Times New Roman" w:cs="Times New Roman"/>
                <w:color w:val="000000"/>
                <w:lang w:eastAsia="zh-CN"/>
              </w:rPr>
              <w:t>46*</w:t>
            </w:r>
          </w:p>
        </w:tc>
        <w:tc>
          <w:tcPr>
            <w:tcW w:w="576" w:type="pct"/>
            <w:tcBorders>
              <w:top w:val="nil"/>
              <w:left w:val="nil"/>
              <w:bottom w:val="nil"/>
              <w:right w:val="nil"/>
            </w:tcBorders>
            <w:shd w:val="clear" w:color="auto" w:fill="auto"/>
            <w:noWrap/>
            <w:vAlign w:val="center"/>
            <w:hideMark/>
          </w:tcPr>
          <w:p w14:paraId="78C927B1"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580499F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393DC3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A74265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4F0855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6430D1DE" w14:textId="77777777" w:rsidTr="0094735D">
        <w:trPr>
          <w:trHeight w:val="220"/>
        </w:trPr>
        <w:tc>
          <w:tcPr>
            <w:tcW w:w="911" w:type="pct"/>
            <w:tcBorders>
              <w:top w:val="nil"/>
              <w:left w:val="nil"/>
              <w:bottom w:val="nil"/>
              <w:right w:val="nil"/>
            </w:tcBorders>
            <w:shd w:val="clear" w:color="auto" w:fill="auto"/>
            <w:noWrap/>
            <w:vAlign w:val="center"/>
            <w:hideMark/>
          </w:tcPr>
          <w:p w14:paraId="6BEFCC5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697E7FF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501063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(1.95)</w:t>
            </w:r>
          </w:p>
        </w:tc>
        <w:tc>
          <w:tcPr>
            <w:tcW w:w="576" w:type="pct"/>
            <w:tcBorders>
              <w:top w:val="nil"/>
              <w:left w:val="nil"/>
              <w:bottom w:val="nil"/>
              <w:right w:val="nil"/>
            </w:tcBorders>
            <w:shd w:val="clear" w:color="auto" w:fill="auto"/>
            <w:noWrap/>
            <w:vAlign w:val="center"/>
            <w:hideMark/>
          </w:tcPr>
          <w:p w14:paraId="03586F1C"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72AB33B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CEB528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AC9486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6EC597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66866D88" w14:textId="77777777" w:rsidTr="0094735D">
        <w:trPr>
          <w:trHeight w:val="220"/>
        </w:trPr>
        <w:tc>
          <w:tcPr>
            <w:tcW w:w="911" w:type="pct"/>
            <w:tcBorders>
              <w:top w:val="nil"/>
              <w:left w:val="nil"/>
              <w:bottom w:val="nil"/>
              <w:right w:val="nil"/>
            </w:tcBorders>
            <w:shd w:val="clear" w:color="auto" w:fill="auto"/>
            <w:noWrap/>
            <w:vAlign w:val="center"/>
            <w:hideMark/>
          </w:tcPr>
          <w:p w14:paraId="3FF00EE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COV</w:t>
            </w:r>
          </w:p>
        </w:tc>
        <w:tc>
          <w:tcPr>
            <w:tcW w:w="632" w:type="pct"/>
            <w:tcBorders>
              <w:top w:val="nil"/>
              <w:left w:val="nil"/>
              <w:bottom w:val="nil"/>
              <w:right w:val="nil"/>
            </w:tcBorders>
            <w:shd w:val="clear" w:color="auto" w:fill="auto"/>
            <w:noWrap/>
            <w:vAlign w:val="center"/>
            <w:hideMark/>
          </w:tcPr>
          <w:p w14:paraId="7779C621"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15B2E1F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A948673" w14:textId="01CDCE19"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00</w:t>
            </w:r>
          </w:p>
        </w:tc>
        <w:tc>
          <w:tcPr>
            <w:tcW w:w="576" w:type="pct"/>
            <w:tcBorders>
              <w:top w:val="nil"/>
              <w:left w:val="nil"/>
              <w:bottom w:val="nil"/>
              <w:right w:val="nil"/>
            </w:tcBorders>
            <w:shd w:val="clear" w:color="auto" w:fill="auto"/>
            <w:noWrap/>
            <w:vAlign w:val="center"/>
            <w:hideMark/>
          </w:tcPr>
          <w:p w14:paraId="7EF68D97"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53A2D35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8918ED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3217B5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6A0C766A" w14:textId="77777777" w:rsidTr="0094735D">
        <w:trPr>
          <w:trHeight w:val="220"/>
        </w:trPr>
        <w:tc>
          <w:tcPr>
            <w:tcW w:w="911" w:type="pct"/>
            <w:tcBorders>
              <w:top w:val="nil"/>
              <w:left w:val="nil"/>
              <w:bottom w:val="nil"/>
              <w:right w:val="nil"/>
            </w:tcBorders>
            <w:shd w:val="clear" w:color="auto" w:fill="auto"/>
            <w:noWrap/>
            <w:vAlign w:val="center"/>
            <w:hideMark/>
          </w:tcPr>
          <w:p w14:paraId="4E24F70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7B250A8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712A29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0F4F6FE"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(0.79)</w:t>
            </w:r>
          </w:p>
        </w:tc>
        <w:tc>
          <w:tcPr>
            <w:tcW w:w="576" w:type="pct"/>
            <w:tcBorders>
              <w:top w:val="nil"/>
              <w:left w:val="nil"/>
              <w:bottom w:val="nil"/>
              <w:right w:val="nil"/>
            </w:tcBorders>
            <w:shd w:val="clear" w:color="auto" w:fill="auto"/>
            <w:noWrap/>
            <w:vAlign w:val="center"/>
            <w:hideMark/>
          </w:tcPr>
          <w:p w14:paraId="50B42A37"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2AC465D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B8295B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BB7177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416E1CE9" w14:textId="77777777" w:rsidTr="0094735D">
        <w:trPr>
          <w:trHeight w:val="220"/>
        </w:trPr>
        <w:tc>
          <w:tcPr>
            <w:tcW w:w="911" w:type="pct"/>
            <w:tcBorders>
              <w:top w:val="nil"/>
              <w:left w:val="nil"/>
              <w:bottom w:val="nil"/>
              <w:right w:val="nil"/>
            </w:tcBorders>
            <w:shd w:val="clear" w:color="auto" w:fill="auto"/>
            <w:noWrap/>
            <w:vAlign w:val="center"/>
            <w:hideMark/>
          </w:tcPr>
          <w:p w14:paraId="7B27AB4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DISP</w:t>
            </w:r>
          </w:p>
        </w:tc>
        <w:tc>
          <w:tcPr>
            <w:tcW w:w="632" w:type="pct"/>
            <w:tcBorders>
              <w:top w:val="nil"/>
              <w:left w:val="nil"/>
              <w:bottom w:val="nil"/>
              <w:right w:val="nil"/>
            </w:tcBorders>
            <w:shd w:val="clear" w:color="auto" w:fill="auto"/>
            <w:noWrap/>
            <w:vAlign w:val="center"/>
            <w:hideMark/>
          </w:tcPr>
          <w:p w14:paraId="3BE2BCC7"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0470ED0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B42952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46141C0" w14:textId="2EA9677B"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2</w:t>
            </w:r>
            <w:r>
              <w:rPr>
                <w:rFonts w:eastAsia="Times New Roman" w:cs="Times New Roman"/>
                <w:color w:val="000000"/>
                <w:lang w:eastAsia="zh-CN"/>
              </w:rPr>
              <w:t>.</w:t>
            </w:r>
            <w:r w:rsidR="00EB3B52" w:rsidRPr="000668F6">
              <w:rPr>
                <w:rFonts w:eastAsia="Times New Roman" w:cs="Times New Roman"/>
                <w:color w:val="000000"/>
                <w:lang w:eastAsia="zh-CN"/>
              </w:rPr>
              <w:t>44</w:t>
            </w:r>
          </w:p>
        </w:tc>
        <w:tc>
          <w:tcPr>
            <w:tcW w:w="576" w:type="pct"/>
            <w:tcBorders>
              <w:top w:val="nil"/>
              <w:left w:val="nil"/>
              <w:bottom w:val="nil"/>
              <w:right w:val="nil"/>
            </w:tcBorders>
            <w:shd w:val="clear" w:color="auto" w:fill="auto"/>
            <w:noWrap/>
            <w:vAlign w:val="center"/>
            <w:hideMark/>
          </w:tcPr>
          <w:p w14:paraId="62244654"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24AAEDB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C6E603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78E3917B" w14:textId="77777777" w:rsidTr="0094735D">
        <w:trPr>
          <w:trHeight w:val="220"/>
        </w:trPr>
        <w:tc>
          <w:tcPr>
            <w:tcW w:w="911" w:type="pct"/>
            <w:tcBorders>
              <w:top w:val="nil"/>
              <w:left w:val="nil"/>
              <w:bottom w:val="nil"/>
              <w:right w:val="nil"/>
            </w:tcBorders>
            <w:shd w:val="clear" w:color="auto" w:fill="auto"/>
            <w:noWrap/>
            <w:vAlign w:val="center"/>
            <w:hideMark/>
          </w:tcPr>
          <w:p w14:paraId="3857E4F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1EF6EAA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1943713"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E118EC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29FF91B"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(-1.29)</w:t>
            </w:r>
          </w:p>
        </w:tc>
        <w:tc>
          <w:tcPr>
            <w:tcW w:w="576" w:type="pct"/>
            <w:tcBorders>
              <w:top w:val="nil"/>
              <w:left w:val="nil"/>
              <w:bottom w:val="nil"/>
              <w:right w:val="nil"/>
            </w:tcBorders>
            <w:shd w:val="clear" w:color="auto" w:fill="auto"/>
            <w:noWrap/>
            <w:vAlign w:val="center"/>
            <w:hideMark/>
          </w:tcPr>
          <w:p w14:paraId="7E2473B5"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5777E8C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E2913A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66E6B94D" w14:textId="77777777" w:rsidTr="0094735D">
        <w:trPr>
          <w:trHeight w:val="220"/>
        </w:trPr>
        <w:tc>
          <w:tcPr>
            <w:tcW w:w="911" w:type="pct"/>
            <w:tcBorders>
              <w:top w:val="nil"/>
              <w:left w:val="nil"/>
              <w:bottom w:val="nil"/>
              <w:right w:val="nil"/>
            </w:tcBorders>
            <w:shd w:val="clear" w:color="auto" w:fill="auto"/>
            <w:noWrap/>
            <w:vAlign w:val="center"/>
            <w:hideMark/>
          </w:tcPr>
          <w:p w14:paraId="4D51152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DVOL</w:t>
            </w:r>
          </w:p>
        </w:tc>
        <w:tc>
          <w:tcPr>
            <w:tcW w:w="632" w:type="pct"/>
            <w:tcBorders>
              <w:top w:val="nil"/>
              <w:left w:val="nil"/>
              <w:bottom w:val="nil"/>
              <w:right w:val="nil"/>
            </w:tcBorders>
            <w:shd w:val="clear" w:color="auto" w:fill="auto"/>
            <w:noWrap/>
            <w:vAlign w:val="center"/>
            <w:hideMark/>
          </w:tcPr>
          <w:p w14:paraId="3AA4F0DA"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64B8AED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C1756A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665010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BE4CBF3" w14:textId="561D6174"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w:t>
            </w:r>
            <w:r>
              <w:rPr>
                <w:rFonts w:eastAsia="Times New Roman" w:cs="Times New Roman"/>
                <w:color w:val="000000"/>
                <w:lang w:eastAsia="zh-CN"/>
              </w:rPr>
              <w:t>0</w:t>
            </w:r>
          </w:p>
        </w:tc>
        <w:tc>
          <w:tcPr>
            <w:tcW w:w="576" w:type="pct"/>
            <w:tcBorders>
              <w:top w:val="nil"/>
              <w:left w:val="nil"/>
              <w:bottom w:val="nil"/>
              <w:right w:val="nil"/>
            </w:tcBorders>
            <w:shd w:val="clear" w:color="auto" w:fill="auto"/>
            <w:noWrap/>
            <w:vAlign w:val="center"/>
            <w:hideMark/>
          </w:tcPr>
          <w:p w14:paraId="0370E66C"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1D44791B"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0E7AE6EA" w14:textId="77777777" w:rsidTr="0094735D">
        <w:trPr>
          <w:trHeight w:val="220"/>
        </w:trPr>
        <w:tc>
          <w:tcPr>
            <w:tcW w:w="911" w:type="pct"/>
            <w:tcBorders>
              <w:top w:val="nil"/>
              <w:left w:val="nil"/>
              <w:bottom w:val="nil"/>
              <w:right w:val="nil"/>
            </w:tcBorders>
            <w:shd w:val="clear" w:color="auto" w:fill="auto"/>
            <w:noWrap/>
            <w:vAlign w:val="center"/>
            <w:hideMark/>
          </w:tcPr>
          <w:p w14:paraId="3C5FBD8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3FF6B5D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6ABC69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6EF3B0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2B7FB7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736FD7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(-1.27)</w:t>
            </w:r>
          </w:p>
        </w:tc>
        <w:tc>
          <w:tcPr>
            <w:tcW w:w="576" w:type="pct"/>
            <w:tcBorders>
              <w:top w:val="nil"/>
              <w:left w:val="nil"/>
              <w:bottom w:val="nil"/>
              <w:right w:val="nil"/>
            </w:tcBorders>
            <w:shd w:val="clear" w:color="auto" w:fill="auto"/>
            <w:noWrap/>
            <w:vAlign w:val="center"/>
            <w:hideMark/>
          </w:tcPr>
          <w:p w14:paraId="53A69406"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3889833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r>
      <w:tr w:rsidR="00EB3B52" w:rsidRPr="000668F6" w14:paraId="5C1E73D2" w14:textId="77777777" w:rsidTr="0094735D">
        <w:trPr>
          <w:trHeight w:val="220"/>
        </w:trPr>
        <w:tc>
          <w:tcPr>
            <w:tcW w:w="911" w:type="pct"/>
            <w:tcBorders>
              <w:top w:val="nil"/>
              <w:left w:val="nil"/>
              <w:bottom w:val="nil"/>
              <w:right w:val="nil"/>
            </w:tcBorders>
            <w:shd w:val="clear" w:color="auto" w:fill="auto"/>
            <w:noWrap/>
            <w:vAlign w:val="center"/>
            <w:hideMark/>
          </w:tcPr>
          <w:p w14:paraId="1BF9590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AGE</w:t>
            </w:r>
          </w:p>
        </w:tc>
        <w:tc>
          <w:tcPr>
            <w:tcW w:w="632" w:type="pct"/>
            <w:tcBorders>
              <w:top w:val="nil"/>
              <w:left w:val="nil"/>
              <w:bottom w:val="nil"/>
              <w:right w:val="nil"/>
            </w:tcBorders>
            <w:shd w:val="clear" w:color="auto" w:fill="auto"/>
            <w:noWrap/>
            <w:vAlign w:val="center"/>
            <w:hideMark/>
          </w:tcPr>
          <w:p w14:paraId="47D84578"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4EEDD8B8"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59FF9A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539BB09"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2C91EA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8AA23CA" w14:textId="13ABB12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06</w:t>
            </w:r>
          </w:p>
        </w:tc>
        <w:tc>
          <w:tcPr>
            <w:tcW w:w="576" w:type="pct"/>
            <w:tcBorders>
              <w:top w:val="nil"/>
              <w:left w:val="nil"/>
              <w:bottom w:val="nil"/>
              <w:right w:val="nil"/>
            </w:tcBorders>
            <w:shd w:val="clear" w:color="auto" w:fill="auto"/>
            <w:noWrap/>
            <w:vAlign w:val="center"/>
            <w:hideMark/>
          </w:tcPr>
          <w:p w14:paraId="322BF9E4" w14:textId="77777777" w:rsidR="00EB3B52" w:rsidRPr="000668F6" w:rsidRDefault="00EB3B52" w:rsidP="0094735D">
            <w:pPr>
              <w:spacing w:after="0" w:line="240" w:lineRule="auto"/>
              <w:jc w:val="center"/>
              <w:rPr>
                <w:rFonts w:eastAsia="Times New Roman" w:cs="Times New Roman"/>
                <w:color w:val="000000"/>
                <w:lang w:eastAsia="zh-CN"/>
              </w:rPr>
            </w:pPr>
          </w:p>
        </w:tc>
      </w:tr>
      <w:tr w:rsidR="00EB3B52" w:rsidRPr="000668F6" w14:paraId="61DDF817" w14:textId="77777777" w:rsidTr="0094735D">
        <w:trPr>
          <w:trHeight w:val="220"/>
        </w:trPr>
        <w:tc>
          <w:tcPr>
            <w:tcW w:w="911" w:type="pct"/>
            <w:tcBorders>
              <w:top w:val="nil"/>
              <w:left w:val="nil"/>
              <w:bottom w:val="nil"/>
              <w:right w:val="nil"/>
            </w:tcBorders>
            <w:shd w:val="clear" w:color="auto" w:fill="auto"/>
            <w:noWrap/>
            <w:vAlign w:val="center"/>
            <w:hideMark/>
          </w:tcPr>
          <w:p w14:paraId="174E30E2"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632" w:type="pct"/>
            <w:tcBorders>
              <w:top w:val="nil"/>
              <w:left w:val="nil"/>
              <w:bottom w:val="nil"/>
              <w:right w:val="nil"/>
            </w:tcBorders>
            <w:shd w:val="clear" w:color="auto" w:fill="auto"/>
            <w:noWrap/>
            <w:vAlign w:val="center"/>
            <w:hideMark/>
          </w:tcPr>
          <w:p w14:paraId="2DB60FAA"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C83C42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607D186"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4FDC99D"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72C4DE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29B53D6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(1.33)</w:t>
            </w:r>
          </w:p>
        </w:tc>
        <w:tc>
          <w:tcPr>
            <w:tcW w:w="576" w:type="pct"/>
            <w:tcBorders>
              <w:top w:val="nil"/>
              <w:left w:val="nil"/>
              <w:bottom w:val="nil"/>
              <w:right w:val="nil"/>
            </w:tcBorders>
            <w:shd w:val="clear" w:color="auto" w:fill="auto"/>
            <w:noWrap/>
            <w:vAlign w:val="center"/>
            <w:hideMark/>
          </w:tcPr>
          <w:p w14:paraId="29028CBD" w14:textId="77777777" w:rsidR="00EB3B52" w:rsidRPr="000668F6" w:rsidRDefault="00EB3B52" w:rsidP="0094735D">
            <w:pPr>
              <w:spacing w:after="0" w:line="240" w:lineRule="auto"/>
              <w:jc w:val="center"/>
              <w:rPr>
                <w:rFonts w:eastAsia="Times New Roman" w:cs="Times New Roman"/>
                <w:color w:val="000000"/>
                <w:lang w:eastAsia="zh-CN"/>
              </w:rPr>
            </w:pPr>
          </w:p>
        </w:tc>
      </w:tr>
      <w:tr w:rsidR="00EB3B52" w:rsidRPr="000668F6" w14:paraId="4521D868" w14:textId="77777777" w:rsidTr="0094735D">
        <w:trPr>
          <w:trHeight w:val="220"/>
        </w:trPr>
        <w:tc>
          <w:tcPr>
            <w:tcW w:w="911" w:type="pct"/>
            <w:tcBorders>
              <w:top w:val="nil"/>
              <w:left w:val="nil"/>
              <w:bottom w:val="nil"/>
              <w:right w:val="nil"/>
            </w:tcBorders>
            <w:shd w:val="clear" w:color="auto" w:fill="auto"/>
            <w:noWrap/>
            <w:vAlign w:val="center"/>
            <w:hideMark/>
          </w:tcPr>
          <w:p w14:paraId="1B83647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ASSET</w:t>
            </w:r>
          </w:p>
        </w:tc>
        <w:tc>
          <w:tcPr>
            <w:tcW w:w="632" w:type="pct"/>
            <w:tcBorders>
              <w:top w:val="nil"/>
              <w:left w:val="nil"/>
              <w:bottom w:val="nil"/>
              <w:right w:val="nil"/>
            </w:tcBorders>
            <w:shd w:val="clear" w:color="auto" w:fill="auto"/>
            <w:noWrap/>
            <w:vAlign w:val="center"/>
            <w:hideMark/>
          </w:tcPr>
          <w:p w14:paraId="1AB32352" w14:textId="77777777" w:rsidR="00EB3B52" w:rsidRPr="000668F6" w:rsidRDefault="00EB3B52" w:rsidP="0094735D">
            <w:pPr>
              <w:spacing w:after="0" w:line="240" w:lineRule="auto"/>
              <w:jc w:val="center"/>
              <w:rPr>
                <w:rFonts w:eastAsia="Times New Roman" w:cs="Times New Roman"/>
                <w:color w:val="000000"/>
                <w:lang w:eastAsia="zh-CN"/>
              </w:rPr>
            </w:pPr>
          </w:p>
        </w:tc>
        <w:tc>
          <w:tcPr>
            <w:tcW w:w="576" w:type="pct"/>
            <w:tcBorders>
              <w:top w:val="nil"/>
              <w:left w:val="nil"/>
              <w:bottom w:val="nil"/>
              <w:right w:val="nil"/>
            </w:tcBorders>
            <w:shd w:val="clear" w:color="auto" w:fill="auto"/>
            <w:noWrap/>
            <w:vAlign w:val="center"/>
            <w:hideMark/>
          </w:tcPr>
          <w:p w14:paraId="655EC9B1"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006C8164"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DAC96F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1297AE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6F5D7D35"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70995369" w14:textId="33524009"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05</w:t>
            </w:r>
          </w:p>
        </w:tc>
      </w:tr>
      <w:tr w:rsidR="00EB3B52" w:rsidRPr="000668F6" w14:paraId="4C3C7785" w14:textId="77777777" w:rsidTr="0094735D">
        <w:trPr>
          <w:trHeight w:val="220"/>
        </w:trPr>
        <w:tc>
          <w:tcPr>
            <w:tcW w:w="911" w:type="pct"/>
            <w:tcBorders>
              <w:top w:val="nil"/>
              <w:left w:val="nil"/>
              <w:bottom w:val="nil"/>
              <w:right w:val="nil"/>
            </w:tcBorders>
            <w:shd w:val="clear" w:color="auto" w:fill="auto"/>
            <w:noWrap/>
            <w:vAlign w:val="center"/>
            <w:hideMark/>
          </w:tcPr>
          <w:p w14:paraId="3E77F1F6"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1A8A3E9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448FE0A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5EA935B0"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C7D796E"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4A8384C"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14846C17" w14:textId="77777777" w:rsidR="00EB3B52" w:rsidRPr="000668F6" w:rsidRDefault="00EB3B52" w:rsidP="0094735D">
            <w:pPr>
              <w:spacing w:after="0" w:line="240" w:lineRule="auto"/>
              <w:jc w:val="center"/>
              <w:rPr>
                <w:rFonts w:ascii="Times New Roman" w:eastAsia="Times New Roman" w:hAnsi="Times New Roman" w:cs="Times New Roman"/>
                <w:lang w:eastAsia="zh-CN"/>
              </w:rPr>
            </w:pPr>
          </w:p>
        </w:tc>
        <w:tc>
          <w:tcPr>
            <w:tcW w:w="576" w:type="pct"/>
            <w:tcBorders>
              <w:top w:val="nil"/>
              <w:left w:val="nil"/>
              <w:bottom w:val="nil"/>
              <w:right w:val="nil"/>
            </w:tcBorders>
            <w:shd w:val="clear" w:color="auto" w:fill="auto"/>
            <w:noWrap/>
            <w:vAlign w:val="center"/>
            <w:hideMark/>
          </w:tcPr>
          <w:p w14:paraId="373375D7"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(-0.76)</w:t>
            </w:r>
          </w:p>
        </w:tc>
      </w:tr>
      <w:tr w:rsidR="00EB3B52" w:rsidRPr="000668F6" w14:paraId="02996ED8" w14:textId="77777777" w:rsidTr="0094735D">
        <w:trPr>
          <w:trHeight w:val="220"/>
        </w:trPr>
        <w:tc>
          <w:tcPr>
            <w:tcW w:w="911" w:type="pct"/>
            <w:tcBorders>
              <w:top w:val="nil"/>
              <w:left w:val="nil"/>
              <w:bottom w:val="nil"/>
              <w:right w:val="nil"/>
            </w:tcBorders>
            <w:shd w:val="clear" w:color="auto" w:fill="auto"/>
            <w:noWrap/>
            <w:vAlign w:val="center"/>
            <w:hideMark/>
          </w:tcPr>
          <w:p w14:paraId="46C20EEB"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lnBM</w:t>
            </w:r>
          </w:p>
        </w:tc>
        <w:tc>
          <w:tcPr>
            <w:tcW w:w="632" w:type="pct"/>
            <w:tcBorders>
              <w:top w:val="nil"/>
              <w:left w:val="nil"/>
              <w:bottom w:val="nil"/>
              <w:right w:val="nil"/>
            </w:tcBorders>
            <w:shd w:val="clear" w:color="auto" w:fill="auto"/>
            <w:noWrap/>
            <w:vAlign w:val="center"/>
            <w:hideMark/>
          </w:tcPr>
          <w:p w14:paraId="1DC332E7" w14:textId="6BE54B2C"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08**</w:t>
            </w:r>
          </w:p>
        </w:tc>
        <w:tc>
          <w:tcPr>
            <w:tcW w:w="576" w:type="pct"/>
            <w:tcBorders>
              <w:top w:val="nil"/>
              <w:left w:val="nil"/>
              <w:bottom w:val="nil"/>
              <w:right w:val="nil"/>
            </w:tcBorders>
            <w:shd w:val="clear" w:color="auto" w:fill="auto"/>
            <w:noWrap/>
            <w:vAlign w:val="center"/>
            <w:hideMark/>
          </w:tcPr>
          <w:p w14:paraId="6484801D" w14:textId="2972C40E"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03</w:t>
            </w:r>
          </w:p>
        </w:tc>
        <w:tc>
          <w:tcPr>
            <w:tcW w:w="576" w:type="pct"/>
            <w:tcBorders>
              <w:top w:val="nil"/>
              <w:left w:val="nil"/>
              <w:bottom w:val="nil"/>
              <w:right w:val="nil"/>
            </w:tcBorders>
            <w:shd w:val="clear" w:color="auto" w:fill="auto"/>
            <w:noWrap/>
            <w:vAlign w:val="center"/>
            <w:hideMark/>
          </w:tcPr>
          <w:p w14:paraId="4A33BB37" w14:textId="04E7DD0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04</w:t>
            </w:r>
          </w:p>
        </w:tc>
        <w:tc>
          <w:tcPr>
            <w:tcW w:w="576" w:type="pct"/>
            <w:tcBorders>
              <w:top w:val="nil"/>
              <w:left w:val="nil"/>
              <w:bottom w:val="nil"/>
              <w:right w:val="nil"/>
            </w:tcBorders>
            <w:shd w:val="clear" w:color="auto" w:fill="auto"/>
            <w:noWrap/>
            <w:vAlign w:val="center"/>
            <w:hideMark/>
          </w:tcPr>
          <w:p w14:paraId="3DA20F49" w14:textId="1BC8AFE4"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05</w:t>
            </w:r>
          </w:p>
        </w:tc>
        <w:tc>
          <w:tcPr>
            <w:tcW w:w="576" w:type="pct"/>
            <w:tcBorders>
              <w:top w:val="nil"/>
              <w:left w:val="nil"/>
              <w:bottom w:val="nil"/>
              <w:right w:val="nil"/>
            </w:tcBorders>
            <w:shd w:val="clear" w:color="auto" w:fill="auto"/>
            <w:noWrap/>
            <w:vAlign w:val="center"/>
            <w:hideMark/>
          </w:tcPr>
          <w:p w14:paraId="0D31495A" w14:textId="2E64421F"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07*</w:t>
            </w:r>
          </w:p>
        </w:tc>
        <w:tc>
          <w:tcPr>
            <w:tcW w:w="576" w:type="pct"/>
            <w:tcBorders>
              <w:top w:val="nil"/>
              <w:left w:val="nil"/>
              <w:bottom w:val="nil"/>
              <w:right w:val="nil"/>
            </w:tcBorders>
            <w:shd w:val="clear" w:color="auto" w:fill="auto"/>
            <w:noWrap/>
            <w:vAlign w:val="center"/>
            <w:hideMark/>
          </w:tcPr>
          <w:p w14:paraId="36D7AF67" w14:textId="155F0D6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08*</w:t>
            </w:r>
          </w:p>
        </w:tc>
        <w:tc>
          <w:tcPr>
            <w:tcW w:w="576" w:type="pct"/>
            <w:tcBorders>
              <w:top w:val="nil"/>
              <w:left w:val="nil"/>
              <w:bottom w:val="nil"/>
              <w:right w:val="nil"/>
            </w:tcBorders>
            <w:shd w:val="clear" w:color="auto" w:fill="auto"/>
            <w:noWrap/>
            <w:vAlign w:val="center"/>
            <w:hideMark/>
          </w:tcPr>
          <w:p w14:paraId="0B70D49E" w14:textId="7564242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10*</w:t>
            </w:r>
          </w:p>
        </w:tc>
      </w:tr>
      <w:tr w:rsidR="00EB3B52" w:rsidRPr="000668F6" w14:paraId="2635E11B" w14:textId="77777777" w:rsidTr="0094735D">
        <w:trPr>
          <w:trHeight w:val="220"/>
        </w:trPr>
        <w:tc>
          <w:tcPr>
            <w:tcW w:w="911" w:type="pct"/>
            <w:tcBorders>
              <w:top w:val="nil"/>
              <w:left w:val="nil"/>
              <w:bottom w:val="nil"/>
              <w:right w:val="nil"/>
            </w:tcBorders>
            <w:shd w:val="clear" w:color="auto" w:fill="auto"/>
            <w:noWrap/>
            <w:vAlign w:val="center"/>
            <w:hideMark/>
          </w:tcPr>
          <w:p w14:paraId="533E05D8"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0D73243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(2.14)</w:t>
            </w:r>
          </w:p>
        </w:tc>
        <w:tc>
          <w:tcPr>
            <w:tcW w:w="576" w:type="pct"/>
            <w:tcBorders>
              <w:top w:val="nil"/>
              <w:left w:val="nil"/>
              <w:bottom w:val="nil"/>
              <w:right w:val="nil"/>
            </w:tcBorders>
            <w:shd w:val="clear" w:color="auto" w:fill="auto"/>
            <w:noWrap/>
            <w:vAlign w:val="center"/>
            <w:hideMark/>
          </w:tcPr>
          <w:p w14:paraId="1540F5F3"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(0.51)</w:t>
            </w:r>
          </w:p>
        </w:tc>
        <w:tc>
          <w:tcPr>
            <w:tcW w:w="576" w:type="pct"/>
            <w:tcBorders>
              <w:top w:val="nil"/>
              <w:left w:val="nil"/>
              <w:bottom w:val="nil"/>
              <w:right w:val="nil"/>
            </w:tcBorders>
            <w:shd w:val="clear" w:color="auto" w:fill="auto"/>
            <w:noWrap/>
            <w:vAlign w:val="center"/>
            <w:hideMark/>
          </w:tcPr>
          <w:p w14:paraId="782825F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(0.69)</w:t>
            </w:r>
          </w:p>
        </w:tc>
        <w:tc>
          <w:tcPr>
            <w:tcW w:w="576" w:type="pct"/>
            <w:tcBorders>
              <w:top w:val="nil"/>
              <w:left w:val="nil"/>
              <w:bottom w:val="nil"/>
              <w:right w:val="nil"/>
            </w:tcBorders>
            <w:shd w:val="clear" w:color="auto" w:fill="auto"/>
            <w:noWrap/>
            <w:vAlign w:val="center"/>
            <w:hideMark/>
          </w:tcPr>
          <w:p w14:paraId="3744975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(0.90)</w:t>
            </w:r>
          </w:p>
        </w:tc>
        <w:tc>
          <w:tcPr>
            <w:tcW w:w="576" w:type="pct"/>
            <w:tcBorders>
              <w:top w:val="nil"/>
              <w:left w:val="nil"/>
              <w:bottom w:val="nil"/>
              <w:right w:val="nil"/>
            </w:tcBorders>
            <w:shd w:val="clear" w:color="auto" w:fill="auto"/>
            <w:noWrap/>
            <w:vAlign w:val="center"/>
            <w:hideMark/>
          </w:tcPr>
          <w:p w14:paraId="5D6FE51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(1.84)</w:t>
            </w:r>
          </w:p>
        </w:tc>
        <w:tc>
          <w:tcPr>
            <w:tcW w:w="576" w:type="pct"/>
            <w:tcBorders>
              <w:top w:val="nil"/>
              <w:left w:val="nil"/>
              <w:bottom w:val="nil"/>
              <w:right w:val="nil"/>
            </w:tcBorders>
            <w:shd w:val="clear" w:color="auto" w:fill="auto"/>
            <w:noWrap/>
            <w:vAlign w:val="center"/>
            <w:hideMark/>
          </w:tcPr>
          <w:p w14:paraId="28B3709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(1.86)</w:t>
            </w:r>
          </w:p>
        </w:tc>
        <w:tc>
          <w:tcPr>
            <w:tcW w:w="576" w:type="pct"/>
            <w:tcBorders>
              <w:top w:val="nil"/>
              <w:left w:val="nil"/>
              <w:bottom w:val="nil"/>
              <w:right w:val="nil"/>
            </w:tcBorders>
            <w:shd w:val="clear" w:color="auto" w:fill="auto"/>
            <w:noWrap/>
            <w:vAlign w:val="center"/>
            <w:hideMark/>
          </w:tcPr>
          <w:p w14:paraId="06F2A879"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(1.68)</w:t>
            </w:r>
          </w:p>
        </w:tc>
      </w:tr>
      <w:tr w:rsidR="00EB3B52" w:rsidRPr="000668F6" w14:paraId="67AA2DBA" w14:textId="77777777" w:rsidTr="0094735D">
        <w:trPr>
          <w:trHeight w:val="220"/>
        </w:trPr>
        <w:tc>
          <w:tcPr>
            <w:tcW w:w="911" w:type="pct"/>
            <w:tcBorders>
              <w:top w:val="nil"/>
              <w:left w:val="nil"/>
              <w:bottom w:val="nil"/>
              <w:right w:val="nil"/>
            </w:tcBorders>
            <w:shd w:val="clear" w:color="auto" w:fill="auto"/>
            <w:noWrap/>
            <w:vAlign w:val="center"/>
            <w:hideMark/>
          </w:tcPr>
          <w:p w14:paraId="7C0996A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lnMV</w:t>
            </w:r>
          </w:p>
        </w:tc>
        <w:tc>
          <w:tcPr>
            <w:tcW w:w="632" w:type="pct"/>
            <w:tcBorders>
              <w:top w:val="nil"/>
              <w:left w:val="nil"/>
              <w:bottom w:val="nil"/>
              <w:right w:val="nil"/>
            </w:tcBorders>
            <w:shd w:val="clear" w:color="auto" w:fill="auto"/>
            <w:noWrap/>
            <w:vAlign w:val="center"/>
            <w:hideMark/>
          </w:tcPr>
          <w:p w14:paraId="16E5A0AC" w14:textId="270FB93D"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19***</w:t>
            </w:r>
          </w:p>
        </w:tc>
        <w:tc>
          <w:tcPr>
            <w:tcW w:w="576" w:type="pct"/>
            <w:tcBorders>
              <w:top w:val="nil"/>
              <w:left w:val="nil"/>
              <w:bottom w:val="nil"/>
              <w:right w:val="nil"/>
            </w:tcBorders>
            <w:shd w:val="clear" w:color="auto" w:fill="auto"/>
            <w:noWrap/>
            <w:vAlign w:val="center"/>
            <w:hideMark/>
          </w:tcPr>
          <w:p w14:paraId="0251A0DC" w14:textId="5224C763"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09</w:t>
            </w:r>
          </w:p>
        </w:tc>
        <w:tc>
          <w:tcPr>
            <w:tcW w:w="576" w:type="pct"/>
            <w:tcBorders>
              <w:top w:val="nil"/>
              <w:left w:val="nil"/>
              <w:bottom w:val="nil"/>
              <w:right w:val="nil"/>
            </w:tcBorders>
            <w:shd w:val="clear" w:color="auto" w:fill="auto"/>
            <w:noWrap/>
            <w:vAlign w:val="center"/>
            <w:hideMark/>
          </w:tcPr>
          <w:p w14:paraId="1094B825" w14:textId="36930DA1"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17***</w:t>
            </w:r>
          </w:p>
        </w:tc>
        <w:tc>
          <w:tcPr>
            <w:tcW w:w="576" w:type="pct"/>
            <w:tcBorders>
              <w:top w:val="nil"/>
              <w:left w:val="nil"/>
              <w:bottom w:val="nil"/>
              <w:right w:val="nil"/>
            </w:tcBorders>
            <w:shd w:val="clear" w:color="auto" w:fill="auto"/>
            <w:noWrap/>
            <w:vAlign w:val="center"/>
            <w:hideMark/>
          </w:tcPr>
          <w:p w14:paraId="34691AF7" w14:textId="7D803898"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14***</w:t>
            </w:r>
          </w:p>
        </w:tc>
        <w:tc>
          <w:tcPr>
            <w:tcW w:w="576" w:type="pct"/>
            <w:tcBorders>
              <w:top w:val="nil"/>
              <w:left w:val="nil"/>
              <w:bottom w:val="nil"/>
              <w:right w:val="nil"/>
            </w:tcBorders>
            <w:shd w:val="clear" w:color="auto" w:fill="auto"/>
            <w:noWrap/>
            <w:vAlign w:val="center"/>
            <w:hideMark/>
          </w:tcPr>
          <w:p w14:paraId="3F3C5710" w14:textId="02B213C6"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11</w:t>
            </w:r>
          </w:p>
        </w:tc>
        <w:tc>
          <w:tcPr>
            <w:tcW w:w="576" w:type="pct"/>
            <w:tcBorders>
              <w:top w:val="nil"/>
              <w:left w:val="nil"/>
              <w:bottom w:val="nil"/>
              <w:right w:val="nil"/>
            </w:tcBorders>
            <w:shd w:val="clear" w:color="auto" w:fill="auto"/>
            <w:noWrap/>
            <w:vAlign w:val="center"/>
            <w:hideMark/>
          </w:tcPr>
          <w:p w14:paraId="08E4D8C8" w14:textId="3A3F6049"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19***</w:t>
            </w:r>
          </w:p>
        </w:tc>
        <w:tc>
          <w:tcPr>
            <w:tcW w:w="576" w:type="pct"/>
            <w:tcBorders>
              <w:top w:val="nil"/>
              <w:left w:val="nil"/>
              <w:bottom w:val="nil"/>
              <w:right w:val="nil"/>
            </w:tcBorders>
            <w:shd w:val="clear" w:color="auto" w:fill="auto"/>
            <w:noWrap/>
            <w:vAlign w:val="center"/>
            <w:hideMark/>
          </w:tcPr>
          <w:p w14:paraId="4E5D2D93" w14:textId="7D777D02" w:rsidR="00EB3B52" w:rsidRPr="000668F6" w:rsidRDefault="00DA3D14" w:rsidP="0094735D">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EB3B52" w:rsidRPr="000668F6">
              <w:rPr>
                <w:rFonts w:eastAsia="Times New Roman" w:cs="Times New Roman"/>
                <w:color w:val="000000"/>
                <w:lang w:eastAsia="zh-CN"/>
              </w:rPr>
              <w:t>0</w:t>
            </w:r>
            <w:r>
              <w:rPr>
                <w:rFonts w:eastAsia="Times New Roman" w:cs="Times New Roman"/>
                <w:color w:val="000000"/>
                <w:lang w:eastAsia="zh-CN"/>
              </w:rPr>
              <w:t>.</w:t>
            </w:r>
            <w:r w:rsidR="00EB3B52" w:rsidRPr="000668F6">
              <w:rPr>
                <w:rFonts w:eastAsia="Times New Roman" w:cs="Times New Roman"/>
                <w:color w:val="000000"/>
                <w:lang w:eastAsia="zh-CN"/>
              </w:rPr>
              <w:t>17**</w:t>
            </w:r>
          </w:p>
        </w:tc>
      </w:tr>
      <w:tr w:rsidR="00EB3B52" w:rsidRPr="000668F6" w14:paraId="5428E548" w14:textId="77777777" w:rsidTr="0094735D">
        <w:trPr>
          <w:trHeight w:val="220"/>
        </w:trPr>
        <w:tc>
          <w:tcPr>
            <w:tcW w:w="911" w:type="pct"/>
            <w:tcBorders>
              <w:top w:val="nil"/>
              <w:left w:val="nil"/>
              <w:bottom w:val="nil"/>
              <w:right w:val="nil"/>
            </w:tcBorders>
            <w:shd w:val="clear" w:color="auto" w:fill="auto"/>
            <w:noWrap/>
            <w:vAlign w:val="center"/>
            <w:hideMark/>
          </w:tcPr>
          <w:p w14:paraId="06A923CC" w14:textId="77777777" w:rsidR="00EB3B52" w:rsidRPr="000668F6" w:rsidRDefault="00EB3B52" w:rsidP="0094735D">
            <w:pPr>
              <w:spacing w:after="0" w:line="240" w:lineRule="auto"/>
              <w:jc w:val="center"/>
              <w:rPr>
                <w:rFonts w:eastAsia="Times New Roman" w:cs="Times New Roman"/>
                <w:color w:val="000000"/>
                <w:lang w:eastAsia="zh-CN"/>
              </w:rPr>
            </w:pPr>
          </w:p>
        </w:tc>
        <w:tc>
          <w:tcPr>
            <w:tcW w:w="632" w:type="pct"/>
            <w:tcBorders>
              <w:top w:val="nil"/>
              <w:left w:val="nil"/>
              <w:bottom w:val="nil"/>
              <w:right w:val="nil"/>
            </w:tcBorders>
            <w:shd w:val="clear" w:color="auto" w:fill="auto"/>
            <w:noWrap/>
            <w:vAlign w:val="center"/>
            <w:hideMark/>
          </w:tcPr>
          <w:p w14:paraId="21CEF9D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(-6.05)</w:t>
            </w:r>
          </w:p>
        </w:tc>
        <w:tc>
          <w:tcPr>
            <w:tcW w:w="576" w:type="pct"/>
            <w:tcBorders>
              <w:top w:val="nil"/>
              <w:left w:val="nil"/>
              <w:bottom w:val="nil"/>
              <w:right w:val="nil"/>
            </w:tcBorders>
            <w:shd w:val="clear" w:color="auto" w:fill="auto"/>
            <w:noWrap/>
            <w:vAlign w:val="center"/>
            <w:hideMark/>
          </w:tcPr>
          <w:p w14:paraId="1C527CF4"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(-1.39)</w:t>
            </w:r>
          </w:p>
        </w:tc>
        <w:tc>
          <w:tcPr>
            <w:tcW w:w="576" w:type="pct"/>
            <w:tcBorders>
              <w:top w:val="nil"/>
              <w:left w:val="nil"/>
              <w:bottom w:val="nil"/>
              <w:right w:val="nil"/>
            </w:tcBorders>
            <w:shd w:val="clear" w:color="auto" w:fill="auto"/>
            <w:noWrap/>
            <w:vAlign w:val="center"/>
            <w:hideMark/>
          </w:tcPr>
          <w:p w14:paraId="23904EB2"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(-2.95)</w:t>
            </w:r>
          </w:p>
        </w:tc>
        <w:tc>
          <w:tcPr>
            <w:tcW w:w="576" w:type="pct"/>
            <w:tcBorders>
              <w:top w:val="nil"/>
              <w:left w:val="nil"/>
              <w:bottom w:val="nil"/>
              <w:right w:val="nil"/>
            </w:tcBorders>
            <w:shd w:val="clear" w:color="auto" w:fill="auto"/>
            <w:noWrap/>
            <w:vAlign w:val="center"/>
            <w:hideMark/>
          </w:tcPr>
          <w:p w14:paraId="7227C30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(-3.13)</w:t>
            </w:r>
          </w:p>
        </w:tc>
        <w:tc>
          <w:tcPr>
            <w:tcW w:w="576" w:type="pct"/>
            <w:tcBorders>
              <w:top w:val="nil"/>
              <w:left w:val="nil"/>
              <w:bottom w:val="nil"/>
              <w:right w:val="nil"/>
            </w:tcBorders>
            <w:shd w:val="clear" w:color="auto" w:fill="auto"/>
            <w:noWrap/>
            <w:vAlign w:val="center"/>
            <w:hideMark/>
          </w:tcPr>
          <w:p w14:paraId="7A71BE8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(-1.24)</w:t>
            </w:r>
          </w:p>
        </w:tc>
        <w:tc>
          <w:tcPr>
            <w:tcW w:w="576" w:type="pct"/>
            <w:tcBorders>
              <w:top w:val="nil"/>
              <w:left w:val="nil"/>
              <w:bottom w:val="nil"/>
              <w:right w:val="nil"/>
            </w:tcBorders>
            <w:shd w:val="clear" w:color="auto" w:fill="auto"/>
            <w:noWrap/>
            <w:vAlign w:val="center"/>
            <w:hideMark/>
          </w:tcPr>
          <w:p w14:paraId="78A6487B"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(-5.55)</w:t>
            </w:r>
          </w:p>
        </w:tc>
        <w:tc>
          <w:tcPr>
            <w:tcW w:w="576" w:type="pct"/>
            <w:tcBorders>
              <w:top w:val="nil"/>
              <w:left w:val="nil"/>
              <w:bottom w:val="nil"/>
              <w:right w:val="nil"/>
            </w:tcBorders>
            <w:shd w:val="clear" w:color="auto" w:fill="auto"/>
            <w:noWrap/>
            <w:vAlign w:val="center"/>
            <w:hideMark/>
          </w:tcPr>
          <w:p w14:paraId="1E378CFF"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(-2.35)</w:t>
            </w:r>
          </w:p>
        </w:tc>
      </w:tr>
      <w:tr w:rsidR="00EB3B52" w:rsidRPr="000668F6" w14:paraId="4ED38E9B" w14:textId="77777777" w:rsidTr="0094735D">
        <w:trPr>
          <w:trHeight w:val="220"/>
        </w:trPr>
        <w:tc>
          <w:tcPr>
            <w:tcW w:w="911" w:type="pct"/>
            <w:tcBorders>
              <w:top w:val="nil"/>
              <w:left w:val="nil"/>
              <w:bottom w:val="nil"/>
              <w:right w:val="nil"/>
            </w:tcBorders>
            <w:shd w:val="clear" w:color="auto" w:fill="auto"/>
            <w:noWrap/>
            <w:vAlign w:val="center"/>
            <w:hideMark/>
          </w:tcPr>
          <w:p w14:paraId="3FF0E26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Pre6ret</w:t>
            </w:r>
          </w:p>
        </w:tc>
        <w:tc>
          <w:tcPr>
            <w:tcW w:w="632" w:type="pct"/>
            <w:tcBorders>
              <w:top w:val="nil"/>
              <w:left w:val="nil"/>
              <w:bottom w:val="nil"/>
              <w:right w:val="nil"/>
            </w:tcBorders>
            <w:shd w:val="clear" w:color="auto" w:fill="auto"/>
            <w:noWrap/>
            <w:vAlign w:val="center"/>
            <w:hideMark/>
          </w:tcPr>
          <w:p w14:paraId="172A9529" w14:textId="216613F1"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21</w:t>
            </w:r>
          </w:p>
        </w:tc>
        <w:tc>
          <w:tcPr>
            <w:tcW w:w="576" w:type="pct"/>
            <w:tcBorders>
              <w:top w:val="nil"/>
              <w:left w:val="nil"/>
              <w:bottom w:val="nil"/>
              <w:right w:val="nil"/>
            </w:tcBorders>
            <w:shd w:val="clear" w:color="auto" w:fill="auto"/>
            <w:noWrap/>
            <w:vAlign w:val="center"/>
            <w:hideMark/>
          </w:tcPr>
          <w:p w14:paraId="57A91684" w14:textId="47A5F01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11</w:t>
            </w:r>
          </w:p>
        </w:tc>
        <w:tc>
          <w:tcPr>
            <w:tcW w:w="576" w:type="pct"/>
            <w:tcBorders>
              <w:top w:val="nil"/>
              <w:left w:val="nil"/>
              <w:bottom w:val="nil"/>
              <w:right w:val="nil"/>
            </w:tcBorders>
            <w:shd w:val="clear" w:color="auto" w:fill="auto"/>
            <w:noWrap/>
            <w:vAlign w:val="center"/>
            <w:hideMark/>
          </w:tcPr>
          <w:p w14:paraId="0CD1B0E1" w14:textId="4DC13FD8"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36*</w:t>
            </w:r>
          </w:p>
        </w:tc>
        <w:tc>
          <w:tcPr>
            <w:tcW w:w="576" w:type="pct"/>
            <w:tcBorders>
              <w:top w:val="nil"/>
              <w:left w:val="nil"/>
              <w:bottom w:val="nil"/>
              <w:right w:val="nil"/>
            </w:tcBorders>
            <w:shd w:val="clear" w:color="auto" w:fill="auto"/>
            <w:noWrap/>
            <w:vAlign w:val="center"/>
            <w:hideMark/>
          </w:tcPr>
          <w:p w14:paraId="637B62EE" w14:textId="1F32A1C6"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35*</w:t>
            </w:r>
          </w:p>
        </w:tc>
        <w:tc>
          <w:tcPr>
            <w:tcW w:w="576" w:type="pct"/>
            <w:tcBorders>
              <w:top w:val="nil"/>
              <w:left w:val="nil"/>
              <w:bottom w:val="nil"/>
              <w:right w:val="nil"/>
            </w:tcBorders>
            <w:shd w:val="clear" w:color="auto" w:fill="auto"/>
            <w:noWrap/>
            <w:vAlign w:val="center"/>
            <w:hideMark/>
          </w:tcPr>
          <w:p w14:paraId="0F8F3156" w14:textId="6791C155"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32*</w:t>
            </w:r>
          </w:p>
        </w:tc>
        <w:tc>
          <w:tcPr>
            <w:tcW w:w="576" w:type="pct"/>
            <w:tcBorders>
              <w:top w:val="nil"/>
              <w:left w:val="nil"/>
              <w:bottom w:val="nil"/>
              <w:right w:val="nil"/>
            </w:tcBorders>
            <w:shd w:val="clear" w:color="auto" w:fill="auto"/>
            <w:noWrap/>
            <w:vAlign w:val="center"/>
            <w:hideMark/>
          </w:tcPr>
          <w:p w14:paraId="036460CD" w14:textId="3BDD30FA"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26</w:t>
            </w:r>
          </w:p>
        </w:tc>
        <w:tc>
          <w:tcPr>
            <w:tcW w:w="576" w:type="pct"/>
            <w:tcBorders>
              <w:top w:val="nil"/>
              <w:left w:val="nil"/>
              <w:bottom w:val="nil"/>
              <w:right w:val="nil"/>
            </w:tcBorders>
            <w:shd w:val="clear" w:color="auto" w:fill="auto"/>
            <w:noWrap/>
            <w:vAlign w:val="center"/>
            <w:hideMark/>
          </w:tcPr>
          <w:p w14:paraId="3CE2408F" w14:textId="5CD43E5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w:t>
            </w:r>
            <w:r w:rsidR="00DA3D14">
              <w:rPr>
                <w:rFonts w:eastAsia="Times New Roman" w:cs="Times New Roman"/>
                <w:color w:val="000000"/>
                <w:lang w:eastAsia="zh-CN"/>
              </w:rPr>
              <w:t>.</w:t>
            </w:r>
            <w:r w:rsidRPr="000668F6">
              <w:rPr>
                <w:rFonts w:eastAsia="Times New Roman" w:cs="Times New Roman"/>
                <w:color w:val="000000"/>
                <w:lang w:eastAsia="zh-CN"/>
              </w:rPr>
              <w:t>24</w:t>
            </w:r>
          </w:p>
        </w:tc>
      </w:tr>
      <w:tr w:rsidR="00EB3B52" w:rsidRPr="000668F6" w14:paraId="2C1066BA" w14:textId="77777777" w:rsidTr="0094735D">
        <w:trPr>
          <w:trHeight w:val="220"/>
        </w:trPr>
        <w:tc>
          <w:tcPr>
            <w:tcW w:w="911" w:type="pct"/>
            <w:tcBorders>
              <w:top w:val="nil"/>
              <w:left w:val="nil"/>
              <w:bottom w:val="single" w:sz="4" w:space="0" w:color="auto"/>
              <w:right w:val="nil"/>
            </w:tcBorders>
            <w:shd w:val="clear" w:color="auto" w:fill="auto"/>
            <w:noWrap/>
            <w:vAlign w:val="center"/>
            <w:hideMark/>
          </w:tcPr>
          <w:p w14:paraId="2512B64A"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 </w:t>
            </w:r>
          </w:p>
        </w:tc>
        <w:tc>
          <w:tcPr>
            <w:tcW w:w="632" w:type="pct"/>
            <w:tcBorders>
              <w:top w:val="nil"/>
              <w:left w:val="nil"/>
              <w:bottom w:val="single" w:sz="4" w:space="0" w:color="auto"/>
              <w:right w:val="nil"/>
            </w:tcBorders>
            <w:shd w:val="clear" w:color="auto" w:fill="auto"/>
            <w:noWrap/>
            <w:vAlign w:val="center"/>
            <w:hideMark/>
          </w:tcPr>
          <w:p w14:paraId="59E7F086"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(1.21)</w:t>
            </w:r>
          </w:p>
        </w:tc>
        <w:tc>
          <w:tcPr>
            <w:tcW w:w="576" w:type="pct"/>
            <w:tcBorders>
              <w:top w:val="nil"/>
              <w:left w:val="nil"/>
              <w:bottom w:val="single" w:sz="4" w:space="0" w:color="auto"/>
              <w:right w:val="nil"/>
            </w:tcBorders>
            <w:shd w:val="clear" w:color="auto" w:fill="auto"/>
            <w:noWrap/>
            <w:vAlign w:val="center"/>
            <w:hideMark/>
          </w:tcPr>
          <w:p w14:paraId="3203350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(0.56)</w:t>
            </w:r>
          </w:p>
        </w:tc>
        <w:tc>
          <w:tcPr>
            <w:tcW w:w="576" w:type="pct"/>
            <w:tcBorders>
              <w:top w:val="nil"/>
              <w:left w:val="nil"/>
              <w:bottom w:val="single" w:sz="4" w:space="0" w:color="auto"/>
              <w:right w:val="nil"/>
            </w:tcBorders>
            <w:shd w:val="clear" w:color="auto" w:fill="auto"/>
            <w:noWrap/>
            <w:vAlign w:val="center"/>
            <w:hideMark/>
          </w:tcPr>
          <w:p w14:paraId="4014FF3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(1.77)</w:t>
            </w:r>
          </w:p>
        </w:tc>
        <w:tc>
          <w:tcPr>
            <w:tcW w:w="576" w:type="pct"/>
            <w:tcBorders>
              <w:top w:val="nil"/>
              <w:left w:val="nil"/>
              <w:bottom w:val="single" w:sz="4" w:space="0" w:color="auto"/>
              <w:right w:val="nil"/>
            </w:tcBorders>
            <w:shd w:val="clear" w:color="auto" w:fill="auto"/>
            <w:noWrap/>
            <w:vAlign w:val="center"/>
            <w:hideMark/>
          </w:tcPr>
          <w:p w14:paraId="008ECB81"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(1.67)</w:t>
            </w:r>
          </w:p>
        </w:tc>
        <w:tc>
          <w:tcPr>
            <w:tcW w:w="576" w:type="pct"/>
            <w:tcBorders>
              <w:top w:val="nil"/>
              <w:left w:val="nil"/>
              <w:bottom w:val="single" w:sz="4" w:space="0" w:color="auto"/>
              <w:right w:val="nil"/>
            </w:tcBorders>
            <w:shd w:val="clear" w:color="auto" w:fill="auto"/>
            <w:noWrap/>
            <w:vAlign w:val="center"/>
            <w:hideMark/>
          </w:tcPr>
          <w:p w14:paraId="0121B908"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(1.88)</w:t>
            </w:r>
          </w:p>
        </w:tc>
        <w:tc>
          <w:tcPr>
            <w:tcW w:w="576" w:type="pct"/>
            <w:tcBorders>
              <w:top w:val="nil"/>
              <w:left w:val="nil"/>
              <w:bottom w:val="single" w:sz="4" w:space="0" w:color="auto"/>
              <w:right w:val="nil"/>
            </w:tcBorders>
            <w:shd w:val="clear" w:color="auto" w:fill="auto"/>
            <w:noWrap/>
            <w:vAlign w:val="center"/>
            <w:hideMark/>
          </w:tcPr>
          <w:p w14:paraId="05C41EFC"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(1.48)</w:t>
            </w:r>
          </w:p>
        </w:tc>
        <w:tc>
          <w:tcPr>
            <w:tcW w:w="576" w:type="pct"/>
            <w:tcBorders>
              <w:top w:val="nil"/>
              <w:left w:val="nil"/>
              <w:bottom w:val="single" w:sz="4" w:space="0" w:color="auto"/>
              <w:right w:val="nil"/>
            </w:tcBorders>
            <w:shd w:val="clear" w:color="auto" w:fill="auto"/>
            <w:noWrap/>
            <w:vAlign w:val="center"/>
            <w:hideMark/>
          </w:tcPr>
          <w:p w14:paraId="4FE55590" w14:textId="77777777" w:rsidR="00EB3B52" w:rsidRPr="000668F6" w:rsidRDefault="00EB3B52" w:rsidP="0094735D">
            <w:pPr>
              <w:spacing w:after="0" w:line="240" w:lineRule="auto"/>
              <w:jc w:val="center"/>
              <w:rPr>
                <w:rFonts w:eastAsia="Times New Roman" w:cs="Times New Roman"/>
                <w:color w:val="000000"/>
                <w:lang w:eastAsia="zh-CN"/>
              </w:rPr>
            </w:pPr>
            <w:r w:rsidRPr="000668F6">
              <w:rPr>
                <w:rFonts w:eastAsia="Times New Roman" w:cs="Times New Roman"/>
                <w:color w:val="000000"/>
                <w:lang w:eastAsia="zh-CN"/>
              </w:rPr>
              <w:t>(1.44)</w:t>
            </w:r>
          </w:p>
        </w:tc>
      </w:tr>
    </w:tbl>
    <w:p w14:paraId="03FB2A0E" w14:textId="77777777" w:rsidR="0092303A" w:rsidRDefault="0092303A" w:rsidP="0092303A">
      <w:pPr>
        <w:spacing w:line="360" w:lineRule="auto"/>
        <w:jc w:val="both"/>
      </w:pPr>
    </w:p>
    <w:p w14:paraId="55890AAA" w14:textId="77777777" w:rsidR="0092303A" w:rsidRDefault="0092303A" w:rsidP="0092303A">
      <w:pPr>
        <w:spacing w:line="360" w:lineRule="auto"/>
        <w:jc w:val="both"/>
      </w:pPr>
    </w:p>
    <w:p w14:paraId="32F4E3EB" w14:textId="4AD00314" w:rsidR="00AC5294" w:rsidRPr="00AC5294" w:rsidRDefault="00AC5294" w:rsidP="00AC5294"/>
    <w:p w14:paraId="50AFF605" w14:textId="77777777" w:rsidR="007C6CB2" w:rsidRPr="00AC5294" w:rsidRDefault="007C6CB2" w:rsidP="007C6CB2">
      <w:pPr>
        <w:spacing w:line="240" w:lineRule="auto"/>
        <w:rPr>
          <w:b/>
          <w:lang w:val="en-US"/>
        </w:rPr>
      </w:pPr>
    </w:p>
    <w:p w14:paraId="3ED24DE1" w14:textId="77777777" w:rsidR="007C6CB2" w:rsidRPr="008319F4" w:rsidRDefault="007C6CB2">
      <w:pPr>
        <w:rPr>
          <w:b/>
          <w:lang w:val="en-US"/>
        </w:rPr>
      </w:pPr>
      <w:r w:rsidRPr="008319F4">
        <w:rPr>
          <w:b/>
          <w:lang w:val="en-US"/>
        </w:rPr>
        <w:br w:type="page"/>
      </w:r>
    </w:p>
    <w:p w14:paraId="378B5492" w14:textId="0B5F2981" w:rsidR="003F1225" w:rsidRPr="008319F4" w:rsidRDefault="003F1225" w:rsidP="00A32202">
      <w:pPr>
        <w:spacing w:line="240" w:lineRule="auto"/>
        <w:rPr>
          <w:lang w:val="en-US"/>
        </w:rPr>
        <w:sectPr w:rsidR="003F1225" w:rsidRPr="008319F4" w:rsidSect="00AC5294">
          <w:pgSz w:w="11906" w:h="16838"/>
          <w:pgMar w:top="1440" w:right="1800" w:bottom="1440" w:left="1800" w:header="708" w:footer="708" w:gutter="0"/>
          <w:cols w:space="708"/>
          <w:docGrid w:linePitch="360"/>
        </w:sectPr>
      </w:pPr>
    </w:p>
    <w:p w14:paraId="773832D0" w14:textId="103FF900" w:rsidR="003F1225" w:rsidRPr="008319F4" w:rsidRDefault="0083460E" w:rsidP="00A32202">
      <w:pPr>
        <w:spacing w:line="240" w:lineRule="auto"/>
        <w:outlineLvl w:val="0"/>
        <w:rPr>
          <w:b/>
          <w:lang w:val="en-US"/>
        </w:rPr>
      </w:pPr>
      <w:r w:rsidRPr="008319F4">
        <w:rPr>
          <w:b/>
          <w:lang w:val="en-US"/>
        </w:rPr>
        <w:lastRenderedPageBreak/>
        <w:t>Table 5</w:t>
      </w:r>
      <w:r w:rsidR="003F1225" w:rsidRPr="008319F4">
        <w:rPr>
          <w:b/>
          <w:lang w:val="en-US"/>
        </w:rPr>
        <w:t xml:space="preserve">. Returns and </w:t>
      </w:r>
      <w:r w:rsidR="00584DA6" w:rsidRPr="008319F4">
        <w:rPr>
          <w:b/>
          <w:lang w:val="en-US"/>
        </w:rPr>
        <w:t xml:space="preserve">the </w:t>
      </w:r>
      <w:r w:rsidR="003F1225" w:rsidRPr="008319F4">
        <w:rPr>
          <w:b/>
          <w:lang w:val="en-US"/>
        </w:rPr>
        <w:t>asset growth anomaly for growth sequence portfolios</w:t>
      </w:r>
    </w:p>
    <w:p w14:paraId="4202443B" w14:textId="6B5F438B" w:rsidR="00346791" w:rsidRDefault="006856C5" w:rsidP="00346791">
      <w:pPr>
        <w:spacing w:line="240" w:lineRule="auto"/>
        <w:jc w:val="both"/>
      </w:pPr>
      <w:r w:rsidRPr="008319F4">
        <w:rPr>
          <w:lang w:val="en-US"/>
        </w:rPr>
        <w:t>This table presents the average monthly raw returns</w:t>
      </w:r>
      <w:r w:rsidR="0095408F">
        <w:rPr>
          <w:lang w:val="en-US"/>
        </w:rPr>
        <w:t xml:space="preserve"> (in %)</w:t>
      </w:r>
      <w:r w:rsidR="00346791" w:rsidRPr="008319F4">
        <w:rPr>
          <w:lang w:val="en-US"/>
        </w:rPr>
        <w:t xml:space="preserve"> and asset growth slopes</w:t>
      </w:r>
      <w:r w:rsidRPr="008319F4">
        <w:rPr>
          <w:lang w:val="en-US"/>
        </w:rPr>
        <w:t xml:space="preserve"> within different growth sequence</w:t>
      </w:r>
      <w:r w:rsidR="00DE4B51" w:rsidRPr="008319F4">
        <w:rPr>
          <w:lang w:val="en-US"/>
        </w:rPr>
        <w:t>s</w:t>
      </w:r>
      <w:r w:rsidRPr="008319F4">
        <w:rPr>
          <w:lang w:val="en-US"/>
        </w:rPr>
        <w:t xml:space="preserve">. We first sort firms into </w:t>
      </w:r>
      <w:r w:rsidRPr="003507D0">
        <w:rPr>
          <w:noProof/>
          <w:lang w:val="en-US"/>
        </w:rPr>
        <w:t>deciles; and</w:t>
      </w:r>
      <w:r w:rsidRPr="008319F4">
        <w:rPr>
          <w:lang w:val="en-US"/>
        </w:rPr>
        <w:t xml:space="preserve"> define </w:t>
      </w:r>
      <w:r w:rsidR="00DE4B51" w:rsidRPr="008319F4">
        <w:rPr>
          <w:lang w:val="en-US"/>
        </w:rPr>
        <w:t xml:space="preserve">the </w:t>
      </w:r>
      <w:r w:rsidRPr="008319F4">
        <w:rPr>
          <w:lang w:val="en-US"/>
        </w:rPr>
        <w:t>top t</w:t>
      </w:r>
      <w:r w:rsidR="00DE4B51" w:rsidRPr="008319F4">
        <w:rPr>
          <w:lang w:val="en-US"/>
        </w:rPr>
        <w:t>wo deciles as</w:t>
      </w:r>
      <w:r w:rsidRPr="008319F4">
        <w:rPr>
          <w:lang w:val="en-US"/>
        </w:rPr>
        <w:t xml:space="preserve"> high asset growth</w:t>
      </w:r>
      <w:r w:rsidR="00DE4B51" w:rsidRPr="008319F4">
        <w:rPr>
          <w:lang w:val="en-US"/>
        </w:rPr>
        <w:t xml:space="preserve"> and</w:t>
      </w:r>
      <w:r w:rsidRPr="008319F4">
        <w:rPr>
          <w:lang w:val="en-US"/>
        </w:rPr>
        <w:t xml:space="preserve"> </w:t>
      </w:r>
      <w:r w:rsidR="00DE4B51" w:rsidRPr="008319F4">
        <w:rPr>
          <w:lang w:val="en-US"/>
        </w:rPr>
        <w:t>the bottom two deciles as</w:t>
      </w:r>
      <w:r w:rsidR="00BF5507" w:rsidRPr="008319F4">
        <w:rPr>
          <w:lang w:val="en-US"/>
        </w:rPr>
        <w:t xml:space="preserve"> low asset growth. We</w:t>
      </w:r>
      <w:r w:rsidRPr="008319F4">
        <w:rPr>
          <w:lang w:val="en-US"/>
        </w:rPr>
        <w:t xml:space="preserve"> then trace back firm asset growth to check in which year firms in high (low) decile at year t end their </w:t>
      </w:r>
      <w:r w:rsidR="00EF4787">
        <w:rPr>
          <w:lang w:val="en-US"/>
        </w:rPr>
        <w:t>sequence</w:t>
      </w:r>
      <w:r w:rsidRPr="008319F4">
        <w:rPr>
          <w:lang w:val="en-US"/>
        </w:rPr>
        <w:t>.</w:t>
      </w:r>
      <w:r w:rsidR="00DE4B51" w:rsidRPr="008319F4">
        <w:rPr>
          <w:lang w:val="en-US"/>
        </w:rPr>
        <w:t xml:space="preserve"> </w:t>
      </w:r>
      <w:r w:rsidRPr="008319F4">
        <w:rPr>
          <w:lang w:val="en-US"/>
        </w:rPr>
        <w:t xml:space="preserve"> If firms in </w:t>
      </w:r>
      <w:r w:rsidR="00DE4B51" w:rsidRPr="008319F4">
        <w:rPr>
          <w:lang w:val="en-US"/>
        </w:rPr>
        <w:t xml:space="preserve">a </w:t>
      </w:r>
      <w:r w:rsidRPr="008319F4">
        <w:rPr>
          <w:lang w:val="en-US"/>
        </w:rPr>
        <w:t xml:space="preserve">high (low) decile stay in high (low) decile in year t-1 but do not locate in high (low) decile in year t-2, then such firms are grouped into H1 (L1). Similarly, according to the period of </w:t>
      </w:r>
      <w:r w:rsidR="00EF4787">
        <w:rPr>
          <w:lang w:val="en-US"/>
        </w:rPr>
        <w:t>sequence</w:t>
      </w:r>
      <w:r w:rsidRPr="008319F4">
        <w:rPr>
          <w:lang w:val="en-US"/>
        </w:rPr>
        <w:t xml:space="preserve">, we construct H2 (L2), H3 (L3) and H4 (L4). </w:t>
      </w:r>
      <w:r w:rsidR="00991945">
        <w:rPr>
          <w:lang w:val="en-US"/>
        </w:rPr>
        <w:t xml:space="preserve">Panel A reports the average monthly return in the 12 months after the formation period.  Panel B reports the asset growth slop coefficients.  </w:t>
      </w:r>
      <w:r w:rsidR="00346791" w:rsidRPr="008319F4">
        <w:rPr>
          <w:lang w:val="en-US"/>
        </w:rPr>
        <w:t>Asset growth slope</w:t>
      </w:r>
      <w:r w:rsidR="00991945">
        <w:rPr>
          <w:lang w:val="en-US"/>
        </w:rPr>
        <w:t>s</w:t>
      </w:r>
      <w:r w:rsidR="00346791" w:rsidRPr="008319F4">
        <w:rPr>
          <w:lang w:val="en-US"/>
        </w:rPr>
        <w:t xml:space="preserve"> are from the regression of monthly returns on asset growth, </w:t>
      </w:r>
      <w:r w:rsidR="00DE4B51" w:rsidRPr="008319F4">
        <w:rPr>
          <w:lang w:val="en-US"/>
        </w:rPr>
        <w:t>the natural</w:t>
      </w:r>
      <w:r w:rsidR="00346791" w:rsidRPr="008319F4">
        <w:rPr>
          <w:lang w:val="en-US"/>
        </w:rPr>
        <w:t xml:space="preserve"> logarithm of market value, </w:t>
      </w:r>
      <w:r w:rsidR="00DE4B51" w:rsidRPr="008319F4">
        <w:rPr>
          <w:lang w:val="en-US"/>
        </w:rPr>
        <w:t>the natural</w:t>
      </w:r>
      <w:r w:rsidR="00346791" w:rsidRPr="008319F4">
        <w:rPr>
          <w:lang w:val="en-US"/>
        </w:rPr>
        <w:t xml:space="preserve"> logarithm of </w:t>
      </w:r>
      <w:r w:rsidR="00DE4B51" w:rsidRPr="008319F4">
        <w:rPr>
          <w:lang w:val="en-US"/>
        </w:rPr>
        <w:t xml:space="preserve">the </w:t>
      </w:r>
      <w:r w:rsidR="00346791" w:rsidRPr="008319F4">
        <w:rPr>
          <w:lang w:val="en-US"/>
        </w:rPr>
        <w:t xml:space="preserve">book-to-market ratio and previous </w:t>
      </w:r>
      <w:r w:rsidR="00346791" w:rsidRPr="00DC51AD">
        <w:rPr>
          <w:noProof/>
          <w:lang w:val="en-US"/>
        </w:rPr>
        <w:t>six</w:t>
      </w:r>
      <w:r w:rsidR="00DC51AD">
        <w:rPr>
          <w:noProof/>
          <w:lang w:val="en-US"/>
        </w:rPr>
        <w:t>-</w:t>
      </w:r>
      <w:r w:rsidR="00346791" w:rsidRPr="00DC51AD">
        <w:rPr>
          <w:noProof/>
          <w:lang w:val="en-US"/>
        </w:rPr>
        <w:t>month</w:t>
      </w:r>
      <w:r w:rsidR="00346791" w:rsidRPr="008319F4">
        <w:rPr>
          <w:lang w:val="en-US"/>
        </w:rPr>
        <w:t xml:space="preserve"> returns</w:t>
      </w:r>
      <w:r w:rsidR="00AC7272">
        <w:rPr>
          <w:lang w:val="en-US"/>
        </w:rPr>
        <w:t xml:space="preserve"> for </w:t>
      </w:r>
      <w:r w:rsidR="00991945">
        <w:rPr>
          <w:lang w:val="en-US"/>
        </w:rPr>
        <w:t xml:space="preserve">portfolios including </w:t>
      </w:r>
      <w:r w:rsidR="00991945" w:rsidRPr="00DC51AD">
        <w:rPr>
          <w:noProof/>
          <w:lang w:val="en-US"/>
        </w:rPr>
        <w:t>stocks</w:t>
      </w:r>
      <w:r w:rsidR="00AC7272" w:rsidRPr="00DC51AD">
        <w:rPr>
          <w:noProof/>
          <w:lang w:val="en-US"/>
        </w:rPr>
        <w:t xml:space="preserve"> in</w:t>
      </w:r>
      <w:r w:rsidR="00AC7272">
        <w:rPr>
          <w:lang w:val="en-US"/>
        </w:rPr>
        <w:t xml:space="preserve"> the </w:t>
      </w:r>
      <w:r w:rsidR="00991945">
        <w:rPr>
          <w:lang w:val="en-US"/>
        </w:rPr>
        <w:t>H</w:t>
      </w:r>
      <w:r w:rsidR="00142C17">
        <w:rPr>
          <w:lang w:val="en-US"/>
        </w:rPr>
        <w:t>, L</w:t>
      </w:r>
      <w:r w:rsidR="00AC7272">
        <w:rPr>
          <w:lang w:val="en-US"/>
        </w:rPr>
        <w:t xml:space="preserve"> </w:t>
      </w:r>
      <w:r w:rsidR="00991945">
        <w:rPr>
          <w:lang w:val="en-US"/>
        </w:rPr>
        <w:t xml:space="preserve">and both L and H </w:t>
      </w:r>
      <w:r w:rsidR="00EF4787">
        <w:rPr>
          <w:lang w:val="en-US"/>
        </w:rPr>
        <w:t>sequence</w:t>
      </w:r>
      <w:r w:rsidR="00AC7272">
        <w:rPr>
          <w:lang w:val="en-US"/>
        </w:rPr>
        <w:t xml:space="preserve"> group</w:t>
      </w:r>
      <w:r w:rsidR="00991945">
        <w:rPr>
          <w:lang w:val="en-US"/>
        </w:rPr>
        <w:t>s</w:t>
      </w:r>
      <w:r w:rsidR="00346791" w:rsidRPr="008319F4">
        <w:rPr>
          <w:lang w:val="en-US"/>
        </w:rPr>
        <w:t xml:space="preserve">. </w:t>
      </w:r>
      <w:r w:rsidR="00346791" w:rsidRPr="008319F4">
        <w:t>The t-values are based on Newey-West (1987) standard errors for correcting heteroscedasticity and autocorrelation</w:t>
      </w:r>
      <w:r w:rsidR="00AC7272">
        <w:t>.  Diff(4 – 1)</w:t>
      </w:r>
      <w:r w:rsidR="00B95BF1">
        <w:t xml:space="preserve"> reports the test for the difference between the statistics in </w:t>
      </w:r>
      <w:r w:rsidR="00EF4787">
        <w:t>Sequence</w:t>
      </w:r>
      <w:r w:rsidR="00B95BF1">
        <w:t xml:space="preserve">s 4 and 1.  </w:t>
      </w:r>
      <w:r w:rsidR="00AC7272">
        <w:t xml:space="preserve"> </w:t>
      </w:r>
      <w:r w:rsidR="00346791" w:rsidRPr="008319F4">
        <w:t>*, **, and *** indicate the significance level at 0.10, 0.05 and 0.01.</w:t>
      </w:r>
    </w:p>
    <w:p w14:paraId="2D994836" w14:textId="108206D0" w:rsidR="00AC7272" w:rsidRPr="008319F4" w:rsidRDefault="00D83221" w:rsidP="00346791">
      <w:pPr>
        <w:spacing w:line="240" w:lineRule="auto"/>
        <w:jc w:val="both"/>
      </w:pPr>
      <w:r>
        <w:t>Panel A Hedge Returns</w:t>
      </w:r>
    </w:p>
    <w:tbl>
      <w:tblPr>
        <w:tblW w:w="3385" w:type="pct"/>
        <w:tblLook w:val="04A0" w:firstRow="1" w:lastRow="0" w:firstColumn="1" w:lastColumn="0" w:noHBand="0" w:noVBand="1"/>
      </w:tblPr>
      <w:tblGrid>
        <w:gridCol w:w="1445"/>
        <w:gridCol w:w="1442"/>
        <w:gridCol w:w="1441"/>
        <w:gridCol w:w="1441"/>
      </w:tblGrid>
      <w:tr w:rsidR="00142C17" w14:paraId="7221EC33" w14:textId="77777777" w:rsidTr="00142C17">
        <w:trPr>
          <w:trHeight w:val="300"/>
        </w:trPr>
        <w:tc>
          <w:tcPr>
            <w:tcW w:w="1252" w:type="pct"/>
            <w:tcBorders>
              <w:top w:val="single" w:sz="4" w:space="0" w:color="auto"/>
              <w:left w:val="nil"/>
              <w:bottom w:val="single" w:sz="4" w:space="0" w:color="auto"/>
              <w:right w:val="nil"/>
            </w:tcBorders>
            <w:shd w:val="clear" w:color="auto" w:fill="auto"/>
            <w:noWrap/>
            <w:vAlign w:val="center"/>
            <w:hideMark/>
          </w:tcPr>
          <w:p w14:paraId="5467925E" w14:textId="63806519" w:rsidR="00142C17" w:rsidRDefault="00EF4787" w:rsidP="00142C17">
            <w:pPr>
              <w:jc w:val="center"/>
              <w:rPr>
                <w:rFonts w:eastAsia="Times New Roman"/>
                <w:color w:val="000000"/>
              </w:rPr>
            </w:pPr>
            <w:r>
              <w:rPr>
                <w:rFonts w:eastAsia="Times New Roman"/>
                <w:color w:val="000000"/>
              </w:rPr>
              <w:t>Sequence</w:t>
            </w:r>
          </w:p>
        </w:tc>
        <w:tc>
          <w:tcPr>
            <w:tcW w:w="1250" w:type="pct"/>
            <w:tcBorders>
              <w:top w:val="single" w:sz="4" w:space="0" w:color="auto"/>
              <w:left w:val="nil"/>
              <w:bottom w:val="single" w:sz="4" w:space="0" w:color="auto"/>
              <w:right w:val="nil"/>
            </w:tcBorders>
            <w:shd w:val="clear" w:color="auto" w:fill="auto"/>
            <w:noWrap/>
            <w:vAlign w:val="center"/>
            <w:hideMark/>
          </w:tcPr>
          <w:p w14:paraId="1DA82F8D" w14:textId="77777777" w:rsidR="00142C17" w:rsidRDefault="00142C17" w:rsidP="00142C17">
            <w:pPr>
              <w:jc w:val="center"/>
              <w:rPr>
                <w:rFonts w:eastAsia="Times New Roman"/>
                <w:color w:val="000000"/>
              </w:rPr>
            </w:pPr>
            <w:r>
              <w:rPr>
                <w:rFonts w:eastAsia="Times New Roman"/>
                <w:color w:val="000000"/>
              </w:rPr>
              <w:t>H</w:t>
            </w:r>
          </w:p>
        </w:tc>
        <w:tc>
          <w:tcPr>
            <w:tcW w:w="1249" w:type="pct"/>
            <w:tcBorders>
              <w:top w:val="single" w:sz="4" w:space="0" w:color="auto"/>
              <w:left w:val="nil"/>
              <w:bottom w:val="single" w:sz="4" w:space="0" w:color="auto"/>
              <w:right w:val="nil"/>
            </w:tcBorders>
            <w:vAlign w:val="center"/>
          </w:tcPr>
          <w:p w14:paraId="498D604C" w14:textId="70A6031A" w:rsidR="00142C17" w:rsidRDefault="00142C17" w:rsidP="00142C17">
            <w:pPr>
              <w:jc w:val="center"/>
              <w:rPr>
                <w:rFonts w:eastAsia="Times New Roman"/>
                <w:color w:val="000000"/>
              </w:rPr>
            </w:pPr>
            <w:r>
              <w:rPr>
                <w:rFonts w:eastAsia="Times New Roman"/>
                <w:color w:val="000000"/>
              </w:rPr>
              <w:t>L</w:t>
            </w:r>
          </w:p>
        </w:tc>
        <w:tc>
          <w:tcPr>
            <w:tcW w:w="1249" w:type="pct"/>
            <w:tcBorders>
              <w:top w:val="single" w:sz="4" w:space="0" w:color="auto"/>
              <w:left w:val="nil"/>
              <w:bottom w:val="single" w:sz="4" w:space="0" w:color="auto"/>
              <w:right w:val="nil"/>
            </w:tcBorders>
            <w:shd w:val="clear" w:color="auto" w:fill="auto"/>
            <w:noWrap/>
            <w:vAlign w:val="center"/>
            <w:hideMark/>
          </w:tcPr>
          <w:p w14:paraId="5834ECA4" w14:textId="33D7AD29" w:rsidR="00142C17" w:rsidRDefault="00142C17" w:rsidP="00142C17">
            <w:pPr>
              <w:jc w:val="center"/>
              <w:rPr>
                <w:rFonts w:eastAsia="Times New Roman"/>
                <w:color w:val="000000"/>
              </w:rPr>
            </w:pPr>
            <w:r>
              <w:rPr>
                <w:rFonts w:eastAsia="Times New Roman"/>
                <w:color w:val="000000"/>
              </w:rPr>
              <w:t>diff (L</w:t>
            </w:r>
            <w:r>
              <w:t>–</w:t>
            </w:r>
            <w:r>
              <w:rPr>
                <w:rFonts w:eastAsia="Times New Roman"/>
                <w:color w:val="000000"/>
              </w:rPr>
              <w:t>H)</w:t>
            </w:r>
          </w:p>
        </w:tc>
      </w:tr>
      <w:tr w:rsidR="00142C17" w14:paraId="09C2315B" w14:textId="77777777" w:rsidTr="00142C17">
        <w:trPr>
          <w:trHeight w:val="300"/>
        </w:trPr>
        <w:tc>
          <w:tcPr>
            <w:tcW w:w="1252" w:type="pct"/>
            <w:tcBorders>
              <w:top w:val="nil"/>
              <w:left w:val="nil"/>
              <w:bottom w:val="nil"/>
              <w:right w:val="nil"/>
            </w:tcBorders>
            <w:shd w:val="clear" w:color="auto" w:fill="auto"/>
            <w:noWrap/>
            <w:vAlign w:val="center"/>
            <w:hideMark/>
          </w:tcPr>
          <w:p w14:paraId="1A6F477C" w14:textId="77777777" w:rsidR="00142C17" w:rsidRDefault="00142C17" w:rsidP="00142C17">
            <w:pPr>
              <w:jc w:val="center"/>
              <w:rPr>
                <w:rFonts w:eastAsia="Times New Roman"/>
                <w:color w:val="000000"/>
              </w:rPr>
            </w:pPr>
            <w:r>
              <w:rPr>
                <w:rFonts w:eastAsia="Times New Roman"/>
                <w:color w:val="000000"/>
              </w:rPr>
              <w:t>1</w:t>
            </w:r>
          </w:p>
        </w:tc>
        <w:tc>
          <w:tcPr>
            <w:tcW w:w="1250" w:type="pct"/>
            <w:tcBorders>
              <w:top w:val="nil"/>
              <w:left w:val="nil"/>
              <w:bottom w:val="nil"/>
              <w:right w:val="nil"/>
            </w:tcBorders>
            <w:shd w:val="clear" w:color="auto" w:fill="auto"/>
            <w:noWrap/>
            <w:vAlign w:val="center"/>
            <w:hideMark/>
          </w:tcPr>
          <w:p w14:paraId="7B3FD5A0" w14:textId="0440207F"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86</w:t>
            </w:r>
          </w:p>
        </w:tc>
        <w:tc>
          <w:tcPr>
            <w:tcW w:w="1249" w:type="pct"/>
            <w:tcBorders>
              <w:top w:val="nil"/>
              <w:left w:val="nil"/>
              <w:bottom w:val="nil"/>
              <w:right w:val="nil"/>
            </w:tcBorders>
            <w:vAlign w:val="center"/>
          </w:tcPr>
          <w:p w14:paraId="4DFF9DBF" w14:textId="71E0E4EA" w:rsidR="00142C17" w:rsidRDefault="00142C17" w:rsidP="00142C17">
            <w:pPr>
              <w:jc w:val="center"/>
              <w:rPr>
                <w:rFonts w:eastAsia="Times New Roman"/>
                <w:color w:val="000000"/>
              </w:rPr>
            </w:pPr>
            <w:r>
              <w:rPr>
                <w:rFonts w:eastAsia="Times New Roman"/>
                <w:color w:val="000000"/>
              </w:rPr>
              <w:t>1</w:t>
            </w:r>
            <w:r w:rsidR="00505D86">
              <w:rPr>
                <w:rFonts w:eastAsia="Times New Roman"/>
                <w:color w:val="000000"/>
              </w:rPr>
              <w:t>.</w:t>
            </w:r>
            <w:r>
              <w:rPr>
                <w:rFonts w:eastAsia="Times New Roman"/>
                <w:color w:val="000000"/>
              </w:rPr>
              <w:t>7</w:t>
            </w:r>
            <w:r w:rsidR="00505D86">
              <w:rPr>
                <w:rFonts w:eastAsia="Times New Roman"/>
                <w:color w:val="000000"/>
              </w:rPr>
              <w:t>0</w:t>
            </w:r>
          </w:p>
        </w:tc>
        <w:tc>
          <w:tcPr>
            <w:tcW w:w="1249" w:type="pct"/>
            <w:tcBorders>
              <w:top w:val="nil"/>
              <w:left w:val="nil"/>
              <w:bottom w:val="nil"/>
              <w:right w:val="nil"/>
            </w:tcBorders>
            <w:shd w:val="clear" w:color="auto" w:fill="auto"/>
            <w:noWrap/>
            <w:vAlign w:val="center"/>
            <w:hideMark/>
          </w:tcPr>
          <w:p w14:paraId="5AF35615" w14:textId="0AAC3E5E"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83***</w:t>
            </w:r>
          </w:p>
        </w:tc>
      </w:tr>
      <w:tr w:rsidR="00142C17" w14:paraId="78E1F59F" w14:textId="77777777" w:rsidTr="00142C17">
        <w:trPr>
          <w:trHeight w:val="300"/>
        </w:trPr>
        <w:tc>
          <w:tcPr>
            <w:tcW w:w="1252" w:type="pct"/>
            <w:tcBorders>
              <w:top w:val="nil"/>
              <w:left w:val="nil"/>
              <w:bottom w:val="nil"/>
              <w:right w:val="nil"/>
            </w:tcBorders>
            <w:shd w:val="clear" w:color="auto" w:fill="auto"/>
            <w:noWrap/>
            <w:vAlign w:val="center"/>
            <w:hideMark/>
          </w:tcPr>
          <w:p w14:paraId="79EC1FEF" w14:textId="77777777" w:rsidR="00142C17" w:rsidRDefault="00142C17" w:rsidP="00142C17">
            <w:pPr>
              <w:jc w:val="center"/>
              <w:rPr>
                <w:rFonts w:eastAsia="Times New Roman"/>
                <w:color w:val="000000"/>
              </w:rPr>
            </w:pPr>
            <w:r>
              <w:rPr>
                <w:rFonts w:eastAsia="Times New Roman"/>
                <w:color w:val="000000"/>
              </w:rPr>
              <w:t>2</w:t>
            </w:r>
          </w:p>
        </w:tc>
        <w:tc>
          <w:tcPr>
            <w:tcW w:w="1250" w:type="pct"/>
            <w:tcBorders>
              <w:top w:val="nil"/>
              <w:left w:val="nil"/>
              <w:bottom w:val="nil"/>
              <w:right w:val="nil"/>
            </w:tcBorders>
            <w:shd w:val="clear" w:color="auto" w:fill="auto"/>
            <w:noWrap/>
            <w:vAlign w:val="center"/>
            <w:hideMark/>
          </w:tcPr>
          <w:p w14:paraId="697BBDD6" w14:textId="1EA78876"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73</w:t>
            </w:r>
          </w:p>
        </w:tc>
        <w:tc>
          <w:tcPr>
            <w:tcW w:w="1249" w:type="pct"/>
            <w:tcBorders>
              <w:top w:val="nil"/>
              <w:left w:val="nil"/>
              <w:bottom w:val="nil"/>
              <w:right w:val="nil"/>
            </w:tcBorders>
            <w:vAlign w:val="center"/>
          </w:tcPr>
          <w:p w14:paraId="3B6C7D93" w14:textId="18937A57" w:rsidR="00142C17" w:rsidRDefault="00142C17" w:rsidP="00142C17">
            <w:pPr>
              <w:jc w:val="center"/>
              <w:rPr>
                <w:rFonts w:eastAsia="Times New Roman"/>
                <w:color w:val="000000"/>
              </w:rPr>
            </w:pPr>
            <w:r>
              <w:rPr>
                <w:rFonts w:eastAsia="Times New Roman"/>
                <w:color w:val="000000"/>
              </w:rPr>
              <w:t>2</w:t>
            </w:r>
            <w:r w:rsidR="00505D86">
              <w:rPr>
                <w:rFonts w:eastAsia="Times New Roman"/>
                <w:color w:val="000000"/>
              </w:rPr>
              <w:t>.</w:t>
            </w:r>
            <w:r>
              <w:rPr>
                <w:rFonts w:eastAsia="Times New Roman"/>
                <w:color w:val="000000"/>
              </w:rPr>
              <w:t>01</w:t>
            </w:r>
          </w:p>
        </w:tc>
        <w:tc>
          <w:tcPr>
            <w:tcW w:w="1249" w:type="pct"/>
            <w:tcBorders>
              <w:top w:val="nil"/>
              <w:left w:val="nil"/>
              <w:bottom w:val="nil"/>
              <w:right w:val="nil"/>
            </w:tcBorders>
            <w:shd w:val="clear" w:color="auto" w:fill="auto"/>
            <w:noWrap/>
            <w:vAlign w:val="center"/>
            <w:hideMark/>
          </w:tcPr>
          <w:p w14:paraId="4B2EAB5C" w14:textId="603AE886" w:rsidR="00142C17" w:rsidRDefault="00142C17" w:rsidP="00142C17">
            <w:pPr>
              <w:jc w:val="center"/>
              <w:rPr>
                <w:rFonts w:eastAsia="Times New Roman"/>
                <w:color w:val="000000"/>
              </w:rPr>
            </w:pPr>
            <w:r>
              <w:rPr>
                <w:rFonts w:eastAsia="Times New Roman"/>
                <w:color w:val="000000"/>
              </w:rPr>
              <w:t>1</w:t>
            </w:r>
            <w:r w:rsidR="00505D86">
              <w:rPr>
                <w:rFonts w:eastAsia="Times New Roman"/>
                <w:color w:val="000000"/>
              </w:rPr>
              <w:t>.</w:t>
            </w:r>
            <w:r>
              <w:rPr>
                <w:rFonts w:eastAsia="Times New Roman"/>
                <w:color w:val="000000"/>
              </w:rPr>
              <w:t>28***</w:t>
            </w:r>
          </w:p>
        </w:tc>
      </w:tr>
      <w:tr w:rsidR="00142C17" w14:paraId="01618467" w14:textId="77777777" w:rsidTr="00142C17">
        <w:trPr>
          <w:trHeight w:val="300"/>
        </w:trPr>
        <w:tc>
          <w:tcPr>
            <w:tcW w:w="1252" w:type="pct"/>
            <w:tcBorders>
              <w:top w:val="nil"/>
              <w:left w:val="nil"/>
              <w:bottom w:val="nil"/>
              <w:right w:val="nil"/>
            </w:tcBorders>
            <w:shd w:val="clear" w:color="auto" w:fill="auto"/>
            <w:noWrap/>
            <w:vAlign w:val="center"/>
            <w:hideMark/>
          </w:tcPr>
          <w:p w14:paraId="0F98C828" w14:textId="77777777" w:rsidR="00142C17" w:rsidRDefault="00142C17" w:rsidP="00142C17">
            <w:pPr>
              <w:jc w:val="center"/>
              <w:rPr>
                <w:rFonts w:eastAsia="Times New Roman"/>
                <w:color w:val="000000"/>
              </w:rPr>
            </w:pPr>
            <w:r>
              <w:rPr>
                <w:rFonts w:eastAsia="Times New Roman"/>
                <w:color w:val="000000"/>
              </w:rPr>
              <w:t>3</w:t>
            </w:r>
          </w:p>
        </w:tc>
        <w:tc>
          <w:tcPr>
            <w:tcW w:w="1250" w:type="pct"/>
            <w:tcBorders>
              <w:top w:val="nil"/>
              <w:left w:val="nil"/>
              <w:bottom w:val="nil"/>
              <w:right w:val="nil"/>
            </w:tcBorders>
            <w:shd w:val="clear" w:color="auto" w:fill="auto"/>
            <w:noWrap/>
            <w:vAlign w:val="center"/>
            <w:hideMark/>
          </w:tcPr>
          <w:p w14:paraId="784E6280" w14:textId="22EEADC1"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36</w:t>
            </w:r>
          </w:p>
        </w:tc>
        <w:tc>
          <w:tcPr>
            <w:tcW w:w="1249" w:type="pct"/>
            <w:tcBorders>
              <w:top w:val="nil"/>
              <w:left w:val="nil"/>
              <w:bottom w:val="nil"/>
              <w:right w:val="nil"/>
            </w:tcBorders>
            <w:vAlign w:val="center"/>
          </w:tcPr>
          <w:p w14:paraId="2831979A" w14:textId="25D958AE" w:rsidR="00142C17" w:rsidRDefault="00142C17" w:rsidP="00142C17">
            <w:pPr>
              <w:jc w:val="center"/>
              <w:rPr>
                <w:rFonts w:eastAsia="Times New Roman"/>
                <w:color w:val="000000"/>
              </w:rPr>
            </w:pPr>
            <w:r>
              <w:rPr>
                <w:rFonts w:eastAsia="Times New Roman"/>
                <w:color w:val="000000"/>
              </w:rPr>
              <w:t>1</w:t>
            </w:r>
            <w:r w:rsidR="00505D86">
              <w:rPr>
                <w:rFonts w:eastAsia="Times New Roman"/>
                <w:color w:val="000000"/>
              </w:rPr>
              <w:t>.</w:t>
            </w:r>
            <w:r>
              <w:rPr>
                <w:rFonts w:eastAsia="Times New Roman"/>
                <w:color w:val="000000"/>
              </w:rPr>
              <w:t>78</w:t>
            </w:r>
          </w:p>
        </w:tc>
        <w:tc>
          <w:tcPr>
            <w:tcW w:w="1249" w:type="pct"/>
            <w:tcBorders>
              <w:top w:val="nil"/>
              <w:left w:val="nil"/>
              <w:bottom w:val="nil"/>
              <w:right w:val="nil"/>
            </w:tcBorders>
            <w:shd w:val="clear" w:color="auto" w:fill="auto"/>
            <w:noWrap/>
            <w:vAlign w:val="center"/>
            <w:hideMark/>
          </w:tcPr>
          <w:p w14:paraId="7225C9E6" w14:textId="616753B2" w:rsidR="00142C17" w:rsidRDefault="00142C17" w:rsidP="00142C17">
            <w:pPr>
              <w:jc w:val="center"/>
              <w:rPr>
                <w:rFonts w:eastAsia="Times New Roman"/>
                <w:color w:val="000000"/>
              </w:rPr>
            </w:pPr>
            <w:r>
              <w:rPr>
                <w:rFonts w:eastAsia="Times New Roman"/>
                <w:color w:val="000000"/>
              </w:rPr>
              <w:t>1</w:t>
            </w:r>
            <w:r w:rsidR="00505D86">
              <w:rPr>
                <w:rFonts w:eastAsia="Times New Roman"/>
                <w:color w:val="000000"/>
              </w:rPr>
              <w:t>.</w:t>
            </w:r>
            <w:r>
              <w:rPr>
                <w:rFonts w:eastAsia="Times New Roman"/>
                <w:color w:val="000000"/>
              </w:rPr>
              <w:t>42***</w:t>
            </w:r>
          </w:p>
        </w:tc>
      </w:tr>
      <w:tr w:rsidR="00142C17" w14:paraId="31F30E67" w14:textId="77777777" w:rsidTr="00142C17">
        <w:trPr>
          <w:trHeight w:val="300"/>
        </w:trPr>
        <w:tc>
          <w:tcPr>
            <w:tcW w:w="1252" w:type="pct"/>
            <w:tcBorders>
              <w:top w:val="nil"/>
              <w:left w:val="nil"/>
              <w:bottom w:val="nil"/>
              <w:right w:val="nil"/>
            </w:tcBorders>
            <w:shd w:val="clear" w:color="auto" w:fill="auto"/>
            <w:noWrap/>
            <w:vAlign w:val="center"/>
            <w:hideMark/>
          </w:tcPr>
          <w:p w14:paraId="15211420" w14:textId="77777777" w:rsidR="00142C17" w:rsidRDefault="00142C17" w:rsidP="00142C17">
            <w:pPr>
              <w:jc w:val="center"/>
              <w:rPr>
                <w:rFonts w:eastAsia="Times New Roman"/>
                <w:color w:val="000000"/>
              </w:rPr>
            </w:pPr>
            <w:r>
              <w:rPr>
                <w:rFonts w:eastAsia="Times New Roman"/>
                <w:color w:val="000000"/>
              </w:rPr>
              <w:t>4</w:t>
            </w:r>
          </w:p>
        </w:tc>
        <w:tc>
          <w:tcPr>
            <w:tcW w:w="1250" w:type="pct"/>
            <w:tcBorders>
              <w:top w:val="nil"/>
              <w:left w:val="nil"/>
              <w:bottom w:val="nil"/>
              <w:right w:val="nil"/>
            </w:tcBorders>
            <w:shd w:val="clear" w:color="auto" w:fill="auto"/>
            <w:noWrap/>
            <w:vAlign w:val="center"/>
            <w:hideMark/>
          </w:tcPr>
          <w:p w14:paraId="78645538" w14:textId="00674497"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36</w:t>
            </w:r>
          </w:p>
        </w:tc>
        <w:tc>
          <w:tcPr>
            <w:tcW w:w="1249" w:type="pct"/>
            <w:tcBorders>
              <w:top w:val="nil"/>
              <w:left w:val="nil"/>
              <w:bottom w:val="nil"/>
              <w:right w:val="nil"/>
            </w:tcBorders>
            <w:vAlign w:val="center"/>
          </w:tcPr>
          <w:p w14:paraId="1DFF1928" w14:textId="22B1A10D" w:rsidR="00142C17" w:rsidRDefault="00142C17" w:rsidP="00142C17">
            <w:pPr>
              <w:jc w:val="center"/>
              <w:rPr>
                <w:rFonts w:eastAsia="Times New Roman"/>
                <w:color w:val="000000"/>
              </w:rPr>
            </w:pPr>
            <w:r>
              <w:rPr>
                <w:rFonts w:eastAsia="Times New Roman"/>
                <w:color w:val="000000"/>
              </w:rPr>
              <w:t>2</w:t>
            </w:r>
            <w:r w:rsidR="00505D86">
              <w:rPr>
                <w:rFonts w:eastAsia="Times New Roman"/>
                <w:color w:val="000000"/>
              </w:rPr>
              <w:t>.</w:t>
            </w:r>
            <w:r>
              <w:rPr>
                <w:rFonts w:eastAsia="Times New Roman"/>
                <w:color w:val="000000"/>
              </w:rPr>
              <w:t>09</w:t>
            </w:r>
          </w:p>
        </w:tc>
        <w:tc>
          <w:tcPr>
            <w:tcW w:w="1249" w:type="pct"/>
            <w:tcBorders>
              <w:top w:val="nil"/>
              <w:left w:val="nil"/>
              <w:bottom w:val="nil"/>
              <w:right w:val="nil"/>
            </w:tcBorders>
            <w:shd w:val="clear" w:color="auto" w:fill="auto"/>
            <w:noWrap/>
            <w:vAlign w:val="center"/>
            <w:hideMark/>
          </w:tcPr>
          <w:p w14:paraId="3C263AB8" w14:textId="65B972F0" w:rsidR="00142C17" w:rsidRDefault="00142C17" w:rsidP="00142C17">
            <w:pPr>
              <w:jc w:val="center"/>
              <w:rPr>
                <w:rFonts w:eastAsia="Times New Roman"/>
                <w:color w:val="000000"/>
              </w:rPr>
            </w:pPr>
            <w:r>
              <w:rPr>
                <w:rFonts w:eastAsia="Times New Roman"/>
                <w:color w:val="000000"/>
              </w:rPr>
              <w:t>1</w:t>
            </w:r>
            <w:r w:rsidR="00505D86">
              <w:rPr>
                <w:rFonts w:eastAsia="Times New Roman"/>
                <w:color w:val="000000"/>
              </w:rPr>
              <w:t>.</w:t>
            </w:r>
            <w:r>
              <w:rPr>
                <w:rFonts w:eastAsia="Times New Roman"/>
                <w:color w:val="000000"/>
              </w:rPr>
              <w:t>73***</w:t>
            </w:r>
          </w:p>
        </w:tc>
      </w:tr>
      <w:tr w:rsidR="00142C17" w14:paraId="1E9E6F12" w14:textId="77777777" w:rsidTr="00142C17">
        <w:trPr>
          <w:trHeight w:val="300"/>
        </w:trPr>
        <w:tc>
          <w:tcPr>
            <w:tcW w:w="1252" w:type="pct"/>
            <w:tcBorders>
              <w:top w:val="nil"/>
              <w:left w:val="nil"/>
              <w:bottom w:val="nil"/>
              <w:right w:val="nil"/>
            </w:tcBorders>
            <w:shd w:val="clear" w:color="auto" w:fill="auto"/>
            <w:noWrap/>
            <w:vAlign w:val="center"/>
            <w:hideMark/>
          </w:tcPr>
          <w:p w14:paraId="547C50DF" w14:textId="77777777" w:rsidR="00142C17" w:rsidRDefault="00142C17" w:rsidP="00142C17">
            <w:pPr>
              <w:jc w:val="center"/>
              <w:rPr>
                <w:rFonts w:eastAsia="Times New Roman"/>
                <w:color w:val="000000"/>
              </w:rPr>
            </w:pPr>
          </w:p>
        </w:tc>
        <w:tc>
          <w:tcPr>
            <w:tcW w:w="1250" w:type="pct"/>
            <w:tcBorders>
              <w:top w:val="nil"/>
              <w:left w:val="nil"/>
              <w:bottom w:val="nil"/>
              <w:right w:val="nil"/>
            </w:tcBorders>
            <w:shd w:val="clear" w:color="auto" w:fill="auto"/>
            <w:noWrap/>
            <w:vAlign w:val="center"/>
            <w:hideMark/>
          </w:tcPr>
          <w:p w14:paraId="253DA6B0" w14:textId="77777777" w:rsidR="00142C17" w:rsidRDefault="00142C17" w:rsidP="00142C17">
            <w:pPr>
              <w:jc w:val="center"/>
              <w:rPr>
                <w:rFonts w:eastAsia="Times New Roman"/>
                <w:sz w:val="20"/>
                <w:szCs w:val="20"/>
              </w:rPr>
            </w:pPr>
          </w:p>
        </w:tc>
        <w:tc>
          <w:tcPr>
            <w:tcW w:w="1249" w:type="pct"/>
            <w:tcBorders>
              <w:top w:val="nil"/>
              <w:left w:val="nil"/>
              <w:bottom w:val="nil"/>
              <w:right w:val="nil"/>
            </w:tcBorders>
            <w:vAlign w:val="center"/>
          </w:tcPr>
          <w:p w14:paraId="40BB8CA2" w14:textId="77777777" w:rsidR="00142C17" w:rsidRDefault="00142C17" w:rsidP="00142C17">
            <w:pPr>
              <w:jc w:val="center"/>
              <w:rPr>
                <w:rFonts w:eastAsia="Times New Roman"/>
                <w:sz w:val="20"/>
                <w:szCs w:val="20"/>
              </w:rPr>
            </w:pPr>
          </w:p>
        </w:tc>
        <w:tc>
          <w:tcPr>
            <w:tcW w:w="1249" w:type="pct"/>
            <w:tcBorders>
              <w:top w:val="nil"/>
              <w:left w:val="nil"/>
              <w:bottom w:val="nil"/>
              <w:right w:val="nil"/>
            </w:tcBorders>
            <w:shd w:val="clear" w:color="auto" w:fill="auto"/>
            <w:noWrap/>
            <w:vAlign w:val="center"/>
            <w:hideMark/>
          </w:tcPr>
          <w:p w14:paraId="493080F5" w14:textId="497A8366" w:rsidR="00142C17" w:rsidRDefault="00142C17" w:rsidP="00142C17">
            <w:pPr>
              <w:jc w:val="center"/>
              <w:rPr>
                <w:rFonts w:eastAsia="Times New Roman"/>
                <w:sz w:val="20"/>
                <w:szCs w:val="20"/>
              </w:rPr>
            </w:pPr>
          </w:p>
        </w:tc>
      </w:tr>
      <w:tr w:rsidR="00142C17" w14:paraId="0C4960FA" w14:textId="77777777" w:rsidTr="00142C17">
        <w:trPr>
          <w:trHeight w:val="300"/>
        </w:trPr>
        <w:tc>
          <w:tcPr>
            <w:tcW w:w="1252" w:type="pct"/>
            <w:tcBorders>
              <w:top w:val="nil"/>
              <w:left w:val="nil"/>
              <w:bottom w:val="single" w:sz="4" w:space="0" w:color="auto"/>
              <w:right w:val="nil"/>
            </w:tcBorders>
            <w:shd w:val="clear" w:color="auto" w:fill="auto"/>
            <w:noWrap/>
            <w:vAlign w:val="center"/>
            <w:hideMark/>
          </w:tcPr>
          <w:p w14:paraId="3F17D809" w14:textId="0F4D56F9" w:rsidR="00142C17" w:rsidRDefault="00142C17" w:rsidP="00142C17">
            <w:pPr>
              <w:jc w:val="center"/>
              <w:rPr>
                <w:rFonts w:eastAsia="Times New Roman"/>
                <w:color w:val="000000"/>
              </w:rPr>
            </w:pPr>
            <w:r>
              <w:rPr>
                <w:rFonts w:eastAsia="Times New Roman"/>
                <w:color w:val="000000"/>
              </w:rPr>
              <w:t xml:space="preserve">diff (4 </w:t>
            </w:r>
            <w:r>
              <w:t xml:space="preserve">– </w:t>
            </w:r>
            <w:r>
              <w:rPr>
                <w:rFonts w:eastAsia="Times New Roman"/>
                <w:color w:val="000000"/>
              </w:rPr>
              <w:t>1)</w:t>
            </w:r>
          </w:p>
        </w:tc>
        <w:tc>
          <w:tcPr>
            <w:tcW w:w="1250" w:type="pct"/>
            <w:tcBorders>
              <w:top w:val="nil"/>
              <w:left w:val="nil"/>
              <w:bottom w:val="single" w:sz="4" w:space="0" w:color="auto"/>
              <w:right w:val="nil"/>
            </w:tcBorders>
            <w:shd w:val="clear" w:color="auto" w:fill="auto"/>
            <w:noWrap/>
            <w:vAlign w:val="center"/>
            <w:hideMark/>
          </w:tcPr>
          <w:p w14:paraId="56E803BF" w14:textId="44073ED2"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0</w:t>
            </w:r>
            <w:r w:rsidR="00505D86">
              <w:rPr>
                <w:rFonts w:eastAsia="Times New Roman"/>
                <w:color w:val="000000"/>
              </w:rPr>
              <w:t>.</w:t>
            </w:r>
            <w:r w:rsidR="00142C17">
              <w:rPr>
                <w:rFonts w:eastAsia="Times New Roman"/>
                <w:color w:val="000000"/>
              </w:rPr>
              <w:t>50***</w:t>
            </w:r>
          </w:p>
        </w:tc>
        <w:tc>
          <w:tcPr>
            <w:tcW w:w="1249" w:type="pct"/>
            <w:tcBorders>
              <w:top w:val="nil"/>
              <w:left w:val="nil"/>
              <w:bottom w:val="single" w:sz="4" w:space="0" w:color="auto"/>
              <w:right w:val="nil"/>
            </w:tcBorders>
            <w:vAlign w:val="center"/>
          </w:tcPr>
          <w:p w14:paraId="3620D992" w14:textId="369E00CA"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38**</w:t>
            </w:r>
          </w:p>
        </w:tc>
        <w:tc>
          <w:tcPr>
            <w:tcW w:w="1249" w:type="pct"/>
            <w:tcBorders>
              <w:top w:val="nil"/>
              <w:left w:val="nil"/>
              <w:bottom w:val="single" w:sz="4" w:space="0" w:color="auto"/>
              <w:right w:val="nil"/>
            </w:tcBorders>
            <w:shd w:val="clear" w:color="auto" w:fill="auto"/>
            <w:noWrap/>
            <w:vAlign w:val="center"/>
            <w:hideMark/>
          </w:tcPr>
          <w:p w14:paraId="1DE4ACA0" w14:textId="58AE6027" w:rsidR="00142C17" w:rsidRDefault="00142C17" w:rsidP="00142C17">
            <w:pPr>
              <w:jc w:val="center"/>
              <w:rPr>
                <w:rFonts w:eastAsia="Times New Roman"/>
                <w:color w:val="000000"/>
              </w:rPr>
            </w:pPr>
            <w:r>
              <w:rPr>
                <w:rFonts w:eastAsia="Times New Roman"/>
                <w:color w:val="000000"/>
              </w:rPr>
              <w:t>0</w:t>
            </w:r>
            <w:r w:rsidR="00505D86">
              <w:rPr>
                <w:rFonts w:eastAsia="Times New Roman"/>
                <w:color w:val="000000"/>
              </w:rPr>
              <w:t>.</w:t>
            </w:r>
            <w:r>
              <w:rPr>
                <w:rFonts w:eastAsia="Times New Roman"/>
                <w:color w:val="000000"/>
              </w:rPr>
              <w:t>90***</w:t>
            </w:r>
          </w:p>
        </w:tc>
      </w:tr>
    </w:tbl>
    <w:p w14:paraId="5F331346" w14:textId="77777777" w:rsidR="003F1225" w:rsidRPr="00423A14" w:rsidRDefault="003F1225" w:rsidP="00A32202">
      <w:pPr>
        <w:spacing w:line="240" w:lineRule="auto"/>
        <w:rPr>
          <w:lang w:val="en-US"/>
        </w:rPr>
      </w:pPr>
    </w:p>
    <w:p w14:paraId="507A3699" w14:textId="604C3781" w:rsidR="00D83221" w:rsidRPr="008319F4" w:rsidRDefault="00D83221" w:rsidP="00D83221">
      <w:pPr>
        <w:spacing w:line="240" w:lineRule="auto"/>
        <w:jc w:val="both"/>
      </w:pPr>
      <w:r>
        <w:t xml:space="preserve">Panel B </w:t>
      </w:r>
      <w:r>
        <w:rPr>
          <w:rFonts w:eastAsia="Times New Roman"/>
          <w:color w:val="000000"/>
        </w:rPr>
        <w:t xml:space="preserve">Asset </w:t>
      </w:r>
      <w:r w:rsidR="00991945">
        <w:rPr>
          <w:rFonts w:eastAsia="Times New Roman"/>
          <w:color w:val="000000"/>
        </w:rPr>
        <w:t>G</w:t>
      </w:r>
      <w:r>
        <w:rPr>
          <w:rFonts w:eastAsia="Times New Roman"/>
          <w:color w:val="000000"/>
        </w:rPr>
        <w:t xml:space="preserve">rowth </w:t>
      </w:r>
      <w:r w:rsidR="00991945">
        <w:rPr>
          <w:rFonts w:eastAsia="Times New Roman"/>
          <w:color w:val="000000"/>
        </w:rPr>
        <w:t>Slops</w:t>
      </w:r>
    </w:p>
    <w:tbl>
      <w:tblPr>
        <w:tblW w:w="3384" w:type="pct"/>
        <w:tblLook w:val="04A0" w:firstRow="1" w:lastRow="0" w:firstColumn="1" w:lastColumn="0" w:noHBand="0" w:noVBand="1"/>
      </w:tblPr>
      <w:tblGrid>
        <w:gridCol w:w="1446"/>
        <w:gridCol w:w="1442"/>
        <w:gridCol w:w="1440"/>
        <w:gridCol w:w="1440"/>
      </w:tblGrid>
      <w:tr w:rsidR="00142C17" w14:paraId="769D4831" w14:textId="77777777" w:rsidTr="00B15095">
        <w:trPr>
          <w:trHeight w:val="300"/>
        </w:trPr>
        <w:tc>
          <w:tcPr>
            <w:tcW w:w="1253" w:type="pct"/>
            <w:tcBorders>
              <w:top w:val="single" w:sz="4" w:space="0" w:color="auto"/>
              <w:left w:val="nil"/>
              <w:bottom w:val="single" w:sz="4" w:space="0" w:color="auto"/>
              <w:right w:val="nil"/>
            </w:tcBorders>
            <w:shd w:val="clear" w:color="auto" w:fill="auto"/>
            <w:noWrap/>
            <w:vAlign w:val="center"/>
            <w:hideMark/>
          </w:tcPr>
          <w:p w14:paraId="7B8D66C4" w14:textId="4FB3632C" w:rsidR="00142C17" w:rsidRDefault="00EF4787" w:rsidP="00142C17">
            <w:pPr>
              <w:jc w:val="center"/>
              <w:rPr>
                <w:rFonts w:eastAsia="Times New Roman"/>
                <w:color w:val="000000"/>
              </w:rPr>
            </w:pPr>
            <w:r>
              <w:rPr>
                <w:rFonts w:eastAsia="Times New Roman"/>
                <w:color w:val="000000"/>
              </w:rPr>
              <w:t>Sequence</w:t>
            </w:r>
          </w:p>
        </w:tc>
        <w:tc>
          <w:tcPr>
            <w:tcW w:w="1250" w:type="pct"/>
            <w:tcBorders>
              <w:top w:val="single" w:sz="4" w:space="0" w:color="auto"/>
              <w:left w:val="nil"/>
              <w:bottom w:val="single" w:sz="4" w:space="0" w:color="auto"/>
              <w:right w:val="nil"/>
            </w:tcBorders>
            <w:shd w:val="clear" w:color="auto" w:fill="auto"/>
            <w:noWrap/>
            <w:vAlign w:val="center"/>
            <w:hideMark/>
          </w:tcPr>
          <w:p w14:paraId="44415CB4" w14:textId="77777777" w:rsidR="00142C17" w:rsidRDefault="00142C17" w:rsidP="00142C17">
            <w:pPr>
              <w:jc w:val="center"/>
              <w:rPr>
                <w:rFonts w:eastAsia="Times New Roman"/>
                <w:color w:val="000000"/>
              </w:rPr>
            </w:pPr>
            <w:r>
              <w:rPr>
                <w:rFonts w:eastAsia="Times New Roman"/>
                <w:color w:val="000000"/>
              </w:rPr>
              <w:t>H</w:t>
            </w:r>
          </w:p>
        </w:tc>
        <w:tc>
          <w:tcPr>
            <w:tcW w:w="1248" w:type="pct"/>
            <w:tcBorders>
              <w:top w:val="single" w:sz="4" w:space="0" w:color="auto"/>
              <w:left w:val="nil"/>
              <w:bottom w:val="single" w:sz="4" w:space="0" w:color="auto"/>
              <w:right w:val="nil"/>
            </w:tcBorders>
            <w:vAlign w:val="center"/>
          </w:tcPr>
          <w:p w14:paraId="2B77C03B" w14:textId="6F68851A" w:rsidR="00142C17" w:rsidRDefault="00142C17" w:rsidP="00142C17">
            <w:pPr>
              <w:jc w:val="center"/>
              <w:rPr>
                <w:rFonts w:eastAsia="Times New Roman"/>
                <w:color w:val="000000"/>
              </w:rPr>
            </w:pPr>
            <w:r>
              <w:rPr>
                <w:rFonts w:eastAsia="Times New Roman"/>
                <w:color w:val="000000"/>
              </w:rPr>
              <w:t>L</w:t>
            </w:r>
          </w:p>
        </w:tc>
        <w:tc>
          <w:tcPr>
            <w:tcW w:w="1248" w:type="pct"/>
            <w:tcBorders>
              <w:top w:val="single" w:sz="4" w:space="0" w:color="auto"/>
              <w:left w:val="nil"/>
              <w:bottom w:val="single" w:sz="4" w:space="0" w:color="auto"/>
              <w:right w:val="nil"/>
            </w:tcBorders>
            <w:shd w:val="clear" w:color="auto" w:fill="auto"/>
            <w:noWrap/>
            <w:vAlign w:val="center"/>
            <w:hideMark/>
          </w:tcPr>
          <w:p w14:paraId="1A8E3A70" w14:textId="691DBCF7" w:rsidR="00142C17" w:rsidRDefault="00142C17" w:rsidP="00142C17">
            <w:pPr>
              <w:jc w:val="center"/>
              <w:rPr>
                <w:rFonts w:eastAsia="Times New Roman"/>
                <w:color w:val="000000"/>
              </w:rPr>
            </w:pPr>
            <w:r>
              <w:rPr>
                <w:rFonts w:eastAsia="Times New Roman"/>
                <w:color w:val="000000"/>
              </w:rPr>
              <w:t>H&amp;L</w:t>
            </w:r>
          </w:p>
        </w:tc>
      </w:tr>
      <w:tr w:rsidR="00142C17" w14:paraId="0CB0B167" w14:textId="77777777" w:rsidTr="00B15095">
        <w:trPr>
          <w:trHeight w:val="300"/>
        </w:trPr>
        <w:tc>
          <w:tcPr>
            <w:tcW w:w="1253" w:type="pct"/>
            <w:tcBorders>
              <w:top w:val="nil"/>
              <w:left w:val="nil"/>
              <w:bottom w:val="nil"/>
              <w:right w:val="nil"/>
            </w:tcBorders>
            <w:shd w:val="clear" w:color="auto" w:fill="auto"/>
            <w:noWrap/>
            <w:vAlign w:val="center"/>
            <w:hideMark/>
          </w:tcPr>
          <w:p w14:paraId="0AE782C7" w14:textId="77777777" w:rsidR="00142C17" w:rsidRDefault="00142C17" w:rsidP="00142C17">
            <w:pPr>
              <w:jc w:val="center"/>
              <w:rPr>
                <w:rFonts w:eastAsia="Times New Roman"/>
                <w:color w:val="000000"/>
              </w:rPr>
            </w:pPr>
            <w:r>
              <w:rPr>
                <w:rFonts w:eastAsia="Times New Roman"/>
                <w:color w:val="000000"/>
              </w:rPr>
              <w:t>1</w:t>
            </w:r>
          </w:p>
        </w:tc>
        <w:tc>
          <w:tcPr>
            <w:tcW w:w="1250" w:type="pct"/>
            <w:tcBorders>
              <w:top w:val="nil"/>
              <w:left w:val="nil"/>
              <w:bottom w:val="nil"/>
              <w:right w:val="nil"/>
            </w:tcBorders>
            <w:shd w:val="clear" w:color="auto" w:fill="auto"/>
            <w:noWrap/>
            <w:vAlign w:val="center"/>
            <w:hideMark/>
          </w:tcPr>
          <w:p w14:paraId="4505189D" w14:textId="71391CC9" w:rsidR="00142C17" w:rsidRDefault="007B26D4" w:rsidP="00142C17">
            <w:pPr>
              <w:jc w:val="center"/>
              <w:rPr>
                <w:rFonts w:eastAsia="Times New Roman"/>
                <w:color w:val="000000"/>
              </w:rPr>
            </w:pPr>
            <w:r>
              <w:rPr>
                <w:rFonts w:cs="Calibri"/>
                <w:color w:val="000000"/>
              </w:rPr>
              <w:t>-</w:t>
            </w:r>
            <w:r w:rsidR="00142C17">
              <w:rPr>
                <w:rFonts w:cs="Calibri"/>
                <w:color w:val="000000"/>
              </w:rPr>
              <w:t>1</w:t>
            </w:r>
            <w:r>
              <w:rPr>
                <w:rFonts w:cs="Calibri"/>
                <w:color w:val="000000"/>
              </w:rPr>
              <w:t>.</w:t>
            </w:r>
            <w:r w:rsidR="00142C17">
              <w:rPr>
                <w:rFonts w:cs="Calibri"/>
                <w:color w:val="000000"/>
              </w:rPr>
              <w:t>18***</w:t>
            </w:r>
          </w:p>
        </w:tc>
        <w:tc>
          <w:tcPr>
            <w:tcW w:w="1248" w:type="pct"/>
            <w:tcBorders>
              <w:top w:val="nil"/>
              <w:left w:val="nil"/>
              <w:bottom w:val="nil"/>
              <w:right w:val="nil"/>
            </w:tcBorders>
            <w:vAlign w:val="center"/>
          </w:tcPr>
          <w:p w14:paraId="738BA188" w14:textId="65A99C02" w:rsidR="00142C17" w:rsidRDefault="00142C17" w:rsidP="00142C17">
            <w:pPr>
              <w:jc w:val="center"/>
              <w:rPr>
                <w:rFonts w:eastAsia="Times New Roman"/>
                <w:color w:val="000000"/>
              </w:rPr>
            </w:pPr>
            <w:r>
              <w:rPr>
                <w:rFonts w:cs="Calibri"/>
                <w:color w:val="000000"/>
              </w:rPr>
              <w:t>0</w:t>
            </w:r>
            <w:r w:rsidR="007B26D4">
              <w:rPr>
                <w:rFonts w:cs="Calibri"/>
                <w:color w:val="000000"/>
              </w:rPr>
              <w:t>.</w:t>
            </w:r>
            <w:r>
              <w:rPr>
                <w:rFonts w:cs="Calibri"/>
                <w:color w:val="000000"/>
              </w:rPr>
              <w:t>23</w:t>
            </w:r>
          </w:p>
        </w:tc>
        <w:tc>
          <w:tcPr>
            <w:tcW w:w="1248" w:type="pct"/>
            <w:tcBorders>
              <w:top w:val="nil"/>
              <w:left w:val="nil"/>
              <w:bottom w:val="nil"/>
              <w:right w:val="nil"/>
            </w:tcBorders>
            <w:shd w:val="clear" w:color="auto" w:fill="auto"/>
            <w:noWrap/>
            <w:vAlign w:val="center"/>
            <w:hideMark/>
          </w:tcPr>
          <w:p w14:paraId="6F8E1B45" w14:textId="08FE5DB3"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1</w:t>
            </w:r>
            <w:r>
              <w:rPr>
                <w:rFonts w:eastAsia="Times New Roman"/>
                <w:color w:val="000000"/>
              </w:rPr>
              <w:t>.</w:t>
            </w:r>
            <w:r w:rsidR="00142C17">
              <w:rPr>
                <w:rFonts w:eastAsia="Times New Roman"/>
                <w:color w:val="000000"/>
              </w:rPr>
              <w:t>06***</w:t>
            </w:r>
          </w:p>
        </w:tc>
      </w:tr>
      <w:tr w:rsidR="00142C17" w14:paraId="4657F357" w14:textId="77777777" w:rsidTr="00B15095">
        <w:trPr>
          <w:trHeight w:val="300"/>
        </w:trPr>
        <w:tc>
          <w:tcPr>
            <w:tcW w:w="1253" w:type="pct"/>
            <w:tcBorders>
              <w:top w:val="nil"/>
              <w:left w:val="nil"/>
              <w:bottom w:val="nil"/>
              <w:right w:val="nil"/>
            </w:tcBorders>
            <w:shd w:val="clear" w:color="auto" w:fill="auto"/>
            <w:noWrap/>
            <w:vAlign w:val="center"/>
            <w:hideMark/>
          </w:tcPr>
          <w:p w14:paraId="71927E34" w14:textId="77777777" w:rsidR="00142C17" w:rsidRDefault="00142C17" w:rsidP="00142C17">
            <w:pPr>
              <w:jc w:val="center"/>
              <w:rPr>
                <w:rFonts w:eastAsia="Times New Roman"/>
                <w:color w:val="000000"/>
              </w:rPr>
            </w:pPr>
            <w:r>
              <w:rPr>
                <w:rFonts w:eastAsia="Times New Roman"/>
                <w:color w:val="000000"/>
              </w:rPr>
              <w:t>2</w:t>
            </w:r>
          </w:p>
        </w:tc>
        <w:tc>
          <w:tcPr>
            <w:tcW w:w="1250" w:type="pct"/>
            <w:tcBorders>
              <w:top w:val="nil"/>
              <w:left w:val="nil"/>
              <w:bottom w:val="nil"/>
              <w:right w:val="nil"/>
            </w:tcBorders>
            <w:shd w:val="clear" w:color="auto" w:fill="auto"/>
            <w:noWrap/>
            <w:vAlign w:val="center"/>
            <w:hideMark/>
          </w:tcPr>
          <w:p w14:paraId="59CE79DD" w14:textId="02A5641A" w:rsidR="00142C17" w:rsidRDefault="007B26D4" w:rsidP="00142C17">
            <w:pPr>
              <w:jc w:val="center"/>
              <w:rPr>
                <w:rFonts w:eastAsia="Times New Roman"/>
                <w:color w:val="000000"/>
              </w:rPr>
            </w:pPr>
            <w:r>
              <w:rPr>
                <w:rFonts w:cs="Calibri"/>
                <w:color w:val="000000"/>
              </w:rPr>
              <w:t>-</w:t>
            </w:r>
            <w:r w:rsidR="00142C17">
              <w:rPr>
                <w:rFonts w:cs="Calibri"/>
                <w:color w:val="000000"/>
              </w:rPr>
              <w:t>0</w:t>
            </w:r>
            <w:r>
              <w:rPr>
                <w:rFonts w:cs="Calibri"/>
                <w:color w:val="000000"/>
              </w:rPr>
              <w:t>.</w:t>
            </w:r>
            <w:r w:rsidR="00142C17">
              <w:rPr>
                <w:rFonts w:cs="Calibri"/>
                <w:color w:val="000000"/>
              </w:rPr>
              <w:t>77</w:t>
            </w:r>
          </w:p>
        </w:tc>
        <w:tc>
          <w:tcPr>
            <w:tcW w:w="1248" w:type="pct"/>
            <w:tcBorders>
              <w:top w:val="nil"/>
              <w:left w:val="nil"/>
              <w:bottom w:val="nil"/>
              <w:right w:val="nil"/>
            </w:tcBorders>
            <w:vAlign w:val="center"/>
          </w:tcPr>
          <w:p w14:paraId="5548F986" w14:textId="111C6277" w:rsidR="00142C17" w:rsidRDefault="007B26D4" w:rsidP="00142C17">
            <w:pPr>
              <w:jc w:val="center"/>
              <w:rPr>
                <w:rFonts w:eastAsia="Times New Roman"/>
                <w:color w:val="000000"/>
              </w:rPr>
            </w:pPr>
            <w:r>
              <w:rPr>
                <w:rFonts w:cs="Calibri"/>
                <w:color w:val="000000"/>
              </w:rPr>
              <w:t>-</w:t>
            </w:r>
            <w:r w:rsidR="00142C17">
              <w:rPr>
                <w:rFonts w:cs="Calibri"/>
                <w:color w:val="000000"/>
              </w:rPr>
              <w:t>2</w:t>
            </w:r>
            <w:r>
              <w:rPr>
                <w:rFonts w:cs="Calibri"/>
                <w:color w:val="000000"/>
              </w:rPr>
              <w:t>.</w:t>
            </w:r>
            <w:r w:rsidR="00142C17">
              <w:rPr>
                <w:rFonts w:cs="Calibri"/>
                <w:color w:val="000000"/>
              </w:rPr>
              <w:t>02*</w:t>
            </w:r>
          </w:p>
        </w:tc>
        <w:tc>
          <w:tcPr>
            <w:tcW w:w="1248" w:type="pct"/>
            <w:tcBorders>
              <w:top w:val="nil"/>
              <w:left w:val="nil"/>
              <w:bottom w:val="nil"/>
              <w:right w:val="nil"/>
            </w:tcBorders>
            <w:shd w:val="clear" w:color="auto" w:fill="auto"/>
            <w:noWrap/>
            <w:vAlign w:val="center"/>
            <w:hideMark/>
          </w:tcPr>
          <w:p w14:paraId="612609AC" w14:textId="7FD5A2A3"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1</w:t>
            </w:r>
            <w:r>
              <w:rPr>
                <w:rFonts w:eastAsia="Times New Roman"/>
                <w:color w:val="000000"/>
              </w:rPr>
              <w:t>.</w:t>
            </w:r>
            <w:r w:rsidR="00142C17">
              <w:rPr>
                <w:rFonts w:eastAsia="Times New Roman"/>
                <w:color w:val="000000"/>
              </w:rPr>
              <w:t>00***</w:t>
            </w:r>
          </w:p>
        </w:tc>
      </w:tr>
      <w:tr w:rsidR="00142C17" w14:paraId="1959E686" w14:textId="77777777" w:rsidTr="00B15095">
        <w:trPr>
          <w:trHeight w:val="300"/>
        </w:trPr>
        <w:tc>
          <w:tcPr>
            <w:tcW w:w="1253" w:type="pct"/>
            <w:tcBorders>
              <w:top w:val="nil"/>
              <w:left w:val="nil"/>
              <w:bottom w:val="nil"/>
              <w:right w:val="nil"/>
            </w:tcBorders>
            <w:shd w:val="clear" w:color="auto" w:fill="auto"/>
            <w:noWrap/>
            <w:vAlign w:val="center"/>
            <w:hideMark/>
          </w:tcPr>
          <w:p w14:paraId="371F3A7B" w14:textId="77777777" w:rsidR="00142C17" w:rsidRDefault="00142C17" w:rsidP="00142C17">
            <w:pPr>
              <w:jc w:val="center"/>
              <w:rPr>
                <w:rFonts w:eastAsia="Times New Roman"/>
                <w:color w:val="000000"/>
              </w:rPr>
            </w:pPr>
            <w:r>
              <w:rPr>
                <w:rFonts w:eastAsia="Times New Roman"/>
                <w:color w:val="000000"/>
              </w:rPr>
              <w:t>3</w:t>
            </w:r>
          </w:p>
        </w:tc>
        <w:tc>
          <w:tcPr>
            <w:tcW w:w="1250" w:type="pct"/>
            <w:tcBorders>
              <w:top w:val="nil"/>
              <w:left w:val="nil"/>
              <w:bottom w:val="nil"/>
              <w:right w:val="nil"/>
            </w:tcBorders>
            <w:shd w:val="clear" w:color="auto" w:fill="auto"/>
            <w:noWrap/>
            <w:vAlign w:val="center"/>
            <w:hideMark/>
          </w:tcPr>
          <w:p w14:paraId="338D8EFC" w14:textId="406BCFE7" w:rsidR="00142C17" w:rsidRDefault="007B26D4" w:rsidP="00142C17">
            <w:pPr>
              <w:jc w:val="center"/>
              <w:rPr>
                <w:rFonts w:eastAsia="Times New Roman"/>
                <w:color w:val="000000"/>
              </w:rPr>
            </w:pPr>
            <w:r>
              <w:rPr>
                <w:rFonts w:cs="Calibri"/>
                <w:color w:val="000000"/>
              </w:rPr>
              <w:t>-</w:t>
            </w:r>
            <w:r w:rsidR="00142C17">
              <w:rPr>
                <w:rFonts w:cs="Calibri"/>
                <w:color w:val="000000"/>
              </w:rPr>
              <w:t>3</w:t>
            </w:r>
            <w:r>
              <w:rPr>
                <w:rFonts w:cs="Calibri"/>
                <w:color w:val="000000"/>
              </w:rPr>
              <w:t>.</w:t>
            </w:r>
            <w:r w:rsidR="00142C17">
              <w:rPr>
                <w:rFonts w:cs="Calibri"/>
                <w:color w:val="000000"/>
              </w:rPr>
              <w:t>65**</w:t>
            </w:r>
          </w:p>
        </w:tc>
        <w:tc>
          <w:tcPr>
            <w:tcW w:w="1248" w:type="pct"/>
            <w:tcBorders>
              <w:top w:val="nil"/>
              <w:left w:val="nil"/>
              <w:bottom w:val="nil"/>
              <w:right w:val="nil"/>
            </w:tcBorders>
            <w:vAlign w:val="center"/>
          </w:tcPr>
          <w:p w14:paraId="7A65AAA0" w14:textId="72847F07" w:rsidR="00142C17" w:rsidRDefault="007B26D4" w:rsidP="00142C17">
            <w:pPr>
              <w:jc w:val="center"/>
              <w:rPr>
                <w:rFonts w:eastAsia="Times New Roman"/>
                <w:color w:val="000000"/>
              </w:rPr>
            </w:pPr>
            <w:r>
              <w:rPr>
                <w:rFonts w:cs="Calibri"/>
                <w:color w:val="000000"/>
              </w:rPr>
              <w:t>-</w:t>
            </w:r>
            <w:r w:rsidR="00142C17">
              <w:rPr>
                <w:rFonts w:cs="Calibri"/>
                <w:color w:val="000000"/>
              </w:rPr>
              <w:t>0</w:t>
            </w:r>
            <w:r>
              <w:rPr>
                <w:rFonts w:cs="Calibri"/>
                <w:color w:val="000000"/>
              </w:rPr>
              <w:t>.</w:t>
            </w:r>
            <w:r w:rsidR="00142C17">
              <w:rPr>
                <w:rFonts w:cs="Calibri"/>
                <w:color w:val="000000"/>
              </w:rPr>
              <w:t>96</w:t>
            </w:r>
          </w:p>
        </w:tc>
        <w:tc>
          <w:tcPr>
            <w:tcW w:w="1248" w:type="pct"/>
            <w:tcBorders>
              <w:top w:val="nil"/>
              <w:left w:val="nil"/>
              <w:bottom w:val="nil"/>
              <w:right w:val="nil"/>
            </w:tcBorders>
            <w:shd w:val="clear" w:color="auto" w:fill="auto"/>
            <w:noWrap/>
            <w:vAlign w:val="center"/>
            <w:hideMark/>
          </w:tcPr>
          <w:p w14:paraId="58B32B38" w14:textId="57A5275B"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1</w:t>
            </w:r>
            <w:r>
              <w:rPr>
                <w:rFonts w:eastAsia="Times New Roman"/>
                <w:color w:val="000000"/>
              </w:rPr>
              <w:t>.</w:t>
            </w:r>
            <w:r w:rsidR="00142C17">
              <w:rPr>
                <w:rFonts w:eastAsia="Times New Roman"/>
                <w:color w:val="000000"/>
              </w:rPr>
              <w:t>55***</w:t>
            </w:r>
          </w:p>
        </w:tc>
      </w:tr>
      <w:tr w:rsidR="00142C17" w14:paraId="64F6C5B9" w14:textId="77777777" w:rsidTr="00B15095">
        <w:trPr>
          <w:trHeight w:val="300"/>
        </w:trPr>
        <w:tc>
          <w:tcPr>
            <w:tcW w:w="1253" w:type="pct"/>
            <w:tcBorders>
              <w:top w:val="nil"/>
              <w:left w:val="nil"/>
              <w:bottom w:val="nil"/>
              <w:right w:val="nil"/>
            </w:tcBorders>
            <w:shd w:val="clear" w:color="auto" w:fill="auto"/>
            <w:noWrap/>
            <w:vAlign w:val="center"/>
            <w:hideMark/>
          </w:tcPr>
          <w:p w14:paraId="28ED6E6F" w14:textId="77777777" w:rsidR="00142C17" w:rsidRDefault="00142C17" w:rsidP="00142C17">
            <w:pPr>
              <w:jc w:val="center"/>
              <w:rPr>
                <w:rFonts w:eastAsia="Times New Roman"/>
                <w:color w:val="000000"/>
              </w:rPr>
            </w:pPr>
            <w:r>
              <w:rPr>
                <w:rFonts w:eastAsia="Times New Roman"/>
                <w:color w:val="000000"/>
              </w:rPr>
              <w:t>4</w:t>
            </w:r>
          </w:p>
        </w:tc>
        <w:tc>
          <w:tcPr>
            <w:tcW w:w="1250" w:type="pct"/>
            <w:tcBorders>
              <w:top w:val="nil"/>
              <w:left w:val="nil"/>
              <w:bottom w:val="nil"/>
              <w:right w:val="nil"/>
            </w:tcBorders>
            <w:shd w:val="clear" w:color="auto" w:fill="auto"/>
            <w:noWrap/>
            <w:vAlign w:val="center"/>
            <w:hideMark/>
          </w:tcPr>
          <w:p w14:paraId="51BEBEDB" w14:textId="29903C9A" w:rsidR="00142C17" w:rsidRDefault="007B26D4" w:rsidP="00142C17">
            <w:pPr>
              <w:jc w:val="center"/>
              <w:rPr>
                <w:rFonts w:eastAsia="Times New Roman"/>
                <w:color w:val="000000"/>
              </w:rPr>
            </w:pPr>
            <w:r>
              <w:rPr>
                <w:rFonts w:cs="Calibri"/>
                <w:color w:val="000000"/>
              </w:rPr>
              <w:t>-</w:t>
            </w:r>
            <w:r w:rsidR="00142C17">
              <w:rPr>
                <w:rFonts w:cs="Calibri"/>
                <w:color w:val="000000"/>
              </w:rPr>
              <w:t>7</w:t>
            </w:r>
            <w:r>
              <w:rPr>
                <w:rFonts w:cs="Calibri"/>
                <w:color w:val="000000"/>
              </w:rPr>
              <w:t>.</w:t>
            </w:r>
            <w:r w:rsidR="00142C17">
              <w:rPr>
                <w:rFonts w:cs="Calibri"/>
                <w:color w:val="000000"/>
              </w:rPr>
              <w:t>94*</w:t>
            </w:r>
          </w:p>
        </w:tc>
        <w:tc>
          <w:tcPr>
            <w:tcW w:w="1248" w:type="pct"/>
            <w:tcBorders>
              <w:top w:val="nil"/>
              <w:left w:val="nil"/>
              <w:bottom w:val="nil"/>
              <w:right w:val="nil"/>
            </w:tcBorders>
            <w:vAlign w:val="center"/>
          </w:tcPr>
          <w:p w14:paraId="73CD6AB0" w14:textId="00AE1A34" w:rsidR="00142C17" w:rsidRDefault="007B26D4" w:rsidP="00142C17">
            <w:pPr>
              <w:jc w:val="center"/>
              <w:rPr>
                <w:rFonts w:eastAsia="Times New Roman"/>
                <w:color w:val="000000"/>
              </w:rPr>
            </w:pPr>
            <w:r>
              <w:rPr>
                <w:rFonts w:cs="Calibri"/>
                <w:color w:val="000000"/>
              </w:rPr>
              <w:t>-</w:t>
            </w:r>
            <w:r w:rsidR="00142C17">
              <w:rPr>
                <w:rFonts w:cs="Calibri"/>
                <w:color w:val="000000"/>
              </w:rPr>
              <w:t>1</w:t>
            </w:r>
            <w:r>
              <w:rPr>
                <w:rFonts w:cs="Calibri"/>
                <w:color w:val="000000"/>
              </w:rPr>
              <w:t>.</w:t>
            </w:r>
            <w:r w:rsidR="00142C17">
              <w:rPr>
                <w:rFonts w:cs="Calibri"/>
                <w:color w:val="000000"/>
              </w:rPr>
              <w:t>61</w:t>
            </w:r>
          </w:p>
        </w:tc>
        <w:tc>
          <w:tcPr>
            <w:tcW w:w="1248" w:type="pct"/>
            <w:tcBorders>
              <w:top w:val="nil"/>
              <w:left w:val="nil"/>
              <w:bottom w:val="nil"/>
              <w:right w:val="nil"/>
            </w:tcBorders>
            <w:shd w:val="clear" w:color="auto" w:fill="auto"/>
            <w:noWrap/>
            <w:vAlign w:val="center"/>
            <w:hideMark/>
          </w:tcPr>
          <w:p w14:paraId="1DACAC15" w14:textId="06D60E8D"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2</w:t>
            </w:r>
            <w:r>
              <w:rPr>
                <w:rFonts w:eastAsia="Times New Roman"/>
                <w:color w:val="000000"/>
              </w:rPr>
              <w:t>.</w:t>
            </w:r>
            <w:r w:rsidR="00142C17">
              <w:rPr>
                <w:rFonts w:eastAsia="Times New Roman"/>
                <w:color w:val="000000"/>
              </w:rPr>
              <w:t>37***</w:t>
            </w:r>
          </w:p>
        </w:tc>
      </w:tr>
      <w:tr w:rsidR="00142C17" w14:paraId="004D13D2" w14:textId="77777777" w:rsidTr="00B15095">
        <w:trPr>
          <w:trHeight w:val="300"/>
        </w:trPr>
        <w:tc>
          <w:tcPr>
            <w:tcW w:w="1253" w:type="pct"/>
            <w:tcBorders>
              <w:top w:val="nil"/>
              <w:left w:val="nil"/>
              <w:bottom w:val="nil"/>
              <w:right w:val="nil"/>
            </w:tcBorders>
            <w:shd w:val="clear" w:color="auto" w:fill="auto"/>
            <w:noWrap/>
            <w:vAlign w:val="center"/>
            <w:hideMark/>
          </w:tcPr>
          <w:p w14:paraId="6A0C2432" w14:textId="77777777" w:rsidR="00142C17" w:rsidRDefault="00142C17" w:rsidP="00142C17">
            <w:pPr>
              <w:jc w:val="center"/>
              <w:rPr>
                <w:rFonts w:eastAsia="Times New Roman"/>
                <w:color w:val="000000"/>
              </w:rPr>
            </w:pPr>
          </w:p>
        </w:tc>
        <w:tc>
          <w:tcPr>
            <w:tcW w:w="1250" w:type="pct"/>
            <w:tcBorders>
              <w:top w:val="nil"/>
              <w:left w:val="nil"/>
              <w:bottom w:val="nil"/>
              <w:right w:val="nil"/>
            </w:tcBorders>
            <w:shd w:val="clear" w:color="auto" w:fill="auto"/>
            <w:noWrap/>
            <w:vAlign w:val="center"/>
            <w:hideMark/>
          </w:tcPr>
          <w:p w14:paraId="0D7A8A15" w14:textId="77777777" w:rsidR="00142C17" w:rsidRDefault="00142C17" w:rsidP="00142C17">
            <w:pPr>
              <w:jc w:val="center"/>
              <w:rPr>
                <w:rFonts w:eastAsia="Times New Roman"/>
                <w:sz w:val="20"/>
                <w:szCs w:val="20"/>
              </w:rPr>
            </w:pPr>
          </w:p>
        </w:tc>
        <w:tc>
          <w:tcPr>
            <w:tcW w:w="1248" w:type="pct"/>
            <w:tcBorders>
              <w:top w:val="nil"/>
              <w:left w:val="nil"/>
              <w:bottom w:val="nil"/>
              <w:right w:val="nil"/>
            </w:tcBorders>
            <w:vAlign w:val="center"/>
          </w:tcPr>
          <w:p w14:paraId="7B6F2222" w14:textId="77777777" w:rsidR="00142C17" w:rsidRDefault="00142C17" w:rsidP="00142C17">
            <w:pPr>
              <w:jc w:val="center"/>
              <w:rPr>
                <w:rFonts w:eastAsia="Times New Roman"/>
                <w:sz w:val="20"/>
                <w:szCs w:val="20"/>
              </w:rPr>
            </w:pPr>
          </w:p>
        </w:tc>
        <w:tc>
          <w:tcPr>
            <w:tcW w:w="1248" w:type="pct"/>
            <w:tcBorders>
              <w:top w:val="nil"/>
              <w:left w:val="nil"/>
              <w:bottom w:val="nil"/>
              <w:right w:val="nil"/>
            </w:tcBorders>
            <w:shd w:val="clear" w:color="auto" w:fill="auto"/>
            <w:noWrap/>
            <w:vAlign w:val="center"/>
            <w:hideMark/>
          </w:tcPr>
          <w:p w14:paraId="310FF051" w14:textId="2A82EA9C" w:rsidR="00142C17" w:rsidRDefault="00142C17" w:rsidP="00142C17">
            <w:pPr>
              <w:jc w:val="center"/>
              <w:rPr>
                <w:rFonts w:eastAsia="Times New Roman"/>
                <w:sz w:val="20"/>
                <w:szCs w:val="20"/>
              </w:rPr>
            </w:pPr>
          </w:p>
        </w:tc>
      </w:tr>
      <w:tr w:rsidR="00142C17" w14:paraId="1B545C73" w14:textId="77777777" w:rsidTr="00B15095">
        <w:trPr>
          <w:trHeight w:val="300"/>
        </w:trPr>
        <w:tc>
          <w:tcPr>
            <w:tcW w:w="1253" w:type="pct"/>
            <w:tcBorders>
              <w:top w:val="nil"/>
              <w:left w:val="nil"/>
              <w:bottom w:val="single" w:sz="4" w:space="0" w:color="auto"/>
              <w:right w:val="nil"/>
            </w:tcBorders>
            <w:shd w:val="clear" w:color="auto" w:fill="auto"/>
            <w:noWrap/>
            <w:vAlign w:val="center"/>
            <w:hideMark/>
          </w:tcPr>
          <w:p w14:paraId="27FE1DEE" w14:textId="77777777" w:rsidR="00142C17" w:rsidRDefault="00142C17" w:rsidP="00142C17">
            <w:pPr>
              <w:jc w:val="center"/>
              <w:rPr>
                <w:rFonts w:eastAsia="Times New Roman"/>
                <w:color w:val="000000"/>
              </w:rPr>
            </w:pPr>
            <w:r>
              <w:rPr>
                <w:rFonts w:eastAsia="Times New Roman"/>
                <w:color w:val="000000"/>
              </w:rPr>
              <w:t xml:space="preserve">diff (4 </w:t>
            </w:r>
            <w:r>
              <w:t xml:space="preserve">– </w:t>
            </w:r>
            <w:r>
              <w:rPr>
                <w:rFonts w:eastAsia="Times New Roman"/>
                <w:color w:val="000000"/>
              </w:rPr>
              <w:t>1)</w:t>
            </w:r>
          </w:p>
        </w:tc>
        <w:tc>
          <w:tcPr>
            <w:tcW w:w="1250" w:type="pct"/>
            <w:tcBorders>
              <w:top w:val="nil"/>
              <w:left w:val="nil"/>
              <w:bottom w:val="single" w:sz="4" w:space="0" w:color="auto"/>
              <w:right w:val="nil"/>
            </w:tcBorders>
            <w:shd w:val="clear" w:color="auto" w:fill="auto"/>
            <w:noWrap/>
            <w:vAlign w:val="center"/>
            <w:hideMark/>
          </w:tcPr>
          <w:p w14:paraId="5363ACDC" w14:textId="356CE22B" w:rsidR="00142C17" w:rsidRDefault="007B26D4" w:rsidP="00142C17">
            <w:pPr>
              <w:jc w:val="center"/>
              <w:rPr>
                <w:rFonts w:eastAsia="Times New Roman"/>
                <w:color w:val="000000"/>
              </w:rPr>
            </w:pPr>
            <w:r>
              <w:rPr>
                <w:rFonts w:cs="Calibri"/>
                <w:color w:val="000000"/>
              </w:rPr>
              <w:t>-</w:t>
            </w:r>
            <w:r w:rsidR="00142C17">
              <w:rPr>
                <w:rFonts w:cs="Calibri"/>
                <w:color w:val="000000"/>
              </w:rPr>
              <w:t>6</w:t>
            </w:r>
            <w:r>
              <w:rPr>
                <w:rFonts w:cs="Calibri"/>
                <w:color w:val="000000"/>
              </w:rPr>
              <w:t>.</w:t>
            </w:r>
            <w:r w:rsidR="00142C17">
              <w:rPr>
                <w:rFonts w:cs="Calibri"/>
                <w:color w:val="000000"/>
              </w:rPr>
              <w:t>76*</w:t>
            </w:r>
          </w:p>
        </w:tc>
        <w:tc>
          <w:tcPr>
            <w:tcW w:w="1248" w:type="pct"/>
            <w:tcBorders>
              <w:top w:val="nil"/>
              <w:left w:val="nil"/>
              <w:bottom w:val="single" w:sz="4" w:space="0" w:color="auto"/>
              <w:right w:val="nil"/>
            </w:tcBorders>
            <w:vAlign w:val="center"/>
          </w:tcPr>
          <w:p w14:paraId="73C32D5D" w14:textId="3D981187" w:rsidR="00142C17" w:rsidRDefault="007B26D4" w:rsidP="00142C17">
            <w:pPr>
              <w:jc w:val="center"/>
              <w:rPr>
                <w:rFonts w:eastAsia="Times New Roman"/>
                <w:color w:val="000000"/>
              </w:rPr>
            </w:pPr>
            <w:r>
              <w:rPr>
                <w:rFonts w:cs="Calibri"/>
                <w:color w:val="000000"/>
              </w:rPr>
              <w:t>-</w:t>
            </w:r>
            <w:r w:rsidR="00142C17">
              <w:rPr>
                <w:rFonts w:cs="Calibri"/>
                <w:color w:val="000000"/>
              </w:rPr>
              <w:t>1</w:t>
            </w:r>
            <w:r>
              <w:rPr>
                <w:rFonts w:cs="Calibri"/>
                <w:color w:val="000000"/>
              </w:rPr>
              <w:t>.</w:t>
            </w:r>
            <w:r w:rsidR="00142C17">
              <w:rPr>
                <w:rFonts w:cs="Calibri"/>
                <w:color w:val="000000"/>
              </w:rPr>
              <w:t>83</w:t>
            </w:r>
          </w:p>
        </w:tc>
        <w:tc>
          <w:tcPr>
            <w:tcW w:w="1248" w:type="pct"/>
            <w:tcBorders>
              <w:top w:val="nil"/>
              <w:left w:val="nil"/>
              <w:bottom w:val="single" w:sz="4" w:space="0" w:color="auto"/>
              <w:right w:val="nil"/>
            </w:tcBorders>
            <w:shd w:val="clear" w:color="auto" w:fill="auto"/>
            <w:noWrap/>
            <w:vAlign w:val="center"/>
            <w:hideMark/>
          </w:tcPr>
          <w:p w14:paraId="31EB4ED0" w14:textId="64D83C89" w:rsidR="00142C17" w:rsidRDefault="007B26D4" w:rsidP="00142C17">
            <w:pPr>
              <w:jc w:val="center"/>
              <w:rPr>
                <w:rFonts w:eastAsia="Times New Roman"/>
                <w:color w:val="000000"/>
              </w:rPr>
            </w:pPr>
            <w:r>
              <w:rPr>
                <w:rFonts w:eastAsia="Times New Roman"/>
                <w:color w:val="000000"/>
              </w:rPr>
              <w:t>-</w:t>
            </w:r>
            <w:r w:rsidR="00142C17">
              <w:rPr>
                <w:rFonts w:eastAsia="Times New Roman"/>
                <w:color w:val="000000"/>
              </w:rPr>
              <w:t>1</w:t>
            </w:r>
            <w:r>
              <w:rPr>
                <w:rFonts w:eastAsia="Times New Roman"/>
                <w:color w:val="000000"/>
              </w:rPr>
              <w:t>.</w:t>
            </w:r>
            <w:r w:rsidR="00142C17">
              <w:rPr>
                <w:rFonts w:eastAsia="Times New Roman"/>
                <w:color w:val="000000"/>
              </w:rPr>
              <w:t>31*</w:t>
            </w:r>
          </w:p>
        </w:tc>
      </w:tr>
    </w:tbl>
    <w:p w14:paraId="45775E1D" w14:textId="77777777" w:rsidR="003F1225" w:rsidRPr="00423A14" w:rsidRDefault="003F1225" w:rsidP="00A32202">
      <w:pPr>
        <w:spacing w:line="240" w:lineRule="auto"/>
        <w:rPr>
          <w:lang w:val="en-US"/>
        </w:rPr>
        <w:sectPr w:rsidR="003F1225" w:rsidRPr="00423A14" w:rsidSect="00FB128B">
          <w:pgSz w:w="11906" w:h="16838"/>
          <w:pgMar w:top="1440" w:right="1800" w:bottom="1440" w:left="1800" w:header="708" w:footer="708" w:gutter="0"/>
          <w:cols w:space="708"/>
          <w:docGrid w:linePitch="360"/>
        </w:sectPr>
      </w:pPr>
      <w:r w:rsidRPr="00423A14">
        <w:rPr>
          <w:lang w:val="en-US"/>
        </w:rPr>
        <w:br w:type="page"/>
      </w:r>
    </w:p>
    <w:p w14:paraId="0F6257C7" w14:textId="13863734" w:rsidR="003F1225" w:rsidRPr="008319F4" w:rsidRDefault="0083460E" w:rsidP="00A32202">
      <w:pPr>
        <w:spacing w:line="240" w:lineRule="auto"/>
        <w:outlineLvl w:val="0"/>
        <w:rPr>
          <w:b/>
          <w:lang w:val="en-US"/>
        </w:rPr>
      </w:pPr>
      <w:r w:rsidRPr="008319F4">
        <w:rPr>
          <w:b/>
          <w:lang w:val="en-US"/>
        </w:rPr>
        <w:lastRenderedPageBreak/>
        <w:t>Table 6</w:t>
      </w:r>
      <w:r w:rsidR="003F1225" w:rsidRPr="008319F4">
        <w:rPr>
          <w:b/>
          <w:lang w:val="en-US"/>
        </w:rPr>
        <w:t xml:space="preserve">. Growth sequence, </w:t>
      </w:r>
      <w:r w:rsidR="00E65622" w:rsidRPr="00DC51AD">
        <w:rPr>
          <w:b/>
          <w:noProof/>
          <w:lang w:val="en-US"/>
        </w:rPr>
        <w:t>limits-to-arbitrage</w:t>
      </w:r>
      <w:r w:rsidR="003F1225" w:rsidRPr="008319F4">
        <w:rPr>
          <w:b/>
          <w:lang w:val="en-US"/>
        </w:rPr>
        <w:t xml:space="preserve"> and investment frictions </w:t>
      </w:r>
    </w:p>
    <w:p w14:paraId="4ACE2D95" w14:textId="77777777" w:rsidR="006856C5" w:rsidRPr="008319F4" w:rsidRDefault="006856C5" w:rsidP="00A32202">
      <w:pPr>
        <w:spacing w:line="240" w:lineRule="auto"/>
        <w:jc w:val="both"/>
        <w:rPr>
          <w:lang w:val="en-US"/>
        </w:rPr>
      </w:pPr>
      <w:r w:rsidRPr="008319F4">
        <w:rPr>
          <w:lang w:val="en-US"/>
        </w:rPr>
        <w:t>This table reports the time-series avera</w:t>
      </w:r>
      <w:r w:rsidR="00346791" w:rsidRPr="008319F4">
        <w:rPr>
          <w:lang w:val="en-US"/>
        </w:rPr>
        <w:t>ge of estimated coefficients of</w:t>
      </w:r>
      <w:r w:rsidRPr="008319F4">
        <w:rPr>
          <w:lang w:val="en-US"/>
        </w:rPr>
        <w:t xml:space="preserve"> monthly regressions. In each month we run the following regression:</w:t>
      </w:r>
    </w:p>
    <w:p w14:paraId="476E7A4A" w14:textId="77777777" w:rsidR="005708B0" w:rsidRPr="004A2734" w:rsidRDefault="00A2686C" w:rsidP="005708B0">
      <w:pPr>
        <w:spacing w:line="480" w:lineRule="auto"/>
        <w:jc w:val="both"/>
        <w:rPr>
          <w:i/>
          <w:lang w:val="en-US"/>
        </w:rPr>
      </w:pPr>
      <m:oMathPara>
        <m:oMathParaPr>
          <m:jc m:val="left"/>
        </m:oMathParaPr>
        <m:oMath>
          <m:sSub>
            <m:sSubPr>
              <m:ctrlPr>
                <w:rPr>
                  <w:rFonts w:ascii="Cambria Math" w:hAnsi="Cambria Math"/>
                  <w:i/>
                  <w:lang w:val="en-US"/>
                </w:rPr>
              </m:ctrlPr>
            </m:sSubPr>
            <m:e>
              <m:r>
                <w:rPr>
                  <w:rFonts w:ascii="Cambria Math" w:hAnsi="Cambria Math"/>
                  <w:lang w:val="en-US"/>
                </w:rPr>
                <m:t>Ret</m:t>
              </m:r>
            </m:e>
            <m:sub>
              <m:r>
                <w:rPr>
                  <w:rFonts w:ascii="Cambria Math" w:hAnsi="Cambria Math"/>
                  <w:lang w:val="en-US"/>
                </w:rPr>
                <m:t>i</m:t>
              </m:r>
            </m:sub>
          </m:sSub>
          <m:r>
            <w:rPr>
              <w:rFonts w:ascii="Cambria Math"/>
              <w:lang w:val="en-US"/>
            </w:rPr>
            <m:t>=</m:t>
          </m:r>
          <m:r>
            <w:rPr>
              <w:rFonts w:ascii="Cambria Math" w:hAnsi="Cambria Math"/>
              <w:lang w:val="en-US"/>
            </w:rPr>
            <m:t>α</m:t>
          </m:r>
          <m:r>
            <w:rPr>
              <w:rFonts w:ascii="Cambria Math"/>
              <w:lang w:val="en-US"/>
            </w:rPr>
            <m:t>+</m:t>
          </m:r>
          <m:r>
            <w:rPr>
              <w:rFonts w:ascii="Cambria Math" w:hAnsi="Cambria Math"/>
              <w:lang w:val="en-US"/>
            </w:rPr>
            <m:t>β</m:t>
          </m:r>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r>
            <w:rPr>
              <w:rFonts w:asci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lang w:val="en-US"/>
                </w:rPr>
                <m:t>1</m:t>
              </m:r>
            </m:sub>
          </m:sSub>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r>
            <w:rPr>
              <w:rFonts w:ascii="Cambria Math"/>
              <w:lang w:val="en-US"/>
            </w:rPr>
            <m:t>×</m:t>
          </m:r>
          <m:r>
            <w:rPr>
              <w:rFonts w:ascii="Cambria Math" w:hAnsi="Cambria Math"/>
              <w:lang w:val="en-US"/>
            </w:rPr>
            <m:t>High</m:t>
          </m:r>
          <m:r>
            <w:rPr>
              <w:rFonts w:ascii="Cambria Math"/>
              <w:lang w:val="en-US"/>
            </w:rPr>
            <m:t xml:space="preserve"> </m:t>
          </m:r>
          <m:r>
            <w:rPr>
              <w:rFonts w:ascii="Cambria Math" w:hAnsi="Cambria Math"/>
              <w:lang w:val="en-US"/>
            </w:rPr>
            <m:t>sequence</m:t>
          </m:r>
          <m:r>
            <w:rPr>
              <w:rFonts w:asci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lang w:val="en-US"/>
                </w:rPr>
                <m:t>2</m:t>
              </m:r>
            </m:sub>
          </m:sSub>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ctrlPr>
                    <w:rPr>
                      <w:rFonts w:ascii="Cambria Math" w:hAnsi="Cambria Math"/>
                      <w:lang w:val="en-US"/>
                    </w:rPr>
                  </m:ctrlPr>
                </m:fName>
                <m:e>
                  <m:d>
                    <m:dPr>
                      <m:ctrlPr>
                        <w:rPr>
                          <w:rFonts w:ascii="Cambria Math" w:hAnsi="Cambria Math"/>
                          <w:i/>
                          <w:lang w:val="en-US"/>
                        </w:rPr>
                      </m:ctrlPr>
                    </m:dPr>
                    <m:e>
                      <m:r>
                        <w:rPr>
                          <w:rFonts w:ascii="Cambria Math"/>
                          <w:lang w:val="en-US"/>
                        </w:rPr>
                        <m:t>1+</m:t>
                      </m:r>
                      <m:r>
                        <w:rPr>
                          <w:rFonts w:ascii="Cambria Math" w:hAnsi="Cambria Math"/>
                          <w:lang w:val="en-US"/>
                        </w:rPr>
                        <m:t>AG</m:t>
                      </m:r>
                    </m:e>
                  </m:d>
                </m:e>
              </m:func>
            </m:e>
            <m:sub>
              <m:r>
                <w:rPr>
                  <w:rFonts w:ascii="Cambria Math" w:hAnsi="Cambria Math"/>
                  <w:lang w:val="en-US"/>
                </w:rPr>
                <m:t>i</m:t>
              </m:r>
            </m:sub>
          </m:sSub>
          <m:r>
            <w:rPr>
              <w:rFonts w:ascii="Cambria Math"/>
              <w:lang w:val="en-US"/>
            </w:rPr>
            <m:t>×</m:t>
          </m:r>
          <m:r>
            <w:rPr>
              <w:rFonts w:ascii="Cambria Math" w:hAnsi="Cambria Math"/>
              <w:lang w:val="en-US"/>
            </w:rPr>
            <m:t>Low</m:t>
          </m:r>
          <m:r>
            <w:rPr>
              <w:rFonts w:ascii="Cambria Math"/>
              <w:lang w:val="en-US"/>
            </w:rPr>
            <m:t xml:space="preserve"> </m:t>
          </m:r>
          <m:r>
            <w:rPr>
              <w:rFonts w:ascii="Cambria Math" w:hAnsi="Cambria Math"/>
              <w:lang w:val="en-US"/>
            </w:rPr>
            <m:t>sequence</m:t>
          </m:r>
          <m:r>
            <w:rPr>
              <w:rFonts w:asci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lang w:val="en-US"/>
                </w:rPr>
                <m:t>1</m:t>
              </m:r>
            </m:sub>
          </m:sSub>
          <m:r>
            <w:rPr>
              <w:rFonts w:ascii="Cambria Math" w:hAnsi="Cambria Math"/>
              <w:lang w:val="en-US"/>
            </w:rPr>
            <m:t>High</m:t>
          </m:r>
          <m:r>
            <w:rPr>
              <w:rFonts w:ascii="Cambria Math"/>
              <w:lang w:val="en-US"/>
            </w:rPr>
            <m:t xml:space="preserve"> </m:t>
          </m:r>
          <m:r>
            <w:rPr>
              <w:rFonts w:ascii="Cambria Math" w:hAnsi="Cambria Math"/>
              <w:lang w:val="en-US"/>
            </w:rPr>
            <m:t>sequence</m:t>
          </m:r>
          <m:r>
            <w:rPr>
              <w:rFonts w:asci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lang w:val="en-US"/>
                </w:rPr>
                <m:t>2</m:t>
              </m:r>
            </m:sub>
          </m:sSub>
          <m:r>
            <w:rPr>
              <w:rFonts w:ascii="Cambria Math" w:hAnsi="Cambria Math"/>
              <w:lang w:val="en-US"/>
            </w:rPr>
            <m:t>Low</m:t>
          </m:r>
          <m:r>
            <w:rPr>
              <w:rFonts w:ascii="Cambria Math"/>
              <w:lang w:val="en-US"/>
            </w:rPr>
            <m:t xml:space="preserve"> </m:t>
          </m:r>
          <m:r>
            <w:rPr>
              <w:rFonts w:ascii="Cambria Math" w:hAnsi="Cambria Math"/>
              <w:lang w:val="en-US"/>
            </w:rPr>
            <m:t>sequence</m:t>
          </m:r>
          <m:r>
            <w:rPr>
              <w:rFonts w:ascii="Cambria Math"/>
              <w:lang w:val="en-US"/>
            </w:rPr>
            <m:t>+</m:t>
          </m:r>
          <m:func>
            <m:funcPr>
              <m:ctrlPr>
                <w:rPr>
                  <w:rFonts w:ascii="Cambria Math" w:hAnsi="Cambria Math"/>
                  <w:i/>
                  <w:lang w:val="en-US"/>
                </w:rPr>
              </m:ctrlPr>
            </m:funcPr>
            <m:fName>
              <m:sSub>
                <m:sSubPr>
                  <m:ctrlPr>
                    <w:rPr>
                      <w:rFonts w:ascii="Cambria Math" w:hAnsi="Cambria Math"/>
                      <w:i/>
                      <w:lang w:val="en-US"/>
                    </w:rPr>
                  </m:ctrlPr>
                </m:sSubPr>
                <m:e>
                  <m:r>
                    <w:rPr>
                      <w:rFonts w:ascii="Cambria Math" w:hAnsi="Cambria Math"/>
                      <w:lang w:val="en-US"/>
                    </w:rPr>
                    <m:t>λln⁡</m:t>
                  </m:r>
                  <m:r>
                    <w:rPr>
                      <w:rFonts w:ascii="Cambria Math"/>
                      <w:lang w:val="en-US"/>
                    </w:rPr>
                    <m:t>(1+</m:t>
                  </m:r>
                  <m:r>
                    <w:rPr>
                      <w:rFonts w:ascii="Cambria Math" w:hAnsi="Cambria Math"/>
                      <w:lang w:val="en-US"/>
                    </w:rPr>
                    <m:t>AG</m:t>
                  </m:r>
                  <m:r>
                    <w:rPr>
                      <w:rFonts w:ascii="Cambria Math"/>
                      <w:lang w:val="en-US"/>
                    </w:rPr>
                    <m:t>)</m:t>
                  </m:r>
                </m:e>
                <m:sub>
                  <m:r>
                    <w:rPr>
                      <w:rFonts w:ascii="Cambria Math" w:hAnsi="Cambria Math"/>
                      <w:lang w:val="en-US"/>
                    </w:rPr>
                    <m:t>i</m:t>
                  </m:r>
                </m:sub>
              </m:sSub>
            </m:fName>
            <m:e>
              <m:r>
                <w:rPr>
                  <w:rFonts w:ascii="Cambria Math"/>
                  <w:lang w:val="en-US"/>
                </w:rPr>
                <m:t>×</m:t>
              </m:r>
            </m:e>
          </m:func>
          <m:r>
            <w:rPr>
              <w:rFonts w:ascii="Cambria Math"/>
              <w:lang w:val="en-US"/>
            </w:rPr>
            <m:t>LIproxy+</m:t>
          </m:r>
          <m:r>
            <w:rPr>
              <w:rFonts w:ascii="Cambria Math" w:hAnsi="Cambria Math"/>
              <w:lang w:val="en-US"/>
            </w:rPr>
            <m:t>κ</m:t>
          </m:r>
          <m:r>
            <w:rPr>
              <w:rFonts w:ascii="Cambria Math"/>
              <w:lang w:val="en-US"/>
            </w:rPr>
            <m:t>LIproxy +</m:t>
          </m:r>
          <m:nary>
            <m:naryPr>
              <m:chr m:val="∑"/>
              <m:limLoc m:val="undOvr"/>
              <m:ctrlPr>
                <w:rPr>
                  <w:rFonts w:ascii="Cambria Math" w:hAnsi="Cambria Math"/>
                  <w:i/>
                  <w:lang w:val="en-US"/>
                </w:rPr>
              </m:ctrlPr>
            </m:naryPr>
            <m:sub>
              <m:r>
                <w:rPr>
                  <w:rFonts w:ascii="Cambria Math" w:hAnsi="Cambria Math"/>
                  <w:lang w:val="en-US"/>
                </w:rPr>
                <m:t>j</m:t>
              </m:r>
              <m:r>
                <w:rPr>
                  <w:rFonts w:ascii="Cambria Math"/>
                  <w:lang w:val="en-US"/>
                </w:rPr>
                <m:t>=1</m:t>
              </m:r>
            </m:sub>
            <m:sup>
              <m:r>
                <w:rPr>
                  <w:rFonts w:ascii="Cambria Math"/>
                  <w:lang w:val="en-US"/>
                </w:rPr>
                <m:t>3</m:t>
              </m:r>
            </m:sup>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Control</m:t>
                  </m:r>
                </m:e>
                <m:sub>
                  <m:r>
                    <w:rPr>
                      <w:rFonts w:ascii="Cambria Math" w:hAnsi="Cambria Math"/>
                      <w:lang w:val="en-US"/>
                    </w:rPr>
                    <m:t>ij</m:t>
                  </m:r>
                </m:sub>
              </m:sSub>
            </m:e>
          </m:nary>
          <m:r>
            <w:rPr>
              <w:rFonts w:ascii="Cambria Math"/>
              <w:lang w:val="en-US"/>
            </w:rPr>
            <m:t>+</m:t>
          </m:r>
          <m:r>
            <w:rPr>
              <w:rFonts w:ascii="Cambria Math" w:hAnsi="Cambria Math"/>
              <w:lang w:val="en-US"/>
            </w:rPr>
            <m:t>ε</m:t>
          </m:r>
        </m:oMath>
      </m:oMathPara>
    </w:p>
    <w:p w14:paraId="7456518E" w14:textId="77777777" w:rsidR="005708B0" w:rsidRPr="004A2734" w:rsidRDefault="005708B0" w:rsidP="005708B0">
      <w:pPr>
        <w:spacing w:line="480" w:lineRule="auto"/>
        <w:jc w:val="right"/>
        <w:rPr>
          <w:i/>
          <w:lang w:val="en-US"/>
        </w:rPr>
      </w:pPr>
      <w:r w:rsidRPr="004A2734">
        <w:rPr>
          <w:i/>
          <w:lang w:val="en-US"/>
        </w:rPr>
        <w:t>Eq(3)</w:t>
      </w:r>
    </w:p>
    <w:p w14:paraId="025C2EA2" w14:textId="61AAAB79" w:rsidR="006856C5" w:rsidRPr="008319F4" w:rsidRDefault="00346791" w:rsidP="00A32202">
      <w:pPr>
        <w:spacing w:line="240" w:lineRule="auto"/>
        <w:jc w:val="both"/>
      </w:pPr>
      <w:r w:rsidRPr="008319F4">
        <w:rPr>
          <w:lang w:val="en-US"/>
        </w:rPr>
        <w:t>Where Ret</w:t>
      </w:r>
      <w:r w:rsidRPr="008319F4">
        <w:rPr>
          <w:vertAlign w:val="subscript"/>
          <w:lang w:val="en-US"/>
        </w:rPr>
        <w:t>i</w:t>
      </w:r>
      <w:r w:rsidR="00916863" w:rsidRPr="008319F4">
        <w:rPr>
          <w:lang w:val="en-US"/>
        </w:rPr>
        <w:t xml:space="preserve"> is the monthly raw return;</w:t>
      </w:r>
      <w:r w:rsidRPr="008319F4">
        <w:rPr>
          <w:lang w:val="en-US"/>
        </w:rPr>
        <w:t xml:space="preserve"> AG is firm asset growth; </w:t>
      </w:r>
      <w:r w:rsidR="00916863" w:rsidRPr="008319F4">
        <w:rPr>
          <w:lang w:val="en-US"/>
        </w:rPr>
        <w:t>high sequence indicates the length of high asset growth sequence and low sequence indicates the length of low asset growth sequence</w:t>
      </w:r>
      <w:r w:rsidRPr="008319F4">
        <w:rPr>
          <w:lang w:val="en-US"/>
        </w:rPr>
        <w:t xml:space="preserve">. </w:t>
      </w:r>
      <w:r w:rsidR="00696E5F" w:rsidRPr="00DC51AD">
        <w:rPr>
          <w:noProof/>
          <w:sz w:val="24"/>
          <w:szCs w:val="24"/>
          <w:lang w:val="en-US"/>
        </w:rPr>
        <w:t>LIproxy</w:t>
      </w:r>
      <w:r w:rsidR="00696E5F">
        <w:rPr>
          <w:sz w:val="24"/>
          <w:szCs w:val="24"/>
          <w:lang w:val="en-US"/>
        </w:rPr>
        <w:t xml:space="preserve"> is a proxy of the limit-to-arbitrage or investment frictions</w:t>
      </w:r>
      <w:r w:rsidR="00696E5F" w:rsidRPr="008319F4">
        <w:rPr>
          <w:lang w:val="en-US"/>
        </w:rPr>
        <w:t xml:space="preserve"> </w:t>
      </w:r>
      <w:r w:rsidR="0083460E" w:rsidRPr="008319F4">
        <w:rPr>
          <w:lang w:val="en-US"/>
        </w:rPr>
        <w:t>Models</w:t>
      </w:r>
      <w:r w:rsidR="00DE4B51" w:rsidRPr="008319F4">
        <w:rPr>
          <w:lang w:val="en-US"/>
        </w:rPr>
        <w:t xml:space="preserve"> </w:t>
      </w:r>
      <w:r w:rsidR="0083460E" w:rsidRPr="008319F4">
        <w:rPr>
          <w:lang w:val="en-US"/>
        </w:rPr>
        <w:t>2</w:t>
      </w:r>
      <w:r w:rsidR="00DE4B51" w:rsidRPr="008319F4">
        <w:rPr>
          <w:lang w:val="en-US"/>
        </w:rPr>
        <w:t xml:space="preserve"> to</w:t>
      </w:r>
      <w:r w:rsidR="0083460E" w:rsidRPr="008319F4">
        <w:rPr>
          <w:lang w:val="en-US"/>
        </w:rPr>
        <w:t xml:space="preserve"> 6</w:t>
      </w:r>
      <w:r w:rsidR="002F75EA" w:rsidRPr="008319F4">
        <w:rPr>
          <w:lang w:val="en-US"/>
        </w:rPr>
        <w:t xml:space="preserve"> report</w:t>
      </w:r>
      <w:r w:rsidRPr="008319F4">
        <w:rPr>
          <w:lang w:val="en-US"/>
        </w:rPr>
        <w:t xml:space="preserve"> the interactive effect of growth type and asset growth by controlling for </w:t>
      </w:r>
      <w:r w:rsidR="00E65622" w:rsidRPr="008319F4">
        <w:rPr>
          <w:lang w:val="en-US"/>
        </w:rPr>
        <w:t>limits-to-arbitrage</w:t>
      </w:r>
      <w:r w:rsidRPr="008319F4">
        <w:rPr>
          <w:lang w:val="en-US"/>
        </w:rPr>
        <w:t xml:space="preserve"> proxies -- idiosyncratic volatility (IVOL), bid-ask spread (BAS), analyst forecast (COV), forecast dispersion among analysts (DISP) and dollar trading volume (DVOL) respectively. </w:t>
      </w:r>
      <w:r w:rsidR="0083460E" w:rsidRPr="008319F4">
        <w:rPr>
          <w:lang w:val="en-US"/>
        </w:rPr>
        <w:t>Models 7</w:t>
      </w:r>
      <w:r w:rsidR="002F75EA" w:rsidRPr="008319F4">
        <w:rPr>
          <w:lang w:val="en-US"/>
        </w:rPr>
        <w:t xml:space="preserve"> and </w:t>
      </w:r>
      <w:r w:rsidR="0083460E" w:rsidRPr="008319F4">
        <w:rPr>
          <w:lang w:val="en-US"/>
        </w:rPr>
        <w:t>8</w:t>
      </w:r>
      <w:r w:rsidR="002F75EA" w:rsidRPr="008319F4">
        <w:rPr>
          <w:lang w:val="en-US"/>
        </w:rPr>
        <w:t xml:space="preserve"> report</w:t>
      </w:r>
      <w:r w:rsidRPr="008319F4">
        <w:rPr>
          <w:lang w:val="en-US"/>
        </w:rPr>
        <w:t xml:space="preserve"> the interactive effect of growth type and asset growth by controlling for investment friction proxies – firm age (AGE) and firm total assets (ASSET).</w:t>
      </w:r>
      <w:r w:rsidR="006856C5" w:rsidRPr="008319F4">
        <w:rPr>
          <w:lang w:val="en-US"/>
        </w:rPr>
        <w:t xml:space="preserve"> Control variables are the natural logarithm of market capitalization (</w:t>
      </w:r>
      <w:r w:rsidR="006856C5" w:rsidRPr="00DC51AD">
        <w:rPr>
          <w:noProof/>
          <w:lang w:val="en-US"/>
        </w:rPr>
        <w:t>lnMV</w:t>
      </w:r>
      <w:r w:rsidR="006856C5" w:rsidRPr="008319F4">
        <w:rPr>
          <w:lang w:val="en-US"/>
        </w:rPr>
        <w:t>), the natural logarithm of the book-to-market ratio (</w:t>
      </w:r>
      <w:r w:rsidR="006856C5" w:rsidRPr="00DC51AD">
        <w:rPr>
          <w:noProof/>
          <w:lang w:val="en-US"/>
        </w:rPr>
        <w:t>lnBM</w:t>
      </w:r>
      <w:r w:rsidR="006856C5" w:rsidRPr="008319F4">
        <w:rPr>
          <w:lang w:val="en-US"/>
        </w:rPr>
        <w:t xml:space="preserve">) and </w:t>
      </w:r>
      <w:r w:rsidR="002F75EA" w:rsidRPr="008319F4">
        <w:rPr>
          <w:lang w:val="en-US"/>
        </w:rPr>
        <w:t xml:space="preserve">the </w:t>
      </w:r>
      <w:r w:rsidR="006856C5" w:rsidRPr="008319F4">
        <w:rPr>
          <w:lang w:val="en-US"/>
        </w:rPr>
        <w:t>previous 6-month returns at the end of June</w:t>
      </w:r>
      <w:r w:rsidR="006A0453" w:rsidRPr="008319F4">
        <w:rPr>
          <w:lang w:val="en-US"/>
        </w:rPr>
        <w:t xml:space="preserve"> (Pre6ret)</w:t>
      </w:r>
      <w:r w:rsidR="006856C5" w:rsidRPr="008319F4">
        <w:rPr>
          <w:lang w:val="en-US"/>
        </w:rPr>
        <w:t xml:space="preserve">. </w:t>
      </w:r>
      <w:r w:rsidR="006856C5" w:rsidRPr="008319F4">
        <w:t>The t-values in parentheses are based on Newey-West (1987) standard errors for correcting heteroscedasticity and autocorrelation; *, **, and *** indicate the significance level at 0.10, 0.05 and 0.01.</w:t>
      </w:r>
    </w:p>
    <w:p w14:paraId="2575A863" w14:textId="77777777" w:rsidR="006856C5" w:rsidRPr="008319F4" w:rsidRDefault="006856C5" w:rsidP="00A32202">
      <w:pPr>
        <w:spacing w:line="240" w:lineRule="auto"/>
        <w:rPr>
          <w:b/>
        </w:rPr>
      </w:pPr>
    </w:p>
    <w:p w14:paraId="2DC9A5E6" w14:textId="77777777" w:rsidR="006856C5" w:rsidRPr="008319F4" w:rsidRDefault="006856C5" w:rsidP="00A32202">
      <w:pPr>
        <w:spacing w:line="240" w:lineRule="auto"/>
        <w:rPr>
          <w:b/>
        </w:rPr>
      </w:pPr>
    </w:p>
    <w:p w14:paraId="2BEE416C" w14:textId="77777777" w:rsidR="006856C5" w:rsidRPr="008319F4" w:rsidRDefault="006856C5" w:rsidP="00A32202">
      <w:pPr>
        <w:spacing w:line="240" w:lineRule="auto"/>
        <w:rPr>
          <w:b/>
        </w:rPr>
      </w:pPr>
    </w:p>
    <w:p w14:paraId="459A6CD0" w14:textId="77777777" w:rsidR="007C6CB2" w:rsidRPr="008319F4" w:rsidRDefault="007C6CB2">
      <w:pPr>
        <w:rPr>
          <w:b/>
          <w:lang w:val="en-US"/>
        </w:rPr>
      </w:pPr>
      <w:r w:rsidRPr="008319F4">
        <w:rPr>
          <w:b/>
          <w:lang w:val="en-US"/>
        </w:rPr>
        <w:br w:type="page"/>
      </w:r>
    </w:p>
    <w:p w14:paraId="6E50900B" w14:textId="0B909B17" w:rsidR="006856C5" w:rsidRPr="0038540D" w:rsidRDefault="007C6CB2" w:rsidP="00A32202">
      <w:pPr>
        <w:spacing w:line="240" w:lineRule="auto"/>
        <w:rPr>
          <w:b/>
        </w:rPr>
      </w:pPr>
      <w:r w:rsidRPr="008319F4">
        <w:rPr>
          <w:b/>
          <w:lang w:val="en-US"/>
        </w:rPr>
        <w:lastRenderedPageBreak/>
        <w:t>Table 6. Continued</w:t>
      </w:r>
    </w:p>
    <w:tbl>
      <w:tblPr>
        <w:tblW w:w="6666" w:type="pct"/>
        <w:jc w:val="center"/>
        <w:tblLayout w:type="fixed"/>
        <w:tblLook w:val="04A0" w:firstRow="1" w:lastRow="0" w:firstColumn="1" w:lastColumn="0" w:noHBand="0" w:noVBand="1"/>
      </w:tblPr>
      <w:tblGrid>
        <w:gridCol w:w="1769"/>
        <w:gridCol w:w="1302"/>
        <w:gridCol w:w="1248"/>
        <w:gridCol w:w="1088"/>
        <w:gridCol w:w="1125"/>
        <w:gridCol w:w="1238"/>
        <w:gridCol w:w="1145"/>
        <w:gridCol w:w="1138"/>
        <w:gridCol w:w="1309"/>
      </w:tblGrid>
      <w:tr w:rsidR="0038540D" w:rsidRPr="0038540D" w14:paraId="2DDE7104" w14:textId="77777777" w:rsidTr="004A2734">
        <w:trPr>
          <w:trHeight w:hRule="exact" w:val="227"/>
          <w:jc w:val="center"/>
        </w:trPr>
        <w:tc>
          <w:tcPr>
            <w:tcW w:w="778" w:type="pct"/>
            <w:tcBorders>
              <w:top w:val="single" w:sz="4" w:space="0" w:color="auto"/>
              <w:left w:val="nil"/>
              <w:bottom w:val="single" w:sz="4" w:space="0" w:color="auto"/>
              <w:right w:val="nil"/>
            </w:tcBorders>
            <w:shd w:val="clear" w:color="auto" w:fill="auto"/>
            <w:noWrap/>
            <w:vAlign w:val="center"/>
            <w:hideMark/>
          </w:tcPr>
          <w:p w14:paraId="35C2304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 </w:t>
            </w:r>
          </w:p>
        </w:tc>
        <w:tc>
          <w:tcPr>
            <w:tcW w:w="573" w:type="pct"/>
            <w:tcBorders>
              <w:top w:val="single" w:sz="4" w:space="0" w:color="auto"/>
              <w:left w:val="nil"/>
              <w:bottom w:val="single" w:sz="4" w:space="0" w:color="auto"/>
              <w:right w:val="nil"/>
            </w:tcBorders>
            <w:shd w:val="clear" w:color="auto" w:fill="auto"/>
            <w:noWrap/>
            <w:vAlign w:val="center"/>
            <w:hideMark/>
          </w:tcPr>
          <w:p w14:paraId="75C2CE62"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1</w:t>
            </w:r>
          </w:p>
        </w:tc>
        <w:tc>
          <w:tcPr>
            <w:tcW w:w="549" w:type="pct"/>
            <w:tcBorders>
              <w:top w:val="single" w:sz="4" w:space="0" w:color="auto"/>
              <w:left w:val="nil"/>
              <w:bottom w:val="single" w:sz="4" w:space="0" w:color="auto"/>
              <w:right w:val="nil"/>
            </w:tcBorders>
            <w:shd w:val="clear" w:color="auto" w:fill="auto"/>
            <w:noWrap/>
            <w:vAlign w:val="center"/>
            <w:hideMark/>
          </w:tcPr>
          <w:p w14:paraId="4D74877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2</w:t>
            </w:r>
          </w:p>
        </w:tc>
        <w:tc>
          <w:tcPr>
            <w:tcW w:w="479" w:type="pct"/>
            <w:tcBorders>
              <w:top w:val="single" w:sz="4" w:space="0" w:color="auto"/>
              <w:left w:val="nil"/>
              <w:bottom w:val="single" w:sz="4" w:space="0" w:color="auto"/>
              <w:right w:val="nil"/>
            </w:tcBorders>
            <w:shd w:val="clear" w:color="auto" w:fill="auto"/>
            <w:noWrap/>
            <w:vAlign w:val="center"/>
            <w:hideMark/>
          </w:tcPr>
          <w:p w14:paraId="0A7D3EB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3</w:t>
            </w:r>
          </w:p>
        </w:tc>
        <w:tc>
          <w:tcPr>
            <w:tcW w:w="495" w:type="pct"/>
            <w:tcBorders>
              <w:top w:val="single" w:sz="4" w:space="0" w:color="auto"/>
              <w:left w:val="nil"/>
              <w:bottom w:val="single" w:sz="4" w:space="0" w:color="auto"/>
              <w:right w:val="nil"/>
            </w:tcBorders>
            <w:shd w:val="clear" w:color="auto" w:fill="auto"/>
            <w:noWrap/>
            <w:vAlign w:val="center"/>
            <w:hideMark/>
          </w:tcPr>
          <w:p w14:paraId="01DCAB1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4</w:t>
            </w:r>
          </w:p>
        </w:tc>
        <w:tc>
          <w:tcPr>
            <w:tcW w:w="545" w:type="pct"/>
            <w:tcBorders>
              <w:top w:val="single" w:sz="4" w:space="0" w:color="auto"/>
              <w:left w:val="nil"/>
              <w:bottom w:val="single" w:sz="4" w:space="0" w:color="auto"/>
              <w:right w:val="nil"/>
            </w:tcBorders>
            <w:shd w:val="clear" w:color="auto" w:fill="auto"/>
            <w:noWrap/>
            <w:vAlign w:val="center"/>
            <w:hideMark/>
          </w:tcPr>
          <w:p w14:paraId="099C16F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5</w:t>
            </w:r>
          </w:p>
        </w:tc>
        <w:tc>
          <w:tcPr>
            <w:tcW w:w="504" w:type="pct"/>
            <w:tcBorders>
              <w:top w:val="single" w:sz="4" w:space="0" w:color="auto"/>
              <w:left w:val="nil"/>
              <w:bottom w:val="single" w:sz="4" w:space="0" w:color="auto"/>
              <w:right w:val="nil"/>
            </w:tcBorders>
            <w:shd w:val="clear" w:color="auto" w:fill="auto"/>
            <w:noWrap/>
            <w:vAlign w:val="center"/>
            <w:hideMark/>
          </w:tcPr>
          <w:p w14:paraId="442A403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6</w:t>
            </w:r>
          </w:p>
        </w:tc>
        <w:tc>
          <w:tcPr>
            <w:tcW w:w="501" w:type="pct"/>
            <w:tcBorders>
              <w:top w:val="single" w:sz="4" w:space="0" w:color="auto"/>
              <w:left w:val="nil"/>
              <w:bottom w:val="single" w:sz="4" w:space="0" w:color="auto"/>
              <w:right w:val="nil"/>
            </w:tcBorders>
            <w:shd w:val="clear" w:color="auto" w:fill="auto"/>
            <w:noWrap/>
            <w:vAlign w:val="center"/>
            <w:hideMark/>
          </w:tcPr>
          <w:p w14:paraId="23EDCB0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7</w:t>
            </w:r>
          </w:p>
        </w:tc>
        <w:tc>
          <w:tcPr>
            <w:tcW w:w="576" w:type="pct"/>
            <w:tcBorders>
              <w:top w:val="single" w:sz="4" w:space="0" w:color="auto"/>
              <w:left w:val="nil"/>
              <w:bottom w:val="single" w:sz="4" w:space="0" w:color="auto"/>
              <w:right w:val="nil"/>
            </w:tcBorders>
            <w:shd w:val="clear" w:color="auto" w:fill="auto"/>
            <w:noWrap/>
            <w:vAlign w:val="center"/>
            <w:hideMark/>
          </w:tcPr>
          <w:p w14:paraId="74925BF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Model 8</w:t>
            </w:r>
          </w:p>
        </w:tc>
      </w:tr>
      <w:tr w:rsidR="0038540D" w:rsidRPr="0038540D" w14:paraId="5D5CEEB2"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9A2641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Intercept</w:t>
            </w:r>
          </w:p>
        </w:tc>
        <w:tc>
          <w:tcPr>
            <w:tcW w:w="573" w:type="pct"/>
            <w:tcBorders>
              <w:top w:val="nil"/>
              <w:left w:val="nil"/>
              <w:bottom w:val="nil"/>
              <w:right w:val="nil"/>
            </w:tcBorders>
            <w:shd w:val="clear" w:color="auto" w:fill="auto"/>
            <w:noWrap/>
            <w:vAlign w:val="center"/>
            <w:hideMark/>
          </w:tcPr>
          <w:p w14:paraId="75E7BF8B" w14:textId="6350BA6B"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85***</w:t>
            </w:r>
          </w:p>
        </w:tc>
        <w:tc>
          <w:tcPr>
            <w:tcW w:w="549" w:type="pct"/>
            <w:tcBorders>
              <w:top w:val="nil"/>
              <w:left w:val="nil"/>
              <w:bottom w:val="nil"/>
              <w:right w:val="nil"/>
            </w:tcBorders>
            <w:shd w:val="clear" w:color="auto" w:fill="auto"/>
            <w:noWrap/>
            <w:vAlign w:val="center"/>
            <w:hideMark/>
          </w:tcPr>
          <w:p w14:paraId="56AC1FDF" w14:textId="4FF0973E"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76***</w:t>
            </w:r>
          </w:p>
        </w:tc>
        <w:tc>
          <w:tcPr>
            <w:tcW w:w="479" w:type="pct"/>
            <w:tcBorders>
              <w:top w:val="nil"/>
              <w:left w:val="nil"/>
              <w:bottom w:val="nil"/>
              <w:right w:val="nil"/>
            </w:tcBorders>
            <w:shd w:val="clear" w:color="auto" w:fill="auto"/>
            <w:noWrap/>
            <w:vAlign w:val="center"/>
            <w:hideMark/>
          </w:tcPr>
          <w:p w14:paraId="244F88E7" w14:textId="1593418C"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42***</w:t>
            </w:r>
          </w:p>
        </w:tc>
        <w:tc>
          <w:tcPr>
            <w:tcW w:w="495" w:type="pct"/>
            <w:tcBorders>
              <w:top w:val="nil"/>
              <w:left w:val="nil"/>
              <w:bottom w:val="nil"/>
              <w:right w:val="nil"/>
            </w:tcBorders>
            <w:shd w:val="clear" w:color="auto" w:fill="auto"/>
            <w:noWrap/>
            <w:vAlign w:val="center"/>
            <w:hideMark/>
          </w:tcPr>
          <w:p w14:paraId="1A43C60F" w14:textId="4DD8666E" w:rsidR="00BF76B1" w:rsidRPr="0038540D" w:rsidRDefault="00BF76B1" w:rsidP="00B15095">
            <w:pPr>
              <w:jc w:val="center"/>
              <w:rPr>
                <w:rFonts w:eastAsia="Times New Roman" w:cs="Times New Roman"/>
                <w:color w:val="000000"/>
              </w:rPr>
            </w:pPr>
            <w:r w:rsidRPr="0038540D">
              <w:rPr>
                <w:rFonts w:eastAsia="Times New Roman" w:cs="Times New Roman"/>
                <w:color w:val="000000"/>
              </w:rPr>
              <w:t>2</w:t>
            </w:r>
            <w:r w:rsidR="00DD51B9">
              <w:rPr>
                <w:rFonts w:eastAsia="Times New Roman" w:cs="Times New Roman"/>
                <w:color w:val="000000"/>
              </w:rPr>
              <w:t>.</w:t>
            </w:r>
            <w:r w:rsidRPr="0038540D">
              <w:rPr>
                <w:rFonts w:eastAsia="Times New Roman" w:cs="Times New Roman"/>
                <w:color w:val="000000"/>
              </w:rPr>
              <w:t>05***</w:t>
            </w:r>
          </w:p>
        </w:tc>
        <w:tc>
          <w:tcPr>
            <w:tcW w:w="545" w:type="pct"/>
            <w:tcBorders>
              <w:top w:val="nil"/>
              <w:left w:val="nil"/>
              <w:bottom w:val="nil"/>
              <w:right w:val="nil"/>
            </w:tcBorders>
            <w:shd w:val="clear" w:color="auto" w:fill="auto"/>
            <w:noWrap/>
            <w:vAlign w:val="center"/>
            <w:hideMark/>
          </w:tcPr>
          <w:p w14:paraId="3511F382" w14:textId="0FCBD034"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94***</w:t>
            </w:r>
          </w:p>
        </w:tc>
        <w:tc>
          <w:tcPr>
            <w:tcW w:w="504" w:type="pct"/>
            <w:tcBorders>
              <w:top w:val="nil"/>
              <w:left w:val="nil"/>
              <w:bottom w:val="nil"/>
              <w:right w:val="nil"/>
            </w:tcBorders>
            <w:shd w:val="clear" w:color="auto" w:fill="auto"/>
            <w:noWrap/>
            <w:vAlign w:val="center"/>
            <w:hideMark/>
          </w:tcPr>
          <w:p w14:paraId="0CB795B3" w14:textId="4AF694C1"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85***</w:t>
            </w:r>
          </w:p>
        </w:tc>
        <w:tc>
          <w:tcPr>
            <w:tcW w:w="501" w:type="pct"/>
            <w:tcBorders>
              <w:top w:val="nil"/>
              <w:left w:val="nil"/>
              <w:bottom w:val="nil"/>
              <w:right w:val="nil"/>
            </w:tcBorders>
            <w:shd w:val="clear" w:color="auto" w:fill="auto"/>
            <w:noWrap/>
            <w:vAlign w:val="center"/>
            <w:hideMark/>
          </w:tcPr>
          <w:p w14:paraId="79F6B4D6" w14:textId="6E249896"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98***</w:t>
            </w:r>
          </w:p>
        </w:tc>
        <w:tc>
          <w:tcPr>
            <w:tcW w:w="576" w:type="pct"/>
            <w:tcBorders>
              <w:top w:val="nil"/>
              <w:left w:val="nil"/>
              <w:bottom w:val="nil"/>
              <w:right w:val="nil"/>
            </w:tcBorders>
            <w:shd w:val="clear" w:color="auto" w:fill="auto"/>
            <w:noWrap/>
            <w:vAlign w:val="center"/>
            <w:hideMark/>
          </w:tcPr>
          <w:p w14:paraId="08847A85" w14:textId="5BB51C96" w:rsidR="00BF76B1" w:rsidRPr="0038540D" w:rsidRDefault="00BF76B1" w:rsidP="00B15095">
            <w:pPr>
              <w:jc w:val="center"/>
              <w:rPr>
                <w:rFonts w:eastAsia="Times New Roman" w:cs="Times New Roman"/>
                <w:color w:val="000000"/>
              </w:rPr>
            </w:pPr>
            <w:r w:rsidRPr="0038540D">
              <w:rPr>
                <w:rFonts w:eastAsia="Times New Roman" w:cs="Times New Roman"/>
                <w:color w:val="000000"/>
              </w:rPr>
              <w:t>1</w:t>
            </w:r>
            <w:r w:rsidR="00DD51B9">
              <w:rPr>
                <w:rFonts w:eastAsia="Times New Roman" w:cs="Times New Roman"/>
                <w:color w:val="000000"/>
              </w:rPr>
              <w:t>.</w:t>
            </w:r>
            <w:r w:rsidRPr="0038540D">
              <w:rPr>
                <w:rFonts w:eastAsia="Times New Roman" w:cs="Times New Roman"/>
                <w:color w:val="000000"/>
              </w:rPr>
              <w:t>94***</w:t>
            </w:r>
          </w:p>
        </w:tc>
      </w:tr>
      <w:tr w:rsidR="0038540D" w:rsidRPr="0038540D" w14:paraId="571155D4"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513E0D36"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548DB5B2"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(5.02)</w:t>
            </w:r>
          </w:p>
        </w:tc>
        <w:tc>
          <w:tcPr>
            <w:tcW w:w="549" w:type="pct"/>
            <w:tcBorders>
              <w:top w:val="nil"/>
              <w:left w:val="nil"/>
              <w:bottom w:val="nil"/>
              <w:right w:val="nil"/>
            </w:tcBorders>
            <w:shd w:val="clear" w:color="auto" w:fill="auto"/>
            <w:noWrap/>
            <w:vAlign w:val="center"/>
            <w:hideMark/>
          </w:tcPr>
          <w:p w14:paraId="5B8048C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(6.93)</w:t>
            </w:r>
          </w:p>
        </w:tc>
        <w:tc>
          <w:tcPr>
            <w:tcW w:w="479" w:type="pct"/>
            <w:tcBorders>
              <w:top w:val="nil"/>
              <w:left w:val="nil"/>
              <w:bottom w:val="nil"/>
              <w:right w:val="nil"/>
            </w:tcBorders>
            <w:shd w:val="clear" w:color="auto" w:fill="auto"/>
            <w:noWrap/>
            <w:vAlign w:val="center"/>
            <w:hideMark/>
          </w:tcPr>
          <w:p w14:paraId="6374CF5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(3.38)</w:t>
            </w:r>
          </w:p>
        </w:tc>
        <w:tc>
          <w:tcPr>
            <w:tcW w:w="495" w:type="pct"/>
            <w:tcBorders>
              <w:top w:val="nil"/>
              <w:left w:val="nil"/>
              <w:bottom w:val="nil"/>
              <w:right w:val="nil"/>
            </w:tcBorders>
            <w:shd w:val="clear" w:color="auto" w:fill="auto"/>
            <w:noWrap/>
            <w:vAlign w:val="center"/>
            <w:hideMark/>
          </w:tcPr>
          <w:p w14:paraId="1342F64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(4.27)</w:t>
            </w:r>
          </w:p>
        </w:tc>
        <w:tc>
          <w:tcPr>
            <w:tcW w:w="545" w:type="pct"/>
            <w:tcBorders>
              <w:top w:val="nil"/>
              <w:left w:val="nil"/>
              <w:bottom w:val="nil"/>
              <w:right w:val="nil"/>
            </w:tcBorders>
            <w:shd w:val="clear" w:color="auto" w:fill="auto"/>
            <w:noWrap/>
            <w:vAlign w:val="center"/>
            <w:hideMark/>
          </w:tcPr>
          <w:p w14:paraId="0AEFBC92"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(4.53)</w:t>
            </w:r>
          </w:p>
        </w:tc>
        <w:tc>
          <w:tcPr>
            <w:tcW w:w="504" w:type="pct"/>
            <w:tcBorders>
              <w:top w:val="nil"/>
              <w:left w:val="nil"/>
              <w:bottom w:val="nil"/>
              <w:right w:val="nil"/>
            </w:tcBorders>
            <w:shd w:val="clear" w:color="auto" w:fill="auto"/>
            <w:noWrap/>
            <w:vAlign w:val="center"/>
            <w:hideMark/>
          </w:tcPr>
          <w:p w14:paraId="2A21E34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(4.68)</w:t>
            </w:r>
          </w:p>
        </w:tc>
        <w:tc>
          <w:tcPr>
            <w:tcW w:w="501" w:type="pct"/>
            <w:tcBorders>
              <w:top w:val="nil"/>
              <w:left w:val="nil"/>
              <w:bottom w:val="nil"/>
              <w:right w:val="nil"/>
            </w:tcBorders>
            <w:shd w:val="clear" w:color="auto" w:fill="auto"/>
            <w:noWrap/>
            <w:vAlign w:val="center"/>
            <w:hideMark/>
          </w:tcPr>
          <w:p w14:paraId="711954D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(4.73)</w:t>
            </w:r>
          </w:p>
        </w:tc>
        <w:tc>
          <w:tcPr>
            <w:tcW w:w="576" w:type="pct"/>
            <w:tcBorders>
              <w:top w:val="nil"/>
              <w:left w:val="nil"/>
              <w:bottom w:val="nil"/>
              <w:right w:val="nil"/>
            </w:tcBorders>
            <w:shd w:val="clear" w:color="auto" w:fill="auto"/>
            <w:noWrap/>
            <w:vAlign w:val="center"/>
            <w:hideMark/>
          </w:tcPr>
          <w:p w14:paraId="73D8967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(5.17)</w:t>
            </w:r>
          </w:p>
        </w:tc>
      </w:tr>
      <w:tr w:rsidR="0038540D" w:rsidRPr="0038540D" w14:paraId="721FCD08"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F1696E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w:t>
            </w:r>
          </w:p>
        </w:tc>
        <w:tc>
          <w:tcPr>
            <w:tcW w:w="573" w:type="pct"/>
            <w:tcBorders>
              <w:top w:val="nil"/>
              <w:left w:val="nil"/>
              <w:bottom w:val="nil"/>
              <w:right w:val="nil"/>
            </w:tcBorders>
            <w:shd w:val="clear" w:color="auto" w:fill="auto"/>
            <w:noWrap/>
            <w:vAlign w:val="center"/>
            <w:hideMark/>
          </w:tcPr>
          <w:p w14:paraId="30A91E66" w14:textId="58B65EFB"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79***</w:t>
            </w:r>
          </w:p>
        </w:tc>
        <w:tc>
          <w:tcPr>
            <w:tcW w:w="549" w:type="pct"/>
            <w:tcBorders>
              <w:top w:val="nil"/>
              <w:left w:val="nil"/>
              <w:bottom w:val="nil"/>
              <w:right w:val="nil"/>
            </w:tcBorders>
            <w:shd w:val="clear" w:color="auto" w:fill="auto"/>
            <w:noWrap/>
            <w:vAlign w:val="center"/>
            <w:hideMark/>
          </w:tcPr>
          <w:p w14:paraId="63000525" w14:textId="29337467"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07</w:t>
            </w:r>
          </w:p>
        </w:tc>
        <w:tc>
          <w:tcPr>
            <w:tcW w:w="479" w:type="pct"/>
            <w:tcBorders>
              <w:top w:val="nil"/>
              <w:left w:val="nil"/>
              <w:bottom w:val="nil"/>
              <w:right w:val="nil"/>
            </w:tcBorders>
            <w:shd w:val="clear" w:color="auto" w:fill="auto"/>
            <w:noWrap/>
            <w:vAlign w:val="center"/>
            <w:hideMark/>
          </w:tcPr>
          <w:p w14:paraId="12D25155" w14:textId="08A476DF"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66**</w:t>
            </w:r>
          </w:p>
        </w:tc>
        <w:tc>
          <w:tcPr>
            <w:tcW w:w="495" w:type="pct"/>
            <w:tcBorders>
              <w:top w:val="nil"/>
              <w:left w:val="nil"/>
              <w:bottom w:val="nil"/>
              <w:right w:val="nil"/>
            </w:tcBorders>
            <w:shd w:val="clear" w:color="auto" w:fill="auto"/>
            <w:noWrap/>
            <w:vAlign w:val="center"/>
            <w:hideMark/>
          </w:tcPr>
          <w:p w14:paraId="2986EB25" w14:textId="3FC324FC"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67**</w:t>
            </w:r>
          </w:p>
        </w:tc>
        <w:tc>
          <w:tcPr>
            <w:tcW w:w="545" w:type="pct"/>
            <w:tcBorders>
              <w:top w:val="nil"/>
              <w:left w:val="nil"/>
              <w:bottom w:val="nil"/>
              <w:right w:val="nil"/>
            </w:tcBorders>
            <w:shd w:val="clear" w:color="auto" w:fill="auto"/>
            <w:noWrap/>
            <w:vAlign w:val="center"/>
            <w:hideMark/>
          </w:tcPr>
          <w:p w14:paraId="37F7A5EF" w14:textId="63C42F2B"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14</w:t>
            </w:r>
          </w:p>
        </w:tc>
        <w:tc>
          <w:tcPr>
            <w:tcW w:w="504" w:type="pct"/>
            <w:tcBorders>
              <w:top w:val="nil"/>
              <w:left w:val="nil"/>
              <w:bottom w:val="nil"/>
              <w:right w:val="nil"/>
            </w:tcBorders>
            <w:shd w:val="clear" w:color="auto" w:fill="auto"/>
            <w:noWrap/>
            <w:vAlign w:val="center"/>
            <w:hideMark/>
          </w:tcPr>
          <w:p w14:paraId="32A5A435" w14:textId="6606982E"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38</w:t>
            </w:r>
          </w:p>
        </w:tc>
        <w:tc>
          <w:tcPr>
            <w:tcW w:w="501" w:type="pct"/>
            <w:tcBorders>
              <w:top w:val="nil"/>
              <w:left w:val="nil"/>
              <w:bottom w:val="nil"/>
              <w:right w:val="nil"/>
            </w:tcBorders>
            <w:shd w:val="clear" w:color="auto" w:fill="auto"/>
            <w:noWrap/>
            <w:vAlign w:val="center"/>
            <w:hideMark/>
          </w:tcPr>
          <w:p w14:paraId="17994BB0" w14:textId="781A6476"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2</w:t>
            </w:r>
            <w:r>
              <w:rPr>
                <w:rFonts w:eastAsia="Times New Roman" w:cs="Times New Roman"/>
                <w:color w:val="000000"/>
              </w:rPr>
              <w:t>.</w:t>
            </w:r>
            <w:r w:rsidR="00BF76B1" w:rsidRPr="0038540D">
              <w:rPr>
                <w:rFonts w:eastAsia="Times New Roman" w:cs="Times New Roman"/>
                <w:color w:val="000000"/>
              </w:rPr>
              <w:t>50***</w:t>
            </w:r>
          </w:p>
        </w:tc>
        <w:tc>
          <w:tcPr>
            <w:tcW w:w="576" w:type="pct"/>
            <w:tcBorders>
              <w:top w:val="nil"/>
              <w:left w:val="nil"/>
              <w:bottom w:val="nil"/>
              <w:right w:val="nil"/>
            </w:tcBorders>
            <w:shd w:val="clear" w:color="auto" w:fill="auto"/>
            <w:noWrap/>
            <w:vAlign w:val="center"/>
            <w:hideMark/>
          </w:tcPr>
          <w:p w14:paraId="6EF96EE2" w14:textId="6B38A708"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2</w:t>
            </w:r>
            <w:r>
              <w:rPr>
                <w:rFonts w:eastAsia="Times New Roman" w:cs="Times New Roman"/>
                <w:color w:val="000000"/>
              </w:rPr>
              <w:t>.</w:t>
            </w:r>
            <w:r w:rsidR="00BF76B1" w:rsidRPr="0038540D">
              <w:rPr>
                <w:rFonts w:eastAsia="Times New Roman" w:cs="Times New Roman"/>
                <w:color w:val="000000"/>
              </w:rPr>
              <w:t>07***</w:t>
            </w:r>
          </w:p>
        </w:tc>
      </w:tr>
      <w:tr w:rsidR="0038540D" w:rsidRPr="0038540D" w14:paraId="382A0DDA"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909B2B4"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1419748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(-3.79)</w:t>
            </w:r>
          </w:p>
        </w:tc>
        <w:tc>
          <w:tcPr>
            <w:tcW w:w="549" w:type="pct"/>
            <w:tcBorders>
              <w:top w:val="nil"/>
              <w:left w:val="nil"/>
              <w:bottom w:val="nil"/>
              <w:right w:val="nil"/>
            </w:tcBorders>
            <w:shd w:val="clear" w:color="auto" w:fill="auto"/>
            <w:noWrap/>
            <w:vAlign w:val="center"/>
            <w:hideMark/>
          </w:tcPr>
          <w:p w14:paraId="2F98A11C"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(0.24)</w:t>
            </w:r>
          </w:p>
        </w:tc>
        <w:tc>
          <w:tcPr>
            <w:tcW w:w="479" w:type="pct"/>
            <w:tcBorders>
              <w:top w:val="nil"/>
              <w:left w:val="nil"/>
              <w:bottom w:val="nil"/>
              <w:right w:val="nil"/>
            </w:tcBorders>
            <w:shd w:val="clear" w:color="auto" w:fill="auto"/>
            <w:noWrap/>
            <w:vAlign w:val="center"/>
            <w:hideMark/>
          </w:tcPr>
          <w:p w14:paraId="0D6973E2"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(-2.00)</w:t>
            </w:r>
          </w:p>
        </w:tc>
        <w:tc>
          <w:tcPr>
            <w:tcW w:w="495" w:type="pct"/>
            <w:tcBorders>
              <w:top w:val="nil"/>
              <w:left w:val="nil"/>
              <w:bottom w:val="nil"/>
              <w:right w:val="nil"/>
            </w:tcBorders>
            <w:shd w:val="clear" w:color="auto" w:fill="auto"/>
            <w:noWrap/>
            <w:vAlign w:val="center"/>
            <w:hideMark/>
          </w:tcPr>
          <w:p w14:paraId="218F6E3C"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(-2.31)</w:t>
            </w:r>
          </w:p>
        </w:tc>
        <w:tc>
          <w:tcPr>
            <w:tcW w:w="545" w:type="pct"/>
            <w:tcBorders>
              <w:top w:val="nil"/>
              <w:left w:val="nil"/>
              <w:bottom w:val="nil"/>
              <w:right w:val="nil"/>
            </w:tcBorders>
            <w:shd w:val="clear" w:color="auto" w:fill="auto"/>
            <w:noWrap/>
            <w:vAlign w:val="center"/>
            <w:hideMark/>
          </w:tcPr>
          <w:p w14:paraId="1684B21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(0.42)</w:t>
            </w:r>
          </w:p>
        </w:tc>
        <w:tc>
          <w:tcPr>
            <w:tcW w:w="504" w:type="pct"/>
            <w:tcBorders>
              <w:top w:val="nil"/>
              <w:left w:val="nil"/>
              <w:bottom w:val="nil"/>
              <w:right w:val="nil"/>
            </w:tcBorders>
            <w:shd w:val="clear" w:color="auto" w:fill="auto"/>
            <w:noWrap/>
            <w:vAlign w:val="center"/>
            <w:hideMark/>
          </w:tcPr>
          <w:p w14:paraId="7BAFE77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(-1.13)</w:t>
            </w:r>
          </w:p>
        </w:tc>
        <w:tc>
          <w:tcPr>
            <w:tcW w:w="501" w:type="pct"/>
            <w:tcBorders>
              <w:top w:val="nil"/>
              <w:left w:val="nil"/>
              <w:bottom w:val="nil"/>
              <w:right w:val="nil"/>
            </w:tcBorders>
            <w:shd w:val="clear" w:color="auto" w:fill="auto"/>
            <w:noWrap/>
            <w:vAlign w:val="center"/>
            <w:hideMark/>
          </w:tcPr>
          <w:p w14:paraId="2650211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(-4.24)</w:t>
            </w:r>
          </w:p>
        </w:tc>
        <w:tc>
          <w:tcPr>
            <w:tcW w:w="576" w:type="pct"/>
            <w:tcBorders>
              <w:top w:val="nil"/>
              <w:left w:val="nil"/>
              <w:bottom w:val="nil"/>
              <w:right w:val="nil"/>
            </w:tcBorders>
            <w:shd w:val="clear" w:color="auto" w:fill="auto"/>
            <w:noWrap/>
            <w:vAlign w:val="center"/>
            <w:hideMark/>
          </w:tcPr>
          <w:p w14:paraId="6B124D3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(-4.77)</w:t>
            </w:r>
          </w:p>
        </w:tc>
      </w:tr>
      <w:tr w:rsidR="0038540D" w:rsidRPr="0038540D" w14:paraId="177BA4B6"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062453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ln(1+AG)*High sequence</w:t>
            </w:r>
          </w:p>
        </w:tc>
        <w:tc>
          <w:tcPr>
            <w:tcW w:w="573" w:type="pct"/>
            <w:tcBorders>
              <w:top w:val="nil"/>
              <w:left w:val="nil"/>
              <w:bottom w:val="nil"/>
              <w:right w:val="nil"/>
            </w:tcBorders>
            <w:shd w:val="clear" w:color="auto" w:fill="auto"/>
            <w:noWrap/>
            <w:vAlign w:val="center"/>
            <w:hideMark/>
          </w:tcPr>
          <w:p w14:paraId="1506A487" w14:textId="1FDAF260"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25**</w:t>
            </w:r>
          </w:p>
        </w:tc>
        <w:tc>
          <w:tcPr>
            <w:tcW w:w="549" w:type="pct"/>
            <w:tcBorders>
              <w:top w:val="nil"/>
              <w:left w:val="nil"/>
              <w:bottom w:val="nil"/>
              <w:right w:val="nil"/>
            </w:tcBorders>
            <w:shd w:val="clear" w:color="auto" w:fill="auto"/>
            <w:noWrap/>
            <w:vAlign w:val="center"/>
            <w:hideMark/>
          </w:tcPr>
          <w:p w14:paraId="3AE29C72" w14:textId="6BF01176"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17</w:t>
            </w:r>
          </w:p>
        </w:tc>
        <w:tc>
          <w:tcPr>
            <w:tcW w:w="479" w:type="pct"/>
            <w:tcBorders>
              <w:top w:val="nil"/>
              <w:left w:val="nil"/>
              <w:bottom w:val="nil"/>
              <w:right w:val="nil"/>
            </w:tcBorders>
            <w:shd w:val="clear" w:color="auto" w:fill="auto"/>
            <w:noWrap/>
            <w:vAlign w:val="center"/>
            <w:hideMark/>
          </w:tcPr>
          <w:p w14:paraId="22988D3E" w14:textId="0F881515"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30**</w:t>
            </w:r>
          </w:p>
        </w:tc>
        <w:tc>
          <w:tcPr>
            <w:tcW w:w="495" w:type="pct"/>
            <w:tcBorders>
              <w:top w:val="nil"/>
              <w:left w:val="nil"/>
              <w:bottom w:val="nil"/>
              <w:right w:val="nil"/>
            </w:tcBorders>
            <w:shd w:val="clear" w:color="auto" w:fill="auto"/>
            <w:noWrap/>
            <w:vAlign w:val="center"/>
            <w:hideMark/>
          </w:tcPr>
          <w:p w14:paraId="516F5678" w14:textId="46B6970D"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25*</w:t>
            </w:r>
          </w:p>
        </w:tc>
        <w:tc>
          <w:tcPr>
            <w:tcW w:w="545" w:type="pct"/>
            <w:tcBorders>
              <w:top w:val="nil"/>
              <w:left w:val="nil"/>
              <w:bottom w:val="nil"/>
              <w:right w:val="nil"/>
            </w:tcBorders>
            <w:shd w:val="clear" w:color="auto" w:fill="auto"/>
            <w:noWrap/>
            <w:vAlign w:val="center"/>
            <w:hideMark/>
          </w:tcPr>
          <w:p w14:paraId="3755165B" w14:textId="1FB626EF"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21</w:t>
            </w:r>
          </w:p>
        </w:tc>
        <w:tc>
          <w:tcPr>
            <w:tcW w:w="504" w:type="pct"/>
            <w:tcBorders>
              <w:top w:val="nil"/>
              <w:left w:val="nil"/>
              <w:bottom w:val="nil"/>
              <w:right w:val="nil"/>
            </w:tcBorders>
            <w:shd w:val="clear" w:color="auto" w:fill="auto"/>
            <w:noWrap/>
            <w:vAlign w:val="center"/>
            <w:hideMark/>
          </w:tcPr>
          <w:p w14:paraId="564775F4" w14:textId="33E5BAA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33***</w:t>
            </w:r>
          </w:p>
        </w:tc>
        <w:tc>
          <w:tcPr>
            <w:tcW w:w="501" w:type="pct"/>
            <w:tcBorders>
              <w:top w:val="nil"/>
              <w:left w:val="nil"/>
              <w:bottom w:val="nil"/>
              <w:right w:val="nil"/>
            </w:tcBorders>
            <w:shd w:val="clear" w:color="auto" w:fill="auto"/>
            <w:noWrap/>
            <w:vAlign w:val="center"/>
            <w:hideMark/>
          </w:tcPr>
          <w:p w14:paraId="0E84E3C4" w14:textId="2BA5F5E4"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18</w:t>
            </w:r>
          </w:p>
        </w:tc>
        <w:tc>
          <w:tcPr>
            <w:tcW w:w="576" w:type="pct"/>
            <w:tcBorders>
              <w:top w:val="nil"/>
              <w:left w:val="nil"/>
              <w:bottom w:val="nil"/>
              <w:right w:val="nil"/>
            </w:tcBorders>
            <w:shd w:val="clear" w:color="auto" w:fill="auto"/>
            <w:noWrap/>
            <w:vAlign w:val="center"/>
            <w:hideMark/>
          </w:tcPr>
          <w:p w14:paraId="1B228CAE" w14:textId="05F7FD7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26**</w:t>
            </w:r>
          </w:p>
        </w:tc>
      </w:tr>
      <w:tr w:rsidR="0038540D" w:rsidRPr="0038540D" w14:paraId="6D06E714"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D6AA81D"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7FC0641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(-2.22)</w:t>
            </w:r>
          </w:p>
        </w:tc>
        <w:tc>
          <w:tcPr>
            <w:tcW w:w="549" w:type="pct"/>
            <w:tcBorders>
              <w:top w:val="nil"/>
              <w:left w:val="nil"/>
              <w:bottom w:val="nil"/>
              <w:right w:val="nil"/>
            </w:tcBorders>
            <w:shd w:val="clear" w:color="auto" w:fill="auto"/>
            <w:noWrap/>
            <w:vAlign w:val="center"/>
            <w:hideMark/>
          </w:tcPr>
          <w:p w14:paraId="12CD5E8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(-1.50)</w:t>
            </w:r>
          </w:p>
        </w:tc>
        <w:tc>
          <w:tcPr>
            <w:tcW w:w="479" w:type="pct"/>
            <w:tcBorders>
              <w:top w:val="nil"/>
              <w:left w:val="nil"/>
              <w:bottom w:val="nil"/>
              <w:right w:val="nil"/>
            </w:tcBorders>
            <w:shd w:val="clear" w:color="auto" w:fill="auto"/>
            <w:noWrap/>
            <w:vAlign w:val="center"/>
            <w:hideMark/>
          </w:tcPr>
          <w:p w14:paraId="6BAFA76C"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(-1.99)</w:t>
            </w:r>
          </w:p>
        </w:tc>
        <w:tc>
          <w:tcPr>
            <w:tcW w:w="495" w:type="pct"/>
            <w:tcBorders>
              <w:top w:val="nil"/>
              <w:left w:val="nil"/>
              <w:bottom w:val="nil"/>
              <w:right w:val="nil"/>
            </w:tcBorders>
            <w:shd w:val="clear" w:color="auto" w:fill="auto"/>
            <w:noWrap/>
            <w:vAlign w:val="center"/>
            <w:hideMark/>
          </w:tcPr>
          <w:p w14:paraId="4CB6C04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(-1.84)</w:t>
            </w:r>
          </w:p>
        </w:tc>
        <w:tc>
          <w:tcPr>
            <w:tcW w:w="545" w:type="pct"/>
            <w:tcBorders>
              <w:top w:val="nil"/>
              <w:left w:val="nil"/>
              <w:bottom w:val="nil"/>
              <w:right w:val="nil"/>
            </w:tcBorders>
            <w:shd w:val="clear" w:color="auto" w:fill="auto"/>
            <w:noWrap/>
            <w:vAlign w:val="center"/>
            <w:hideMark/>
          </w:tcPr>
          <w:p w14:paraId="19FB99A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(-1.46)</w:t>
            </w:r>
          </w:p>
        </w:tc>
        <w:tc>
          <w:tcPr>
            <w:tcW w:w="504" w:type="pct"/>
            <w:tcBorders>
              <w:top w:val="nil"/>
              <w:left w:val="nil"/>
              <w:bottom w:val="nil"/>
              <w:right w:val="nil"/>
            </w:tcBorders>
            <w:shd w:val="clear" w:color="auto" w:fill="auto"/>
            <w:noWrap/>
            <w:vAlign w:val="center"/>
            <w:hideMark/>
          </w:tcPr>
          <w:p w14:paraId="644222B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(-3.04)</w:t>
            </w:r>
          </w:p>
        </w:tc>
        <w:tc>
          <w:tcPr>
            <w:tcW w:w="501" w:type="pct"/>
            <w:tcBorders>
              <w:top w:val="nil"/>
              <w:left w:val="nil"/>
              <w:bottom w:val="nil"/>
              <w:right w:val="nil"/>
            </w:tcBorders>
            <w:shd w:val="clear" w:color="auto" w:fill="auto"/>
            <w:noWrap/>
            <w:vAlign w:val="center"/>
            <w:hideMark/>
          </w:tcPr>
          <w:p w14:paraId="583A7CC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(-1.58)</w:t>
            </w:r>
          </w:p>
        </w:tc>
        <w:tc>
          <w:tcPr>
            <w:tcW w:w="576" w:type="pct"/>
            <w:tcBorders>
              <w:top w:val="nil"/>
              <w:left w:val="nil"/>
              <w:bottom w:val="nil"/>
              <w:right w:val="nil"/>
            </w:tcBorders>
            <w:shd w:val="clear" w:color="auto" w:fill="auto"/>
            <w:noWrap/>
            <w:vAlign w:val="center"/>
            <w:hideMark/>
          </w:tcPr>
          <w:p w14:paraId="56D2B8C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(-2.32)</w:t>
            </w:r>
          </w:p>
        </w:tc>
      </w:tr>
      <w:tr w:rsidR="0038540D" w:rsidRPr="0038540D" w14:paraId="1232A54A"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3CDBED1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ln(1+AG)*Low sequence</w:t>
            </w:r>
          </w:p>
        </w:tc>
        <w:tc>
          <w:tcPr>
            <w:tcW w:w="573" w:type="pct"/>
            <w:tcBorders>
              <w:top w:val="nil"/>
              <w:left w:val="nil"/>
              <w:bottom w:val="nil"/>
              <w:right w:val="nil"/>
            </w:tcBorders>
            <w:shd w:val="clear" w:color="auto" w:fill="auto"/>
            <w:noWrap/>
            <w:vAlign w:val="center"/>
            <w:hideMark/>
          </w:tcPr>
          <w:p w14:paraId="5C236AE3" w14:textId="20B4373B"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29</w:t>
            </w:r>
          </w:p>
        </w:tc>
        <w:tc>
          <w:tcPr>
            <w:tcW w:w="549" w:type="pct"/>
            <w:tcBorders>
              <w:top w:val="nil"/>
              <w:left w:val="nil"/>
              <w:bottom w:val="nil"/>
              <w:right w:val="nil"/>
            </w:tcBorders>
            <w:shd w:val="clear" w:color="auto" w:fill="auto"/>
            <w:noWrap/>
            <w:vAlign w:val="center"/>
            <w:hideMark/>
          </w:tcPr>
          <w:p w14:paraId="55C87702" w14:textId="60E18DA8"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08</w:t>
            </w:r>
          </w:p>
        </w:tc>
        <w:tc>
          <w:tcPr>
            <w:tcW w:w="479" w:type="pct"/>
            <w:tcBorders>
              <w:top w:val="nil"/>
              <w:left w:val="nil"/>
              <w:bottom w:val="nil"/>
              <w:right w:val="nil"/>
            </w:tcBorders>
            <w:shd w:val="clear" w:color="auto" w:fill="auto"/>
            <w:noWrap/>
            <w:vAlign w:val="center"/>
            <w:hideMark/>
          </w:tcPr>
          <w:p w14:paraId="068A5AD3" w14:textId="4243678E"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56</w:t>
            </w:r>
          </w:p>
        </w:tc>
        <w:tc>
          <w:tcPr>
            <w:tcW w:w="495" w:type="pct"/>
            <w:tcBorders>
              <w:top w:val="nil"/>
              <w:left w:val="nil"/>
              <w:bottom w:val="nil"/>
              <w:right w:val="nil"/>
            </w:tcBorders>
            <w:shd w:val="clear" w:color="auto" w:fill="auto"/>
            <w:noWrap/>
            <w:vAlign w:val="center"/>
            <w:hideMark/>
          </w:tcPr>
          <w:p w14:paraId="04CB14FE" w14:textId="44010E2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35</w:t>
            </w:r>
          </w:p>
        </w:tc>
        <w:tc>
          <w:tcPr>
            <w:tcW w:w="545" w:type="pct"/>
            <w:tcBorders>
              <w:top w:val="nil"/>
              <w:left w:val="nil"/>
              <w:bottom w:val="nil"/>
              <w:right w:val="nil"/>
            </w:tcBorders>
            <w:shd w:val="clear" w:color="auto" w:fill="auto"/>
            <w:noWrap/>
            <w:vAlign w:val="center"/>
            <w:hideMark/>
          </w:tcPr>
          <w:p w14:paraId="7DF0FA8F" w14:textId="18582CBB"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1</w:t>
            </w:r>
            <w:r>
              <w:rPr>
                <w:rFonts w:eastAsia="Times New Roman" w:cs="Times New Roman"/>
                <w:color w:val="000000"/>
              </w:rPr>
              <w:t>.</w:t>
            </w:r>
            <w:r w:rsidR="00BF76B1" w:rsidRPr="0038540D">
              <w:rPr>
                <w:rFonts w:eastAsia="Times New Roman" w:cs="Times New Roman"/>
                <w:color w:val="000000"/>
              </w:rPr>
              <w:t>05</w:t>
            </w:r>
          </w:p>
        </w:tc>
        <w:tc>
          <w:tcPr>
            <w:tcW w:w="504" w:type="pct"/>
            <w:tcBorders>
              <w:top w:val="nil"/>
              <w:left w:val="nil"/>
              <w:bottom w:val="nil"/>
              <w:right w:val="nil"/>
            </w:tcBorders>
            <w:shd w:val="clear" w:color="auto" w:fill="auto"/>
            <w:noWrap/>
            <w:vAlign w:val="center"/>
            <w:hideMark/>
          </w:tcPr>
          <w:p w14:paraId="20C9392F" w14:textId="56BB2E80"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35</w:t>
            </w:r>
          </w:p>
        </w:tc>
        <w:tc>
          <w:tcPr>
            <w:tcW w:w="501" w:type="pct"/>
            <w:tcBorders>
              <w:top w:val="nil"/>
              <w:left w:val="nil"/>
              <w:bottom w:val="nil"/>
              <w:right w:val="nil"/>
            </w:tcBorders>
            <w:shd w:val="clear" w:color="auto" w:fill="auto"/>
            <w:noWrap/>
            <w:vAlign w:val="center"/>
            <w:hideMark/>
          </w:tcPr>
          <w:p w14:paraId="62A39604" w14:textId="23216D3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w:t>
            </w:r>
            <w:r>
              <w:rPr>
                <w:rFonts w:eastAsia="Times New Roman" w:cs="Times New Roman"/>
                <w:color w:val="000000"/>
              </w:rPr>
              <w:t>0</w:t>
            </w:r>
          </w:p>
        </w:tc>
        <w:tc>
          <w:tcPr>
            <w:tcW w:w="576" w:type="pct"/>
            <w:tcBorders>
              <w:top w:val="nil"/>
              <w:left w:val="nil"/>
              <w:bottom w:val="nil"/>
              <w:right w:val="nil"/>
            </w:tcBorders>
            <w:shd w:val="clear" w:color="auto" w:fill="auto"/>
            <w:noWrap/>
            <w:vAlign w:val="center"/>
            <w:hideMark/>
          </w:tcPr>
          <w:p w14:paraId="38BEFE68" w14:textId="69CD71F2"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08</w:t>
            </w:r>
          </w:p>
        </w:tc>
      </w:tr>
      <w:tr w:rsidR="0038540D" w:rsidRPr="0038540D" w14:paraId="1383EAB7"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3BFBC2A1"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44665D8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(-1.00)</w:t>
            </w:r>
          </w:p>
        </w:tc>
        <w:tc>
          <w:tcPr>
            <w:tcW w:w="549" w:type="pct"/>
            <w:tcBorders>
              <w:top w:val="nil"/>
              <w:left w:val="nil"/>
              <w:bottom w:val="nil"/>
              <w:right w:val="nil"/>
            </w:tcBorders>
            <w:shd w:val="clear" w:color="auto" w:fill="auto"/>
            <w:noWrap/>
            <w:vAlign w:val="center"/>
            <w:hideMark/>
          </w:tcPr>
          <w:p w14:paraId="261FB38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(-0.29)</w:t>
            </w:r>
          </w:p>
        </w:tc>
        <w:tc>
          <w:tcPr>
            <w:tcW w:w="479" w:type="pct"/>
            <w:tcBorders>
              <w:top w:val="nil"/>
              <w:left w:val="nil"/>
              <w:bottom w:val="nil"/>
              <w:right w:val="nil"/>
            </w:tcBorders>
            <w:shd w:val="clear" w:color="auto" w:fill="auto"/>
            <w:noWrap/>
            <w:vAlign w:val="center"/>
            <w:hideMark/>
          </w:tcPr>
          <w:p w14:paraId="2936281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(1.27)</w:t>
            </w:r>
          </w:p>
        </w:tc>
        <w:tc>
          <w:tcPr>
            <w:tcW w:w="495" w:type="pct"/>
            <w:tcBorders>
              <w:top w:val="nil"/>
              <w:left w:val="nil"/>
              <w:bottom w:val="nil"/>
              <w:right w:val="nil"/>
            </w:tcBorders>
            <w:shd w:val="clear" w:color="auto" w:fill="auto"/>
            <w:noWrap/>
            <w:vAlign w:val="center"/>
            <w:hideMark/>
          </w:tcPr>
          <w:p w14:paraId="1DABE39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(-0.68)</w:t>
            </w:r>
          </w:p>
        </w:tc>
        <w:tc>
          <w:tcPr>
            <w:tcW w:w="545" w:type="pct"/>
            <w:tcBorders>
              <w:top w:val="nil"/>
              <w:left w:val="nil"/>
              <w:bottom w:val="nil"/>
              <w:right w:val="nil"/>
            </w:tcBorders>
            <w:shd w:val="clear" w:color="auto" w:fill="auto"/>
            <w:noWrap/>
            <w:vAlign w:val="center"/>
            <w:hideMark/>
          </w:tcPr>
          <w:p w14:paraId="6647531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(-1.06)</w:t>
            </w:r>
          </w:p>
        </w:tc>
        <w:tc>
          <w:tcPr>
            <w:tcW w:w="504" w:type="pct"/>
            <w:tcBorders>
              <w:top w:val="nil"/>
              <w:left w:val="nil"/>
              <w:bottom w:val="nil"/>
              <w:right w:val="nil"/>
            </w:tcBorders>
            <w:shd w:val="clear" w:color="auto" w:fill="auto"/>
            <w:noWrap/>
            <w:vAlign w:val="center"/>
            <w:hideMark/>
          </w:tcPr>
          <w:p w14:paraId="594BE33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(-1.20)</w:t>
            </w:r>
          </w:p>
        </w:tc>
        <w:tc>
          <w:tcPr>
            <w:tcW w:w="501" w:type="pct"/>
            <w:tcBorders>
              <w:top w:val="nil"/>
              <w:left w:val="nil"/>
              <w:bottom w:val="nil"/>
              <w:right w:val="nil"/>
            </w:tcBorders>
            <w:shd w:val="clear" w:color="auto" w:fill="auto"/>
            <w:noWrap/>
            <w:vAlign w:val="center"/>
            <w:hideMark/>
          </w:tcPr>
          <w:p w14:paraId="4F58757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(-0.71)</w:t>
            </w:r>
          </w:p>
        </w:tc>
        <w:tc>
          <w:tcPr>
            <w:tcW w:w="576" w:type="pct"/>
            <w:tcBorders>
              <w:top w:val="nil"/>
              <w:left w:val="nil"/>
              <w:bottom w:val="nil"/>
              <w:right w:val="nil"/>
            </w:tcBorders>
            <w:shd w:val="clear" w:color="auto" w:fill="auto"/>
            <w:noWrap/>
            <w:vAlign w:val="center"/>
            <w:hideMark/>
          </w:tcPr>
          <w:p w14:paraId="0FA04BA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(-0.27)</w:t>
            </w:r>
          </w:p>
        </w:tc>
      </w:tr>
      <w:tr w:rsidR="0038540D" w:rsidRPr="0038540D" w14:paraId="3F7A85D0"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6D0312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ln(1+AG)*IVOL</w:t>
            </w:r>
          </w:p>
        </w:tc>
        <w:tc>
          <w:tcPr>
            <w:tcW w:w="573" w:type="pct"/>
            <w:tcBorders>
              <w:top w:val="nil"/>
              <w:left w:val="nil"/>
              <w:bottom w:val="nil"/>
              <w:right w:val="nil"/>
            </w:tcBorders>
            <w:shd w:val="clear" w:color="auto" w:fill="auto"/>
            <w:noWrap/>
            <w:vAlign w:val="center"/>
            <w:hideMark/>
          </w:tcPr>
          <w:p w14:paraId="3BFB0B6C"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28F20F0B" w14:textId="3FC78978"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6</w:t>
            </w:r>
            <w:r>
              <w:rPr>
                <w:rFonts w:eastAsia="Times New Roman" w:cs="Times New Roman"/>
                <w:color w:val="000000"/>
              </w:rPr>
              <w:t>.</w:t>
            </w:r>
            <w:r w:rsidR="00BF76B1" w:rsidRPr="0038540D">
              <w:rPr>
                <w:rFonts w:eastAsia="Times New Roman" w:cs="Times New Roman"/>
                <w:color w:val="000000"/>
              </w:rPr>
              <w:t>83***</w:t>
            </w:r>
          </w:p>
        </w:tc>
        <w:tc>
          <w:tcPr>
            <w:tcW w:w="479" w:type="pct"/>
            <w:tcBorders>
              <w:top w:val="nil"/>
              <w:left w:val="nil"/>
              <w:bottom w:val="nil"/>
              <w:right w:val="nil"/>
            </w:tcBorders>
            <w:shd w:val="clear" w:color="auto" w:fill="auto"/>
            <w:noWrap/>
            <w:vAlign w:val="center"/>
            <w:hideMark/>
          </w:tcPr>
          <w:p w14:paraId="6937E68B" w14:textId="77777777" w:rsidR="00BF76B1" w:rsidRPr="0038540D" w:rsidRDefault="00BF76B1" w:rsidP="00B15095">
            <w:pPr>
              <w:jc w:val="center"/>
              <w:rPr>
                <w:rFonts w:eastAsia="Times New Roman" w:cs="Times New Roman"/>
                <w:color w:val="000000"/>
              </w:rPr>
            </w:pPr>
          </w:p>
        </w:tc>
        <w:tc>
          <w:tcPr>
            <w:tcW w:w="495" w:type="pct"/>
            <w:tcBorders>
              <w:top w:val="nil"/>
              <w:left w:val="nil"/>
              <w:bottom w:val="nil"/>
              <w:right w:val="nil"/>
            </w:tcBorders>
            <w:shd w:val="clear" w:color="auto" w:fill="auto"/>
            <w:noWrap/>
            <w:vAlign w:val="center"/>
            <w:hideMark/>
          </w:tcPr>
          <w:p w14:paraId="209462A0"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77985ED3"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2B7AC887"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06BB0E5"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5E6E1077" w14:textId="77777777" w:rsidR="00BF76B1" w:rsidRPr="0038540D" w:rsidRDefault="00BF76B1" w:rsidP="00B15095">
            <w:pPr>
              <w:jc w:val="center"/>
              <w:rPr>
                <w:rFonts w:eastAsia="Times New Roman" w:cs="Times New Roman"/>
              </w:rPr>
            </w:pPr>
          </w:p>
        </w:tc>
      </w:tr>
      <w:tr w:rsidR="0038540D" w:rsidRPr="0038540D" w14:paraId="488919FA"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5A6C5B92"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0A01D62C"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0381F93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(-2.96)</w:t>
            </w:r>
          </w:p>
        </w:tc>
        <w:tc>
          <w:tcPr>
            <w:tcW w:w="479" w:type="pct"/>
            <w:tcBorders>
              <w:top w:val="nil"/>
              <w:left w:val="nil"/>
              <w:bottom w:val="nil"/>
              <w:right w:val="nil"/>
            </w:tcBorders>
            <w:shd w:val="clear" w:color="auto" w:fill="auto"/>
            <w:noWrap/>
            <w:vAlign w:val="center"/>
            <w:hideMark/>
          </w:tcPr>
          <w:p w14:paraId="2C42019B" w14:textId="77777777" w:rsidR="00BF76B1" w:rsidRPr="0038540D" w:rsidRDefault="00BF76B1" w:rsidP="00B15095">
            <w:pPr>
              <w:jc w:val="center"/>
              <w:rPr>
                <w:rFonts w:eastAsia="Times New Roman" w:cs="Times New Roman"/>
                <w:color w:val="000000"/>
              </w:rPr>
            </w:pPr>
          </w:p>
        </w:tc>
        <w:tc>
          <w:tcPr>
            <w:tcW w:w="495" w:type="pct"/>
            <w:tcBorders>
              <w:top w:val="nil"/>
              <w:left w:val="nil"/>
              <w:bottom w:val="nil"/>
              <w:right w:val="nil"/>
            </w:tcBorders>
            <w:shd w:val="clear" w:color="auto" w:fill="auto"/>
            <w:noWrap/>
            <w:vAlign w:val="center"/>
            <w:hideMark/>
          </w:tcPr>
          <w:p w14:paraId="7B44563F"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07AD9EE9"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2AB5F30A"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139886C"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37335D25" w14:textId="77777777" w:rsidR="00BF76B1" w:rsidRPr="0038540D" w:rsidRDefault="00BF76B1" w:rsidP="00B15095">
            <w:pPr>
              <w:jc w:val="center"/>
              <w:rPr>
                <w:rFonts w:eastAsia="Times New Roman" w:cs="Times New Roman"/>
              </w:rPr>
            </w:pPr>
          </w:p>
        </w:tc>
      </w:tr>
      <w:tr w:rsidR="0038540D" w:rsidRPr="0038540D" w14:paraId="473A65B4"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EB654E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ln(1+AG)*BAS</w:t>
            </w:r>
          </w:p>
        </w:tc>
        <w:tc>
          <w:tcPr>
            <w:tcW w:w="573" w:type="pct"/>
            <w:tcBorders>
              <w:top w:val="nil"/>
              <w:left w:val="nil"/>
              <w:bottom w:val="nil"/>
              <w:right w:val="nil"/>
            </w:tcBorders>
            <w:shd w:val="clear" w:color="auto" w:fill="auto"/>
            <w:noWrap/>
            <w:vAlign w:val="center"/>
            <w:hideMark/>
          </w:tcPr>
          <w:p w14:paraId="43E2F309"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74927C0E"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32AE127B" w14:textId="0850FF17"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10</w:t>
            </w:r>
            <w:r>
              <w:rPr>
                <w:rFonts w:eastAsia="Times New Roman" w:cs="Times New Roman"/>
                <w:color w:val="000000"/>
              </w:rPr>
              <w:t>.</w:t>
            </w:r>
            <w:r w:rsidR="00BF76B1" w:rsidRPr="0038540D">
              <w:rPr>
                <w:rFonts w:eastAsia="Times New Roman" w:cs="Times New Roman"/>
                <w:color w:val="000000"/>
              </w:rPr>
              <w:t>12</w:t>
            </w:r>
          </w:p>
        </w:tc>
        <w:tc>
          <w:tcPr>
            <w:tcW w:w="495" w:type="pct"/>
            <w:tcBorders>
              <w:top w:val="nil"/>
              <w:left w:val="nil"/>
              <w:bottom w:val="nil"/>
              <w:right w:val="nil"/>
            </w:tcBorders>
            <w:shd w:val="clear" w:color="auto" w:fill="auto"/>
            <w:noWrap/>
            <w:vAlign w:val="center"/>
            <w:hideMark/>
          </w:tcPr>
          <w:p w14:paraId="5B07DA04" w14:textId="77777777" w:rsidR="00BF76B1" w:rsidRPr="0038540D" w:rsidRDefault="00BF76B1" w:rsidP="00B15095">
            <w:pPr>
              <w:jc w:val="center"/>
              <w:rPr>
                <w:rFonts w:eastAsia="Times New Roman" w:cs="Times New Roman"/>
                <w:color w:val="000000"/>
              </w:rPr>
            </w:pPr>
          </w:p>
        </w:tc>
        <w:tc>
          <w:tcPr>
            <w:tcW w:w="545" w:type="pct"/>
            <w:tcBorders>
              <w:top w:val="nil"/>
              <w:left w:val="nil"/>
              <w:bottom w:val="nil"/>
              <w:right w:val="nil"/>
            </w:tcBorders>
            <w:shd w:val="clear" w:color="auto" w:fill="auto"/>
            <w:noWrap/>
            <w:vAlign w:val="center"/>
            <w:hideMark/>
          </w:tcPr>
          <w:p w14:paraId="5743A36B"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58E12326"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500E5C7E"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51FF38FF" w14:textId="77777777" w:rsidR="00BF76B1" w:rsidRPr="0038540D" w:rsidRDefault="00BF76B1" w:rsidP="00B15095">
            <w:pPr>
              <w:jc w:val="center"/>
              <w:rPr>
                <w:rFonts w:eastAsia="Times New Roman" w:cs="Times New Roman"/>
              </w:rPr>
            </w:pPr>
          </w:p>
        </w:tc>
      </w:tr>
      <w:tr w:rsidR="0038540D" w:rsidRPr="0038540D" w14:paraId="18C815A7"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265C86C7"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46AB58B5"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3676FE7B"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E0D8FA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(-1.07)</w:t>
            </w:r>
          </w:p>
        </w:tc>
        <w:tc>
          <w:tcPr>
            <w:tcW w:w="495" w:type="pct"/>
            <w:tcBorders>
              <w:top w:val="nil"/>
              <w:left w:val="nil"/>
              <w:bottom w:val="nil"/>
              <w:right w:val="nil"/>
            </w:tcBorders>
            <w:shd w:val="clear" w:color="auto" w:fill="auto"/>
            <w:noWrap/>
            <w:vAlign w:val="center"/>
            <w:hideMark/>
          </w:tcPr>
          <w:p w14:paraId="394C9A6A" w14:textId="77777777" w:rsidR="00BF76B1" w:rsidRPr="0038540D" w:rsidRDefault="00BF76B1" w:rsidP="00B15095">
            <w:pPr>
              <w:jc w:val="center"/>
              <w:rPr>
                <w:rFonts w:eastAsia="Times New Roman" w:cs="Times New Roman"/>
                <w:color w:val="000000"/>
              </w:rPr>
            </w:pPr>
          </w:p>
        </w:tc>
        <w:tc>
          <w:tcPr>
            <w:tcW w:w="545" w:type="pct"/>
            <w:tcBorders>
              <w:top w:val="nil"/>
              <w:left w:val="nil"/>
              <w:bottom w:val="nil"/>
              <w:right w:val="nil"/>
            </w:tcBorders>
            <w:shd w:val="clear" w:color="auto" w:fill="auto"/>
            <w:noWrap/>
            <w:vAlign w:val="center"/>
            <w:hideMark/>
          </w:tcPr>
          <w:p w14:paraId="4ACC9672"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25B46743"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14EA32A2"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77A53AA7" w14:textId="77777777" w:rsidR="00BF76B1" w:rsidRPr="0038540D" w:rsidRDefault="00BF76B1" w:rsidP="00B15095">
            <w:pPr>
              <w:jc w:val="center"/>
              <w:rPr>
                <w:rFonts w:eastAsia="Times New Roman" w:cs="Times New Roman"/>
              </w:rPr>
            </w:pPr>
          </w:p>
        </w:tc>
      </w:tr>
      <w:tr w:rsidR="0038540D" w:rsidRPr="0038540D" w14:paraId="0E19380A"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EF35A3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ln(1+AG)*COV</w:t>
            </w:r>
          </w:p>
        </w:tc>
        <w:tc>
          <w:tcPr>
            <w:tcW w:w="573" w:type="pct"/>
            <w:tcBorders>
              <w:top w:val="nil"/>
              <w:left w:val="nil"/>
              <w:bottom w:val="nil"/>
              <w:right w:val="nil"/>
            </w:tcBorders>
            <w:shd w:val="clear" w:color="auto" w:fill="auto"/>
            <w:noWrap/>
            <w:vAlign w:val="center"/>
            <w:hideMark/>
          </w:tcPr>
          <w:p w14:paraId="68D9EDAA"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0B7F773D"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340E28E4"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E43827B" w14:textId="348A7F8C"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02*</w:t>
            </w:r>
          </w:p>
        </w:tc>
        <w:tc>
          <w:tcPr>
            <w:tcW w:w="545" w:type="pct"/>
            <w:tcBorders>
              <w:top w:val="nil"/>
              <w:left w:val="nil"/>
              <w:bottom w:val="nil"/>
              <w:right w:val="nil"/>
            </w:tcBorders>
            <w:shd w:val="clear" w:color="auto" w:fill="auto"/>
            <w:noWrap/>
            <w:vAlign w:val="center"/>
            <w:hideMark/>
          </w:tcPr>
          <w:p w14:paraId="1EF15F62" w14:textId="77777777" w:rsidR="00BF76B1" w:rsidRPr="0038540D" w:rsidRDefault="00BF76B1" w:rsidP="00B15095">
            <w:pPr>
              <w:jc w:val="center"/>
              <w:rPr>
                <w:rFonts w:eastAsia="Times New Roman" w:cs="Times New Roman"/>
                <w:color w:val="000000"/>
              </w:rPr>
            </w:pPr>
          </w:p>
        </w:tc>
        <w:tc>
          <w:tcPr>
            <w:tcW w:w="504" w:type="pct"/>
            <w:tcBorders>
              <w:top w:val="nil"/>
              <w:left w:val="nil"/>
              <w:bottom w:val="nil"/>
              <w:right w:val="nil"/>
            </w:tcBorders>
            <w:shd w:val="clear" w:color="auto" w:fill="auto"/>
            <w:noWrap/>
            <w:vAlign w:val="center"/>
            <w:hideMark/>
          </w:tcPr>
          <w:p w14:paraId="2CE4FD02"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67CAF75D"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7080891E" w14:textId="77777777" w:rsidR="00BF76B1" w:rsidRPr="0038540D" w:rsidRDefault="00BF76B1" w:rsidP="00B15095">
            <w:pPr>
              <w:jc w:val="center"/>
              <w:rPr>
                <w:rFonts w:eastAsia="Times New Roman" w:cs="Times New Roman"/>
              </w:rPr>
            </w:pPr>
          </w:p>
        </w:tc>
      </w:tr>
      <w:tr w:rsidR="0038540D" w:rsidRPr="0038540D" w14:paraId="6D6D661F"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887A016"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06155EA3"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7CDC4364"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29124BAA"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3DED87C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(1.70)</w:t>
            </w:r>
          </w:p>
        </w:tc>
        <w:tc>
          <w:tcPr>
            <w:tcW w:w="545" w:type="pct"/>
            <w:tcBorders>
              <w:top w:val="nil"/>
              <w:left w:val="nil"/>
              <w:bottom w:val="nil"/>
              <w:right w:val="nil"/>
            </w:tcBorders>
            <w:shd w:val="clear" w:color="auto" w:fill="auto"/>
            <w:noWrap/>
            <w:vAlign w:val="center"/>
            <w:hideMark/>
          </w:tcPr>
          <w:p w14:paraId="5C7FDBE0" w14:textId="77777777" w:rsidR="00BF76B1" w:rsidRPr="0038540D" w:rsidRDefault="00BF76B1" w:rsidP="00B15095">
            <w:pPr>
              <w:jc w:val="center"/>
              <w:rPr>
                <w:rFonts w:eastAsia="Times New Roman" w:cs="Times New Roman"/>
                <w:color w:val="000000"/>
              </w:rPr>
            </w:pPr>
          </w:p>
        </w:tc>
        <w:tc>
          <w:tcPr>
            <w:tcW w:w="504" w:type="pct"/>
            <w:tcBorders>
              <w:top w:val="nil"/>
              <w:left w:val="nil"/>
              <w:bottom w:val="nil"/>
              <w:right w:val="nil"/>
            </w:tcBorders>
            <w:shd w:val="clear" w:color="auto" w:fill="auto"/>
            <w:noWrap/>
            <w:vAlign w:val="center"/>
            <w:hideMark/>
          </w:tcPr>
          <w:p w14:paraId="30230BC0"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4B868364"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026B677A" w14:textId="77777777" w:rsidR="00BF76B1" w:rsidRPr="0038540D" w:rsidRDefault="00BF76B1" w:rsidP="00B15095">
            <w:pPr>
              <w:jc w:val="center"/>
              <w:rPr>
                <w:rFonts w:eastAsia="Times New Roman" w:cs="Times New Roman"/>
              </w:rPr>
            </w:pPr>
          </w:p>
        </w:tc>
      </w:tr>
      <w:tr w:rsidR="0038540D" w:rsidRPr="0038540D" w14:paraId="4ACF8B63"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8F392F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ln(1+AG)*DISP</w:t>
            </w:r>
          </w:p>
        </w:tc>
        <w:tc>
          <w:tcPr>
            <w:tcW w:w="573" w:type="pct"/>
            <w:tcBorders>
              <w:top w:val="nil"/>
              <w:left w:val="nil"/>
              <w:bottom w:val="nil"/>
              <w:right w:val="nil"/>
            </w:tcBorders>
            <w:shd w:val="clear" w:color="auto" w:fill="auto"/>
            <w:noWrap/>
            <w:vAlign w:val="center"/>
            <w:hideMark/>
          </w:tcPr>
          <w:p w14:paraId="53593D08"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2187440F"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5D4AB95B"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6B5C3F5"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562B570F" w14:textId="1220033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28</w:t>
            </w:r>
            <w:r>
              <w:rPr>
                <w:rFonts w:eastAsia="Times New Roman" w:cs="Times New Roman"/>
                <w:color w:val="000000"/>
              </w:rPr>
              <w:t>.</w:t>
            </w:r>
            <w:r w:rsidR="00BF76B1" w:rsidRPr="0038540D">
              <w:rPr>
                <w:rFonts w:eastAsia="Times New Roman" w:cs="Times New Roman"/>
                <w:color w:val="000000"/>
              </w:rPr>
              <w:t>93***</w:t>
            </w:r>
          </w:p>
        </w:tc>
        <w:tc>
          <w:tcPr>
            <w:tcW w:w="504" w:type="pct"/>
            <w:tcBorders>
              <w:top w:val="nil"/>
              <w:left w:val="nil"/>
              <w:bottom w:val="nil"/>
              <w:right w:val="nil"/>
            </w:tcBorders>
            <w:shd w:val="clear" w:color="auto" w:fill="auto"/>
            <w:noWrap/>
            <w:vAlign w:val="center"/>
            <w:hideMark/>
          </w:tcPr>
          <w:p w14:paraId="57B7B81C" w14:textId="77777777" w:rsidR="00BF76B1" w:rsidRPr="0038540D" w:rsidRDefault="00BF76B1" w:rsidP="00B15095">
            <w:pPr>
              <w:jc w:val="center"/>
              <w:rPr>
                <w:rFonts w:eastAsia="Times New Roman" w:cs="Times New Roman"/>
                <w:color w:val="000000"/>
              </w:rPr>
            </w:pPr>
          </w:p>
        </w:tc>
        <w:tc>
          <w:tcPr>
            <w:tcW w:w="501" w:type="pct"/>
            <w:tcBorders>
              <w:top w:val="nil"/>
              <w:left w:val="nil"/>
              <w:bottom w:val="nil"/>
              <w:right w:val="nil"/>
            </w:tcBorders>
            <w:shd w:val="clear" w:color="auto" w:fill="auto"/>
            <w:noWrap/>
            <w:vAlign w:val="center"/>
            <w:hideMark/>
          </w:tcPr>
          <w:p w14:paraId="3E1EE5F6"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4268D566" w14:textId="77777777" w:rsidR="00BF76B1" w:rsidRPr="0038540D" w:rsidRDefault="00BF76B1" w:rsidP="00B15095">
            <w:pPr>
              <w:jc w:val="center"/>
              <w:rPr>
                <w:rFonts w:eastAsia="Times New Roman" w:cs="Times New Roman"/>
              </w:rPr>
            </w:pPr>
          </w:p>
        </w:tc>
      </w:tr>
      <w:tr w:rsidR="0038540D" w:rsidRPr="0038540D" w14:paraId="58FC673F"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7232CEF"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3B7F89BE"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26D40B5A"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2FC4408E"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6ED5EA8"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2B55090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(-3.12)</w:t>
            </w:r>
          </w:p>
        </w:tc>
        <w:tc>
          <w:tcPr>
            <w:tcW w:w="504" w:type="pct"/>
            <w:tcBorders>
              <w:top w:val="nil"/>
              <w:left w:val="nil"/>
              <w:bottom w:val="nil"/>
              <w:right w:val="nil"/>
            </w:tcBorders>
            <w:shd w:val="clear" w:color="auto" w:fill="auto"/>
            <w:noWrap/>
            <w:vAlign w:val="center"/>
            <w:hideMark/>
          </w:tcPr>
          <w:p w14:paraId="78493680" w14:textId="77777777" w:rsidR="00BF76B1" w:rsidRPr="0038540D" w:rsidRDefault="00BF76B1" w:rsidP="00B15095">
            <w:pPr>
              <w:jc w:val="center"/>
              <w:rPr>
                <w:rFonts w:eastAsia="Times New Roman" w:cs="Times New Roman"/>
                <w:color w:val="000000"/>
              </w:rPr>
            </w:pPr>
          </w:p>
        </w:tc>
        <w:tc>
          <w:tcPr>
            <w:tcW w:w="501" w:type="pct"/>
            <w:tcBorders>
              <w:top w:val="nil"/>
              <w:left w:val="nil"/>
              <w:bottom w:val="nil"/>
              <w:right w:val="nil"/>
            </w:tcBorders>
            <w:shd w:val="clear" w:color="auto" w:fill="auto"/>
            <w:noWrap/>
            <w:vAlign w:val="center"/>
            <w:hideMark/>
          </w:tcPr>
          <w:p w14:paraId="2BBCB33A"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0134931D" w14:textId="77777777" w:rsidR="00BF76B1" w:rsidRPr="0038540D" w:rsidRDefault="00BF76B1" w:rsidP="00B15095">
            <w:pPr>
              <w:jc w:val="center"/>
              <w:rPr>
                <w:rFonts w:eastAsia="Times New Roman" w:cs="Times New Roman"/>
              </w:rPr>
            </w:pPr>
          </w:p>
        </w:tc>
      </w:tr>
      <w:tr w:rsidR="0038540D" w:rsidRPr="0038540D" w14:paraId="712A112B"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611C01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ln(1+AG)*DVOL</w:t>
            </w:r>
          </w:p>
        </w:tc>
        <w:tc>
          <w:tcPr>
            <w:tcW w:w="573" w:type="pct"/>
            <w:tcBorders>
              <w:top w:val="nil"/>
              <w:left w:val="nil"/>
              <w:bottom w:val="nil"/>
              <w:right w:val="nil"/>
            </w:tcBorders>
            <w:shd w:val="clear" w:color="auto" w:fill="auto"/>
            <w:noWrap/>
            <w:vAlign w:val="center"/>
            <w:hideMark/>
          </w:tcPr>
          <w:p w14:paraId="52022BDC"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38596F0A"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5A059D7C"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2477897F"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18E292BF"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47247969" w14:textId="4528D0AD"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11</w:t>
            </w:r>
          </w:p>
        </w:tc>
        <w:tc>
          <w:tcPr>
            <w:tcW w:w="501" w:type="pct"/>
            <w:tcBorders>
              <w:top w:val="nil"/>
              <w:left w:val="nil"/>
              <w:bottom w:val="nil"/>
              <w:right w:val="nil"/>
            </w:tcBorders>
            <w:shd w:val="clear" w:color="auto" w:fill="auto"/>
            <w:noWrap/>
            <w:vAlign w:val="center"/>
            <w:hideMark/>
          </w:tcPr>
          <w:p w14:paraId="5D528AAF" w14:textId="77777777" w:rsidR="00BF76B1" w:rsidRPr="0038540D" w:rsidRDefault="00BF76B1" w:rsidP="00B15095">
            <w:pPr>
              <w:jc w:val="center"/>
              <w:rPr>
                <w:rFonts w:eastAsia="Times New Roman" w:cs="Times New Roman"/>
                <w:color w:val="000000"/>
              </w:rPr>
            </w:pPr>
          </w:p>
        </w:tc>
        <w:tc>
          <w:tcPr>
            <w:tcW w:w="576" w:type="pct"/>
            <w:tcBorders>
              <w:top w:val="nil"/>
              <w:left w:val="nil"/>
              <w:bottom w:val="nil"/>
              <w:right w:val="nil"/>
            </w:tcBorders>
            <w:shd w:val="clear" w:color="auto" w:fill="auto"/>
            <w:noWrap/>
            <w:vAlign w:val="center"/>
            <w:hideMark/>
          </w:tcPr>
          <w:p w14:paraId="429F37BC" w14:textId="77777777" w:rsidR="00BF76B1" w:rsidRPr="0038540D" w:rsidRDefault="00BF76B1" w:rsidP="00B15095">
            <w:pPr>
              <w:jc w:val="center"/>
              <w:rPr>
                <w:rFonts w:eastAsia="Times New Roman" w:cs="Times New Roman"/>
              </w:rPr>
            </w:pPr>
          </w:p>
        </w:tc>
      </w:tr>
      <w:tr w:rsidR="0038540D" w:rsidRPr="0038540D" w14:paraId="6E56E6CC"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5E191B5"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699FCCF4"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3286A4C0"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726B3A1B"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6A10E47"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3BAD85FF"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0AFA571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(1.64)</w:t>
            </w:r>
          </w:p>
        </w:tc>
        <w:tc>
          <w:tcPr>
            <w:tcW w:w="501" w:type="pct"/>
            <w:tcBorders>
              <w:top w:val="nil"/>
              <w:left w:val="nil"/>
              <w:bottom w:val="nil"/>
              <w:right w:val="nil"/>
            </w:tcBorders>
            <w:shd w:val="clear" w:color="auto" w:fill="auto"/>
            <w:noWrap/>
            <w:vAlign w:val="center"/>
            <w:hideMark/>
          </w:tcPr>
          <w:p w14:paraId="40EAC8F8" w14:textId="77777777" w:rsidR="00BF76B1" w:rsidRPr="0038540D" w:rsidRDefault="00BF76B1" w:rsidP="00B15095">
            <w:pPr>
              <w:jc w:val="center"/>
              <w:rPr>
                <w:rFonts w:eastAsia="Times New Roman" w:cs="Times New Roman"/>
                <w:color w:val="000000"/>
              </w:rPr>
            </w:pPr>
          </w:p>
        </w:tc>
        <w:tc>
          <w:tcPr>
            <w:tcW w:w="576" w:type="pct"/>
            <w:tcBorders>
              <w:top w:val="nil"/>
              <w:left w:val="nil"/>
              <w:bottom w:val="nil"/>
              <w:right w:val="nil"/>
            </w:tcBorders>
            <w:shd w:val="clear" w:color="auto" w:fill="auto"/>
            <w:noWrap/>
            <w:vAlign w:val="center"/>
            <w:hideMark/>
          </w:tcPr>
          <w:p w14:paraId="0A2CA8DD" w14:textId="77777777" w:rsidR="00BF76B1" w:rsidRPr="0038540D" w:rsidRDefault="00BF76B1" w:rsidP="00B15095">
            <w:pPr>
              <w:jc w:val="center"/>
              <w:rPr>
                <w:rFonts w:eastAsia="Times New Roman" w:cs="Times New Roman"/>
              </w:rPr>
            </w:pPr>
          </w:p>
        </w:tc>
      </w:tr>
      <w:tr w:rsidR="0038540D" w:rsidRPr="0038540D" w14:paraId="64A533E2"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6E1090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ln(1+AG)*AGE</w:t>
            </w:r>
          </w:p>
        </w:tc>
        <w:tc>
          <w:tcPr>
            <w:tcW w:w="573" w:type="pct"/>
            <w:tcBorders>
              <w:top w:val="nil"/>
              <w:left w:val="nil"/>
              <w:bottom w:val="nil"/>
              <w:right w:val="nil"/>
            </w:tcBorders>
            <w:shd w:val="clear" w:color="auto" w:fill="auto"/>
            <w:noWrap/>
            <w:vAlign w:val="center"/>
            <w:hideMark/>
          </w:tcPr>
          <w:p w14:paraId="522376F4"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359757B1"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A0BEE1B"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06BA3C42"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31A6572A"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556AC005"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7B5570E1" w14:textId="26475F29"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20***</w:t>
            </w:r>
          </w:p>
        </w:tc>
        <w:tc>
          <w:tcPr>
            <w:tcW w:w="576" w:type="pct"/>
            <w:tcBorders>
              <w:top w:val="nil"/>
              <w:left w:val="nil"/>
              <w:bottom w:val="nil"/>
              <w:right w:val="nil"/>
            </w:tcBorders>
            <w:shd w:val="clear" w:color="auto" w:fill="auto"/>
            <w:noWrap/>
            <w:vAlign w:val="center"/>
            <w:hideMark/>
          </w:tcPr>
          <w:p w14:paraId="17D86B9D" w14:textId="77777777" w:rsidR="00BF76B1" w:rsidRPr="0038540D" w:rsidRDefault="00BF76B1" w:rsidP="00B15095">
            <w:pPr>
              <w:jc w:val="center"/>
              <w:rPr>
                <w:rFonts w:eastAsia="Times New Roman" w:cs="Times New Roman"/>
                <w:color w:val="000000"/>
              </w:rPr>
            </w:pPr>
          </w:p>
        </w:tc>
      </w:tr>
      <w:tr w:rsidR="0038540D" w:rsidRPr="0038540D" w14:paraId="5BF91FC8"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30C45ABD"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77D9E53D"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7D3C5A87"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F69F989"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6F96C66C"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06470C48"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6EAEE11F"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45FF609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(2.63)</w:t>
            </w:r>
          </w:p>
        </w:tc>
        <w:tc>
          <w:tcPr>
            <w:tcW w:w="576" w:type="pct"/>
            <w:tcBorders>
              <w:top w:val="nil"/>
              <w:left w:val="nil"/>
              <w:bottom w:val="nil"/>
              <w:right w:val="nil"/>
            </w:tcBorders>
            <w:shd w:val="clear" w:color="auto" w:fill="auto"/>
            <w:noWrap/>
            <w:vAlign w:val="center"/>
            <w:hideMark/>
          </w:tcPr>
          <w:p w14:paraId="71296448" w14:textId="77777777" w:rsidR="00BF76B1" w:rsidRPr="0038540D" w:rsidRDefault="00BF76B1" w:rsidP="00B15095">
            <w:pPr>
              <w:jc w:val="center"/>
              <w:rPr>
                <w:rFonts w:eastAsia="Times New Roman" w:cs="Times New Roman"/>
                <w:color w:val="000000"/>
              </w:rPr>
            </w:pPr>
          </w:p>
        </w:tc>
      </w:tr>
      <w:tr w:rsidR="0038540D" w:rsidRPr="0038540D" w14:paraId="1EE8A07D"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F451EC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ln(1+AG)*ASSET</w:t>
            </w:r>
          </w:p>
        </w:tc>
        <w:tc>
          <w:tcPr>
            <w:tcW w:w="573" w:type="pct"/>
            <w:tcBorders>
              <w:top w:val="nil"/>
              <w:left w:val="nil"/>
              <w:bottom w:val="nil"/>
              <w:right w:val="nil"/>
            </w:tcBorders>
            <w:shd w:val="clear" w:color="auto" w:fill="auto"/>
            <w:noWrap/>
            <w:vAlign w:val="center"/>
            <w:hideMark/>
          </w:tcPr>
          <w:p w14:paraId="19BAEAC6"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32CD7B2F"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FFB77F8"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3D3619EB"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5F8D2862"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4553138A"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1F216A1B"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5FF04089" w14:textId="622CF869"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26***</w:t>
            </w:r>
          </w:p>
        </w:tc>
      </w:tr>
      <w:tr w:rsidR="0038540D" w:rsidRPr="0038540D" w14:paraId="32A23240"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5D619148"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030F6801"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0115909C"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33596487"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07724DD5"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47208CF4"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46CC410C"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4E847C5"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7E16254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(3.44)</w:t>
            </w:r>
          </w:p>
        </w:tc>
      </w:tr>
      <w:tr w:rsidR="0038540D" w:rsidRPr="0038540D" w14:paraId="045B2BC3"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36E801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High sequence</w:t>
            </w:r>
          </w:p>
        </w:tc>
        <w:tc>
          <w:tcPr>
            <w:tcW w:w="573" w:type="pct"/>
            <w:tcBorders>
              <w:top w:val="nil"/>
              <w:left w:val="nil"/>
              <w:bottom w:val="nil"/>
              <w:right w:val="nil"/>
            </w:tcBorders>
            <w:shd w:val="clear" w:color="auto" w:fill="auto"/>
            <w:noWrap/>
            <w:vAlign w:val="center"/>
            <w:hideMark/>
          </w:tcPr>
          <w:p w14:paraId="1135C196" w14:textId="65596060"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07</w:t>
            </w:r>
          </w:p>
        </w:tc>
        <w:tc>
          <w:tcPr>
            <w:tcW w:w="549" w:type="pct"/>
            <w:tcBorders>
              <w:top w:val="nil"/>
              <w:left w:val="nil"/>
              <w:bottom w:val="nil"/>
              <w:right w:val="nil"/>
            </w:tcBorders>
            <w:shd w:val="clear" w:color="auto" w:fill="auto"/>
            <w:noWrap/>
            <w:vAlign w:val="center"/>
            <w:hideMark/>
          </w:tcPr>
          <w:p w14:paraId="5650644B" w14:textId="455701D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10*</w:t>
            </w:r>
          </w:p>
        </w:tc>
        <w:tc>
          <w:tcPr>
            <w:tcW w:w="479" w:type="pct"/>
            <w:tcBorders>
              <w:top w:val="nil"/>
              <w:left w:val="nil"/>
              <w:bottom w:val="nil"/>
              <w:right w:val="nil"/>
            </w:tcBorders>
            <w:shd w:val="clear" w:color="auto" w:fill="auto"/>
            <w:noWrap/>
            <w:vAlign w:val="center"/>
            <w:hideMark/>
          </w:tcPr>
          <w:p w14:paraId="6524720D" w14:textId="3CC4463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03</w:t>
            </w:r>
          </w:p>
        </w:tc>
        <w:tc>
          <w:tcPr>
            <w:tcW w:w="495" w:type="pct"/>
            <w:tcBorders>
              <w:top w:val="nil"/>
              <w:left w:val="nil"/>
              <w:bottom w:val="nil"/>
              <w:right w:val="nil"/>
            </w:tcBorders>
            <w:shd w:val="clear" w:color="auto" w:fill="auto"/>
            <w:noWrap/>
            <w:vAlign w:val="center"/>
            <w:hideMark/>
          </w:tcPr>
          <w:p w14:paraId="423850A3" w14:textId="12F41102"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07</w:t>
            </w:r>
          </w:p>
        </w:tc>
        <w:tc>
          <w:tcPr>
            <w:tcW w:w="545" w:type="pct"/>
            <w:tcBorders>
              <w:top w:val="nil"/>
              <w:left w:val="nil"/>
              <w:bottom w:val="nil"/>
              <w:right w:val="nil"/>
            </w:tcBorders>
            <w:shd w:val="clear" w:color="auto" w:fill="auto"/>
            <w:noWrap/>
            <w:vAlign w:val="center"/>
            <w:hideMark/>
          </w:tcPr>
          <w:p w14:paraId="057A56FC" w14:textId="62274532"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08</w:t>
            </w:r>
          </w:p>
        </w:tc>
        <w:tc>
          <w:tcPr>
            <w:tcW w:w="504" w:type="pct"/>
            <w:tcBorders>
              <w:top w:val="nil"/>
              <w:left w:val="nil"/>
              <w:bottom w:val="nil"/>
              <w:right w:val="nil"/>
            </w:tcBorders>
            <w:shd w:val="clear" w:color="auto" w:fill="auto"/>
            <w:noWrap/>
            <w:vAlign w:val="center"/>
            <w:hideMark/>
          </w:tcPr>
          <w:p w14:paraId="4167A5E3" w14:textId="20DCDC0B"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08</w:t>
            </w:r>
          </w:p>
        </w:tc>
        <w:tc>
          <w:tcPr>
            <w:tcW w:w="501" w:type="pct"/>
            <w:tcBorders>
              <w:top w:val="nil"/>
              <w:left w:val="nil"/>
              <w:bottom w:val="nil"/>
              <w:right w:val="nil"/>
            </w:tcBorders>
            <w:shd w:val="clear" w:color="auto" w:fill="auto"/>
            <w:noWrap/>
            <w:vAlign w:val="center"/>
            <w:hideMark/>
          </w:tcPr>
          <w:p w14:paraId="4053D2FA" w14:textId="4B8324C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09</w:t>
            </w:r>
          </w:p>
        </w:tc>
        <w:tc>
          <w:tcPr>
            <w:tcW w:w="576" w:type="pct"/>
            <w:tcBorders>
              <w:top w:val="nil"/>
              <w:left w:val="nil"/>
              <w:bottom w:val="nil"/>
              <w:right w:val="nil"/>
            </w:tcBorders>
            <w:shd w:val="clear" w:color="auto" w:fill="auto"/>
            <w:noWrap/>
            <w:vAlign w:val="center"/>
            <w:hideMark/>
          </w:tcPr>
          <w:p w14:paraId="6AD18EAB" w14:textId="11E0A1EE"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07</w:t>
            </w:r>
          </w:p>
        </w:tc>
      </w:tr>
      <w:tr w:rsidR="0038540D" w:rsidRPr="0038540D" w14:paraId="6138D9FA"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38AA9236"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02B7E83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(-1.18)</w:t>
            </w:r>
          </w:p>
        </w:tc>
        <w:tc>
          <w:tcPr>
            <w:tcW w:w="549" w:type="pct"/>
            <w:tcBorders>
              <w:top w:val="nil"/>
              <w:left w:val="nil"/>
              <w:bottom w:val="nil"/>
              <w:right w:val="nil"/>
            </w:tcBorders>
            <w:shd w:val="clear" w:color="auto" w:fill="auto"/>
            <w:noWrap/>
            <w:vAlign w:val="center"/>
            <w:hideMark/>
          </w:tcPr>
          <w:p w14:paraId="6453CA6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(-1.94)</w:t>
            </w:r>
          </w:p>
        </w:tc>
        <w:tc>
          <w:tcPr>
            <w:tcW w:w="479" w:type="pct"/>
            <w:tcBorders>
              <w:top w:val="nil"/>
              <w:left w:val="nil"/>
              <w:bottom w:val="nil"/>
              <w:right w:val="nil"/>
            </w:tcBorders>
            <w:shd w:val="clear" w:color="auto" w:fill="auto"/>
            <w:noWrap/>
            <w:vAlign w:val="center"/>
            <w:hideMark/>
          </w:tcPr>
          <w:p w14:paraId="7D890ED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(-0.28)</w:t>
            </w:r>
          </w:p>
        </w:tc>
        <w:tc>
          <w:tcPr>
            <w:tcW w:w="495" w:type="pct"/>
            <w:tcBorders>
              <w:top w:val="nil"/>
              <w:left w:val="nil"/>
              <w:bottom w:val="nil"/>
              <w:right w:val="nil"/>
            </w:tcBorders>
            <w:shd w:val="clear" w:color="auto" w:fill="auto"/>
            <w:noWrap/>
            <w:vAlign w:val="center"/>
            <w:hideMark/>
          </w:tcPr>
          <w:p w14:paraId="0E0B1FC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(-1.22)</w:t>
            </w:r>
          </w:p>
        </w:tc>
        <w:tc>
          <w:tcPr>
            <w:tcW w:w="545" w:type="pct"/>
            <w:tcBorders>
              <w:top w:val="nil"/>
              <w:left w:val="nil"/>
              <w:bottom w:val="nil"/>
              <w:right w:val="nil"/>
            </w:tcBorders>
            <w:shd w:val="clear" w:color="auto" w:fill="auto"/>
            <w:noWrap/>
            <w:vAlign w:val="center"/>
            <w:hideMark/>
          </w:tcPr>
          <w:p w14:paraId="5BCEEED5"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(-1.28)</w:t>
            </w:r>
          </w:p>
        </w:tc>
        <w:tc>
          <w:tcPr>
            <w:tcW w:w="504" w:type="pct"/>
            <w:tcBorders>
              <w:top w:val="nil"/>
              <w:left w:val="nil"/>
              <w:bottom w:val="nil"/>
              <w:right w:val="nil"/>
            </w:tcBorders>
            <w:shd w:val="clear" w:color="auto" w:fill="auto"/>
            <w:noWrap/>
            <w:vAlign w:val="center"/>
            <w:hideMark/>
          </w:tcPr>
          <w:p w14:paraId="2CAD3D8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(-1.34)</w:t>
            </w:r>
          </w:p>
        </w:tc>
        <w:tc>
          <w:tcPr>
            <w:tcW w:w="501" w:type="pct"/>
            <w:tcBorders>
              <w:top w:val="nil"/>
              <w:left w:val="nil"/>
              <w:bottom w:val="nil"/>
              <w:right w:val="nil"/>
            </w:tcBorders>
            <w:shd w:val="clear" w:color="auto" w:fill="auto"/>
            <w:noWrap/>
            <w:vAlign w:val="center"/>
            <w:hideMark/>
          </w:tcPr>
          <w:p w14:paraId="0D1EC10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(-1.51)</w:t>
            </w:r>
          </w:p>
        </w:tc>
        <w:tc>
          <w:tcPr>
            <w:tcW w:w="576" w:type="pct"/>
            <w:tcBorders>
              <w:top w:val="nil"/>
              <w:left w:val="nil"/>
              <w:bottom w:val="nil"/>
              <w:right w:val="nil"/>
            </w:tcBorders>
            <w:shd w:val="clear" w:color="auto" w:fill="auto"/>
            <w:noWrap/>
            <w:vAlign w:val="center"/>
            <w:hideMark/>
          </w:tcPr>
          <w:p w14:paraId="6FDF3673"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(-1.12)</w:t>
            </w:r>
          </w:p>
        </w:tc>
      </w:tr>
      <w:tr w:rsidR="0038540D" w:rsidRPr="0038540D" w14:paraId="24A4068B"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5D0F43E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Low sequence</w:t>
            </w:r>
          </w:p>
        </w:tc>
        <w:tc>
          <w:tcPr>
            <w:tcW w:w="573" w:type="pct"/>
            <w:tcBorders>
              <w:top w:val="nil"/>
              <w:left w:val="nil"/>
              <w:bottom w:val="nil"/>
              <w:right w:val="nil"/>
            </w:tcBorders>
            <w:shd w:val="clear" w:color="auto" w:fill="auto"/>
            <w:noWrap/>
            <w:vAlign w:val="center"/>
            <w:hideMark/>
          </w:tcPr>
          <w:p w14:paraId="2DADE1D2" w14:textId="19D9A758"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04</w:t>
            </w:r>
          </w:p>
        </w:tc>
        <w:tc>
          <w:tcPr>
            <w:tcW w:w="549" w:type="pct"/>
            <w:tcBorders>
              <w:top w:val="nil"/>
              <w:left w:val="nil"/>
              <w:bottom w:val="nil"/>
              <w:right w:val="nil"/>
            </w:tcBorders>
            <w:shd w:val="clear" w:color="auto" w:fill="auto"/>
            <w:noWrap/>
            <w:vAlign w:val="center"/>
            <w:hideMark/>
          </w:tcPr>
          <w:p w14:paraId="02BCFF66" w14:textId="6C8ED525" w:rsidR="00BF76B1" w:rsidRPr="0038540D" w:rsidRDefault="00DD51B9" w:rsidP="00B15095">
            <w:pPr>
              <w:jc w:val="center"/>
              <w:rPr>
                <w:rFonts w:eastAsia="Times New Roman" w:cs="Times New Roman"/>
                <w:color w:val="000000"/>
              </w:rPr>
            </w:pPr>
            <w:r>
              <w:rPr>
                <w:rFonts w:eastAsia="Times New Roman" w:cs="Times New Roman"/>
                <w:color w:val="000000"/>
              </w:rPr>
              <w:t>0.</w:t>
            </w:r>
            <w:r w:rsidR="00BF76B1" w:rsidRPr="0038540D">
              <w:rPr>
                <w:rFonts w:eastAsia="Times New Roman" w:cs="Times New Roman"/>
                <w:color w:val="000000"/>
              </w:rPr>
              <w:t>06</w:t>
            </w:r>
          </w:p>
        </w:tc>
        <w:tc>
          <w:tcPr>
            <w:tcW w:w="479" w:type="pct"/>
            <w:tcBorders>
              <w:top w:val="nil"/>
              <w:left w:val="nil"/>
              <w:bottom w:val="nil"/>
              <w:right w:val="nil"/>
            </w:tcBorders>
            <w:shd w:val="clear" w:color="auto" w:fill="auto"/>
            <w:noWrap/>
            <w:vAlign w:val="center"/>
            <w:hideMark/>
          </w:tcPr>
          <w:p w14:paraId="279E91D2" w14:textId="2559DC70"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07</w:t>
            </w:r>
          </w:p>
        </w:tc>
        <w:tc>
          <w:tcPr>
            <w:tcW w:w="495" w:type="pct"/>
            <w:tcBorders>
              <w:top w:val="nil"/>
              <w:left w:val="nil"/>
              <w:bottom w:val="nil"/>
              <w:right w:val="nil"/>
            </w:tcBorders>
            <w:shd w:val="clear" w:color="auto" w:fill="auto"/>
            <w:noWrap/>
            <w:vAlign w:val="center"/>
            <w:hideMark/>
          </w:tcPr>
          <w:p w14:paraId="094CEDC0" w14:textId="14389E6F"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05</w:t>
            </w:r>
          </w:p>
        </w:tc>
        <w:tc>
          <w:tcPr>
            <w:tcW w:w="545" w:type="pct"/>
            <w:tcBorders>
              <w:top w:val="nil"/>
              <w:left w:val="nil"/>
              <w:bottom w:val="nil"/>
              <w:right w:val="nil"/>
            </w:tcBorders>
            <w:shd w:val="clear" w:color="auto" w:fill="auto"/>
            <w:noWrap/>
            <w:vAlign w:val="center"/>
            <w:hideMark/>
          </w:tcPr>
          <w:p w14:paraId="67499BAA" w14:textId="190C3A1E"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09</w:t>
            </w:r>
          </w:p>
        </w:tc>
        <w:tc>
          <w:tcPr>
            <w:tcW w:w="504" w:type="pct"/>
            <w:tcBorders>
              <w:top w:val="nil"/>
              <w:left w:val="nil"/>
              <w:bottom w:val="nil"/>
              <w:right w:val="nil"/>
            </w:tcBorders>
            <w:shd w:val="clear" w:color="auto" w:fill="auto"/>
            <w:noWrap/>
            <w:vAlign w:val="center"/>
            <w:hideMark/>
          </w:tcPr>
          <w:p w14:paraId="0DE5BC73" w14:textId="7C294340"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05</w:t>
            </w:r>
          </w:p>
        </w:tc>
        <w:tc>
          <w:tcPr>
            <w:tcW w:w="501" w:type="pct"/>
            <w:tcBorders>
              <w:top w:val="nil"/>
              <w:left w:val="nil"/>
              <w:bottom w:val="nil"/>
              <w:right w:val="nil"/>
            </w:tcBorders>
            <w:shd w:val="clear" w:color="auto" w:fill="auto"/>
            <w:noWrap/>
            <w:vAlign w:val="center"/>
            <w:hideMark/>
          </w:tcPr>
          <w:p w14:paraId="417B4CA3" w14:textId="02C90062"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04</w:t>
            </w:r>
          </w:p>
        </w:tc>
        <w:tc>
          <w:tcPr>
            <w:tcW w:w="576" w:type="pct"/>
            <w:tcBorders>
              <w:top w:val="nil"/>
              <w:left w:val="nil"/>
              <w:bottom w:val="nil"/>
              <w:right w:val="nil"/>
            </w:tcBorders>
            <w:shd w:val="clear" w:color="auto" w:fill="auto"/>
            <w:noWrap/>
            <w:vAlign w:val="center"/>
            <w:hideMark/>
          </w:tcPr>
          <w:p w14:paraId="3237E048" w14:textId="66A18B33"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06</w:t>
            </w:r>
          </w:p>
        </w:tc>
      </w:tr>
      <w:tr w:rsidR="0038540D" w:rsidRPr="0038540D" w14:paraId="70EDCDA2"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39BDAE9"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4D2A035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(0.72)</w:t>
            </w:r>
          </w:p>
        </w:tc>
        <w:tc>
          <w:tcPr>
            <w:tcW w:w="549" w:type="pct"/>
            <w:tcBorders>
              <w:top w:val="nil"/>
              <w:left w:val="nil"/>
              <w:bottom w:val="nil"/>
              <w:right w:val="nil"/>
            </w:tcBorders>
            <w:shd w:val="clear" w:color="auto" w:fill="auto"/>
            <w:noWrap/>
            <w:vAlign w:val="center"/>
            <w:hideMark/>
          </w:tcPr>
          <w:p w14:paraId="5FD02E7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(1.14)</w:t>
            </w:r>
          </w:p>
        </w:tc>
        <w:tc>
          <w:tcPr>
            <w:tcW w:w="479" w:type="pct"/>
            <w:tcBorders>
              <w:top w:val="nil"/>
              <w:left w:val="nil"/>
              <w:bottom w:val="nil"/>
              <w:right w:val="nil"/>
            </w:tcBorders>
            <w:shd w:val="clear" w:color="auto" w:fill="auto"/>
            <w:noWrap/>
            <w:vAlign w:val="center"/>
            <w:hideMark/>
          </w:tcPr>
          <w:p w14:paraId="5093C56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(0.74)</w:t>
            </w:r>
          </w:p>
        </w:tc>
        <w:tc>
          <w:tcPr>
            <w:tcW w:w="495" w:type="pct"/>
            <w:tcBorders>
              <w:top w:val="nil"/>
              <w:left w:val="nil"/>
              <w:bottom w:val="nil"/>
              <w:right w:val="nil"/>
            </w:tcBorders>
            <w:shd w:val="clear" w:color="auto" w:fill="auto"/>
            <w:noWrap/>
            <w:vAlign w:val="center"/>
            <w:hideMark/>
          </w:tcPr>
          <w:p w14:paraId="5009CEE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(0.79)</w:t>
            </w:r>
          </w:p>
        </w:tc>
        <w:tc>
          <w:tcPr>
            <w:tcW w:w="545" w:type="pct"/>
            <w:tcBorders>
              <w:top w:val="nil"/>
              <w:left w:val="nil"/>
              <w:bottom w:val="nil"/>
              <w:right w:val="nil"/>
            </w:tcBorders>
            <w:shd w:val="clear" w:color="auto" w:fill="auto"/>
            <w:noWrap/>
            <w:vAlign w:val="center"/>
            <w:hideMark/>
          </w:tcPr>
          <w:p w14:paraId="2353216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(1.29)</w:t>
            </w:r>
          </w:p>
        </w:tc>
        <w:tc>
          <w:tcPr>
            <w:tcW w:w="504" w:type="pct"/>
            <w:tcBorders>
              <w:top w:val="nil"/>
              <w:left w:val="nil"/>
              <w:bottom w:val="nil"/>
              <w:right w:val="nil"/>
            </w:tcBorders>
            <w:shd w:val="clear" w:color="auto" w:fill="auto"/>
            <w:noWrap/>
            <w:vAlign w:val="center"/>
            <w:hideMark/>
          </w:tcPr>
          <w:p w14:paraId="473529B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(0.86)</w:t>
            </w:r>
          </w:p>
        </w:tc>
        <w:tc>
          <w:tcPr>
            <w:tcW w:w="501" w:type="pct"/>
            <w:tcBorders>
              <w:top w:val="nil"/>
              <w:left w:val="nil"/>
              <w:bottom w:val="nil"/>
              <w:right w:val="nil"/>
            </w:tcBorders>
            <w:shd w:val="clear" w:color="auto" w:fill="auto"/>
            <w:noWrap/>
            <w:vAlign w:val="center"/>
            <w:hideMark/>
          </w:tcPr>
          <w:p w14:paraId="5D8DF4EC"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(0.82)</w:t>
            </w:r>
          </w:p>
        </w:tc>
        <w:tc>
          <w:tcPr>
            <w:tcW w:w="576" w:type="pct"/>
            <w:tcBorders>
              <w:top w:val="nil"/>
              <w:left w:val="nil"/>
              <w:bottom w:val="nil"/>
              <w:right w:val="nil"/>
            </w:tcBorders>
            <w:shd w:val="clear" w:color="auto" w:fill="auto"/>
            <w:noWrap/>
            <w:vAlign w:val="center"/>
            <w:hideMark/>
          </w:tcPr>
          <w:p w14:paraId="29F9D85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(1.18)</w:t>
            </w:r>
          </w:p>
        </w:tc>
      </w:tr>
      <w:tr w:rsidR="0038540D" w:rsidRPr="0038540D" w14:paraId="25932FD8"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DF6B0F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IVOL</w:t>
            </w:r>
          </w:p>
        </w:tc>
        <w:tc>
          <w:tcPr>
            <w:tcW w:w="573" w:type="pct"/>
            <w:tcBorders>
              <w:top w:val="nil"/>
              <w:left w:val="nil"/>
              <w:bottom w:val="nil"/>
              <w:right w:val="nil"/>
            </w:tcBorders>
            <w:shd w:val="clear" w:color="auto" w:fill="auto"/>
            <w:noWrap/>
            <w:vAlign w:val="center"/>
            <w:hideMark/>
          </w:tcPr>
          <w:p w14:paraId="2BF0E4E7"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538A49A8" w14:textId="16A012A8"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39</w:t>
            </w:r>
          </w:p>
        </w:tc>
        <w:tc>
          <w:tcPr>
            <w:tcW w:w="479" w:type="pct"/>
            <w:tcBorders>
              <w:top w:val="nil"/>
              <w:left w:val="nil"/>
              <w:bottom w:val="nil"/>
              <w:right w:val="nil"/>
            </w:tcBorders>
            <w:shd w:val="clear" w:color="auto" w:fill="auto"/>
            <w:noWrap/>
            <w:vAlign w:val="center"/>
            <w:hideMark/>
          </w:tcPr>
          <w:p w14:paraId="7B38A6C4" w14:textId="77777777" w:rsidR="00BF76B1" w:rsidRPr="0038540D" w:rsidRDefault="00BF76B1" w:rsidP="00B15095">
            <w:pPr>
              <w:jc w:val="center"/>
              <w:rPr>
                <w:rFonts w:eastAsia="Times New Roman" w:cs="Times New Roman"/>
                <w:color w:val="000000"/>
              </w:rPr>
            </w:pPr>
          </w:p>
        </w:tc>
        <w:tc>
          <w:tcPr>
            <w:tcW w:w="495" w:type="pct"/>
            <w:tcBorders>
              <w:top w:val="nil"/>
              <w:left w:val="nil"/>
              <w:bottom w:val="nil"/>
              <w:right w:val="nil"/>
            </w:tcBorders>
            <w:shd w:val="clear" w:color="auto" w:fill="auto"/>
            <w:noWrap/>
            <w:vAlign w:val="center"/>
            <w:hideMark/>
          </w:tcPr>
          <w:p w14:paraId="4762AD41"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2F9D80CA"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4862879F"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06F9A81F"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32B35A12" w14:textId="77777777" w:rsidR="00BF76B1" w:rsidRPr="0038540D" w:rsidRDefault="00BF76B1" w:rsidP="00B15095">
            <w:pPr>
              <w:jc w:val="center"/>
              <w:rPr>
                <w:rFonts w:eastAsia="Times New Roman" w:cs="Times New Roman"/>
              </w:rPr>
            </w:pPr>
          </w:p>
        </w:tc>
      </w:tr>
      <w:tr w:rsidR="0038540D" w:rsidRPr="0038540D" w14:paraId="3938D0A2"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A9F3A00"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6980E53E"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10E7742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(0.26)</w:t>
            </w:r>
          </w:p>
        </w:tc>
        <w:tc>
          <w:tcPr>
            <w:tcW w:w="479" w:type="pct"/>
            <w:tcBorders>
              <w:top w:val="nil"/>
              <w:left w:val="nil"/>
              <w:bottom w:val="nil"/>
              <w:right w:val="nil"/>
            </w:tcBorders>
            <w:shd w:val="clear" w:color="auto" w:fill="auto"/>
            <w:noWrap/>
            <w:vAlign w:val="center"/>
            <w:hideMark/>
          </w:tcPr>
          <w:p w14:paraId="1A600D4F" w14:textId="77777777" w:rsidR="00BF76B1" w:rsidRPr="0038540D" w:rsidRDefault="00BF76B1" w:rsidP="00B15095">
            <w:pPr>
              <w:jc w:val="center"/>
              <w:rPr>
                <w:rFonts w:eastAsia="Times New Roman" w:cs="Times New Roman"/>
                <w:color w:val="000000"/>
              </w:rPr>
            </w:pPr>
          </w:p>
        </w:tc>
        <w:tc>
          <w:tcPr>
            <w:tcW w:w="495" w:type="pct"/>
            <w:tcBorders>
              <w:top w:val="nil"/>
              <w:left w:val="nil"/>
              <w:bottom w:val="nil"/>
              <w:right w:val="nil"/>
            </w:tcBorders>
            <w:shd w:val="clear" w:color="auto" w:fill="auto"/>
            <w:noWrap/>
            <w:vAlign w:val="center"/>
            <w:hideMark/>
          </w:tcPr>
          <w:p w14:paraId="71EB3CF4"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688E51C0"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36E32F5B"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449C9285"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45ADD7B3" w14:textId="77777777" w:rsidR="00BF76B1" w:rsidRPr="0038540D" w:rsidRDefault="00BF76B1" w:rsidP="00B15095">
            <w:pPr>
              <w:jc w:val="center"/>
              <w:rPr>
                <w:rFonts w:eastAsia="Times New Roman" w:cs="Times New Roman"/>
              </w:rPr>
            </w:pPr>
          </w:p>
        </w:tc>
      </w:tr>
      <w:tr w:rsidR="0038540D" w:rsidRPr="0038540D" w14:paraId="098D83FC"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53A8B23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BAS</w:t>
            </w:r>
          </w:p>
        </w:tc>
        <w:tc>
          <w:tcPr>
            <w:tcW w:w="573" w:type="pct"/>
            <w:tcBorders>
              <w:top w:val="nil"/>
              <w:left w:val="nil"/>
              <w:bottom w:val="nil"/>
              <w:right w:val="nil"/>
            </w:tcBorders>
            <w:shd w:val="clear" w:color="auto" w:fill="auto"/>
            <w:noWrap/>
            <w:vAlign w:val="center"/>
            <w:hideMark/>
          </w:tcPr>
          <w:p w14:paraId="09C8C564"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76493AA8"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725C3B1C" w14:textId="54D926C7" w:rsidR="00BF76B1" w:rsidRPr="0038540D" w:rsidRDefault="00BF76B1" w:rsidP="00B15095">
            <w:pPr>
              <w:jc w:val="center"/>
              <w:rPr>
                <w:rFonts w:eastAsia="Times New Roman" w:cs="Times New Roman"/>
                <w:color w:val="000000"/>
              </w:rPr>
            </w:pPr>
            <w:r w:rsidRPr="0038540D">
              <w:rPr>
                <w:rFonts w:eastAsia="Times New Roman" w:cs="Times New Roman"/>
                <w:color w:val="000000"/>
              </w:rPr>
              <w:t>3</w:t>
            </w:r>
            <w:r w:rsidR="00DD51B9">
              <w:rPr>
                <w:rFonts w:eastAsia="Times New Roman" w:cs="Times New Roman"/>
                <w:color w:val="000000"/>
              </w:rPr>
              <w:t>.</w:t>
            </w:r>
            <w:r w:rsidRPr="0038540D">
              <w:rPr>
                <w:rFonts w:eastAsia="Times New Roman" w:cs="Times New Roman"/>
                <w:color w:val="000000"/>
              </w:rPr>
              <w:t>92</w:t>
            </w:r>
          </w:p>
        </w:tc>
        <w:tc>
          <w:tcPr>
            <w:tcW w:w="495" w:type="pct"/>
            <w:tcBorders>
              <w:top w:val="nil"/>
              <w:left w:val="nil"/>
              <w:bottom w:val="nil"/>
              <w:right w:val="nil"/>
            </w:tcBorders>
            <w:shd w:val="clear" w:color="auto" w:fill="auto"/>
            <w:noWrap/>
            <w:vAlign w:val="center"/>
            <w:hideMark/>
          </w:tcPr>
          <w:p w14:paraId="57549995" w14:textId="77777777" w:rsidR="00BF76B1" w:rsidRPr="0038540D" w:rsidRDefault="00BF76B1" w:rsidP="00B15095">
            <w:pPr>
              <w:jc w:val="center"/>
              <w:rPr>
                <w:rFonts w:eastAsia="Times New Roman" w:cs="Times New Roman"/>
                <w:color w:val="000000"/>
              </w:rPr>
            </w:pPr>
          </w:p>
        </w:tc>
        <w:tc>
          <w:tcPr>
            <w:tcW w:w="545" w:type="pct"/>
            <w:tcBorders>
              <w:top w:val="nil"/>
              <w:left w:val="nil"/>
              <w:bottom w:val="nil"/>
              <w:right w:val="nil"/>
            </w:tcBorders>
            <w:shd w:val="clear" w:color="auto" w:fill="auto"/>
            <w:noWrap/>
            <w:vAlign w:val="center"/>
            <w:hideMark/>
          </w:tcPr>
          <w:p w14:paraId="6394BF12"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5C72FC7D"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424D3747"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274E7FE7" w14:textId="77777777" w:rsidR="00BF76B1" w:rsidRPr="0038540D" w:rsidRDefault="00BF76B1" w:rsidP="00B15095">
            <w:pPr>
              <w:jc w:val="center"/>
              <w:rPr>
                <w:rFonts w:eastAsia="Times New Roman" w:cs="Times New Roman"/>
              </w:rPr>
            </w:pPr>
          </w:p>
        </w:tc>
      </w:tr>
      <w:tr w:rsidR="0038540D" w:rsidRPr="0038540D" w14:paraId="1FA2BB10"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150CFD77"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2E648A6F"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621F93BF"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7073F4E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(0.86)</w:t>
            </w:r>
          </w:p>
        </w:tc>
        <w:tc>
          <w:tcPr>
            <w:tcW w:w="495" w:type="pct"/>
            <w:tcBorders>
              <w:top w:val="nil"/>
              <w:left w:val="nil"/>
              <w:bottom w:val="nil"/>
              <w:right w:val="nil"/>
            </w:tcBorders>
            <w:shd w:val="clear" w:color="auto" w:fill="auto"/>
            <w:noWrap/>
            <w:vAlign w:val="center"/>
            <w:hideMark/>
          </w:tcPr>
          <w:p w14:paraId="2B873F0D" w14:textId="77777777" w:rsidR="00BF76B1" w:rsidRPr="0038540D" w:rsidRDefault="00BF76B1" w:rsidP="00B15095">
            <w:pPr>
              <w:jc w:val="center"/>
              <w:rPr>
                <w:rFonts w:eastAsia="Times New Roman" w:cs="Times New Roman"/>
                <w:color w:val="000000"/>
              </w:rPr>
            </w:pPr>
          </w:p>
        </w:tc>
        <w:tc>
          <w:tcPr>
            <w:tcW w:w="545" w:type="pct"/>
            <w:tcBorders>
              <w:top w:val="nil"/>
              <w:left w:val="nil"/>
              <w:bottom w:val="nil"/>
              <w:right w:val="nil"/>
            </w:tcBorders>
            <w:shd w:val="clear" w:color="auto" w:fill="auto"/>
            <w:noWrap/>
            <w:vAlign w:val="center"/>
            <w:hideMark/>
          </w:tcPr>
          <w:p w14:paraId="7E8A9662"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25B82471"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45AB9D3"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4797A506" w14:textId="77777777" w:rsidR="00BF76B1" w:rsidRPr="0038540D" w:rsidRDefault="00BF76B1" w:rsidP="00B15095">
            <w:pPr>
              <w:jc w:val="center"/>
              <w:rPr>
                <w:rFonts w:eastAsia="Times New Roman" w:cs="Times New Roman"/>
              </w:rPr>
            </w:pPr>
          </w:p>
        </w:tc>
      </w:tr>
      <w:tr w:rsidR="0038540D" w:rsidRPr="0038540D" w14:paraId="46455623"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0EF0D2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COV</w:t>
            </w:r>
          </w:p>
        </w:tc>
        <w:tc>
          <w:tcPr>
            <w:tcW w:w="573" w:type="pct"/>
            <w:tcBorders>
              <w:top w:val="nil"/>
              <w:left w:val="nil"/>
              <w:bottom w:val="nil"/>
              <w:right w:val="nil"/>
            </w:tcBorders>
            <w:shd w:val="clear" w:color="auto" w:fill="auto"/>
            <w:noWrap/>
            <w:vAlign w:val="center"/>
            <w:hideMark/>
          </w:tcPr>
          <w:p w14:paraId="2DD8A826"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6BB793DE"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7CB09239"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CE6882D" w14:textId="51933CD0"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00</w:t>
            </w:r>
          </w:p>
        </w:tc>
        <w:tc>
          <w:tcPr>
            <w:tcW w:w="545" w:type="pct"/>
            <w:tcBorders>
              <w:top w:val="nil"/>
              <w:left w:val="nil"/>
              <w:bottom w:val="nil"/>
              <w:right w:val="nil"/>
            </w:tcBorders>
            <w:shd w:val="clear" w:color="auto" w:fill="auto"/>
            <w:noWrap/>
            <w:vAlign w:val="center"/>
            <w:hideMark/>
          </w:tcPr>
          <w:p w14:paraId="5302D660" w14:textId="77777777" w:rsidR="00BF76B1" w:rsidRPr="0038540D" w:rsidRDefault="00BF76B1" w:rsidP="00B15095">
            <w:pPr>
              <w:jc w:val="center"/>
              <w:rPr>
                <w:rFonts w:eastAsia="Times New Roman" w:cs="Times New Roman"/>
                <w:color w:val="000000"/>
              </w:rPr>
            </w:pPr>
          </w:p>
        </w:tc>
        <w:tc>
          <w:tcPr>
            <w:tcW w:w="504" w:type="pct"/>
            <w:tcBorders>
              <w:top w:val="nil"/>
              <w:left w:val="nil"/>
              <w:bottom w:val="nil"/>
              <w:right w:val="nil"/>
            </w:tcBorders>
            <w:shd w:val="clear" w:color="auto" w:fill="auto"/>
            <w:noWrap/>
            <w:vAlign w:val="center"/>
            <w:hideMark/>
          </w:tcPr>
          <w:p w14:paraId="2EE70B46"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70A85392"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049AEB66" w14:textId="77777777" w:rsidR="00BF76B1" w:rsidRPr="0038540D" w:rsidRDefault="00BF76B1" w:rsidP="00B15095">
            <w:pPr>
              <w:jc w:val="center"/>
              <w:rPr>
                <w:rFonts w:eastAsia="Times New Roman" w:cs="Times New Roman"/>
              </w:rPr>
            </w:pPr>
          </w:p>
        </w:tc>
      </w:tr>
      <w:tr w:rsidR="0038540D" w:rsidRPr="0038540D" w14:paraId="60FA4956"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D064B63"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25870A87"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48ABB6BB"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7E8E0E07"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2ABD2A8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(0.39)</w:t>
            </w:r>
          </w:p>
        </w:tc>
        <w:tc>
          <w:tcPr>
            <w:tcW w:w="545" w:type="pct"/>
            <w:tcBorders>
              <w:top w:val="nil"/>
              <w:left w:val="nil"/>
              <w:bottom w:val="nil"/>
              <w:right w:val="nil"/>
            </w:tcBorders>
            <w:shd w:val="clear" w:color="auto" w:fill="auto"/>
            <w:noWrap/>
            <w:vAlign w:val="center"/>
            <w:hideMark/>
          </w:tcPr>
          <w:p w14:paraId="3615BDAF" w14:textId="77777777" w:rsidR="00BF76B1" w:rsidRPr="0038540D" w:rsidRDefault="00BF76B1" w:rsidP="00B15095">
            <w:pPr>
              <w:jc w:val="center"/>
              <w:rPr>
                <w:rFonts w:eastAsia="Times New Roman" w:cs="Times New Roman"/>
                <w:color w:val="000000"/>
              </w:rPr>
            </w:pPr>
          </w:p>
        </w:tc>
        <w:tc>
          <w:tcPr>
            <w:tcW w:w="504" w:type="pct"/>
            <w:tcBorders>
              <w:top w:val="nil"/>
              <w:left w:val="nil"/>
              <w:bottom w:val="nil"/>
              <w:right w:val="nil"/>
            </w:tcBorders>
            <w:shd w:val="clear" w:color="auto" w:fill="auto"/>
            <w:noWrap/>
            <w:vAlign w:val="center"/>
            <w:hideMark/>
          </w:tcPr>
          <w:p w14:paraId="7B1ABC56"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4BB8204F"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71BC5448" w14:textId="77777777" w:rsidR="00BF76B1" w:rsidRPr="0038540D" w:rsidRDefault="00BF76B1" w:rsidP="00B15095">
            <w:pPr>
              <w:jc w:val="center"/>
              <w:rPr>
                <w:rFonts w:eastAsia="Times New Roman" w:cs="Times New Roman"/>
              </w:rPr>
            </w:pPr>
          </w:p>
        </w:tc>
      </w:tr>
      <w:tr w:rsidR="0038540D" w:rsidRPr="0038540D" w14:paraId="59FDD101"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CDC59C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DISP</w:t>
            </w:r>
          </w:p>
        </w:tc>
        <w:tc>
          <w:tcPr>
            <w:tcW w:w="573" w:type="pct"/>
            <w:tcBorders>
              <w:top w:val="nil"/>
              <w:left w:val="nil"/>
              <w:bottom w:val="nil"/>
              <w:right w:val="nil"/>
            </w:tcBorders>
            <w:shd w:val="clear" w:color="auto" w:fill="auto"/>
            <w:noWrap/>
            <w:vAlign w:val="center"/>
            <w:hideMark/>
          </w:tcPr>
          <w:p w14:paraId="2C6C486F"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5123A5F6"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5FA2ADD3"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7EF36139"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59E5C549" w14:textId="3F49A92B"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77</w:t>
            </w:r>
          </w:p>
        </w:tc>
        <w:tc>
          <w:tcPr>
            <w:tcW w:w="504" w:type="pct"/>
            <w:tcBorders>
              <w:top w:val="nil"/>
              <w:left w:val="nil"/>
              <w:bottom w:val="nil"/>
              <w:right w:val="nil"/>
            </w:tcBorders>
            <w:shd w:val="clear" w:color="auto" w:fill="auto"/>
            <w:noWrap/>
            <w:vAlign w:val="center"/>
            <w:hideMark/>
          </w:tcPr>
          <w:p w14:paraId="5ECE6BD7" w14:textId="77777777" w:rsidR="00BF76B1" w:rsidRPr="0038540D" w:rsidRDefault="00BF76B1" w:rsidP="00B15095">
            <w:pPr>
              <w:jc w:val="center"/>
              <w:rPr>
                <w:rFonts w:eastAsia="Times New Roman" w:cs="Times New Roman"/>
                <w:color w:val="000000"/>
              </w:rPr>
            </w:pPr>
          </w:p>
        </w:tc>
        <w:tc>
          <w:tcPr>
            <w:tcW w:w="501" w:type="pct"/>
            <w:tcBorders>
              <w:top w:val="nil"/>
              <w:left w:val="nil"/>
              <w:bottom w:val="nil"/>
              <w:right w:val="nil"/>
            </w:tcBorders>
            <w:shd w:val="clear" w:color="auto" w:fill="auto"/>
            <w:noWrap/>
            <w:vAlign w:val="center"/>
            <w:hideMark/>
          </w:tcPr>
          <w:p w14:paraId="300C0DA5"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5974340E" w14:textId="77777777" w:rsidR="00BF76B1" w:rsidRPr="0038540D" w:rsidRDefault="00BF76B1" w:rsidP="00B15095">
            <w:pPr>
              <w:jc w:val="center"/>
              <w:rPr>
                <w:rFonts w:eastAsia="Times New Roman" w:cs="Times New Roman"/>
              </w:rPr>
            </w:pPr>
          </w:p>
        </w:tc>
      </w:tr>
      <w:tr w:rsidR="0038540D" w:rsidRPr="0038540D" w14:paraId="3DC24B68"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947FDFC"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59E79898"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24D5D65D"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3A8D6AC7"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5E462896"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448FE99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(-0.53)</w:t>
            </w:r>
          </w:p>
        </w:tc>
        <w:tc>
          <w:tcPr>
            <w:tcW w:w="504" w:type="pct"/>
            <w:tcBorders>
              <w:top w:val="nil"/>
              <w:left w:val="nil"/>
              <w:bottom w:val="nil"/>
              <w:right w:val="nil"/>
            </w:tcBorders>
            <w:shd w:val="clear" w:color="auto" w:fill="auto"/>
            <w:noWrap/>
            <w:vAlign w:val="center"/>
            <w:hideMark/>
          </w:tcPr>
          <w:p w14:paraId="600143A9" w14:textId="77777777" w:rsidR="00BF76B1" w:rsidRPr="0038540D" w:rsidRDefault="00BF76B1" w:rsidP="00B15095">
            <w:pPr>
              <w:jc w:val="center"/>
              <w:rPr>
                <w:rFonts w:eastAsia="Times New Roman" w:cs="Times New Roman"/>
                <w:color w:val="000000"/>
              </w:rPr>
            </w:pPr>
          </w:p>
        </w:tc>
        <w:tc>
          <w:tcPr>
            <w:tcW w:w="501" w:type="pct"/>
            <w:tcBorders>
              <w:top w:val="nil"/>
              <w:left w:val="nil"/>
              <w:bottom w:val="nil"/>
              <w:right w:val="nil"/>
            </w:tcBorders>
            <w:shd w:val="clear" w:color="auto" w:fill="auto"/>
            <w:noWrap/>
            <w:vAlign w:val="center"/>
            <w:hideMark/>
          </w:tcPr>
          <w:p w14:paraId="2B8D8343"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6EF16526" w14:textId="77777777" w:rsidR="00BF76B1" w:rsidRPr="0038540D" w:rsidRDefault="00BF76B1" w:rsidP="00B15095">
            <w:pPr>
              <w:jc w:val="center"/>
              <w:rPr>
                <w:rFonts w:eastAsia="Times New Roman" w:cs="Times New Roman"/>
              </w:rPr>
            </w:pPr>
          </w:p>
        </w:tc>
      </w:tr>
      <w:tr w:rsidR="0038540D" w:rsidRPr="0038540D" w14:paraId="6ECB444E"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1D39E22"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DVOL</w:t>
            </w:r>
          </w:p>
        </w:tc>
        <w:tc>
          <w:tcPr>
            <w:tcW w:w="573" w:type="pct"/>
            <w:tcBorders>
              <w:top w:val="nil"/>
              <w:left w:val="nil"/>
              <w:bottom w:val="nil"/>
              <w:right w:val="nil"/>
            </w:tcBorders>
            <w:shd w:val="clear" w:color="auto" w:fill="auto"/>
            <w:noWrap/>
            <w:vAlign w:val="center"/>
            <w:hideMark/>
          </w:tcPr>
          <w:p w14:paraId="0E6677E3"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0C120AC5"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2B33F019"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028EC255"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39C1E2CA"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5E2623CB" w14:textId="101A052F"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29**</w:t>
            </w:r>
          </w:p>
        </w:tc>
        <w:tc>
          <w:tcPr>
            <w:tcW w:w="501" w:type="pct"/>
            <w:tcBorders>
              <w:top w:val="nil"/>
              <w:left w:val="nil"/>
              <w:bottom w:val="nil"/>
              <w:right w:val="nil"/>
            </w:tcBorders>
            <w:shd w:val="clear" w:color="auto" w:fill="auto"/>
            <w:noWrap/>
            <w:vAlign w:val="center"/>
            <w:hideMark/>
          </w:tcPr>
          <w:p w14:paraId="78380D5E" w14:textId="77777777" w:rsidR="00BF76B1" w:rsidRPr="0038540D" w:rsidRDefault="00BF76B1" w:rsidP="00B15095">
            <w:pPr>
              <w:jc w:val="center"/>
              <w:rPr>
                <w:rFonts w:eastAsia="Times New Roman" w:cs="Times New Roman"/>
                <w:color w:val="000000"/>
              </w:rPr>
            </w:pPr>
          </w:p>
        </w:tc>
        <w:tc>
          <w:tcPr>
            <w:tcW w:w="576" w:type="pct"/>
            <w:tcBorders>
              <w:top w:val="nil"/>
              <w:left w:val="nil"/>
              <w:bottom w:val="nil"/>
              <w:right w:val="nil"/>
            </w:tcBorders>
            <w:shd w:val="clear" w:color="auto" w:fill="auto"/>
            <w:noWrap/>
            <w:vAlign w:val="center"/>
            <w:hideMark/>
          </w:tcPr>
          <w:p w14:paraId="1965BB33" w14:textId="77777777" w:rsidR="00BF76B1" w:rsidRPr="0038540D" w:rsidRDefault="00BF76B1" w:rsidP="00B15095">
            <w:pPr>
              <w:jc w:val="center"/>
              <w:rPr>
                <w:rFonts w:eastAsia="Times New Roman" w:cs="Times New Roman"/>
              </w:rPr>
            </w:pPr>
          </w:p>
        </w:tc>
      </w:tr>
      <w:tr w:rsidR="0038540D" w:rsidRPr="0038540D" w14:paraId="4F82A49F"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070847B2"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63B325BE"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6ABBDF0F"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44693803"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1396A4B5"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15397086"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579E841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(-2.08)</w:t>
            </w:r>
          </w:p>
        </w:tc>
        <w:tc>
          <w:tcPr>
            <w:tcW w:w="501" w:type="pct"/>
            <w:tcBorders>
              <w:top w:val="nil"/>
              <w:left w:val="nil"/>
              <w:bottom w:val="nil"/>
              <w:right w:val="nil"/>
            </w:tcBorders>
            <w:shd w:val="clear" w:color="auto" w:fill="auto"/>
            <w:noWrap/>
            <w:vAlign w:val="center"/>
            <w:hideMark/>
          </w:tcPr>
          <w:p w14:paraId="773D73A3" w14:textId="77777777" w:rsidR="00BF76B1" w:rsidRPr="0038540D" w:rsidRDefault="00BF76B1" w:rsidP="00B15095">
            <w:pPr>
              <w:jc w:val="center"/>
              <w:rPr>
                <w:rFonts w:eastAsia="Times New Roman" w:cs="Times New Roman"/>
                <w:color w:val="000000"/>
              </w:rPr>
            </w:pPr>
          </w:p>
        </w:tc>
        <w:tc>
          <w:tcPr>
            <w:tcW w:w="576" w:type="pct"/>
            <w:tcBorders>
              <w:top w:val="nil"/>
              <w:left w:val="nil"/>
              <w:bottom w:val="nil"/>
              <w:right w:val="nil"/>
            </w:tcBorders>
            <w:shd w:val="clear" w:color="auto" w:fill="auto"/>
            <w:noWrap/>
            <w:vAlign w:val="center"/>
            <w:hideMark/>
          </w:tcPr>
          <w:p w14:paraId="0B8A30E6" w14:textId="77777777" w:rsidR="00BF76B1" w:rsidRPr="0038540D" w:rsidRDefault="00BF76B1" w:rsidP="00B15095">
            <w:pPr>
              <w:jc w:val="center"/>
              <w:rPr>
                <w:rFonts w:eastAsia="Times New Roman" w:cs="Times New Roman"/>
              </w:rPr>
            </w:pPr>
          </w:p>
        </w:tc>
      </w:tr>
      <w:tr w:rsidR="0038540D" w:rsidRPr="0038540D" w14:paraId="578888E5"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1F2430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AGE</w:t>
            </w:r>
          </w:p>
        </w:tc>
        <w:tc>
          <w:tcPr>
            <w:tcW w:w="573" w:type="pct"/>
            <w:tcBorders>
              <w:top w:val="nil"/>
              <w:left w:val="nil"/>
              <w:bottom w:val="nil"/>
              <w:right w:val="nil"/>
            </w:tcBorders>
            <w:shd w:val="clear" w:color="auto" w:fill="auto"/>
            <w:noWrap/>
            <w:vAlign w:val="center"/>
            <w:hideMark/>
          </w:tcPr>
          <w:p w14:paraId="26022029"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3A989CB6"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BC0C777"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7DB0CF6F"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0312BFCD"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0154D34C"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E3ACA74" w14:textId="59892FE4"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01</w:t>
            </w:r>
          </w:p>
        </w:tc>
        <w:tc>
          <w:tcPr>
            <w:tcW w:w="576" w:type="pct"/>
            <w:tcBorders>
              <w:top w:val="nil"/>
              <w:left w:val="nil"/>
              <w:bottom w:val="nil"/>
              <w:right w:val="nil"/>
            </w:tcBorders>
            <w:shd w:val="clear" w:color="auto" w:fill="auto"/>
            <w:noWrap/>
            <w:vAlign w:val="center"/>
            <w:hideMark/>
          </w:tcPr>
          <w:p w14:paraId="20758553" w14:textId="77777777" w:rsidR="00BF76B1" w:rsidRPr="0038540D" w:rsidRDefault="00BF76B1" w:rsidP="00B15095">
            <w:pPr>
              <w:jc w:val="center"/>
              <w:rPr>
                <w:rFonts w:eastAsia="Times New Roman" w:cs="Times New Roman"/>
                <w:color w:val="000000"/>
              </w:rPr>
            </w:pPr>
          </w:p>
        </w:tc>
      </w:tr>
      <w:tr w:rsidR="0038540D" w:rsidRPr="0038540D" w14:paraId="13EF92F6"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2BF8A32E" w14:textId="77777777" w:rsidR="00BF76B1" w:rsidRPr="0038540D" w:rsidRDefault="00BF76B1" w:rsidP="00B15095">
            <w:pPr>
              <w:jc w:val="center"/>
              <w:rPr>
                <w:rFonts w:eastAsia="Times New Roman" w:cs="Times New Roman"/>
              </w:rPr>
            </w:pPr>
          </w:p>
        </w:tc>
        <w:tc>
          <w:tcPr>
            <w:tcW w:w="573" w:type="pct"/>
            <w:tcBorders>
              <w:top w:val="nil"/>
              <w:left w:val="nil"/>
              <w:bottom w:val="nil"/>
              <w:right w:val="nil"/>
            </w:tcBorders>
            <w:shd w:val="clear" w:color="auto" w:fill="auto"/>
            <w:noWrap/>
            <w:vAlign w:val="center"/>
            <w:hideMark/>
          </w:tcPr>
          <w:p w14:paraId="7C98DFBE"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0FCC7988"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325F1379"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047AE439"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79921B52"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752F16F7"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A90FD7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(-0.86)</w:t>
            </w:r>
          </w:p>
        </w:tc>
        <w:tc>
          <w:tcPr>
            <w:tcW w:w="576" w:type="pct"/>
            <w:tcBorders>
              <w:top w:val="nil"/>
              <w:left w:val="nil"/>
              <w:bottom w:val="nil"/>
              <w:right w:val="nil"/>
            </w:tcBorders>
            <w:shd w:val="clear" w:color="auto" w:fill="auto"/>
            <w:noWrap/>
            <w:vAlign w:val="center"/>
            <w:hideMark/>
          </w:tcPr>
          <w:p w14:paraId="17578755" w14:textId="77777777" w:rsidR="00BF76B1" w:rsidRPr="0038540D" w:rsidRDefault="00BF76B1" w:rsidP="00B15095">
            <w:pPr>
              <w:jc w:val="center"/>
              <w:rPr>
                <w:rFonts w:eastAsia="Times New Roman" w:cs="Times New Roman"/>
                <w:color w:val="000000"/>
              </w:rPr>
            </w:pPr>
          </w:p>
        </w:tc>
      </w:tr>
      <w:tr w:rsidR="0038540D" w:rsidRPr="0038540D" w14:paraId="632AD48F"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8E59AF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ASSET</w:t>
            </w:r>
          </w:p>
        </w:tc>
        <w:tc>
          <w:tcPr>
            <w:tcW w:w="573" w:type="pct"/>
            <w:tcBorders>
              <w:top w:val="nil"/>
              <w:left w:val="nil"/>
              <w:bottom w:val="nil"/>
              <w:right w:val="nil"/>
            </w:tcBorders>
            <w:shd w:val="clear" w:color="auto" w:fill="auto"/>
            <w:noWrap/>
            <w:vAlign w:val="center"/>
            <w:hideMark/>
          </w:tcPr>
          <w:p w14:paraId="4B77E1E2" w14:textId="77777777" w:rsidR="00BF76B1" w:rsidRPr="0038540D" w:rsidRDefault="00BF76B1" w:rsidP="00B15095">
            <w:pPr>
              <w:jc w:val="center"/>
              <w:rPr>
                <w:rFonts w:eastAsia="Times New Roman" w:cs="Times New Roman"/>
                <w:color w:val="000000"/>
              </w:rPr>
            </w:pPr>
          </w:p>
        </w:tc>
        <w:tc>
          <w:tcPr>
            <w:tcW w:w="549" w:type="pct"/>
            <w:tcBorders>
              <w:top w:val="nil"/>
              <w:left w:val="nil"/>
              <w:bottom w:val="nil"/>
              <w:right w:val="nil"/>
            </w:tcBorders>
            <w:shd w:val="clear" w:color="auto" w:fill="auto"/>
            <w:noWrap/>
            <w:vAlign w:val="center"/>
            <w:hideMark/>
          </w:tcPr>
          <w:p w14:paraId="51216C40"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0A42A23A"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39564FC8"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3F3F74C9"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007027A7"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69ADE2F8"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4EE931DD" w14:textId="77535CD5"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01</w:t>
            </w:r>
          </w:p>
        </w:tc>
      </w:tr>
      <w:tr w:rsidR="0038540D" w:rsidRPr="0038540D" w14:paraId="63ACD126"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D2953A7"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357B287A" w14:textId="77777777" w:rsidR="00BF76B1" w:rsidRPr="0038540D" w:rsidRDefault="00BF76B1" w:rsidP="00B15095">
            <w:pPr>
              <w:jc w:val="center"/>
              <w:rPr>
                <w:rFonts w:eastAsia="Times New Roman" w:cs="Times New Roman"/>
              </w:rPr>
            </w:pPr>
          </w:p>
        </w:tc>
        <w:tc>
          <w:tcPr>
            <w:tcW w:w="549" w:type="pct"/>
            <w:tcBorders>
              <w:top w:val="nil"/>
              <w:left w:val="nil"/>
              <w:bottom w:val="nil"/>
              <w:right w:val="nil"/>
            </w:tcBorders>
            <w:shd w:val="clear" w:color="auto" w:fill="auto"/>
            <w:noWrap/>
            <w:vAlign w:val="center"/>
            <w:hideMark/>
          </w:tcPr>
          <w:p w14:paraId="50CC9F12" w14:textId="77777777" w:rsidR="00BF76B1" w:rsidRPr="0038540D" w:rsidRDefault="00BF76B1" w:rsidP="00B15095">
            <w:pPr>
              <w:jc w:val="center"/>
              <w:rPr>
                <w:rFonts w:eastAsia="Times New Roman" w:cs="Times New Roman"/>
              </w:rPr>
            </w:pPr>
          </w:p>
        </w:tc>
        <w:tc>
          <w:tcPr>
            <w:tcW w:w="479" w:type="pct"/>
            <w:tcBorders>
              <w:top w:val="nil"/>
              <w:left w:val="nil"/>
              <w:bottom w:val="nil"/>
              <w:right w:val="nil"/>
            </w:tcBorders>
            <w:shd w:val="clear" w:color="auto" w:fill="auto"/>
            <w:noWrap/>
            <w:vAlign w:val="center"/>
            <w:hideMark/>
          </w:tcPr>
          <w:p w14:paraId="54FF4BB5" w14:textId="77777777" w:rsidR="00BF76B1" w:rsidRPr="0038540D" w:rsidRDefault="00BF76B1" w:rsidP="00B15095">
            <w:pPr>
              <w:jc w:val="center"/>
              <w:rPr>
                <w:rFonts w:eastAsia="Times New Roman" w:cs="Times New Roman"/>
              </w:rPr>
            </w:pPr>
          </w:p>
        </w:tc>
        <w:tc>
          <w:tcPr>
            <w:tcW w:w="495" w:type="pct"/>
            <w:tcBorders>
              <w:top w:val="nil"/>
              <w:left w:val="nil"/>
              <w:bottom w:val="nil"/>
              <w:right w:val="nil"/>
            </w:tcBorders>
            <w:shd w:val="clear" w:color="auto" w:fill="auto"/>
            <w:noWrap/>
            <w:vAlign w:val="center"/>
            <w:hideMark/>
          </w:tcPr>
          <w:p w14:paraId="6108343F" w14:textId="77777777" w:rsidR="00BF76B1" w:rsidRPr="0038540D" w:rsidRDefault="00BF76B1" w:rsidP="00B15095">
            <w:pPr>
              <w:jc w:val="center"/>
              <w:rPr>
                <w:rFonts w:eastAsia="Times New Roman" w:cs="Times New Roman"/>
              </w:rPr>
            </w:pPr>
          </w:p>
        </w:tc>
        <w:tc>
          <w:tcPr>
            <w:tcW w:w="545" w:type="pct"/>
            <w:tcBorders>
              <w:top w:val="nil"/>
              <w:left w:val="nil"/>
              <w:bottom w:val="nil"/>
              <w:right w:val="nil"/>
            </w:tcBorders>
            <w:shd w:val="clear" w:color="auto" w:fill="auto"/>
            <w:noWrap/>
            <w:vAlign w:val="center"/>
            <w:hideMark/>
          </w:tcPr>
          <w:p w14:paraId="12C93865" w14:textId="77777777" w:rsidR="00BF76B1" w:rsidRPr="0038540D" w:rsidRDefault="00BF76B1" w:rsidP="00B15095">
            <w:pPr>
              <w:jc w:val="center"/>
              <w:rPr>
                <w:rFonts w:eastAsia="Times New Roman" w:cs="Times New Roman"/>
              </w:rPr>
            </w:pPr>
          </w:p>
        </w:tc>
        <w:tc>
          <w:tcPr>
            <w:tcW w:w="504" w:type="pct"/>
            <w:tcBorders>
              <w:top w:val="nil"/>
              <w:left w:val="nil"/>
              <w:bottom w:val="nil"/>
              <w:right w:val="nil"/>
            </w:tcBorders>
            <w:shd w:val="clear" w:color="auto" w:fill="auto"/>
            <w:noWrap/>
            <w:vAlign w:val="center"/>
            <w:hideMark/>
          </w:tcPr>
          <w:p w14:paraId="4C85368F" w14:textId="77777777" w:rsidR="00BF76B1" w:rsidRPr="0038540D" w:rsidRDefault="00BF76B1" w:rsidP="00B15095">
            <w:pPr>
              <w:jc w:val="center"/>
              <w:rPr>
                <w:rFonts w:eastAsia="Times New Roman" w:cs="Times New Roman"/>
              </w:rPr>
            </w:pPr>
          </w:p>
        </w:tc>
        <w:tc>
          <w:tcPr>
            <w:tcW w:w="501" w:type="pct"/>
            <w:tcBorders>
              <w:top w:val="nil"/>
              <w:left w:val="nil"/>
              <w:bottom w:val="nil"/>
              <w:right w:val="nil"/>
            </w:tcBorders>
            <w:shd w:val="clear" w:color="auto" w:fill="auto"/>
            <w:noWrap/>
            <w:vAlign w:val="center"/>
            <w:hideMark/>
          </w:tcPr>
          <w:p w14:paraId="2D8AEACF" w14:textId="77777777" w:rsidR="00BF76B1" w:rsidRPr="0038540D" w:rsidRDefault="00BF76B1" w:rsidP="00B15095">
            <w:pPr>
              <w:jc w:val="center"/>
              <w:rPr>
                <w:rFonts w:eastAsia="Times New Roman" w:cs="Times New Roman"/>
              </w:rPr>
            </w:pPr>
          </w:p>
        </w:tc>
        <w:tc>
          <w:tcPr>
            <w:tcW w:w="576" w:type="pct"/>
            <w:tcBorders>
              <w:top w:val="nil"/>
              <w:left w:val="nil"/>
              <w:bottom w:val="nil"/>
              <w:right w:val="nil"/>
            </w:tcBorders>
            <w:shd w:val="clear" w:color="auto" w:fill="auto"/>
            <w:noWrap/>
            <w:vAlign w:val="center"/>
            <w:hideMark/>
          </w:tcPr>
          <w:p w14:paraId="455EDF6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(-0.20)</w:t>
            </w:r>
          </w:p>
        </w:tc>
      </w:tr>
      <w:tr w:rsidR="0038540D" w:rsidRPr="0038540D" w14:paraId="64A1A17C"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77E0862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lnBM</w:t>
            </w:r>
          </w:p>
        </w:tc>
        <w:tc>
          <w:tcPr>
            <w:tcW w:w="573" w:type="pct"/>
            <w:tcBorders>
              <w:top w:val="nil"/>
              <w:left w:val="nil"/>
              <w:bottom w:val="nil"/>
              <w:right w:val="nil"/>
            </w:tcBorders>
            <w:shd w:val="clear" w:color="auto" w:fill="auto"/>
            <w:noWrap/>
            <w:vAlign w:val="center"/>
            <w:hideMark/>
          </w:tcPr>
          <w:p w14:paraId="7B868C55" w14:textId="2A5551B0"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15***</w:t>
            </w:r>
          </w:p>
        </w:tc>
        <w:tc>
          <w:tcPr>
            <w:tcW w:w="549" w:type="pct"/>
            <w:tcBorders>
              <w:top w:val="nil"/>
              <w:left w:val="nil"/>
              <w:bottom w:val="nil"/>
              <w:right w:val="nil"/>
            </w:tcBorders>
            <w:shd w:val="clear" w:color="auto" w:fill="auto"/>
            <w:noWrap/>
            <w:vAlign w:val="center"/>
            <w:hideMark/>
          </w:tcPr>
          <w:p w14:paraId="73C28BE4" w14:textId="7FEDCDEC"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15***</w:t>
            </w:r>
          </w:p>
        </w:tc>
        <w:tc>
          <w:tcPr>
            <w:tcW w:w="479" w:type="pct"/>
            <w:tcBorders>
              <w:top w:val="nil"/>
              <w:left w:val="nil"/>
              <w:bottom w:val="nil"/>
              <w:right w:val="nil"/>
            </w:tcBorders>
            <w:shd w:val="clear" w:color="auto" w:fill="auto"/>
            <w:noWrap/>
            <w:vAlign w:val="center"/>
            <w:hideMark/>
          </w:tcPr>
          <w:p w14:paraId="097DA324" w14:textId="49E3C758"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13**</w:t>
            </w:r>
          </w:p>
        </w:tc>
        <w:tc>
          <w:tcPr>
            <w:tcW w:w="495" w:type="pct"/>
            <w:tcBorders>
              <w:top w:val="nil"/>
              <w:left w:val="nil"/>
              <w:bottom w:val="nil"/>
              <w:right w:val="nil"/>
            </w:tcBorders>
            <w:shd w:val="clear" w:color="auto" w:fill="auto"/>
            <w:noWrap/>
            <w:vAlign w:val="center"/>
            <w:hideMark/>
          </w:tcPr>
          <w:p w14:paraId="33E8528D" w14:textId="3F77AEEB"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07</w:t>
            </w:r>
          </w:p>
        </w:tc>
        <w:tc>
          <w:tcPr>
            <w:tcW w:w="545" w:type="pct"/>
            <w:tcBorders>
              <w:top w:val="nil"/>
              <w:left w:val="nil"/>
              <w:bottom w:val="nil"/>
              <w:right w:val="nil"/>
            </w:tcBorders>
            <w:shd w:val="clear" w:color="auto" w:fill="auto"/>
            <w:noWrap/>
            <w:vAlign w:val="center"/>
            <w:hideMark/>
          </w:tcPr>
          <w:p w14:paraId="72B3C715" w14:textId="7534C556"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09</w:t>
            </w:r>
          </w:p>
        </w:tc>
        <w:tc>
          <w:tcPr>
            <w:tcW w:w="504" w:type="pct"/>
            <w:tcBorders>
              <w:top w:val="nil"/>
              <w:left w:val="nil"/>
              <w:bottom w:val="nil"/>
              <w:right w:val="nil"/>
            </w:tcBorders>
            <w:shd w:val="clear" w:color="auto" w:fill="auto"/>
            <w:noWrap/>
            <w:vAlign w:val="center"/>
            <w:hideMark/>
          </w:tcPr>
          <w:p w14:paraId="75E964FD" w14:textId="1EF170C5"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16***</w:t>
            </w:r>
          </w:p>
        </w:tc>
        <w:tc>
          <w:tcPr>
            <w:tcW w:w="501" w:type="pct"/>
            <w:tcBorders>
              <w:top w:val="nil"/>
              <w:left w:val="nil"/>
              <w:bottom w:val="nil"/>
              <w:right w:val="nil"/>
            </w:tcBorders>
            <w:shd w:val="clear" w:color="auto" w:fill="auto"/>
            <w:noWrap/>
            <w:vAlign w:val="center"/>
            <w:hideMark/>
          </w:tcPr>
          <w:p w14:paraId="15D44190" w14:textId="79C2F581"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15***</w:t>
            </w:r>
          </w:p>
        </w:tc>
        <w:tc>
          <w:tcPr>
            <w:tcW w:w="576" w:type="pct"/>
            <w:tcBorders>
              <w:top w:val="nil"/>
              <w:left w:val="nil"/>
              <w:bottom w:val="nil"/>
              <w:right w:val="nil"/>
            </w:tcBorders>
            <w:shd w:val="clear" w:color="auto" w:fill="auto"/>
            <w:noWrap/>
            <w:vAlign w:val="center"/>
            <w:hideMark/>
          </w:tcPr>
          <w:p w14:paraId="0AE3EA56" w14:textId="50A99EC7"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13**</w:t>
            </w:r>
          </w:p>
        </w:tc>
      </w:tr>
      <w:tr w:rsidR="0038540D" w:rsidRPr="0038540D" w14:paraId="26994407"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27BCED63"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15EBB28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(3.10)</w:t>
            </w:r>
          </w:p>
        </w:tc>
        <w:tc>
          <w:tcPr>
            <w:tcW w:w="549" w:type="pct"/>
            <w:tcBorders>
              <w:top w:val="nil"/>
              <w:left w:val="nil"/>
              <w:bottom w:val="nil"/>
              <w:right w:val="nil"/>
            </w:tcBorders>
            <w:shd w:val="clear" w:color="auto" w:fill="auto"/>
            <w:noWrap/>
            <w:vAlign w:val="center"/>
            <w:hideMark/>
          </w:tcPr>
          <w:p w14:paraId="0E2D9EEC"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(3.46)</w:t>
            </w:r>
          </w:p>
        </w:tc>
        <w:tc>
          <w:tcPr>
            <w:tcW w:w="479" w:type="pct"/>
            <w:tcBorders>
              <w:top w:val="nil"/>
              <w:left w:val="nil"/>
              <w:bottom w:val="nil"/>
              <w:right w:val="nil"/>
            </w:tcBorders>
            <w:shd w:val="clear" w:color="auto" w:fill="auto"/>
            <w:noWrap/>
            <w:vAlign w:val="center"/>
            <w:hideMark/>
          </w:tcPr>
          <w:p w14:paraId="0736731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(2.00)</w:t>
            </w:r>
          </w:p>
        </w:tc>
        <w:tc>
          <w:tcPr>
            <w:tcW w:w="495" w:type="pct"/>
            <w:tcBorders>
              <w:top w:val="nil"/>
              <w:left w:val="nil"/>
              <w:bottom w:val="nil"/>
              <w:right w:val="nil"/>
            </w:tcBorders>
            <w:shd w:val="clear" w:color="auto" w:fill="auto"/>
            <w:noWrap/>
            <w:vAlign w:val="center"/>
            <w:hideMark/>
          </w:tcPr>
          <w:p w14:paraId="4EEA0B6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(1.27)</w:t>
            </w:r>
          </w:p>
        </w:tc>
        <w:tc>
          <w:tcPr>
            <w:tcW w:w="545" w:type="pct"/>
            <w:tcBorders>
              <w:top w:val="nil"/>
              <w:left w:val="nil"/>
              <w:bottom w:val="nil"/>
              <w:right w:val="nil"/>
            </w:tcBorders>
            <w:shd w:val="clear" w:color="auto" w:fill="auto"/>
            <w:noWrap/>
            <w:vAlign w:val="center"/>
            <w:hideMark/>
          </w:tcPr>
          <w:p w14:paraId="03C4444A"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(1.54)</w:t>
            </w:r>
          </w:p>
        </w:tc>
        <w:tc>
          <w:tcPr>
            <w:tcW w:w="504" w:type="pct"/>
            <w:tcBorders>
              <w:top w:val="nil"/>
              <w:left w:val="nil"/>
              <w:bottom w:val="nil"/>
              <w:right w:val="nil"/>
            </w:tcBorders>
            <w:shd w:val="clear" w:color="auto" w:fill="auto"/>
            <w:noWrap/>
            <w:vAlign w:val="center"/>
            <w:hideMark/>
          </w:tcPr>
          <w:p w14:paraId="1B7C848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(3.41)</w:t>
            </w:r>
          </w:p>
        </w:tc>
        <w:tc>
          <w:tcPr>
            <w:tcW w:w="501" w:type="pct"/>
            <w:tcBorders>
              <w:top w:val="nil"/>
              <w:left w:val="nil"/>
              <w:bottom w:val="nil"/>
              <w:right w:val="nil"/>
            </w:tcBorders>
            <w:shd w:val="clear" w:color="auto" w:fill="auto"/>
            <w:noWrap/>
            <w:vAlign w:val="center"/>
            <w:hideMark/>
          </w:tcPr>
          <w:p w14:paraId="12F4167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(3.17)</w:t>
            </w:r>
          </w:p>
        </w:tc>
        <w:tc>
          <w:tcPr>
            <w:tcW w:w="576" w:type="pct"/>
            <w:tcBorders>
              <w:top w:val="nil"/>
              <w:left w:val="nil"/>
              <w:bottom w:val="nil"/>
              <w:right w:val="nil"/>
            </w:tcBorders>
            <w:shd w:val="clear" w:color="auto" w:fill="auto"/>
            <w:noWrap/>
            <w:vAlign w:val="center"/>
            <w:hideMark/>
          </w:tcPr>
          <w:p w14:paraId="390F9A25"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(2.32)</w:t>
            </w:r>
          </w:p>
        </w:tc>
      </w:tr>
      <w:tr w:rsidR="0038540D" w:rsidRPr="0038540D" w14:paraId="3635EC29"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0D3781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lnMV</w:t>
            </w:r>
          </w:p>
        </w:tc>
        <w:tc>
          <w:tcPr>
            <w:tcW w:w="573" w:type="pct"/>
            <w:tcBorders>
              <w:top w:val="nil"/>
              <w:left w:val="nil"/>
              <w:bottom w:val="nil"/>
              <w:right w:val="nil"/>
            </w:tcBorders>
            <w:shd w:val="clear" w:color="auto" w:fill="auto"/>
            <w:noWrap/>
            <w:vAlign w:val="center"/>
            <w:hideMark/>
          </w:tcPr>
          <w:p w14:paraId="2BB1EE82" w14:textId="474D6D94"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09**</w:t>
            </w:r>
          </w:p>
        </w:tc>
        <w:tc>
          <w:tcPr>
            <w:tcW w:w="549" w:type="pct"/>
            <w:tcBorders>
              <w:top w:val="nil"/>
              <w:left w:val="nil"/>
              <w:bottom w:val="nil"/>
              <w:right w:val="nil"/>
            </w:tcBorders>
            <w:shd w:val="clear" w:color="auto" w:fill="auto"/>
            <w:noWrap/>
            <w:vAlign w:val="center"/>
            <w:hideMark/>
          </w:tcPr>
          <w:p w14:paraId="6417ABE5" w14:textId="0D8DD7B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09***</w:t>
            </w:r>
          </w:p>
        </w:tc>
        <w:tc>
          <w:tcPr>
            <w:tcW w:w="479" w:type="pct"/>
            <w:tcBorders>
              <w:top w:val="nil"/>
              <w:left w:val="nil"/>
              <w:bottom w:val="nil"/>
              <w:right w:val="nil"/>
            </w:tcBorders>
            <w:shd w:val="clear" w:color="auto" w:fill="auto"/>
            <w:noWrap/>
            <w:vAlign w:val="center"/>
            <w:hideMark/>
          </w:tcPr>
          <w:p w14:paraId="7B2A52A5" w14:textId="094D7AEE"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03</w:t>
            </w:r>
          </w:p>
        </w:tc>
        <w:tc>
          <w:tcPr>
            <w:tcW w:w="495" w:type="pct"/>
            <w:tcBorders>
              <w:top w:val="nil"/>
              <w:left w:val="nil"/>
              <w:bottom w:val="nil"/>
              <w:right w:val="nil"/>
            </w:tcBorders>
            <w:shd w:val="clear" w:color="auto" w:fill="auto"/>
            <w:noWrap/>
            <w:vAlign w:val="center"/>
            <w:hideMark/>
          </w:tcPr>
          <w:p w14:paraId="21B177B5" w14:textId="06FBC05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13**</w:t>
            </w:r>
          </w:p>
        </w:tc>
        <w:tc>
          <w:tcPr>
            <w:tcW w:w="545" w:type="pct"/>
            <w:tcBorders>
              <w:top w:val="nil"/>
              <w:left w:val="nil"/>
              <w:bottom w:val="nil"/>
              <w:right w:val="nil"/>
            </w:tcBorders>
            <w:shd w:val="clear" w:color="auto" w:fill="auto"/>
            <w:noWrap/>
            <w:vAlign w:val="center"/>
            <w:hideMark/>
          </w:tcPr>
          <w:p w14:paraId="304A26A8" w14:textId="5819E9B9"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10**</w:t>
            </w:r>
          </w:p>
        </w:tc>
        <w:tc>
          <w:tcPr>
            <w:tcW w:w="504" w:type="pct"/>
            <w:tcBorders>
              <w:top w:val="nil"/>
              <w:left w:val="nil"/>
              <w:bottom w:val="nil"/>
              <w:right w:val="nil"/>
            </w:tcBorders>
            <w:shd w:val="clear" w:color="auto" w:fill="auto"/>
            <w:noWrap/>
            <w:vAlign w:val="center"/>
            <w:hideMark/>
          </w:tcPr>
          <w:p w14:paraId="27B9D4F2" w14:textId="54A38CD6"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09**</w:t>
            </w:r>
          </w:p>
        </w:tc>
        <w:tc>
          <w:tcPr>
            <w:tcW w:w="501" w:type="pct"/>
            <w:tcBorders>
              <w:top w:val="nil"/>
              <w:left w:val="nil"/>
              <w:bottom w:val="nil"/>
              <w:right w:val="nil"/>
            </w:tcBorders>
            <w:shd w:val="clear" w:color="auto" w:fill="auto"/>
            <w:noWrap/>
            <w:vAlign w:val="center"/>
            <w:hideMark/>
          </w:tcPr>
          <w:p w14:paraId="1F2B208E" w14:textId="64165FD7"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09**</w:t>
            </w:r>
          </w:p>
        </w:tc>
        <w:tc>
          <w:tcPr>
            <w:tcW w:w="576" w:type="pct"/>
            <w:tcBorders>
              <w:top w:val="nil"/>
              <w:left w:val="nil"/>
              <w:bottom w:val="nil"/>
              <w:right w:val="nil"/>
            </w:tcBorders>
            <w:shd w:val="clear" w:color="auto" w:fill="auto"/>
            <w:noWrap/>
            <w:vAlign w:val="center"/>
            <w:hideMark/>
          </w:tcPr>
          <w:p w14:paraId="548CBCDA" w14:textId="3279FF6F"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1</w:t>
            </w:r>
            <w:r>
              <w:rPr>
                <w:rFonts w:eastAsia="Times New Roman" w:cs="Times New Roman"/>
                <w:color w:val="000000"/>
              </w:rPr>
              <w:t>0</w:t>
            </w:r>
          </w:p>
        </w:tc>
      </w:tr>
      <w:tr w:rsidR="0038540D" w:rsidRPr="0038540D" w14:paraId="2C87AD8B"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4DB1A920" w14:textId="77777777" w:rsidR="00BF76B1" w:rsidRPr="0038540D" w:rsidRDefault="00BF76B1" w:rsidP="00B15095">
            <w:pPr>
              <w:jc w:val="center"/>
              <w:rPr>
                <w:rFonts w:eastAsia="Times New Roman" w:cs="Times New Roman"/>
                <w:color w:val="000000"/>
              </w:rPr>
            </w:pPr>
          </w:p>
        </w:tc>
        <w:tc>
          <w:tcPr>
            <w:tcW w:w="573" w:type="pct"/>
            <w:tcBorders>
              <w:top w:val="nil"/>
              <w:left w:val="nil"/>
              <w:bottom w:val="nil"/>
              <w:right w:val="nil"/>
            </w:tcBorders>
            <w:shd w:val="clear" w:color="auto" w:fill="auto"/>
            <w:noWrap/>
            <w:vAlign w:val="center"/>
            <w:hideMark/>
          </w:tcPr>
          <w:p w14:paraId="33B20E5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(-2.41)</w:t>
            </w:r>
          </w:p>
        </w:tc>
        <w:tc>
          <w:tcPr>
            <w:tcW w:w="549" w:type="pct"/>
            <w:tcBorders>
              <w:top w:val="nil"/>
              <w:left w:val="nil"/>
              <w:bottom w:val="nil"/>
              <w:right w:val="nil"/>
            </w:tcBorders>
            <w:shd w:val="clear" w:color="auto" w:fill="auto"/>
            <w:noWrap/>
            <w:vAlign w:val="center"/>
            <w:hideMark/>
          </w:tcPr>
          <w:p w14:paraId="50DDC22D"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(-2.92)</w:t>
            </w:r>
          </w:p>
        </w:tc>
        <w:tc>
          <w:tcPr>
            <w:tcW w:w="479" w:type="pct"/>
            <w:tcBorders>
              <w:top w:val="nil"/>
              <w:left w:val="nil"/>
              <w:bottom w:val="nil"/>
              <w:right w:val="nil"/>
            </w:tcBorders>
            <w:shd w:val="clear" w:color="auto" w:fill="auto"/>
            <w:noWrap/>
            <w:vAlign w:val="center"/>
            <w:hideMark/>
          </w:tcPr>
          <w:p w14:paraId="666F219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(-0.72)</w:t>
            </w:r>
          </w:p>
        </w:tc>
        <w:tc>
          <w:tcPr>
            <w:tcW w:w="495" w:type="pct"/>
            <w:tcBorders>
              <w:top w:val="nil"/>
              <w:left w:val="nil"/>
              <w:bottom w:val="nil"/>
              <w:right w:val="nil"/>
            </w:tcBorders>
            <w:shd w:val="clear" w:color="auto" w:fill="auto"/>
            <w:noWrap/>
            <w:vAlign w:val="center"/>
            <w:hideMark/>
          </w:tcPr>
          <w:p w14:paraId="5069B27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(-2.22)</w:t>
            </w:r>
          </w:p>
        </w:tc>
        <w:tc>
          <w:tcPr>
            <w:tcW w:w="545" w:type="pct"/>
            <w:tcBorders>
              <w:top w:val="nil"/>
              <w:left w:val="nil"/>
              <w:bottom w:val="nil"/>
              <w:right w:val="nil"/>
            </w:tcBorders>
            <w:shd w:val="clear" w:color="auto" w:fill="auto"/>
            <w:noWrap/>
            <w:vAlign w:val="center"/>
            <w:hideMark/>
          </w:tcPr>
          <w:p w14:paraId="01F07A0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(-2.31)</w:t>
            </w:r>
          </w:p>
        </w:tc>
        <w:tc>
          <w:tcPr>
            <w:tcW w:w="504" w:type="pct"/>
            <w:tcBorders>
              <w:top w:val="nil"/>
              <w:left w:val="nil"/>
              <w:bottom w:val="nil"/>
              <w:right w:val="nil"/>
            </w:tcBorders>
            <w:shd w:val="clear" w:color="auto" w:fill="auto"/>
            <w:noWrap/>
            <w:vAlign w:val="center"/>
            <w:hideMark/>
          </w:tcPr>
          <w:p w14:paraId="0186A050"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(-2.00)</w:t>
            </w:r>
          </w:p>
        </w:tc>
        <w:tc>
          <w:tcPr>
            <w:tcW w:w="501" w:type="pct"/>
            <w:tcBorders>
              <w:top w:val="nil"/>
              <w:left w:val="nil"/>
              <w:bottom w:val="nil"/>
              <w:right w:val="nil"/>
            </w:tcBorders>
            <w:shd w:val="clear" w:color="auto" w:fill="auto"/>
            <w:noWrap/>
            <w:vAlign w:val="center"/>
            <w:hideMark/>
          </w:tcPr>
          <w:p w14:paraId="24C0C5E7"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(-2.37)</w:t>
            </w:r>
          </w:p>
        </w:tc>
        <w:tc>
          <w:tcPr>
            <w:tcW w:w="576" w:type="pct"/>
            <w:tcBorders>
              <w:top w:val="nil"/>
              <w:left w:val="nil"/>
              <w:bottom w:val="nil"/>
              <w:right w:val="nil"/>
            </w:tcBorders>
            <w:shd w:val="clear" w:color="auto" w:fill="auto"/>
            <w:noWrap/>
            <w:vAlign w:val="center"/>
            <w:hideMark/>
          </w:tcPr>
          <w:p w14:paraId="1274F92B"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(-1.21)</w:t>
            </w:r>
          </w:p>
        </w:tc>
      </w:tr>
      <w:tr w:rsidR="0038540D" w:rsidRPr="0038540D" w14:paraId="334FFC62" w14:textId="77777777" w:rsidTr="004A2734">
        <w:trPr>
          <w:trHeight w:hRule="exact" w:val="227"/>
          <w:jc w:val="center"/>
        </w:trPr>
        <w:tc>
          <w:tcPr>
            <w:tcW w:w="778" w:type="pct"/>
            <w:tcBorders>
              <w:top w:val="nil"/>
              <w:left w:val="nil"/>
              <w:bottom w:val="nil"/>
              <w:right w:val="nil"/>
            </w:tcBorders>
            <w:shd w:val="clear" w:color="auto" w:fill="auto"/>
            <w:noWrap/>
            <w:vAlign w:val="center"/>
            <w:hideMark/>
          </w:tcPr>
          <w:p w14:paraId="6C197131"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Pre6ret</w:t>
            </w:r>
          </w:p>
        </w:tc>
        <w:tc>
          <w:tcPr>
            <w:tcW w:w="573" w:type="pct"/>
            <w:tcBorders>
              <w:top w:val="nil"/>
              <w:left w:val="nil"/>
              <w:bottom w:val="nil"/>
              <w:right w:val="nil"/>
            </w:tcBorders>
            <w:shd w:val="clear" w:color="auto" w:fill="auto"/>
            <w:noWrap/>
            <w:vAlign w:val="center"/>
            <w:hideMark/>
          </w:tcPr>
          <w:p w14:paraId="27185622" w14:textId="29E42C9E"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09</w:t>
            </w:r>
          </w:p>
        </w:tc>
        <w:tc>
          <w:tcPr>
            <w:tcW w:w="549" w:type="pct"/>
            <w:tcBorders>
              <w:top w:val="nil"/>
              <w:left w:val="nil"/>
              <w:bottom w:val="nil"/>
              <w:right w:val="nil"/>
            </w:tcBorders>
            <w:shd w:val="clear" w:color="auto" w:fill="auto"/>
            <w:noWrap/>
            <w:vAlign w:val="center"/>
            <w:hideMark/>
          </w:tcPr>
          <w:p w14:paraId="6BAD12D1" w14:textId="23328CDF"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08</w:t>
            </w:r>
          </w:p>
        </w:tc>
        <w:tc>
          <w:tcPr>
            <w:tcW w:w="479" w:type="pct"/>
            <w:tcBorders>
              <w:top w:val="nil"/>
              <w:left w:val="nil"/>
              <w:bottom w:val="nil"/>
              <w:right w:val="nil"/>
            </w:tcBorders>
            <w:shd w:val="clear" w:color="auto" w:fill="auto"/>
            <w:noWrap/>
            <w:vAlign w:val="center"/>
            <w:hideMark/>
          </w:tcPr>
          <w:p w14:paraId="69B7CC2B" w14:textId="47490773" w:rsidR="00BF76B1" w:rsidRPr="0038540D" w:rsidRDefault="00DD51B9" w:rsidP="00B15095">
            <w:pPr>
              <w:jc w:val="center"/>
              <w:rPr>
                <w:rFonts w:eastAsia="Times New Roman" w:cs="Times New Roman"/>
                <w:color w:val="000000"/>
              </w:rPr>
            </w:pPr>
            <w:r>
              <w:rPr>
                <w:rFonts w:eastAsia="Times New Roman" w:cs="Times New Roman"/>
                <w:color w:val="000000"/>
              </w:rPr>
              <w:t>-</w:t>
            </w:r>
            <w:r w:rsidR="00BF76B1" w:rsidRPr="0038540D">
              <w:rPr>
                <w:rFonts w:eastAsia="Times New Roman" w:cs="Times New Roman"/>
                <w:color w:val="000000"/>
              </w:rPr>
              <w:t>0</w:t>
            </w:r>
            <w:r>
              <w:rPr>
                <w:rFonts w:eastAsia="Times New Roman" w:cs="Times New Roman"/>
                <w:color w:val="000000"/>
              </w:rPr>
              <w:t>.</w:t>
            </w:r>
            <w:r w:rsidR="00BF76B1" w:rsidRPr="0038540D">
              <w:rPr>
                <w:rFonts w:eastAsia="Times New Roman" w:cs="Times New Roman"/>
                <w:color w:val="000000"/>
              </w:rPr>
              <w:t>08</w:t>
            </w:r>
          </w:p>
        </w:tc>
        <w:tc>
          <w:tcPr>
            <w:tcW w:w="495" w:type="pct"/>
            <w:tcBorders>
              <w:top w:val="nil"/>
              <w:left w:val="nil"/>
              <w:bottom w:val="nil"/>
              <w:right w:val="nil"/>
            </w:tcBorders>
            <w:shd w:val="clear" w:color="auto" w:fill="auto"/>
            <w:noWrap/>
            <w:vAlign w:val="center"/>
            <w:hideMark/>
          </w:tcPr>
          <w:p w14:paraId="4B206B5B" w14:textId="275C0224"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2</w:t>
            </w:r>
            <w:r w:rsidR="00DD51B9">
              <w:rPr>
                <w:rFonts w:eastAsia="Times New Roman" w:cs="Times New Roman"/>
                <w:color w:val="000000"/>
              </w:rPr>
              <w:t>0</w:t>
            </w:r>
          </w:p>
        </w:tc>
        <w:tc>
          <w:tcPr>
            <w:tcW w:w="545" w:type="pct"/>
            <w:tcBorders>
              <w:top w:val="nil"/>
              <w:left w:val="nil"/>
              <w:bottom w:val="nil"/>
              <w:right w:val="nil"/>
            </w:tcBorders>
            <w:shd w:val="clear" w:color="auto" w:fill="auto"/>
            <w:noWrap/>
            <w:vAlign w:val="center"/>
            <w:hideMark/>
          </w:tcPr>
          <w:p w14:paraId="35C364D1" w14:textId="73A1B813"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22</w:t>
            </w:r>
          </w:p>
        </w:tc>
        <w:tc>
          <w:tcPr>
            <w:tcW w:w="504" w:type="pct"/>
            <w:tcBorders>
              <w:top w:val="nil"/>
              <w:left w:val="nil"/>
              <w:bottom w:val="nil"/>
              <w:right w:val="nil"/>
            </w:tcBorders>
            <w:shd w:val="clear" w:color="auto" w:fill="auto"/>
            <w:noWrap/>
            <w:vAlign w:val="center"/>
            <w:hideMark/>
          </w:tcPr>
          <w:p w14:paraId="23FF68D7" w14:textId="237B80BC"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1</w:t>
            </w:r>
            <w:r w:rsidR="00DD51B9">
              <w:rPr>
                <w:rFonts w:eastAsia="Times New Roman" w:cs="Times New Roman"/>
                <w:color w:val="000000"/>
              </w:rPr>
              <w:t>0</w:t>
            </w:r>
          </w:p>
        </w:tc>
        <w:tc>
          <w:tcPr>
            <w:tcW w:w="501" w:type="pct"/>
            <w:tcBorders>
              <w:top w:val="nil"/>
              <w:left w:val="nil"/>
              <w:bottom w:val="nil"/>
              <w:right w:val="nil"/>
            </w:tcBorders>
            <w:shd w:val="clear" w:color="auto" w:fill="auto"/>
            <w:noWrap/>
            <w:vAlign w:val="center"/>
            <w:hideMark/>
          </w:tcPr>
          <w:p w14:paraId="1865BB74" w14:textId="66C0BFB1"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09</w:t>
            </w:r>
          </w:p>
        </w:tc>
        <w:tc>
          <w:tcPr>
            <w:tcW w:w="576" w:type="pct"/>
            <w:tcBorders>
              <w:top w:val="nil"/>
              <w:left w:val="nil"/>
              <w:bottom w:val="nil"/>
              <w:right w:val="nil"/>
            </w:tcBorders>
            <w:shd w:val="clear" w:color="auto" w:fill="auto"/>
            <w:noWrap/>
            <w:vAlign w:val="center"/>
            <w:hideMark/>
          </w:tcPr>
          <w:p w14:paraId="11D4FF3A" w14:textId="3390C175" w:rsidR="00BF76B1" w:rsidRPr="0038540D" w:rsidRDefault="00BF76B1" w:rsidP="00B15095">
            <w:pPr>
              <w:jc w:val="center"/>
              <w:rPr>
                <w:rFonts w:eastAsia="Times New Roman" w:cs="Times New Roman"/>
                <w:color w:val="000000"/>
              </w:rPr>
            </w:pPr>
            <w:r w:rsidRPr="0038540D">
              <w:rPr>
                <w:rFonts w:eastAsia="Times New Roman" w:cs="Times New Roman"/>
                <w:color w:val="000000"/>
              </w:rPr>
              <w:t>0</w:t>
            </w:r>
            <w:r w:rsidR="00DD51B9">
              <w:rPr>
                <w:rFonts w:eastAsia="Times New Roman" w:cs="Times New Roman"/>
                <w:color w:val="000000"/>
              </w:rPr>
              <w:t>.</w:t>
            </w:r>
            <w:r w:rsidRPr="0038540D">
              <w:rPr>
                <w:rFonts w:eastAsia="Times New Roman" w:cs="Times New Roman"/>
                <w:color w:val="000000"/>
              </w:rPr>
              <w:t>09</w:t>
            </w:r>
          </w:p>
        </w:tc>
      </w:tr>
      <w:tr w:rsidR="0038540D" w:rsidRPr="0038540D" w14:paraId="1DDD7959" w14:textId="77777777" w:rsidTr="004A2734">
        <w:trPr>
          <w:trHeight w:hRule="exact" w:val="227"/>
          <w:jc w:val="center"/>
        </w:trPr>
        <w:tc>
          <w:tcPr>
            <w:tcW w:w="778" w:type="pct"/>
            <w:tcBorders>
              <w:top w:val="nil"/>
              <w:left w:val="nil"/>
              <w:bottom w:val="single" w:sz="4" w:space="0" w:color="auto"/>
              <w:right w:val="nil"/>
            </w:tcBorders>
            <w:shd w:val="clear" w:color="auto" w:fill="auto"/>
            <w:noWrap/>
            <w:vAlign w:val="center"/>
            <w:hideMark/>
          </w:tcPr>
          <w:p w14:paraId="1E920AC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 </w:t>
            </w:r>
          </w:p>
        </w:tc>
        <w:tc>
          <w:tcPr>
            <w:tcW w:w="573" w:type="pct"/>
            <w:tcBorders>
              <w:top w:val="nil"/>
              <w:left w:val="nil"/>
              <w:bottom w:val="single" w:sz="4" w:space="0" w:color="auto"/>
              <w:right w:val="nil"/>
            </w:tcBorders>
            <w:shd w:val="clear" w:color="auto" w:fill="auto"/>
            <w:noWrap/>
            <w:vAlign w:val="center"/>
            <w:hideMark/>
          </w:tcPr>
          <w:p w14:paraId="63B53416"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(0.62)</w:t>
            </w:r>
          </w:p>
        </w:tc>
        <w:tc>
          <w:tcPr>
            <w:tcW w:w="549" w:type="pct"/>
            <w:tcBorders>
              <w:top w:val="nil"/>
              <w:left w:val="nil"/>
              <w:bottom w:val="single" w:sz="4" w:space="0" w:color="auto"/>
              <w:right w:val="nil"/>
            </w:tcBorders>
            <w:shd w:val="clear" w:color="auto" w:fill="auto"/>
            <w:noWrap/>
            <w:vAlign w:val="center"/>
            <w:hideMark/>
          </w:tcPr>
          <w:p w14:paraId="399C131F"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(0.56)</w:t>
            </w:r>
          </w:p>
        </w:tc>
        <w:tc>
          <w:tcPr>
            <w:tcW w:w="479" w:type="pct"/>
            <w:tcBorders>
              <w:top w:val="nil"/>
              <w:left w:val="nil"/>
              <w:bottom w:val="single" w:sz="4" w:space="0" w:color="auto"/>
              <w:right w:val="nil"/>
            </w:tcBorders>
            <w:shd w:val="clear" w:color="auto" w:fill="auto"/>
            <w:noWrap/>
            <w:vAlign w:val="center"/>
            <w:hideMark/>
          </w:tcPr>
          <w:p w14:paraId="3396720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(-0.56)</w:t>
            </w:r>
          </w:p>
        </w:tc>
        <w:tc>
          <w:tcPr>
            <w:tcW w:w="495" w:type="pct"/>
            <w:tcBorders>
              <w:top w:val="nil"/>
              <w:left w:val="nil"/>
              <w:bottom w:val="single" w:sz="4" w:space="0" w:color="auto"/>
              <w:right w:val="nil"/>
            </w:tcBorders>
            <w:shd w:val="clear" w:color="auto" w:fill="auto"/>
            <w:noWrap/>
            <w:vAlign w:val="center"/>
            <w:hideMark/>
          </w:tcPr>
          <w:p w14:paraId="2DA0D08E"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(1.15)</w:t>
            </w:r>
          </w:p>
        </w:tc>
        <w:tc>
          <w:tcPr>
            <w:tcW w:w="545" w:type="pct"/>
            <w:tcBorders>
              <w:top w:val="nil"/>
              <w:left w:val="nil"/>
              <w:bottom w:val="single" w:sz="4" w:space="0" w:color="auto"/>
              <w:right w:val="nil"/>
            </w:tcBorders>
            <w:shd w:val="clear" w:color="auto" w:fill="auto"/>
            <w:noWrap/>
            <w:vAlign w:val="center"/>
            <w:hideMark/>
          </w:tcPr>
          <w:p w14:paraId="0D6DADE8"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(1.18)</w:t>
            </w:r>
          </w:p>
        </w:tc>
        <w:tc>
          <w:tcPr>
            <w:tcW w:w="504" w:type="pct"/>
            <w:tcBorders>
              <w:top w:val="nil"/>
              <w:left w:val="nil"/>
              <w:bottom w:val="single" w:sz="4" w:space="0" w:color="auto"/>
              <w:right w:val="nil"/>
            </w:tcBorders>
            <w:shd w:val="clear" w:color="auto" w:fill="auto"/>
            <w:noWrap/>
            <w:vAlign w:val="center"/>
            <w:hideMark/>
          </w:tcPr>
          <w:p w14:paraId="43B55A5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(0.66)</w:t>
            </w:r>
          </w:p>
        </w:tc>
        <w:tc>
          <w:tcPr>
            <w:tcW w:w="501" w:type="pct"/>
            <w:tcBorders>
              <w:top w:val="nil"/>
              <w:left w:val="nil"/>
              <w:bottom w:val="single" w:sz="4" w:space="0" w:color="auto"/>
              <w:right w:val="nil"/>
            </w:tcBorders>
            <w:shd w:val="clear" w:color="auto" w:fill="auto"/>
            <w:noWrap/>
            <w:vAlign w:val="center"/>
            <w:hideMark/>
          </w:tcPr>
          <w:p w14:paraId="1F57E399"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(0.61)</w:t>
            </w:r>
          </w:p>
        </w:tc>
        <w:tc>
          <w:tcPr>
            <w:tcW w:w="576" w:type="pct"/>
            <w:tcBorders>
              <w:top w:val="nil"/>
              <w:left w:val="nil"/>
              <w:bottom w:val="single" w:sz="4" w:space="0" w:color="auto"/>
              <w:right w:val="nil"/>
            </w:tcBorders>
            <w:shd w:val="clear" w:color="auto" w:fill="auto"/>
            <w:noWrap/>
            <w:vAlign w:val="center"/>
            <w:hideMark/>
          </w:tcPr>
          <w:p w14:paraId="09C32134" w14:textId="77777777" w:rsidR="00BF76B1" w:rsidRPr="0038540D" w:rsidRDefault="00BF76B1" w:rsidP="00B15095">
            <w:pPr>
              <w:jc w:val="center"/>
              <w:rPr>
                <w:rFonts w:eastAsia="Times New Roman" w:cs="Times New Roman"/>
                <w:color w:val="000000"/>
              </w:rPr>
            </w:pPr>
            <w:r w:rsidRPr="0038540D">
              <w:rPr>
                <w:rFonts w:eastAsia="Times New Roman" w:cs="Times New Roman"/>
                <w:color w:val="000000"/>
              </w:rPr>
              <w:t>(0.58)</w:t>
            </w:r>
          </w:p>
        </w:tc>
      </w:tr>
    </w:tbl>
    <w:p w14:paraId="12971EDC" w14:textId="397171FE" w:rsidR="00417C06" w:rsidRDefault="00417C06" w:rsidP="007C6CB2">
      <w:pPr>
        <w:spacing w:line="240" w:lineRule="auto"/>
        <w:rPr>
          <w:lang w:val="en-US"/>
        </w:rPr>
      </w:pPr>
    </w:p>
    <w:p w14:paraId="502EF9CF" w14:textId="77777777" w:rsidR="00417C06" w:rsidRDefault="00417C06">
      <w:pPr>
        <w:rPr>
          <w:lang w:val="en-US"/>
        </w:rPr>
      </w:pPr>
      <w:r>
        <w:rPr>
          <w:lang w:val="en-US"/>
        </w:rPr>
        <w:br w:type="page"/>
      </w:r>
    </w:p>
    <w:p w14:paraId="64462C9D" w14:textId="77777777" w:rsidR="00974094" w:rsidRDefault="00974094" w:rsidP="006058E8">
      <w:pPr>
        <w:spacing w:line="240" w:lineRule="auto"/>
        <w:outlineLvl w:val="0"/>
        <w:rPr>
          <w:b/>
        </w:rPr>
      </w:pPr>
      <w:r>
        <w:rPr>
          <w:b/>
        </w:rPr>
        <w:lastRenderedPageBreak/>
        <w:t xml:space="preserve">Table 7 </w:t>
      </w:r>
      <w:r w:rsidRPr="006058E8">
        <w:rPr>
          <w:b/>
          <w:lang w:val="en-US"/>
        </w:rPr>
        <w:t>Asset</w:t>
      </w:r>
      <w:r>
        <w:rPr>
          <w:b/>
        </w:rPr>
        <w:t xml:space="preserve"> Growth Effect by Growth Sequence with Control to Past Growth</w:t>
      </w:r>
    </w:p>
    <w:p w14:paraId="6670E949" w14:textId="0603612F" w:rsidR="00EF4787" w:rsidRDefault="00974094" w:rsidP="00EF4787">
      <w:pPr>
        <w:spacing w:line="240" w:lineRule="auto"/>
        <w:jc w:val="both"/>
      </w:pPr>
      <w:r>
        <w:t>This table report</w:t>
      </w:r>
      <w:r w:rsidR="00FB7F49">
        <w:t>s</w:t>
      </w:r>
      <w:r>
        <w:t xml:space="preserve"> the asset growth effect regression by growth sequence with additional control of past growth.</w:t>
      </w:r>
      <w:r w:rsidR="00EF4787">
        <w:t xml:space="preserve"> </w:t>
      </w:r>
      <w:r w:rsidR="00EF4787" w:rsidRPr="008319F4">
        <w:rPr>
          <w:lang w:val="en-US"/>
        </w:rPr>
        <w:t>Asset growth slope</w:t>
      </w:r>
      <w:r w:rsidR="00EF4787">
        <w:rPr>
          <w:lang w:val="en-US"/>
        </w:rPr>
        <w:t>s</w:t>
      </w:r>
      <w:r w:rsidR="00EF4787" w:rsidRPr="008319F4">
        <w:rPr>
          <w:lang w:val="en-US"/>
        </w:rPr>
        <w:t xml:space="preserve"> are from the regression of monthly returns on </w:t>
      </w:r>
      <w:r w:rsidR="00EF4787">
        <w:rPr>
          <w:lang w:val="en-US"/>
        </w:rPr>
        <w:t>current and three lags of asset growth,</w:t>
      </w:r>
      <w:r w:rsidR="00EF4787" w:rsidRPr="008319F4">
        <w:rPr>
          <w:lang w:val="en-US"/>
        </w:rPr>
        <w:t xml:space="preserve"> the natural logarithm of market value, the natural logarithm of the book-to-market ratio and previous </w:t>
      </w:r>
      <w:r w:rsidR="00EF4787" w:rsidRPr="00DC51AD">
        <w:rPr>
          <w:noProof/>
          <w:lang w:val="en-US"/>
        </w:rPr>
        <w:t>six</w:t>
      </w:r>
      <w:r w:rsidR="00DC51AD">
        <w:rPr>
          <w:noProof/>
          <w:lang w:val="en-US"/>
        </w:rPr>
        <w:t>-</w:t>
      </w:r>
      <w:r w:rsidR="00EF4787" w:rsidRPr="00DC51AD">
        <w:rPr>
          <w:noProof/>
          <w:lang w:val="en-US"/>
        </w:rPr>
        <w:t>month</w:t>
      </w:r>
      <w:r w:rsidR="00EF4787" w:rsidRPr="008319F4">
        <w:rPr>
          <w:lang w:val="en-US"/>
        </w:rPr>
        <w:t xml:space="preserve"> returns</w:t>
      </w:r>
      <w:r w:rsidR="00EF4787">
        <w:rPr>
          <w:lang w:val="en-US"/>
        </w:rPr>
        <w:t>.  The regressions are done for portfolios including stocks in both L and H sequence groups</w:t>
      </w:r>
      <w:r w:rsidR="00EF4787" w:rsidRPr="008319F4">
        <w:rPr>
          <w:lang w:val="en-US"/>
        </w:rPr>
        <w:t xml:space="preserve">. </w:t>
      </w:r>
      <w:r w:rsidR="00EF4787">
        <w:rPr>
          <w:lang w:val="en-US"/>
        </w:rPr>
        <w:t>To form sequence groups, w</w:t>
      </w:r>
      <w:r w:rsidR="00EF4787" w:rsidRPr="008319F4">
        <w:rPr>
          <w:lang w:val="en-US"/>
        </w:rPr>
        <w:t>e first sort firms into deciles</w:t>
      </w:r>
      <w:r w:rsidR="00EF4787">
        <w:rPr>
          <w:lang w:val="en-US"/>
        </w:rPr>
        <w:t xml:space="preserve"> by asset growth</w:t>
      </w:r>
      <w:r w:rsidR="00EF4787" w:rsidRPr="008319F4">
        <w:rPr>
          <w:lang w:val="en-US"/>
        </w:rPr>
        <w:t xml:space="preserve">; and define the top two deciles as high asset growth and the bottom two deciles as low asset growth. We then trace back firm asset growth </w:t>
      </w:r>
      <w:r w:rsidR="00EF4787">
        <w:rPr>
          <w:lang w:val="en-US"/>
        </w:rPr>
        <w:t xml:space="preserve">identify how many </w:t>
      </w:r>
      <w:r w:rsidR="00EF4787" w:rsidRPr="00DC51AD">
        <w:rPr>
          <w:noProof/>
          <w:lang w:val="en-US"/>
        </w:rPr>
        <w:t>sequence</w:t>
      </w:r>
      <w:r w:rsidR="00DC51AD">
        <w:rPr>
          <w:noProof/>
          <w:lang w:val="en-US"/>
        </w:rPr>
        <w:t>s</w:t>
      </w:r>
      <w:r w:rsidR="00EF4787">
        <w:rPr>
          <w:lang w:val="en-US"/>
        </w:rPr>
        <w:t xml:space="preserve"> of growth </w:t>
      </w:r>
      <w:r w:rsidR="00EF4787" w:rsidRPr="008319F4">
        <w:rPr>
          <w:lang w:val="en-US"/>
        </w:rPr>
        <w:t xml:space="preserve">at year t end.  </w:t>
      </w:r>
      <w:r w:rsidR="00EF4787">
        <w:rPr>
          <w:lang w:val="en-US"/>
        </w:rPr>
        <w:t>For example, i</w:t>
      </w:r>
      <w:r w:rsidR="00EF4787" w:rsidRPr="008319F4">
        <w:rPr>
          <w:lang w:val="en-US"/>
        </w:rPr>
        <w:t xml:space="preserve">f firms in a high (low) decile </w:t>
      </w:r>
      <w:r w:rsidR="00EF4787">
        <w:rPr>
          <w:lang w:val="en-US"/>
        </w:rPr>
        <w:t xml:space="preserve">in year t and also </w:t>
      </w:r>
      <w:r w:rsidR="00EF4787" w:rsidRPr="008319F4">
        <w:rPr>
          <w:lang w:val="en-US"/>
        </w:rPr>
        <w:t xml:space="preserve">in high (low) decile in year t-1 but do not locate in high (low) decile in year t-2, then such firms are grouped into H1 (L1). Similarly, according to the period of </w:t>
      </w:r>
      <w:r w:rsidR="00EF4787">
        <w:rPr>
          <w:lang w:val="en-US"/>
        </w:rPr>
        <w:t>sequence</w:t>
      </w:r>
      <w:r w:rsidR="00EF4787" w:rsidRPr="008319F4">
        <w:rPr>
          <w:lang w:val="en-US"/>
        </w:rPr>
        <w:t xml:space="preserve">, we construct H2 (L2), H3 (L3) and H4 (L4). </w:t>
      </w:r>
      <w:r w:rsidR="00EF4787" w:rsidRPr="008319F4">
        <w:t>The t-values are based on Newey-West (1987) standard errors for correcting heteroscedasticity and autocorrelation</w:t>
      </w:r>
      <w:r w:rsidR="00EF4787">
        <w:t xml:space="preserve">.  </w:t>
      </w:r>
      <w:r w:rsidR="00EF4787" w:rsidRPr="008319F4">
        <w:t>*, **, and *** indicate the significance level at 0.10, 0.05 and 0.01.</w:t>
      </w:r>
    </w:p>
    <w:p w14:paraId="6343051B" w14:textId="67FA0D6E" w:rsidR="00974094" w:rsidRDefault="00974094"/>
    <w:tbl>
      <w:tblPr>
        <w:tblW w:w="5858" w:type="pct"/>
        <w:jc w:val="center"/>
        <w:tblLook w:val="04A0" w:firstRow="1" w:lastRow="0" w:firstColumn="1" w:lastColumn="0" w:noHBand="0" w:noVBand="1"/>
      </w:tblPr>
      <w:tblGrid>
        <w:gridCol w:w="1527"/>
        <w:gridCol w:w="1313"/>
        <w:gridCol w:w="643"/>
        <w:gridCol w:w="271"/>
        <w:gridCol w:w="1313"/>
        <w:gridCol w:w="643"/>
        <w:gridCol w:w="272"/>
        <w:gridCol w:w="1314"/>
        <w:gridCol w:w="643"/>
        <w:gridCol w:w="272"/>
        <w:gridCol w:w="1130"/>
        <w:gridCol w:w="643"/>
      </w:tblGrid>
      <w:tr w:rsidR="00974094" w:rsidRPr="00463826" w14:paraId="7133D558" w14:textId="77777777" w:rsidTr="00BC583E">
        <w:trPr>
          <w:trHeight w:val="320"/>
          <w:jc w:val="center"/>
        </w:trPr>
        <w:tc>
          <w:tcPr>
            <w:tcW w:w="765" w:type="pct"/>
            <w:tcBorders>
              <w:top w:val="single" w:sz="4" w:space="0" w:color="auto"/>
              <w:left w:val="nil"/>
              <w:bottom w:val="nil"/>
              <w:right w:val="nil"/>
            </w:tcBorders>
            <w:shd w:val="clear" w:color="auto" w:fill="auto"/>
            <w:noWrap/>
            <w:vAlign w:val="center"/>
            <w:hideMark/>
          </w:tcPr>
          <w:p w14:paraId="08DC96DA"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980" w:type="pct"/>
            <w:gridSpan w:val="2"/>
            <w:tcBorders>
              <w:top w:val="single" w:sz="4" w:space="0" w:color="auto"/>
              <w:left w:val="nil"/>
              <w:bottom w:val="single" w:sz="4" w:space="0" w:color="auto"/>
              <w:right w:val="nil"/>
            </w:tcBorders>
            <w:shd w:val="clear" w:color="auto" w:fill="auto"/>
            <w:noWrap/>
            <w:vAlign w:val="center"/>
            <w:hideMark/>
          </w:tcPr>
          <w:p w14:paraId="1193E212" w14:textId="77777777" w:rsidR="00974094" w:rsidRPr="00463826" w:rsidRDefault="00974094" w:rsidP="00BC583E">
            <w:pPr>
              <w:spacing w:after="0"/>
              <w:jc w:val="center"/>
              <w:rPr>
                <w:rFonts w:eastAsia="Times New Roman"/>
                <w:color w:val="000000"/>
              </w:rPr>
            </w:pPr>
            <w:r w:rsidRPr="00463826">
              <w:rPr>
                <w:rFonts w:eastAsia="Times New Roman"/>
                <w:color w:val="000000"/>
              </w:rPr>
              <w:t>Sequence = 4</w:t>
            </w:r>
          </w:p>
        </w:tc>
        <w:tc>
          <w:tcPr>
            <w:tcW w:w="136" w:type="pct"/>
            <w:tcBorders>
              <w:top w:val="single" w:sz="4" w:space="0" w:color="auto"/>
              <w:left w:val="nil"/>
              <w:bottom w:val="nil"/>
              <w:right w:val="nil"/>
            </w:tcBorders>
            <w:shd w:val="clear" w:color="auto" w:fill="auto"/>
            <w:noWrap/>
            <w:vAlign w:val="center"/>
            <w:hideMark/>
          </w:tcPr>
          <w:p w14:paraId="71547AD8"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980" w:type="pct"/>
            <w:gridSpan w:val="2"/>
            <w:tcBorders>
              <w:top w:val="single" w:sz="4" w:space="0" w:color="auto"/>
              <w:left w:val="nil"/>
              <w:bottom w:val="single" w:sz="4" w:space="0" w:color="auto"/>
              <w:right w:val="nil"/>
            </w:tcBorders>
            <w:shd w:val="clear" w:color="auto" w:fill="auto"/>
            <w:noWrap/>
            <w:vAlign w:val="center"/>
            <w:hideMark/>
          </w:tcPr>
          <w:p w14:paraId="50F9940C" w14:textId="77777777" w:rsidR="00974094" w:rsidRPr="00463826" w:rsidRDefault="00974094" w:rsidP="00BC583E">
            <w:pPr>
              <w:spacing w:after="0"/>
              <w:jc w:val="center"/>
              <w:rPr>
                <w:rFonts w:eastAsia="Times New Roman"/>
                <w:color w:val="000000"/>
              </w:rPr>
            </w:pPr>
            <w:r w:rsidRPr="00463826">
              <w:rPr>
                <w:rFonts w:eastAsia="Times New Roman"/>
                <w:color w:val="000000"/>
              </w:rPr>
              <w:t>Sequence = 3</w:t>
            </w:r>
          </w:p>
        </w:tc>
        <w:tc>
          <w:tcPr>
            <w:tcW w:w="136" w:type="pct"/>
            <w:tcBorders>
              <w:top w:val="single" w:sz="4" w:space="0" w:color="auto"/>
              <w:left w:val="nil"/>
              <w:bottom w:val="nil"/>
              <w:right w:val="nil"/>
            </w:tcBorders>
            <w:shd w:val="clear" w:color="auto" w:fill="auto"/>
            <w:noWrap/>
            <w:vAlign w:val="center"/>
            <w:hideMark/>
          </w:tcPr>
          <w:p w14:paraId="11B179A3"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980" w:type="pct"/>
            <w:gridSpan w:val="2"/>
            <w:tcBorders>
              <w:top w:val="single" w:sz="4" w:space="0" w:color="auto"/>
              <w:left w:val="nil"/>
              <w:bottom w:val="single" w:sz="4" w:space="0" w:color="auto"/>
              <w:right w:val="nil"/>
            </w:tcBorders>
            <w:shd w:val="clear" w:color="auto" w:fill="auto"/>
            <w:noWrap/>
            <w:vAlign w:val="center"/>
            <w:hideMark/>
          </w:tcPr>
          <w:p w14:paraId="60941D8E" w14:textId="77777777" w:rsidR="00974094" w:rsidRPr="00463826" w:rsidRDefault="00974094" w:rsidP="00BC583E">
            <w:pPr>
              <w:spacing w:after="0"/>
              <w:jc w:val="center"/>
              <w:rPr>
                <w:rFonts w:eastAsia="Times New Roman"/>
                <w:color w:val="000000"/>
              </w:rPr>
            </w:pPr>
            <w:r w:rsidRPr="00463826">
              <w:rPr>
                <w:rFonts w:eastAsia="Times New Roman"/>
                <w:color w:val="000000"/>
              </w:rPr>
              <w:t>Sequence = 2</w:t>
            </w:r>
          </w:p>
        </w:tc>
        <w:tc>
          <w:tcPr>
            <w:tcW w:w="136" w:type="pct"/>
            <w:tcBorders>
              <w:top w:val="single" w:sz="4" w:space="0" w:color="auto"/>
              <w:left w:val="nil"/>
              <w:bottom w:val="nil"/>
              <w:right w:val="nil"/>
            </w:tcBorders>
            <w:shd w:val="clear" w:color="auto" w:fill="auto"/>
            <w:noWrap/>
            <w:vAlign w:val="center"/>
            <w:hideMark/>
          </w:tcPr>
          <w:p w14:paraId="2D3ECB65"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888" w:type="pct"/>
            <w:gridSpan w:val="2"/>
            <w:tcBorders>
              <w:top w:val="single" w:sz="4" w:space="0" w:color="auto"/>
              <w:left w:val="nil"/>
              <w:bottom w:val="single" w:sz="4" w:space="0" w:color="auto"/>
              <w:right w:val="nil"/>
            </w:tcBorders>
            <w:shd w:val="clear" w:color="auto" w:fill="auto"/>
            <w:noWrap/>
            <w:vAlign w:val="center"/>
            <w:hideMark/>
          </w:tcPr>
          <w:p w14:paraId="5D0DB05D" w14:textId="77777777" w:rsidR="00974094" w:rsidRPr="00463826" w:rsidRDefault="00974094" w:rsidP="00BC583E">
            <w:pPr>
              <w:spacing w:after="0"/>
              <w:jc w:val="center"/>
              <w:rPr>
                <w:rFonts w:eastAsia="Times New Roman"/>
                <w:color w:val="000000"/>
              </w:rPr>
            </w:pPr>
            <w:r w:rsidRPr="00463826">
              <w:rPr>
                <w:rFonts w:eastAsia="Times New Roman"/>
                <w:color w:val="000000"/>
              </w:rPr>
              <w:t>Sequence = 1</w:t>
            </w:r>
          </w:p>
        </w:tc>
      </w:tr>
      <w:tr w:rsidR="00974094" w:rsidRPr="00463826" w14:paraId="01E05C85" w14:textId="77777777" w:rsidTr="00BC583E">
        <w:trPr>
          <w:trHeight w:val="320"/>
          <w:jc w:val="center"/>
        </w:trPr>
        <w:tc>
          <w:tcPr>
            <w:tcW w:w="765" w:type="pct"/>
            <w:tcBorders>
              <w:top w:val="nil"/>
              <w:left w:val="nil"/>
              <w:bottom w:val="single" w:sz="4" w:space="0" w:color="auto"/>
              <w:right w:val="nil"/>
            </w:tcBorders>
            <w:shd w:val="clear" w:color="auto" w:fill="auto"/>
            <w:noWrap/>
            <w:vAlign w:val="center"/>
            <w:hideMark/>
          </w:tcPr>
          <w:p w14:paraId="6C8C90F2"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658" w:type="pct"/>
            <w:tcBorders>
              <w:top w:val="nil"/>
              <w:left w:val="nil"/>
              <w:bottom w:val="single" w:sz="4" w:space="0" w:color="auto"/>
              <w:right w:val="nil"/>
            </w:tcBorders>
            <w:shd w:val="clear" w:color="auto" w:fill="auto"/>
            <w:noWrap/>
            <w:vAlign w:val="center"/>
            <w:hideMark/>
          </w:tcPr>
          <w:p w14:paraId="67A1770B" w14:textId="77777777" w:rsidR="00974094" w:rsidRPr="00463826" w:rsidRDefault="00974094" w:rsidP="00BC583E">
            <w:pPr>
              <w:spacing w:after="0"/>
              <w:jc w:val="center"/>
              <w:rPr>
                <w:rFonts w:eastAsia="Times New Roman"/>
                <w:color w:val="000000"/>
              </w:rPr>
            </w:pPr>
            <w:r w:rsidRPr="00463826">
              <w:rPr>
                <w:rFonts w:eastAsia="Times New Roman"/>
                <w:color w:val="000000"/>
              </w:rPr>
              <w:t>slope</w:t>
            </w:r>
          </w:p>
        </w:tc>
        <w:tc>
          <w:tcPr>
            <w:tcW w:w="322" w:type="pct"/>
            <w:tcBorders>
              <w:top w:val="nil"/>
              <w:left w:val="nil"/>
              <w:bottom w:val="single" w:sz="4" w:space="0" w:color="auto"/>
              <w:right w:val="nil"/>
            </w:tcBorders>
            <w:shd w:val="clear" w:color="auto" w:fill="auto"/>
            <w:noWrap/>
            <w:vAlign w:val="center"/>
            <w:hideMark/>
          </w:tcPr>
          <w:p w14:paraId="3860C6D3" w14:textId="77777777" w:rsidR="00974094" w:rsidRPr="00463826" w:rsidRDefault="00974094" w:rsidP="00BC583E">
            <w:pPr>
              <w:spacing w:after="0"/>
              <w:jc w:val="center"/>
              <w:rPr>
                <w:rFonts w:eastAsia="Times New Roman"/>
                <w:color w:val="000000"/>
              </w:rPr>
            </w:pPr>
            <w:r w:rsidRPr="00463826">
              <w:rPr>
                <w:rFonts w:eastAsia="Times New Roman"/>
                <w:color w:val="000000"/>
              </w:rPr>
              <w:t>t</w:t>
            </w:r>
          </w:p>
        </w:tc>
        <w:tc>
          <w:tcPr>
            <w:tcW w:w="136" w:type="pct"/>
            <w:tcBorders>
              <w:top w:val="nil"/>
              <w:left w:val="nil"/>
              <w:bottom w:val="single" w:sz="4" w:space="0" w:color="auto"/>
              <w:right w:val="nil"/>
            </w:tcBorders>
            <w:shd w:val="clear" w:color="auto" w:fill="auto"/>
            <w:noWrap/>
            <w:vAlign w:val="center"/>
            <w:hideMark/>
          </w:tcPr>
          <w:p w14:paraId="73B860B8"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658" w:type="pct"/>
            <w:tcBorders>
              <w:top w:val="nil"/>
              <w:left w:val="nil"/>
              <w:bottom w:val="single" w:sz="4" w:space="0" w:color="auto"/>
              <w:right w:val="nil"/>
            </w:tcBorders>
            <w:shd w:val="clear" w:color="auto" w:fill="auto"/>
            <w:noWrap/>
            <w:vAlign w:val="center"/>
            <w:hideMark/>
          </w:tcPr>
          <w:p w14:paraId="03636B68" w14:textId="77777777" w:rsidR="00974094" w:rsidRPr="00463826" w:rsidRDefault="00974094" w:rsidP="00BC583E">
            <w:pPr>
              <w:spacing w:after="0"/>
              <w:jc w:val="center"/>
              <w:rPr>
                <w:rFonts w:eastAsia="Times New Roman"/>
                <w:color w:val="000000"/>
              </w:rPr>
            </w:pPr>
            <w:r w:rsidRPr="00463826">
              <w:rPr>
                <w:rFonts w:eastAsia="Times New Roman"/>
                <w:color w:val="000000"/>
              </w:rPr>
              <w:t>slope</w:t>
            </w:r>
          </w:p>
        </w:tc>
        <w:tc>
          <w:tcPr>
            <w:tcW w:w="322" w:type="pct"/>
            <w:tcBorders>
              <w:top w:val="nil"/>
              <w:left w:val="nil"/>
              <w:bottom w:val="single" w:sz="4" w:space="0" w:color="auto"/>
              <w:right w:val="nil"/>
            </w:tcBorders>
            <w:shd w:val="clear" w:color="auto" w:fill="auto"/>
            <w:noWrap/>
            <w:vAlign w:val="center"/>
            <w:hideMark/>
          </w:tcPr>
          <w:p w14:paraId="181C324D" w14:textId="77777777" w:rsidR="00974094" w:rsidRPr="00463826" w:rsidRDefault="00974094" w:rsidP="00BC583E">
            <w:pPr>
              <w:spacing w:after="0"/>
              <w:jc w:val="center"/>
              <w:rPr>
                <w:rFonts w:eastAsia="Times New Roman"/>
                <w:color w:val="000000"/>
              </w:rPr>
            </w:pPr>
            <w:r w:rsidRPr="00463826">
              <w:rPr>
                <w:rFonts w:eastAsia="Times New Roman"/>
                <w:color w:val="000000"/>
              </w:rPr>
              <w:t>t</w:t>
            </w:r>
          </w:p>
        </w:tc>
        <w:tc>
          <w:tcPr>
            <w:tcW w:w="136" w:type="pct"/>
            <w:tcBorders>
              <w:top w:val="nil"/>
              <w:left w:val="nil"/>
              <w:bottom w:val="single" w:sz="4" w:space="0" w:color="auto"/>
              <w:right w:val="nil"/>
            </w:tcBorders>
            <w:shd w:val="clear" w:color="auto" w:fill="auto"/>
            <w:noWrap/>
            <w:vAlign w:val="center"/>
            <w:hideMark/>
          </w:tcPr>
          <w:p w14:paraId="0CC26C52"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658" w:type="pct"/>
            <w:tcBorders>
              <w:top w:val="nil"/>
              <w:left w:val="nil"/>
              <w:bottom w:val="single" w:sz="4" w:space="0" w:color="auto"/>
              <w:right w:val="nil"/>
            </w:tcBorders>
            <w:shd w:val="clear" w:color="auto" w:fill="auto"/>
            <w:noWrap/>
            <w:vAlign w:val="center"/>
            <w:hideMark/>
          </w:tcPr>
          <w:p w14:paraId="19C2500C" w14:textId="77777777" w:rsidR="00974094" w:rsidRPr="00463826" w:rsidRDefault="00974094" w:rsidP="00BC583E">
            <w:pPr>
              <w:spacing w:after="0"/>
              <w:jc w:val="center"/>
              <w:rPr>
                <w:rFonts w:eastAsia="Times New Roman"/>
                <w:color w:val="000000"/>
              </w:rPr>
            </w:pPr>
            <w:r w:rsidRPr="00463826">
              <w:rPr>
                <w:rFonts w:eastAsia="Times New Roman"/>
                <w:color w:val="000000"/>
              </w:rPr>
              <w:t>slope</w:t>
            </w:r>
          </w:p>
        </w:tc>
        <w:tc>
          <w:tcPr>
            <w:tcW w:w="322" w:type="pct"/>
            <w:tcBorders>
              <w:top w:val="nil"/>
              <w:left w:val="nil"/>
              <w:bottom w:val="single" w:sz="4" w:space="0" w:color="auto"/>
              <w:right w:val="nil"/>
            </w:tcBorders>
            <w:shd w:val="clear" w:color="auto" w:fill="auto"/>
            <w:noWrap/>
            <w:vAlign w:val="center"/>
            <w:hideMark/>
          </w:tcPr>
          <w:p w14:paraId="4E85900F" w14:textId="77777777" w:rsidR="00974094" w:rsidRPr="00463826" w:rsidRDefault="00974094" w:rsidP="00BC583E">
            <w:pPr>
              <w:spacing w:after="0"/>
              <w:jc w:val="center"/>
              <w:rPr>
                <w:rFonts w:eastAsia="Times New Roman"/>
                <w:color w:val="000000"/>
              </w:rPr>
            </w:pPr>
            <w:r w:rsidRPr="00463826">
              <w:rPr>
                <w:rFonts w:eastAsia="Times New Roman"/>
                <w:color w:val="000000"/>
              </w:rPr>
              <w:t>t</w:t>
            </w:r>
          </w:p>
        </w:tc>
        <w:tc>
          <w:tcPr>
            <w:tcW w:w="136" w:type="pct"/>
            <w:tcBorders>
              <w:top w:val="nil"/>
              <w:left w:val="nil"/>
              <w:bottom w:val="single" w:sz="4" w:space="0" w:color="auto"/>
              <w:right w:val="nil"/>
            </w:tcBorders>
            <w:shd w:val="clear" w:color="auto" w:fill="auto"/>
            <w:noWrap/>
            <w:vAlign w:val="center"/>
            <w:hideMark/>
          </w:tcPr>
          <w:p w14:paraId="74F47606"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566" w:type="pct"/>
            <w:tcBorders>
              <w:top w:val="nil"/>
              <w:left w:val="nil"/>
              <w:bottom w:val="single" w:sz="4" w:space="0" w:color="auto"/>
              <w:right w:val="nil"/>
            </w:tcBorders>
            <w:shd w:val="clear" w:color="auto" w:fill="auto"/>
            <w:noWrap/>
            <w:vAlign w:val="center"/>
            <w:hideMark/>
          </w:tcPr>
          <w:p w14:paraId="6160B791" w14:textId="77777777" w:rsidR="00974094" w:rsidRPr="00463826" w:rsidRDefault="00974094" w:rsidP="00BC583E">
            <w:pPr>
              <w:spacing w:after="0"/>
              <w:jc w:val="center"/>
              <w:rPr>
                <w:rFonts w:eastAsia="Times New Roman"/>
                <w:color w:val="000000"/>
              </w:rPr>
            </w:pPr>
            <w:r w:rsidRPr="00463826">
              <w:rPr>
                <w:rFonts w:eastAsia="Times New Roman"/>
                <w:color w:val="000000"/>
              </w:rPr>
              <w:t>slope</w:t>
            </w:r>
          </w:p>
        </w:tc>
        <w:tc>
          <w:tcPr>
            <w:tcW w:w="322" w:type="pct"/>
            <w:tcBorders>
              <w:top w:val="nil"/>
              <w:left w:val="nil"/>
              <w:bottom w:val="single" w:sz="4" w:space="0" w:color="auto"/>
              <w:right w:val="nil"/>
            </w:tcBorders>
            <w:shd w:val="clear" w:color="auto" w:fill="auto"/>
            <w:noWrap/>
            <w:vAlign w:val="center"/>
            <w:hideMark/>
          </w:tcPr>
          <w:p w14:paraId="566F2B63" w14:textId="77777777" w:rsidR="00974094" w:rsidRPr="00463826" w:rsidRDefault="00974094" w:rsidP="00BC583E">
            <w:pPr>
              <w:spacing w:after="0"/>
              <w:jc w:val="center"/>
              <w:rPr>
                <w:rFonts w:eastAsia="Times New Roman"/>
                <w:color w:val="000000"/>
              </w:rPr>
            </w:pPr>
            <w:r w:rsidRPr="00463826">
              <w:rPr>
                <w:rFonts w:eastAsia="Times New Roman"/>
                <w:color w:val="000000"/>
              </w:rPr>
              <w:t>t</w:t>
            </w:r>
          </w:p>
        </w:tc>
      </w:tr>
      <w:tr w:rsidR="00974094" w:rsidRPr="00463826" w14:paraId="2BDD1AD5"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174A0ED8" w14:textId="77777777" w:rsidR="00974094" w:rsidRPr="00463826" w:rsidRDefault="00974094" w:rsidP="00BC583E">
            <w:pPr>
              <w:spacing w:after="0"/>
              <w:jc w:val="center"/>
              <w:rPr>
                <w:rFonts w:eastAsia="Times New Roman"/>
                <w:color w:val="000000"/>
              </w:rPr>
            </w:pPr>
            <w:r w:rsidRPr="00463826">
              <w:rPr>
                <w:rFonts w:eastAsia="Times New Roman"/>
                <w:color w:val="000000"/>
              </w:rPr>
              <w:t>Intercept</w:t>
            </w:r>
          </w:p>
        </w:tc>
        <w:tc>
          <w:tcPr>
            <w:tcW w:w="658" w:type="pct"/>
            <w:tcBorders>
              <w:top w:val="nil"/>
              <w:left w:val="nil"/>
              <w:bottom w:val="nil"/>
              <w:right w:val="nil"/>
            </w:tcBorders>
            <w:shd w:val="clear" w:color="auto" w:fill="auto"/>
            <w:noWrap/>
            <w:vAlign w:val="center"/>
            <w:hideMark/>
          </w:tcPr>
          <w:p w14:paraId="0F28349D" w14:textId="3795F22B" w:rsidR="00974094" w:rsidRPr="00463826" w:rsidRDefault="00974094" w:rsidP="00BC583E">
            <w:pPr>
              <w:spacing w:after="0"/>
              <w:jc w:val="center"/>
              <w:rPr>
                <w:rFonts w:eastAsia="Times New Roman"/>
                <w:color w:val="000000"/>
              </w:rPr>
            </w:pPr>
            <w:r w:rsidRPr="00463826">
              <w:rPr>
                <w:rFonts w:eastAsia="Times New Roman"/>
                <w:color w:val="000000"/>
              </w:rPr>
              <w:t>2</w:t>
            </w:r>
            <w:r w:rsidR="00754C9A">
              <w:rPr>
                <w:rFonts w:eastAsia="Times New Roman"/>
                <w:color w:val="000000"/>
              </w:rPr>
              <w:t>.</w:t>
            </w:r>
            <w:r w:rsidRPr="00463826">
              <w:rPr>
                <w:rFonts w:eastAsia="Times New Roman"/>
                <w:color w:val="000000"/>
              </w:rPr>
              <w:t>85***</w:t>
            </w:r>
          </w:p>
        </w:tc>
        <w:tc>
          <w:tcPr>
            <w:tcW w:w="322" w:type="pct"/>
            <w:tcBorders>
              <w:top w:val="nil"/>
              <w:left w:val="nil"/>
              <w:bottom w:val="nil"/>
              <w:right w:val="nil"/>
            </w:tcBorders>
            <w:shd w:val="clear" w:color="auto" w:fill="auto"/>
            <w:noWrap/>
            <w:vAlign w:val="center"/>
            <w:hideMark/>
          </w:tcPr>
          <w:p w14:paraId="147721BC" w14:textId="77777777" w:rsidR="00974094" w:rsidRPr="00463826" w:rsidRDefault="00974094" w:rsidP="00BC583E">
            <w:pPr>
              <w:spacing w:after="0"/>
              <w:jc w:val="center"/>
              <w:rPr>
                <w:rFonts w:eastAsia="Times New Roman"/>
                <w:color w:val="000000"/>
              </w:rPr>
            </w:pPr>
            <w:r w:rsidRPr="00463826">
              <w:rPr>
                <w:rFonts w:eastAsia="Times New Roman"/>
                <w:color w:val="000000"/>
              </w:rPr>
              <w:t>3.58</w:t>
            </w:r>
          </w:p>
        </w:tc>
        <w:tc>
          <w:tcPr>
            <w:tcW w:w="136" w:type="pct"/>
            <w:tcBorders>
              <w:top w:val="nil"/>
              <w:left w:val="nil"/>
              <w:bottom w:val="nil"/>
              <w:right w:val="nil"/>
            </w:tcBorders>
            <w:shd w:val="clear" w:color="auto" w:fill="auto"/>
            <w:noWrap/>
            <w:vAlign w:val="center"/>
            <w:hideMark/>
          </w:tcPr>
          <w:p w14:paraId="3955F3B4"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31730207" w14:textId="29BA7888" w:rsidR="00974094" w:rsidRPr="00463826" w:rsidRDefault="00974094" w:rsidP="00BC583E">
            <w:pPr>
              <w:spacing w:after="0"/>
              <w:jc w:val="center"/>
              <w:rPr>
                <w:rFonts w:eastAsia="Times New Roman"/>
                <w:color w:val="000000"/>
              </w:rPr>
            </w:pPr>
            <w:r w:rsidRPr="00463826">
              <w:rPr>
                <w:rFonts w:eastAsia="Times New Roman"/>
                <w:color w:val="000000"/>
              </w:rPr>
              <w:t>2</w:t>
            </w:r>
            <w:r w:rsidR="00F6194A">
              <w:rPr>
                <w:rFonts w:eastAsia="Times New Roman"/>
                <w:color w:val="000000"/>
              </w:rPr>
              <w:t>.</w:t>
            </w:r>
            <w:r w:rsidRPr="00463826">
              <w:rPr>
                <w:rFonts w:eastAsia="Times New Roman"/>
                <w:color w:val="000000"/>
              </w:rPr>
              <w:t>42***</w:t>
            </w:r>
          </w:p>
        </w:tc>
        <w:tc>
          <w:tcPr>
            <w:tcW w:w="322" w:type="pct"/>
            <w:tcBorders>
              <w:top w:val="nil"/>
              <w:left w:val="nil"/>
              <w:bottom w:val="nil"/>
              <w:right w:val="nil"/>
            </w:tcBorders>
            <w:shd w:val="clear" w:color="auto" w:fill="auto"/>
            <w:noWrap/>
            <w:vAlign w:val="center"/>
            <w:hideMark/>
          </w:tcPr>
          <w:p w14:paraId="2421A4E1" w14:textId="77777777" w:rsidR="00974094" w:rsidRPr="00463826" w:rsidRDefault="00974094" w:rsidP="00BC583E">
            <w:pPr>
              <w:spacing w:after="0"/>
              <w:jc w:val="center"/>
              <w:rPr>
                <w:rFonts w:eastAsia="Times New Roman"/>
                <w:color w:val="000000"/>
              </w:rPr>
            </w:pPr>
            <w:r w:rsidRPr="00463826">
              <w:rPr>
                <w:rFonts w:eastAsia="Times New Roman"/>
                <w:color w:val="000000"/>
              </w:rPr>
              <w:t>4.41</w:t>
            </w:r>
          </w:p>
        </w:tc>
        <w:tc>
          <w:tcPr>
            <w:tcW w:w="136" w:type="pct"/>
            <w:tcBorders>
              <w:top w:val="nil"/>
              <w:left w:val="nil"/>
              <w:bottom w:val="nil"/>
              <w:right w:val="nil"/>
            </w:tcBorders>
            <w:shd w:val="clear" w:color="auto" w:fill="auto"/>
            <w:noWrap/>
            <w:vAlign w:val="center"/>
            <w:hideMark/>
          </w:tcPr>
          <w:p w14:paraId="39BF1984"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7342A542" w14:textId="4A609AE3" w:rsidR="00974094" w:rsidRPr="00463826" w:rsidRDefault="00974094" w:rsidP="00BC583E">
            <w:pPr>
              <w:spacing w:after="0"/>
              <w:jc w:val="center"/>
              <w:rPr>
                <w:rFonts w:eastAsia="Times New Roman"/>
                <w:color w:val="000000"/>
              </w:rPr>
            </w:pPr>
            <w:r w:rsidRPr="00463826">
              <w:rPr>
                <w:rFonts w:eastAsia="Times New Roman"/>
                <w:color w:val="000000"/>
              </w:rPr>
              <w:t>2</w:t>
            </w:r>
            <w:r w:rsidR="00F6194A">
              <w:rPr>
                <w:rFonts w:eastAsia="Times New Roman"/>
                <w:color w:val="000000"/>
              </w:rPr>
              <w:t>.</w:t>
            </w:r>
            <w:r w:rsidRPr="00463826">
              <w:rPr>
                <w:rFonts w:eastAsia="Times New Roman"/>
                <w:color w:val="000000"/>
              </w:rPr>
              <w:t>00***</w:t>
            </w:r>
          </w:p>
        </w:tc>
        <w:tc>
          <w:tcPr>
            <w:tcW w:w="322" w:type="pct"/>
            <w:tcBorders>
              <w:top w:val="nil"/>
              <w:left w:val="nil"/>
              <w:bottom w:val="nil"/>
              <w:right w:val="nil"/>
            </w:tcBorders>
            <w:shd w:val="clear" w:color="auto" w:fill="auto"/>
            <w:noWrap/>
            <w:vAlign w:val="center"/>
            <w:hideMark/>
          </w:tcPr>
          <w:p w14:paraId="5ECAB9AE" w14:textId="77777777" w:rsidR="00974094" w:rsidRPr="00463826" w:rsidRDefault="00974094" w:rsidP="00BC583E">
            <w:pPr>
              <w:spacing w:after="0"/>
              <w:jc w:val="center"/>
              <w:rPr>
                <w:rFonts w:eastAsia="Times New Roman"/>
                <w:color w:val="000000"/>
              </w:rPr>
            </w:pPr>
            <w:r w:rsidRPr="00463826">
              <w:rPr>
                <w:rFonts w:eastAsia="Times New Roman"/>
                <w:color w:val="000000"/>
              </w:rPr>
              <w:t>4.6</w:t>
            </w:r>
            <w:r>
              <w:rPr>
                <w:rFonts w:eastAsia="Times New Roman"/>
                <w:color w:val="000000"/>
              </w:rPr>
              <w:t>0</w:t>
            </w:r>
          </w:p>
        </w:tc>
        <w:tc>
          <w:tcPr>
            <w:tcW w:w="136" w:type="pct"/>
            <w:tcBorders>
              <w:top w:val="nil"/>
              <w:left w:val="nil"/>
              <w:bottom w:val="nil"/>
              <w:right w:val="nil"/>
            </w:tcBorders>
            <w:shd w:val="clear" w:color="auto" w:fill="auto"/>
            <w:noWrap/>
            <w:vAlign w:val="center"/>
            <w:hideMark/>
          </w:tcPr>
          <w:p w14:paraId="224226D9"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vAlign w:val="center"/>
            <w:hideMark/>
          </w:tcPr>
          <w:p w14:paraId="5ED9161E" w14:textId="60D6D39C" w:rsidR="00974094" w:rsidRPr="00463826" w:rsidRDefault="00974094" w:rsidP="00BC583E">
            <w:pPr>
              <w:spacing w:after="0"/>
              <w:jc w:val="center"/>
              <w:rPr>
                <w:rFonts w:eastAsia="Times New Roman"/>
                <w:color w:val="000000"/>
              </w:rPr>
            </w:pPr>
            <w:r w:rsidRPr="00463826">
              <w:rPr>
                <w:rFonts w:eastAsia="Times New Roman"/>
                <w:color w:val="000000"/>
              </w:rPr>
              <w:t>1</w:t>
            </w:r>
            <w:r w:rsidR="00F6194A">
              <w:rPr>
                <w:rFonts w:eastAsia="Times New Roman"/>
                <w:color w:val="000000"/>
              </w:rPr>
              <w:t>.</w:t>
            </w:r>
            <w:r w:rsidRPr="00463826">
              <w:rPr>
                <w:rFonts w:eastAsia="Times New Roman"/>
                <w:color w:val="000000"/>
              </w:rPr>
              <w:t>95***</w:t>
            </w:r>
          </w:p>
        </w:tc>
        <w:tc>
          <w:tcPr>
            <w:tcW w:w="322" w:type="pct"/>
            <w:tcBorders>
              <w:top w:val="nil"/>
              <w:left w:val="nil"/>
              <w:bottom w:val="nil"/>
              <w:right w:val="nil"/>
            </w:tcBorders>
            <w:shd w:val="clear" w:color="auto" w:fill="auto"/>
            <w:vAlign w:val="center"/>
            <w:hideMark/>
          </w:tcPr>
          <w:p w14:paraId="49325B15" w14:textId="77777777" w:rsidR="00974094" w:rsidRPr="00463826" w:rsidRDefault="00974094" w:rsidP="00BC583E">
            <w:pPr>
              <w:spacing w:after="0"/>
              <w:jc w:val="center"/>
              <w:rPr>
                <w:rFonts w:eastAsia="Times New Roman"/>
                <w:color w:val="000000"/>
              </w:rPr>
            </w:pPr>
            <w:r w:rsidRPr="00463826">
              <w:rPr>
                <w:rFonts w:eastAsia="Times New Roman"/>
                <w:color w:val="000000"/>
              </w:rPr>
              <w:t>4.39</w:t>
            </w:r>
          </w:p>
        </w:tc>
      </w:tr>
      <w:tr w:rsidR="00974094" w:rsidRPr="00463826" w14:paraId="2AB33A2A"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5C5B2DED" w14:textId="77777777" w:rsidR="00974094" w:rsidRPr="00463826" w:rsidRDefault="00974094" w:rsidP="00BC583E">
            <w:pPr>
              <w:spacing w:after="0"/>
              <w:jc w:val="center"/>
              <w:rPr>
                <w:rFonts w:eastAsia="Times New Roman"/>
                <w:color w:val="000000"/>
              </w:rPr>
            </w:pPr>
            <w:r w:rsidRPr="00463826">
              <w:rPr>
                <w:rFonts w:eastAsia="Times New Roman"/>
                <w:color w:val="000000"/>
              </w:rPr>
              <w:t>ln(1+AG)</w:t>
            </w:r>
          </w:p>
        </w:tc>
        <w:tc>
          <w:tcPr>
            <w:tcW w:w="658" w:type="pct"/>
            <w:tcBorders>
              <w:top w:val="nil"/>
              <w:left w:val="nil"/>
              <w:bottom w:val="nil"/>
              <w:right w:val="nil"/>
            </w:tcBorders>
            <w:shd w:val="clear" w:color="auto" w:fill="auto"/>
            <w:noWrap/>
            <w:vAlign w:val="center"/>
            <w:hideMark/>
          </w:tcPr>
          <w:p w14:paraId="30FDC10E" w14:textId="04A9E1E6"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1</w:t>
            </w:r>
            <w:r w:rsidR="00754C9A">
              <w:rPr>
                <w:rFonts w:eastAsia="Times New Roman"/>
                <w:color w:val="000000"/>
              </w:rPr>
              <w:t>.</w:t>
            </w:r>
            <w:r w:rsidR="00974094" w:rsidRPr="00463826">
              <w:rPr>
                <w:rFonts w:eastAsia="Times New Roman"/>
                <w:color w:val="000000"/>
              </w:rPr>
              <w:t>74*</w:t>
            </w:r>
          </w:p>
        </w:tc>
        <w:tc>
          <w:tcPr>
            <w:tcW w:w="322" w:type="pct"/>
            <w:tcBorders>
              <w:top w:val="nil"/>
              <w:left w:val="nil"/>
              <w:bottom w:val="nil"/>
              <w:right w:val="nil"/>
            </w:tcBorders>
            <w:shd w:val="clear" w:color="auto" w:fill="auto"/>
            <w:noWrap/>
            <w:vAlign w:val="center"/>
            <w:hideMark/>
          </w:tcPr>
          <w:p w14:paraId="11E3F567" w14:textId="77777777" w:rsidR="00974094" w:rsidRPr="00463826" w:rsidRDefault="00974094" w:rsidP="00BC583E">
            <w:pPr>
              <w:spacing w:after="0"/>
              <w:jc w:val="center"/>
              <w:rPr>
                <w:rFonts w:eastAsia="Times New Roman"/>
                <w:color w:val="000000"/>
              </w:rPr>
            </w:pPr>
            <w:r w:rsidRPr="00463826">
              <w:rPr>
                <w:rFonts w:eastAsia="Times New Roman"/>
                <w:color w:val="000000"/>
              </w:rPr>
              <w:t>-1.92</w:t>
            </w:r>
          </w:p>
        </w:tc>
        <w:tc>
          <w:tcPr>
            <w:tcW w:w="136" w:type="pct"/>
            <w:tcBorders>
              <w:top w:val="nil"/>
              <w:left w:val="nil"/>
              <w:bottom w:val="nil"/>
              <w:right w:val="nil"/>
            </w:tcBorders>
            <w:shd w:val="clear" w:color="auto" w:fill="auto"/>
            <w:noWrap/>
            <w:vAlign w:val="center"/>
            <w:hideMark/>
          </w:tcPr>
          <w:p w14:paraId="714A368C"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471B99A9" w14:textId="3FBD80FB"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1</w:t>
            </w:r>
            <w:r>
              <w:rPr>
                <w:rFonts w:eastAsia="Times New Roman"/>
                <w:color w:val="000000"/>
              </w:rPr>
              <w:t>.</w:t>
            </w:r>
            <w:r w:rsidR="00974094" w:rsidRPr="00463826">
              <w:rPr>
                <w:rFonts w:eastAsia="Times New Roman"/>
                <w:color w:val="000000"/>
              </w:rPr>
              <w:t>63**</w:t>
            </w:r>
          </w:p>
        </w:tc>
        <w:tc>
          <w:tcPr>
            <w:tcW w:w="322" w:type="pct"/>
            <w:tcBorders>
              <w:top w:val="nil"/>
              <w:left w:val="nil"/>
              <w:bottom w:val="nil"/>
              <w:right w:val="nil"/>
            </w:tcBorders>
            <w:shd w:val="clear" w:color="auto" w:fill="auto"/>
            <w:noWrap/>
            <w:vAlign w:val="center"/>
            <w:hideMark/>
          </w:tcPr>
          <w:p w14:paraId="08E2CB87" w14:textId="77777777" w:rsidR="00974094" w:rsidRPr="00463826" w:rsidRDefault="00974094" w:rsidP="00BC583E">
            <w:pPr>
              <w:spacing w:after="0"/>
              <w:jc w:val="center"/>
              <w:rPr>
                <w:rFonts w:eastAsia="Times New Roman"/>
                <w:color w:val="000000"/>
              </w:rPr>
            </w:pPr>
            <w:r w:rsidRPr="00463826">
              <w:rPr>
                <w:rFonts w:eastAsia="Times New Roman"/>
                <w:color w:val="000000"/>
              </w:rPr>
              <w:t>-2.38</w:t>
            </w:r>
          </w:p>
        </w:tc>
        <w:tc>
          <w:tcPr>
            <w:tcW w:w="136" w:type="pct"/>
            <w:tcBorders>
              <w:top w:val="nil"/>
              <w:left w:val="nil"/>
              <w:bottom w:val="nil"/>
              <w:right w:val="nil"/>
            </w:tcBorders>
            <w:shd w:val="clear" w:color="auto" w:fill="auto"/>
            <w:noWrap/>
            <w:vAlign w:val="center"/>
            <w:hideMark/>
          </w:tcPr>
          <w:p w14:paraId="7FA6B96E"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3A24A46D" w14:textId="4DCDADDD"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87***</w:t>
            </w:r>
          </w:p>
        </w:tc>
        <w:tc>
          <w:tcPr>
            <w:tcW w:w="322" w:type="pct"/>
            <w:tcBorders>
              <w:top w:val="nil"/>
              <w:left w:val="nil"/>
              <w:bottom w:val="nil"/>
              <w:right w:val="nil"/>
            </w:tcBorders>
            <w:shd w:val="clear" w:color="auto" w:fill="auto"/>
            <w:noWrap/>
            <w:vAlign w:val="center"/>
            <w:hideMark/>
          </w:tcPr>
          <w:p w14:paraId="2AC4BFFE" w14:textId="77777777" w:rsidR="00974094" w:rsidRPr="00463826" w:rsidRDefault="00974094" w:rsidP="00BC583E">
            <w:pPr>
              <w:spacing w:after="0"/>
              <w:jc w:val="center"/>
              <w:rPr>
                <w:rFonts w:eastAsia="Times New Roman"/>
                <w:color w:val="000000"/>
              </w:rPr>
            </w:pPr>
            <w:r w:rsidRPr="00463826">
              <w:rPr>
                <w:rFonts w:eastAsia="Times New Roman"/>
                <w:color w:val="000000"/>
              </w:rPr>
              <w:t>-5.01</w:t>
            </w:r>
          </w:p>
        </w:tc>
        <w:tc>
          <w:tcPr>
            <w:tcW w:w="136" w:type="pct"/>
            <w:tcBorders>
              <w:top w:val="nil"/>
              <w:left w:val="nil"/>
              <w:bottom w:val="nil"/>
              <w:right w:val="nil"/>
            </w:tcBorders>
            <w:shd w:val="clear" w:color="auto" w:fill="auto"/>
            <w:noWrap/>
            <w:vAlign w:val="center"/>
            <w:hideMark/>
          </w:tcPr>
          <w:p w14:paraId="5906374F"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noWrap/>
            <w:vAlign w:val="center"/>
            <w:hideMark/>
          </w:tcPr>
          <w:p w14:paraId="5E84A8D7" w14:textId="6B58F16B"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93***</w:t>
            </w:r>
          </w:p>
        </w:tc>
        <w:tc>
          <w:tcPr>
            <w:tcW w:w="322" w:type="pct"/>
            <w:tcBorders>
              <w:top w:val="nil"/>
              <w:left w:val="nil"/>
              <w:bottom w:val="nil"/>
              <w:right w:val="nil"/>
            </w:tcBorders>
            <w:shd w:val="clear" w:color="auto" w:fill="auto"/>
            <w:noWrap/>
            <w:vAlign w:val="center"/>
            <w:hideMark/>
          </w:tcPr>
          <w:p w14:paraId="224E2376" w14:textId="77777777" w:rsidR="00974094" w:rsidRPr="00463826" w:rsidRDefault="00974094" w:rsidP="00BC583E">
            <w:pPr>
              <w:spacing w:after="0"/>
              <w:jc w:val="center"/>
              <w:rPr>
                <w:rFonts w:eastAsia="Times New Roman"/>
                <w:color w:val="000000"/>
              </w:rPr>
            </w:pPr>
            <w:r w:rsidRPr="00463826">
              <w:rPr>
                <w:rFonts w:eastAsia="Times New Roman"/>
                <w:color w:val="000000"/>
              </w:rPr>
              <w:t>-4.91</w:t>
            </w:r>
          </w:p>
        </w:tc>
      </w:tr>
      <w:tr w:rsidR="00974094" w:rsidRPr="00463826" w14:paraId="703145D4"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38CB1DFF" w14:textId="77777777" w:rsidR="00974094" w:rsidRPr="00463826" w:rsidRDefault="00974094" w:rsidP="00BC583E">
            <w:pPr>
              <w:spacing w:after="0"/>
              <w:jc w:val="center"/>
              <w:rPr>
                <w:rFonts w:eastAsia="Times New Roman"/>
                <w:color w:val="000000"/>
              </w:rPr>
            </w:pPr>
            <w:r w:rsidRPr="00463826">
              <w:rPr>
                <w:rFonts w:eastAsia="Times New Roman"/>
                <w:color w:val="000000"/>
              </w:rPr>
              <w:t>ln(1+AG)_lag1</w:t>
            </w:r>
          </w:p>
        </w:tc>
        <w:tc>
          <w:tcPr>
            <w:tcW w:w="658" w:type="pct"/>
            <w:tcBorders>
              <w:top w:val="nil"/>
              <w:left w:val="nil"/>
              <w:bottom w:val="nil"/>
              <w:right w:val="nil"/>
            </w:tcBorders>
            <w:shd w:val="clear" w:color="auto" w:fill="auto"/>
            <w:noWrap/>
            <w:vAlign w:val="center"/>
            <w:hideMark/>
          </w:tcPr>
          <w:p w14:paraId="634A9714" w14:textId="5B7B2640" w:rsidR="00974094" w:rsidRPr="00463826" w:rsidRDefault="00974094" w:rsidP="00BC583E">
            <w:pPr>
              <w:spacing w:after="0"/>
              <w:jc w:val="center"/>
              <w:rPr>
                <w:rFonts w:eastAsia="Times New Roman"/>
                <w:color w:val="000000"/>
              </w:rPr>
            </w:pPr>
            <w:r w:rsidRPr="00463826">
              <w:rPr>
                <w:rFonts w:eastAsia="Times New Roman"/>
                <w:color w:val="000000"/>
              </w:rPr>
              <w:t>1</w:t>
            </w:r>
            <w:r w:rsidR="00754C9A">
              <w:rPr>
                <w:rFonts w:eastAsia="Times New Roman"/>
                <w:color w:val="000000"/>
              </w:rPr>
              <w:t>.</w:t>
            </w:r>
            <w:r w:rsidRPr="00463826">
              <w:rPr>
                <w:rFonts w:eastAsia="Times New Roman"/>
                <w:color w:val="000000"/>
              </w:rPr>
              <w:t>87</w:t>
            </w:r>
          </w:p>
        </w:tc>
        <w:tc>
          <w:tcPr>
            <w:tcW w:w="322" w:type="pct"/>
            <w:tcBorders>
              <w:top w:val="nil"/>
              <w:left w:val="nil"/>
              <w:bottom w:val="nil"/>
              <w:right w:val="nil"/>
            </w:tcBorders>
            <w:shd w:val="clear" w:color="auto" w:fill="auto"/>
            <w:noWrap/>
            <w:vAlign w:val="center"/>
            <w:hideMark/>
          </w:tcPr>
          <w:p w14:paraId="3F92B322" w14:textId="77777777" w:rsidR="00974094" w:rsidRPr="00463826" w:rsidRDefault="00974094" w:rsidP="00BC583E">
            <w:pPr>
              <w:spacing w:after="0"/>
              <w:jc w:val="center"/>
              <w:rPr>
                <w:rFonts w:eastAsia="Times New Roman"/>
                <w:color w:val="000000"/>
              </w:rPr>
            </w:pPr>
            <w:r w:rsidRPr="00463826">
              <w:rPr>
                <w:rFonts w:eastAsia="Times New Roman"/>
                <w:color w:val="000000"/>
              </w:rPr>
              <w:t>1.37</w:t>
            </w:r>
          </w:p>
        </w:tc>
        <w:tc>
          <w:tcPr>
            <w:tcW w:w="136" w:type="pct"/>
            <w:tcBorders>
              <w:top w:val="nil"/>
              <w:left w:val="nil"/>
              <w:bottom w:val="nil"/>
              <w:right w:val="nil"/>
            </w:tcBorders>
            <w:shd w:val="clear" w:color="auto" w:fill="auto"/>
            <w:noWrap/>
            <w:vAlign w:val="center"/>
            <w:hideMark/>
          </w:tcPr>
          <w:p w14:paraId="79EEE329"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5C8D847E" w14:textId="2EE09568"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36</w:t>
            </w:r>
          </w:p>
        </w:tc>
        <w:tc>
          <w:tcPr>
            <w:tcW w:w="322" w:type="pct"/>
            <w:tcBorders>
              <w:top w:val="nil"/>
              <w:left w:val="nil"/>
              <w:bottom w:val="nil"/>
              <w:right w:val="nil"/>
            </w:tcBorders>
            <w:shd w:val="clear" w:color="auto" w:fill="auto"/>
            <w:noWrap/>
            <w:vAlign w:val="center"/>
            <w:hideMark/>
          </w:tcPr>
          <w:p w14:paraId="3C20C57E" w14:textId="77777777" w:rsidR="00974094" w:rsidRPr="00463826" w:rsidRDefault="00974094" w:rsidP="00BC583E">
            <w:pPr>
              <w:spacing w:after="0"/>
              <w:jc w:val="center"/>
              <w:rPr>
                <w:rFonts w:eastAsia="Times New Roman"/>
                <w:color w:val="000000"/>
              </w:rPr>
            </w:pPr>
            <w:r w:rsidRPr="00463826">
              <w:rPr>
                <w:rFonts w:eastAsia="Times New Roman"/>
                <w:color w:val="000000"/>
              </w:rPr>
              <w:t>0.54</w:t>
            </w:r>
          </w:p>
        </w:tc>
        <w:tc>
          <w:tcPr>
            <w:tcW w:w="136" w:type="pct"/>
            <w:tcBorders>
              <w:top w:val="nil"/>
              <w:left w:val="nil"/>
              <w:bottom w:val="nil"/>
              <w:right w:val="nil"/>
            </w:tcBorders>
            <w:shd w:val="clear" w:color="auto" w:fill="auto"/>
            <w:noWrap/>
            <w:vAlign w:val="center"/>
            <w:hideMark/>
          </w:tcPr>
          <w:p w14:paraId="504545F1"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0C992038" w14:textId="21FAE6F5"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48***</w:t>
            </w:r>
          </w:p>
        </w:tc>
        <w:tc>
          <w:tcPr>
            <w:tcW w:w="322" w:type="pct"/>
            <w:tcBorders>
              <w:top w:val="nil"/>
              <w:left w:val="nil"/>
              <w:bottom w:val="nil"/>
              <w:right w:val="nil"/>
            </w:tcBorders>
            <w:shd w:val="clear" w:color="auto" w:fill="auto"/>
            <w:noWrap/>
            <w:vAlign w:val="center"/>
            <w:hideMark/>
          </w:tcPr>
          <w:p w14:paraId="6975CCDF" w14:textId="77777777" w:rsidR="00974094" w:rsidRPr="00463826" w:rsidRDefault="00974094" w:rsidP="00BC583E">
            <w:pPr>
              <w:spacing w:after="0"/>
              <w:jc w:val="center"/>
              <w:rPr>
                <w:rFonts w:eastAsia="Times New Roman"/>
                <w:color w:val="000000"/>
              </w:rPr>
            </w:pPr>
            <w:r w:rsidRPr="00463826">
              <w:rPr>
                <w:rFonts w:eastAsia="Times New Roman"/>
                <w:color w:val="000000"/>
              </w:rPr>
              <w:t>-2.89</w:t>
            </w:r>
          </w:p>
        </w:tc>
        <w:tc>
          <w:tcPr>
            <w:tcW w:w="136" w:type="pct"/>
            <w:tcBorders>
              <w:top w:val="nil"/>
              <w:left w:val="nil"/>
              <w:bottom w:val="nil"/>
              <w:right w:val="nil"/>
            </w:tcBorders>
            <w:shd w:val="clear" w:color="auto" w:fill="auto"/>
            <w:noWrap/>
            <w:vAlign w:val="center"/>
            <w:hideMark/>
          </w:tcPr>
          <w:p w14:paraId="6741809E"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noWrap/>
            <w:vAlign w:val="center"/>
            <w:hideMark/>
          </w:tcPr>
          <w:p w14:paraId="56F02608" w14:textId="18D0F170"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59*</w:t>
            </w:r>
          </w:p>
        </w:tc>
        <w:tc>
          <w:tcPr>
            <w:tcW w:w="322" w:type="pct"/>
            <w:tcBorders>
              <w:top w:val="nil"/>
              <w:left w:val="nil"/>
              <w:bottom w:val="nil"/>
              <w:right w:val="nil"/>
            </w:tcBorders>
            <w:shd w:val="clear" w:color="auto" w:fill="auto"/>
            <w:noWrap/>
            <w:vAlign w:val="center"/>
            <w:hideMark/>
          </w:tcPr>
          <w:p w14:paraId="55EFEBAE" w14:textId="77777777" w:rsidR="00974094" w:rsidRPr="00463826" w:rsidRDefault="00974094" w:rsidP="00BC583E">
            <w:pPr>
              <w:spacing w:after="0"/>
              <w:jc w:val="center"/>
              <w:rPr>
                <w:rFonts w:eastAsia="Times New Roman"/>
                <w:color w:val="000000"/>
              </w:rPr>
            </w:pPr>
            <w:r w:rsidRPr="00463826">
              <w:rPr>
                <w:rFonts w:eastAsia="Times New Roman"/>
                <w:color w:val="000000"/>
              </w:rPr>
              <w:t>-1.66</w:t>
            </w:r>
          </w:p>
        </w:tc>
      </w:tr>
      <w:tr w:rsidR="00974094" w:rsidRPr="00463826" w14:paraId="7881E0EA"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2D50CB21" w14:textId="77777777" w:rsidR="00974094" w:rsidRPr="00463826" w:rsidRDefault="00974094" w:rsidP="00BC583E">
            <w:pPr>
              <w:spacing w:after="0"/>
              <w:jc w:val="center"/>
              <w:rPr>
                <w:rFonts w:eastAsia="Times New Roman"/>
                <w:color w:val="000000"/>
              </w:rPr>
            </w:pPr>
            <w:r w:rsidRPr="00463826">
              <w:rPr>
                <w:rFonts w:eastAsia="Times New Roman"/>
                <w:color w:val="000000"/>
              </w:rPr>
              <w:t>ln(1+AG)_lag2</w:t>
            </w:r>
          </w:p>
        </w:tc>
        <w:tc>
          <w:tcPr>
            <w:tcW w:w="658" w:type="pct"/>
            <w:tcBorders>
              <w:top w:val="nil"/>
              <w:left w:val="nil"/>
              <w:bottom w:val="nil"/>
              <w:right w:val="nil"/>
            </w:tcBorders>
            <w:shd w:val="clear" w:color="auto" w:fill="auto"/>
            <w:noWrap/>
            <w:vAlign w:val="center"/>
            <w:hideMark/>
          </w:tcPr>
          <w:p w14:paraId="0F8D873C" w14:textId="42870916"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2</w:t>
            </w:r>
            <w:r w:rsidR="00754C9A">
              <w:rPr>
                <w:rFonts w:eastAsia="Times New Roman"/>
                <w:color w:val="000000"/>
              </w:rPr>
              <w:t>.</w:t>
            </w:r>
            <w:r w:rsidR="00974094" w:rsidRPr="00463826">
              <w:rPr>
                <w:rFonts w:eastAsia="Times New Roman"/>
                <w:color w:val="000000"/>
              </w:rPr>
              <w:t>09</w:t>
            </w:r>
          </w:p>
        </w:tc>
        <w:tc>
          <w:tcPr>
            <w:tcW w:w="322" w:type="pct"/>
            <w:tcBorders>
              <w:top w:val="nil"/>
              <w:left w:val="nil"/>
              <w:bottom w:val="nil"/>
              <w:right w:val="nil"/>
            </w:tcBorders>
            <w:shd w:val="clear" w:color="auto" w:fill="auto"/>
            <w:noWrap/>
            <w:vAlign w:val="center"/>
            <w:hideMark/>
          </w:tcPr>
          <w:p w14:paraId="4389BEE5" w14:textId="77777777" w:rsidR="00974094" w:rsidRPr="00463826" w:rsidRDefault="00974094" w:rsidP="00BC583E">
            <w:pPr>
              <w:spacing w:after="0"/>
              <w:jc w:val="center"/>
              <w:rPr>
                <w:rFonts w:eastAsia="Times New Roman"/>
                <w:color w:val="000000"/>
              </w:rPr>
            </w:pPr>
            <w:r w:rsidRPr="00463826">
              <w:rPr>
                <w:rFonts w:eastAsia="Times New Roman"/>
                <w:color w:val="000000"/>
              </w:rPr>
              <w:t>-1</w:t>
            </w:r>
            <w:r>
              <w:rPr>
                <w:rFonts w:eastAsia="Times New Roman"/>
                <w:color w:val="000000"/>
              </w:rPr>
              <w:t>.00</w:t>
            </w:r>
          </w:p>
        </w:tc>
        <w:tc>
          <w:tcPr>
            <w:tcW w:w="136" w:type="pct"/>
            <w:tcBorders>
              <w:top w:val="nil"/>
              <w:left w:val="nil"/>
              <w:bottom w:val="nil"/>
              <w:right w:val="nil"/>
            </w:tcBorders>
            <w:shd w:val="clear" w:color="auto" w:fill="auto"/>
            <w:noWrap/>
            <w:vAlign w:val="center"/>
            <w:hideMark/>
          </w:tcPr>
          <w:p w14:paraId="166D3694"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76D38801" w14:textId="05DD89EA"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05</w:t>
            </w:r>
          </w:p>
        </w:tc>
        <w:tc>
          <w:tcPr>
            <w:tcW w:w="322" w:type="pct"/>
            <w:tcBorders>
              <w:top w:val="nil"/>
              <w:left w:val="nil"/>
              <w:bottom w:val="nil"/>
              <w:right w:val="nil"/>
            </w:tcBorders>
            <w:shd w:val="clear" w:color="auto" w:fill="auto"/>
            <w:noWrap/>
            <w:vAlign w:val="center"/>
            <w:hideMark/>
          </w:tcPr>
          <w:p w14:paraId="2C159011" w14:textId="77777777" w:rsidR="00974094" w:rsidRPr="00463826" w:rsidRDefault="00974094" w:rsidP="00BC583E">
            <w:pPr>
              <w:spacing w:after="0"/>
              <w:jc w:val="center"/>
              <w:rPr>
                <w:rFonts w:eastAsia="Times New Roman"/>
                <w:color w:val="000000"/>
              </w:rPr>
            </w:pPr>
            <w:r w:rsidRPr="00463826">
              <w:rPr>
                <w:rFonts w:eastAsia="Times New Roman"/>
                <w:color w:val="000000"/>
              </w:rPr>
              <w:t>-0.08</w:t>
            </w:r>
          </w:p>
        </w:tc>
        <w:tc>
          <w:tcPr>
            <w:tcW w:w="136" w:type="pct"/>
            <w:tcBorders>
              <w:top w:val="nil"/>
              <w:left w:val="nil"/>
              <w:bottom w:val="nil"/>
              <w:right w:val="nil"/>
            </w:tcBorders>
            <w:shd w:val="clear" w:color="auto" w:fill="auto"/>
            <w:noWrap/>
            <w:vAlign w:val="center"/>
            <w:hideMark/>
          </w:tcPr>
          <w:p w14:paraId="52449FD6"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2DB4AF68" w14:textId="79E2EF01"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03</w:t>
            </w:r>
          </w:p>
        </w:tc>
        <w:tc>
          <w:tcPr>
            <w:tcW w:w="322" w:type="pct"/>
            <w:tcBorders>
              <w:top w:val="nil"/>
              <w:left w:val="nil"/>
              <w:bottom w:val="nil"/>
              <w:right w:val="nil"/>
            </w:tcBorders>
            <w:shd w:val="clear" w:color="auto" w:fill="auto"/>
            <w:noWrap/>
            <w:vAlign w:val="center"/>
            <w:hideMark/>
          </w:tcPr>
          <w:p w14:paraId="07B9FA62" w14:textId="77777777" w:rsidR="00974094" w:rsidRPr="00463826" w:rsidRDefault="00974094" w:rsidP="00BC583E">
            <w:pPr>
              <w:spacing w:after="0"/>
              <w:jc w:val="center"/>
              <w:rPr>
                <w:rFonts w:eastAsia="Times New Roman"/>
                <w:color w:val="000000"/>
              </w:rPr>
            </w:pPr>
            <w:r w:rsidRPr="00463826">
              <w:rPr>
                <w:rFonts w:eastAsia="Times New Roman"/>
                <w:color w:val="000000"/>
              </w:rPr>
              <w:t>0.13</w:t>
            </w:r>
          </w:p>
        </w:tc>
        <w:tc>
          <w:tcPr>
            <w:tcW w:w="136" w:type="pct"/>
            <w:tcBorders>
              <w:top w:val="nil"/>
              <w:left w:val="nil"/>
              <w:bottom w:val="nil"/>
              <w:right w:val="nil"/>
            </w:tcBorders>
            <w:shd w:val="clear" w:color="auto" w:fill="auto"/>
            <w:noWrap/>
            <w:vAlign w:val="center"/>
            <w:hideMark/>
          </w:tcPr>
          <w:p w14:paraId="04C72DAA"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vAlign w:val="center"/>
            <w:hideMark/>
          </w:tcPr>
          <w:p w14:paraId="682F7EBD" w14:textId="55EC120B"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13</w:t>
            </w:r>
          </w:p>
        </w:tc>
        <w:tc>
          <w:tcPr>
            <w:tcW w:w="322" w:type="pct"/>
            <w:tcBorders>
              <w:top w:val="nil"/>
              <w:left w:val="nil"/>
              <w:bottom w:val="nil"/>
              <w:right w:val="nil"/>
            </w:tcBorders>
            <w:shd w:val="clear" w:color="auto" w:fill="auto"/>
            <w:vAlign w:val="center"/>
            <w:hideMark/>
          </w:tcPr>
          <w:p w14:paraId="011E0A68" w14:textId="77777777" w:rsidR="00974094" w:rsidRPr="00463826" w:rsidRDefault="00974094" w:rsidP="00BC583E">
            <w:pPr>
              <w:spacing w:after="0"/>
              <w:jc w:val="center"/>
              <w:rPr>
                <w:rFonts w:eastAsia="Times New Roman"/>
                <w:color w:val="000000"/>
              </w:rPr>
            </w:pPr>
            <w:r w:rsidRPr="00463826">
              <w:rPr>
                <w:rFonts w:eastAsia="Times New Roman"/>
                <w:color w:val="000000"/>
              </w:rPr>
              <w:t>0.50</w:t>
            </w:r>
          </w:p>
        </w:tc>
      </w:tr>
      <w:tr w:rsidR="00974094" w:rsidRPr="00463826" w14:paraId="7BBB1FAF"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299E6680" w14:textId="77777777" w:rsidR="00974094" w:rsidRPr="00463826" w:rsidRDefault="00974094" w:rsidP="00BC583E">
            <w:pPr>
              <w:spacing w:after="0"/>
              <w:jc w:val="center"/>
              <w:rPr>
                <w:rFonts w:eastAsia="Times New Roman"/>
                <w:color w:val="000000"/>
              </w:rPr>
            </w:pPr>
            <w:r w:rsidRPr="00463826">
              <w:rPr>
                <w:rFonts w:eastAsia="Times New Roman"/>
                <w:color w:val="000000"/>
              </w:rPr>
              <w:t>ln(1+AG)_lag3</w:t>
            </w:r>
          </w:p>
        </w:tc>
        <w:tc>
          <w:tcPr>
            <w:tcW w:w="658" w:type="pct"/>
            <w:tcBorders>
              <w:top w:val="nil"/>
              <w:left w:val="nil"/>
              <w:bottom w:val="nil"/>
              <w:right w:val="nil"/>
            </w:tcBorders>
            <w:shd w:val="clear" w:color="auto" w:fill="auto"/>
            <w:noWrap/>
            <w:vAlign w:val="center"/>
            <w:hideMark/>
          </w:tcPr>
          <w:p w14:paraId="3CCEF452" w14:textId="783F8E15"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1</w:t>
            </w:r>
            <w:r w:rsidR="00754C9A">
              <w:rPr>
                <w:rFonts w:eastAsia="Times New Roman"/>
                <w:color w:val="000000"/>
              </w:rPr>
              <w:t>.</w:t>
            </w:r>
            <w:r w:rsidR="00974094" w:rsidRPr="00463826">
              <w:rPr>
                <w:rFonts w:eastAsia="Times New Roman"/>
                <w:color w:val="000000"/>
              </w:rPr>
              <w:t>16</w:t>
            </w:r>
          </w:p>
        </w:tc>
        <w:tc>
          <w:tcPr>
            <w:tcW w:w="322" w:type="pct"/>
            <w:tcBorders>
              <w:top w:val="nil"/>
              <w:left w:val="nil"/>
              <w:bottom w:val="nil"/>
              <w:right w:val="nil"/>
            </w:tcBorders>
            <w:shd w:val="clear" w:color="auto" w:fill="auto"/>
            <w:noWrap/>
            <w:vAlign w:val="center"/>
            <w:hideMark/>
          </w:tcPr>
          <w:p w14:paraId="6A7FD3FD" w14:textId="77777777" w:rsidR="00974094" w:rsidRPr="00463826" w:rsidRDefault="00974094" w:rsidP="00BC583E">
            <w:pPr>
              <w:spacing w:after="0"/>
              <w:jc w:val="center"/>
              <w:rPr>
                <w:rFonts w:eastAsia="Times New Roman"/>
                <w:color w:val="000000"/>
              </w:rPr>
            </w:pPr>
            <w:r w:rsidRPr="00463826">
              <w:rPr>
                <w:rFonts w:eastAsia="Times New Roman"/>
                <w:color w:val="000000"/>
              </w:rPr>
              <w:t>-0.73</w:t>
            </w:r>
          </w:p>
        </w:tc>
        <w:tc>
          <w:tcPr>
            <w:tcW w:w="136" w:type="pct"/>
            <w:tcBorders>
              <w:top w:val="nil"/>
              <w:left w:val="nil"/>
              <w:bottom w:val="nil"/>
              <w:right w:val="nil"/>
            </w:tcBorders>
            <w:shd w:val="clear" w:color="auto" w:fill="auto"/>
            <w:noWrap/>
            <w:vAlign w:val="center"/>
            <w:hideMark/>
          </w:tcPr>
          <w:p w14:paraId="44F487D2"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740B673E" w14:textId="2B7BE888" w:rsidR="00974094" w:rsidRPr="00463826" w:rsidRDefault="00974094" w:rsidP="00BC583E">
            <w:pPr>
              <w:spacing w:after="0"/>
              <w:jc w:val="center"/>
              <w:rPr>
                <w:rFonts w:eastAsia="Times New Roman"/>
                <w:color w:val="000000"/>
              </w:rPr>
            </w:pPr>
            <w:r w:rsidRPr="00463826">
              <w:rPr>
                <w:rFonts w:eastAsia="Times New Roman"/>
                <w:color w:val="000000"/>
              </w:rPr>
              <w:t>1</w:t>
            </w:r>
            <w:r w:rsidR="00F6194A">
              <w:rPr>
                <w:rFonts w:eastAsia="Times New Roman"/>
                <w:color w:val="000000"/>
              </w:rPr>
              <w:t>.</w:t>
            </w:r>
            <w:r w:rsidRPr="00463826">
              <w:rPr>
                <w:rFonts w:eastAsia="Times New Roman"/>
                <w:color w:val="000000"/>
              </w:rPr>
              <w:t>39**</w:t>
            </w:r>
          </w:p>
        </w:tc>
        <w:tc>
          <w:tcPr>
            <w:tcW w:w="322" w:type="pct"/>
            <w:tcBorders>
              <w:top w:val="nil"/>
              <w:left w:val="nil"/>
              <w:bottom w:val="nil"/>
              <w:right w:val="nil"/>
            </w:tcBorders>
            <w:shd w:val="clear" w:color="auto" w:fill="auto"/>
            <w:noWrap/>
            <w:vAlign w:val="center"/>
            <w:hideMark/>
          </w:tcPr>
          <w:p w14:paraId="74849B33" w14:textId="77777777" w:rsidR="00974094" w:rsidRPr="00463826" w:rsidRDefault="00974094" w:rsidP="00BC583E">
            <w:pPr>
              <w:spacing w:after="0"/>
              <w:jc w:val="center"/>
              <w:rPr>
                <w:rFonts w:eastAsia="Times New Roman"/>
                <w:color w:val="000000"/>
              </w:rPr>
            </w:pPr>
            <w:r w:rsidRPr="00463826">
              <w:rPr>
                <w:rFonts w:eastAsia="Times New Roman"/>
                <w:color w:val="000000"/>
              </w:rPr>
              <w:t>2.2</w:t>
            </w:r>
            <w:r>
              <w:rPr>
                <w:rFonts w:eastAsia="Times New Roman"/>
                <w:color w:val="000000"/>
              </w:rPr>
              <w:t>0</w:t>
            </w:r>
          </w:p>
        </w:tc>
        <w:tc>
          <w:tcPr>
            <w:tcW w:w="136" w:type="pct"/>
            <w:tcBorders>
              <w:top w:val="nil"/>
              <w:left w:val="nil"/>
              <w:bottom w:val="nil"/>
              <w:right w:val="nil"/>
            </w:tcBorders>
            <w:shd w:val="clear" w:color="auto" w:fill="auto"/>
            <w:noWrap/>
            <w:vAlign w:val="center"/>
            <w:hideMark/>
          </w:tcPr>
          <w:p w14:paraId="1E42E01A"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069C0091" w14:textId="132D5622"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13</w:t>
            </w:r>
          </w:p>
        </w:tc>
        <w:tc>
          <w:tcPr>
            <w:tcW w:w="322" w:type="pct"/>
            <w:tcBorders>
              <w:top w:val="nil"/>
              <w:left w:val="nil"/>
              <w:bottom w:val="nil"/>
              <w:right w:val="nil"/>
            </w:tcBorders>
            <w:shd w:val="clear" w:color="auto" w:fill="auto"/>
            <w:noWrap/>
            <w:vAlign w:val="center"/>
            <w:hideMark/>
          </w:tcPr>
          <w:p w14:paraId="29CE7A37" w14:textId="77777777" w:rsidR="00974094" w:rsidRPr="00463826" w:rsidRDefault="00974094" w:rsidP="00BC583E">
            <w:pPr>
              <w:spacing w:after="0"/>
              <w:jc w:val="center"/>
              <w:rPr>
                <w:rFonts w:eastAsia="Times New Roman"/>
                <w:color w:val="000000"/>
              </w:rPr>
            </w:pPr>
            <w:r w:rsidRPr="00463826">
              <w:rPr>
                <w:rFonts w:eastAsia="Times New Roman"/>
                <w:color w:val="000000"/>
              </w:rPr>
              <w:t>-0.67</w:t>
            </w:r>
          </w:p>
        </w:tc>
        <w:tc>
          <w:tcPr>
            <w:tcW w:w="136" w:type="pct"/>
            <w:tcBorders>
              <w:top w:val="nil"/>
              <w:left w:val="nil"/>
              <w:bottom w:val="nil"/>
              <w:right w:val="nil"/>
            </w:tcBorders>
            <w:shd w:val="clear" w:color="auto" w:fill="auto"/>
            <w:noWrap/>
            <w:vAlign w:val="center"/>
            <w:hideMark/>
          </w:tcPr>
          <w:p w14:paraId="71336B04"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noWrap/>
            <w:vAlign w:val="center"/>
            <w:hideMark/>
          </w:tcPr>
          <w:p w14:paraId="5C9D6CE4" w14:textId="3ADDE1F9"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50**</w:t>
            </w:r>
          </w:p>
        </w:tc>
        <w:tc>
          <w:tcPr>
            <w:tcW w:w="322" w:type="pct"/>
            <w:tcBorders>
              <w:top w:val="nil"/>
              <w:left w:val="nil"/>
              <w:bottom w:val="nil"/>
              <w:right w:val="nil"/>
            </w:tcBorders>
            <w:shd w:val="clear" w:color="auto" w:fill="auto"/>
            <w:noWrap/>
            <w:vAlign w:val="center"/>
            <w:hideMark/>
          </w:tcPr>
          <w:p w14:paraId="1E674B29" w14:textId="77777777" w:rsidR="00974094" w:rsidRPr="00463826" w:rsidRDefault="00974094" w:rsidP="00BC583E">
            <w:pPr>
              <w:spacing w:after="0"/>
              <w:jc w:val="center"/>
              <w:rPr>
                <w:rFonts w:eastAsia="Times New Roman"/>
                <w:color w:val="000000"/>
              </w:rPr>
            </w:pPr>
            <w:r w:rsidRPr="00463826">
              <w:rPr>
                <w:rFonts w:eastAsia="Times New Roman"/>
                <w:color w:val="000000"/>
              </w:rPr>
              <w:t>-2.05</w:t>
            </w:r>
          </w:p>
        </w:tc>
      </w:tr>
      <w:tr w:rsidR="00974094" w:rsidRPr="00463826" w14:paraId="3FD4E6FC" w14:textId="77777777" w:rsidTr="00BC583E">
        <w:trPr>
          <w:trHeight w:val="320"/>
          <w:jc w:val="center"/>
        </w:trPr>
        <w:tc>
          <w:tcPr>
            <w:tcW w:w="765" w:type="pct"/>
            <w:tcBorders>
              <w:top w:val="nil"/>
              <w:left w:val="nil"/>
              <w:bottom w:val="nil"/>
              <w:right w:val="nil"/>
            </w:tcBorders>
            <w:shd w:val="clear" w:color="auto" w:fill="auto"/>
            <w:noWrap/>
            <w:vAlign w:val="center"/>
            <w:hideMark/>
          </w:tcPr>
          <w:p w14:paraId="54BB7AD4" w14:textId="77777777" w:rsidR="00974094" w:rsidRPr="00463826" w:rsidRDefault="00974094" w:rsidP="00BC583E">
            <w:pPr>
              <w:spacing w:after="0"/>
              <w:jc w:val="center"/>
              <w:rPr>
                <w:rFonts w:eastAsia="Times New Roman"/>
                <w:color w:val="000000"/>
              </w:rPr>
            </w:pPr>
            <w:r w:rsidRPr="00463826">
              <w:rPr>
                <w:rFonts w:eastAsia="Times New Roman"/>
                <w:color w:val="000000"/>
              </w:rPr>
              <w:t>lnBM</w:t>
            </w:r>
          </w:p>
        </w:tc>
        <w:tc>
          <w:tcPr>
            <w:tcW w:w="658" w:type="pct"/>
            <w:tcBorders>
              <w:top w:val="nil"/>
              <w:left w:val="nil"/>
              <w:bottom w:val="nil"/>
              <w:right w:val="nil"/>
            </w:tcBorders>
            <w:shd w:val="clear" w:color="auto" w:fill="auto"/>
            <w:noWrap/>
            <w:vAlign w:val="center"/>
            <w:hideMark/>
          </w:tcPr>
          <w:p w14:paraId="3763F367" w14:textId="5F9B595D" w:rsidR="00974094" w:rsidRPr="00463826" w:rsidRDefault="00974094" w:rsidP="00BC583E">
            <w:pPr>
              <w:spacing w:after="0"/>
              <w:jc w:val="center"/>
              <w:rPr>
                <w:rFonts w:eastAsia="Times New Roman"/>
                <w:color w:val="000000"/>
              </w:rPr>
            </w:pPr>
            <w:r w:rsidRPr="00463826">
              <w:rPr>
                <w:rFonts w:eastAsia="Times New Roman"/>
                <w:color w:val="000000"/>
              </w:rPr>
              <w:t>0</w:t>
            </w:r>
            <w:r w:rsidR="00754C9A">
              <w:rPr>
                <w:rFonts w:eastAsia="Times New Roman"/>
                <w:color w:val="000000"/>
              </w:rPr>
              <w:t>.</w:t>
            </w:r>
            <w:r w:rsidRPr="00463826">
              <w:rPr>
                <w:rFonts w:eastAsia="Times New Roman"/>
                <w:color w:val="000000"/>
              </w:rPr>
              <w:t>19</w:t>
            </w:r>
          </w:p>
        </w:tc>
        <w:tc>
          <w:tcPr>
            <w:tcW w:w="322" w:type="pct"/>
            <w:tcBorders>
              <w:top w:val="nil"/>
              <w:left w:val="nil"/>
              <w:bottom w:val="nil"/>
              <w:right w:val="nil"/>
            </w:tcBorders>
            <w:shd w:val="clear" w:color="auto" w:fill="auto"/>
            <w:noWrap/>
            <w:vAlign w:val="center"/>
            <w:hideMark/>
          </w:tcPr>
          <w:p w14:paraId="107D8ED6" w14:textId="77777777" w:rsidR="00974094" w:rsidRPr="00463826" w:rsidRDefault="00974094" w:rsidP="00BC583E">
            <w:pPr>
              <w:spacing w:after="0"/>
              <w:jc w:val="center"/>
              <w:rPr>
                <w:rFonts w:eastAsia="Times New Roman"/>
                <w:color w:val="000000"/>
              </w:rPr>
            </w:pPr>
            <w:r w:rsidRPr="00463826">
              <w:rPr>
                <w:rFonts w:eastAsia="Times New Roman"/>
                <w:color w:val="000000"/>
              </w:rPr>
              <w:t>0.78</w:t>
            </w:r>
          </w:p>
        </w:tc>
        <w:tc>
          <w:tcPr>
            <w:tcW w:w="136" w:type="pct"/>
            <w:tcBorders>
              <w:top w:val="nil"/>
              <w:left w:val="nil"/>
              <w:bottom w:val="nil"/>
              <w:right w:val="nil"/>
            </w:tcBorders>
            <w:shd w:val="clear" w:color="auto" w:fill="auto"/>
            <w:noWrap/>
            <w:vAlign w:val="center"/>
            <w:hideMark/>
          </w:tcPr>
          <w:p w14:paraId="3BDD681B"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37EFAEC6" w14:textId="0119746E"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26*</w:t>
            </w:r>
          </w:p>
        </w:tc>
        <w:tc>
          <w:tcPr>
            <w:tcW w:w="322" w:type="pct"/>
            <w:tcBorders>
              <w:top w:val="nil"/>
              <w:left w:val="nil"/>
              <w:bottom w:val="nil"/>
              <w:right w:val="nil"/>
            </w:tcBorders>
            <w:shd w:val="clear" w:color="auto" w:fill="auto"/>
            <w:noWrap/>
            <w:vAlign w:val="center"/>
            <w:hideMark/>
          </w:tcPr>
          <w:p w14:paraId="0110A90A" w14:textId="77777777" w:rsidR="00974094" w:rsidRPr="00463826" w:rsidRDefault="00974094" w:rsidP="00BC583E">
            <w:pPr>
              <w:spacing w:after="0"/>
              <w:jc w:val="center"/>
              <w:rPr>
                <w:rFonts w:eastAsia="Times New Roman"/>
                <w:color w:val="000000"/>
              </w:rPr>
            </w:pPr>
            <w:r w:rsidRPr="00463826">
              <w:rPr>
                <w:rFonts w:eastAsia="Times New Roman"/>
                <w:color w:val="000000"/>
              </w:rPr>
              <w:t>1.77</w:t>
            </w:r>
          </w:p>
        </w:tc>
        <w:tc>
          <w:tcPr>
            <w:tcW w:w="136" w:type="pct"/>
            <w:tcBorders>
              <w:top w:val="nil"/>
              <w:left w:val="nil"/>
              <w:bottom w:val="nil"/>
              <w:right w:val="nil"/>
            </w:tcBorders>
            <w:shd w:val="clear" w:color="auto" w:fill="auto"/>
            <w:noWrap/>
            <w:vAlign w:val="center"/>
            <w:hideMark/>
          </w:tcPr>
          <w:p w14:paraId="7731A691" w14:textId="77777777" w:rsidR="00974094" w:rsidRPr="00463826" w:rsidRDefault="00974094" w:rsidP="00BC583E">
            <w:pPr>
              <w:spacing w:after="0"/>
              <w:jc w:val="center"/>
              <w:rPr>
                <w:rFonts w:eastAsia="Times New Roman"/>
                <w:color w:val="000000"/>
              </w:rPr>
            </w:pPr>
          </w:p>
        </w:tc>
        <w:tc>
          <w:tcPr>
            <w:tcW w:w="658" w:type="pct"/>
            <w:tcBorders>
              <w:top w:val="nil"/>
              <w:left w:val="nil"/>
              <w:bottom w:val="nil"/>
              <w:right w:val="nil"/>
            </w:tcBorders>
            <w:shd w:val="clear" w:color="auto" w:fill="auto"/>
            <w:noWrap/>
            <w:vAlign w:val="center"/>
            <w:hideMark/>
          </w:tcPr>
          <w:p w14:paraId="46D002E3" w14:textId="06ACDE12"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11*</w:t>
            </w:r>
          </w:p>
        </w:tc>
        <w:tc>
          <w:tcPr>
            <w:tcW w:w="322" w:type="pct"/>
            <w:tcBorders>
              <w:top w:val="nil"/>
              <w:left w:val="nil"/>
              <w:bottom w:val="nil"/>
              <w:right w:val="nil"/>
            </w:tcBorders>
            <w:shd w:val="clear" w:color="auto" w:fill="auto"/>
            <w:noWrap/>
            <w:vAlign w:val="center"/>
            <w:hideMark/>
          </w:tcPr>
          <w:p w14:paraId="350B875F" w14:textId="77777777" w:rsidR="00974094" w:rsidRPr="00463826" w:rsidRDefault="00974094" w:rsidP="00BC583E">
            <w:pPr>
              <w:spacing w:after="0"/>
              <w:jc w:val="center"/>
              <w:rPr>
                <w:rFonts w:eastAsia="Times New Roman"/>
                <w:color w:val="000000"/>
              </w:rPr>
            </w:pPr>
            <w:r w:rsidRPr="00463826">
              <w:rPr>
                <w:rFonts w:eastAsia="Times New Roman"/>
                <w:color w:val="000000"/>
              </w:rPr>
              <w:t>1.72</w:t>
            </w:r>
          </w:p>
        </w:tc>
        <w:tc>
          <w:tcPr>
            <w:tcW w:w="136" w:type="pct"/>
            <w:tcBorders>
              <w:top w:val="nil"/>
              <w:left w:val="nil"/>
              <w:bottom w:val="nil"/>
              <w:right w:val="nil"/>
            </w:tcBorders>
            <w:shd w:val="clear" w:color="auto" w:fill="auto"/>
            <w:noWrap/>
            <w:vAlign w:val="center"/>
            <w:hideMark/>
          </w:tcPr>
          <w:p w14:paraId="1655173D" w14:textId="77777777" w:rsidR="00974094" w:rsidRPr="00463826" w:rsidRDefault="00974094" w:rsidP="00BC583E">
            <w:pPr>
              <w:spacing w:after="0"/>
              <w:jc w:val="center"/>
              <w:rPr>
                <w:rFonts w:eastAsia="Times New Roman"/>
                <w:color w:val="000000"/>
              </w:rPr>
            </w:pPr>
          </w:p>
        </w:tc>
        <w:tc>
          <w:tcPr>
            <w:tcW w:w="566" w:type="pct"/>
            <w:tcBorders>
              <w:top w:val="nil"/>
              <w:left w:val="nil"/>
              <w:bottom w:val="nil"/>
              <w:right w:val="nil"/>
            </w:tcBorders>
            <w:shd w:val="clear" w:color="auto" w:fill="auto"/>
            <w:vAlign w:val="center"/>
            <w:hideMark/>
          </w:tcPr>
          <w:p w14:paraId="59693CD3" w14:textId="3A80A288"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08</w:t>
            </w:r>
          </w:p>
        </w:tc>
        <w:tc>
          <w:tcPr>
            <w:tcW w:w="322" w:type="pct"/>
            <w:tcBorders>
              <w:top w:val="nil"/>
              <w:left w:val="nil"/>
              <w:bottom w:val="nil"/>
              <w:right w:val="nil"/>
            </w:tcBorders>
            <w:shd w:val="clear" w:color="auto" w:fill="auto"/>
            <w:vAlign w:val="center"/>
            <w:hideMark/>
          </w:tcPr>
          <w:p w14:paraId="354F574D" w14:textId="77777777" w:rsidR="00974094" w:rsidRPr="00463826" w:rsidRDefault="00974094" w:rsidP="00BC583E">
            <w:pPr>
              <w:spacing w:after="0"/>
              <w:jc w:val="center"/>
              <w:rPr>
                <w:rFonts w:eastAsia="Times New Roman"/>
                <w:color w:val="000000"/>
              </w:rPr>
            </w:pPr>
            <w:r w:rsidRPr="00463826">
              <w:rPr>
                <w:rFonts w:eastAsia="Times New Roman"/>
                <w:color w:val="000000"/>
              </w:rPr>
              <w:t>1.08</w:t>
            </w:r>
          </w:p>
        </w:tc>
      </w:tr>
      <w:tr w:rsidR="00974094" w:rsidRPr="00463826" w14:paraId="6F698573" w14:textId="77777777" w:rsidTr="00BC583E">
        <w:trPr>
          <w:trHeight w:val="300"/>
          <w:jc w:val="center"/>
        </w:trPr>
        <w:tc>
          <w:tcPr>
            <w:tcW w:w="765" w:type="pct"/>
            <w:tcBorders>
              <w:top w:val="nil"/>
              <w:left w:val="nil"/>
              <w:right w:val="nil"/>
            </w:tcBorders>
            <w:shd w:val="clear" w:color="auto" w:fill="auto"/>
            <w:noWrap/>
            <w:vAlign w:val="center"/>
            <w:hideMark/>
          </w:tcPr>
          <w:p w14:paraId="65AE2C5C" w14:textId="77777777" w:rsidR="00974094" w:rsidRPr="00463826" w:rsidRDefault="00974094" w:rsidP="00BC583E">
            <w:pPr>
              <w:spacing w:after="0"/>
              <w:jc w:val="center"/>
              <w:rPr>
                <w:rFonts w:eastAsia="Times New Roman"/>
                <w:color w:val="000000"/>
              </w:rPr>
            </w:pPr>
            <w:r w:rsidRPr="00463826">
              <w:rPr>
                <w:rFonts w:eastAsia="Times New Roman"/>
                <w:color w:val="000000"/>
              </w:rPr>
              <w:t>lnMV</w:t>
            </w:r>
          </w:p>
        </w:tc>
        <w:tc>
          <w:tcPr>
            <w:tcW w:w="658" w:type="pct"/>
            <w:tcBorders>
              <w:top w:val="nil"/>
              <w:left w:val="nil"/>
              <w:right w:val="nil"/>
            </w:tcBorders>
            <w:shd w:val="clear" w:color="auto" w:fill="auto"/>
            <w:noWrap/>
            <w:vAlign w:val="center"/>
            <w:hideMark/>
          </w:tcPr>
          <w:p w14:paraId="65E8A4F4" w14:textId="6873E84B"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sidR="00754C9A">
              <w:rPr>
                <w:rFonts w:eastAsia="Times New Roman"/>
                <w:color w:val="000000"/>
              </w:rPr>
              <w:t>.</w:t>
            </w:r>
            <w:r w:rsidR="00974094" w:rsidRPr="00463826">
              <w:rPr>
                <w:rFonts w:eastAsia="Times New Roman"/>
                <w:color w:val="000000"/>
              </w:rPr>
              <w:t>28**</w:t>
            </w:r>
          </w:p>
        </w:tc>
        <w:tc>
          <w:tcPr>
            <w:tcW w:w="322" w:type="pct"/>
            <w:tcBorders>
              <w:top w:val="nil"/>
              <w:left w:val="nil"/>
              <w:right w:val="nil"/>
            </w:tcBorders>
            <w:shd w:val="clear" w:color="auto" w:fill="auto"/>
            <w:noWrap/>
            <w:vAlign w:val="center"/>
            <w:hideMark/>
          </w:tcPr>
          <w:p w14:paraId="290D152F" w14:textId="77777777" w:rsidR="00974094" w:rsidRPr="00463826" w:rsidRDefault="00974094" w:rsidP="00BC583E">
            <w:pPr>
              <w:spacing w:after="0"/>
              <w:jc w:val="center"/>
              <w:rPr>
                <w:rFonts w:eastAsia="Times New Roman"/>
                <w:color w:val="000000"/>
              </w:rPr>
            </w:pPr>
            <w:r w:rsidRPr="00463826">
              <w:rPr>
                <w:rFonts w:eastAsia="Times New Roman"/>
                <w:color w:val="000000"/>
              </w:rPr>
              <w:t>-2.06</w:t>
            </w:r>
          </w:p>
        </w:tc>
        <w:tc>
          <w:tcPr>
            <w:tcW w:w="136" w:type="pct"/>
            <w:tcBorders>
              <w:top w:val="nil"/>
              <w:left w:val="nil"/>
              <w:right w:val="nil"/>
            </w:tcBorders>
            <w:shd w:val="clear" w:color="auto" w:fill="auto"/>
            <w:noWrap/>
            <w:vAlign w:val="center"/>
            <w:hideMark/>
          </w:tcPr>
          <w:p w14:paraId="75F27F2B" w14:textId="77777777" w:rsidR="00974094" w:rsidRPr="00463826" w:rsidRDefault="00974094" w:rsidP="00BC583E">
            <w:pPr>
              <w:spacing w:after="0"/>
              <w:jc w:val="center"/>
              <w:rPr>
                <w:rFonts w:eastAsia="Times New Roman"/>
                <w:color w:val="000000"/>
              </w:rPr>
            </w:pPr>
          </w:p>
        </w:tc>
        <w:tc>
          <w:tcPr>
            <w:tcW w:w="658" w:type="pct"/>
            <w:tcBorders>
              <w:top w:val="nil"/>
              <w:left w:val="nil"/>
              <w:right w:val="nil"/>
            </w:tcBorders>
            <w:shd w:val="clear" w:color="auto" w:fill="auto"/>
            <w:noWrap/>
            <w:vAlign w:val="center"/>
            <w:hideMark/>
          </w:tcPr>
          <w:p w14:paraId="73057F51" w14:textId="1CC2515A"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20**</w:t>
            </w:r>
          </w:p>
        </w:tc>
        <w:tc>
          <w:tcPr>
            <w:tcW w:w="322" w:type="pct"/>
            <w:tcBorders>
              <w:top w:val="nil"/>
              <w:left w:val="nil"/>
              <w:right w:val="nil"/>
            </w:tcBorders>
            <w:shd w:val="clear" w:color="auto" w:fill="auto"/>
            <w:noWrap/>
            <w:vAlign w:val="center"/>
            <w:hideMark/>
          </w:tcPr>
          <w:p w14:paraId="34F23971" w14:textId="77777777" w:rsidR="00974094" w:rsidRPr="00463826" w:rsidRDefault="00974094" w:rsidP="00BC583E">
            <w:pPr>
              <w:spacing w:after="0"/>
              <w:jc w:val="center"/>
              <w:rPr>
                <w:rFonts w:eastAsia="Times New Roman"/>
                <w:color w:val="000000"/>
              </w:rPr>
            </w:pPr>
            <w:r w:rsidRPr="00463826">
              <w:rPr>
                <w:rFonts w:eastAsia="Times New Roman"/>
                <w:color w:val="000000"/>
              </w:rPr>
              <w:t>-2.25</w:t>
            </w:r>
          </w:p>
        </w:tc>
        <w:tc>
          <w:tcPr>
            <w:tcW w:w="136" w:type="pct"/>
            <w:tcBorders>
              <w:top w:val="nil"/>
              <w:left w:val="nil"/>
              <w:right w:val="nil"/>
            </w:tcBorders>
            <w:shd w:val="clear" w:color="auto" w:fill="auto"/>
            <w:noWrap/>
            <w:vAlign w:val="center"/>
            <w:hideMark/>
          </w:tcPr>
          <w:p w14:paraId="4B9276FF" w14:textId="77777777" w:rsidR="00974094" w:rsidRPr="00463826" w:rsidRDefault="00974094" w:rsidP="00BC583E">
            <w:pPr>
              <w:spacing w:after="0"/>
              <w:jc w:val="center"/>
              <w:rPr>
                <w:rFonts w:eastAsia="Times New Roman"/>
                <w:color w:val="000000"/>
              </w:rPr>
            </w:pPr>
          </w:p>
        </w:tc>
        <w:tc>
          <w:tcPr>
            <w:tcW w:w="658" w:type="pct"/>
            <w:tcBorders>
              <w:top w:val="nil"/>
              <w:left w:val="nil"/>
              <w:right w:val="nil"/>
            </w:tcBorders>
            <w:shd w:val="clear" w:color="auto" w:fill="auto"/>
            <w:noWrap/>
            <w:vAlign w:val="center"/>
            <w:hideMark/>
          </w:tcPr>
          <w:p w14:paraId="4CEBF166" w14:textId="51EC706C"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09**</w:t>
            </w:r>
          </w:p>
        </w:tc>
        <w:tc>
          <w:tcPr>
            <w:tcW w:w="322" w:type="pct"/>
            <w:tcBorders>
              <w:top w:val="nil"/>
              <w:left w:val="nil"/>
              <w:right w:val="nil"/>
            </w:tcBorders>
            <w:shd w:val="clear" w:color="auto" w:fill="auto"/>
            <w:noWrap/>
            <w:vAlign w:val="center"/>
            <w:hideMark/>
          </w:tcPr>
          <w:p w14:paraId="1298AAF4" w14:textId="77777777" w:rsidR="00974094" w:rsidRPr="00463826" w:rsidRDefault="00974094" w:rsidP="00BC583E">
            <w:pPr>
              <w:spacing w:after="0"/>
              <w:jc w:val="center"/>
              <w:rPr>
                <w:rFonts w:eastAsia="Times New Roman"/>
                <w:color w:val="000000"/>
              </w:rPr>
            </w:pPr>
            <w:r w:rsidRPr="00463826">
              <w:rPr>
                <w:rFonts w:eastAsia="Times New Roman"/>
                <w:color w:val="000000"/>
              </w:rPr>
              <w:t>-2.1</w:t>
            </w:r>
            <w:r>
              <w:rPr>
                <w:rFonts w:eastAsia="Times New Roman"/>
                <w:color w:val="000000"/>
              </w:rPr>
              <w:t>0</w:t>
            </w:r>
          </w:p>
        </w:tc>
        <w:tc>
          <w:tcPr>
            <w:tcW w:w="136" w:type="pct"/>
            <w:tcBorders>
              <w:top w:val="nil"/>
              <w:left w:val="nil"/>
              <w:right w:val="nil"/>
            </w:tcBorders>
            <w:shd w:val="clear" w:color="auto" w:fill="auto"/>
            <w:noWrap/>
            <w:vAlign w:val="center"/>
            <w:hideMark/>
          </w:tcPr>
          <w:p w14:paraId="05E2FE67" w14:textId="77777777" w:rsidR="00974094" w:rsidRPr="00463826" w:rsidRDefault="00974094" w:rsidP="00BC583E">
            <w:pPr>
              <w:spacing w:after="0"/>
              <w:jc w:val="center"/>
              <w:rPr>
                <w:rFonts w:eastAsia="Times New Roman"/>
                <w:color w:val="000000"/>
              </w:rPr>
            </w:pPr>
          </w:p>
        </w:tc>
        <w:tc>
          <w:tcPr>
            <w:tcW w:w="566" w:type="pct"/>
            <w:tcBorders>
              <w:top w:val="nil"/>
              <w:left w:val="nil"/>
              <w:right w:val="nil"/>
            </w:tcBorders>
            <w:shd w:val="clear" w:color="auto" w:fill="auto"/>
            <w:noWrap/>
            <w:vAlign w:val="center"/>
            <w:hideMark/>
          </w:tcPr>
          <w:p w14:paraId="70466BE3" w14:textId="22DF40A4"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09*</w:t>
            </w:r>
          </w:p>
        </w:tc>
        <w:tc>
          <w:tcPr>
            <w:tcW w:w="322" w:type="pct"/>
            <w:tcBorders>
              <w:top w:val="nil"/>
              <w:left w:val="nil"/>
              <w:right w:val="nil"/>
            </w:tcBorders>
            <w:shd w:val="clear" w:color="auto" w:fill="auto"/>
            <w:noWrap/>
            <w:vAlign w:val="center"/>
            <w:hideMark/>
          </w:tcPr>
          <w:p w14:paraId="58A5E5B0" w14:textId="77777777" w:rsidR="00974094" w:rsidRPr="00463826" w:rsidRDefault="00974094" w:rsidP="00BC583E">
            <w:pPr>
              <w:spacing w:after="0"/>
              <w:jc w:val="center"/>
              <w:rPr>
                <w:rFonts w:eastAsia="Times New Roman"/>
                <w:color w:val="000000"/>
              </w:rPr>
            </w:pPr>
            <w:r w:rsidRPr="00463826">
              <w:rPr>
                <w:rFonts w:eastAsia="Times New Roman"/>
                <w:color w:val="000000"/>
              </w:rPr>
              <w:t>-1.89</w:t>
            </w:r>
          </w:p>
        </w:tc>
      </w:tr>
      <w:tr w:rsidR="00974094" w:rsidRPr="00463826" w14:paraId="3FD0A986" w14:textId="77777777" w:rsidTr="00BC583E">
        <w:trPr>
          <w:trHeight w:val="300"/>
          <w:jc w:val="center"/>
        </w:trPr>
        <w:tc>
          <w:tcPr>
            <w:tcW w:w="765" w:type="pct"/>
            <w:tcBorders>
              <w:top w:val="nil"/>
              <w:left w:val="nil"/>
              <w:bottom w:val="single" w:sz="4" w:space="0" w:color="auto"/>
              <w:right w:val="nil"/>
            </w:tcBorders>
            <w:shd w:val="clear" w:color="auto" w:fill="auto"/>
            <w:noWrap/>
            <w:vAlign w:val="center"/>
            <w:hideMark/>
          </w:tcPr>
          <w:p w14:paraId="3E3177ED" w14:textId="77777777" w:rsidR="00974094" w:rsidRPr="00463826" w:rsidRDefault="00974094" w:rsidP="00BC583E">
            <w:pPr>
              <w:spacing w:after="0"/>
              <w:jc w:val="center"/>
              <w:rPr>
                <w:rFonts w:eastAsia="Times New Roman"/>
                <w:color w:val="000000"/>
              </w:rPr>
            </w:pPr>
            <w:r w:rsidRPr="00463826">
              <w:rPr>
                <w:rFonts w:eastAsia="Times New Roman"/>
                <w:color w:val="000000"/>
              </w:rPr>
              <w:t>pre6ret</w:t>
            </w:r>
          </w:p>
        </w:tc>
        <w:tc>
          <w:tcPr>
            <w:tcW w:w="658" w:type="pct"/>
            <w:tcBorders>
              <w:top w:val="nil"/>
              <w:left w:val="nil"/>
              <w:bottom w:val="single" w:sz="4" w:space="0" w:color="auto"/>
              <w:right w:val="nil"/>
            </w:tcBorders>
            <w:shd w:val="clear" w:color="auto" w:fill="auto"/>
            <w:noWrap/>
            <w:vAlign w:val="center"/>
            <w:hideMark/>
          </w:tcPr>
          <w:p w14:paraId="0AD28F59" w14:textId="6F5A68EF"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sidR="00754C9A">
              <w:rPr>
                <w:rFonts w:eastAsia="Times New Roman"/>
                <w:color w:val="000000"/>
              </w:rPr>
              <w:t>.</w:t>
            </w:r>
            <w:r w:rsidR="00974094" w:rsidRPr="00463826">
              <w:rPr>
                <w:rFonts w:eastAsia="Times New Roman"/>
                <w:color w:val="000000"/>
              </w:rPr>
              <w:t>66</w:t>
            </w:r>
          </w:p>
        </w:tc>
        <w:tc>
          <w:tcPr>
            <w:tcW w:w="322" w:type="pct"/>
            <w:tcBorders>
              <w:top w:val="nil"/>
              <w:left w:val="nil"/>
              <w:bottom w:val="single" w:sz="4" w:space="0" w:color="auto"/>
              <w:right w:val="nil"/>
            </w:tcBorders>
            <w:shd w:val="clear" w:color="auto" w:fill="auto"/>
            <w:noWrap/>
            <w:vAlign w:val="center"/>
            <w:hideMark/>
          </w:tcPr>
          <w:p w14:paraId="4AD2116A" w14:textId="77777777" w:rsidR="00974094" w:rsidRPr="00463826" w:rsidRDefault="00974094" w:rsidP="00BC583E">
            <w:pPr>
              <w:spacing w:after="0"/>
              <w:jc w:val="center"/>
              <w:rPr>
                <w:rFonts w:eastAsia="Times New Roman"/>
                <w:color w:val="000000"/>
              </w:rPr>
            </w:pPr>
            <w:r w:rsidRPr="00463826">
              <w:rPr>
                <w:rFonts w:eastAsia="Times New Roman"/>
                <w:color w:val="000000"/>
              </w:rPr>
              <w:t>-1.16</w:t>
            </w:r>
          </w:p>
        </w:tc>
        <w:tc>
          <w:tcPr>
            <w:tcW w:w="136" w:type="pct"/>
            <w:tcBorders>
              <w:top w:val="nil"/>
              <w:left w:val="nil"/>
              <w:bottom w:val="single" w:sz="4" w:space="0" w:color="auto"/>
              <w:right w:val="nil"/>
            </w:tcBorders>
            <w:shd w:val="clear" w:color="auto" w:fill="auto"/>
            <w:noWrap/>
            <w:vAlign w:val="center"/>
            <w:hideMark/>
          </w:tcPr>
          <w:p w14:paraId="77F2DF4E"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658" w:type="pct"/>
            <w:tcBorders>
              <w:top w:val="nil"/>
              <w:left w:val="nil"/>
              <w:bottom w:val="single" w:sz="4" w:space="0" w:color="auto"/>
              <w:right w:val="nil"/>
            </w:tcBorders>
            <w:shd w:val="clear" w:color="auto" w:fill="auto"/>
            <w:noWrap/>
            <w:vAlign w:val="center"/>
            <w:hideMark/>
          </w:tcPr>
          <w:p w14:paraId="3B6D9E56" w14:textId="534CFF4B" w:rsidR="00974094" w:rsidRPr="00463826" w:rsidRDefault="00F6194A" w:rsidP="00BC583E">
            <w:pPr>
              <w:spacing w:after="0"/>
              <w:jc w:val="center"/>
              <w:rPr>
                <w:rFonts w:eastAsia="Times New Roman"/>
                <w:color w:val="000000"/>
              </w:rPr>
            </w:pPr>
            <w:r>
              <w:rPr>
                <w:rFonts w:eastAsia="Times New Roman"/>
                <w:color w:val="000000"/>
              </w:rPr>
              <w:t>-</w:t>
            </w:r>
            <w:r w:rsidR="00974094" w:rsidRPr="00463826">
              <w:rPr>
                <w:rFonts w:eastAsia="Times New Roman"/>
                <w:color w:val="000000"/>
              </w:rPr>
              <w:t>0</w:t>
            </w:r>
            <w:r>
              <w:rPr>
                <w:rFonts w:eastAsia="Times New Roman"/>
                <w:color w:val="000000"/>
              </w:rPr>
              <w:t>.</w:t>
            </w:r>
            <w:r w:rsidR="00974094" w:rsidRPr="00463826">
              <w:rPr>
                <w:rFonts w:eastAsia="Times New Roman"/>
                <w:color w:val="000000"/>
              </w:rPr>
              <w:t>17</w:t>
            </w:r>
          </w:p>
        </w:tc>
        <w:tc>
          <w:tcPr>
            <w:tcW w:w="322" w:type="pct"/>
            <w:tcBorders>
              <w:top w:val="nil"/>
              <w:left w:val="nil"/>
              <w:bottom w:val="single" w:sz="4" w:space="0" w:color="auto"/>
              <w:right w:val="nil"/>
            </w:tcBorders>
            <w:shd w:val="clear" w:color="auto" w:fill="auto"/>
            <w:noWrap/>
            <w:vAlign w:val="center"/>
            <w:hideMark/>
          </w:tcPr>
          <w:p w14:paraId="77600B67" w14:textId="77777777" w:rsidR="00974094" w:rsidRPr="00463826" w:rsidRDefault="00974094" w:rsidP="00BC583E">
            <w:pPr>
              <w:spacing w:after="0"/>
              <w:jc w:val="center"/>
              <w:rPr>
                <w:rFonts w:eastAsia="Times New Roman"/>
                <w:color w:val="000000"/>
              </w:rPr>
            </w:pPr>
            <w:r w:rsidRPr="00463826">
              <w:rPr>
                <w:rFonts w:eastAsia="Times New Roman"/>
                <w:color w:val="000000"/>
              </w:rPr>
              <w:t>-0.39</w:t>
            </w:r>
          </w:p>
        </w:tc>
        <w:tc>
          <w:tcPr>
            <w:tcW w:w="136" w:type="pct"/>
            <w:tcBorders>
              <w:top w:val="nil"/>
              <w:left w:val="nil"/>
              <w:bottom w:val="single" w:sz="4" w:space="0" w:color="auto"/>
              <w:right w:val="nil"/>
            </w:tcBorders>
            <w:shd w:val="clear" w:color="auto" w:fill="auto"/>
            <w:noWrap/>
            <w:vAlign w:val="center"/>
            <w:hideMark/>
          </w:tcPr>
          <w:p w14:paraId="3AA2572B"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658" w:type="pct"/>
            <w:tcBorders>
              <w:top w:val="nil"/>
              <w:left w:val="nil"/>
              <w:bottom w:val="single" w:sz="4" w:space="0" w:color="auto"/>
              <w:right w:val="nil"/>
            </w:tcBorders>
            <w:shd w:val="clear" w:color="auto" w:fill="auto"/>
            <w:noWrap/>
            <w:vAlign w:val="center"/>
            <w:hideMark/>
          </w:tcPr>
          <w:p w14:paraId="00F6E411" w14:textId="6EAB75EE"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1</w:t>
            </w:r>
            <w:r>
              <w:rPr>
                <w:rFonts w:eastAsia="Times New Roman"/>
                <w:color w:val="000000"/>
              </w:rPr>
              <w:t>0</w:t>
            </w:r>
          </w:p>
        </w:tc>
        <w:tc>
          <w:tcPr>
            <w:tcW w:w="322" w:type="pct"/>
            <w:tcBorders>
              <w:top w:val="nil"/>
              <w:left w:val="nil"/>
              <w:bottom w:val="single" w:sz="4" w:space="0" w:color="auto"/>
              <w:right w:val="nil"/>
            </w:tcBorders>
            <w:shd w:val="clear" w:color="auto" w:fill="auto"/>
            <w:noWrap/>
            <w:vAlign w:val="center"/>
            <w:hideMark/>
          </w:tcPr>
          <w:p w14:paraId="1A9812AE" w14:textId="77777777" w:rsidR="00974094" w:rsidRPr="00463826" w:rsidRDefault="00974094" w:rsidP="00BC583E">
            <w:pPr>
              <w:spacing w:after="0"/>
              <w:jc w:val="center"/>
              <w:rPr>
                <w:rFonts w:eastAsia="Times New Roman"/>
                <w:color w:val="000000"/>
              </w:rPr>
            </w:pPr>
            <w:r w:rsidRPr="00463826">
              <w:rPr>
                <w:rFonts w:eastAsia="Times New Roman"/>
                <w:color w:val="000000"/>
              </w:rPr>
              <w:t>0.54</w:t>
            </w:r>
          </w:p>
        </w:tc>
        <w:tc>
          <w:tcPr>
            <w:tcW w:w="136" w:type="pct"/>
            <w:tcBorders>
              <w:top w:val="nil"/>
              <w:left w:val="nil"/>
              <w:bottom w:val="single" w:sz="4" w:space="0" w:color="auto"/>
              <w:right w:val="nil"/>
            </w:tcBorders>
            <w:shd w:val="clear" w:color="auto" w:fill="auto"/>
            <w:noWrap/>
            <w:vAlign w:val="center"/>
            <w:hideMark/>
          </w:tcPr>
          <w:p w14:paraId="57116105" w14:textId="77777777" w:rsidR="00974094" w:rsidRPr="00463826" w:rsidRDefault="00974094" w:rsidP="00BC583E">
            <w:pPr>
              <w:spacing w:after="0"/>
              <w:jc w:val="center"/>
              <w:rPr>
                <w:rFonts w:eastAsia="Times New Roman"/>
                <w:color w:val="000000"/>
              </w:rPr>
            </w:pPr>
            <w:r w:rsidRPr="00463826">
              <w:rPr>
                <w:rFonts w:eastAsia="Times New Roman"/>
                <w:color w:val="000000"/>
              </w:rPr>
              <w:t> </w:t>
            </w:r>
          </w:p>
        </w:tc>
        <w:tc>
          <w:tcPr>
            <w:tcW w:w="566" w:type="pct"/>
            <w:tcBorders>
              <w:top w:val="nil"/>
              <w:left w:val="nil"/>
              <w:bottom w:val="single" w:sz="4" w:space="0" w:color="auto"/>
              <w:right w:val="nil"/>
            </w:tcBorders>
            <w:shd w:val="clear" w:color="auto" w:fill="auto"/>
            <w:vAlign w:val="center"/>
            <w:hideMark/>
          </w:tcPr>
          <w:p w14:paraId="50C3F0EB" w14:textId="2746B6F8" w:rsidR="00974094" w:rsidRPr="00463826" w:rsidRDefault="00974094" w:rsidP="00BC583E">
            <w:pPr>
              <w:spacing w:after="0"/>
              <w:jc w:val="center"/>
              <w:rPr>
                <w:rFonts w:eastAsia="Times New Roman"/>
                <w:color w:val="000000"/>
              </w:rPr>
            </w:pPr>
            <w:r w:rsidRPr="00463826">
              <w:rPr>
                <w:rFonts w:eastAsia="Times New Roman"/>
                <w:color w:val="000000"/>
              </w:rPr>
              <w:t>0</w:t>
            </w:r>
            <w:r w:rsidR="00F6194A">
              <w:rPr>
                <w:rFonts w:eastAsia="Times New Roman"/>
                <w:color w:val="000000"/>
              </w:rPr>
              <w:t>.</w:t>
            </w:r>
            <w:r w:rsidRPr="00463826">
              <w:rPr>
                <w:rFonts w:eastAsia="Times New Roman"/>
                <w:color w:val="000000"/>
              </w:rPr>
              <w:t>08</w:t>
            </w:r>
          </w:p>
        </w:tc>
        <w:tc>
          <w:tcPr>
            <w:tcW w:w="322" w:type="pct"/>
            <w:tcBorders>
              <w:top w:val="nil"/>
              <w:left w:val="nil"/>
              <w:bottom w:val="single" w:sz="4" w:space="0" w:color="auto"/>
              <w:right w:val="nil"/>
            </w:tcBorders>
            <w:shd w:val="clear" w:color="auto" w:fill="auto"/>
            <w:vAlign w:val="center"/>
            <w:hideMark/>
          </w:tcPr>
          <w:p w14:paraId="07FE3F57" w14:textId="77777777" w:rsidR="00974094" w:rsidRPr="00463826" w:rsidRDefault="00974094" w:rsidP="00BC583E">
            <w:pPr>
              <w:spacing w:after="0"/>
              <w:jc w:val="center"/>
              <w:rPr>
                <w:rFonts w:eastAsia="Times New Roman"/>
                <w:color w:val="000000"/>
              </w:rPr>
            </w:pPr>
            <w:r w:rsidRPr="00463826">
              <w:rPr>
                <w:rFonts w:eastAsia="Times New Roman"/>
                <w:color w:val="000000"/>
              </w:rPr>
              <w:t>0.39</w:t>
            </w:r>
          </w:p>
        </w:tc>
      </w:tr>
    </w:tbl>
    <w:p w14:paraId="2858C136" w14:textId="0DFAA2C5" w:rsidR="00974094" w:rsidRDefault="00974094">
      <w:pPr>
        <w:rPr>
          <w:b/>
        </w:rPr>
      </w:pPr>
      <w:r>
        <w:t xml:space="preserve">   </w:t>
      </w:r>
      <w:r>
        <w:rPr>
          <w:b/>
        </w:rPr>
        <w:br w:type="page"/>
      </w:r>
    </w:p>
    <w:p w14:paraId="7122EFA2" w14:textId="33CB1F47" w:rsidR="00417C06" w:rsidRPr="00242EB8" w:rsidRDefault="00417C06" w:rsidP="004A2734">
      <w:pPr>
        <w:spacing w:line="360" w:lineRule="auto"/>
        <w:jc w:val="both"/>
        <w:outlineLvl w:val="0"/>
        <w:rPr>
          <w:b/>
        </w:rPr>
      </w:pPr>
      <w:r w:rsidRPr="00242EB8">
        <w:rPr>
          <w:b/>
        </w:rPr>
        <w:lastRenderedPageBreak/>
        <w:t xml:space="preserve">Table </w:t>
      </w:r>
      <w:r w:rsidR="00974094">
        <w:rPr>
          <w:b/>
        </w:rPr>
        <w:t>8</w:t>
      </w:r>
      <w:r w:rsidRPr="00242EB8">
        <w:rPr>
          <w:b/>
        </w:rPr>
        <w:t xml:space="preserve"> Asset Growth and Contemporary Return </w:t>
      </w:r>
      <w:r w:rsidR="00B12CFF">
        <w:rPr>
          <w:b/>
        </w:rPr>
        <w:t>R</w:t>
      </w:r>
      <w:r w:rsidRPr="00242EB8">
        <w:rPr>
          <w:b/>
        </w:rPr>
        <w:t>elationship</w:t>
      </w:r>
    </w:p>
    <w:p w14:paraId="7EF48CEF" w14:textId="48BFFC77" w:rsidR="00D76147" w:rsidRDefault="00ED3A44" w:rsidP="00ED3A44">
      <w:pPr>
        <w:spacing w:line="240" w:lineRule="auto"/>
        <w:jc w:val="both"/>
        <w:rPr>
          <w:lang w:val="en-US"/>
        </w:rPr>
      </w:pPr>
      <w:r w:rsidRPr="008319F4">
        <w:rPr>
          <w:lang w:val="en-US"/>
        </w:rPr>
        <w:t xml:space="preserve">This table reports the time-series average of estimated coefficients of monthly regressions from 1963 to 2011. </w:t>
      </w:r>
      <w:r>
        <w:rPr>
          <w:lang w:val="en-US"/>
        </w:rPr>
        <w:t xml:space="preserve">The dependent variable is the monthly raw return between t-18 </w:t>
      </w:r>
      <w:r w:rsidRPr="00DC51AD">
        <w:rPr>
          <w:noProof/>
          <w:lang w:val="en-US"/>
        </w:rPr>
        <w:t>to t</w:t>
      </w:r>
      <w:r>
        <w:rPr>
          <w:lang w:val="en-US"/>
        </w:rPr>
        <w:t>-6 where t is the asset growth formation month</w:t>
      </w:r>
      <w:r w:rsidR="00D76147">
        <w:rPr>
          <w:lang w:val="en-US"/>
        </w:rPr>
        <w:t xml:space="preserve"> (every June)</w:t>
      </w:r>
      <w:r>
        <w:rPr>
          <w:lang w:val="en-US"/>
        </w:rPr>
        <w:t xml:space="preserve">. </w:t>
      </w:r>
      <w:r w:rsidRPr="008319F4">
        <w:rPr>
          <w:lang w:val="en-US"/>
        </w:rPr>
        <w:t>AG is firm asset growth; Control variables are the natural logarithm of market capitalization (</w:t>
      </w:r>
      <w:r w:rsidRPr="00DC51AD">
        <w:rPr>
          <w:noProof/>
          <w:lang w:val="en-US"/>
        </w:rPr>
        <w:t>lnMV</w:t>
      </w:r>
      <w:r w:rsidRPr="008319F4">
        <w:rPr>
          <w:lang w:val="en-US"/>
        </w:rPr>
        <w:t>), the natural logarithm of the book-to-market ratio (</w:t>
      </w:r>
      <w:r w:rsidRPr="00DC51AD">
        <w:rPr>
          <w:noProof/>
          <w:lang w:val="en-US"/>
        </w:rPr>
        <w:t>lnBM</w:t>
      </w:r>
      <w:r w:rsidRPr="008319F4">
        <w:rPr>
          <w:lang w:val="en-US"/>
        </w:rPr>
        <w:t xml:space="preserve">) and previous 6-month returns at the end of June. </w:t>
      </w:r>
      <w:r w:rsidR="00D76147">
        <w:rPr>
          <w:lang w:val="en-US"/>
        </w:rPr>
        <w:t xml:space="preserve">Panel A reports the regression with growth type where </w:t>
      </w:r>
      <w:r w:rsidR="00D76147" w:rsidRPr="008319F4">
        <w:rPr>
          <w:lang w:val="en-US"/>
        </w:rPr>
        <w:t>GT indicates a firm’s growth type (GT=1 if growth firm</w:t>
      </w:r>
      <w:r w:rsidR="00D76147">
        <w:rPr>
          <w:lang w:val="en-US"/>
        </w:rPr>
        <w:t xml:space="preserve"> and</w:t>
      </w:r>
      <w:r w:rsidR="00D76147" w:rsidRPr="008319F4">
        <w:rPr>
          <w:lang w:val="en-US"/>
        </w:rPr>
        <w:t xml:space="preserve"> GT=</w:t>
      </w:r>
      <w:r w:rsidR="00D76147">
        <w:rPr>
          <w:lang w:val="en-US"/>
        </w:rPr>
        <w:t>0</w:t>
      </w:r>
      <w:r w:rsidR="00D76147" w:rsidRPr="008319F4">
        <w:rPr>
          <w:lang w:val="en-US"/>
        </w:rPr>
        <w:t xml:space="preserve"> if mature firm). </w:t>
      </w:r>
      <w:r w:rsidR="00D76147">
        <w:rPr>
          <w:lang w:val="en-US"/>
        </w:rPr>
        <w:t xml:space="preserve">Growth type classification is the same as discussed in </w:t>
      </w:r>
      <w:r w:rsidR="00310B0A">
        <w:rPr>
          <w:lang w:val="en-US"/>
        </w:rPr>
        <w:t>T</w:t>
      </w:r>
      <w:r w:rsidR="00D76147">
        <w:rPr>
          <w:lang w:val="en-US"/>
        </w:rPr>
        <w:t xml:space="preserve">able 3. </w:t>
      </w:r>
      <w:r w:rsidR="00D76147" w:rsidRPr="008319F4">
        <w:rPr>
          <w:lang w:val="en-US"/>
        </w:rPr>
        <w:t xml:space="preserve"> </w:t>
      </w:r>
      <w:r w:rsidR="00D76147">
        <w:rPr>
          <w:lang w:val="en-US"/>
        </w:rPr>
        <w:t xml:space="preserve">Panel B reports the regression with </w:t>
      </w:r>
      <w:r w:rsidR="00D76147">
        <w:t xml:space="preserve">growth sequence and additional control of past growth up to 3 lags. Portfolio formations are the same as those defined in Table 7. </w:t>
      </w:r>
      <w:r w:rsidR="00D76147" w:rsidRPr="008319F4">
        <w:t>The t-values are based on Newey-West (1987) standard errors for correcting heteroscedasticity and autocorrelation</w:t>
      </w:r>
      <w:r w:rsidR="00D76147">
        <w:t xml:space="preserve">.  </w:t>
      </w:r>
      <w:r w:rsidR="00D76147" w:rsidRPr="008319F4">
        <w:t>*, **, and *** indicate the significance level at 0.10, 0.05 and 0.01.</w:t>
      </w:r>
    </w:p>
    <w:p w14:paraId="6FD65EE6" w14:textId="77777777" w:rsidR="00417C06" w:rsidRPr="004A2734" w:rsidRDefault="00417C06" w:rsidP="00417C06">
      <w:pPr>
        <w:spacing w:line="360" w:lineRule="auto"/>
        <w:jc w:val="both"/>
        <w:rPr>
          <w:b/>
        </w:rPr>
      </w:pPr>
      <w:r w:rsidRPr="004A2734">
        <w:rPr>
          <w:b/>
        </w:rPr>
        <w:t xml:space="preserve">Panel  A. the Effect of Growth Type </w:t>
      </w:r>
    </w:p>
    <w:tbl>
      <w:tblPr>
        <w:tblW w:w="5000" w:type="pct"/>
        <w:tblLook w:val="04A0" w:firstRow="1" w:lastRow="0" w:firstColumn="1" w:lastColumn="0" w:noHBand="0" w:noVBand="1"/>
      </w:tblPr>
      <w:tblGrid>
        <w:gridCol w:w="2416"/>
        <w:gridCol w:w="1740"/>
        <w:gridCol w:w="443"/>
        <w:gridCol w:w="1740"/>
        <w:gridCol w:w="443"/>
        <w:gridCol w:w="1740"/>
      </w:tblGrid>
      <w:tr w:rsidR="00AA2EF3" w:rsidRPr="00317C9F" w14:paraId="3F8B1644" w14:textId="77777777" w:rsidTr="00B15095">
        <w:trPr>
          <w:trHeight w:val="300"/>
        </w:trPr>
        <w:tc>
          <w:tcPr>
            <w:tcW w:w="1417" w:type="pct"/>
            <w:tcBorders>
              <w:top w:val="single" w:sz="4" w:space="0" w:color="auto"/>
              <w:left w:val="nil"/>
              <w:bottom w:val="single" w:sz="4" w:space="0" w:color="auto"/>
              <w:right w:val="nil"/>
            </w:tcBorders>
            <w:shd w:val="clear" w:color="auto" w:fill="auto"/>
            <w:noWrap/>
            <w:vAlign w:val="center"/>
            <w:hideMark/>
          </w:tcPr>
          <w:p w14:paraId="3E5C80FF"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7DCD7AD1"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RE</w:t>
            </w:r>
          </w:p>
        </w:tc>
        <w:tc>
          <w:tcPr>
            <w:tcW w:w="260" w:type="pct"/>
            <w:tcBorders>
              <w:top w:val="single" w:sz="4" w:space="0" w:color="auto"/>
              <w:left w:val="nil"/>
              <w:bottom w:val="single" w:sz="4" w:space="0" w:color="auto"/>
              <w:right w:val="nil"/>
            </w:tcBorders>
            <w:shd w:val="clear" w:color="auto" w:fill="auto"/>
            <w:noWrap/>
            <w:vAlign w:val="center"/>
            <w:hideMark/>
          </w:tcPr>
          <w:p w14:paraId="4EEDAF5E"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0F6D8457"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DIV</w:t>
            </w:r>
          </w:p>
        </w:tc>
        <w:tc>
          <w:tcPr>
            <w:tcW w:w="260" w:type="pct"/>
            <w:tcBorders>
              <w:top w:val="single" w:sz="4" w:space="0" w:color="auto"/>
              <w:left w:val="nil"/>
              <w:bottom w:val="single" w:sz="4" w:space="0" w:color="auto"/>
              <w:right w:val="nil"/>
            </w:tcBorders>
            <w:shd w:val="clear" w:color="auto" w:fill="auto"/>
            <w:noWrap/>
            <w:vAlign w:val="center"/>
            <w:hideMark/>
          </w:tcPr>
          <w:p w14:paraId="777AB340"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single" w:sz="4" w:space="0" w:color="auto"/>
              <w:left w:val="nil"/>
              <w:bottom w:val="single" w:sz="4" w:space="0" w:color="auto"/>
              <w:right w:val="nil"/>
            </w:tcBorders>
            <w:shd w:val="clear" w:color="auto" w:fill="auto"/>
            <w:noWrap/>
            <w:vAlign w:val="center"/>
            <w:hideMark/>
          </w:tcPr>
          <w:p w14:paraId="393BA08D"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CF</w:t>
            </w:r>
          </w:p>
        </w:tc>
      </w:tr>
      <w:tr w:rsidR="00AA2EF3" w:rsidRPr="00317C9F" w14:paraId="400E8488" w14:textId="77777777" w:rsidTr="00B15095">
        <w:trPr>
          <w:trHeight w:val="300"/>
        </w:trPr>
        <w:tc>
          <w:tcPr>
            <w:tcW w:w="1417" w:type="pct"/>
            <w:tcBorders>
              <w:top w:val="nil"/>
              <w:left w:val="nil"/>
              <w:bottom w:val="nil"/>
              <w:right w:val="nil"/>
            </w:tcBorders>
            <w:shd w:val="clear" w:color="auto" w:fill="auto"/>
            <w:noWrap/>
            <w:vAlign w:val="center"/>
            <w:hideMark/>
          </w:tcPr>
          <w:p w14:paraId="55E20EC3"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Intercept</w:t>
            </w:r>
          </w:p>
        </w:tc>
        <w:tc>
          <w:tcPr>
            <w:tcW w:w="1021" w:type="pct"/>
            <w:tcBorders>
              <w:top w:val="nil"/>
              <w:left w:val="nil"/>
              <w:bottom w:val="nil"/>
              <w:right w:val="nil"/>
            </w:tcBorders>
            <w:shd w:val="clear" w:color="auto" w:fill="auto"/>
            <w:noWrap/>
            <w:vAlign w:val="center"/>
            <w:hideMark/>
          </w:tcPr>
          <w:p w14:paraId="5C5D236F" w14:textId="5C2580E0"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34***</w:t>
            </w:r>
          </w:p>
        </w:tc>
        <w:tc>
          <w:tcPr>
            <w:tcW w:w="260" w:type="pct"/>
            <w:tcBorders>
              <w:top w:val="nil"/>
              <w:left w:val="nil"/>
              <w:bottom w:val="nil"/>
              <w:right w:val="nil"/>
            </w:tcBorders>
            <w:shd w:val="clear" w:color="auto" w:fill="auto"/>
            <w:noWrap/>
            <w:vAlign w:val="center"/>
            <w:hideMark/>
          </w:tcPr>
          <w:p w14:paraId="7C2535EF"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A92FF25" w14:textId="684BB9FD"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B7BCB">
              <w:rPr>
                <w:rFonts w:eastAsia="Times New Roman" w:cs="Times New Roman"/>
                <w:color w:val="000000"/>
                <w:lang w:eastAsia="zh-CN"/>
              </w:rPr>
              <w:t>.</w:t>
            </w:r>
            <w:r w:rsidRPr="00317C9F">
              <w:rPr>
                <w:rFonts w:eastAsia="Times New Roman" w:cs="Times New Roman"/>
                <w:color w:val="000000"/>
                <w:lang w:eastAsia="zh-CN"/>
              </w:rPr>
              <w:t>86***</w:t>
            </w:r>
          </w:p>
        </w:tc>
        <w:tc>
          <w:tcPr>
            <w:tcW w:w="260" w:type="pct"/>
            <w:tcBorders>
              <w:top w:val="nil"/>
              <w:left w:val="nil"/>
              <w:bottom w:val="nil"/>
              <w:right w:val="nil"/>
            </w:tcBorders>
            <w:shd w:val="clear" w:color="auto" w:fill="auto"/>
            <w:noWrap/>
            <w:vAlign w:val="center"/>
            <w:hideMark/>
          </w:tcPr>
          <w:p w14:paraId="345308E2"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08882CA" w14:textId="0615912D"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33***</w:t>
            </w:r>
          </w:p>
        </w:tc>
      </w:tr>
      <w:tr w:rsidR="00AA2EF3" w:rsidRPr="00317C9F" w14:paraId="3A9F43CA" w14:textId="77777777" w:rsidTr="00B15095">
        <w:trPr>
          <w:trHeight w:val="300"/>
        </w:trPr>
        <w:tc>
          <w:tcPr>
            <w:tcW w:w="1417" w:type="pct"/>
            <w:tcBorders>
              <w:top w:val="nil"/>
              <w:left w:val="nil"/>
              <w:bottom w:val="nil"/>
              <w:right w:val="nil"/>
            </w:tcBorders>
            <w:shd w:val="clear" w:color="auto" w:fill="auto"/>
            <w:noWrap/>
            <w:vAlign w:val="center"/>
            <w:hideMark/>
          </w:tcPr>
          <w:p w14:paraId="07FF26B5"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27CA44D"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(4.63)</w:t>
            </w:r>
          </w:p>
        </w:tc>
        <w:tc>
          <w:tcPr>
            <w:tcW w:w="260" w:type="pct"/>
            <w:tcBorders>
              <w:top w:val="nil"/>
              <w:left w:val="nil"/>
              <w:bottom w:val="nil"/>
              <w:right w:val="nil"/>
            </w:tcBorders>
            <w:shd w:val="clear" w:color="auto" w:fill="auto"/>
            <w:noWrap/>
            <w:vAlign w:val="center"/>
            <w:hideMark/>
          </w:tcPr>
          <w:p w14:paraId="62B800CD"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803A8B7"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(3.56)</w:t>
            </w:r>
          </w:p>
        </w:tc>
        <w:tc>
          <w:tcPr>
            <w:tcW w:w="260" w:type="pct"/>
            <w:tcBorders>
              <w:top w:val="nil"/>
              <w:left w:val="nil"/>
              <w:bottom w:val="nil"/>
              <w:right w:val="nil"/>
            </w:tcBorders>
            <w:shd w:val="clear" w:color="auto" w:fill="auto"/>
            <w:noWrap/>
            <w:vAlign w:val="center"/>
            <w:hideMark/>
          </w:tcPr>
          <w:p w14:paraId="4F6C5211"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9952B00"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(4.05)</w:t>
            </w:r>
          </w:p>
        </w:tc>
      </w:tr>
      <w:tr w:rsidR="00AA2EF3" w:rsidRPr="00317C9F" w14:paraId="227AF23B" w14:textId="77777777" w:rsidTr="00B15095">
        <w:trPr>
          <w:trHeight w:val="300"/>
        </w:trPr>
        <w:tc>
          <w:tcPr>
            <w:tcW w:w="1417" w:type="pct"/>
            <w:tcBorders>
              <w:top w:val="nil"/>
              <w:left w:val="nil"/>
              <w:bottom w:val="nil"/>
              <w:right w:val="nil"/>
            </w:tcBorders>
            <w:shd w:val="clear" w:color="auto" w:fill="auto"/>
            <w:noWrap/>
            <w:vAlign w:val="center"/>
            <w:hideMark/>
          </w:tcPr>
          <w:p w14:paraId="0AF87D5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ln(1+AG)</w:t>
            </w:r>
          </w:p>
        </w:tc>
        <w:tc>
          <w:tcPr>
            <w:tcW w:w="1021" w:type="pct"/>
            <w:tcBorders>
              <w:top w:val="nil"/>
              <w:left w:val="nil"/>
              <w:bottom w:val="nil"/>
              <w:right w:val="nil"/>
            </w:tcBorders>
            <w:shd w:val="clear" w:color="auto" w:fill="auto"/>
            <w:noWrap/>
            <w:vAlign w:val="center"/>
            <w:hideMark/>
          </w:tcPr>
          <w:p w14:paraId="79ED4E17" w14:textId="76CD348E"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w:t>
            </w:r>
            <w:r w:rsidR="00EB7BCB">
              <w:rPr>
                <w:rFonts w:eastAsia="Times New Roman" w:cs="Times New Roman"/>
                <w:color w:val="000000"/>
                <w:lang w:eastAsia="zh-CN"/>
              </w:rPr>
              <w:t>.</w:t>
            </w:r>
            <w:r w:rsidRPr="00317C9F">
              <w:rPr>
                <w:rFonts w:eastAsia="Times New Roman" w:cs="Times New Roman"/>
                <w:color w:val="000000"/>
                <w:lang w:eastAsia="zh-CN"/>
              </w:rPr>
              <w:t>30***</w:t>
            </w:r>
          </w:p>
        </w:tc>
        <w:tc>
          <w:tcPr>
            <w:tcW w:w="260" w:type="pct"/>
            <w:tcBorders>
              <w:top w:val="nil"/>
              <w:left w:val="nil"/>
              <w:bottom w:val="nil"/>
              <w:right w:val="nil"/>
            </w:tcBorders>
            <w:shd w:val="clear" w:color="auto" w:fill="auto"/>
            <w:noWrap/>
            <w:vAlign w:val="center"/>
            <w:hideMark/>
          </w:tcPr>
          <w:p w14:paraId="1FD9C03E"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FB0D5F9" w14:textId="2F6E1EDE"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B7BCB">
              <w:rPr>
                <w:rFonts w:eastAsia="Times New Roman" w:cs="Times New Roman"/>
                <w:color w:val="000000"/>
                <w:lang w:eastAsia="zh-CN"/>
              </w:rPr>
              <w:t>.</w:t>
            </w:r>
            <w:r w:rsidRPr="00317C9F">
              <w:rPr>
                <w:rFonts w:eastAsia="Times New Roman" w:cs="Times New Roman"/>
                <w:color w:val="000000"/>
                <w:lang w:eastAsia="zh-CN"/>
              </w:rPr>
              <w:t>80***</w:t>
            </w:r>
          </w:p>
        </w:tc>
        <w:tc>
          <w:tcPr>
            <w:tcW w:w="260" w:type="pct"/>
            <w:tcBorders>
              <w:top w:val="nil"/>
              <w:left w:val="nil"/>
              <w:bottom w:val="nil"/>
              <w:right w:val="nil"/>
            </w:tcBorders>
            <w:shd w:val="clear" w:color="auto" w:fill="auto"/>
            <w:noWrap/>
            <w:vAlign w:val="center"/>
            <w:hideMark/>
          </w:tcPr>
          <w:p w14:paraId="3E0DAE4A"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DE4180A" w14:textId="19BC929C"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89***</w:t>
            </w:r>
          </w:p>
        </w:tc>
      </w:tr>
      <w:tr w:rsidR="00AA2EF3" w:rsidRPr="00317C9F" w14:paraId="01644667" w14:textId="77777777" w:rsidTr="00B15095">
        <w:trPr>
          <w:trHeight w:val="300"/>
        </w:trPr>
        <w:tc>
          <w:tcPr>
            <w:tcW w:w="1417" w:type="pct"/>
            <w:tcBorders>
              <w:top w:val="nil"/>
              <w:left w:val="nil"/>
              <w:bottom w:val="nil"/>
              <w:right w:val="nil"/>
            </w:tcBorders>
            <w:shd w:val="clear" w:color="auto" w:fill="auto"/>
            <w:noWrap/>
            <w:vAlign w:val="center"/>
            <w:hideMark/>
          </w:tcPr>
          <w:p w14:paraId="61AB768E"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9F01D7A"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(11.51)</w:t>
            </w:r>
          </w:p>
        </w:tc>
        <w:tc>
          <w:tcPr>
            <w:tcW w:w="260" w:type="pct"/>
            <w:tcBorders>
              <w:top w:val="nil"/>
              <w:left w:val="nil"/>
              <w:bottom w:val="nil"/>
              <w:right w:val="nil"/>
            </w:tcBorders>
            <w:shd w:val="clear" w:color="auto" w:fill="auto"/>
            <w:noWrap/>
            <w:vAlign w:val="center"/>
            <w:hideMark/>
          </w:tcPr>
          <w:p w14:paraId="5BA77669"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276709D"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(3.47)</w:t>
            </w:r>
          </w:p>
        </w:tc>
        <w:tc>
          <w:tcPr>
            <w:tcW w:w="260" w:type="pct"/>
            <w:tcBorders>
              <w:top w:val="nil"/>
              <w:left w:val="nil"/>
              <w:bottom w:val="nil"/>
              <w:right w:val="nil"/>
            </w:tcBorders>
            <w:shd w:val="clear" w:color="auto" w:fill="auto"/>
            <w:noWrap/>
            <w:vAlign w:val="center"/>
            <w:hideMark/>
          </w:tcPr>
          <w:p w14:paraId="54CB020A"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B1A0CA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(7.88)</w:t>
            </w:r>
          </w:p>
        </w:tc>
      </w:tr>
      <w:tr w:rsidR="00AA2EF3" w:rsidRPr="00317C9F" w14:paraId="33992265" w14:textId="77777777" w:rsidTr="00B15095">
        <w:trPr>
          <w:trHeight w:val="300"/>
        </w:trPr>
        <w:tc>
          <w:tcPr>
            <w:tcW w:w="1417" w:type="pct"/>
            <w:tcBorders>
              <w:top w:val="nil"/>
              <w:left w:val="nil"/>
              <w:bottom w:val="nil"/>
              <w:right w:val="nil"/>
            </w:tcBorders>
            <w:shd w:val="clear" w:color="auto" w:fill="auto"/>
            <w:noWrap/>
            <w:vAlign w:val="center"/>
            <w:hideMark/>
          </w:tcPr>
          <w:p w14:paraId="7EED87D3"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ln(1+AG)*GT</w:t>
            </w:r>
          </w:p>
        </w:tc>
        <w:tc>
          <w:tcPr>
            <w:tcW w:w="1021" w:type="pct"/>
            <w:tcBorders>
              <w:top w:val="nil"/>
              <w:left w:val="nil"/>
              <w:bottom w:val="nil"/>
              <w:right w:val="nil"/>
            </w:tcBorders>
            <w:shd w:val="clear" w:color="auto" w:fill="auto"/>
            <w:noWrap/>
            <w:vAlign w:val="center"/>
            <w:hideMark/>
          </w:tcPr>
          <w:p w14:paraId="7980A282" w14:textId="6D65F7F9"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33</w:t>
            </w:r>
          </w:p>
        </w:tc>
        <w:tc>
          <w:tcPr>
            <w:tcW w:w="260" w:type="pct"/>
            <w:tcBorders>
              <w:top w:val="nil"/>
              <w:left w:val="nil"/>
              <w:bottom w:val="nil"/>
              <w:right w:val="nil"/>
            </w:tcBorders>
            <w:shd w:val="clear" w:color="auto" w:fill="auto"/>
            <w:noWrap/>
            <w:vAlign w:val="center"/>
            <w:hideMark/>
          </w:tcPr>
          <w:p w14:paraId="56E76084"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56E9B92" w14:textId="4036289C"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62***</w:t>
            </w:r>
          </w:p>
        </w:tc>
        <w:tc>
          <w:tcPr>
            <w:tcW w:w="260" w:type="pct"/>
            <w:tcBorders>
              <w:top w:val="nil"/>
              <w:left w:val="nil"/>
              <w:bottom w:val="nil"/>
              <w:right w:val="nil"/>
            </w:tcBorders>
            <w:shd w:val="clear" w:color="auto" w:fill="auto"/>
            <w:noWrap/>
            <w:vAlign w:val="center"/>
            <w:hideMark/>
          </w:tcPr>
          <w:p w14:paraId="7F52EDED"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B7E9EA6" w14:textId="56EC71C0"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17***</w:t>
            </w:r>
          </w:p>
        </w:tc>
      </w:tr>
      <w:tr w:rsidR="00AA2EF3" w:rsidRPr="00317C9F" w14:paraId="21C17F23" w14:textId="77777777" w:rsidTr="00B15095">
        <w:trPr>
          <w:trHeight w:val="300"/>
        </w:trPr>
        <w:tc>
          <w:tcPr>
            <w:tcW w:w="1417" w:type="pct"/>
            <w:tcBorders>
              <w:top w:val="nil"/>
              <w:left w:val="nil"/>
              <w:bottom w:val="nil"/>
              <w:right w:val="nil"/>
            </w:tcBorders>
            <w:shd w:val="clear" w:color="auto" w:fill="auto"/>
            <w:noWrap/>
            <w:vAlign w:val="center"/>
            <w:hideMark/>
          </w:tcPr>
          <w:p w14:paraId="14C9393D"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6A583A6"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(-0.94)</w:t>
            </w:r>
          </w:p>
        </w:tc>
        <w:tc>
          <w:tcPr>
            <w:tcW w:w="260" w:type="pct"/>
            <w:tcBorders>
              <w:top w:val="nil"/>
              <w:left w:val="nil"/>
              <w:bottom w:val="nil"/>
              <w:right w:val="nil"/>
            </w:tcBorders>
            <w:shd w:val="clear" w:color="auto" w:fill="auto"/>
            <w:noWrap/>
            <w:vAlign w:val="center"/>
            <w:hideMark/>
          </w:tcPr>
          <w:p w14:paraId="16B82A69"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23FACFA"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(4.73)</w:t>
            </w:r>
          </w:p>
        </w:tc>
        <w:tc>
          <w:tcPr>
            <w:tcW w:w="260" w:type="pct"/>
            <w:tcBorders>
              <w:top w:val="nil"/>
              <w:left w:val="nil"/>
              <w:bottom w:val="nil"/>
              <w:right w:val="nil"/>
            </w:tcBorders>
            <w:shd w:val="clear" w:color="auto" w:fill="auto"/>
            <w:noWrap/>
            <w:vAlign w:val="center"/>
            <w:hideMark/>
          </w:tcPr>
          <w:p w14:paraId="4FDBBA73"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B8CC07E"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(3.85)</w:t>
            </w:r>
          </w:p>
        </w:tc>
      </w:tr>
      <w:tr w:rsidR="00AA2EF3" w:rsidRPr="00317C9F" w14:paraId="110D4FE3" w14:textId="77777777" w:rsidTr="00B15095">
        <w:trPr>
          <w:trHeight w:val="300"/>
        </w:trPr>
        <w:tc>
          <w:tcPr>
            <w:tcW w:w="1417" w:type="pct"/>
            <w:tcBorders>
              <w:top w:val="nil"/>
              <w:left w:val="nil"/>
              <w:bottom w:val="nil"/>
              <w:right w:val="nil"/>
            </w:tcBorders>
            <w:shd w:val="clear" w:color="auto" w:fill="auto"/>
            <w:noWrap/>
            <w:vAlign w:val="center"/>
            <w:hideMark/>
          </w:tcPr>
          <w:p w14:paraId="173721A2"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GT</w:t>
            </w:r>
          </w:p>
        </w:tc>
        <w:tc>
          <w:tcPr>
            <w:tcW w:w="1021" w:type="pct"/>
            <w:tcBorders>
              <w:top w:val="nil"/>
              <w:left w:val="nil"/>
              <w:bottom w:val="nil"/>
              <w:right w:val="nil"/>
            </w:tcBorders>
            <w:shd w:val="clear" w:color="auto" w:fill="auto"/>
            <w:noWrap/>
            <w:vAlign w:val="center"/>
            <w:hideMark/>
          </w:tcPr>
          <w:p w14:paraId="3911F501" w14:textId="3E175668"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53***</w:t>
            </w:r>
          </w:p>
        </w:tc>
        <w:tc>
          <w:tcPr>
            <w:tcW w:w="260" w:type="pct"/>
            <w:tcBorders>
              <w:top w:val="nil"/>
              <w:left w:val="nil"/>
              <w:bottom w:val="nil"/>
              <w:right w:val="nil"/>
            </w:tcBorders>
            <w:shd w:val="clear" w:color="auto" w:fill="auto"/>
            <w:noWrap/>
            <w:vAlign w:val="center"/>
            <w:hideMark/>
          </w:tcPr>
          <w:p w14:paraId="00F10733"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39ADEF38" w14:textId="3A1BF012"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0</w:t>
            </w:r>
            <w:r w:rsidR="00EB7BCB">
              <w:rPr>
                <w:rFonts w:eastAsia="Times New Roman" w:cs="Times New Roman"/>
                <w:color w:val="000000"/>
                <w:lang w:eastAsia="zh-CN"/>
              </w:rPr>
              <w:t>.</w:t>
            </w:r>
            <w:r w:rsidRPr="00317C9F">
              <w:rPr>
                <w:rFonts w:eastAsia="Times New Roman" w:cs="Times New Roman"/>
                <w:color w:val="000000"/>
                <w:lang w:eastAsia="zh-CN"/>
              </w:rPr>
              <w:t>97***</w:t>
            </w:r>
          </w:p>
        </w:tc>
        <w:tc>
          <w:tcPr>
            <w:tcW w:w="260" w:type="pct"/>
            <w:tcBorders>
              <w:top w:val="nil"/>
              <w:left w:val="nil"/>
              <w:bottom w:val="nil"/>
              <w:right w:val="nil"/>
            </w:tcBorders>
            <w:shd w:val="clear" w:color="auto" w:fill="auto"/>
            <w:noWrap/>
            <w:vAlign w:val="center"/>
            <w:hideMark/>
          </w:tcPr>
          <w:p w14:paraId="60BEF9F4"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987FD4E" w14:textId="267C66E7"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64***</w:t>
            </w:r>
          </w:p>
        </w:tc>
      </w:tr>
      <w:tr w:rsidR="00AA2EF3" w:rsidRPr="00317C9F" w14:paraId="18413C30" w14:textId="77777777" w:rsidTr="00B15095">
        <w:trPr>
          <w:trHeight w:val="300"/>
        </w:trPr>
        <w:tc>
          <w:tcPr>
            <w:tcW w:w="1417" w:type="pct"/>
            <w:tcBorders>
              <w:top w:val="nil"/>
              <w:left w:val="nil"/>
              <w:bottom w:val="nil"/>
              <w:right w:val="nil"/>
            </w:tcBorders>
            <w:shd w:val="clear" w:color="auto" w:fill="auto"/>
            <w:noWrap/>
            <w:vAlign w:val="center"/>
            <w:hideMark/>
          </w:tcPr>
          <w:p w14:paraId="46BE73EF"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37261B5"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(-3.18)</w:t>
            </w:r>
          </w:p>
        </w:tc>
        <w:tc>
          <w:tcPr>
            <w:tcW w:w="260" w:type="pct"/>
            <w:tcBorders>
              <w:top w:val="nil"/>
              <w:left w:val="nil"/>
              <w:bottom w:val="nil"/>
              <w:right w:val="nil"/>
            </w:tcBorders>
            <w:shd w:val="clear" w:color="auto" w:fill="auto"/>
            <w:noWrap/>
            <w:vAlign w:val="center"/>
            <w:hideMark/>
          </w:tcPr>
          <w:p w14:paraId="261B13FA"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7DA32A3"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(8.41)</w:t>
            </w:r>
          </w:p>
        </w:tc>
        <w:tc>
          <w:tcPr>
            <w:tcW w:w="260" w:type="pct"/>
            <w:tcBorders>
              <w:top w:val="nil"/>
              <w:left w:val="nil"/>
              <w:bottom w:val="nil"/>
              <w:right w:val="nil"/>
            </w:tcBorders>
            <w:shd w:val="clear" w:color="auto" w:fill="auto"/>
            <w:noWrap/>
            <w:vAlign w:val="center"/>
            <w:hideMark/>
          </w:tcPr>
          <w:p w14:paraId="08D588BC"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2EB4EF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(-4.27)</w:t>
            </w:r>
          </w:p>
        </w:tc>
      </w:tr>
      <w:tr w:rsidR="00AA2EF3" w:rsidRPr="00317C9F" w14:paraId="2BE060D1" w14:textId="77777777" w:rsidTr="00B15095">
        <w:trPr>
          <w:trHeight w:val="300"/>
        </w:trPr>
        <w:tc>
          <w:tcPr>
            <w:tcW w:w="1417" w:type="pct"/>
            <w:tcBorders>
              <w:top w:val="nil"/>
              <w:left w:val="nil"/>
              <w:bottom w:val="nil"/>
              <w:right w:val="nil"/>
            </w:tcBorders>
            <w:shd w:val="clear" w:color="auto" w:fill="auto"/>
            <w:noWrap/>
            <w:vAlign w:val="center"/>
            <w:hideMark/>
          </w:tcPr>
          <w:p w14:paraId="19AECAD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lnBM</w:t>
            </w:r>
          </w:p>
        </w:tc>
        <w:tc>
          <w:tcPr>
            <w:tcW w:w="1021" w:type="pct"/>
            <w:tcBorders>
              <w:top w:val="nil"/>
              <w:left w:val="nil"/>
              <w:bottom w:val="nil"/>
              <w:right w:val="nil"/>
            </w:tcBorders>
            <w:shd w:val="clear" w:color="auto" w:fill="auto"/>
            <w:noWrap/>
            <w:vAlign w:val="center"/>
            <w:hideMark/>
          </w:tcPr>
          <w:p w14:paraId="61A87CEF" w14:textId="4B859850"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1</w:t>
            </w:r>
            <w:r>
              <w:rPr>
                <w:rFonts w:eastAsia="Times New Roman" w:cs="Times New Roman"/>
                <w:color w:val="000000"/>
                <w:lang w:eastAsia="zh-CN"/>
              </w:rPr>
              <w:t>.</w:t>
            </w:r>
            <w:r w:rsidR="00AA2EF3" w:rsidRPr="00317C9F">
              <w:rPr>
                <w:rFonts w:eastAsia="Times New Roman" w:cs="Times New Roman"/>
                <w:color w:val="000000"/>
                <w:lang w:eastAsia="zh-CN"/>
              </w:rPr>
              <w:t>07***</w:t>
            </w:r>
          </w:p>
        </w:tc>
        <w:tc>
          <w:tcPr>
            <w:tcW w:w="260" w:type="pct"/>
            <w:tcBorders>
              <w:top w:val="nil"/>
              <w:left w:val="nil"/>
              <w:bottom w:val="nil"/>
              <w:right w:val="nil"/>
            </w:tcBorders>
            <w:shd w:val="clear" w:color="auto" w:fill="auto"/>
            <w:noWrap/>
            <w:vAlign w:val="center"/>
            <w:hideMark/>
          </w:tcPr>
          <w:p w14:paraId="17CDCD12"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D40E2C3" w14:textId="50F3C9CB"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61***</w:t>
            </w:r>
          </w:p>
        </w:tc>
        <w:tc>
          <w:tcPr>
            <w:tcW w:w="260" w:type="pct"/>
            <w:tcBorders>
              <w:top w:val="nil"/>
              <w:left w:val="nil"/>
              <w:bottom w:val="nil"/>
              <w:right w:val="nil"/>
            </w:tcBorders>
            <w:shd w:val="clear" w:color="auto" w:fill="auto"/>
            <w:noWrap/>
            <w:vAlign w:val="center"/>
            <w:hideMark/>
          </w:tcPr>
          <w:p w14:paraId="4D4827A8"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6426498C" w14:textId="5CC23BE9"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91***</w:t>
            </w:r>
          </w:p>
        </w:tc>
      </w:tr>
      <w:tr w:rsidR="00AA2EF3" w:rsidRPr="00317C9F" w14:paraId="0E56F1CA" w14:textId="77777777" w:rsidTr="00B15095">
        <w:trPr>
          <w:trHeight w:val="300"/>
        </w:trPr>
        <w:tc>
          <w:tcPr>
            <w:tcW w:w="1417" w:type="pct"/>
            <w:tcBorders>
              <w:top w:val="nil"/>
              <w:left w:val="nil"/>
              <w:bottom w:val="nil"/>
              <w:right w:val="nil"/>
            </w:tcBorders>
            <w:shd w:val="clear" w:color="auto" w:fill="auto"/>
            <w:noWrap/>
            <w:vAlign w:val="center"/>
            <w:hideMark/>
          </w:tcPr>
          <w:p w14:paraId="59EF0D69"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2E26D0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(-20.68)</w:t>
            </w:r>
          </w:p>
        </w:tc>
        <w:tc>
          <w:tcPr>
            <w:tcW w:w="260" w:type="pct"/>
            <w:tcBorders>
              <w:top w:val="nil"/>
              <w:left w:val="nil"/>
              <w:bottom w:val="nil"/>
              <w:right w:val="nil"/>
            </w:tcBorders>
            <w:shd w:val="clear" w:color="auto" w:fill="auto"/>
            <w:noWrap/>
            <w:vAlign w:val="center"/>
            <w:hideMark/>
          </w:tcPr>
          <w:p w14:paraId="037D975D"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4247AE5"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(-16.44)</w:t>
            </w:r>
          </w:p>
        </w:tc>
        <w:tc>
          <w:tcPr>
            <w:tcW w:w="260" w:type="pct"/>
            <w:tcBorders>
              <w:top w:val="nil"/>
              <w:left w:val="nil"/>
              <w:bottom w:val="nil"/>
              <w:right w:val="nil"/>
            </w:tcBorders>
            <w:shd w:val="clear" w:color="auto" w:fill="auto"/>
            <w:noWrap/>
            <w:vAlign w:val="center"/>
            <w:hideMark/>
          </w:tcPr>
          <w:p w14:paraId="068B47D6"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84F8967"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(-19.46)</w:t>
            </w:r>
          </w:p>
        </w:tc>
      </w:tr>
      <w:tr w:rsidR="00AA2EF3" w:rsidRPr="00317C9F" w14:paraId="2C36080B" w14:textId="77777777" w:rsidTr="00B15095">
        <w:trPr>
          <w:trHeight w:val="300"/>
        </w:trPr>
        <w:tc>
          <w:tcPr>
            <w:tcW w:w="1417" w:type="pct"/>
            <w:tcBorders>
              <w:top w:val="nil"/>
              <w:left w:val="nil"/>
              <w:bottom w:val="nil"/>
              <w:right w:val="nil"/>
            </w:tcBorders>
            <w:shd w:val="clear" w:color="auto" w:fill="auto"/>
            <w:noWrap/>
            <w:vAlign w:val="center"/>
            <w:hideMark/>
          </w:tcPr>
          <w:p w14:paraId="38867CCB"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lnMV</w:t>
            </w:r>
          </w:p>
        </w:tc>
        <w:tc>
          <w:tcPr>
            <w:tcW w:w="1021" w:type="pct"/>
            <w:tcBorders>
              <w:top w:val="nil"/>
              <w:left w:val="nil"/>
              <w:bottom w:val="nil"/>
              <w:right w:val="nil"/>
            </w:tcBorders>
            <w:shd w:val="clear" w:color="auto" w:fill="auto"/>
            <w:noWrap/>
            <w:vAlign w:val="center"/>
            <w:hideMark/>
          </w:tcPr>
          <w:p w14:paraId="1A6E4A3F" w14:textId="3C7893EC"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13***</w:t>
            </w:r>
          </w:p>
        </w:tc>
        <w:tc>
          <w:tcPr>
            <w:tcW w:w="260" w:type="pct"/>
            <w:tcBorders>
              <w:top w:val="nil"/>
              <w:left w:val="nil"/>
              <w:bottom w:val="nil"/>
              <w:right w:val="nil"/>
            </w:tcBorders>
            <w:shd w:val="clear" w:color="auto" w:fill="auto"/>
            <w:noWrap/>
            <w:vAlign w:val="center"/>
            <w:hideMark/>
          </w:tcPr>
          <w:p w14:paraId="142305D7"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EA3D05D" w14:textId="6E93BE5C"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05*</w:t>
            </w:r>
          </w:p>
        </w:tc>
        <w:tc>
          <w:tcPr>
            <w:tcW w:w="260" w:type="pct"/>
            <w:tcBorders>
              <w:top w:val="nil"/>
              <w:left w:val="nil"/>
              <w:bottom w:val="nil"/>
              <w:right w:val="nil"/>
            </w:tcBorders>
            <w:shd w:val="clear" w:color="auto" w:fill="auto"/>
            <w:noWrap/>
            <w:vAlign w:val="center"/>
            <w:hideMark/>
          </w:tcPr>
          <w:p w14:paraId="0D7D4FAA"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1B65D200" w14:textId="1E4751CC" w:rsidR="00AA2EF3" w:rsidRPr="00317C9F" w:rsidRDefault="00EB7BCB">
            <w:pPr>
              <w:spacing w:after="0" w:line="240" w:lineRule="auto"/>
              <w:jc w:val="center"/>
              <w:rPr>
                <w:rFonts w:eastAsia="Times New Roman" w:cs="Times New Roman"/>
                <w:color w:val="000000"/>
                <w:lang w:eastAsia="zh-CN"/>
              </w:rPr>
            </w:pPr>
            <w:r>
              <w:rPr>
                <w:rFonts w:eastAsia="Times New Roman" w:cs="Times New Roman"/>
                <w:color w:val="000000"/>
                <w:lang w:eastAsia="zh-CN"/>
              </w:rPr>
              <w:t>-</w:t>
            </w:r>
            <w:r w:rsidR="00AA2EF3" w:rsidRPr="00317C9F">
              <w:rPr>
                <w:rFonts w:eastAsia="Times New Roman" w:cs="Times New Roman"/>
                <w:color w:val="000000"/>
                <w:lang w:eastAsia="zh-CN"/>
              </w:rPr>
              <w:t>0</w:t>
            </w:r>
            <w:r>
              <w:rPr>
                <w:rFonts w:eastAsia="Times New Roman" w:cs="Times New Roman"/>
                <w:color w:val="000000"/>
                <w:lang w:eastAsia="zh-CN"/>
              </w:rPr>
              <w:t>.</w:t>
            </w:r>
            <w:r w:rsidR="00AA2EF3" w:rsidRPr="00317C9F">
              <w:rPr>
                <w:rFonts w:eastAsia="Times New Roman" w:cs="Times New Roman"/>
                <w:color w:val="000000"/>
                <w:lang w:eastAsia="zh-CN"/>
              </w:rPr>
              <w:t>09***</w:t>
            </w:r>
          </w:p>
        </w:tc>
      </w:tr>
      <w:tr w:rsidR="00AA2EF3" w:rsidRPr="00317C9F" w14:paraId="423BBC71" w14:textId="77777777" w:rsidTr="00B15095">
        <w:trPr>
          <w:trHeight w:val="300"/>
        </w:trPr>
        <w:tc>
          <w:tcPr>
            <w:tcW w:w="1417" w:type="pct"/>
            <w:tcBorders>
              <w:top w:val="nil"/>
              <w:left w:val="nil"/>
              <w:bottom w:val="nil"/>
              <w:right w:val="nil"/>
            </w:tcBorders>
            <w:shd w:val="clear" w:color="auto" w:fill="auto"/>
            <w:noWrap/>
            <w:vAlign w:val="center"/>
            <w:hideMark/>
          </w:tcPr>
          <w:p w14:paraId="2FDF50C2"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2529F640"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(-3.70)</w:t>
            </w:r>
          </w:p>
        </w:tc>
        <w:tc>
          <w:tcPr>
            <w:tcW w:w="260" w:type="pct"/>
            <w:tcBorders>
              <w:top w:val="nil"/>
              <w:left w:val="nil"/>
              <w:bottom w:val="nil"/>
              <w:right w:val="nil"/>
            </w:tcBorders>
            <w:shd w:val="clear" w:color="auto" w:fill="auto"/>
            <w:noWrap/>
            <w:vAlign w:val="center"/>
            <w:hideMark/>
          </w:tcPr>
          <w:p w14:paraId="55D8AB92"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43AF453"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(-1.79)</w:t>
            </w:r>
          </w:p>
        </w:tc>
        <w:tc>
          <w:tcPr>
            <w:tcW w:w="260" w:type="pct"/>
            <w:tcBorders>
              <w:top w:val="nil"/>
              <w:left w:val="nil"/>
              <w:bottom w:val="nil"/>
              <w:right w:val="nil"/>
            </w:tcBorders>
            <w:shd w:val="clear" w:color="auto" w:fill="auto"/>
            <w:noWrap/>
            <w:vAlign w:val="center"/>
            <w:hideMark/>
          </w:tcPr>
          <w:p w14:paraId="14BC10C3"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0DDBBF04"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(-2.60)</w:t>
            </w:r>
          </w:p>
        </w:tc>
      </w:tr>
      <w:tr w:rsidR="00AA2EF3" w:rsidRPr="00317C9F" w14:paraId="4059DC16" w14:textId="77777777" w:rsidTr="00B15095">
        <w:trPr>
          <w:trHeight w:val="300"/>
        </w:trPr>
        <w:tc>
          <w:tcPr>
            <w:tcW w:w="1417" w:type="pct"/>
            <w:tcBorders>
              <w:top w:val="nil"/>
              <w:left w:val="nil"/>
              <w:bottom w:val="nil"/>
              <w:right w:val="nil"/>
            </w:tcBorders>
            <w:shd w:val="clear" w:color="auto" w:fill="auto"/>
            <w:noWrap/>
            <w:vAlign w:val="center"/>
            <w:hideMark/>
          </w:tcPr>
          <w:p w14:paraId="08B9198A"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Pre6ret</w:t>
            </w:r>
          </w:p>
        </w:tc>
        <w:tc>
          <w:tcPr>
            <w:tcW w:w="1021" w:type="pct"/>
            <w:tcBorders>
              <w:top w:val="nil"/>
              <w:left w:val="nil"/>
              <w:bottom w:val="nil"/>
              <w:right w:val="nil"/>
            </w:tcBorders>
            <w:shd w:val="clear" w:color="auto" w:fill="auto"/>
            <w:noWrap/>
            <w:vAlign w:val="center"/>
            <w:hideMark/>
          </w:tcPr>
          <w:p w14:paraId="4015787B" w14:textId="5A346726"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45***</w:t>
            </w:r>
          </w:p>
        </w:tc>
        <w:tc>
          <w:tcPr>
            <w:tcW w:w="260" w:type="pct"/>
            <w:tcBorders>
              <w:top w:val="nil"/>
              <w:left w:val="nil"/>
              <w:bottom w:val="nil"/>
              <w:right w:val="nil"/>
            </w:tcBorders>
            <w:shd w:val="clear" w:color="auto" w:fill="auto"/>
            <w:noWrap/>
            <w:vAlign w:val="center"/>
            <w:hideMark/>
          </w:tcPr>
          <w:p w14:paraId="12BBED1D"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4E8430A0" w14:textId="50047C85"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45***</w:t>
            </w:r>
          </w:p>
        </w:tc>
        <w:tc>
          <w:tcPr>
            <w:tcW w:w="260" w:type="pct"/>
            <w:tcBorders>
              <w:top w:val="nil"/>
              <w:left w:val="nil"/>
              <w:bottom w:val="nil"/>
              <w:right w:val="nil"/>
            </w:tcBorders>
            <w:shd w:val="clear" w:color="auto" w:fill="auto"/>
            <w:noWrap/>
            <w:vAlign w:val="center"/>
            <w:hideMark/>
          </w:tcPr>
          <w:p w14:paraId="404A41B7" w14:textId="77777777" w:rsidR="00AA2EF3" w:rsidRPr="00317C9F" w:rsidRDefault="00AA2EF3">
            <w:pPr>
              <w:spacing w:after="0" w:line="240" w:lineRule="auto"/>
              <w:jc w:val="center"/>
              <w:rPr>
                <w:rFonts w:eastAsia="Times New Roman" w:cs="Times New Roman"/>
                <w:color w:val="000000"/>
                <w:lang w:eastAsia="zh-CN"/>
              </w:rPr>
            </w:pPr>
          </w:p>
        </w:tc>
        <w:tc>
          <w:tcPr>
            <w:tcW w:w="1021" w:type="pct"/>
            <w:tcBorders>
              <w:top w:val="nil"/>
              <w:left w:val="nil"/>
              <w:bottom w:val="nil"/>
              <w:right w:val="nil"/>
            </w:tcBorders>
            <w:shd w:val="clear" w:color="auto" w:fill="auto"/>
            <w:noWrap/>
            <w:vAlign w:val="center"/>
            <w:hideMark/>
          </w:tcPr>
          <w:p w14:paraId="7BC7F047" w14:textId="1847A520"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1</w:t>
            </w:r>
            <w:r w:rsidR="00EB7BCB">
              <w:rPr>
                <w:rFonts w:eastAsia="Times New Roman" w:cs="Times New Roman"/>
                <w:color w:val="000000"/>
                <w:lang w:eastAsia="zh-CN"/>
              </w:rPr>
              <w:t>.</w:t>
            </w:r>
            <w:r w:rsidRPr="00317C9F">
              <w:rPr>
                <w:rFonts w:eastAsia="Times New Roman" w:cs="Times New Roman"/>
                <w:color w:val="000000"/>
                <w:lang w:eastAsia="zh-CN"/>
              </w:rPr>
              <w:t>44***</w:t>
            </w:r>
          </w:p>
        </w:tc>
      </w:tr>
      <w:tr w:rsidR="00AA2EF3" w:rsidRPr="00317C9F" w14:paraId="55EBF62C" w14:textId="77777777" w:rsidTr="00B15095">
        <w:trPr>
          <w:trHeight w:val="300"/>
        </w:trPr>
        <w:tc>
          <w:tcPr>
            <w:tcW w:w="1417" w:type="pct"/>
            <w:tcBorders>
              <w:top w:val="nil"/>
              <w:left w:val="nil"/>
              <w:bottom w:val="single" w:sz="4" w:space="0" w:color="auto"/>
              <w:right w:val="nil"/>
            </w:tcBorders>
            <w:shd w:val="clear" w:color="auto" w:fill="auto"/>
            <w:noWrap/>
            <w:vAlign w:val="center"/>
            <w:hideMark/>
          </w:tcPr>
          <w:p w14:paraId="525D216A"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59D7CF26"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(7.05)</w:t>
            </w:r>
          </w:p>
        </w:tc>
        <w:tc>
          <w:tcPr>
            <w:tcW w:w="260" w:type="pct"/>
            <w:tcBorders>
              <w:top w:val="nil"/>
              <w:left w:val="nil"/>
              <w:bottom w:val="single" w:sz="4" w:space="0" w:color="auto"/>
              <w:right w:val="nil"/>
            </w:tcBorders>
            <w:shd w:val="clear" w:color="auto" w:fill="auto"/>
            <w:noWrap/>
            <w:vAlign w:val="center"/>
            <w:hideMark/>
          </w:tcPr>
          <w:p w14:paraId="4732D75F"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047D26F1"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(6.33)</w:t>
            </w:r>
          </w:p>
        </w:tc>
        <w:tc>
          <w:tcPr>
            <w:tcW w:w="260" w:type="pct"/>
            <w:tcBorders>
              <w:top w:val="nil"/>
              <w:left w:val="nil"/>
              <w:bottom w:val="single" w:sz="4" w:space="0" w:color="auto"/>
              <w:right w:val="nil"/>
            </w:tcBorders>
            <w:shd w:val="clear" w:color="auto" w:fill="auto"/>
            <w:noWrap/>
            <w:vAlign w:val="center"/>
            <w:hideMark/>
          </w:tcPr>
          <w:p w14:paraId="504B8D58"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 </w:t>
            </w:r>
          </w:p>
        </w:tc>
        <w:tc>
          <w:tcPr>
            <w:tcW w:w="1021" w:type="pct"/>
            <w:tcBorders>
              <w:top w:val="nil"/>
              <w:left w:val="nil"/>
              <w:bottom w:val="single" w:sz="4" w:space="0" w:color="auto"/>
              <w:right w:val="nil"/>
            </w:tcBorders>
            <w:shd w:val="clear" w:color="auto" w:fill="auto"/>
            <w:noWrap/>
            <w:vAlign w:val="center"/>
            <w:hideMark/>
          </w:tcPr>
          <w:p w14:paraId="7D7A3FBB" w14:textId="77777777" w:rsidR="00AA2EF3" w:rsidRPr="00317C9F" w:rsidRDefault="00AA2EF3">
            <w:pPr>
              <w:spacing w:after="0" w:line="240" w:lineRule="auto"/>
              <w:jc w:val="center"/>
              <w:rPr>
                <w:rFonts w:eastAsia="Times New Roman" w:cs="Times New Roman"/>
                <w:color w:val="000000"/>
                <w:lang w:eastAsia="zh-CN"/>
              </w:rPr>
            </w:pPr>
            <w:r w:rsidRPr="00317C9F">
              <w:rPr>
                <w:rFonts w:eastAsia="Times New Roman" w:cs="Times New Roman"/>
                <w:color w:val="000000"/>
                <w:lang w:eastAsia="zh-CN"/>
              </w:rPr>
              <w:t>(6.84)</w:t>
            </w:r>
          </w:p>
        </w:tc>
      </w:tr>
    </w:tbl>
    <w:p w14:paraId="4CDE556C" w14:textId="19FF67B3" w:rsidR="00417C06" w:rsidRPr="00603A64" w:rsidRDefault="00417C06" w:rsidP="00417C06">
      <w:pPr>
        <w:rPr>
          <w:b/>
        </w:rPr>
      </w:pPr>
    </w:p>
    <w:p w14:paraId="087FE402" w14:textId="77777777" w:rsidR="00417C06" w:rsidRDefault="00417C06" w:rsidP="00417C06">
      <w:pPr>
        <w:spacing w:line="360" w:lineRule="auto"/>
        <w:jc w:val="both"/>
      </w:pPr>
      <w:r>
        <w:t xml:space="preserve">  Panel  B. the Effect of Growth Sequence </w:t>
      </w:r>
    </w:p>
    <w:tbl>
      <w:tblPr>
        <w:tblW w:w="5618" w:type="pct"/>
        <w:tblInd w:w="-270" w:type="dxa"/>
        <w:tblLook w:val="04A0" w:firstRow="1" w:lastRow="0" w:firstColumn="1" w:lastColumn="0" w:noHBand="0" w:noVBand="1"/>
      </w:tblPr>
      <w:tblGrid>
        <w:gridCol w:w="1527"/>
        <w:gridCol w:w="1062"/>
        <w:gridCol w:w="643"/>
        <w:gridCol w:w="271"/>
        <w:gridCol w:w="1131"/>
        <w:gridCol w:w="643"/>
        <w:gridCol w:w="271"/>
        <w:gridCol w:w="1131"/>
        <w:gridCol w:w="746"/>
        <w:gridCol w:w="272"/>
        <w:gridCol w:w="1132"/>
        <w:gridCol w:w="746"/>
      </w:tblGrid>
      <w:tr w:rsidR="00417C06" w:rsidRPr="005A79EA" w14:paraId="058531E2" w14:textId="77777777" w:rsidTr="00D002C6">
        <w:trPr>
          <w:trHeight w:val="300"/>
        </w:trPr>
        <w:tc>
          <w:tcPr>
            <w:tcW w:w="797" w:type="pct"/>
            <w:tcBorders>
              <w:top w:val="single" w:sz="4" w:space="0" w:color="auto"/>
              <w:left w:val="nil"/>
              <w:bottom w:val="nil"/>
              <w:right w:val="nil"/>
            </w:tcBorders>
            <w:shd w:val="clear" w:color="auto" w:fill="auto"/>
            <w:noWrap/>
            <w:vAlign w:val="center"/>
            <w:hideMark/>
          </w:tcPr>
          <w:p w14:paraId="2D5AD70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890" w:type="pct"/>
            <w:gridSpan w:val="2"/>
            <w:tcBorders>
              <w:top w:val="single" w:sz="4" w:space="0" w:color="auto"/>
              <w:left w:val="nil"/>
              <w:bottom w:val="single" w:sz="4" w:space="0" w:color="auto"/>
              <w:right w:val="nil"/>
            </w:tcBorders>
            <w:shd w:val="clear" w:color="auto" w:fill="auto"/>
            <w:noWrap/>
            <w:vAlign w:val="center"/>
            <w:hideMark/>
          </w:tcPr>
          <w:p w14:paraId="10F8DBA7"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Sequence=4</w:t>
            </w:r>
          </w:p>
        </w:tc>
        <w:tc>
          <w:tcPr>
            <w:tcW w:w="142" w:type="pct"/>
            <w:tcBorders>
              <w:top w:val="single" w:sz="4" w:space="0" w:color="auto"/>
              <w:left w:val="nil"/>
              <w:bottom w:val="nil"/>
              <w:right w:val="nil"/>
            </w:tcBorders>
            <w:shd w:val="clear" w:color="auto" w:fill="auto"/>
            <w:noWrap/>
            <w:vAlign w:val="center"/>
            <w:hideMark/>
          </w:tcPr>
          <w:p w14:paraId="360F458C"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926" w:type="pct"/>
            <w:gridSpan w:val="2"/>
            <w:tcBorders>
              <w:top w:val="single" w:sz="4" w:space="0" w:color="auto"/>
              <w:left w:val="nil"/>
              <w:bottom w:val="single" w:sz="4" w:space="0" w:color="auto"/>
              <w:right w:val="nil"/>
            </w:tcBorders>
            <w:shd w:val="clear" w:color="auto" w:fill="auto"/>
            <w:noWrap/>
            <w:vAlign w:val="center"/>
            <w:hideMark/>
          </w:tcPr>
          <w:p w14:paraId="02EBE85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Sequence=3</w:t>
            </w:r>
          </w:p>
        </w:tc>
        <w:tc>
          <w:tcPr>
            <w:tcW w:w="142" w:type="pct"/>
            <w:tcBorders>
              <w:top w:val="single" w:sz="4" w:space="0" w:color="auto"/>
              <w:left w:val="nil"/>
              <w:bottom w:val="nil"/>
              <w:right w:val="nil"/>
            </w:tcBorders>
            <w:shd w:val="clear" w:color="auto" w:fill="auto"/>
            <w:noWrap/>
            <w:vAlign w:val="center"/>
            <w:hideMark/>
          </w:tcPr>
          <w:p w14:paraId="2F3C712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981" w:type="pct"/>
            <w:gridSpan w:val="2"/>
            <w:tcBorders>
              <w:top w:val="single" w:sz="4" w:space="0" w:color="auto"/>
              <w:left w:val="nil"/>
              <w:bottom w:val="single" w:sz="4" w:space="0" w:color="auto"/>
              <w:right w:val="nil"/>
            </w:tcBorders>
            <w:shd w:val="clear" w:color="auto" w:fill="auto"/>
            <w:noWrap/>
            <w:vAlign w:val="center"/>
            <w:hideMark/>
          </w:tcPr>
          <w:p w14:paraId="3CCE8798"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Sequence=2</w:t>
            </w:r>
          </w:p>
        </w:tc>
        <w:tc>
          <w:tcPr>
            <w:tcW w:w="142" w:type="pct"/>
            <w:tcBorders>
              <w:top w:val="single" w:sz="4" w:space="0" w:color="auto"/>
              <w:left w:val="nil"/>
              <w:bottom w:val="nil"/>
              <w:right w:val="nil"/>
            </w:tcBorders>
            <w:shd w:val="clear" w:color="auto" w:fill="auto"/>
            <w:noWrap/>
            <w:vAlign w:val="center"/>
            <w:hideMark/>
          </w:tcPr>
          <w:p w14:paraId="5A349E3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981" w:type="pct"/>
            <w:gridSpan w:val="2"/>
            <w:tcBorders>
              <w:top w:val="single" w:sz="4" w:space="0" w:color="auto"/>
              <w:left w:val="nil"/>
              <w:bottom w:val="single" w:sz="4" w:space="0" w:color="auto"/>
              <w:right w:val="nil"/>
            </w:tcBorders>
            <w:shd w:val="clear" w:color="auto" w:fill="auto"/>
            <w:noWrap/>
            <w:vAlign w:val="center"/>
            <w:hideMark/>
          </w:tcPr>
          <w:p w14:paraId="2FA5C50C"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Sequence=1</w:t>
            </w:r>
          </w:p>
        </w:tc>
      </w:tr>
      <w:tr w:rsidR="00417C06" w:rsidRPr="005A79EA" w14:paraId="4828CA0D" w14:textId="77777777" w:rsidTr="00D002C6">
        <w:trPr>
          <w:trHeight w:val="300"/>
        </w:trPr>
        <w:tc>
          <w:tcPr>
            <w:tcW w:w="797" w:type="pct"/>
            <w:tcBorders>
              <w:top w:val="nil"/>
              <w:left w:val="nil"/>
              <w:bottom w:val="single" w:sz="4" w:space="0" w:color="auto"/>
              <w:right w:val="nil"/>
            </w:tcBorders>
            <w:shd w:val="clear" w:color="auto" w:fill="auto"/>
            <w:noWrap/>
            <w:vAlign w:val="center"/>
            <w:hideMark/>
          </w:tcPr>
          <w:p w14:paraId="61D75A61"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55" w:type="pct"/>
            <w:tcBorders>
              <w:top w:val="nil"/>
              <w:left w:val="nil"/>
              <w:bottom w:val="single" w:sz="4" w:space="0" w:color="auto"/>
              <w:right w:val="nil"/>
            </w:tcBorders>
            <w:shd w:val="clear" w:color="auto" w:fill="auto"/>
            <w:noWrap/>
            <w:vAlign w:val="center"/>
            <w:hideMark/>
          </w:tcPr>
          <w:p w14:paraId="1DB32CAF"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slope</w:t>
            </w:r>
          </w:p>
        </w:tc>
        <w:tc>
          <w:tcPr>
            <w:tcW w:w="336" w:type="pct"/>
            <w:tcBorders>
              <w:top w:val="nil"/>
              <w:left w:val="nil"/>
              <w:bottom w:val="single" w:sz="4" w:space="0" w:color="auto"/>
              <w:right w:val="nil"/>
            </w:tcBorders>
            <w:shd w:val="clear" w:color="auto" w:fill="auto"/>
            <w:noWrap/>
            <w:vAlign w:val="center"/>
            <w:hideMark/>
          </w:tcPr>
          <w:p w14:paraId="7DC5E93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t</w:t>
            </w:r>
          </w:p>
        </w:tc>
        <w:tc>
          <w:tcPr>
            <w:tcW w:w="142" w:type="pct"/>
            <w:tcBorders>
              <w:top w:val="nil"/>
              <w:left w:val="nil"/>
              <w:bottom w:val="single" w:sz="4" w:space="0" w:color="auto"/>
              <w:right w:val="nil"/>
            </w:tcBorders>
            <w:shd w:val="clear" w:color="auto" w:fill="auto"/>
            <w:noWrap/>
            <w:vAlign w:val="center"/>
            <w:hideMark/>
          </w:tcPr>
          <w:p w14:paraId="2C90292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3186F4D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slope</w:t>
            </w:r>
          </w:p>
        </w:tc>
        <w:tc>
          <w:tcPr>
            <w:tcW w:w="336" w:type="pct"/>
            <w:tcBorders>
              <w:top w:val="nil"/>
              <w:left w:val="nil"/>
              <w:bottom w:val="single" w:sz="4" w:space="0" w:color="auto"/>
              <w:right w:val="nil"/>
            </w:tcBorders>
            <w:shd w:val="clear" w:color="auto" w:fill="auto"/>
            <w:noWrap/>
            <w:vAlign w:val="center"/>
            <w:hideMark/>
          </w:tcPr>
          <w:p w14:paraId="216C914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t</w:t>
            </w:r>
          </w:p>
        </w:tc>
        <w:tc>
          <w:tcPr>
            <w:tcW w:w="142" w:type="pct"/>
            <w:tcBorders>
              <w:top w:val="nil"/>
              <w:left w:val="nil"/>
              <w:bottom w:val="single" w:sz="4" w:space="0" w:color="auto"/>
              <w:right w:val="nil"/>
            </w:tcBorders>
            <w:shd w:val="clear" w:color="auto" w:fill="auto"/>
            <w:noWrap/>
            <w:vAlign w:val="center"/>
            <w:hideMark/>
          </w:tcPr>
          <w:p w14:paraId="5D0D7C0C"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695CC7DA"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slope</w:t>
            </w:r>
          </w:p>
        </w:tc>
        <w:tc>
          <w:tcPr>
            <w:tcW w:w="390" w:type="pct"/>
            <w:tcBorders>
              <w:top w:val="nil"/>
              <w:left w:val="nil"/>
              <w:bottom w:val="single" w:sz="4" w:space="0" w:color="auto"/>
              <w:right w:val="nil"/>
            </w:tcBorders>
            <w:shd w:val="clear" w:color="auto" w:fill="auto"/>
            <w:noWrap/>
            <w:vAlign w:val="center"/>
            <w:hideMark/>
          </w:tcPr>
          <w:p w14:paraId="276BDAD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t</w:t>
            </w:r>
          </w:p>
        </w:tc>
        <w:tc>
          <w:tcPr>
            <w:tcW w:w="142" w:type="pct"/>
            <w:tcBorders>
              <w:top w:val="nil"/>
              <w:left w:val="nil"/>
              <w:bottom w:val="single" w:sz="4" w:space="0" w:color="auto"/>
              <w:right w:val="nil"/>
            </w:tcBorders>
            <w:shd w:val="clear" w:color="auto" w:fill="auto"/>
            <w:noWrap/>
            <w:vAlign w:val="center"/>
            <w:hideMark/>
          </w:tcPr>
          <w:p w14:paraId="6FB6A851"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4D64193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slope</w:t>
            </w:r>
          </w:p>
        </w:tc>
        <w:tc>
          <w:tcPr>
            <w:tcW w:w="390" w:type="pct"/>
            <w:tcBorders>
              <w:top w:val="nil"/>
              <w:left w:val="nil"/>
              <w:bottom w:val="single" w:sz="4" w:space="0" w:color="auto"/>
              <w:right w:val="nil"/>
            </w:tcBorders>
            <w:shd w:val="clear" w:color="auto" w:fill="auto"/>
            <w:noWrap/>
            <w:vAlign w:val="center"/>
            <w:hideMark/>
          </w:tcPr>
          <w:p w14:paraId="1427710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t</w:t>
            </w:r>
          </w:p>
        </w:tc>
      </w:tr>
      <w:tr w:rsidR="00417C06" w:rsidRPr="005A79EA" w14:paraId="30C3F81A" w14:textId="77777777" w:rsidTr="00D002C6">
        <w:trPr>
          <w:trHeight w:val="300"/>
        </w:trPr>
        <w:tc>
          <w:tcPr>
            <w:tcW w:w="797" w:type="pct"/>
            <w:tcBorders>
              <w:top w:val="nil"/>
              <w:left w:val="nil"/>
              <w:bottom w:val="nil"/>
              <w:right w:val="nil"/>
            </w:tcBorders>
            <w:shd w:val="clear" w:color="auto" w:fill="auto"/>
            <w:noWrap/>
            <w:vAlign w:val="center"/>
            <w:hideMark/>
          </w:tcPr>
          <w:p w14:paraId="5FDC35C1"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Intercept</w:t>
            </w:r>
          </w:p>
        </w:tc>
        <w:tc>
          <w:tcPr>
            <w:tcW w:w="555" w:type="pct"/>
            <w:tcBorders>
              <w:top w:val="nil"/>
              <w:left w:val="nil"/>
              <w:bottom w:val="nil"/>
              <w:right w:val="nil"/>
            </w:tcBorders>
            <w:shd w:val="clear" w:color="auto" w:fill="auto"/>
            <w:noWrap/>
            <w:vAlign w:val="center"/>
            <w:hideMark/>
          </w:tcPr>
          <w:p w14:paraId="1E070F92" w14:textId="3A0E1DF8" w:rsidR="00417C06" w:rsidRPr="005A79EA" w:rsidRDefault="00417C06" w:rsidP="004A2734">
            <w:pPr>
              <w:spacing w:after="0" w:line="240" w:lineRule="auto"/>
              <w:jc w:val="center"/>
              <w:rPr>
                <w:rFonts w:eastAsia="Times New Roman"/>
                <w:color w:val="000000"/>
              </w:rPr>
            </w:pPr>
            <w:r w:rsidRPr="005A79EA">
              <w:rPr>
                <w:rFonts w:eastAsia="Times New Roman"/>
                <w:color w:val="000000"/>
              </w:rPr>
              <w:t>3</w:t>
            </w:r>
            <w:r w:rsidR="00EB7BCB">
              <w:rPr>
                <w:rFonts w:eastAsia="Times New Roman"/>
                <w:color w:val="000000"/>
              </w:rPr>
              <w:t>.</w:t>
            </w:r>
            <w:r w:rsidRPr="005A79EA">
              <w:rPr>
                <w:rFonts w:eastAsia="Times New Roman"/>
                <w:color w:val="000000"/>
              </w:rPr>
              <w:t>35***</w:t>
            </w:r>
          </w:p>
        </w:tc>
        <w:tc>
          <w:tcPr>
            <w:tcW w:w="336" w:type="pct"/>
            <w:tcBorders>
              <w:top w:val="nil"/>
              <w:left w:val="nil"/>
              <w:bottom w:val="nil"/>
              <w:right w:val="nil"/>
            </w:tcBorders>
            <w:shd w:val="clear" w:color="auto" w:fill="auto"/>
            <w:noWrap/>
            <w:vAlign w:val="center"/>
            <w:hideMark/>
          </w:tcPr>
          <w:p w14:paraId="0FED2171"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2.96</w:t>
            </w:r>
          </w:p>
        </w:tc>
        <w:tc>
          <w:tcPr>
            <w:tcW w:w="142" w:type="pct"/>
            <w:tcBorders>
              <w:top w:val="nil"/>
              <w:left w:val="nil"/>
              <w:bottom w:val="nil"/>
              <w:right w:val="nil"/>
            </w:tcBorders>
            <w:shd w:val="clear" w:color="auto" w:fill="auto"/>
            <w:noWrap/>
            <w:vAlign w:val="center"/>
            <w:hideMark/>
          </w:tcPr>
          <w:p w14:paraId="1728B7E2"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102305B0" w14:textId="21315F99"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w:t>
            </w:r>
            <w:r w:rsidR="00EB7BCB">
              <w:rPr>
                <w:rFonts w:eastAsia="Times New Roman"/>
                <w:color w:val="000000"/>
              </w:rPr>
              <w:t>.</w:t>
            </w:r>
            <w:r w:rsidRPr="005A79EA">
              <w:rPr>
                <w:rFonts w:eastAsia="Times New Roman"/>
                <w:color w:val="000000"/>
              </w:rPr>
              <w:t>89***</w:t>
            </w:r>
          </w:p>
        </w:tc>
        <w:tc>
          <w:tcPr>
            <w:tcW w:w="336" w:type="pct"/>
            <w:tcBorders>
              <w:top w:val="nil"/>
              <w:left w:val="nil"/>
              <w:bottom w:val="nil"/>
              <w:right w:val="nil"/>
            </w:tcBorders>
            <w:shd w:val="clear" w:color="auto" w:fill="auto"/>
            <w:noWrap/>
            <w:vAlign w:val="center"/>
            <w:hideMark/>
          </w:tcPr>
          <w:p w14:paraId="2A9DE756"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3.41</w:t>
            </w:r>
          </w:p>
        </w:tc>
        <w:tc>
          <w:tcPr>
            <w:tcW w:w="142" w:type="pct"/>
            <w:tcBorders>
              <w:top w:val="nil"/>
              <w:left w:val="nil"/>
              <w:bottom w:val="nil"/>
              <w:right w:val="nil"/>
            </w:tcBorders>
            <w:shd w:val="clear" w:color="auto" w:fill="auto"/>
            <w:noWrap/>
            <w:vAlign w:val="center"/>
            <w:hideMark/>
          </w:tcPr>
          <w:p w14:paraId="06C0A324"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273F47D7" w14:textId="3CA2248B"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w:t>
            </w:r>
            <w:r w:rsidR="00EB7BCB">
              <w:rPr>
                <w:rFonts w:eastAsia="Times New Roman"/>
                <w:color w:val="000000"/>
              </w:rPr>
              <w:t>.</w:t>
            </w:r>
            <w:r w:rsidRPr="005A79EA">
              <w:rPr>
                <w:rFonts w:eastAsia="Times New Roman"/>
                <w:color w:val="000000"/>
              </w:rPr>
              <w:t>18***</w:t>
            </w:r>
          </w:p>
        </w:tc>
        <w:tc>
          <w:tcPr>
            <w:tcW w:w="390" w:type="pct"/>
            <w:tcBorders>
              <w:top w:val="nil"/>
              <w:left w:val="nil"/>
              <w:bottom w:val="nil"/>
              <w:right w:val="nil"/>
            </w:tcBorders>
            <w:shd w:val="clear" w:color="auto" w:fill="auto"/>
            <w:noWrap/>
            <w:vAlign w:val="center"/>
            <w:hideMark/>
          </w:tcPr>
          <w:p w14:paraId="41B3B99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2.77</w:t>
            </w:r>
          </w:p>
        </w:tc>
        <w:tc>
          <w:tcPr>
            <w:tcW w:w="142" w:type="pct"/>
            <w:tcBorders>
              <w:top w:val="nil"/>
              <w:left w:val="nil"/>
              <w:bottom w:val="nil"/>
              <w:right w:val="nil"/>
            </w:tcBorders>
            <w:shd w:val="clear" w:color="auto" w:fill="auto"/>
            <w:noWrap/>
            <w:vAlign w:val="center"/>
            <w:hideMark/>
          </w:tcPr>
          <w:p w14:paraId="26E33EA1"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76E6747C" w14:textId="1D6C7D7F"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w:t>
            </w:r>
            <w:r w:rsidR="00EB7BCB">
              <w:rPr>
                <w:rFonts w:eastAsia="Times New Roman"/>
                <w:color w:val="000000"/>
              </w:rPr>
              <w:t>.</w:t>
            </w:r>
            <w:r w:rsidRPr="005A79EA">
              <w:rPr>
                <w:rFonts w:eastAsia="Times New Roman"/>
                <w:color w:val="000000"/>
              </w:rPr>
              <w:t>03**</w:t>
            </w:r>
          </w:p>
        </w:tc>
        <w:tc>
          <w:tcPr>
            <w:tcW w:w="390" w:type="pct"/>
            <w:tcBorders>
              <w:top w:val="nil"/>
              <w:left w:val="nil"/>
              <w:bottom w:val="nil"/>
              <w:right w:val="nil"/>
            </w:tcBorders>
            <w:shd w:val="clear" w:color="auto" w:fill="auto"/>
            <w:noWrap/>
            <w:vAlign w:val="center"/>
            <w:hideMark/>
          </w:tcPr>
          <w:p w14:paraId="020FBCA0"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2.29</w:t>
            </w:r>
          </w:p>
        </w:tc>
      </w:tr>
      <w:tr w:rsidR="00417C06" w:rsidRPr="005A79EA" w14:paraId="36CE97AB" w14:textId="77777777" w:rsidTr="00D002C6">
        <w:trPr>
          <w:trHeight w:val="300"/>
        </w:trPr>
        <w:tc>
          <w:tcPr>
            <w:tcW w:w="797" w:type="pct"/>
            <w:tcBorders>
              <w:top w:val="nil"/>
              <w:left w:val="nil"/>
              <w:bottom w:val="nil"/>
              <w:right w:val="nil"/>
            </w:tcBorders>
            <w:shd w:val="clear" w:color="auto" w:fill="auto"/>
            <w:noWrap/>
            <w:vAlign w:val="center"/>
            <w:hideMark/>
          </w:tcPr>
          <w:p w14:paraId="6911DD3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ln(1+AG)</w:t>
            </w:r>
          </w:p>
        </w:tc>
        <w:tc>
          <w:tcPr>
            <w:tcW w:w="555" w:type="pct"/>
            <w:tcBorders>
              <w:top w:val="nil"/>
              <w:left w:val="nil"/>
              <w:bottom w:val="nil"/>
              <w:right w:val="nil"/>
            </w:tcBorders>
            <w:shd w:val="clear" w:color="auto" w:fill="auto"/>
            <w:noWrap/>
            <w:vAlign w:val="center"/>
            <w:hideMark/>
          </w:tcPr>
          <w:p w14:paraId="6D6009FA" w14:textId="06E17A86" w:rsidR="00417C06" w:rsidRPr="005A79EA" w:rsidRDefault="00417C06" w:rsidP="004A2734">
            <w:pPr>
              <w:spacing w:after="0" w:line="240" w:lineRule="auto"/>
              <w:jc w:val="center"/>
              <w:rPr>
                <w:rFonts w:eastAsia="Times New Roman"/>
                <w:color w:val="000000"/>
              </w:rPr>
            </w:pPr>
            <w:r w:rsidRPr="005A79EA">
              <w:rPr>
                <w:rFonts w:eastAsia="Times New Roman"/>
                <w:color w:val="000000"/>
              </w:rPr>
              <w:t>4</w:t>
            </w:r>
            <w:r w:rsidR="00EB7BCB">
              <w:rPr>
                <w:rFonts w:eastAsia="Times New Roman"/>
                <w:color w:val="000000"/>
              </w:rPr>
              <w:t>.</w:t>
            </w:r>
            <w:r w:rsidRPr="005A79EA">
              <w:rPr>
                <w:rFonts w:eastAsia="Times New Roman"/>
                <w:color w:val="000000"/>
              </w:rPr>
              <w:t>44*</w:t>
            </w:r>
          </w:p>
        </w:tc>
        <w:tc>
          <w:tcPr>
            <w:tcW w:w="336" w:type="pct"/>
            <w:tcBorders>
              <w:top w:val="nil"/>
              <w:left w:val="nil"/>
              <w:bottom w:val="nil"/>
              <w:right w:val="nil"/>
            </w:tcBorders>
            <w:shd w:val="clear" w:color="auto" w:fill="auto"/>
            <w:noWrap/>
            <w:vAlign w:val="center"/>
            <w:hideMark/>
          </w:tcPr>
          <w:p w14:paraId="186B9FDA"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1.88</w:t>
            </w:r>
          </w:p>
        </w:tc>
        <w:tc>
          <w:tcPr>
            <w:tcW w:w="142" w:type="pct"/>
            <w:tcBorders>
              <w:top w:val="nil"/>
              <w:left w:val="nil"/>
              <w:bottom w:val="nil"/>
              <w:right w:val="nil"/>
            </w:tcBorders>
            <w:shd w:val="clear" w:color="auto" w:fill="auto"/>
            <w:noWrap/>
            <w:vAlign w:val="center"/>
            <w:hideMark/>
          </w:tcPr>
          <w:p w14:paraId="73E0348D"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7B4CF490" w14:textId="10BE8EF0" w:rsidR="00417C06" w:rsidRPr="005A79EA" w:rsidRDefault="00417C06" w:rsidP="004A2734">
            <w:pPr>
              <w:spacing w:after="0" w:line="240" w:lineRule="auto"/>
              <w:jc w:val="center"/>
              <w:rPr>
                <w:rFonts w:eastAsia="Times New Roman"/>
                <w:color w:val="000000"/>
              </w:rPr>
            </w:pPr>
            <w:r w:rsidRPr="005A79EA">
              <w:rPr>
                <w:rFonts w:eastAsia="Times New Roman"/>
                <w:color w:val="000000"/>
              </w:rPr>
              <w:t>3</w:t>
            </w:r>
            <w:r w:rsidR="00EB7BCB">
              <w:rPr>
                <w:rFonts w:eastAsia="Times New Roman"/>
                <w:color w:val="000000"/>
              </w:rPr>
              <w:t>.</w:t>
            </w:r>
            <w:r w:rsidRPr="005A79EA">
              <w:rPr>
                <w:rFonts w:eastAsia="Times New Roman"/>
                <w:color w:val="000000"/>
              </w:rPr>
              <w:t>39***</w:t>
            </w:r>
          </w:p>
        </w:tc>
        <w:tc>
          <w:tcPr>
            <w:tcW w:w="336" w:type="pct"/>
            <w:tcBorders>
              <w:top w:val="nil"/>
              <w:left w:val="nil"/>
              <w:bottom w:val="nil"/>
              <w:right w:val="nil"/>
            </w:tcBorders>
            <w:shd w:val="clear" w:color="auto" w:fill="auto"/>
            <w:noWrap/>
            <w:vAlign w:val="center"/>
            <w:hideMark/>
          </w:tcPr>
          <w:p w14:paraId="524F358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6.10</w:t>
            </w:r>
          </w:p>
        </w:tc>
        <w:tc>
          <w:tcPr>
            <w:tcW w:w="142" w:type="pct"/>
            <w:tcBorders>
              <w:top w:val="nil"/>
              <w:left w:val="nil"/>
              <w:bottom w:val="nil"/>
              <w:right w:val="nil"/>
            </w:tcBorders>
            <w:shd w:val="clear" w:color="auto" w:fill="auto"/>
            <w:noWrap/>
            <w:vAlign w:val="center"/>
            <w:hideMark/>
          </w:tcPr>
          <w:p w14:paraId="43C4F6DF"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763FB4C1" w14:textId="4431B0F2"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w:t>
            </w:r>
            <w:r w:rsidR="00EB7BCB">
              <w:rPr>
                <w:rFonts w:eastAsia="Times New Roman"/>
                <w:color w:val="000000"/>
              </w:rPr>
              <w:t>.</w:t>
            </w:r>
            <w:r w:rsidRPr="005A79EA">
              <w:rPr>
                <w:rFonts w:eastAsia="Times New Roman"/>
                <w:color w:val="000000"/>
              </w:rPr>
              <w:t>78***</w:t>
            </w:r>
          </w:p>
        </w:tc>
        <w:tc>
          <w:tcPr>
            <w:tcW w:w="390" w:type="pct"/>
            <w:tcBorders>
              <w:top w:val="nil"/>
              <w:left w:val="nil"/>
              <w:bottom w:val="nil"/>
              <w:right w:val="nil"/>
            </w:tcBorders>
            <w:shd w:val="clear" w:color="auto" w:fill="auto"/>
            <w:noWrap/>
            <w:vAlign w:val="center"/>
            <w:hideMark/>
          </w:tcPr>
          <w:p w14:paraId="050657F6"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13.48</w:t>
            </w:r>
          </w:p>
        </w:tc>
        <w:tc>
          <w:tcPr>
            <w:tcW w:w="142" w:type="pct"/>
            <w:tcBorders>
              <w:top w:val="nil"/>
              <w:left w:val="nil"/>
              <w:bottom w:val="nil"/>
              <w:right w:val="nil"/>
            </w:tcBorders>
            <w:shd w:val="clear" w:color="auto" w:fill="auto"/>
            <w:noWrap/>
            <w:vAlign w:val="center"/>
            <w:hideMark/>
          </w:tcPr>
          <w:p w14:paraId="5F6937FB"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62957A30" w14:textId="01A0E599"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w:t>
            </w:r>
            <w:r w:rsidR="00EB7BCB">
              <w:rPr>
                <w:rFonts w:eastAsia="Times New Roman"/>
                <w:color w:val="000000"/>
              </w:rPr>
              <w:t>.</w:t>
            </w:r>
            <w:r w:rsidRPr="005A79EA">
              <w:rPr>
                <w:rFonts w:eastAsia="Times New Roman"/>
                <w:color w:val="000000"/>
              </w:rPr>
              <w:t>74***</w:t>
            </w:r>
          </w:p>
        </w:tc>
        <w:tc>
          <w:tcPr>
            <w:tcW w:w="390" w:type="pct"/>
            <w:tcBorders>
              <w:top w:val="nil"/>
              <w:left w:val="nil"/>
              <w:bottom w:val="nil"/>
              <w:right w:val="nil"/>
            </w:tcBorders>
            <w:shd w:val="clear" w:color="auto" w:fill="auto"/>
            <w:noWrap/>
            <w:vAlign w:val="center"/>
            <w:hideMark/>
          </w:tcPr>
          <w:p w14:paraId="1B7D73C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13.68</w:t>
            </w:r>
          </w:p>
        </w:tc>
      </w:tr>
      <w:tr w:rsidR="00417C06" w:rsidRPr="005A79EA" w14:paraId="7C5FC4AB" w14:textId="77777777" w:rsidTr="00D002C6">
        <w:trPr>
          <w:trHeight w:val="300"/>
        </w:trPr>
        <w:tc>
          <w:tcPr>
            <w:tcW w:w="797" w:type="pct"/>
            <w:tcBorders>
              <w:top w:val="nil"/>
              <w:left w:val="nil"/>
              <w:bottom w:val="nil"/>
              <w:right w:val="nil"/>
            </w:tcBorders>
            <w:shd w:val="clear" w:color="auto" w:fill="auto"/>
            <w:noWrap/>
            <w:vAlign w:val="center"/>
            <w:hideMark/>
          </w:tcPr>
          <w:p w14:paraId="2E9D4BD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ln(1+AG)_lag1</w:t>
            </w:r>
          </w:p>
        </w:tc>
        <w:tc>
          <w:tcPr>
            <w:tcW w:w="555" w:type="pct"/>
            <w:tcBorders>
              <w:top w:val="nil"/>
              <w:left w:val="nil"/>
              <w:bottom w:val="nil"/>
              <w:right w:val="nil"/>
            </w:tcBorders>
            <w:shd w:val="clear" w:color="auto" w:fill="auto"/>
            <w:noWrap/>
            <w:vAlign w:val="center"/>
            <w:hideMark/>
          </w:tcPr>
          <w:p w14:paraId="637282D1" w14:textId="0E5BC8C8"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71</w:t>
            </w:r>
          </w:p>
        </w:tc>
        <w:tc>
          <w:tcPr>
            <w:tcW w:w="336" w:type="pct"/>
            <w:tcBorders>
              <w:top w:val="nil"/>
              <w:left w:val="nil"/>
              <w:bottom w:val="nil"/>
              <w:right w:val="nil"/>
            </w:tcBorders>
            <w:shd w:val="clear" w:color="auto" w:fill="auto"/>
            <w:noWrap/>
            <w:vAlign w:val="center"/>
            <w:hideMark/>
          </w:tcPr>
          <w:p w14:paraId="3B11695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-0.92</w:t>
            </w:r>
          </w:p>
        </w:tc>
        <w:tc>
          <w:tcPr>
            <w:tcW w:w="142" w:type="pct"/>
            <w:tcBorders>
              <w:top w:val="nil"/>
              <w:left w:val="nil"/>
              <w:bottom w:val="nil"/>
              <w:right w:val="nil"/>
            </w:tcBorders>
            <w:shd w:val="clear" w:color="auto" w:fill="auto"/>
            <w:noWrap/>
            <w:vAlign w:val="center"/>
            <w:hideMark/>
          </w:tcPr>
          <w:p w14:paraId="2603DBAB"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7D0F0283" w14:textId="2655ED5D"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2</w:t>
            </w:r>
            <w:r>
              <w:rPr>
                <w:rFonts w:eastAsia="Times New Roman"/>
                <w:color w:val="000000"/>
              </w:rPr>
              <w:t>.</w:t>
            </w:r>
            <w:r w:rsidR="00417C06" w:rsidRPr="005A79EA">
              <w:rPr>
                <w:rFonts w:eastAsia="Times New Roman"/>
                <w:color w:val="000000"/>
              </w:rPr>
              <w:t>55***</w:t>
            </w:r>
          </w:p>
        </w:tc>
        <w:tc>
          <w:tcPr>
            <w:tcW w:w="336" w:type="pct"/>
            <w:tcBorders>
              <w:top w:val="nil"/>
              <w:left w:val="nil"/>
              <w:bottom w:val="nil"/>
              <w:right w:val="nil"/>
            </w:tcBorders>
            <w:shd w:val="clear" w:color="auto" w:fill="auto"/>
            <w:noWrap/>
            <w:vAlign w:val="center"/>
            <w:hideMark/>
          </w:tcPr>
          <w:p w14:paraId="43E06229"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-4.10</w:t>
            </w:r>
          </w:p>
        </w:tc>
        <w:tc>
          <w:tcPr>
            <w:tcW w:w="142" w:type="pct"/>
            <w:tcBorders>
              <w:top w:val="nil"/>
              <w:left w:val="nil"/>
              <w:bottom w:val="nil"/>
              <w:right w:val="nil"/>
            </w:tcBorders>
            <w:shd w:val="clear" w:color="auto" w:fill="auto"/>
            <w:noWrap/>
            <w:vAlign w:val="center"/>
            <w:hideMark/>
          </w:tcPr>
          <w:p w14:paraId="1222A16E"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5597A6F7" w14:textId="5C28CD49"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97***</w:t>
            </w:r>
          </w:p>
        </w:tc>
        <w:tc>
          <w:tcPr>
            <w:tcW w:w="390" w:type="pct"/>
            <w:tcBorders>
              <w:top w:val="nil"/>
              <w:left w:val="nil"/>
              <w:bottom w:val="nil"/>
              <w:right w:val="nil"/>
            </w:tcBorders>
            <w:shd w:val="clear" w:color="auto" w:fill="auto"/>
            <w:noWrap/>
            <w:vAlign w:val="center"/>
            <w:hideMark/>
          </w:tcPr>
          <w:p w14:paraId="35ED3FCD"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-10.05</w:t>
            </w:r>
          </w:p>
        </w:tc>
        <w:tc>
          <w:tcPr>
            <w:tcW w:w="142" w:type="pct"/>
            <w:tcBorders>
              <w:top w:val="nil"/>
              <w:left w:val="nil"/>
              <w:bottom w:val="nil"/>
              <w:right w:val="nil"/>
            </w:tcBorders>
            <w:shd w:val="clear" w:color="auto" w:fill="auto"/>
            <w:noWrap/>
            <w:vAlign w:val="center"/>
            <w:hideMark/>
          </w:tcPr>
          <w:p w14:paraId="69B56ECA"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70683AFC" w14:textId="033564F2"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2</w:t>
            </w:r>
            <w:r>
              <w:rPr>
                <w:rFonts w:eastAsia="Times New Roman"/>
                <w:color w:val="000000"/>
              </w:rPr>
              <w:t>.</w:t>
            </w:r>
            <w:r w:rsidR="00417C06" w:rsidRPr="005A79EA">
              <w:rPr>
                <w:rFonts w:eastAsia="Times New Roman"/>
                <w:color w:val="000000"/>
              </w:rPr>
              <w:t>23***</w:t>
            </w:r>
          </w:p>
        </w:tc>
        <w:tc>
          <w:tcPr>
            <w:tcW w:w="390" w:type="pct"/>
            <w:tcBorders>
              <w:top w:val="nil"/>
              <w:left w:val="nil"/>
              <w:bottom w:val="nil"/>
              <w:right w:val="nil"/>
            </w:tcBorders>
            <w:shd w:val="clear" w:color="auto" w:fill="auto"/>
            <w:noWrap/>
            <w:vAlign w:val="center"/>
            <w:hideMark/>
          </w:tcPr>
          <w:p w14:paraId="69ABBC32"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-8.57</w:t>
            </w:r>
          </w:p>
        </w:tc>
      </w:tr>
      <w:tr w:rsidR="00417C06" w:rsidRPr="005A79EA" w14:paraId="0CDCEAD2" w14:textId="77777777" w:rsidTr="00D002C6">
        <w:trPr>
          <w:trHeight w:val="300"/>
        </w:trPr>
        <w:tc>
          <w:tcPr>
            <w:tcW w:w="797" w:type="pct"/>
            <w:tcBorders>
              <w:top w:val="nil"/>
              <w:left w:val="nil"/>
              <w:bottom w:val="nil"/>
              <w:right w:val="nil"/>
            </w:tcBorders>
            <w:shd w:val="clear" w:color="auto" w:fill="auto"/>
            <w:noWrap/>
            <w:vAlign w:val="center"/>
            <w:hideMark/>
          </w:tcPr>
          <w:p w14:paraId="0108D3A7"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ln(1+AG)_lag2</w:t>
            </w:r>
          </w:p>
        </w:tc>
        <w:tc>
          <w:tcPr>
            <w:tcW w:w="555" w:type="pct"/>
            <w:tcBorders>
              <w:top w:val="nil"/>
              <w:left w:val="nil"/>
              <w:bottom w:val="nil"/>
              <w:right w:val="nil"/>
            </w:tcBorders>
            <w:shd w:val="clear" w:color="auto" w:fill="auto"/>
            <w:noWrap/>
            <w:vAlign w:val="center"/>
            <w:hideMark/>
          </w:tcPr>
          <w:p w14:paraId="4AAC6723" w14:textId="5EC8BFE5"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58</w:t>
            </w:r>
          </w:p>
        </w:tc>
        <w:tc>
          <w:tcPr>
            <w:tcW w:w="336" w:type="pct"/>
            <w:tcBorders>
              <w:top w:val="nil"/>
              <w:left w:val="nil"/>
              <w:bottom w:val="nil"/>
              <w:right w:val="nil"/>
            </w:tcBorders>
            <w:shd w:val="clear" w:color="auto" w:fill="auto"/>
            <w:noWrap/>
            <w:vAlign w:val="center"/>
            <w:hideMark/>
          </w:tcPr>
          <w:p w14:paraId="52FD8FC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-0.65</w:t>
            </w:r>
          </w:p>
        </w:tc>
        <w:tc>
          <w:tcPr>
            <w:tcW w:w="142" w:type="pct"/>
            <w:tcBorders>
              <w:top w:val="nil"/>
              <w:left w:val="nil"/>
              <w:bottom w:val="nil"/>
              <w:right w:val="nil"/>
            </w:tcBorders>
            <w:shd w:val="clear" w:color="auto" w:fill="auto"/>
            <w:noWrap/>
            <w:vAlign w:val="center"/>
            <w:hideMark/>
          </w:tcPr>
          <w:p w14:paraId="648146A4"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4E7FE5C2" w14:textId="642E0A2A"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45**</w:t>
            </w:r>
          </w:p>
        </w:tc>
        <w:tc>
          <w:tcPr>
            <w:tcW w:w="336" w:type="pct"/>
            <w:tcBorders>
              <w:top w:val="nil"/>
              <w:left w:val="nil"/>
              <w:bottom w:val="nil"/>
              <w:right w:val="nil"/>
            </w:tcBorders>
            <w:shd w:val="clear" w:color="auto" w:fill="auto"/>
            <w:noWrap/>
            <w:vAlign w:val="center"/>
            <w:hideMark/>
          </w:tcPr>
          <w:p w14:paraId="1B9E17B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-2.25</w:t>
            </w:r>
          </w:p>
        </w:tc>
        <w:tc>
          <w:tcPr>
            <w:tcW w:w="142" w:type="pct"/>
            <w:tcBorders>
              <w:top w:val="nil"/>
              <w:left w:val="nil"/>
              <w:bottom w:val="nil"/>
              <w:right w:val="nil"/>
            </w:tcBorders>
            <w:shd w:val="clear" w:color="auto" w:fill="auto"/>
            <w:noWrap/>
            <w:vAlign w:val="center"/>
            <w:hideMark/>
          </w:tcPr>
          <w:p w14:paraId="1AFFE7CD"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666C58AB" w14:textId="0451DC32"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54***</w:t>
            </w:r>
          </w:p>
        </w:tc>
        <w:tc>
          <w:tcPr>
            <w:tcW w:w="390" w:type="pct"/>
            <w:tcBorders>
              <w:top w:val="nil"/>
              <w:left w:val="nil"/>
              <w:bottom w:val="nil"/>
              <w:right w:val="nil"/>
            </w:tcBorders>
            <w:shd w:val="clear" w:color="auto" w:fill="auto"/>
            <w:noWrap/>
            <w:vAlign w:val="center"/>
            <w:hideMark/>
          </w:tcPr>
          <w:p w14:paraId="659296F9"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-6.68</w:t>
            </w:r>
          </w:p>
        </w:tc>
        <w:tc>
          <w:tcPr>
            <w:tcW w:w="142" w:type="pct"/>
            <w:tcBorders>
              <w:top w:val="nil"/>
              <w:left w:val="nil"/>
              <w:bottom w:val="nil"/>
              <w:right w:val="nil"/>
            </w:tcBorders>
            <w:shd w:val="clear" w:color="auto" w:fill="auto"/>
            <w:noWrap/>
            <w:vAlign w:val="center"/>
            <w:hideMark/>
          </w:tcPr>
          <w:p w14:paraId="43B6BC27"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545CFB02" w14:textId="440229EF"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48***</w:t>
            </w:r>
          </w:p>
        </w:tc>
        <w:tc>
          <w:tcPr>
            <w:tcW w:w="390" w:type="pct"/>
            <w:tcBorders>
              <w:top w:val="nil"/>
              <w:left w:val="nil"/>
              <w:bottom w:val="nil"/>
              <w:right w:val="nil"/>
            </w:tcBorders>
            <w:shd w:val="clear" w:color="auto" w:fill="auto"/>
            <w:noWrap/>
            <w:vAlign w:val="center"/>
            <w:hideMark/>
          </w:tcPr>
          <w:p w14:paraId="0E16699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-6.43</w:t>
            </w:r>
          </w:p>
        </w:tc>
      </w:tr>
      <w:tr w:rsidR="00417C06" w:rsidRPr="005A79EA" w14:paraId="22F3F441" w14:textId="77777777" w:rsidTr="00D002C6">
        <w:trPr>
          <w:trHeight w:val="300"/>
        </w:trPr>
        <w:tc>
          <w:tcPr>
            <w:tcW w:w="797" w:type="pct"/>
            <w:tcBorders>
              <w:top w:val="nil"/>
              <w:left w:val="nil"/>
              <w:bottom w:val="nil"/>
              <w:right w:val="nil"/>
            </w:tcBorders>
            <w:shd w:val="clear" w:color="auto" w:fill="auto"/>
            <w:noWrap/>
            <w:vAlign w:val="center"/>
            <w:hideMark/>
          </w:tcPr>
          <w:p w14:paraId="12293988"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ln(1+AG)_lag3</w:t>
            </w:r>
          </w:p>
        </w:tc>
        <w:tc>
          <w:tcPr>
            <w:tcW w:w="555" w:type="pct"/>
            <w:tcBorders>
              <w:top w:val="nil"/>
              <w:left w:val="nil"/>
              <w:bottom w:val="nil"/>
              <w:right w:val="nil"/>
            </w:tcBorders>
            <w:shd w:val="clear" w:color="auto" w:fill="auto"/>
            <w:noWrap/>
            <w:vAlign w:val="center"/>
            <w:hideMark/>
          </w:tcPr>
          <w:p w14:paraId="5290D592" w14:textId="044AC5F9"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2</w:t>
            </w:r>
            <w:r>
              <w:rPr>
                <w:rFonts w:eastAsia="Times New Roman"/>
                <w:color w:val="000000"/>
              </w:rPr>
              <w:t>.</w:t>
            </w:r>
            <w:r w:rsidR="00417C06" w:rsidRPr="005A79EA">
              <w:rPr>
                <w:rFonts w:eastAsia="Times New Roman"/>
                <w:color w:val="000000"/>
              </w:rPr>
              <w:t>13</w:t>
            </w:r>
          </w:p>
        </w:tc>
        <w:tc>
          <w:tcPr>
            <w:tcW w:w="336" w:type="pct"/>
            <w:tcBorders>
              <w:top w:val="nil"/>
              <w:left w:val="nil"/>
              <w:bottom w:val="nil"/>
              <w:right w:val="nil"/>
            </w:tcBorders>
            <w:shd w:val="clear" w:color="auto" w:fill="auto"/>
            <w:noWrap/>
            <w:vAlign w:val="center"/>
            <w:hideMark/>
          </w:tcPr>
          <w:p w14:paraId="195E209A"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-0.69</w:t>
            </w:r>
          </w:p>
        </w:tc>
        <w:tc>
          <w:tcPr>
            <w:tcW w:w="142" w:type="pct"/>
            <w:tcBorders>
              <w:top w:val="nil"/>
              <w:left w:val="nil"/>
              <w:bottom w:val="nil"/>
              <w:right w:val="nil"/>
            </w:tcBorders>
            <w:shd w:val="clear" w:color="auto" w:fill="auto"/>
            <w:noWrap/>
            <w:vAlign w:val="center"/>
            <w:hideMark/>
          </w:tcPr>
          <w:p w14:paraId="4B157043"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10809CA6" w14:textId="13C31647"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01</w:t>
            </w:r>
          </w:p>
        </w:tc>
        <w:tc>
          <w:tcPr>
            <w:tcW w:w="336" w:type="pct"/>
            <w:tcBorders>
              <w:top w:val="nil"/>
              <w:left w:val="nil"/>
              <w:bottom w:val="nil"/>
              <w:right w:val="nil"/>
            </w:tcBorders>
            <w:shd w:val="clear" w:color="auto" w:fill="auto"/>
            <w:noWrap/>
            <w:vAlign w:val="center"/>
            <w:hideMark/>
          </w:tcPr>
          <w:p w14:paraId="31064BC5"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-0.02</w:t>
            </w:r>
          </w:p>
        </w:tc>
        <w:tc>
          <w:tcPr>
            <w:tcW w:w="142" w:type="pct"/>
            <w:tcBorders>
              <w:top w:val="nil"/>
              <w:left w:val="nil"/>
              <w:bottom w:val="nil"/>
              <w:right w:val="nil"/>
            </w:tcBorders>
            <w:shd w:val="clear" w:color="auto" w:fill="auto"/>
            <w:noWrap/>
            <w:vAlign w:val="center"/>
            <w:hideMark/>
          </w:tcPr>
          <w:p w14:paraId="599598A2"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5B0D7769" w14:textId="449FAE4E"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34*</w:t>
            </w:r>
          </w:p>
        </w:tc>
        <w:tc>
          <w:tcPr>
            <w:tcW w:w="390" w:type="pct"/>
            <w:tcBorders>
              <w:top w:val="nil"/>
              <w:left w:val="nil"/>
              <w:bottom w:val="nil"/>
              <w:right w:val="nil"/>
            </w:tcBorders>
            <w:shd w:val="clear" w:color="auto" w:fill="auto"/>
            <w:noWrap/>
            <w:vAlign w:val="center"/>
            <w:hideMark/>
          </w:tcPr>
          <w:p w14:paraId="2EAADAF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-1.82</w:t>
            </w:r>
          </w:p>
        </w:tc>
        <w:tc>
          <w:tcPr>
            <w:tcW w:w="142" w:type="pct"/>
            <w:tcBorders>
              <w:top w:val="nil"/>
              <w:left w:val="nil"/>
              <w:bottom w:val="nil"/>
              <w:right w:val="nil"/>
            </w:tcBorders>
            <w:shd w:val="clear" w:color="auto" w:fill="auto"/>
            <w:noWrap/>
            <w:vAlign w:val="center"/>
            <w:hideMark/>
          </w:tcPr>
          <w:p w14:paraId="6B9E7404"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38D5B231" w14:textId="1F40C4D8"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37**</w:t>
            </w:r>
          </w:p>
        </w:tc>
        <w:tc>
          <w:tcPr>
            <w:tcW w:w="390" w:type="pct"/>
            <w:tcBorders>
              <w:top w:val="nil"/>
              <w:left w:val="nil"/>
              <w:bottom w:val="nil"/>
              <w:right w:val="nil"/>
            </w:tcBorders>
            <w:shd w:val="clear" w:color="auto" w:fill="auto"/>
            <w:noWrap/>
            <w:vAlign w:val="center"/>
            <w:hideMark/>
          </w:tcPr>
          <w:p w14:paraId="7921DBA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-2.00</w:t>
            </w:r>
          </w:p>
        </w:tc>
      </w:tr>
      <w:tr w:rsidR="00417C06" w:rsidRPr="005A79EA" w14:paraId="25496E6D" w14:textId="77777777" w:rsidTr="00D002C6">
        <w:trPr>
          <w:trHeight w:val="300"/>
        </w:trPr>
        <w:tc>
          <w:tcPr>
            <w:tcW w:w="797" w:type="pct"/>
            <w:tcBorders>
              <w:top w:val="nil"/>
              <w:left w:val="nil"/>
              <w:bottom w:val="nil"/>
              <w:right w:val="nil"/>
            </w:tcBorders>
            <w:shd w:val="clear" w:color="auto" w:fill="auto"/>
            <w:noWrap/>
            <w:vAlign w:val="center"/>
            <w:hideMark/>
          </w:tcPr>
          <w:p w14:paraId="03EE14CB"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lnBM</w:t>
            </w:r>
          </w:p>
        </w:tc>
        <w:tc>
          <w:tcPr>
            <w:tcW w:w="555" w:type="pct"/>
            <w:tcBorders>
              <w:top w:val="nil"/>
              <w:left w:val="nil"/>
              <w:bottom w:val="nil"/>
              <w:right w:val="nil"/>
            </w:tcBorders>
            <w:shd w:val="clear" w:color="auto" w:fill="auto"/>
            <w:noWrap/>
            <w:vAlign w:val="center"/>
            <w:hideMark/>
          </w:tcPr>
          <w:p w14:paraId="5FA0658B" w14:textId="6011FFA4"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79</w:t>
            </w:r>
          </w:p>
        </w:tc>
        <w:tc>
          <w:tcPr>
            <w:tcW w:w="336" w:type="pct"/>
            <w:tcBorders>
              <w:top w:val="nil"/>
              <w:left w:val="nil"/>
              <w:bottom w:val="nil"/>
              <w:right w:val="nil"/>
            </w:tcBorders>
            <w:shd w:val="clear" w:color="auto" w:fill="auto"/>
            <w:noWrap/>
            <w:vAlign w:val="center"/>
            <w:hideMark/>
          </w:tcPr>
          <w:p w14:paraId="27646F5F"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-1.17</w:t>
            </w:r>
          </w:p>
        </w:tc>
        <w:tc>
          <w:tcPr>
            <w:tcW w:w="142" w:type="pct"/>
            <w:tcBorders>
              <w:top w:val="nil"/>
              <w:left w:val="nil"/>
              <w:bottom w:val="nil"/>
              <w:right w:val="nil"/>
            </w:tcBorders>
            <w:shd w:val="clear" w:color="auto" w:fill="auto"/>
            <w:noWrap/>
            <w:vAlign w:val="center"/>
            <w:hideMark/>
          </w:tcPr>
          <w:p w14:paraId="53115C3D"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5C0C69FF" w14:textId="611805F0"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35***</w:t>
            </w:r>
          </w:p>
        </w:tc>
        <w:tc>
          <w:tcPr>
            <w:tcW w:w="336" w:type="pct"/>
            <w:tcBorders>
              <w:top w:val="nil"/>
              <w:left w:val="nil"/>
              <w:bottom w:val="nil"/>
              <w:right w:val="nil"/>
            </w:tcBorders>
            <w:shd w:val="clear" w:color="auto" w:fill="auto"/>
            <w:noWrap/>
            <w:vAlign w:val="center"/>
            <w:hideMark/>
          </w:tcPr>
          <w:p w14:paraId="634B53AC"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-7.82</w:t>
            </w:r>
          </w:p>
        </w:tc>
        <w:tc>
          <w:tcPr>
            <w:tcW w:w="142" w:type="pct"/>
            <w:tcBorders>
              <w:top w:val="nil"/>
              <w:left w:val="nil"/>
              <w:bottom w:val="nil"/>
              <w:right w:val="nil"/>
            </w:tcBorders>
            <w:shd w:val="clear" w:color="auto" w:fill="auto"/>
            <w:noWrap/>
            <w:vAlign w:val="center"/>
            <w:hideMark/>
          </w:tcPr>
          <w:p w14:paraId="5BD5C6DF"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333B4D9A" w14:textId="3D1209AE"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20***</w:t>
            </w:r>
          </w:p>
        </w:tc>
        <w:tc>
          <w:tcPr>
            <w:tcW w:w="390" w:type="pct"/>
            <w:tcBorders>
              <w:top w:val="nil"/>
              <w:left w:val="nil"/>
              <w:bottom w:val="nil"/>
              <w:right w:val="nil"/>
            </w:tcBorders>
            <w:shd w:val="clear" w:color="auto" w:fill="auto"/>
            <w:noWrap/>
            <w:vAlign w:val="center"/>
            <w:hideMark/>
          </w:tcPr>
          <w:p w14:paraId="051CD8B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-16.05</w:t>
            </w:r>
          </w:p>
        </w:tc>
        <w:tc>
          <w:tcPr>
            <w:tcW w:w="142" w:type="pct"/>
            <w:tcBorders>
              <w:top w:val="nil"/>
              <w:left w:val="nil"/>
              <w:bottom w:val="nil"/>
              <w:right w:val="nil"/>
            </w:tcBorders>
            <w:shd w:val="clear" w:color="auto" w:fill="auto"/>
            <w:noWrap/>
            <w:vAlign w:val="center"/>
            <w:hideMark/>
          </w:tcPr>
          <w:p w14:paraId="3EB21701"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bottom w:val="nil"/>
              <w:right w:val="nil"/>
            </w:tcBorders>
            <w:shd w:val="clear" w:color="auto" w:fill="auto"/>
            <w:noWrap/>
            <w:vAlign w:val="center"/>
            <w:hideMark/>
          </w:tcPr>
          <w:p w14:paraId="5129623F" w14:textId="32E849E7"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1</w:t>
            </w:r>
            <w:r>
              <w:rPr>
                <w:rFonts w:eastAsia="Times New Roman"/>
                <w:color w:val="000000"/>
              </w:rPr>
              <w:t>.</w:t>
            </w:r>
            <w:r w:rsidR="00417C06" w:rsidRPr="005A79EA">
              <w:rPr>
                <w:rFonts w:eastAsia="Times New Roman"/>
                <w:color w:val="000000"/>
              </w:rPr>
              <w:t>37***</w:t>
            </w:r>
          </w:p>
        </w:tc>
        <w:tc>
          <w:tcPr>
            <w:tcW w:w="390" w:type="pct"/>
            <w:tcBorders>
              <w:top w:val="nil"/>
              <w:left w:val="nil"/>
              <w:bottom w:val="nil"/>
              <w:right w:val="nil"/>
            </w:tcBorders>
            <w:shd w:val="clear" w:color="auto" w:fill="auto"/>
            <w:noWrap/>
            <w:vAlign w:val="center"/>
            <w:hideMark/>
          </w:tcPr>
          <w:p w14:paraId="3BAADF68"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-15.82</w:t>
            </w:r>
          </w:p>
        </w:tc>
      </w:tr>
      <w:tr w:rsidR="00417C06" w:rsidRPr="005A79EA" w14:paraId="03E61E94" w14:textId="77777777" w:rsidTr="00D002C6">
        <w:trPr>
          <w:trHeight w:val="300"/>
        </w:trPr>
        <w:tc>
          <w:tcPr>
            <w:tcW w:w="797" w:type="pct"/>
            <w:tcBorders>
              <w:top w:val="nil"/>
              <w:left w:val="nil"/>
              <w:right w:val="nil"/>
            </w:tcBorders>
            <w:shd w:val="clear" w:color="auto" w:fill="auto"/>
            <w:noWrap/>
            <w:vAlign w:val="center"/>
            <w:hideMark/>
          </w:tcPr>
          <w:p w14:paraId="0D1E16AE"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lnMV</w:t>
            </w:r>
          </w:p>
        </w:tc>
        <w:tc>
          <w:tcPr>
            <w:tcW w:w="555" w:type="pct"/>
            <w:tcBorders>
              <w:top w:val="nil"/>
              <w:left w:val="nil"/>
              <w:right w:val="nil"/>
            </w:tcBorders>
            <w:shd w:val="clear" w:color="auto" w:fill="auto"/>
            <w:noWrap/>
            <w:vAlign w:val="center"/>
            <w:hideMark/>
          </w:tcPr>
          <w:p w14:paraId="5658C4D6" w14:textId="38B164FD"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30*</w:t>
            </w:r>
          </w:p>
        </w:tc>
        <w:tc>
          <w:tcPr>
            <w:tcW w:w="336" w:type="pct"/>
            <w:tcBorders>
              <w:top w:val="nil"/>
              <w:left w:val="nil"/>
              <w:right w:val="nil"/>
            </w:tcBorders>
            <w:shd w:val="clear" w:color="auto" w:fill="auto"/>
            <w:noWrap/>
            <w:vAlign w:val="center"/>
            <w:hideMark/>
          </w:tcPr>
          <w:p w14:paraId="2684255A"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-1.68</w:t>
            </w:r>
          </w:p>
        </w:tc>
        <w:tc>
          <w:tcPr>
            <w:tcW w:w="142" w:type="pct"/>
            <w:tcBorders>
              <w:top w:val="nil"/>
              <w:left w:val="nil"/>
              <w:right w:val="nil"/>
            </w:tcBorders>
            <w:shd w:val="clear" w:color="auto" w:fill="auto"/>
            <w:noWrap/>
            <w:vAlign w:val="center"/>
            <w:hideMark/>
          </w:tcPr>
          <w:p w14:paraId="3699BED8"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right w:val="nil"/>
            </w:tcBorders>
            <w:shd w:val="clear" w:color="auto" w:fill="auto"/>
            <w:noWrap/>
            <w:vAlign w:val="center"/>
            <w:hideMark/>
          </w:tcPr>
          <w:p w14:paraId="433B3371" w14:textId="00DCF0C6"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11</w:t>
            </w:r>
          </w:p>
        </w:tc>
        <w:tc>
          <w:tcPr>
            <w:tcW w:w="336" w:type="pct"/>
            <w:tcBorders>
              <w:top w:val="nil"/>
              <w:left w:val="nil"/>
              <w:right w:val="nil"/>
            </w:tcBorders>
            <w:shd w:val="clear" w:color="auto" w:fill="auto"/>
            <w:noWrap/>
            <w:vAlign w:val="center"/>
            <w:hideMark/>
          </w:tcPr>
          <w:p w14:paraId="5131611F"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-1.37</w:t>
            </w:r>
          </w:p>
        </w:tc>
        <w:tc>
          <w:tcPr>
            <w:tcW w:w="142" w:type="pct"/>
            <w:tcBorders>
              <w:top w:val="nil"/>
              <w:left w:val="nil"/>
              <w:right w:val="nil"/>
            </w:tcBorders>
            <w:shd w:val="clear" w:color="auto" w:fill="auto"/>
            <w:noWrap/>
            <w:vAlign w:val="center"/>
            <w:hideMark/>
          </w:tcPr>
          <w:p w14:paraId="6E67D1C1"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right w:val="nil"/>
            </w:tcBorders>
            <w:shd w:val="clear" w:color="auto" w:fill="auto"/>
            <w:noWrap/>
            <w:vAlign w:val="center"/>
            <w:hideMark/>
          </w:tcPr>
          <w:p w14:paraId="1FE6BDBF" w14:textId="6AF88DF2" w:rsidR="00417C06" w:rsidRPr="005A79EA" w:rsidRDefault="00EB7BCB" w:rsidP="004A2734">
            <w:pPr>
              <w:spacing w:after="0" w:line="240" w:lineRule="auto"/>
              <w:jc w:val="center"/>
              <w:rPr>
                <w:rFonts w:eastAsia="Times New Roman"/>
                <w:color w:val="000000"/>
              </w:rPr>
            </w:pPr>
            <w:r>
              <w:rPr>
                <w:rFonts w:eastAsia="Times New Roman"/>
                <w:color w:val="000000"/>
              </w:rPr>
              <w:t>-</w:t>
            </w:r>
            <w:r w:rsidR="00417C06" w:rsidRPr="005A79EA">
              <w:rPr>
                <w:rFonts w:eastAsia="Times New Roman"/>
                <w:color w:val="000000"/>
              </w:rPr>
              <w:t>0</w:t>
            </w:r>
            <w:r>
              <w:rPr>
                <w:rFonts w:eastAsia="Times New Roman"/>
                <w:color w:val="000000"/>
              </w:rPr>
              <w:t>.</w:t>
            </w:r>
            <w:r w:rsidR="00417C06" w:rsidRPr="005A79EA">
              <w:rPr>
                <w:rFonts w:eastAsia="Times New Roman"/>
                <w:color w:val="000000"/>
              </w:rPr>
              <w:t>01</w:t>
            </w:r>
          </w:p>
        </w:tc>
        <w:tc>
          <w:tcPr>
            <w:tcW w:w="390" w:type="pct"/>
            <w:tcBorders>
              <w:top w:val="nil"/>
              <w:left w:val="nil"/>
              <w:right w:val="nil"/>
            </w:tcBorders>
            <w:shd w:val="clear" w:color="auto" w:fill="auto"/>
            <w:noWrap/>
            <w:vAlign w:val="center"/>
            <w:hideMark/>
          </w:tcPr>
          <w:p w14:paraId="7209F9C3"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-0.24</w:t>
            </w:r>
          </w:p>
        </w:tc>
        <w:tc>
          <w:tcPr>
            <w:tcW w:w="142" w:type="pct"/>
            <w:tcBorders>
              <w:top w:val="nil"/>
              <w:left w:val="nil"/>
              <w:right w:val="nil"/>
            </w:tcBorders>
            <w:shd w:val="clear" w:color="auto" w:fill="auto"/>
            <w:noWrap/>
            <w:vAlign w:val="center"/>
            <w:hideMark/>
          </w:tcPr>
          <w:p w14:paraId="03BFA295" w14:textId="77777777" w:rsidR="00417C06" w:rsidRPr="005A79EA" w:rsidRDefault="00417C06" w:rsidP="004A2734">
            <w:pPr>
              <w:spacing w:after="0" w:line="240" w:lineRule="auto"/>
              <w:jc w:val="center"/>
              <w:rPr>
                <w:rFonts w:eastAsia="Times New Roman"/>
                <w:color w:val="000000"/>
              </w:rPr>
            </w:pPr>
          </w:p>
        </w:tc>
        <w:tc>
          <w:tcPr>
            <w:tcW w:w="591" w:type="pct"/>
            <w:tcBorders>
              <w:top w:val="nil"/>
              <w:left w:val="nil"/>
              <w:right w:val="nil"/>
            </w:tcBorders>
            <w:shd w:val="clear" w:color="auto" w:fill="auto"/>
            <w:noWrap/>
            <w:vAlign w:val="center"/>
            <w:hideMark/>
          </w:tcPr>
          <w:p w14:paraId="69CCE19A" w14:textId="28597150"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w:t>
            </w:r>
            <w:r w:rsidR="00EB7BCB">
              <w:rPr>
                <w:rFonts w:eastAsia="Times New Roman"/>
                <w:color w:val="000000"/>
              </w:rPr>
              <w:t>.</w:t>
            </w:r>
            <w:r w:rsidRPr="005A79EA">
              <w:rPr>
                <w:rFonts w:eastAsia="Times New Roman"/>
                <w:color w:val="000000"/>
              </w:rPr>
              <w:t>00</w:t>
            </w:r>
          </w:p>
        </w:tc>
        <w:tc>
          <w:tcPr>
            <w:tcW w:w="390" w:type="pct"/>
            <w:tcBorders>
              <w:top w:val="nil"/>
              <w:left w:val="nil"/>
              <w:right w:val="nil"/>
            </w:tcBorders>
            <w:shd w:val="clear" w:color="auto" w:fill="auto"/>
            <w:noWrap/>
            <w:vAlign w:val="center"/>
            <w:hideMark/>
          </w:tcPr>
          <w:p w14:paraId="73F7C8FA"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0.02</w:t>
            </w:r>
          </w:p>
        </w:tc>
      </w:tr>
      <w:tr w:rsidR="00417C06" w:rsidRPr="005A79EA" w14:paraId="5FC67649" w14:textId="77777777" w:rsidTr="00D002C6">
        <w:trPr>
          <w:trHeight w:val="300"/>
        </w:trPr>
        <w:tc>
          <w:tcPr>
            <w:tcW w:w="797" w:type="pct"/>
            <w:tcBorders>
              <w:top w:val="nil"/>
              <w:left w:val="nil"/>
              <w:bottom w:val="single" w:sz="4" w:space="0" w:color="auto"/>
              <w:right w:val="nil"/>
            </w:tcBorders>
            <w:shd w:val="clear" w:color="auto" w:fill="auto"/>
            <w:noWrap/>
            <w:vAlign w:val="center"/>
            <w:hideMark/>
          </w:tcPr>
          <w:p w14:paraId="2E2FBBB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pre6ret</w:t>
            </w:r>
          </w:p>
        </w:tc>
        <w:tc>
          <w:tcPr>
            <w:tcW w:w="555" w:type="pct"/>
            <w:tcBorders>
              <w:top w:val="nil"/>
              <w:left w:val="nil"/>
              <w:bottom w:val="single" w:sz="4" w:space="0" w:color="auto"/>
              <w:right w:val="nil"/>
            </w:tcBorders>
            <w:shd w:val="clear" w:color="auto" w:fill="auto"/>
            <w:noWrap/>
            <w:vAlign w:val="center"/>
            <w:hideMark/>
          </w:tcPr>
          <w:p w14:paraId="7840BB1C" w14:textId="05918FC1"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w:t>
            </w:r>
            <w:r w:rsidR="00EB7BCB">
              <w:rPr>
                <w:rFonts w:eastAsia="Times New Roman"/>
                <w:color w:val="000000"/>
              </w:rPr>
              <w:t>.</w:t>
            </w:r>
            <w:r w:rsidRPr="005A79EA">
              <w:rPr>
                <w:rFonts w:eastAsia="Times New Roman"/>
                <w:color w:val="000000"/>
              </w:rPr>
              <w:t>97</w:t>
            </w:r>
          </w:p>
        </w:tc>
        <w:tc>
          <w:tcPr>
            <w:tcW w:w="336" w:type="pct"/>
            <w:tcBorders>
              <w:top w:val="nil"/>
              <w:left w:val="nil"/>
              <w:bottom w:val="single" w:sz="4" w:space="0" w:color="auto"/>
              <w:right w:val="nil"/>
            </w:tcBorders>
            <w:shd w:val="clear" w:color="auto" w:fill="auto"/>
            <w:noWrap/>
            <w:vAlign w:val="center"/>
            <w:hideMark/>
          </w:tcPr>
          <w:p w14:paraId="66570F6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0.44</w:t>
            </w:r>
          </w:p>
        </w:tc>
        <w:tc>
          <w:tcPr>
            <w:tcW w:w="142" w:type="pct"/>
            <w:tcBorders>
              <w:top w:val="nil"/>
              <w:left w:val="nil"/>
              <w:bottom w:val="single" w:sz="4" w:space="0" w:color="auto"/>
              <w:right w:val="nil"/>
            </w:tcBorders>
            <w:shd w:val="clear" w:color="auto" w:fill="auto"/>
            <w:noWrap/>
            <w:vAlign w:val="center"/>
            <w:hideMark/>
          </w:tcPr>
          <w:p w14:paraId="34F650A9"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68813B5C" w14:textId="229DC6C9" w:rsidR="00417C06" w:rsidRPr="005A79EA" w:rsidRDefault="00417C06" w:rsidP="004A2734">
            <w:pPr>
              <w:spacing w:after="0" w:line="240" w:lineRule="auto"/>
              <w:jc w:val="center"/>
              <w:rPr>
                <w:rFonts w:eastAsia="Times New Roman"/>
                <w:color w:val="000000"/>
              </w:rPr>
            </w:pPr>
            <w:r w:rsidRPr="005A79EA">
              <w:rPr>
                <w:rFonts w:eastAsia="Times New Roman"/>
                <w:color w:val="000000"/>
              </w:rPr>
              <w:t>0</w:t>
            </w:r>
            <w:r w:rsidR="00EB7BCB">
              <w:rPr>
                <w:rFonts w:eastAsia="Times New Roman"/>
                <w:color w:val="000000"/>
              </w:rPr>
              <w:t>.</w:t>
            </w:r>
            <w:r w:rsidRPr="005A79EA">
              <w:rPr>
                <w:rFonts w:eastAsia="Times New Roman"/>
                <w:color w:val="000000"/>
              </w:rPr>
              <w:t>99**</w:t>
            </w:r>
          </w:p>
        </w:tc>
        <w:tc>
          <w:tcPr>
            <w:tcW w:w="336" w:type="pct"/>
            <w:tcBorders>
              <w:top w:val="nil"/>
              <w:left w:val="nil"/>
              <w:bottom w:val="single" w:sz="4" w:space="0" w:color="auto"/>
              <w:right w:val="nil"/>
            </w:tcBorders>
            <w:shd w:val="clear" w:color="auto" w:fill="auto"/>
            <w:noWrap/>
            <w:vAlign w:val="center"/>
            <w:hideMark/>
          </w:tcPr>
          <w:p w14:paraId="40CF1BB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2.35</w:t>
            </w:r>
          </w:p>
        </w:tc>
        <w:tc>
          <w:tcPr>
            <w:tcW w:w="142" w:type="pct"/>
            <w:tcBorders>
              <w:top w:val="nil"/>
              <w:left w:val="nil"/>
              <w:bottom w:val="single" w:sz="4" w:space="0" w:color="auto"/>
              <w:right w:val="nil"/>
            </w:tcBorders>
            <w:shd w:val="clear" w:color="auto" w:fill="auto"/>
            <w:noWrap/>
            <w:vAlign w:val="center"/>
            <w:hideMark/>
          </w:tcPr>
          <w:p w14:paraId="646695B7"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4E8A78B4" w14:textId="4D90A1D8"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w:t>
            </w:r>
            <w:r w:rsidR="00EB7BCB">
              <w:rPr>
                <w:rFonts w:eastAsia="Times New Roman"/>
                <w:color w:val="000000"/>
              </w:rPr>
              <w:t>.</w:t>
            </w:r>
            <w:r w:rsidRPr="005A79EA">
              <w:rPr>
                <w:rFonts w:eastAsia="Times New Roman"/>
                <w:color w:val="000000"/>
              </w:rPr>
              <w:t>23***</w:t>
            </w:r>
          </w:p>
        </w:tc>
        <w:tc>
          <w:tcPr>
            <w:tcW w:w="390" w:type="pct"/>
            <w:tcBorders>
              <w:top w:val="nil"/>
              <w:left w:val="nil"/>
              <w:bottom w:val="single" w:sz="4" w:space="0" w:color="auto"/>
              <w:right w:val="nil"/>
            </w:tcBorders>
            <w:shd w:val="clear" w:color="auto" w:fill="auto"/>
            <w:noWrap/>
            <w:vAlign w:val="center"/>
            <w:hideMark/>
          </w:tcPr>
          <w:p w14:paraId="31456875"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6.61</w:t>
            </w:r>
          </w:p>
        </w:tc>
        <w:tc>
          <w:tcPr>
            <w:tcW w:w="142" w:type="pct"/>
            <w:tcBorders>
              <w:top w:val="nil"/>
              <w:left w:val="nil"/>
              <w:bottom w:val="single" w:sz="4" w:space="0" w:color="auto"/>
              <w:right w:val="nil"/>
            </w:tcBorders>
            <w:shd w:val="clear" w:color="auto" w:fill="auto"/>
            <w:noWrap/>
            <w:vAlign w:val="center"/>
            <w:hideMark/>
          </w:tcPr>
          <w:p w14:paraId="4EC52CE4"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 </w:t>
            </w:r>
          </w:p>
        </w:tc>
        <w:tc>
          <w:tcPr>
            <w:tcW w:w="591" w:type="pct"/>
            <w:tcBorders>
              <w:top w:val="nil"/>
              <w:left w:val="nil"/>
              <w:bottom w:val="single" w:sz="4" w:space="0" w:color="auto"/>
              <w:right w:val="nil"/>
            </w:tcBorders>
            <w:shd w:val="clear" w:color="auto" w:fill="auto"/>
            <w:noWrap/>
            <w:vAlign w:val="center"/>
            <w:hideMark/>
          </w:tcPr>
          <w:p w14:paraId="7D57FF3D" w14:textId="1F85B8D1" w:rsidR="00417C06" w:rsidRPr="005A79EA" w:rsidRDefault="00417C06" w:rsidP="004A2734">
            <w:pPr>
              <w:spacing w:after="0" w:line="240" w:lineRule="auto"/>
              <w:jc w:val="center"/>
              <w:rPr>
                <w:rFonts w:eastAsia="Times New Roman"/>
                <w:color w:val="000000"/>
              </w:rPr>
            </w:pPr>
            <w:r w:rsidRPr="005A79EA">
              <w:rPr>
                <w:rFonts w:eastAsia="Times New Roman"/>
                <w:color w:val="000000"/>
              </w:rPr>
              <w:t>1</w:t>
            </w:r>
            <w:r w:rsidR="00EB7BCB">
              <w:rPr>
                <w:rFonts w:eastAsia="Times New Roman"/>
                <w:color w:val="000000"/>
              </w:rPr>
              <w:t>.</w:t>
            </w:r>
            <w:r w:rsidRPr="005A79EA">
              <w:rPr>
                <w:rFonts w:eastAsia="Times New Roman"/>
                <w:color w:val="000000"/>
              </w:rPr>
              <w:t>20***</w:t>
            </w:r>
          </w:p>
        </w:tc>
        <w:tc>
          <w:tcPr>
            <w:tcW w:w="390" w:type="pct"/>
            <w:tcBorders>
              <w:top w:val="nil"/>
              <w:left w:val="nil"/>
              <w:bottom w:val="single" w:sz="4" w:space="0" w:color="auto"/>
              <w:right w:val="nil"/>
            </w:tcBorders>
            <w:shd w:val="clear" w:color="auto" w:fill="auto"/>
            <w:noWrap/>
            <w:vAlign w:val="center"/>
            <w:hideMark/>
          </w:tcPr>
          <w:p w14:paraId="33E7D440" w14:textId="77777777" w:rsidR="00417C06" w:rsidRPr="005A79EA" w:rsidRDefault="00417C06" w:rsidP="004A2734">
            <w:pPr>
              <w:spacing w:after="0" w:line="240" w:lineRule="auto"/>
              <w:jc w:val="center"/>
              <w:rPr>
                <w:rFonts w:eastAsia="Times New Roman"/>
                <w:color w:val="000000"/>
              </w:rPr>
            </w:pPr>
            <w:r w:rsidRPr="005A79EA">
              <w:rPr>
                <w:rFonts w:eastAsia="Times New Roman"/>
                <w:color w:val="000000"/>
              </w:rPr>
              <w:t>5.80</w:t>
            </w:r>
          </w:p>
        </w:tc>
      </w:tr>
    </w:tbl>
    <w:p w14:paraId="7153DDD0" w14:textId="067C7F0E" w:rsidR="007C6CB2" w:rsidRPr="0038540D" w:rsidRDefault="007C6CB2" w:rsidP="00417C06">
      <w:pPr>
        <w:spacing w:line="240" w:lineRule="auto"/>
        <w:rPr>
          <w:lang w:val="en-US"/>
        </w:rPr>
      </w:pPr>
    </w:p>
    <w:sectPr w:rsidR="007C6CB2" w:rsidRPr="0038540D" w:rsidSect="003854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10E3" w14:textId="77777777" w:rsidR="00A2686C" w:rsidRDefault="00A2686C" w:rsidP="00BE2DD9">
      <w:pPr>
        <w:spacing w:after="0" w:line="240" w:lineRule="auto"/>
      </w:pPr>
      <w:r>
        <w:separator/>
      </w:r>
    </w:p>
    <w:p w14:paraId="5BF8937A" w14:textId="77777777" w:rsidR="00A2686C" w:rsidRDefault="00A2686C"/>
  </w:endnote>
  <w:endnote w:type="continuationSeparator" w:id="0">
    <w:p w14:paraId="007EE943" w14:textId="77777777" w:rsidR="00A2686C" w:rsidRDefault="00A2686C" w:rsidP="00BE2DD9">
      <w:pPr>
        <w:spacing w:after="0" w:line="240" w:lineRule="auto"/>
      </w:pPr>
      <w:r>
        <w:continuationSeparator/>
      </w:r>
    </w:p>
    <w:p w14:paraId="1FC76A89" w14:textId="77777777" w:rsidR="00A2686C" w:rsidRDefault="00A2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38284"/>
      <w:docPartObj>
        <w:docPartGallery w:val="Page Numbers (Bottom of Page)"/>
        <w:docPartUnique/>
      </w:docPartObj>
    </w:sdtPr>
    <w:sdtEndPr/>
    <w:sdtContent>
      <w:p w14:paraId="6D975115" w14:textId="76806B80" w:rsidR="00505D86" w:rsidRPr="001C34A4" w:rsidRDefault="00505D86">
        <w:pPr>
          <w:pStyle w:val="Footer"/>
          <w:jc w:val="right"/>
        </w:pPr>
        <w:r w:rsidRPr="001C34A4">
          <w:fldChar w:fldCharType="begin"/>
        </w:r>
        <w:r w:rsidRPr="001C34A4">
          <w:instrText xml:space="preserve"> PAGE   \* MERGEFORMAT </w:instrText>
        </w:r>
        <w:r w:rsidRPr="001C34A4">
          <w:fldChar w:fldCharType="separate"/>
        </w:r>
        <w:r w:rsidR="00077F1B" w:rsidRPr="00077F1B">
          <w:rPr>
            <w:noProof/>
            <w:lang w:val="zh-CN"/>
          </w:rPr>
          <w:t>21</w:t>
        </w:r>
        <w:r w:rsidRPr="001C34A4">
          <w:rPr>
            <w:noProof/>
            <w:lang w:val="zh-CN"/>
          </w:rPr>
          <w:fldChar w:fldCharType="end"/>
        </w:r>
      </w:p>
    </w:sdtContent>
  </w:sdt>
  <w:p w14:paraId="610E7515" w14:textId="77777777" w:rsidR="00505D86" w:rsidRDefault="00505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306"/>
      <w:docPartObj>
        <w:docPartGallery w:val="Page Numbers (Bottom of Page)"/>
        <w:docPartUnique/>
      </w:docPartObj>
    </w:sdtPr>
    <w:sdtEndPr/>
    <w:sdtContent>
      <w:p w14:paraId="7F6BA042" w14:textId="29C2C919" w:rsidR="00505D86" w:rsidRPr="0083460E" w:rsidRDefault="00505D86">
        <w:pPr>
          <w:pStyle w:val="Footer"/>
          <w:jc w:val="right"/>
        </w:pPr>
        <w:r w:rsidRPr="0083460E">
          <w:fldChar w:fldCharType="begin"/>
        </w:r>
        <w:r w:rsidRPr="0083460E">
          <w:instrText xml:space="preserve"> PAGE   \* MERGEFORMAT </w:instrText>
        </w:r>
        <w:r w:rsidRPr="0083460E">
          <w:fldChar w:fldCharType="separate"/>
        </w:r>
        <w:r w:rsidR="00077F1B" w:rsidRPr="00077F1B">
          <w:rPr>
            <w:noProof/>
            <w:lang w:val="zh-CN"/>
          </w:rPr>
          <w:t>43</w:t>
        </w:r>
        <w:r w:rsidRPr="0083460E">
          <w:rPr>
            <w:noProof/>
            <w:lang w:val="zh-CN"/>
          </w:rPr>
          <w:fldChar w:fldCharType="end"/>
        </w:r>
      </w:p>
    </w:sdtContent>
  </w:sdt>
  <w:p w14:paraId="5EEFF50B" w14:textId="77777777" w:rsidR="00505D86" w:rsidRDefault="0050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3DA9" w14:textId="77777777" w:rsidR="00A2686C" w:rsidRDefault="00A2686C" w:rsidP="00BE2DD9">
      <w:pPr>
        <w:spacing w:after="0" w:line="240" w:lineRule="auto"/>
      </w:pPr>
      <w:r>
        <w:separator/>
      </w:r>
    </w:p>
    <w:p w14:paraId="22CC6931" w14:textId="77777777" w:rsidR="00A2686C" w:rsidRDefault="00A2686C"/>
  </w:footnote>
  <w:footnote w:type="continuationSeparator" w:id="0">
    <w:p w14:paraId="02493453" w14:textId="77777777" w:rsidR="00A2686C" w:rsidRDefault="00A2686C" w:rsidP="00BE2DD9">
      <w:pPr>
        <w:spacing w:after="0" w:line="240" w:lineRule="auto"/>
      </w:pPr>
      <w:r>
        <w:continuationSeparator/>
      </w:r>
    </w:p>
    <w:p w14:paraId="4D690E12" w14:textId="77777777" w:rsidR="00A2686C" w:rsidRDefault="00A2686C"/>
  </w:footnote>
  <w:footnote w:id="1">
    <w:p w14:paraId="7244F3F8" w14:textId="77777777" w:rsidR="00505D86" w:rsidRPr="00FB128B" w:rsidRDefault="00505D86" w:rsidP="00FB128B">
      <w:pPr>
        <w:pStyle w:val="FootnoteText"/>
        <w:jc w:val="both"/>
        <w:rPr>
          <w:sz w:val="18"/>
          <w:lang w:val="en-US"/>
        </w:rPr>
      </w:pPr>
      <w:r w:rsidRPr="00FB128B">
        <w:rPr>
          <w:sz w:val="22"/>
        </w:rPr>
        <w:t xml:space="preserve">    </w:t>
      </w:r>
      <w:r w:rsidRPr="00FB128B">
        <w:rPr>
          <w:rStyle w:val="FootnoteReference"/>
          <w:sz w:val="22"/>
        </w:rPr>
        <w:footnoteRef/>
      </w:r>
      <w:r w:rsidRPr="00FB128B">
        <w:rPr>
          <w:sz w:val="22"/>
        </w:rPr>
        <w:t xml:space="preserve"> For events associated with expansion, Loughran and Ritter (1995) show that firms with equity issuance earn lower stock returns. For events associated with contraction, Lakonishok and Vermaelen (1990) show firms with share repurchase earn higher returns.  </w:t>
      </w:r>
    </w:p>
  </w:footnote>
  <w:footnote w:id="2">
    <w:p w14:paraId="49666335" w14:textId="07F64467" w:rsidR="00505D86" w:rsidRDefault="00505D86" w:rsidP="00204946">
      <w:pPr>
        <w:spacing w:line="240" w:lineRule="auto"/>
        <w:jc w:val="both"/>
        <w:rPr>
          <w:sz w:val="24"/>
          <w:szCs w:val="24"/>
          <w:lang w:val="en-US"/>
        </w:rPr>
      </w:pPr>
      <w:r>
        <w:rPr>
          <w:rStyle w:val="FootnoteReference"/>
        </w:rPr>
        <w:footnoteRef/>
      </w:r>
      <w:r>
        <w:t xml:space="preserve"> </w:t>
      </w:r>
      <w:r w:rsidRPr="00204946">
        <w:rPr>
          <w:lang w:val="en-US"/>
        </w:rPr>
        <w:t>The rational explanation of the asse</w:t>
      </w:r>
      <w:r>
        <w:rPr>
          <w:lang w:val="en-US"/>
        </w:rPr>
        <w:t>t growth anomaly relies on the Q</w:t>
      </w:r>
      <w:r w:rsidRPr="00204946">
        <w:rPr>
          <w:lang w:val="en-US"/>
        </w:rPr>
        <w:t xml:space="preserve"> theory model that studies the investment-return relationship from a production-based asset pricing or firm optimal investment standpoint (e.g., Cochrane, 1991, 1996; Chen and Zhang, 2010; Li, Livdan and Zhang, 2009; Li and Zhang, 2010). The basic argument is that firms with low discount rates (expected returns) have high net present values and high investment, whereas firms with high discount rates have low net present values and low investment.  Li and Zhang (2010) show that</w:t>
      </w:r>
      <w:r>
        <w:rPr>
          <w:lang w:val="en-US"/>
        </w:rPr>
        <w:t xml:space="preserve"> limits-to-arbitrage dominates Q</w:t>
      </w:r>
      <w:r w:rsidRPr="00204946">
        <w:rPr>
          <w:lang w:val="en-US"/>
        </w:rPr>
        <w:t xml:space="preserve"> theory in explaining the asset</w:t>
      </w:r>
      <w:r>
        <w:rPr>
          <w:lang w:val="en-US"/>
        </w:rPr>
        <w:t xml:space="preserve"> growth anomaly. </w:t>
      </w:r>
      <w:r w:rsidRPr="00F430F5">
        <w:rPr>
          <w:lang w:val="en-US"/>
        </w:rPr>
        <w:t>Watanabe, Xu, Yao and Yu (2013) favor the optimal investment explanation by using global stock mar</w:t>
      </w:r>
      <w:r w:rsidRPr="00204946">
        <w:rPr>
          <w:lang w:val="en-US"/>
        </w:rPr>
        <w:t>kets; they find that the asset growth anomaly is stronger in more advanced markets where stocks are more efficiently priced. Finally, Lam and Wei (2011) present evidence to support both limits-to-</w:t>
      </w:r>
      <w:r>
        <w:rPr>
          <w:lang w:val="en-US"/>
        </w:rPr>
        <w:t>arbitrage and Q</w:t>
      </w:r>
      <w:r w:rsidRPr="00204946">
        <w:rPr>
          <w:lang w:val="en-US"/>
        </w:rPr>
        <w:t xml:space="preserve"> theory.</w:t>
      </w:r>
    </w:p>
    <w:p w14:paraId="62D2DFB8" w14:textId="6BFC4EC2" w:rsidR="00505D86" w:rsidRPr="00204946" w:rsidRDefault="00505D86">
      <w:pPr>
        <w:pStyle w:val="FootnoteText"/>
        <w:rPr>
          <w:lang w:val="en-US"/>
        </w:rPr>
      </w:pPr>
    </w:p>
  </w:footnote>
  <w:footnote w:id="3">
    <w:p w14:paraId="4768132A" w14:textId="3FF35CAD" w:rsidR="00505D86" w:rsidRDefault="00505D86" w:rsidP="000668F6">
      <w:pPr>
        <w:spacing w:line="240" w:lineRule="auto"/>
        <w:jc w:val="both"/>
      </w:pPr>
      <w:r>
        <w:rPr>
          <w:rStyle w:val="FootnoteReference"/>
        </w:rPr>
        <w:footnoteRef/>
      </w:r>
      <w:r>
        <w:t xml:space="preserve"> Firm life-cycle has been shows to be a useful dimension in understanding the cross-sectional variations of corporate finance decisions and accounting ratios.  For example, </w:t>
      </w:r>
      <w:r w:rsidRPr="00D9288F">
        <w:t>Hirsch and Walz (2011) show that firm in different life-cycle patterns make different financing decisions and these decisions interaction with future growth and development decisions.</w:t>
      </w:r>
      <w:r>
        <w:t xml:space="preserve"> Hribar and Yehuda (2015) study the mispricing of accrual and cash flow information by the stock market in different firm life-cycle stages.  </w:t>
      </w:r>
    </w:p>
  </w:footnote>
  <w:footnote w:id="4">
    <w:p w14:paraId="5A5077F7" w14:textId="05D9298B" w:rsidR="00505D86" w:rsidRPr="00FB128B" w:rsidRDefault="00505D86" w:rsidP="00545470">
      <w:pPr>
        <w:spacing w:line="240" w:lineRule="auto"/>
        <w:jc w:val="both"/>
        <w:rPr>
          <w:sz w:val="18"/>
          <w:lang w:val="en-US"/>
        </w:rPr>
      </w:pPr>
      <w:r w:rsidRPr="00FB128B">
        <w:rPr>
          <w:rStyle w:val="FootnoteReference"/>
        </w:rPr>
        <w:footnoteRef/>
      </w:r>
      <w:r w:rsidRPr="00FB128B">
        <w:t xml:space="preserve"> </w:t>
      </w:r>
      <w:r w:rsidRPr="00000E67">
        <w:t>According to Barberis et al</w:t>
      </w:r>
      <w:r>
        <w:t>.</w:t>
      </w:r>
      <w:r w:rsidRPr="00000E67">
        <w:t xml:space="preserve"> (1998), after a trend of good or bad information, representativeness causes investors to overreact </w:t>
      </w:r>
      <w:r>
        <w:t xml:space="preserve">to </w:t>
      </w:r>
      <w:r w:rsidRPr="00000E67">
        <w:t xml:space="preserve">information and push the price too high. </w:t>
      </w:r>
      <w:r w:rsidRPr="008A250B">
        <w:t>Hong and Stein (1999) argue</w:t>
      </w:r>
      <w:r w:rsidRPr="00000E67">
        <w:t xml:space="preserve"> that momentum traders make decisions c</w:t>
      </w:r>
      <w:r>
        <w:t>onditional on past price change;</w:t>
      </w:r>
      <w:r w:rsidRPr="00000E67">
        <w:t xml:space="preserve"> that</w:t>
      </w:r>
      <w:r>
        <w:t xml:space="preserve"> is, momentum traders push</w:t>
      </w:r>
      <w:r w:rsidRPr="00000E67">
        <w:t xml:space="preserve"> stock price</w:t>
      </w:r>
      <w:r>
        <w:t>s</w:t>
      </w:r>
      <w:r w:rsidRPr="00000E67">
        <w:t xml:space="preserve"> higher (lower) when there is an up (down) trend.  </w:t>
      </w:r>
    </w:p>
  </w:footnote>
  <w:footnote w:id="5">
    <w:p w14:paraId="146E988B" w14:textId="25E1CBAD" w:rsidR="00505D86" w:rsidRPr="0005681E" w:rsidRDefault="00505D86" w:rsidP="00FF3BEF">
      <w:pPr>
        <w:rPr>
          <w:color w:val="000000" w:themeColor="text1"/>
        </w:rPr>
      </w:pPr>
      <w:r>
        <w:rPr>
          <w:rStyle w:val="FootnoteReference"/>
        </w:rPr>
        <w:footnoteRef/>
      </w:r>
      <w:r>
        <w:t xml:space="preserve"> </w:t>
      </w:r>
      <w:r>
        <w:rPr>
          <w:color w:val="000000" w:themeColor="text1"/>
        </w:rPr>
        <w:t>Alti and Tetlock (2014) use a structure model approach to study behaviour biases on asset prices.  They also identify o</w:t>
      </w:r>
      <w:r w:rsidRPr="0005681E">
        <w:rPr>
          <w:color w:val="000000" w:themeColor="text1"/>
        </w:rPr>
        <w:t>verextrapolative belief</w:t>
      </w:r>
      <w:r>
        <w:rPr>
          <w:color w:val="000000" w:themeColor="text1"/>
        </w:rPr>
        <w:t xml:space="preserve"> as a main cause of mispricing. </w:t>
      </w:r>
    </w:p>
    <w:p w14:paraId="2085A008" w14:textId="487410B1" w:rsidR="00505D86" w:rsidRDefault="00505D86">
      <w:pPr>
        <w:pStyle w:val="FootnoteText"/>
      </w:pPr>
    </w:p>
  </w:footnote>
  <w:footnote w:id="6">
    <w:p w14:paraId="7FA0EF45" w14:textId="4648E7A3" w:rsidR="00505D86" w:rsidRDefault="00505D86" w:rsidP="00847A10">
      <w:pPr>
        <w:pStyle w:val="FootnoteText"/>
      </w:pPr>
      <w:r>
        <w:rPr>
          <w:rStyle w:val="FootnoteReference"/>
        </w:rPr>
        <w:footnoteRef/>
      </w:r>
      <w:r>
        <w:t xml:space="preserve"> Hribar and Yehuda (2015) also employ the firm life-cycle concept to study the mispricing of accrual and cash flow information by the stock market.  They show that both total accruals and free cash flows are mispriced to the highest degree in the growth stage. However, the focus of their study was to highlight the different information contents of accrual and cash flow in different firm life-cycle.  There was  little discussion on the reason for the difference in the strength of anomaly in different life-cycle.</w:t>
      </w:r>
    </w:p>
  </w:footnote>
  <w:footnote w:id="7">
    <w:p w14:paraId="5C1716C5" w14:textId="4AF22180" w:rsidR="00505D86" w:rsidRPr="005B0674" w:rsidRDefault="00505D86" w:rsidP="00FB128B">
      <w:pPr>
        <w:pStyle w:val="FootnoteText"/>
        <w:rPr>
          <w:lang w:val="en-US"/>
        </w:rPr>
      </w:pPr>
      <w:r>
        <w:rPr>
          <w:sz w:val="22"/>
        </w:rPr>
        <w:t xml:space="preserve">    </w:t>
      </w:r>
      <w:r w:rsidRPr="005B0674">
        <w:rPr>
          <w:rStyle w:val="FootnoteReference"/>
          <w:sz w:val="22"/>
        </w:rPr>
        <w:footnoteRef/>
      </w:r>
      <w:r w:rsidRPr="005B0674">
        <w:rPr>
          <w:sz w:val="22"/>
        </w:rPr>
        <w:t xml:space="preserve"> </w:t>
      </w:r>
      <w:r>
        <w:rPr>
          <w:sz w:val="22"/>
        </w:rPr>
        <w:t xml:space="preserve">Tversky and Kahneman (1974) show representativeness as a behavioral heuristic; that is, people determine probability by using a sample that they think reflects the distribution of the population. Such a process results in the bias of over-generalizing recent observations.  </w:t>
      </w:r>
    </w:p>
  </w:footnote>
  <w:footnote w:id="8">
    <w:p w14:paraId="2A8794D1" w14:textId="77777777" w:rsidR="00A803C4" w:rsidRDefault="00A803C4" w:rsidP="00A803C4">
      <w:pPr>
        <w:pStyle w:val="FootnoteText"/>
      </w:pPr>
      <w:r>
        <w:rPr>
          <w:rStyle w:val="FootnoteReference"/>
        </w:rPr>
        <w:footnoteRef/>
      </w:r>
      <w:r>
        <w:t xml:space="preserve"> In general, overreaction is defined as investor overreact to past asset growth information.  This works in both high and low growth firms.  In other words, when investors observe a series of high (low) growth they will extrapolate and expect continued high (low) growth in the future.  When this error is corrected, we observer a reversal in return for both high and low growth company.  </w:t>
      </w:r>
    </w:p>
    <w:p w14:paraId="2E64E640" w14:textId="77777777" w:rsidR="00A803C4" w:rsidRDefault="00A803C4" w:rsidP="00A803C4">
      <w:pPr>
        <w:pStyle w:val="FootnoteText"/>
      </w:pPr>
      <w:r>
        <w:t xml:space="preserve">   </w:t>
      </w:r>
    </w:p>
  </w:footnote>
  <w:footnote w:id="9">
    <w:p w14:paraId="7CD16DD0" w14:textId="1777F77F" w:rsidR="00505D86" w:rsidRPr="00D20E5C" w:rsidRDefault="00505D86" w:rsidP="00681A6F">
      <w:pPr>
        <w:pStyle w:val="FootnoteText"/>
        <w:rPr>
          <w:sz w:val="22"/>
          <w:lang w:val="en-US"/>
        </w:rPr>
      </w:pPr>
      <w:r>
        <w:rPr>
          <w:sz w:val="22"/>
        </w:rPr>
        <w:t xml:space="preserve">    </w:t>
      </w:r>
      <w:r w:rsidRPr="00D20E5C">
        <w:rPr>
          <w:rStyle w:val="FootnoteReference"/>
          <w:sz w:val="22"/>
        </w:rPr>
        <w:footnoteRef/>
      </w:r>
      <w:r>
        <w:rPr>
          <w:sz w:val="22"/>
        </w:rPr>
        <w:t xml:space="preserve"> Fama and French (2008), Cooper et al. (2008) and Lam and Wei (2011) do not include financial firms in the sample when investigating the asset growth anomaly.</w:t>
      </w:r>
      <w:r w:rsidRPr="00D20E5C">
        <w:rPr>
          <w:sz w:val="22"/>
        </w:rPr>
        <w:t xml:space="preserve"> </w:t>
      </w:r>
    </w:p>
  </w:footnote>
  <w:footnote w:id="10">
    <w:p w14:paraId="096EB422" w14:textId="77777777" w:rsidR="00505D86" w:rsidRPr="00E43473" w:rsidRDefault="00505D86" w:rsidP="00681A6F">
      <w:pPr>
        <w:pStyle w:val="FootnoteText"/>
        <w:rPr>
          <w:sz w:val="22"/>
        </w:rPr>
      </w:pPr>
      <w:r w:rsidRPr="00D20E5C">
        <w:rPr>
          <w:sz w:val="22"/>
        </w:rPr>
        <w:t xml:space="preserve">    </w:t>
      </w:r>
      <w:r w:rsidRPr="00D20E5C">
        <w:rPr>
          <w:rStyle w:val="FootnoteReference"/>
          <w:sz w:val="22"/>
        </w:rPr>
        <w:footnoteRef/>
      </w:r>
      <w:r w:rsidRPr="00D20E5C">
        <w:rPr>
          <w:sz w:val="22"/>
        </w:rPr>
        <w:t xml:space="preserve"> </w:t>
      </w:r>
      <w:r>
        <w:rPr>
          <w:sz w:val="22"/>
        </w:rPr>
        <w:t>Banz and Breen (1986) and Lam and Wei (2011) also set this requirement to select their samples in order to minimize the selection bias.</w:t>
      </w:r>
    </w:p>
  </w:footnote>
  <w:footnote w:id="11">
    <w:p w14:paraId="770141A8" w14:textId="77777777" w:rsidR="00505D86" w:rsidRPr="009B553E" w:rsidRDefault="00505D86" w:rsidP="00214CCE">
      <w:pPr>
        <w:pStyle w:val="FootnoteText"/>
        <w:jc w:val="both"/>
        <w:rPr>
          <w:sz w:val="22"/>
          <w:lang w:val="en-US"/>
        </w:rPr>
      </w:pPr>
      <w:r>
        <w:rPr>
          <w:sz w:val="22"/>
        </w:rPr>
        <w:t xml:space="preserve">    </w:t>
      </w:r>
      <w:r w:rsidRPr="009B553E">
        <w:rPr>
          <w:rStyle w:val="FootnoteReference"/>
          <w:sz w:val="22"/>
        </w:rPr>
        <w:footnoteRef/>
      </w:r>
      <w:r>
        <w:rPr>
          <w:sz w:val="22"/>
        </w:rPr>
        <w:t xml:space="preserve"> Fama and French (2008) argue that sorts can capture stock return patterns based on an anomaly variable but sorts cannot show the marginal effect and the unique information of an anomaly variable.  Regression is one solution to this shortcoming of sorts.</w:t>
      </w:r>
      <w:r w:rsidRPr="009B553E">
        <w:rPr>
          <w:sz w:val="22"/>
        </w:rPr>
        <w:t xml:space="preserve"> </w:t>
      </w:r>
    </w:p>
  </w:footnote>
  <w:footnote w:id="12">
    <w:p w14:paraId="5FC6D7B9" w14:textId="69661D58" w:rsidR="00505D86" w:rsidRDefault="00505D86">
      <w:pPr>
        <w:pStyle w:val="FootnoteText"/>
      </w:pPr>
      <w:r>
        <w:rPr>
          <w:rStyle w:val="FootnoteReference"/>
        </w:rPr>
        <w:footnoteRef/>
      </w:r>
      <w:r>
        <w:t xml:space="preserve"> We thank the referee for suggesting the possibility of providing further evidence of overreaction through studying price movement during the formation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51F"/>
    <w:multiLevelType w:val="hybridMultilevel"/>
    <w:tmpl w:val="CFB87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C75108"/>
    <w:multiLevelType w:val="hybridMultilevel"/>
    <w:tmpl w:val="5F28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1MDcwMDQ3M7E0NjNQ0lEKTi0uzszPAymwrAUAhFdlrSwAAAA="/>
  </w:docVars>
  <w:rsids>
    <w:rsidRoot w:val="00FA2EB5"/>
    <w:rsid w:val="00000E67"/>
    <w:rsid w:val="00001B92"/>
    <w:rsid w:val="00001CD5"/>
    <w:rsid w:val="000101AE"/>
    <w:rsid w:val="0001130A"/>
    <w:rsid w:val="0001164D"/>
    <w:rsid w:val="00013C39"/>
    <w:rsid w:val="00022BB2"/>
    <w:rsid w:val="00026C3E"/>
    <w:rsid w:val="00031E20"/>
    <w:rsid w:val="0003202E"/>
    <w:rsid w:val="00033CB3"/>
    <w:rsid w:val="00037B25"/>
    <w:rsid w:val="000432BC"/>
    <w:rsid w:val="00043787"/>
    <w:rsid w:val="000469E0"/>
    <w:rsid w:val="00050191"/>
    <w:rsid w:val="000507E9"/>
    <w:rsid w:val="00053887"/>
    <w:rsid w:val="000577FD"/>
    <w:rsid w:val="00061EA8"/>
    <w:rsid w:val="00062B0C"/>
    <w:rsid w:val="000668F6"/>
    <w:rsid w:val="00066BA8"/>
    <w:rsid w:val="000702EA"/>
    <w:rsid w:val="000731EE"/>
    <w:rsid w:val="00077F1B"/>
    <w:rsid w:val="000803E8"/>
    <w:rsid w:val="000810FD"/>
    <w:rsid w:val="00082392"/>
    <w:rsid w:val="00090477"/>
    <w:rsid w:val="00091D99"/>
    <w:rsid w:val="00092028"/>
    <w:rsid w:val="00095362"/>
    <w:rsid w:val="00096C81"/>
    <w:rsid w:val="00097D82"/>
    <w:rsid w:val="000A116D"/>
    <w:rsid w:val="000B0E53"/>
    <w:rsid w:val="000C28EC"/>
    <w:rsid w:val="000C3995"/>
    <w:rsid w:val="000C5FFC"/>
    <w:rsid w:val="000D02E4"/>
    <w:rsid w:val="000D176C"/>
    <w:rsid w:val="000D2698"/>
    <w:rsid w:val="000D4F83"/>
    <w:rsid w:val="000D7D2A"/>
    <w:rsid w:val="000E394D"/>
    <w:rsid w:val="000E47B6"/>
    <w:rsid w:val="000F3F7E"/>
    <w:rsid w:val="00104068"/>
    <w:rsid w:val="0010695B"/>
    <w:rsid w:val="00115285"/>
    <w:rsid w:val="001154BA"/>
    <w:rsid w:val="001204CB"/>
    <w:rsid w:val="00121D44"/>
    <w:rsid w:val="00131D5A"/>
    <w:rsid w:val="00133228"/>
    <w:rsid w:val="001334C1"/>
    <w:rsid w:val="00133580"/>
    <w:rsid w:val="00142C17"/>
    <w:rsid w:val="001434D3"/>
    <w:rsid w:val="00146581"/>
    <w:rsid w:val="0015393E"/>
    <w:rsid w:val="00155774"/>
    <w:rsid w:val="00156481"/>
    <w:rsid w:val="001610E7"/>
    <w:rsid w:val="0016432E"/>
    <w:rsid w:val="00164BE8"/>
    <w:rsid w:val="0016701A"/>
    <w:rsid w:val="00167DF1"/>
    <w:rsid w:val="001712C5"/>
    <w:rsid w:val="0017317D"/>
    <w:rsid w:val="001742ED"/>
    <w:rsid w:val="001760AC"/>
    <w:rsid w:val="001762DB"/>
    <w:rsid w:val="001835BB"/>
    <w:rsid w:val="00185804"/>
    <w:rsid w:val="00186AC2"/>
    <w:rsid w:val="00187EF7"/>
    <w:rsid w:val="00190603"/>
    <w:rsid w:val="0019205B"/>
    <w:rsid w:val="001934E1"/>
    <w:rsid w:val="00196836"/>
    <w:rsid w:val="001A0294"/>
    <w:rsid w:val="001A71D7"/>
    <w:rsid w:val="001B4A9D"/>
    <w:rsid w:val="001B4BC0"/>
    <w:rsid w:val="001B66F8"/>
    <w:rsid w:val="001B6C6F"/>
    <w:rsid w:val="001C34A4"/>
    <w:rsid w:val="001D056C"/>
    <w:rsid w:val="001D19B9"/>
    <w:rsid w:val="00202B44"/>
    <w:rsid w:val="00202F5C"/>
    <w:rsid w:val="0020435B"/>
    <w:rsid w:val="0020491E"/>
    <w:rsid w:val="00204946"/>
    <w:rsid w:val="00205D05"/>
    <w:rsid w:val="00207343"/>
    <w:rsid w:val="00207B31"/>
    <w:rsid w:val="00214CCE"/>
    <w:rsid w:val="00221846"/>
    <w:rsid w:val="00224D79"/>
    <w:rsid w:val="00227784"/>
    <w:rsid w:val="002325DE"/>
    <w:rsid w:val="00233695"/>
    <w:rsid w:val="002336E5"/>
    <w:rsid w:val="00235857"/>
    <w:rsid w:val="00236528"/>
    <w:rsid w:val="00236670"/>
    <w:rsid w:val="0023669E"/>
    <w:rsid w:val="002447AB"/>
    <w:rsid w:val="00253143"/>
    <w:rsid w:val="002551C1"/>
    <w:rsid w:val="002567C2"/>
    <w:rsid w:val="00262D60"/>
    <w:rsid w:val="00275373"/>
    <w:rsid w:val="00283EB3"/>
    <w:rsid w:val="0029206B"/>
    <w:rsid w:val="002A0C80"/>
    <w:rsid w:val="002A6E9C"/>
    <w:rsid w:val="002B2F67"/>
    <w:rsid w:val="002B4FE7"/>
    <w:rsid w:val="002C37EE"/>
    <w:rsid w:val="002E1557"/>
    <w:rsid w:val="002E204F"/>
    <w:rsid w:val="002E6D0A"/>
    <w:rsid w:val="002E6EEF"/>
    <w:rsid w:val="002F75EA"/>
    <w:rsid w:val="003020C5"/>
    <w:rsid w:val="003033F6"/>
    <w:rsid w:val="003075C8"/>
    <w:rsid w:val="00310B0A"/>
    <w:rsid w:val="003129BA"/>
    <w:rsid w:val="003143AC"/>
    <w:rsid w:val="0032420C"/>
    <w:rsid w:val="003247EC"/>
    <w:rsid w:val="003257FA"/>
    <w:rsid w:val="003274C1"/>
    <w:rsid w:val="0033323E"/>
    <w:rsid w:val="003334FC"/>
    <w:rsid w:val="0034289B"/>
    <w:rsid w:val="0034659A"/>
    <w:rsid w:val="00346791"/>
    <w:rsid w:val="003507D0"/>
    <w:rsid w:val="0035089B"/>
    <w:rsid w:val="00350EB1"/>
    <w:rsid w:val="00353319"/>
    <w:rsid w:val="003544A0"/>
    <w:rsid w:val="0035514A"/>
    <w:rsid w:val="0035585C"/>
    <w:rsid w:val="00361E3A"/>
    <w:rsid w:val="003653D5"/>
    <w:rsid w:val="003843F7"/>
    <w:rsid w:val="0038540D"/>
    <w:rsid w:val="00386601"/>
    <w:rsid w:val="00392A4B"/>
    <w:rsid w:val="00393734"/>
    <w:rsid w:val="003938C5"/>
    <w:rsid w:val="003A2C46"/>
    <w:rsid w:val="003A43C5"/>
    <w:rsid w:val="003A456F"/>
    <w:rsid w:val="003B1F5C"/>
    <w:rsid w:val="003B3518"/>
    <w:rsid w:val="003B7A87"/>
    <w:rsid w:val="003C0EF1"/>
    <w:rsid w:val="003C45CD"/>
    <w:rsid w:val="003D1DC5"/>
    <w:rsid w:val="003D71DC"/>
    <w:rsid w:val="003E14D4"/>
    <w:rsid w:val="003E3FE3"/>
    <w:rsid w:val="003F1225"/>
    <w:rsid w:val="003F5934"/>
    <w:rsid w:val="00403736"/>
    <w:rsid w:val="00406CD5"/>
    <w:rsid w:val="00407BB2"/>
    <w:rsid w:val="00410A8D"/>
    <w:rsid w:val="00411EC7"/>
    <w:rsid w:val="004152B8"/>
    <w:rsid w:val="00416692"/>
    <w:rsid w:val="00417C06"/>
    <w:rsid w:val="00423A14"/>
    <w:rsid w:val="00423A7F"/>
    <w:rsid w:val="00423FCE"/>
    <w:rsid w:val="004305D8"/>
    <w:rsid w:val="00435B6D"/>
    <w:rsid w:val="00437431"/>
    <w:rsid w:val="00452372"/>
    <w:rsid w:val="00454A11"/>
    <w:rsid w:val="00456918"/>
    <w:rsid w:val="004577E2"/>
    <w:rsid w:val="004630D4"/>
    <w:rsid w:val="00467EAE"/>
    <w:rsid w:val="00476D81"/>
    <w:rsid w:val="00477E8B"/>
    <w:rsid w:val="004A2734"/>
    <w:rsid w:val="004A4004"/>
    <w:rsid w:val="004B2C94"/>
    <w:rsid w:val="004C1DC5"/>
    <w:rsid w:val="004C41AD"/>
    <w:rsid w:val="004C5C38"/>
    <w:rsid w:val="004D16BC"/>
    <w:rsid w:val="004D54FB"/>
    <w:rsid w:val="004D7241"/>
    <w:rsid w:val="004F05CA"/>
    <w:rsid w:val="004F0D8C"/>
    <w:rsid w:val="004F1618"/>
    <w:rsid w:val="004F1EB6"/>
    <w:rsid w:val="004F2CD7"/>
    <w:rsid w:val="0050109A"/>
    <w:rsid w:val="005012D5"/>
    <w:rsid w:val="00501850"/>
    <w:rsid w:val="00504117"/>
    <w:rsid w:val="00504BA9"/>
    <w:rsid w:val="00505D86"/>
    <w:rsid w:val="005060C9"/>
    <w:rsid w:val="00510628"/>
    <w:rsid w:val="00514939"/>
    <w:rsid w:val="00514CBB"/>
    <w:rsid w:val="00514E43"/>
    <w:rsid w:val="00523E32"/>
    <w:rsid w:val="005256EE"/>
    <w:rsid w:val="00530615"/>
    <w:rsid w:val="00531613"/>
    <w:rsid w:val="00532412"/>
    <w:rsid w:val="00534517"/>
    <w:rsid w:val="00543422"/>
    <w:rsid w:val="00545470"/>
    <w:rsid w:val="0054602C"/>
    <w:rsid w:val="0055294C"/>
    <w:rsid w:val="005537A0"/>
    <w:rsid w:val="00565B82"/>
    <w:rsid w:val="005708B0"/>
    <w:rsid w:val="00570D6E"/>
    <w:rsid w:val="00570ECE"/>
    <w:rsid w:val="0057434D"/>
    <w:rsid w:val="00574CE8"/>
    <w:rsid w:val="00580727"/>
    <w:rsid w:val="005808F6"/>
    <w:rsid w:val="00583A89"/>
    <w:rsid w:val="00584DA6"/>
    <w:rsid w:val="00595E8F"/>
    <w:rsid w:val="005A1673"/>
    <w:rsid w:val="005A37DA"/>
    <w:rsid w:val="005A43D1"/>
    <w:rsid w:val="005B2BB1"/>
    <w:rsid w:val="005B58B9"/>
    <w:rsid w:val="005B68D2"/>
    <w:rsid w:val="005B7DDA"/>
    <w:rsid w:val="005C18AA"/>
    <w:rsid w:val="005C3CAC"/>
    <w:rsid w:val="005E004B"/>
    <w:rsid w:val="005E0F51"/>
    <w:rsid w:val="005E1E94"/>
    <w:rsid w:val="005E5762"/>
    <w:rsid w:val="005E6D56"/>
    <w:rsid w:val="005F288F"/>
    <w:rsid w:val="00603A64"/>
    <w:rsid w:val="00603EEA"/>
    <w:rsid w:val="0060499F"/>
    <w:rsid w:val="006058E8"/>
    <w:rsid w:val="00620441"/>
    <w:rsid w:val="00624B63"/>
    <w:rsid w:val="00625AEC"/>
    <w:rsid w:val="00631311"/>
    <w:rsid w:val="00642A4B"/>
    <w:rsid w:val="00645A63"/>
    <w:rsid w:val="00647D8A"/>
    <w:rsid w:val="00656EBD"/>
    <w:rsid w:val="006625D4"/>
    <w:rsid w:val="0066562D"/>
    <w:rsid w:val="0066663E"/>
    <w:rsid w:val="00670488"/>
    <w:rsid w:val="006709B7"/>
    <w:rsid w:val="006745AA"/>
    <w:rsid w:val="006747F6"/>
    <w:rsid w:val="00681A6F"/>
    <w:rsid w:val="006856C5"/>
    <w:rsid w:val="0069186B"/>
    <w:rsid w:val="00691BFA"/>
    <w:rsid w:val="00695D58"/>
    <w:rsid w:val="006966FD"/>
    <w:rsid w:val="00696E5F"/>
    <w:rsid w:val="00697F61"/>
    <w:rsid w:val="006A0453"/>
    <w:rsid w:val="006A69BC"/>
    <w:rsid w:val="006B01A8"/>
    <w:rsid w:val="006B5B5D"/>
    <w:rsid w:val="006B6153"/>
    <w:rsid w:val="006B723C"/>
    <w:rsid w:val="006C36BC"/>
    <w:rsid w:val="006C5A5D"/>
    <w:rsid w:val="006C6FA4"/>
    <w:rsid w:val="006E0F6F"/>
    <w:rsid w:val="006E223A"/>
    <w:rsid w:val="007011C0"/>
    <w:rsid w:val="0070385B"/>
    <w:rsid w:val="00710853"/>
    <w:rsid w:val="00713D9D"/>
    <w:rsid w:val="00723D05"/>
    <w:rsid w:val="00727CD2"/>
    <w:rsid w:val="00730EE6"/>
    <w:rsid w:val="0073149B"/>
    <w:rsid w:val="00733248"/>
    <w:rsid w:val="00740EA4"/>
    <w:rsid w:val="00744943"/>
    <w:rsid w:val="0074569E"/>
    <w:rsid w:val="00746DAF"/>
    <w:rsid w:val="00747378"/>
    <w:rsid w:val="007517E3"/>
    <w:rsid w:val="00752819"/>
    <w:rsid w:val="00752EF3"/>
    <w:rsid w:val="00754C9A"/>
    <w:rsid w:val="00757C40"/>
    <w:rsid w:val="00766A38"/>
    <w:rsid w:val="0078006B"/>
    <w:rsid w:val="007814E8"/>
    <w:rsid w:val="00785AE9"/>
    <w:rsid w:val="0078613C"/>
    <w:rsid w:val="00793246"/>
    <w:rsid w:val="007A2559"/>
    <w:rsid w:val="007A4B40"/>
    <w:rsid w:val="007B08EB"/>
    <w:rsid w:val="007B26D4"/>
    <w:rsid w:val="007B40BA"/>
    <w:rsid w:val="007B73B7"/>
    <w:rsid w:val="007C0A25"/>
    <w:rsid w:val="007C4A0E"/>
    <w:rsid w:val="007C6CB2"/>
    <w:rsid w:val="007E00A4"/>
    <w:rsid w:val="007E119D"/>
    <w:rsid w:val="007E645A"/>
    <w:rsid w:val="007F3BEB"/>
    <w:rsid w:val="00800F45"/>
    <w:rsid w:val="00802730"/>
    <w:rsid w:val="00803221"/>
    <w:rsid w:val="00812D0B"/>
    <w:rsid w:val="0082114D"/>
    <w:rsid w:val="00826ED0"/>
    <w:rsid w:val="00827926"/>
    <w:rsid w:val="00830104"/>
    <w:rsid w:val="00830F0C"/>
    <w:rsid w:val="008314C0"/>
    <w:rsid w:val="00831743"/>
    <w:rsid w:val="008319F4"/>
    <w:rsid w:val="0083460E"/>
    <w:rsid w:val="00841DF2"/>
    <w:rsid w:val="0084313F"/>
    <w:rsid w:val="00847A10"/>
    <w:rsid w:val="00853C11"/>
    <w:rsid w:val="00853EC7"/>
    <w:rsid w:val="00857DE5"/>
    <w:rsid w:val="008603EA"/>
    <w:rsid w:val="00860B2C"/>
    <w:rsid w:val="008622AD"/>
    <w:rsid w:val="00864771"/>
    <w:rsid w:val="00864D76"/>
    <w:rsid w:val="00877654"/>
    <w:rsid w:val="008811A2"/>
    <w:rsid w:val="00887643"/>
    <w:rsid w:val="00887E68"/>
    <w:rsid w:val="00895D75"/>
    <w:rsid w:val="008A250B"/>
    <w:rsid w:val="008A4822"/>
    <w:rsid w:val="008B3349"/>
    <w:rsid w:val="008B6150"/>
    <w:rsid w:val="008C3A6E"/>
    <w:rsid w:val="008C6529"/>
    <w:rsid w:val="008D0CDF"/>
    <w:rsid w:val="008E61EE"/>
    <w:rsid w:val="008F2C50"/>
    <w:rsid w:val="008F4F72"/>
    <w:rsid w:val="0090014D"/>
    <w:rsid w:val="00902A2D"/>
    <w:rsid w:val="00905537"/>
    <w:rsid w:val="00906458"/>
    <w:rsid w:val="00906DD0"/>
    <w:rsid w:val="009118C0"/>
    <w:rsid w:val="00911EE4"/>
    <w:rsid w:val="009122C0"/>
    <w:rsid w:val="00913E65"/>
    <w:rsid w:val="00916863"/>
    <w:rsid w:val="0092303A"/>
    <w:rsid w:val="00925B54"/>
    <w:rsid w:val="009320EB"/>
    <w:rsid w:val="00933A29"/>
    <w:rsid w:val="0093543B"/>
    <w:rsid w:val="00941F71"/>
    <w:rsid w:val="0094735D"/>
    <w:rsid w:val="0095408F"/>
    <w:rsid w:val="00955A4C"/>
    <w:rsid w:val="009579BF"/>
    <w:rsid w:val="00962AB1"/>
    <w:rsid w:val="009653AC"/>
    <w:rsid w:val="00967DD0"/>
    <w:rsid w:val="00972B81"/>
    <w:rsid w:val="00974094"/>
    <w:rsid w:val="009829BD"/>
    <w:rsid w:val="009863B8"/>
    <w:rsid w:val="00991945"/>
    <w:rsid w:val="0099311A"/>
    <w:rsid w:val="009939B4"/>
    <w:rsid w:val="009A3167"/>
    <w:rsid w:val="009A4431"/>
    <w:rsid w:val="009A4537"/>
    <w:rsid w:val="009B2398"/>
    <w:rsid w:val="009B5219"/>
    <w:rsid w:val="009C5C1B"/>
    <w:rsid w:val="009C5D63"/>
    <w:rsid w:val="009D45A0"/>
    <w:rsid w:val="009D66A1"/>
    <w:rsid w:val="009D7367"/>
    <w:rsid w:val="009E624C"/>
    <w:rsid w:val="009F05F7"/>
    <w:rsid w:val="009F422D"/>
    <w:rsid w:val="009F4F8C"/>
    <w:rsid w:val="00A005F7"/>
    <w:rsid w:val="00A00B60"/>
    <w:rsid w:val="00A06880"/>
    <w:rsid w:val="00A11817"/>
    <w:rsid w:val="00A1187D"/>
    <w:rsid w:val="00A23BB9"/>
    <w:rsid w:val="00A24CE0"/>
    <w:rsid w:val="00A2686C"/>
    <w:rsid w:val="00A32202"/>
    <w:rsid w:val="00A35653"/>
    <w:rsid w:val="00A368A5"/>
    <w:rsid w:val="00A403DF"/>
    <w:rsid w:val="00A407D9"/>
    <w:rsid w:val="00A50FAE"/>
    <w:rsid w:val="00A61849"/>
    <w:rsid w:val="00A66280"/>
    <w:rsid w:val="00A6745E"/>
    <w:rsid w:val="00A676A0"/>
    <w:rsid w:val="00A7147B"/>
    <w:rsid w:val="00A736FD"/>
    <w:rsid w:val="00A803C4"/>
    <w:rsid w:val="00A822C6"/>
    <w:rsid w:val="00A829E0"/>
    <w:rsid w:val="00A83BC1"/>
    <w:rsid w:val="00A85DE4"/>
    <w:rsid w:val="00A90E2D"/>
    <w:rsid w:val="00A91829"/>
    <w:rsid w:val="00AA1FE9"/>
    <w:rsid w:val="00AA2EF3"/>
    <w:rsid w:val="00AA3811"/>
    <w:rsid w:val="00AA3B13"/>
    <w:rsid w:val="00AB5AE7"/>
    <w:rsid w:val="00AC0EAA"/>
    <w:rsid w:val="00AC17F2"/>
    <w:rsid w:val="00AC5294"/>
    <w:rsid w:val="00AC7272"/>
    <w:rsid w:val="00AC730B"/>
    <w:rsid w:val="00AE184A"/>
    <w:rsid w:val="00AE301E"/>
    <w:rsid w:val="00AE7755"/>
    <w:rsid w:val="00B0689A"/>
    <w:rsid w:val="00B07E68"/>
    <w:rsid w:val="00B118AB"/>
    <w:rsid w:val="00B12092"/>
    <w:rsid w:val="00B12CFF"/>
    <w:rsid w:val="00B15095"/>
    <w:rsid w:val="00B16932"/>
    <w:rsid w:val="00B2670C"/>
    <w:rsid w:val="00B313EF"/>
    <w:rsid w:val="00B31BE3"/>
    <w:rsid w:val="00B330EA"/>
    <w:rsid w:val="00B33C73"/>
    <w:rsid w:val="00B3516D"/>
    <w:rsid w:val="00B37993"/>
    <w:rsid w:val="00B419F8"/>
    <w:rsid w:val="00B46074"/>
    <w:rsid w:val="00B4716C"/>
    <w:rsid w:val="00B51FAC"/>
    <w:rsid w:val="00B57806"/>
    <w:rsid w:val="00B67958"/>
    <w:rsid w:val="00B87F84"/>
    <w:rsid w:val="00B92875"/>
    <w:rsid w:val="00B934CA"/>
    <w:rsid w:val="00B95BF1"/>
    <w:rsid w:val="00B965E9"/>
    <w:rsid w:val="00BA145D"/>
    <w:rsid w:val="00BA5307"/>
    <w:rsid w:val="00BA7CDA"/>
    <w:rsid w:val="00BB42F2"/>
    <w:rsid w:val="00BB4A23"/>
    <w:rsid w:val="00BB63D0"/>
    <w:rsid w:val="00BB6BDE"/>
    <w:rsid w:val="00BB7CCF"/>
    <w:rsid w:val="00BC018B"/>
    <w:rsid w:val="00BC3543"/>
    <w:rsid w:val="00BC583E"/>
    <w:rsid w:val="00BD0A2E"/>
    <w:rsid w:val="00BD47B4"/>
    <w:rsid w:val="00BD668A"/>
    <w:rsid w:val="00BD6F46"/>
    <w:rsid w:val="00BE2DD9"/>
    <w:rsid w:val="00BE7EF6"/>
    <w:rsid w:val="00BF08C1"/>
    <w:rsid w:val="00BF24B1"/>
    <w:rsid w:val="00BF2FFD"/>
    <w:rsid w:val="00BF5507"/>
    <w:rsid w:val="00BF76B1"/>
    <w:rsid w:val="00C023E3"/>
    <w:rsid w:val="00C03DA8"/>
    <w:rsid w:val="00C069F1"/>
    <w:rsid w:val="00C11477"/>
    <w:rsid w:val="00C136F2"/>
    <w:rsid w:val="00C14735"/>
    <w:rsid w:val="00C1559A"/>
    <w:rsid w:val="00C21B01"/>
    <w:rsid w:val="00C306C0"/>
    <w:rsid w:val="00C4301D"/>
    <w:rsid w:val="00C46557"/>
    <w:rsid w:val="00C46F8A"/>
    <w:rsid w:val="00C54FA2"/>
    <w:rsid w:val="00C61040"/>
    <w:rsid w:val="00C71577"/>
    <w:rsid w:val="00C72B69"/>
    <w:rsid w:val="00C73660"/>
    <w:rsid w:val="00C81D92"/>
    <w:rsid w:val="00C83877"/>
    <w:rsid w:val="00C92D01"/>
    <w:rsid w:val="00C96673"/>
    <w:rsid w:val="00CA12D9"/>
    <w:rsid w:val="00CA4D57"/>
    <w:rsid w:val="00CA5F68"/>
    <w:rsid w:val="00CA7B5B"/>
    <w:rsid w:val="00CA7FB4"/>
    <w:rsid w:val="00CB4A2A"/>
    <w:rsid w:val="00CC12E1"/>
    <w:rsid w:val="00CC28A1"/>
    <w:rsid w:val="00CC7AB6"/>
    <w:rsid w:val="00CC7D24"/>
    <w:rsid w:val="00CD0A2F"/>
    <w:rsid w:val="00CD6FED"/>
    <w:rsid w:val="00CE44B7"/>
    <w:rsid w:val="00CE60CC"/>
    <w:rsid w:val="00CF5467"/>
    <w:rsid w:val="00D002C6"/>
    <w:rsid w:val="00D00578"/>
    <w:rsid w:val="00D01573"/>
    <w:rsid w:val="00D06A85"/>
    <w:rsid w:val="00D15AC2"/>
    <w:rsid w:val="00D169FC"/>
    <w:rsid w:val="00D27C44"/>
    <w:rsid w:val="00D3125C"/>
    <w:rsid w:val="00D3167C"/>
    <w:rsid w:val="00D31AC2"/>
    <w:rsid w:val="00D40E9A"/>
    <w:rsid w:val="00D40EBA"/>
    <w:rsid w:val="00D4513C"/>
    <w:rsid w:val="00D4680C"/>
    <w:rsid w:val="00D46958"/>
    <w:rsid w:val="00D47EB9"/>
    <w:rsid w:val="00D51A64"/>
    <w:rsid w:val="00D53837"/>
    <w:rsid w:val="00D61908"/>
    <w:rsid w:val="00D6454D"/>
    <w:rsid w:val="00D675FC"/>
    <w:rsid w:val="00D72136"/>
    <w:rsid w:val="00D72597"/>
    <w:rsid w:val="00D73DD7"/>
    <w:rsid w:val="00D76147"/>
    <w:rsid w:val="00D83221"/>
    <w:rsid w:val="00D834C5"/>
    <w:rsid w:val="00D914DB"/>
    <w:rsid w:val="00D9200C"/>
    <w:rsid w:val="00D9288F"/>
    <w:rsid w:val="00D92B83"/>
    <w:rsid w:val="00D944CA"/>
    <w:rsid w:val="00D95033"/>
    <w:rsid w:val="00DA0D58"/>
    <w:rsid w:val="00DA1C64"/>
    <w:rsid w:val="00DA3D14"/>
    <w:rsid w:val="00DA55C3"/>
    <w:rsid w:val="00DB115B"/>
    <w:rsid w:val="00DB2AA6"/>
    <w:rsid w:val="00DB69A6"/>
    <w:rsid w:val="00DB69C2"/>
    <w:rsid w:val="00DC1894"/>
    <w:rsid w:val="00DC220C"/>
    <w:rsid w:val="00DC4916"/>
    <w:rsid w:val="00DC49A0"/>
    <w:rsid w:val="00DC51AD"/>
    <w:rsid w:val="00DD06FE"/>
    <w:rsid w:val="00DD501B"/>
    <w:rsid w:val="00DD51B9"/>
    <w:rsid w:val="00DE3584"/>
    <w:rsid w:val="00DE4B51"/>
    <w:rsid w:val="00DF0C7A"/>
    <w:rsid w:val="00DF1148"/>
    <w:rsid w:val="00DF3DD2"/>
    <w:rsid w:val="00DF7392"/>
    <w:rsid w:val="00E0095A"/>
    <w:rsid w:val="00E0562E"/>
    <w:rsid w:val="00E05853"/>
    <w:rsid w:val="00E258A1"/>
    <w:rsid w:val="00E26541"/>
    <w:rsid w:val="00E270F5"/>
    <w:rsid w:val="00E33822"/>
    <w:rsid w:val="00E34990"/>
    <w:rsid w:val="00E41C36"/>
    <w:rsid w:val="00E43473"/>
    <w:rsid w:val="00E4598D"/>
    <w:rsid w:val="00E51AC1"/>
    <w:rsid w:val="00E57BFB"/>
    <w:rsid w:val="00E6053A"/>
    <w:rsid w:val="00E65622"/>
    <w:rsid w:val="00E72391"/>
    <w:rsid w:val="00E81B5D"/>
    <w:rsid w:val="00E837F5"/>
    <w:rsid w:val="00E85796"/>
    <w:rsid w:val="00E86435"/>
    <w:rsid w:val="00E935CE"/>
    <w:rsid w:val="00E96EAA"/>
    <w:rsid w:val="00EA0B78"/>
    <w:rsid w:val="00EA2103"/>
    <w:rsid w:val="00EA567E"/>
    <w:rsid w:val="00EA7BBF"/>
    <w:rsid w:val="00EB3B52"/>
    <w:rsid w:val="00EB54CE"/>
    <w:rsid w:val="00EB7BCB"/>
    <w:rsid w:val="00EC41D8"/>
    <w:rsid w:val="00EC573A"/>
    <w:rsid w:val="00ED2B81"/>
    <w:rsid w:val="00ED3A44"/>
    <w:rsid w:val="00ED64EF"/>
    <w:rsid w:val="00ED7AF7"/>
    <w:rsid w:val="00ED7B14"/>
    <w:rsid w:val="00EE1A21"/>
    <w:rsid w:val="00EE3F4B"/>
    <w:rsid w:val="00EF3B4B"/>
    <w:rsid w:val="00EF4787"/>
    <w:rsid w:val="00EF7531"/>
    <w:rsid w:val="00EF7679"/>
    <w:rsid w:val="00EF7D95"/>
    <w:rsid w:val="00F0019B"/>
    <w:rsid w:val="00F117EB"/>
    <w:rsid w:val="00F12B79"/>
    <w:rsid w:val="00F13A6F"/>
    <w:rsid w:val="00F1429F"/>
    <w:rsid w:val="00F2673D"/>
    <w:rsid w:val="00F26DCC"/>
    <w:rsid w:val="00F30DA3"/>
    <w:rsid w:val="00F36353"/>
    <w:rsid w:val="00F41F88"/>
    <w:rsid w:val="00F430F5"/>
    <w:rsid w:val="00F52767"/>
    <w:rsid w:val="00F53A33"/>
    <w:rsid w:val="00F57C5B"/>
    <w:rsid w:val="00F6194A"/>
    <w:rsid w:val="00F64620"/>
    <w:rsid w:val="00F82E80"/>
    <w:rsid w:val="00F838EE"/>
    <w:rsid w:val="00F867CE"/>
    <w:rsid w:val="00F94CF7"/>
    <w:rsid w:val="00FA22C5"/>
    <w:rsid w:val="00FA2EB5"/>
    <w:rsid w:val="00FA4A95"/>
    <w:rsid w:val="00FA4E6B"/>
    <w:rsid w:val="00FA6351"/>
    <w:rsid w:val="00FA6F14"/>
    <w:rsid w:val="00FB128B"/>
    <w:rsid w:val="00FB353C"/>
    <w:rsid w:val="00FB4DD1"/>
    <w:rsid w:val="00FB7102"/>
    <w:rsid w:val="00FB7F49"/>
    <w:rsid w:val="00FC08B5"/>
    <w:rsid w:val="00FC2820"/>
    <w:rsid w:val="00FC2FA9"/>
    <w:rsid w:val="00FC5CAB"/>
    <w:rsid w:val="00FD0323"/>
    <w:rsid w:val="00FD0664"/>
    <w:rsid w:val="00FD30FC"/>
    <w:rsid w:val="00FD4006"/>
    <w:rsid w:val="00FD7E50"/>
    <w:rsid w:val="00FE07CC"/>
    <w:rsid w:val="00FE255B"/>
    <w:rsid w:val="00FF3B03"/>
    <w:rsid w:val="00FF3B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F5B01"/>
  <w15:docId w15:val="{4F9AB3E8-EF2B-4454-A08D-5CD7E6B9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C06"/>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837"/>
    <w:rPr>
      <w:color w:val="808080"/>
    </w:rPr>
  </w:style>
  <w:style w:type="paragraph" w:styleId="BalloonText">
    <w:name w:val="Balloon Text"/>
    <w:basedOn w:val="Normal"/>
    <w:link w:val="BalloonTextChar"/>
    <w:uiPriority w:val="99"/>
    <w:semiHidden/>
    <w:unhideWhenUsed/>
    <w:rsid w:val="00D53837"/>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D53837"/>
    <w:rPr>
      <w:rFonts w:ascii="SimSun" w:eastAsia="SimSun"/>
      <w:sz w:val="18"/>
      <w:szCs w:val="18"/>
    </w:rPr>
  </w:style>
  <w:style w:type="paragraph" w:styleId="Header">
    <w:name w:val="header"/>
    <w:basedOn w:val="Normal"/>
    <w:link w:val="HeaderChar"/>
    <w:uiPriority w:val="99"/>
    <w:unhideWhenUsed/>
    <w:rsid w:val="00BE2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DD9"/>
  </w:style>
  <w:style w:type="paragraph" w:styleId="Footer">
    <w:name w:val="footer"/>
    <w:basedOn w:val="Normal"/>
    <w:link w:val="FooterChar"/>
    <w:uiPriority w:val="99"/>
    <w:unhideWhenUsed/>
    <w:rsid w:val="00BE2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DD9"/>
  </w:style>
  <w:style w:type="paragraph" w:styleId="FootnoteText">
    <w:name w:val="footnote text"/>
    <w:basedOn w:val="Normal"/>
    <w:link w:val="FootnoteTextChar"/>
    <w:uiPriority w:val="99"/>
    <w:unhideWhenUsed/>
    <w:rsid w:val="00FB128B"/>
    <w:pPr>
      <w:spacing w:after="0" w:line="240" w:lineRule="auto"/>
    </w:pPr>
    <w:rPr>
      <w:sz w:val="20"/>
      <w:szCs w:val="20"/>
    </w:rPr>
  </w:style>
  <w:style w:type="character" w:customStyle="1" w:styleId="FootnoteTextChar">
    <w:name w:val="Footnote Text Char"/>
    <w:basedOn w:val="DefaultParagraphFont"/>
    <w:link w:val="FootnoteText"/>
    <w:uiPriority w:val="99"/>
    <w:rsid w:val="00FB128B"/>
    <w:rPr>
      <w:sz w:val="20"/>
      <w:szCs w:val="20"/>
      <w:lang w:eastAsia="en-GB"/>
    </w:rPr>
  </w:style>
  <w:style w:type="character" w:styleId="FootnoteReference">
    <w:name w:val="footnote reference"/>
    <w:basedOn w:val="DefaultParagraphFont"/>
    <w:uiPriority w:val="99"/>
    <w:unhideWhenUsed/>
    <w:rsid w:val="00FB128B"/>
    <w:rPr>
      <w:vertAlign w:val="superscript"/>
    </w:rPr>
  </w:style>
  <w:style w:type="character" w:styleId="CommentReference">
    <w:name w:val="annotation reference"/>
    <w:basedOn w:val="DefaultParagraphFont"/>
    <w:uiPriority w:val="99"/>
    <w:semiHidden/>
    <w:unhideWhenUsed/>
    <w:rsid w:val="00FB128B"/>
    <w:rPr>
      <w:sz w:val="16"/>
      <w:szCs w:val="16"/>
    </w:rPr>
  </w:style>
  <w:style w:type="paragraph" w:styleId="CommentText">
    <w:name w:val="annotation text"/>
    <w:basedOn w:val="Normal"/>
    <w:link w:val="CommentTextChar"/>
    <w:uiPriority w:val="99"/>
    <w:semiHidden/>
    <w:unhideWhenUsed/>
    <w:rsid w:val="00FB128B"/>
    <w:pPr>
      <w:spacing w:line="240" w:lineRule="auto"/>
    </w:pPr>
    <w:rPr>
      <w:sz w:val="20"/>
      <w:szCs w:val="20"/>
    </w:rPr>
  </w:style>
  <w:style w:type="character" w:customStyle="1" w:styleId="CommentTextChar">
    <w:name w:val="Comment Text Char"/>
    <w:basedOn w:val="DefaultParagraphFont"/>
    <w:link w:val="CommentText"/>
    <w:uiPriority w:val="99"/>
    <w:semiHidden/>
    <w:rsid w:val="00FB128B"/>
    <w:rPr>
      <w:sz w:val="20"/>
      <w:szCs w:val="20"/>
      <w:lang w:eastAsia="en-GB"/>
    </w:rPr>
  </w:style>
  <w:style w:type="paragraph" w:styleId="DocumentMap">
    <w:name w:val="Document Map"/>
    <w:basedOn w:val="Normal"/>
    <w:link w:val="DocumentMapChar"/>
    <w:uiPriority w:val="99"/>
    <w:semiHidden/>
    <w:unhideWhenUsed/>
    <w:rsid w:val="00FB128B"/>
    <w:pPr>
      <w:spacing w:after="0" w:line="240" w:lineRule="auto"/>
    </w:pPr>
    <w:rPr>
      <w:rFonts w:ascii="SimSun" w:eastAsia="SimSun"/>
      <w:sz w:val="18"/>
      <w:szCs w:val="18"/>
    </w:rPr>
  </w:style>
  <w:style w:type="character" w:customStyle="1" w:styleId="DocumentMapChar">
    <w:name w:val="Document Map Char"/>
    <w:basedOn w:val="DefaultParagraphFont"/>
    <w:link w:val="DocumentMap"/>
    <w:uiPriority w:val="99"/>
    <w:semiHidden/>
    <w:rsid w:val="00FB128B"/>
    <w:rPr>
      <w:rFonts w:ascii="SimSun" w:eastAsia="SimSun"/>
      <w:sz w:val="18"/>
      <w:szCs w:val="18"/>
    </w:rPr>
  </w:style>
  <w:style w:type="paragraph" w:styleId="ListParagraph">
    <w:name w:val="List Paragraph"/>
    <w:basedOn w:val="Normal"/>
    <w:uiPriority w:val="34"/>
    <w:qFormat/>
    <w:rsid w:val="00D27C44"/>
    <w:pPr>
      <w:ind w:left="720"/>
      <w:contextualSpacing/>
    </w:pPr>
  </w:style>
  <w:style w:type="paragraph" w:customStyle="1" w:styleId="PaperTitle1">
    <w:name w:val="PaperTitle1"/>
    <w:basedOn w:val="Normal"/>
    <w:next w:val="PaperContent"/>
    <w:link w:val="PaperTitle1Char"/>
    <w:qFormat/>
    <w:rsid w:val="00744943"/>
    <w:pPr>
      <w:spacing w:line="480" w:lineRule="auto"/>
      <w:outlineLvl w:val="0"/>
    </w:pPr>
    <w:rPr>
      <w:b/>
      <w:sz w:val="28"/>
      <w:szCs w:val="24"/>
      <w:lang w:val="en-US"/>
    </w:rPr>
  </w:style>
  <w:style w:type="paragraph" w:customStyle="1" w:styleId="PaperTitle2">
    <w:name w:val="PaperTitle2"/>
    <w:basedOn w:val="Normal"/>
    <w:next w:val="PaperContent"/>
    <w:link w:val="PaperTitle2Char"/>
    <w:qFormat/>
    <w:rsid w:val="00744943"/>
    <w:pPr>
      <w:spacing w:line="480" w:lineRule="auto"/>
      <w:jc w:val="both"/>
      <w:outlineLvl w:val="1"/>
    </w:pPr>
    <w:rPr>
      <w:i/>
      <w:sz w:val="28"/>
      <w:szCs w:val="24"/>
      <w:lang w:val="en-US"/>
    </w:rPr>
  </w:style>
  <w:style w:type="character" w:customStyle="1" w:styleId="PaperTitle1Char">
    <w:name w:val="PaperTitle1 Char"/>
    <w:basedOn w:val="DefaultParagraphFont"/>
    <w:link w:val="PaperTitle1"/>
    <w:rsid w:val="00744943"/>
    <w:rPr>
      <w:rFonts w:ascii="Garamond" w:hAnsi="Garamond"/>
      <w:b/>
      <w:sz w:val="28"/>
      <w:szCs w:val="24"/>
      <w:lang w:val="en-US"/>
    </w:rPr>
  </w:style>
  <w:style w:type="paragraph" w:customStyle="1" w:styleId="PaperContent">
    <w:name w:val="PaperContent"/>
    <w:basedOn w:val="Normal"/>
    <w:link w:val="PaperContentChar"/>
    <w:qFormat/>
    <w:rsid w:val="00631311"/>
    <w:pPr>
      <w:spacing w:line="480" w:lineRule="auto"/>
      <w:jc w:val="both"/>
    </w:pPr>
    <w:rPr>
      <w:sz w:val="24"/>
      <w:szCs w:val="24"/>
      <w:lang w:val="en-US"/>
    </w:rPr>
  </w:style>
  <w:style w:type="character" w:customStyle="1" w:styleId="PaperTitle2Char">
    <w:name w:val="PaperTitle2 Char"/>
    <w:basedOn w:val="DefaultParagraphFont"/>
    <w:link w:val="PaperTitle2"/>
    <w:rsid w:val="00744943"/>
    <w:rPr>
      <w:rFonts w:ascii="Garamond" w:hAnsi="Garamond"/>
      <w:i/>
      <w:sz w:val="28"/>
      <w:szCs w:val="24"/>
      <w:lang w:val="en-US"/>
    </w:rPr>
  </w:style>
  <w:style w:type="character" w:customStyle="1" w:styleId="PaperContentChar">
    <w:name w:val="PaperContent Char"/>
    <w:basedOn w:val="DefaultParagraphFont"/>
    <w:link w:val="PaperContent"/>
    <w:rsid w:val="00631311"/>
    <w:rPr>
      <w:rFonts w:ascii="Garamond" w:hAnsi="Garamond"/>
      <w:sz w:val="24"/>
      <w:szCs w:val="24"/>
      <w:lang w:val="en-US"/>
    </w:rPr>
  </w:style>
  <w:style w:type="paragraph" w:styleId="CommentSubject">
    <w:name w:val="annotation subject"/>
    <w:basedOn w:val="CommentText"/>
    <w:next w:val="CommentText"/>
    <w:link w:val="CommentSubjectChar"/>
    <w:uiPriority w:val="99"/>
    <w:semiHidden/>
    <w:unhideWhenUsed/>
    <w:rsid w:val="00F57C5B"/>
    <w:rPr>
      <w:b/>
      <w:bCs/>
      <w:lang w:eastAsia="zh-CN"/>
    </w:rPr>
  </w:style>
  <w:style w:type="character" w:customStyle="1" w:styleId="CommentSubjectChar">
    <w:name w:val="Comment Subject Char"/>
    <w:basedOn w:val="CommentTextChar"/>
    <w:link w:val="CommentSubject"/>
    <w:uiPriority w:val="99"/>
    <w:semiHidden/>
    <w:rsid w:val="00F57C5B"/>
    <w:rPr>
      <w:b/>
      <w:bCs/>
      <w:sz w:val="20"/>
      <w:szCs w:val="20"/>
      <w:lang w:eastAsia="en-GB"/>
    </w:rPr>
  </w:style>
  <w:style w:type="paragraph" w:customStyle="1" w:styleId="Default">
    <w:name w:val="Default"/>
    <w:rsid w:val="00746DA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D7B14"/>
    <w:rPr>
      <w:color w:val="0000FF" w:themeColor="hyperlink"/>
      <w:u w:val="single"/>
    </w:rPr>
  </w:style>
  <w:style w:type="character" w:customStyle="1" w:styleId="rwrro">
    <w:name w:val="rwrro"/>
    <w:basedOn w:val="DefaultParagraphFont"/>
    <w:rsid w:val="00ED7B14"/>
  </w:style>
  <w:style w:type="paragraph" w:styleId="Revision">
    <w:name w:val="Revision"/>
    <w:hidden/>
    <w:uiPriority w:val="99"/>
    <w:semiHidden/>
    <w:rsid w:val="00B92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686">
      <w:bodyDiv w:val="1"/>
      <w:marLeft w:val="0"/>
      <w:marRight w:val="0"/>
      <w:marTop w:val="0"/>
      <w:marBottom w:val="0"/>
      <w:divBdr>
        <w:top w:val="none" w:sz="0" w:space="0" w:color="auto"/>
        <w:left w:val="none" w:sz="0" w:space="0" w:color="auto"/>
        <w:bottom w:val="none" w:sz="0" w:space="0" w:color="auto"/>
        <w:right w:val="none" w:sz="0" w:space="0" w:color="auto"/>
      </w:divBdr>
    </w:div>
    <w:div w:id="214239337">
      <w:bodyDiv w:val="1"/>
      <w:marLeft w:val="0"/>
      <w:marRight w:val="0"/>
      <w:marTop w:val="0"/>
      <w:marBottom w:val="0"/>
      <w:divBdr>
        <w:top w:val="none" w:sz="0" w:space="0" w:color="auto"/>
        <w:left w:val="none" w:sz="0" w:space="0" w:color="auto"/>
        <w:bottom w:val="none" w:sz="0" w:space="0" w:color="auto"/>
        <w:right w:val="none" w:sz="0" w:space="0" w:color="auto"/>
      </w:divBdr>
    </w:div>
    <w:div w:id="771437417">
      <w:bodyDiv w:val="1"/>
      <w:marLeft w:val="0"/>
      <w:marRight w:val="0"/>
      <w:marTop w:val="0"/>
      <w:marBottom w:val="0"/>
      <w:divBdr>
        <w:top w:val="none" w:sz="0" w:space="0" w:color="auto"/>
        <w:left w:val="none" w:sz="0" w:space="0" w:color="auto"/>
        <w:bottom w:val="none" w:sz="0" w:space="0" w:color="auto"/>
        <w:right w:val="none" w:sz="0" w:space="0" w:color="auto"/>
      </w:divBdr>
    </w:div>
    <w:div w:id="805195346">
      <w:bodyDiv w:val="1"/>
      <w:marLeft w:val="0"/>
      <w:marRight w:val="0"/>
      <w:marTop w:val="0"/>
      <w:marBottom w:val="0"/>
      <w:divBdr>
        <w:top w:val="none" w:sz="0" w:space="0" w:color="auto"/>
        <w:left w:val="none" w:sz="0" w:space="0" w:color="auto"/>
        <w:bottom w:val="none" w:sz="0" w:space="0" w:color="auto"/>
        <w:right w:val="none" w:sz="0" w:space="0" w:color="auto"/>
      </w:divBdr>
    </w:div>
    <w:div w:id="904799321">
      <w:bodyDiv w:val="1"/>
      <w:marLeft w:val="0"/>
      <w:marRight w:val="0"/>
      <w:marTop w:val="0"/>
      <w:marBottom w:val="0"/>
      <w:divBdr>
        <w:top w:val="none" w:sz="0" w:space="0" w:color="auto"/>
        <w:left w:val="none" w:sz="0" w:space="0" w:color="auto"/>
        <w:bottom w:val="none" w:sz="0" w:space="0" w:color="auto"/>
        <w:right w:val="none" w:sz="0" w:space="0" w:color="auto"/>
      </w:divBdr>
    </w:div>
    <w:div w:id="971178639">
      <w:bodyDiv w:val="1"/>
      <w:marLeft w:val="0"/>
      <w:marRight w:val="0"/>
      <w:marTop w:val="0"/>
      <w:marBottom w:val="0"/>
      <w:divBdr>
        <w:top w:val="none" w:sz="0" w:space="0" w:color="auto"/>
        <w:left w:val="none" w:sz="0" w:space="0" w:color="auto"/>
        <w:bottom w:val="none" w:sz="0" w:space="0" w:color="auto"/>
        <w:right w:val="none" w:sz="0" w:space="0" w:color="auto"/>
      </w:divBdr>
    </w:div>
    <w:div w:id="1164318156">
      <w:bodyDiv w:val="1"/>
      <w:marLeft w:val="0"/>
      <w:marRight w:val="0"/>
      <w:marTop w:val="0"/>
      <w:marBottom w:val="0"/>
      <w:divBdr>
        <w:top w:val="none" w:sz="0" w:space="0" w:color="auto"/>
        <w:left w:val="none" w:sz="0" w:space="0" w:color="auto"/>
        <w:bottom w:val="none" w:sz="0" w:space="0" w:color="auto"/>
        <w:right w:val="none" w:sz="0" w:space="0" w:color="auto"/>
      </w:divBdr>
    </w:div>
    <w:div w:id="18125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6F3B-8CED-4C66-AD29-17878830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11392</Words>
  <Characters>64938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LUBS</Company>
  <LinksUpToDate>false</LinksUpToDate>
  <CharactersWithSpaces>76178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Cai, Xiaowu</cp:lastModifiedBy>
  <cp:revision>31</cp:revision>
  <cp:lastPrinted>2017-06-23T21:15:00Z</cp:lastPrinted>
  <dcterms:created xsi:type="dcterms:W3CDTF">2017-12-17T14:41:00Z</dcterms:created>
  <dcterms:modified xsi:type="dcterms:W3CDTF">2018-02-01T12:40:00Z</dcterms:modified>
</cp:coreProperties>
</file>