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03D1D" w14:textId="77777777" w:rsidR="00A80796" w:rsidRPr="000007D3" w:rsidRDefault="00A80796" w:rsidP="00A80796">
      <w:pPr>
        <w:widowControl w:val="0"/>
        <w:autoSpaceDE w:val="0"/>
        <w:autoSpaceDN w:val="0"/>
        <w:adjustRightInd w:val="0"/>
        <w:jc w:val="both"/>
        <w:rPr>
          <w:rFonts w:ascii="Calibri" w:eastAsia="Calibri" w:hAnsi="Calibri" w:cs="Calibri"/>
          <w:b/>
          <w:bCs/>
        </w:rPr>
      </w:pPr>
      <w:r>
        <w:rPr>
          <w:rFonts w:ascii="Calibri" w:eastAsia="Calibri" w:hAnsi="Calibri" w:cs="Calibri"/>
          <w:b/>
          <w:bCs/>
          <w:sz w:val="28"/>
          <w:szCs w:val="28"/>
        </w:rPr>
        <w:t>The analgesic benefit of treating h</w:t>
      </w:r>
      <w:r w:rsidRPr="000007D3">
        <w:rPr>
          <w:rFonts w:ascii="Calibri" w:eastAsia="Calibri" w:hAnsi="Calibri" w:cs="Calibri"/>
          <w:b/>
          <w:bCs/>
          <w:sz w:val="28"/>
          <w:szCs w:val="28"/>
        </w:rPr>
        <w:t>ypomagnesaemia</w:t>
      </w:r>
    </w:p>
    <w:p w14:paraId="456F10C0" w14:textId="77777777" w:rsidR="007112C8" w:rsidRDefault="007112C8" w:rsidP="007112C8">
      <w:pPr>
        <w:jc w:val="both"/>
        <w:rPr>
          <w:rFonts w:ascii="Calibri" w:eastAsia="Calibri" w:hAnsi="Calibri" w:cs="Calibri"/>
          <w:b/>
        </w:rPr>
      </w:pPr>
    </w:p>
    <w:p w14:paraId="261B522B" w14:textId="77777777" w:rsidR="007112C8" w:rsidRPr="0081681D" w:rsidRDefault="007112C8" w:rsidP="007112C8">
      <w:pPr>
        <w:jc w:val="both"/>
        <w:rPr>
          <w:rFonts w:ascii="Calibri" w:eastAsia="Calibri" w:hAnsi="Calibri" w:cs="Calibri"/>
          <w:b/>
        </w:rPr>
      </w:pPr>
      <w:r>
        <w:rPr>
          <w:rFonts w:ascii="Calibri" w:eastAsia="Calibri" w:hAnsi="Calibri" w:cs="Calibri"/>
          <w:b/>
        </w:rPr>
        <w:t>Corresponding Author:</w:t>
      </w:r>
    </w:p>
    <w:p w14:paraId="012C0B80" w14:textId="77777777" w:rsidR="007112C8" w:rsidRPr="00FE7E21" w:rsidRDefault="007112C8" w:rsidP="007112C8">
      <w:pPr>
        <w:rPr>
          <w:rFonts w:asciiTheme="majorHAnsi" w:eastAsia="Times New Roman" w:hAnsiTheme="majorHAnsi" w:cstheme="minorHAnsi"/>
        </w:rPr>
      </w:pPr>
      <w:proofErr w:type="spellStart"/>
      <w:r w:rsidRPr="00FE7E21">
        <w:rPr>
          <w:rFonts w:asciiTheme="majorHAnsi" w:eastAsia="Times New Roman" w:hAnsiTheme="majorHAnsi" w:cstheme="minorHAnsi"/>
          <w:color w:val="000000"/>
          <w:shd w:val="clear" w:color="auto" w:fill="FFFFFF"/>
        </w:rPr>
        <w:t>Dr</w:t>
      </w:r>
      <w:proofErr w:type="spellEnd"/>
      <w:r w:rsidRPr="00FE7E21">
        <w:rPr>
          <w:rFonts w:asciiTheme="majorHAnsi" w:eastAsia="Times New Roman" w:hAnsiTheme="majorHAnsi" w:cstheme="minorHAnsi"/>
          <w:color w:val="000000"/>
          <w:shd w:val="clear" w:color="auto" w:fill="FFFFFF"/>
        </w:rPr>
        <w:t xml:space="preserve"> Séamus Coyle </w:t>
      </w:r>
    </w:p>
    <w:p w14:paraId="11C1D2BE" w14:textId="77777777" w:rsidR="007112C8" w:rsidRPr="00FE7E21" w:rsidRDefault="007112C8" w:rsidP="007112C8">
      <w:pPr>
        <w:shd w:val="clear" w:color="auto" w:fill="FFFFFF"/>
        <w:rPr>
          <w:rFonts w:asciiTheme="majorHAnsi" w:eastAsia="Times New Roman" w:hAnsiTheme="majorHAnsi" w:cstheme="minorHAnsi"/>
          <w:color w:val="000000"/>
        </w:rPr>
      </w:pPr>
      <w:r w:rsidRPr="00FE7E21">
        <w:rPr>
          <w:rFonts w:asciiTheme="majorHAnsi" w:eastAsia="Times New Roman" w:hAnsiTheme="majorHAnsi" w:cstheme="minorHAnsi"/>
          <w:color w:val="000000"/>
        </w:rPr>
        <w:t>Honorary Research Fellow (Clinical)      </w:t>
      </w:r>
    </w:p>
    <w:p w14:paraId="53BE8110" w14:textId="77777777" w:rsidR="007112C8" w:rsidRPr="00FE7E21" w:rsidRDefault="007112C8" w:rsidP="007112C8">
      <w:pPr>
        <w:shd w:val="clear" w:color="auto" w:fill="FFFFFF"/>
        <w:rPr>
          <w:rFonts w:asciiTheme="majorHAnsi" w:eastAsia="Times New Roman" w:hAnsiTheme="majorHAnsi" w:cs="Tahoma"/>
          <w:color w:val="000000" w:themeColor="text1"/>
        </w:rPr>
      </w:pPr>
      <w:r w:rsidRPr="00FE7E21">
        <w:rPr>
          <w:rFonts w:asciiTheme="majorHAnsi" w:eastAsia="Times New Roman" w:hAnsiTheme="majorHAnsi" w:cs="Arial"/>
          <w:color w:val="000000" w:themeColor="text1"/>
        </w:rPr>
        <w:t>Palliative Care Institute Liverpool</w:t>
      </w:r>
    </w:p>
    <w:p w14:paraId="4E6A3770" w14:textId="77777777" w:rsidR="007112C8" w:rsidRPr="00FE7E21" w:rsidRDefault="007112C8" w:rsidP="007112C8">
      <w:pPr>
        <w:shd w:val="clear" w:color="auto" w:fill="FFFFFF"/>
        <w:spacing w:line="198" w:lineRule="atLeast"/>
        <w:textAlignment w:val="baseline"/>
        <w:rPr>
          <w:rFonts w:asciiTheme="majorHAnsi" w:hAnsiTheme="majorHAnsi" w:cs="Arial"/>
          <w:color w:val="000000" w:themeColor="text1"/>
        </w:rPr>
      </w:pPr>
      <w:r w:rsidRPr="00FE7E21">
        <w:rPr>
          <w:rFonts w:asciiTheme="majorHAnsi" w:hAnsiTheme="majorHAnsi" w:cs="Arial"/>
          <w:color w:val="000000" w:themeColor="text1"/>
        </w:rPr>
        <w:t xml:space="preserve">Cancer Research Centre                                   </w:t>
      </w:r>
      <w:r w:rsidRPr="00FE7E21">
        <w:rPr>
          <w:rFonts w:asciiTheme="majorHAnsi" w:hAnsiTheme="majorHAnsi" w:cs="Arial"/>
          <w:color w:val="000000" w:themeColor="text1"/>
        </w:rPr>
        <w:br/>
        <w:t>University of Liverpool</w:t>
      </w:r>
      <w:r w:rsidRPr="00FE7E21">
        <w:rPr>
          <w:rFonts w:asciiTheme="majorHAnsi" w:hAnsiTheme="majorHAnsi" w:cs="Arial"/>
          <w:color w:val="000000" w:themeColor="text1"/>
        </w:rPr>
        <w:br/>
        <w:t>200 London Road</w:t>
      </w:r>
      <w:r w:rsidRPr="00FE7E21">
        <w:rPr>
          <w:rFonts w:asciiTheme="majorHAnsi" w:hAnsiTheme="majorHAnsi" w:cs="Arial"/>
          <w:color w:val="000000" w:themeColor="text1"/>
        </w:rPr>
        <w:br/>
        <w:t>Liverpool L3 9TA</w:t>
      </w:r>
    </w:p>
    <w:p w14:paraId="5BDDA624" w14:textId="77777777" w:rsidR="007112C8" w:rsidRPr="00FE7E21" w:rsidRDefault="007112C8" w:rsidP="007112C8">
      <w:pPr>
        <w:shd w:val="clear" w:color="auto" w:fill="FFFFFF"/>
        <w:spacing w:line="198" w:lineRule="atLeast"/>
        <w:textAlignment w:val="baseline"/>
        <w:rPr>
          <w:rFonts w:asciiTheme="majorHAnsi" w:hAnsiTheme="majorHAnsi" w:cs="Arial"/>
          <w:color w:val="000000" w:themeColor="text1"/>
        </w:rPr>
      </w:pPr>
      <w:r w:rsidRPr="00FE7E21">
        <w:rPr>
          <w:rFonts w:asciiTheme="majorHAnsi" w:hAnsiTheme="majorHAnsi" w:cs="Arial"/>
          <w:color w:val="000000" w:themeColor="text1"/>
        </w:rPr>
        <w:t>Tel: +44 (0)151 794 8806</w:t>
      </w:r>
    </w:p>
    <w:p w14:paraId="613BA6D7" w14:textId="77777777" w:rsidR="007112C8" w:rsidRPr="00FE7E21" w:rsidRDefault="007112C8" w:rsidP="007112C8">
      <w:pPr>
        <w:rPr>
          <w:rFonts w:asciiTheme="majorHAnsi" w:hAnsiTheme="majorHAnsi" w:cstheme="minorHAnsi"/>
          <w:color w:val="0000FF"/>
        </w:rPr>
      </w:pPr>
      <w:hyperlink r:id="rId4" w:history="1">
        <w:r w:rsidRPr="00FE7E21">
          <w:rPr>
            <w:rStyle w:val="Hyperlink"/>
            <w:rFonts w:asciiTheme="majorHAnsi" w:hAnsiTheme="majorHAnsi" w:cstheme="minorHAnsi"/>
          </w:rPr>
          <w:t>s.coyle@liverpool.ac.uk</w:t>
        </w:r>
      </w:hyperlink>
    </w:p>
    <w:p w14:paraId="50E26745" w14:textId="77777777" w:rsidR="007112C8" w:rsidRDefault="007112C8" w:rsidP="007112C8">
      <w:pPr>
        <w:rPr>
          <w:rFonts w:asciiTheme="majorHAnsi" w:hAnsiTheme="majorHAnsi" w:cstheme="minorHAnsi"/>
          <w:color w:val="000000" w:themeColor="text1"/>
        </w:rPr>
      </w:pPr>
    </w:p>
    <w:p w14:paraId="487C784C" w14:textId="77777777" w:rsidR="007112C8" w:rsidRPr="00FE7E21" w:rsidRDefault="007112C8" w:rsidP="007112C8">
      <w:pPr>
        <w:rPr>
          <w:rFonts w:asciiTheme="majorHAnsi" w:hAnsiTheme="majorHAnsi" w:cstheme="minorHAnsi"/>
          <w:color w:val="000000" w:themeColor="text1"/>
        </w:rPr>
      </w:pPr>
      <w:r w:rsidRPr="00FE7E21">
        <w:rPr>
          <w:rFonts w:asciiTheme="majorHAnsi" w:hAnsiTheme="majorHAnsi" w:cstheme="minorHAnsi"/>
          <w:color w:val="000000" w:themeColor="text1"/>
        </w:rPr>
        <w:t>OR</w:t>
      </w:r>
    </w:p>
    <w:p w14:paraId="18A0B3E3" w14:textId="77777777" w:rsidR="007112C8" w:rsidRDefault="007112C8" w:rsidP="007112C8">
      <w:pPr>
        <w:shd w:val="clear" w:color="auto" w:fill="FFFFFF"/>
        <w:rPr>
          <w:rFonts w:asciiTheme="majorHAnsi" w:eastAsia="Times New Roman" w:hAnsiTheme="majorHAnsi" w:cs="Tahoma"/>
          <w:color w:val="000000"/>
        </w:rPr>
      </w:pPr>
    </w:p>
    <w:p w14:paraId="6A1FCE8E" w14:textId="77777777" w:rsidR="007112C8" w:rsidRPr="00FE7E21" w:rsidRDefault="007112C8" w:rsidP="007112C8">
      <w:pPr>
        <w:shd w:val="clear" w:color="auto" w:fill="FFFFFF"/>
        <w:rPr>
          <w:rFonts w:asciiTheme="majorHAnsi" w:eastAsia="Times New Roman" w:hAnsiTheme="majorHAnsi" w:cs="Tahoma"/>
          <w:color w:val="000000"/>
        </w:rPr>
      </w:pPr>
      <w:r w:rsidRPr="00FE7E21">
        <w:rPr>
          <w:rFonts w:asciiTheme="majorHAnsi" w:eastAsia="Times New Roman" w:hAnsiTheme="majorHAnsi" w:cs="Tahoma"/>
          <w:color w:val="000000"/>
        </w:rPr>
        <w:t>Community Consultant in Palliative Medicine</w:t>
      </w:r>
    </w:p>
    <w:p w14:paraId="6143FA58" w14:textId="77777777" w:rsidR="007112C8" w:rsidRPr="00FE7E21" w:rsidRDefault="007112C8" w:rsidP="007112C8">
      <w:pPr>
        <w:rPr>
          <w:rFonts w:asciiTheme="majorHAnsi" w:hAnsiTheme="majorHAnsi" w:cstheme="minorHAnsi"/>
          <w:color w:val="000000" w:themeColor="text1"/>
        </w:rPr>
      </w:pPr>
      <w:r w:rsidRPr="00FE7E21">
        <w:rPr>
          <w:rFonts w:asciiTheme="majorHAnsi" w:hAnsiTheme="majorHAnsi" w:cstheme="minorHAnsi"/>
          <w:color w:val="000000" w:themeColor="text1"/>
        </w:rPr>
        <w:t>St Helens and Knowsley Hospitals NHS Trust</w:t>
      </w:r>
    </w:p>
    <w:p w14:paraId="07E7FD3B" w14:textId="77777777" w:rsidR="007112C8" w:rsidRPr="00FE7E21" w:rsidRDefault="007112C8" w:rsidP="007112C8">
      <w:pPr>
        <w:rPr>
          <w:rFonts w:asciiTheme="majorHAnsi" w:hAnsiTheme="majorHAnsi" w:cstheme="minorHAnsi"/>
          <w:color w:val="000000" w:themeColor="text1"/>
        </w:rPr>
      </w:pPr>
      <w:r w:rsidRPr="00FE7E21">
        <w:rPr>
          <w:rFonts w:asciiTheme="majorHAnsi" w:hAnsiTheme="majorHAnsi" w:cstheme="minorHAnsi"/>
          <w:color w:val="000000" w:themeColor="text1"/>
        </w:rPr>
        <w:t>C/O</w:t>
      </w:r>
    </w:p>
    <w:p w14:paraId="69EA6C31" w14:textId="77777777" w:rsidR="007112C8" w:rsidRPr="00FE7E21" w:rsidRDefault="007112C8" w:rsidP="007112C8">
      <w:pPr>
        <w:rPr>
          <w:rFonts w:asciiTheme="majorHAnsi" w:hAnsiTheme="majorHAnsi" w:cstheme="minorHAnsi"/>
          <w:color w:val="000000" w:themeColor="text1"/>
        </w:rPr>
      </w:pPr>
      <w:r w:rsidRPr="00FE7E21">
        <w:rPr>
          <w:rFonts w:asciiTheme="majorHAnsi" w:hAnsiTheme="majorHAnsi" w:cstheme="minorHAnsi"/>
          <w:color w:val="000000" w:themeColor="text1"/>
        </w:rPr>
        <w:t>Willowbrook Hospice,</w:t>
      </w:r>
    </w:p>
    <w:p w14:paraId="614570A3" w14:textId="77777777" w:rsidR="007112C8" w:rsidRPr="00FE7E21" w:rsidRDefault="007112C8" w:rsidP="007112C8">
      <w:pPr>
        <w:rPr>
          <w:rFonts w:asciiTheme="majorHAnsi" w:hAnsiTheme="majorHAnsi" w:cstheme="minorHAnsi"/>
          <w:color w:val="000000" w:themeColor="text1"/>
        </w:rPr>
      </w:pPr>
      <w:r w:rsidRPr="00FE7E21">
        <w:rPr>
          <w:rFonts w:asciiTheme="majorHAnsi" w:hAnsiTheme="majorHAnsi" w:cstheme="minorHAnsi"/>
          <w:color w:val="000000" w:themeColor="text1"/>
        </w:rPr>
        <w:t>Portico Lane,</w:t>
      </w:r>
    </w:p>
    <w:p w14:paraId="3FFEF914" w14:textId="77777777" w:rsidR="007112C8" w:rsidRPr="00FE7E21" w:rsidRDefault="007112C8" w:rsidP="007112C8">
      <w:pPr>
        <w:rPr>
          <w:rFonts w:asciiTheme="majorHAnsi" w:hAnsiTheme="majorHAnsi" w:cstheme="minorHAnsi"/>
          <w:color w:val="000000" w:themeColor="text1"/>
        </w:rPr>
      </w:pPr>
      <w:r w:rsidRPr="00FE7E21">
        <w:rPr>
          <w:rFonts w:asciiTheme="majorHAnsi" w:hAnsiTheme="majorHAnsi" w:cstheme="minorHAnsi"/>
          <w:color w:val="000000" w:themeColor="text1"/>
        </w:rPr>
        <w:t>Prescot</w:t>
      </w:r>
    </w:p>
    <w:p w14:paraId="33A64244" w14:textId="77777777" w:rsidR="007112C8" w:rsidRPr="00FE7E21" w:rsidRDefault="007112C8" w:rsidP="007112C8">
      <w:pPr>
        <w:rPr>
          <w:rFonts w:asciiTheme="majorHAnsi" w:hAnsiTheme="majorHAnsi" w:cstheme="minorHAnsi"/>
          <w:color w:val="0000FF"/>
        </w:rPr>
      </w:pPr>
      <w:r w:rsidRPr="00FE7E21">
        <w:rPr>
          <w:rFonts w:asciiTheme="majorHAnsi" w:hAnsiTheme="majorHAnsi" w:cstheme="minorHAnsi"/>
          <w:color w:val="000000" w:themeColor="text1"/>
        </w:rPr>
        <w:t>L34 2QT</w:t>
      </w:r>
    </w:p>
    <w:p w14:paraId="0C4907EB" w14:textId="77777777" w:rsidR="007112C8" w:rsidRPr="00FE7E21" w:rsidRDefault="007112C8" w:rsidP="007112C8">
      <w:pPr>
        <w:rPr>
          <w:rFonts w:asciiTheme="majorHAnsi" w:hAnsiTheme="majorHAnsi" w:cstheme="minorHAnsi"/>
          <w:color w:val="000000" w:themeColor="text1"/>
        </w:rPr>
      </w:pPr>
      <w:r w:rsidRPr="00FE7E21">
        <w:rPr>
          <w:rFonts w:asciiTheme="majorHAnsi" w:hAnsiTheme="majorHAnsi" w:cs="Arial"/>
          <w:color w:val="000000" w:themeColor="text1"/>
        </w:rPr>
        <w:t>Tel: +44 (0)151 430 8736</w:t>
      </w:r>
    </w:p>
    <w:p w14:paraId="68C17459" w14:textId="77777777" w:rsidR="007112C8" w:rsidRPr="00FE7E21" w:rsidRDefault="007112C8" w:rsidP="007112C8">
      <w:pPr>
        <w:rPr>
          <w:rFonts w:asciiTheme="majorHAnsi" w:hAnsiTheme="majorHAnsi" w:cstheme="minorHAnsi"/>
          <w:color w:val="0000FF"/>
        </w:rPr>
      </w:pPr>
      <w:hyperlink r:id="rId5" w:history="1">
        <w:r w:rsidRPr="00FE7E21">
          <w:rPr>
            <w:rStyle w:val="Hyperlink"/>
            <w:rFonts w:asciiTheme="majorHAnsi" w:hAnsiTheme="majorHAnsi" w:cstheme="minorHAnsi"/>
          </w:rPr>
          <w:t>seamusc@willowbrookhospice.org.uk</w:t>
        </w:r>
      </w:hyperlink>
    </w:p>
    <w:p w14:paraId="60995A17" w14:textId="77777777" w:rsidR="007112C8" w:rsidRDefault="007112C8" w:rsidP="007112C8"/>
    <w:p w14:paraId="76220370" w14:textId="77777777" w:rsidR="007112C8" w:rsidRPr="00FE7E21" w:rsidRDefault="007112C8" w:rsidP="007112C8">
      <w:pPr>
        <w:rPr>
          <w:rFonts w:asciiTheme="majorHAnsi" w:hAnsiTheme="majorHAnsi"/>
          <w:b/>
        </w:rPr>
      </w:pPr>
      <w:r w:rsidRPr="00FE7E21">
        <w:rPr>
          <w:rFonts w:asciiTheme="majorHAnsi" w:hAnsiTheme="majorHAnsi"/>
          <w:b/>
        </w:rPr>
        <w:t>Co-Author:</w:t>
      </w:r>
    </w:p>
    <w:p w14:paraId="11EACCC9" w14:textId="77777777" w:rsidR="007112C8" w:rsidRDefault="007112C8" w:rsidP="007112C8">
      <w:pPr>
        <w:rPr>
          <w:rFonts w:asciiTheme="majorHAnsi" w:hAnsiTheme="majorHAnsi"/>
        </w:rPr>
      </w:pPr>
      <w:proofErr w:type="spellStart"/>
      <w:r>
        <w:rPr>
          <w:rFonts w:asciiTheme="majorHAnsi" w:hAnsiTheme="majorHAnsi"/>
        </w:rPr>
        <w:t>Dr</w:t>
      </w:r>
      <w:proofErr w:type="spellEnd"/>
      <w:r>
        <w:rPr>
          <w:rFonts w:asciiTheme="majorHAnsi" w:hAnsiTheme="majorHAnsi"/>
        </w:rPr>
        <w:t xml:space="preserve"> Daniel Monnery,</w:t>
      </w:r>
    </w:p>
    <w:p w14:paraId="77BF007A" w14:textId="77777777" w:rsidR="007112C8" w:rsidRDefault="007112C8" w:rsidP="007112C8">
      <w:pPr>
        <w:rPr>
          <w:rFonts w:asciiTheme="majorHAnsi" w:hAnsiTheme="majorHAnsi"/>
        </w:rPr>
      </w:pPr>
      <w:proofErr w:type="spellStart"/>
      <w:r>
        <w:rPr>
          <w:rFonts w:asciiTheme="majorHAnsi" w:hAnsiTheme="majorHAnsi"/>
        </w:rPr>
        <w:t>Aintree</w:t>
      </w:r>
      <w:proofErr w:type="spellEnd"/>
      <w:r>
        <w:rPr>
          <w:rFonts w:asciiTheme="majorHAnsi" w:hAnsiTheme="majorHAnsi"/>
        </w:rPr>
        <w:t xml:space="preserve"> University Hospital,</w:t>
      </w:r>
    </w:p>
    <w:p w14:paraId="758230C4" w14:textId="77777777" w:rsidR="007112C8" w:rsidRDefault="007112C8" w:rsidP="007112C8">
      <w:pPr>
        <w:rPr>
          <w:rFonts w:asciiTheme="majorHAnsi" w:hAnsiTheme="majorHAnsi"/>
        </w:rPr>
      </w:pPr>
      <w:proofErr w:type="spellStart"/>
      <w:r>
        <w:rPr>
          <w:rFonts w:asciiTheme="majorHAnsi" w:hAnsiTheme="majorHAnsi"/>
        </w:rPr>
        <w:t>Longmoor</w:t>
      </w:r>
      <w:proofErr w:type="spellEnd"/>
      <w:r>
        <w:rPr>
          <w:rFonts w:asciiTheme="majorHAnsi" w:hAnsiTheme="majorHAnsi"/>
        </w:rPr>
        <w:t xml:space="preserve"> Rd,</w:t>
      </w:r>
    </w:p>
    <w:p w14:paraId="1E95D780" w14:textId="77777777" w:rsidR="007112C8" w:rsidRDefault="007112C8" w:rsidP="007112C8">
      <w:pPr>
        <w:rPr>
          <w:rFonts w:asciiTheme="majorHAnsi" w:hAnsiTheme="majorHAnsi"/>
        </w:rPr>
      </w:pPr>
      <w:r>
        <w:rPr>
          <w:rFonts w:asciiTheme="majorHAnsi" w:hAnsiTheme="majorHAnsi"/>
        </w:rPr>
        <w:t>Liverpool</w:t>
      </w:r>
    </w:p>
    <w:p w14:paraId="75790C8F" w14:textId="77777777" w:rsidR="007112C8" w:rsidRDefault="007112C8" w:rsidP="007112C8">
      <w:pPr>
        <w:rPr>
          <w:rFonts w:asciiTheme="majorHAnsi" w:hAnsiTheme="majorHAnsi"/>
        </w:rPr>
      </w:pPr>
      <w:r>
        <w:rPr>
          <w:rFonts w:asciiTheme="majorHAnsi" w:hAnsiTheme="majorHAnsi"/>
        </w:rPr>
        <w:t>L9 7AL</w:t>
      </w:r>
    </w:p>
    <w:p w14:paraId="3FE3B998" w14:textId="77777777" w:rsidR="007112C8" w:rsidRDefault="007112C8" w:rsidP="007112C8">
      <w:pPr>
        <w:rPr>
          <w:rFonts w:asciiTheme="majorHAnsi" w:hAnsiTheme="majorHAnsi"/>
        </w:rPr>
      </w:pPr>
      <w:r>
        <w:rPr>
          <w:rFonts w:asciiTheme="majorHAnsi" w:hAnsiTheme="majorHAnsi"/>
        </w:rPr>
        <w:t>Tel: +44 (0)151 525 5980</w:t>
      </w:r>
    </w:p>
    <w:p w14:paraId="1E53C893" w14:textId="77777777" w:rsidR="007112C8" w:rsidRPr="00FE7E21" w:rsidRDefault="007112C8" w:rsidP="007112C8">
      <w:pPr>
        <w:rPr>
          <w:rFonts w:asciiTheme="majorHAnsi" w:hAnsiTheme="majorHAnsi"/>
        </w:rPr>
      </w:pPr>
      <w:r>
        <w:rPr>
          <w:rFonts w:asciiTheme="majorHAnsi" w:hAnsiTheme="majorHAnsi"/>
        </w:rPr>
        <w:t>Daniel.monnery@nhs.net</w:t>
      </w:r>
    </w:p>
    <w:p w14:paraId="0F426667" w14:textId="77777777" w:rsidR="007112C8" w:rsidRPr="00FE7E21" w:rsidRDefault="007112C8" w:rsidP="007112C8">
      <w:pPr>
        <w:rPr>
          <w:rFonts w:asciiTheme="majorHAnsi" w:hAnsiTheme="majorHAnsi"/>
        </w:rPr>
      </w:pPr>
    </w:p>
    <w:p w14:paraId="015F3D56" w14:textId="77777777" w:rsidR="007112C8" w:rsidRPr="00FE7E21" w:rsidRDefault="007112C8" w:rsidP="007112C8">
      <w:pPr>
        <w:rPr>
          <w:rFonts w:asciiTheme="majorHAnsi" w:hAnsiTheme="majorHAnsi"/>
          <w:b/>
        </w:rPr>
      </w:pPr>
      <w:r w:rsidRPr="00FE7E21">
        <w:rPr>
          <w:rFonts w:asciiTheme="majorHAnsi" w:hAnsiTheme="majorHAnsi"/>
          <w:b/>
        </w:rPr>
        <w:t>Keywords:</w:t>
      </w:r>
    </w:p>
    <w:p w14:paraId="3DC0BD65" w14:textId="77777777" w:rsidR="007112C8" w:rsidRDefault="007112C8" w:rsidP="007112C8">
      <w:pPr>
        <w:jc w:val="both"/>
        <w:rPr>
          <w:rFonts w:ascii="Calibri" w:eastAsia="Calibri" w:hAnsi="Calibri" w:cs="Calibri"/>
        </w:rPr>
      </w:pPr>
      <w:r w:rsidRPr="000007D3">
        <w:rPr>
          <w:rFonts w:ascii="Calibri" w:eastAsia="Calibri" w:hAnsi="Calibri" w:cs="Calibri"/>
        </w:rPr>
        <w:t>Hypomagnesaemia; magnesium replacement; pain; anal</w:t>
      </w:r>
      <w:r>
        <w:rPr>
          <w:rFonts w:ascii="Calibri" w:eastAsia="Calibri" w:hAnsi="Calibri" w:cs="Calibri"/>
        </w:rPr>
        <w:t>gesia; palliative care</w:t>
      </w:r>
    </w:p>
    <w:p w14:paraId="262EAB87" w14:textId="77777777" w:rsidR="007112C8" w:rsidRPr="00FE7E21" w:rsidRDefault="007112C8" w:rsidP="007112C8">
      <w:pPr>
        <w:rPr>
          <w:rFonts w:asciiTheme="majorHAnsi" w:hAnsiTheme="majorHAnsi"/>
        </w:rPr>
      </w:pPr>
    </w:p>
    <w:p w14:paraId="67772532" w14:textId="77777777" w:rsidR="007112C8" w:rsidRPr="00FE7E21" w:rsidRDefault="007112C8" w:rsidP="007112C8">
      <w:pPr>
        <w:rPr>
          <w:rFonts w:asciiTheme="majorHAnsi" w:hAnsiTheme="majorHAnsi"/>
          <w:b/>
        </w:rPr>
      </w:pPr>
      <w:r w:rsidRPr="00FE7E21">
        <w:rPr>
          <w:rFonts w:asciiTheme="majorHAnsi" w:hAnsiTheme="majorHAnsi"/>
          <w:b/>
        </w:rPr>
        <w:t>Word Count:</w:t>
      </w:r>
    </w:p>
    <w:p w14:paraId="60DAD01F" w14:textId="77777777" w:rsidR="007112C8" w:rsidRPr="00FE7E21" w:rsidRDefault="007112C8" w:rsidP="007112C8">
      <w:pPr>
        <w:rPr>
          <w:rFonts w:asciiTheme="majorHAnsi" w:hAnsiTheme="majorHAnsi"/>
        </w:rPr>
      </w:pPr>
      <w:r w:rsidRPr="00FE7E21">
        <w:rPr>
          <w:rFonts w:asciiTheme="majorHAnsi" w:hAnsiTheme="majorHAnsi"/>
        </w:rPr>
        <w:t>1049</w:t>
      </w:r>
    </w:p>
    <w:p w14:paraId="77A96797" w14:textId="77777777" w:rsidR="000007D3" w:rsidRDefault="000007D3" w:rsidP="000007D3">
      <w:pPr>
        <w:jc w:val="both"/>
        <w:rPr>
          <w:rFonts w:ascii="Calibri" w:eastAsia="Calibri" w:hAnsi="Calibri" w:cs="Calibri"/>
        </w:rPr>
      </w:pPr>
    </w:p>
    <w:p w14:paraId="688A11E7" w14:textId="77777777" w:rsidR="000007D3" w:rsidRDefault="000007D3" w:rsidP="000007D3">
      <w:pPr>
        <w:jc w:val="both"/>
        <w:rPr>
          <w:rFonts w:ascii="Calibri" w:eastAsia="Calibri" w:hAnsi="Calibri" w:cs="Calibri"/>
        </w:rPr>
      </w:pPr>
    </w:p>
    <w:p w14:paraId="71259B0A" w14:textId="77777777" w:rsidR="007112C8" w:rsidRDefault="007112C8">
      <w:pPr>
        <w:rPr>
          <w:rFonts w:ascii="Calibri" w:eastAsia="Calibri" w:hAnsi="Calibri" w:cs="Calibri"/>
          <w:b/>
          <w:bCs/>
        </w:rPr>
      </w:pPr>
      <w:r>
        <w:rPr>
          <w:rFonts w:ascii="Calibri" w:eastAsia="Calibri" w:hAnsi="Calibri" w:cs="Calibri"/>
          <w:b/>
          <w:bCs/>
        </w:rPr>
        <w:br w:type="page"/>
      </w:r>
    </w:p>
    <w:p w14:paraId="2486F32E" w14:textId="6821BB91" w:rsidR="00665BFA" w:rsidRPr="005925CD" w:rsidRDefault="000007D3" w:rsidP="005925CD">
      <w:pPr>
        <w:widowControl w:val="0"/>
        <w:autoSpaceDE w:val="0"/>
        <w:autoSpaceDN w:val="0"/>
        <w:adjustRightInd w:val="0"/>
        <w:jc w:val="both"/>
        <w:rPr>
          <w:rFonts w:ascii="Calibri" w:eastAsia="Calibri" w:hAnsi="Calibri" w:cs="Calibri"/>
          <w:b/>
          <w:bCs/>
        </w:rPr>
      </w:pPr>
      <w:r w:rsidRPr="000007D3">
        <w:rPr>
          <w:rFonts w:ascii="Calibri" w:eastAsia="Calibri" w:hAnsi="Calibri" w:cs="Calibri"/>
          <w:b/>
          <w:bCs/>
        </w:rPr>
        <w:lastRenderedPageBreak/>
        <w:t>Abstract</w:t>
      </w:r>
    </w:p>
    <w:p w14:paraId="682BE87A" w14:textId="7F0B15D7" w:rsidR="000007D3" w:rsidRDefault="002651FB" w:rsidP="002651FB">
      <w:pPr>
        <w:jc w:val="both"/>
        <w:rPr>
          <w:rFonts w:ascii="Calibri" w:eastAsia="Calibri" w:hAnsi="Calibri" w:cs="Calibri"/>
        </w:rPr>
      </w:pPr>
      <w:r w:rsidRPr="002651FB">
        <w:rPr>
          <w:rFonts w:ascii="Calibri" w:eastAsia="Calibri" w:hAnsi="Calibri" w:cs="Calibri"/>
        </w:rPr>
        <w:t>The role of magnesium as an analgesic in patients is unclear. Hypomagnesaemia is a common electrolyte abnormality, in the chronic state symptoms are insidious and often non-specific.  It is often undiagnosed and thus untreated. There is evidence from animal studies that magnesium is involved in pain control including an animal model of hyperalgesia induced by hypomagnesaemia.  We report two cases of patients admitted for pain control which improved wh</w:t>
      </w:r>
      <w:r w:rsidR="00BA47DE">
        <w:rPr>
          <w:rFonts w:ascii="Calibri" w:eastAsia="Calibri" w:hAnsi="Calibri" w:cs="Calibri"/>
        </w:rPr>
        <w:t xml:space="preserve">en hypomagnesaemia was treated. </w:t>
      </w:r>
      <w:r w:rsidRPr="002651FB">
        <w:rPr>
          <w:rFonts w:ascii="Calibri" w:eastAsia="Calibri" w:hAnsi="Calibri" w:cs="Calibri"/>
        </w:rPr>
        <w:t>Each ca</w:t>
      </w:r>
      <w:r w:rsidR="005925CD">
        <w:rPr>
          <w:rFonts w:ascii="Calibri" w:eastAsia="Calibri" w:hAnsi="Calibri" w:cs="Calibri"/>
        </w:rPr>
        <w:t xml:space="preserve">se had metastatic cancer. Both </w:t>
      </w:r>
      <w:r w:rsidRPr="002651FB">
        <w:rPr>
          <w:rFonts w:ascii="Calibri" w:eastAsia="Calibri" w:hAnsi="Calibri" w:cs="Calibri"/>
        </w:rPr>
        <w:t>were found on admission to have asymptomatic hypomagnesaemia and were treated with IV magnesium. Treatment for hypomagnesaemia resulted in an improvement in pain control such that analgesia was decreased. The incidence of hypomagnesaemia in palliative patients is unknown although it is thought to be common. These cases suggest that treating hypomagnesaemia may improve pain control.</w:t>
      </w:r>
    </w:p>
    <w:p w14:paraId="6208A725" w14:textId="77777777" w:rsidR="002651FB" w:rsidRDefault="002651FB" w:rsidP="000007D3">
      <w:pPr>
        <w:jc w:val="both"/>
        <w:rPr>
          <w:rFonts w:ascii="Calibri" w:eastAsia="Calibri" w:hAnsi="Calibri" w:cs="Calibri"/>
        </w:rPr>
      </w:pPr>
    </w:p>
    <w:p w14:paraId="0101244A" w14:textId="77777777" w:rsidR="002651FB" w:rsidRDefault="002651FB" w:rsidP="000007D3">
      <w:pPr>
        <w:jc w:val="both"/>
        <w:rPr>
          <w:rFonts w:ascii="Calibri" w:eastAsia="Calibri" w:hAnsi="Calibri" w:cs="Calibri"/>
        </w:rPr>
      </w:pPr>
    </w:p>
    <w:p w14:paraId="543B252F" w14:textId="77777777" w:rsidR="007112C8" w:rsidRDefault="007112C8">
      <w:pPr>
        <w:rPr>
          <w:rFonts w:ascii="Calibri" w:eastAsia="Calibri" w:hAnsi="Calibri" w:cs="Calibri"/>
          <w:b/>
          <w:bCs/>
        </w:rPr>
      </w:pPr>
      <w:r>
        <w:rPr>
          <w:rFonts w:ascii="Calibri" w:eastAsia="Calibri" w:hAnsi="Calibri" w:cs="Calibri"/>
          <w:b/>
          <w:bCs/>
        </w:rPr>
        <w:br w:type="page"/>
      </w:r>
    </w:p>
    <w:p w14:paraId="77827612" w14:textId="4AB9C804" w:rsidR="000007D3" w:rsidRPr="000007D3" w:rsidRDefault="000007D3" w:rsidP="000007D3">
      <w:pPr>
        <w:widowControl w:val="0"/>
        <w:autoSpaceDE w:val="0"/>
        <w:autoSpaceDN w:val="0"/>
        <w:adjustRightInd w:val="0"/>
        <w:jc w:val="both"/>
        <w:rPr>
          <w:rFonts w:ascii="Calibri" w:eastAsia="Calibri" w:hAnsi="Calibri" w:cs="Calibri"/>
        </w:rPr>
      </w:pPr>
      <w:r w:rsidRPr="000007D3">
        <w:rPr>
          <w:rFonts w:ascii="Calibri" w:eastAsia="Calibri" w:hAnsi="Calibri" w:cs="Calibri"/>
          <w:b/>
          <w:bCs/>
        </w:rPr>
        <w:lastRenderedPageBreak/>
        <w:t>Background</w:t>
      </w:r>
    </w:p>
    <w:p w14:paraId="62F88400" w14:textId="506CAE39" w:rsidR="000007D3" w:rsidRPr="000007D3" w:rsidRDefault="000007D3" w:rsidP="000007D3">
      <w:pPr>
        <w:widowControl w:val="0"/>
        <w:autoSpaceDE w:val="0"/>
        <w:autoSpaceDN w:val="0"/>
        <w:adjustRightInd w:val="0"/>
        <w:jc w:val="both"/>
        <w:rPr>
          <w:rFonts w:ascii="Calibri" w:eastAsia="Calibri" w:hAnsi="Calibri" w:cs="Calibri"/>
          <w:color w:val="0000FF"/>
        </w:rPr>
      </w:pPr>
      <w:r w:rsidRPr="000007D3">
        <w:rPr>
          <w:rFonts w:ascii="Calibri" w:eastAsia="Calibri" w:hAnsi="Calibri" w:cs="Calibri"/>
        </w:rPr>
        <w:t xml:space="preserve">Magnesium is an essential ion. It acts as a cofactor in many enzymatic reactions and has </w:t>
      </w:r>
      <w:r w:rsidR="00B24F5A">
        <w:rPr>
          <w:rFonts w:ascii="Calibri" w:eastAsia="Calibri" w:hAnsi="Calibri" w:cs="Calibri"/>
        </w:rPr>
        <w:t>a crucial</w:t>
      </w:r>
      <w:r w:rsidRPr="000007D3">
        <w:rPr>
          <w:rFonts w:ascii="Calibri" w:eastAsia="Calibri" w:hAnsi="Calibri" w:cs="Calibri"/>
        </w:rPr>
        <w:t xml:space="preserve"> role in the electrical properties of membranes. </w:t>
      </w:r>
      <w:r w:rsidR="00B24F5A">
        <w:rPr>
          <w:rFonts w:ascii="Calibri" w:eastAsia="Calibri" w:hAnsi="Calibri" w:cs="Calibri"/>
        </w:rPr>
        <w:t>H</w:t>
      </w:r>
      <w:r w:rsidRPr="000007D3">
        <w:rPr>
          <w:rFonts w:ascii="Calibri" w:eastAsia="Calibri" w:hAnsi="Calibri" w:cs="Calibri"/>
        </w:rPr>
        <w:t>ypomagnesaemia in the general population is estimated to be between 2.5 and 15%</w:t>
      </w:r>
      <w:r w:rsidR="00B24F5A">
        <w:rPr>
          <w:rFonts w:ascii="Calibri" w:eastAsia="Calibri" w:hAnsi="Calibri" w:cs="Calibri"/>
        </w:rPr>
        <w:t>.  It</w:t>
      </w:r>
      <w:r w:rsidRPr="000007D3">
        <w:rPr>
          <w:rFonts w:ascii="Calibri" w:eastAsia="Calibri" w:hAnsi="Calibri" w:cs="Calibri"/>
        </w:rPr>
        <w:t xml:space="preserve"> is</w:t>
      </w:r>
      <w:r w:rsidR="00B24F5A">
        <w:rPr>
          <w:rFonts w:ascii="Calibri" w:eastAsia="Calibri" w:hAnsi="Calibri" w:cs="Calibri"/>
        </w:rPr>
        <w:t xml:space="preserve"> much</w:t>
      </w:r>
      <w:r w:rsidRPr="000007D3">
        <w:rPr>
          <w:rFonts w:ascii="Calibri" w:eastAsia="Calibri" w:hAnsi="Calibri" w:cs="Calibri"/>
        </w:rPr>
        <w:t xml:space="preserve"> higher (10-65%) in </w:t>
      </w:r>
      <w:r w:rsidR="00FB65DA">
        <w:rPr>
          <w:rFonts w:ascii="Calibri" w:eastAsia="Calibri" w:hAnsi="Calibri" w:cs="Calibri"/>
        </w:rPr>
        <w:t xml:space="preserve">patients being treated in </w:t>
      </w:r>
      <w:r w:rsidRPr="000007D3">
        <w:rPr>
          <w:rFonts w:ascii="Calibri" w:eastAsia="Calibri" w:hAnsi="Calibri" w:cs="Calibri"/>
        </w:rPr>
        <w:t xml:space="preserve">hospices, </w:t>
      </w:r>
      <w:r w:rsidR="00FB65DA">
        <w:rPr>
          <w:rFonts w:ascii="Calibri" w:eastAsia="Calibri" w:hAnsi="Calibri" w:cs="Calibri"/>
        </w:rPr>
        <w:t>hospitals</w:t>
      </w:r>
      <w:r w:rsidRPr="000007D3">
        <w:rPr>
          <w:rFonts w:ascii="Calibri" w:eastAsia="Calibri" w:hAnsi="Calibri" w:cs="Calibri"/>
        </w:rPr>
        <w:t xml:space="preserve"> and in critical care units (1). Approximately half of the total body magnesium is intracellular, the other half is in bone. Less than 1%</w:t>
      </w:r>
      <w:r w:rsidR="00B80E06">
        <w:rPr>
          <w:rFonts w:ascii="Calibri" w:eastAsia="Calibri" w:hAnsi="Calibri" w:cs="Calibri"/>
        </w:rPr>
        <w:t xml:space="preserve"> is present in blood serum. H</w:t>
      </w:r>
      <w:r w:rsidR="00B80E06" w:rsidRPr="000007D3">
        <w:rPr>
          <w:rFonts w:ascii="Calibri" w:eastAsia="Calibri" w:hAnsi="Calibri" w:cs="Calibri"/>
        </w:rPr>
        <w:t xml:space="preserve">ypomagnesaemia is often </w:t>
      </w:r>
      <w:r w:rsidR="00B80E06" w:rsidRPr="00243DC4">
        <w:rPr>
          <w:rFonts w:ascii="Calibri" w:eastAsia="Calibri" w:hAnsi="Calibri" w:cs="Calibri"/>
          <w:lang w:val="en-GB"/>
        </w:rPr>
        <w:t>under recognised</w:t>
      </w:r>
      <w:r w:rsidR="00B80E06">
        <w:rPr>
          <w:rFonts w:ascii="Calibri" w:eastAsia="Calibri" w:hAnsi="Calibri" w:cs="Calibri"/>
        </w:rPr>
        <w:t xml:space="preserve"> because </w:t>
      </w:r>
      <w:r w:rsidR="002E0ADA">
        <w:rPr>
          <w:rFonts w:ascii="Calibri" w:eastAsia="Calibri" w:hAnsi="Calibri" w:cs="Calibri"/>
        </w:rPr>
        <w:t>serum magnesium levels are</w:t>
      </w:r>
      <w:r w:rsidRPr="000007D3">
        <w:rPr>
          <w:rFonts w:ascii="Calibri" w:eastAsia="Calibri" w:hAnsi="Calibri" w:cs="Calibri"/>
        </w:rPr>
        <w:t xml:space="preserve"> an insensi</w:t>
      </w:r>
      <w:r w:rsidR="00B80E06">
        <w:rPr>
          <w:rFonts w:ascii="Calibri" w:eastAsia="Calibri" w:hAnsi="Calibri" w:cs="Calibri"/>
        </w:rPr>
        <w:t>tive guide to total body stores</w:t>
      </w:r>
      <w:r w:rsidRPr="00243DC4">
        <w:rPr>
          <w:rFonts w:ascii="Calibri" w:eastAsia="Calibri" w:hAnsi="Calibri" w:cs="Calibri"/>
        </w:rPr>
        <w:t>.</w:t>
      </w:r>
      <w:r w:rsidR="00B80E06">
        <w:rPr>
          <w:rFonts w:ascii="Calibri" w:eastAsia="Calibri" w:hAnsi="Calibri" w:cs="Calibri"/>
        </w:rPr>
        <w:t xml:space="preserve"> T</w:t>
      </w:r>
      <w:r w:rsidRPr="000007D3">
        <w:rPr>
          <w:rFonts w:ascii="Calibri" w:eastAsia="Calibri" w:hAnsi="Calibri" w:cs="Calibri"/>
        </w:rPr>
        <w:t>he best test for detecting magnesium deficiency is the magnesium loading test (2).</w:t>
      </w:r>
    </w:p>
    <w:p w14:paraId="72ECF0C1" w14:textId="77777777" w:rsidR="000007D3" w:rsidRPr="000007D3" w:rsidRDefault="000007D3" w:rsidP="000007D3">
      <w:pPr>
        <w:widowControl w:val="0"/>
        <w:autoSpaceDE w:val="0"/>
        <w:autoSpaceDN w:val="0"/>
        <w:adjustRightInd w:val="0"/>
        <w:jc w:val="both"/>
        <w:rPr>
          <w:rFonts w:ascii="Calibri" w:eastAsia="Calibri" w:hAnsi="Calibri" w:cs="Calibri"/>
        </w:rPr>
      </w:pPr>
    </w:p>
    <w:p w14:paraId="06DD0684" w14:textId="4383DC6D" w:rsidR="000007D3" w:rsidRPr="000007D3" w:rsidRDefault="00FB65DA" w:rsidP="000007D3">
      <w:pPr>
        <w:widowControl w:val="0"/>
        <w:autoSpaceDE w:val="0"/>
        <w:autoSpaceDN w:val="0"/>
        <w:adjustRightInd w:val="0"/>
        <w:jc w:val="both"/>
        <w:rPr>
          <w:rFonts w:ascii="Calibri" w:eastAsia="Calibri" w:hAnsi="Calibri" w:cs="Calibri"/>
        </w:rPr>
      </w:pPr>
      <w:r>
        <w:rPr>
          <w:rFonts w:ascii="Calibri" w:eastAsia="Calibri" w:hAnsi="Calibri" w:cs="Calibri"/>
        </w:rPr>
        <w:t>H</w:t>
      </w:r>
      <w:r w:rsidR="00B80E06">
        <w:rPr>
          <w:rFonts w:ascii="Calibri" w:eastAsia="Calibri" w:hAnsi="Calibri" w:cs="Calibri"/>
        </w:rPr>
        <w:t>ypomagnesaemia can</w:t>
      </w:r>
      <w:r w:rsidR="000007D3" w:rsidRPr="000007D3">
        <w:rPr>
          <w:rFonts w:ascii="Calibri" w:eastAsia="Calibri" w:hAnsi="Calibri" w:cs="Calibri"/>
        </w:rPr>
        <w:t xml:space="preserve"> produce numerous symptoms</w:t>
      </w:r>
      <w:r w:rsidR="00B80E06">
        <w:rPr>
          <w:rFonts w:ascii="Calibri" w:eastAsia="Calibri" w:hAnsi="Calibri" w:cs="Calibri"/>
        </w:rPr>
        <w:t xml:space="preserve">; </w:t>
      </w:r>
      <w:r w:rsidR="000007D3" w:rsidRPr="000007D3">
        <w:rPr>
          <w:rFonts w:ascii="Calibri" w:eastAsia="Calibri" w:hAnsi="Calibri" w:cs="Calibri"/>
        </w:rPr>
        <w:t>fatig</w:t>
      </w:r>
      <w:r w:rsidR="00B80E06">
        <w:rPr>
          <w:rFonts w:ascii="Calibri" w:eastAsia="Calibri" w:hAnsi="Calibri" w:cs="Calibri"/>
        </w:rPr>
        <w:t>ue, pain, cramps, convulsions, hallucinations,</w:t>
      </w:r>
      <w:r w:rsidR="000007D3" w:rsidRPr="000007D3">
        <w:rPr>
          <w:rFonts w:ascii="Calibri" w:eastAsia="Calibri" w:hAnsi="Calibri" w:cs="Calibri"/>
        </w:rPr>
        <w:t xml:space="preserve"> </w:t>
      </w:r>
      <w:proofErr w:type="spellStart"/>
      <w:r w:rsidR="000007D3" w:rsidRPr="000007D3">
        <w:rPr>
          <w:rFonts w:ascii="Calibri" w:eastAsia="Calibri" w:hAnsi="Calibri" w:cs="Calibri"/>
        </w:rPr>
        <w:t>torsades</w:t>
      </w:r>
      <w:proofErr w:type="spellEnd"/>
      <w:r w:rsidR="000007D3" w:rsidRPr="000007D3">
        <w:rPr>
          <w:rFonts w:ascii="Calibri" w:eastAsia="Calibri" w:hAnsi="Calibri" w:cs="Calibri"/>
        </w:rPr>
        <w:t xml:space="preserve"> de pointe</w:t>
      </w:r>
      <w:r>
        <w:rPr>
          <w:rFonts w:ascii="Calibri" w:eastAsia="Calibri" w:hAnsi="Calibri" w:cs="Calibri"/>
        </w:rPr>
        <w:t>s</w:t>
      </w:r>
      <w:r w:rsidR="000007D3" w:rsidRPr="000007D3">
        <w:rPr>
          <w:rFonts w:ascii="Calibri" w:eastAsia="Calibri" w:hAnsi="Calibri" w:cs="Calibri"/>
        </w:rPr>
        <w:t xml:space="preserve">. In chronic deficiency, symptoms </w:t>
      </w:r>
      <w:r w:rsidR="00B80E06">
        <w:rPr>
          <w:rFonts w:ascii="Calibri" w:eastAsia="Calibri" w:hAnsi="Calibri" w:cs="Calibri"/>
        </w:rPr>
        <w:t>are</w:t>
      </w:r>
      <w:r w:rsidR="000007D3" w:rsidRPr="000007D3">
        <w:rPr>
          <w:rFonts w:ascii="Calibri" w:eastAsia="Calibri" w:hAnsi="Calibri" w:cs="Calibri"/>
        </w:rPr>
        <w:t xml:space="preserve"> insidious in onset, less severe and non-specific (2).</w:t>
      </w:r>
      <w:r w:rsidR="000007D3" w:rsidRPr="000007D3">
        <w:rPr>
          <w:rFonts w:ascii="Calibri" w:eastAsia="Calibri" w:hAnsi="Calibri" w:cs="Calibri"/>
          <w:color w:val="0000FF"/>
        </w:rPr>
        <w:t xml:space="preserve"> </w:t>
      </w:r>
      <w:r w:rsidR="000007D3" w:rsidRPr="000007D3">
        <w:rPr>
          <w:rFonts w:ascii="Calibri" w:eastAsia="Calibri" w:hAnsi="Calibri" w:cs="Calibri"/>
        </w:rPr>
        <w:t>The most frequent cause</w:t>
      </w:r>
      <w:r w:rsidR="00B80E06">
        <w:rPr>
          <w:rFonts w:ascii="Calibri" w:eastAsia="Calibri" w:hAnsi="Calibri" w:cs="Calibri"/>
        </w:rPr>
        <w:t>s</w:t>
      </w:r>
      <w:r w:rsidR="000007D3" w:rsidRPr="000007D3">
        <w:rPr>
          <w:rFonts w:ascii="Calibri" w:eastAsia="Calibri" w:hAnsi="Calibri" w:cs="Calibri"/>
        </w:rPr>
        <w:t xml:space="preserve"> in pa</w:t>
      </w:r>
      <w:r w:rsidR="00B80E06">
        <w:rPr>
          <w:rFonts w:ascii="Calibri" w:eastAsia="Calibri" w:hAnsi="Calibri" w:cs="Calibri"/>
        </w:rPr>
        <w:t>tients with advanced disease are</w:t>
      </w:r>
      <w:r w:rsidR="000007D3" w:rsidRPr="000007D3">
        <w:rPr>
          <w:rFonts w:ascii="Calibri" w:eastAsia="Calibri" w:hAnsi="Calibri" w:cs="Calibri"/>
        </w:rPr>
        <w:t xml:space="preserve"> the use of cisplatin, cetuxi</w:t>
      </w:r>
      <w:r w:rsidR="00B80E06">
        <w:rPr>
          <w:rFonts w:ascii="Calibri" w:eastAsia="Calibri" w:hAnsi="Calibri" w:cs="Calibri"/>
        </w:rPr>
        <w:t xml:space="preserve">mab and proton pump inhibitors </w:t>
      </w:r>
      <w:r w:rsidR="000007D3" w:rsidRPr="000007D3">
        <w:rPr>
          <w:rFonts w:ascii="Calibri" w:eastAsia="Calibri" w:hAnsi="Calibri" w:cs="Calibri"/>
        </w:rPr>
        <w:t>(1).</w:t>
      </w:r>
    </w:p>
    <w:p w14:paraId="684FA6BB" w14:textId="77777777" w:rsidR="000007D3" w:rsidRPr="000007D3" w:rsidRDefault="000007D3" w:rsidP="000007D3">
      <w:pPr>
        <w:widowControl w:val="0"/>
        <w:autoSpaceDE w:val="0"/>
        <w:autoSpaceDN w:val="0"/>
        <w:adjustRightInd w:val="0"/>
        <w:jc w:val="both"/>
        <w:rPr>
          <w:rFonts w:ascii="Calibri" w:eastAsia="Calibri" w:hAnsi="Calibri" w:cs="Calibri"/>
        </w:rPr>
      </w:pPr>
    </w:p>
    <w:p w14:paraId="52BC374A" w14:textId="6F1576D5" w:rsidR="000007D3" w:rsidRPr="000007D3" w:rsidRDefault="000007D3" w:rsidP="000007D3">
      <w:pPr>
        <w:widowControl w:val="0"/>
        <w:autoSpaceDE w:val="0"/>
        <w:autoSpaceDN w:val="0"/>
        <w:adjustRightInd w:val="0"/>
        <w:jc w:val="both"/>
        <w:rPr>
          <w:rFonts w:ascii="Calibri" w:eastAsia="Calibri" w:hAnsi="Calibri" w:cs="Calibri"/>
          <w:color w:val="0000FF"/>
        </w:rPr>
      </w:pPr>
      <w:r w:rsidRPr="000007D3">
        <w:rPr>
          <w:rFonts w:ascii="Calibri" w:eastAsia="Calibri" w:hAnsi="Calibri" w:cs="Calibri"/>
        </w:rPr>
        <w:t xml:space="preserve">It is thought that magnesium can impact both inflammatory and neuropathic pains through a number of mechanisms. In the spinal dorsal horn magnesium can: decrease N-methyl-D-aspartic acid (NMDA) receptor activity by blocking the receptor-coupled calcium channel, </w:t>
      </w:r>
      <w:r w:rsidR="00243DC4" w:rsidRPr="000007D3">
        <w:rPr>
          <w:rFonts w:ascii="Calibri" w:eastAsia="Calibri" w:hAnsi="Calibri" w:cs="Calibri"/>
        </w:rPr>
        <w:t>allosteric</w:t>
      </w:r>
      <w:r w:rsidR="00243DC4">
        <w:rPr>
          <w:rFonts w:ascii="Calibri" w:eastAsia="Calibri" w:hAnsi="Calibri" w:cs="Calibri"/>
        </w:rPr>
        <w:t xml:space="preserve">ally </w:t>
      </w:r>
      <w:proofErr w:type="spellStart"/>
      <w:r w:rsidR="00243DC4" w:rsidRPr="000007D3">
        <w:rPr>
          <w:rFonts w:ascii="Calibri" w:eastAsia="Calibri" w:hAnsi="Calibri" w:cs="Calibri"/>
        </w:rPr>
        <w:t>antagonising</w:t>
      </w:r>
      <w:proofErr w:type="spellEnd"/>
      <w:r w:rsidRPr="000007D3">
        <w:rPr>
          <w:rFonts w:ascii="Calibri" w:eastAsia="Calibri" w:hAnsi="Calibri" w:cs="Calibri"/>
        </w:rPr>
        <w:t xml:space="preserve"> action on the receptor;</w:t>
      </w:r>
      <w:r w:rsidR="00FA341E">
        <w:rPr>
          <w:rFonts w:ascii="Calibri" w:eastAsia="Calibri" w:hAnsi="Calibri" w:cs="Calibri"/>
        </w:rPr>
        <w:t xml:space="preserve"> </w:t>
      </w:r>
      <w:r w:rsidRPr="000007D3">
        <w:rPr>
          <w:rFonts w:ascii="Calibri" w:eastAsia="Calibri" w:hAnsi="Calibri" w:cs="Calibri"/>
        </w:rPr>
        <w:t>reduc</w:t>
      </w:r>
      <w:r w:rsidR="00243DC4">
        <w:rPr>
          <w:rFonts w:ascii="Calibri" w:eastAsia="Calibri" w:hAnsi="Calibri" w:cs="Calibri"/>
        </w:rPr>
        <w:t>e</w:t>
      </w:r>
      <w:r w:rsidRPr="000007D3">
        <w:rPr>
          <w:rFonts w:ascii="Calibri" w:eastAsia="Calibri" w:hAnsi="Calibri" w:cs="Calibri"/>
        </w:rPr>
        <w:t xml:space="preserve"> spinal cord NMDA receptor phosphorylation; decrease the production of substance P thus diminishing its pro-inflammatory action; potentiate the action of morphine in the presynaptic area of the dorsal horn; </w:t>
      </w:r>
      <w:r w:rsidR="00243DC4">
        <w:rPr>
          <w:rFonts w:ascii="Calibri" w:eastAsia="Calibri" w:hAnsi="Calibri" w:cs="Calibri"/>
        </w:rPr>
        <w:t xml:space="preserve">and </w:t>
      </w:r>
      <w:r w:rsidRPr="000007D3">
        <w:rPr>
          <w:rFonts w:ascii="Calibri" w:eastAsia="Calibri" w:hAnsi="Calibri" w:cs="Calibri"/>
        </w:rPr>
        <w:t xml:space="preserve">reduce </w:t>
      </w:r>
      <w:r w:rsidR="00243DC4">
        <w:rPr>
          <w:rFonts w:ascii="Calibri" w:eastAsia="Calibri" w:hAnsi="Calibri" w:cs="Calibri"/>
        </w:rPr>
        <w:t xml:space="preserve">the </w:t>
      </w:r>
      <w:r w:rsidRPr="000007D3">
        <w:rPr>
          <w:rFonts w:ascii="Calibri" w:eastAsia="Calibri" w:hAnsi="Calibri" w:cs="Calibri"/>
        </w:rPr>
        <w:t>activity of other presynaptic or postsynaptic calcium channels. The peripheral actions of magnesium include a reduction of thromboxane A2 (pro-inflammatory) and the synthesis of certain cytokines e.g. TNF alpha (3). In animal studies, magnesium deficiency results in a pro-inflammatory state including hyperalgesia (4). This is thought to relate to magnesium acting as a natural ‘calcium antagonist’. With decreasing magnesium levels</w:t>
      </w:r>
      <w:r w:rsidR="00243DC4">
        <w:rPr>
          <w:rFonts w:ascii="Calibri" w:eastAsia="Calibri" w:hAnsi="Calibri" w:cs="Calibri"/>
        </w:rPr>
        <w:t>,</w:t>
      </w:r>
      <w:r w:rsidRPr="000007D3">
        <w:rPr>
          <w:rFonts w:ascii="Calibri" w:eastAsia="Calibri" w:hAnsi="Calibri" w:cs="Calibri"/>
        </w:rPr>
        <w:t xml:space="preserve"> intracellular calcium levels increase</w:t>
      </w:r>
      <w:r w:rsidR="007F1444">
        <w:rPr>
          <w:rFonts w:ascii="Calibri" w:eastAsia="Calibri" w:hAnsi="Calibri" w:cs="Calibri"/>
        </w:rPr>
        <w:t>,</w:t>
      </w:r>
      <w:r w:rsidRPr="000007D3">
        <w:rPr>
          <w:rFonts w:ascii="Calibri" w:eastAsia="Calibri" w:hAnsi="Calibri" w:cs="Calibri"/>
        </w:rPr>
        <w:t xml:space="preserve"> activating processes </w:t>
      </w:r>
      <w:r w:rsidR="007F1444">
        <w:rPr>
          <w:rFonts w:ascii="Calibri" w:eastAsia="Calibri" w:hAnsi="Calibri" w:cs="Calibri"/>
        </w:rPr>
        <w:t>that</w:t>
      </w:r>
      <w:r w:rsidRPr="000007D3">
        <w:rPr>
          <w:rFonts w:ascii="Calibri" w:eastAsia="Calibri" w:hAnsi="Calibri" w:cs="Calibri"/>
        </w:rPr>
        <w:t xml:space="preserve"> contribute to inflammation (2).</w:t>
      </w:r>
    </w:p>
    <w:p w14:paraId="19A1E62E" w14:textId="77777777" w:rsidR="000007D3" w:rsidRPr="000007D3" w:rsidRDefault="000007D3" w:rsidP="000007D3">
      <w:pPr>
        <w:widowControl w:val="0"/>
        <w:autoSpaceDE w:val="0"/>
        <w:autoSpaceDN w:val="0"/>
        <w:adjustRightInd w:val="0"/>
        <w:jc w:val="both"/>
        <w:rPr>
          <w:rFonts w:ascii="Calibri" w:eastAsia="Calibri" w:hAnsi="Calibri" w:cs="Calibri"/>
          <w:color w:val="008000"/>
        </w:rPr>
      </w:pPr>
    </w:p>
    <w:p w14:paraId="73083372" w14:textId="061747A7" w:rsidR="000007D3" w:rsidRDefault="003740F5" w:rsidP="000007D3">
      <w:pPr>
        <w:jc w:val="both"/>
        <w:rPr>
          <w:rFonts w:ascii="Calibri" w:eastAsia="Calibri" w:hAnsi="Calibri" w:cs="Calibri"/>
        </w:rPr>
      </w:pPr>
      <w:r>
        <w:rPr>
          <w:rFonts w:ascii="Calibri" w:eastAsia="Calibri" w:hAnsi="Calibri" w:cs="Calibri"/>
        </w:rPr>
        <w:t>Research for</w:t>
      </w:r>
      <w:r w:rsidR="000007D3" w:rsidRPr="000007D3">
        <w:rPr>
          <w:rFonts w:ascii="Calibri" w:eastAsia="Calibri" w:hAnsi="Calibri" w:cs="Calibri"/>
        </w:rPr>
        <w:t xml:space="preserve"> magn</w:t>
      </w:r>
      <w:r>
        <w:rPr>
          <w:rFonts w:ascii="Calibri" w:eastAsia="Calibri" w:hAnsi="Calibri" w:cs="Calibri"/>
        </w:rPr>
        <w:t>esium administration on pain is</w:t>
      </w:r>
      <w:r w:rsidR="000007D3" w:rsidRPr="000007D3">
        <w:rPr>
          <w:rFonts w:ascii="Calibri" w:eastAsia="Calibri" w:hAnsi="Calibri" w:cs="Calibri"/>
        </w:rPr>
        <w:t xml:space="preserve"> conflicting. Some authors have reported the lack of any effect of magnesium in pain; </w:t>
      </w:r>
      <w:r>
        <w:rPr>
          <w:rFonts w:ascii="Calibri" w:eastAsia="Calibri" w:hAnsi="Calibri" w:cs="Calibri"/>
        </w:rPr>
        <w:t>other</w:t>
      </w:r>
      <w:r w:rsidR="000007D3" w:rsidRPr="000007D3">
        <w:rPr>
          <w:rFonts w:ascii="Calibri" w:eastAsia="Calibri" w:hAnsi="Calibri" w:cs="Calibri"/>
        </w:rPr>
        <w:t xml:space="preserve"> authors have shown that magnesium can influence pain intensity and consequently the requirement for analgesics or </w:t>
      </w:r>
      <w:proofErr w:type="spellStart"/>
      <w:r w:rsidR="000007D3" w:rsidRPr="000007D3">
        <w:rPr>
          <w:rFonts w:ascii="Calibri" w:eastAsia="Calibri" w:hAnsi="Calibri" w:cs="Calibri"/>
        </w:rPr>
        <w:t>anaesthetic</w:t>
      </w:r>
      <w:proofErr w:type="spellEnd"/>
      <w:r w:rsidR="000007D3" w:rsidRPr="000007D3">
        <w:rPr>
          <w:rFonts w:ascii="Calibri" w:eastAsia="Calibri" w:hAnsi="Calibri" w:cs="Calibri"/>
        </w:rPr>
        <w:t xml:space="preserve"> drugs (3). This was recently reviewed by Centeno &amp; </w:t>
      </w:r>
      <w:proofErr w:type="spellStart"/>
      <w:r w:rsidR="000007D3" w:rsidRPr="000007D3">
        <w:rPr>
          <w:rFonts w:ascii="Calibri" w:eastAsia="Calibri" w:hAnsi="Calibri" w:cs="Calibri"/>
        </w:rPr>
        <w:t>López</w:t>
      </w:r>
      <w:proofErr w:type="spellEnd"/>
      <w:r w:rsidR="000007D3" w:rsidRPr="000007D3">
        <w:rPr>
          <w:rFonts w:ascii="Calibri" w:eastAsia="Calibri" w:hAnsi="Calibri" w:cs="Calibri"/>
        </w:rPr>
        <w:t xml:space="preserve"> </w:t>
      </w:r>
      <w:proofErr w:type="spellStart"/>
      <w:r w:rsidR="000007D3" w:rsidRPr="000007D3">
        <w:rPr>
          <w:rFonts w:ascii="Calibri" w:eastAsia="Calibri" w:hAnsi="Calibri" w:cs="Calibri"/>
        </w:rPr>
        <w:t>Saca</w:t>
      </w:r>
      <w:proofErr w:type="spellEnd"/>
      <w:r w:rsidR="000007D3" w:rsidRPr="000007D3">
        <w:rPr>
          <w:rFonts w:ascii="Calibri" w:eastAsia="Calibri" w:hAnsi="Calibri" w:cs="Calibri"/>
        </w:rPr>
        <w:t xml:space="preserve"> (1).</w:t>
      </w:r>
      <w:r>
        <w:rPr>
          <w:rFonts w:ascii="Calibri" w:eastAsia="Calibri" w:hAnsi="Calibri" w:cs="Calibri"/>
        </w:rPr>
        <w:t xml:space="preserve"> None of the studies looked at patients with hypomagnesaemia.</w:t>
      </w:r>
    </w:p>
    <w:p w14:paraId="1CAA9A39" w14:textId="77777777" w:rsidR="000007D3" w:rsidRDefault="000007D3" w:rsidP="000007D3">
      <w:pPr>
        <w:jc w:val="both"/>
        <w:rPr>
          <w:rFonts w:ascii="Calibri" w:eastAsia="Calibri" w:hAnsi="Calibri" w:cs="Calibri"/>
        </w:rPr>
      </w:pPr>
    </w:p>
    <w:p w14:paraId="57EB2F48"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b/>
          <w:bCs/>
        </w:rPr>
      </w:pPr>
      <w:r w:rsidRPr="000007D3">
        <w:rPr>
          <w:rFonts w:ascii="Calibri" w:eastAsia="Calibri" w:hAnsi="Calibri" w:cs="Calibri"/>
          <w:b/>
          <w:bCs/>
        </w:rPr>
        <w:t>Case 1</w:t>
      </w:r>
    </w:p>
    <w:p w14:paraId="7481CE4C"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b/>
          <w:bCs/>
        </w:rPr>
        <w:t>Case presentation</w:t>
      </w:r>
    </w:p>
    <w:p w14:paraId="32D41E17" w14:textId="5940334E"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rPr>
        <w:t xml:space="preserve">73-year-old male </w:t>
      </w:r>
      <w:r w:rsidR="00387F64" w:rsidRPr="000007D3">
        <w:rPr>
          <w:rFonts w:ascii="Calibri" w:eastAsia="Calibri" w:hAnsi="Calibri" w:cs="Calibri"/>
        </w:rPr>
        <w:t>admitted to optimize his analgesia and for consideration of ketamine infusion.</w:t>
      </w:r>
      <w:r w:rsidR="00387F64">
        <w:rPr>
          <w:rFonts w:ascii="Calibri" w:eastAsia="Calibri" w:hAnsi="Calibri" w:cs="Calibri"/>
        </w:rPr>
        <w:t xml:space="preserve"> </w:t>
      </w:r>
      <w:r w:rsidRPr="000007D3">
        <w:rPr>
          <w:rFonts w:ascii="Calibri" w:eastAsia="Calibri" w:hAnsi="Calibri" w:cs="Calibri"/>
        </w:rPr>
        <w:t>He had N</w:t>
      </w:r>
      <w:r w:rsidR="003740F5">
        <w:rPr>
          <w:rFonts w:ascii="Calibri" w:eastAsia="Calibri" w:hAnsi="Calibri" w:cs="Calibri"/>
        </w:rPr>
        <w:t>on-</w:t>
      </w:r>
      <w:r w:rsidRPr="000007D3">
        <w:rPr>
          <w:rFonts w:ascii="Calibri" w:eastAsia="Calibri" w:hAnsi="Calibri" w:cs="Calibri"/>
        </w:rPr>
        <w:t>S</w:t>
      </w:r>
      <w:r w:rsidR="003740F5">
        <w:rPr>
          <w:rFonts w:ascii="Calibri" w:eastAsia="Calibri" w:hAnsi="Calibri" w:cs="Calibri"/>
        </w:rPr>
        <w:t xml:space="preserve">mall </w:t>
      </w:r>
      <w:r w:rsidRPr="000007D3">
        <w:rPr>
          <w:rFonts w:ascii="Calibri" w:eastAsia="Calibri" w:hAnsi="Calibri" w:cs="Calibri"/>
        </w:rPr>
        <w:t>C</w:t>
      </w:r>
      <w:r w:rsidR="003740F5">
        <w:rPr>
          <w:rFonts w:ascii="Calibri" w:eastAsia="Calibri" w:hAnsi="Calibri" w:cs="Calibri"/>
        </w:rPr>
        <w:t xml:space="preserve">ell </w:t>
      </w:r>
      <w:r w:rsidRPr="000007D3">
        <w:rPr>
          <w:rFonts w:ascii="Calibri" w:eastAsia="Calibri" w:hAnsi="Calibri" w:cs="Calibri"/>
        </w:rPr>
        <w:t>L</w:t>
      </w:r>
      <w:r w:rsidR="003740F5">
        <w:rPr>
          <w:rFonts w:ascii="Calibri" w:eastAsia="Calibri" w:hAnsi="Calibri" w:cs="Calibri"/>
        </w:rPr>
        <w:t xml:space="preserve">ung </w:t>
      </w:r>
      <w:r w:rsidRPr="000007D3">
        <w:rPr>
          <w:rFonts w:ascii="Calibri" w:eastAsia="Calibri" w:hAnsi="Calibri" w:cs="Calibri"/>
        </w:rPr>
        <w:t>C</w:t>
      </w:r>
      <w:r w:rsidR="003740F5">
        <w:rPr>
          <w:rFonts w:ascii="Calibri" w:eastAsia="Calibri" w:hAnsi="Calibri" w:cs="Calibri"/>
        </w:rPr>
        <w:t>ancer</w:t>
      </w:r>
      <w:r w:rsidRPr="000007D3">
        <w:rPr>
          <w:rFonts w:ascii="Calibri" w:eastAsia="Calibri" w:hAnsi="Calibri" w:cs="Calibri"/>
        </w:rPr>
        <w:t xml:space="preserve"> with bone metastases and </w:t>
      </w:r>
      <w:r w:rsidR="00387F64" w:rsidRPr="000007D3">
        <w:rPr>
          <w:rFonts w:ascii="Calibri" w:eastAsia="Calibri" w:hAnsi="Calibri" w:cs="Calibri"/>
        </w:rPr>
        <w:t>presented with increasing left sub-scapular pain secondary to a new scapular metast</w:t>
      </w:r>
      <w:r w:rsidR="00387F64">
        <w:rPr>
          <w:rFonts w:ascii="Calibri" w:eastAsia="Calibri" w:hAnsi="Calibri" w:cs="Calibri"/>
        </w:rPr>
        <w:t xml:space="preserve">asis. </w:t>
      </w:r>
    </w:p>
    <w:p w14:paraId="0E93222A"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b/>
          <w:bCs/>
        </w:rPr>
        <w:t xml:space="preserve">Case management </w:t>
      </w:r>
    </w:p>
    <w:p w14:paraId="3D925583"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rPr>
        <w:lastRenderedPageBreak/>
        <w:t xml:space="preserve">On admission, his analgesic medications included; oxycodone MR 50mg </w:t>
      </w:r>
      <w:proofErr w:type="spellStart"/>
      <w:r w:rsidRPr="000007D3">
        <w:rPr>
          <w:rFonts w:ascii="Calibri" w:eastAsia="Calibri" w:hAnsi="Calibri" w:cs="Calibri"/>
        </w:rPr>
        <w:t>bd</w:t>
      </w:r>
      <w:proofErr w:type="spellEnd"/>
      <w:r w:rsidRPr="000007D3">
        <w:rPr>
          <w:rFonts w:ascii="Calibri" w:eastAsia="Calibri" w:hAnsi="Calibri" w:cs="Calibri"/>
        </w:rPr>
        <w:t xml:space="preserve">, </w:t>
      </w:r>
      <w:proofErr w:type="spellStart"/>
      <w:r w:rsidRPr="000007D3">
        <w:rPr>
          <w:rFonts w:ascii="Calibri" w:eastAsia="Calibri" w:hAnsi="Calibri" w:cs="Calibri"/>
        </w:rPr>
        <w:t>pregabalin</w:t>
      </w:r>
      <w:proofErr w:type="spellEnd"/>
      <w:r w:rsidRPr="000007D3">
        <w:rPr>
          <w:rFonts w:ascii="Calibri" w:eastAsia="Calibri" w:hAnsi="Calibri" w:cs="Calibri"/>
        </w:rPr>
        <w:t xml:space="preserve"> 100mg </w:t>
      </w:r>
      <w:proofErr w:type="spellStart"/>
      <w:r w:rsidRPr="000007D3">
        <w:rPr>
          <w:rFonts w:ascii="Calibri" w:eastAsia="Calibri" w:hAnsi="Calibri" w:cs="Calibri"/>
        </w:rPr>
        <w:t>bd</w:t>
      </w:r>
      <w:proofErr w:type="spellEnd"/>
      <w:r w:rsidRPr="000007D3">
        <w:rPr>
          <w:rFonts w:ascii="Calibri" w:eastAsia="Calibri" w:hAnsi="Calibri" w:cs="Calibri"/>
        </w:rPr>
        <w:t xml:space="preserve">, paracetamol 1g PRN </w:t>
      </w:r>
      <w:proofErr w:type="spellStart"/>
      <w:r w:rsidRPr="000007D3">
        <w:rPr>
          <w:rFonts w:ascii="Calibri" w:eastAsia="Calibri" w:hAnsi="Calibri" w:cs="Calibri"/>
        </w:rPr>
        <w:t>qds</w:t>
      </w:r>
      <w:proofErr w:type="spellEnd"/>
      <w:r w:rsidRPr="000007D3">
        <w:rPr>
          <w:rFonts w:ascii="Calibri" w:eastAsia="Calibri" w:hAnsi="Calibri" w:cs="Calibri"/>
        </w:rPr>
        <w:t xml:space="preserve">, naproxen 500mg </w:t>
      </w:r>
      <w:proofErr w:type="spellStart"/>
      <w:r w:rsidRPr="000007D3">
        <w:rPr>
          <w:rFonts w:ascii="Calibri" w:eastAsia="Calibri" w:hAnsi="Calibri" w:cs="Calibri"/>
        </w:rPr>
        <w:t>bd</w:t>
      </w:r>
      <w:proofErr w:type="spellEnd"/>
      <w:r w:rsidRPr="000007D3">
        <w:rPr>
          <w:rFonts w:ascii="Calibri" w:eastAsia="Calibri" w:hAnsi="Calibri" w:cs="Calibri"/>
        </w:rPr>
        <w:t xml:space="preserve"> and oxycodone IR 10mg PRN. A 5% lidocaine plaster was added on the day of admission to provide local analgesia. </w:t>
      </w:r>
    </w:p>
    <w:p w14:paraId="31E75B88"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rPr>
        <w:t>Routine bloods taken on day 1 showed: Corrected Calcium 1.94mmol/L and Magnesium 0.19mmol/L. Other biochemistry was unremarkable. The patient was asymptomatic from a hypomagnesaemia perspective and was treated with 20mmols magnesium IV on day 2 of the admission. Repeat magnesium level was 0.86</w:t>
      </w:r>
      <w:r w:rsidR="00243DC4">
        <w:rPr>
          <w:rFonts w:ascii="Calibri" w:eastAsia="Calibri" w:hAnsi="Calibri" w:cs="Calibri"/>
        </w:rPr>
        <w:t>mmol/L</w:t>
      </w:r>
      <w:r w:rsidRPr="000007D3">
        <w:rPr>
          <w:rFonts w:ascii="Calibri" w:eastAsia="Calibri" w:hAnsi="Calibri" w:cs="Calibri"/>
        </w:rPr>
        <w:t xml:space="preserve"> on day 4.</w:t>
      </w:r>
    </w:p>
    <w:p w14:paraId="13AF3B30"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rPr>
        <w:t>From days 1 to 3 he required three breakthrough doses of oxycodone IR 20mg per day. Therefore, his oxycodone MR was increased on day 3 to 70mg</w:t>
      </w:r>
      <w:r w:rsidR="00F763C7">
        <w:rPr>
          <w:rFonts w:ascii="Calibri" w:eastAsia="Calibri" w:hAnsi="Calibri" w:cs="Calibri"/>
        </w:rPr>
        <w:t xml:space="preserve"> </w:t>
      </w:r>
      <w:r w:rsidR="00243DC4">
        <w:rPr>
          <w:rFonts w:ascii="Calibri" w:eastAsia="Calibri" w:hAnsi="Calibri" w:cs="Calibri"/>
        </w:rPr>
        <w:t>bd</w:t>
      </w:r>
      <w:r w:rsidRPr="000007D3">
        <w:rPr>
          <w:rFonts w:ascii="Calibri" w:eastAsia="Calibri" w:hAnsi="Calibri" w:cs="Calibri"/>
        </w:rPr>
        <w:t xml:space="preserve">. This was subsequently reduced to 60mg the following day due to nausea. On day 5 he became clinically opioid toxic with no responsible change in his blood biochemistry. His oxycodone MR was decreased from 60 to 40mg </w:t>
      </w:r>
      <w:r w:rsidR="003F0DF8">
        <w:rPr>
          <w:rFonts w:ascii="Calibri" w:eastAsia="Calibri" w:hAnsi="Calibri" w:cs="Calibri"/>
        </w:rPr>
        <w:t>bd</w:t>
      </w:r>
      <w:r w:rsidRPr="000007D3">
        <w:rPr>
          <w:rFonts w:ascii="Calibri" w:eastAsia="Calibri" w:hAnsi="Calibri" w:cs="Calibri"/>
        </w:rPr>
        <w:t>. 24 hours later there was no evidence of opioid toxicity and his pain was well controlled. He required only two doses of oxycodone IR 10mg between days 7 and 12.</w:t>
      </w:r>
    </w:p>
    <w:p w14:paraId="447E5E8E"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rPr>
        <w:t>On day 12 he complained of pain relapse. A repeat magnesium was 0.53mmol/L and he was given another IV infusion of 20mmols magnesium. His pain resolved with no change to his analgesia.</w:t>
      </w:r>
    </w:p>
    <w:p w14:paraId="3EFE3751"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b/>
          <w:bCs/>
        </w:rPr>
      </w:pPr>
      <w:r w:rsidRPr="000007D3">
        <w:rPr>
          <w:rFonts w:ascii="Calibri" w:eastAsia="Calibri" w:hAnsi="Calibri" w:cs="Calibri"/>
          <w:b/>
          <w:bCs/>
        </w:rPr>
        <w:t>Case outcome</w:t>
      </w:r>
    </w:p>
    <w:p w14:paraId="399CEE13" w14:textId="77777777" w:rsid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rPr>
        <w:t xml:space="preserve">He was discharged home on day 14 with a reduced dose of oxycodone 40mg </w:t>
      </w:r>
      <w:proofErr w:type="spellStart"/>
      <w:r w:rsidRPr="000007D3">
        <w:rPr>
          <w:rFonts w:ascii="Calibri" w:eastAsia="Calibri" w:hAnsi="Calibri" w:cs="Calibri"/>
        </w:rPr>
        <w:t>bd</w:t>
      </w:r>
      <w:proofErr w:type="spellEnd"/>
      <w:r w:rsidRPr="000007D3">
        <w:rPr>
          <w:rFonts w:ascii="Calibri" w:eastAsia="Calibri" w:hAnsi="Calibri" w:cs="Calibri"/>
        </w:rPr>
        <w:t xml:space="preserve"> and oral magnesium supplements. After discharge, he had no further reports of pain. He subsequently died 8 days later.</w:t>
      </w:r>
    </w:p>
    <w:p w14:paraId="54662BF6" w14:textId="77777777" w:rsidR="000007D3" w:rsidRDefault="000007D3" w:rsidP="000007D3">
      <w:pPr>
        <w:widowControl w:val="0"/>
        <w:autoSpaceDE w:val="0"/>
        <w:autoSpaceDN w:val="0"/>
        <w:adjustRightInd w:val="0"/>
        <w:spacing w:after="240" w:line="276" w:lineRule="auto"/>
        <w:jc w:val="both"/>
        <w:rPr>
          <w:rFonts w:ascii="Calibri" w:eastAsia="Calibri" w:hAnsi="Calibri" w:cs="Calibri"/>
          <w:b/>
          <w:bCs/>
        </w:rPr>
      </w:pPr>
    </w:p>
    <w:p w14:paraId="6EB16D22"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b/>
          <w:bCs/>
        </w:rPr>
      </w:pPr>
      <w:r w:rsidRPr="000007D3">
        <w:rPr>
          <w:rFonts w:ascii="Calibri" w:eastAsia="Calibri" w:hAnsi="Calibri" w:cs="Calibri"/>
          <w:b/>
          <w:bCs/>
        </w:rPr>
        <w:t>Case 2</w:t>
      </w:r>
    </w:p>
    <w:p w14:paraId="27B4995B"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b/>
          <w:bCs/>
        </w:rPr>
      </w:pPr>
      <w:r w:rsidRPr="000007D3">
        <w:rPr>
          <w:rFonts w:ascii="Calibri" w:eastAsia="Calibri" w:hAnsi="Calibri" w:cs="Calibri"/>
          <w:b/>
          <w:bCs/>
        </w:rPr>
        <w:t>Case Presentation</w:t>
      </w:r>
    </w:p>
    <w:p w14:paraId="05E430B0" w14:textId="1B7B594F"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rPr>
        <w:t>64-year-old male admitted for pain control. He had large cell neuroendocrine cancer with multiple pulmonary</w:t>
      </w:r>
      <w:r w:rsidR="00FA341E">
        <w:rPr>
          <w:rFonts w:ascii="Calibri" w:eastAsia="Calibri" w:hAnsi="Calibri" w:cs="Calibri"/>
        </w:rPr>
        <w:t xml:space="preserve">, </w:t>
      </w:r>
      <w:r w:rsidRPr="000007D3">
        <w:rPr>
          <w:rFonts w:ascii="Calibri" w:eastAsia="Calibri" w:hAnsi="Calibri" w:cs="Calibri"/>
        </w:rPr>
        <w:t>vertebral</w:t>
      </w:r>
      <w:r w:rsidR="00FA341E">
        <w:rPr>
          <w:rFonts w:ascii="Calibri" w:eastAsia="Calibri" w:hAnsi="Calibri" w:cs="Calibri"/>
        </w:rPr>
        <w:t xml:space="preserve"> and chest wall</w:t>
      </w:r>
      <w:r w:rsidRPr="000007D3">
        <w:rPr>
          <w:rFonts w:ascii="Calibri" w:eastAsia="Calibri" w:hAnsi="Calibri" w:cs="Calibri"/>
        </w:rPr>
        <w:t xml:space="preserve"> metastases. He had previously received radiotherapy to his spine (T7-9) and sternum for pain control. He had multiple admissions to the hospice over the previous number of months for pain control. </w:t>
      </w:r>
    </w:p>
    <w:p w14:paraId="1E2C71E2"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b/>
          <w:bCs/>
        </w:rPr>
      </w:pPr>
      <w:r w:rsidRPr="000007D3">
        <w:rPr>
          <w:rFonts w:ascii="Calibri" w:eastAsia="Calibri" w:hAnsi="Calibri" w:cs="Calibri"/>
          <w:b/>
          <w:bCs/>
        </w:rPr>
        <w:t>Case Management</w:t>
      </w:r>
    </w:p>
    <w:p w14:paraId="2A19A972" w14:textId="0B91CE15"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rPr>
        <w:t>His analgesia on admission included</w:t>
      </w:r>
      <w:r w:rsidR="00403076">
        <w:rPr>
          <w:rFonts w:ascii="Calibri" w:eastAsia="Calibri" w:hAnsi="Calibri" w:cs="Calibri"/>
        </w:rPr>
        <w:t>; o</w:t>
      </w:r>
      <w:r w:rsidRPr="000007D3">
        <w:rPr>
          <w:rFonts w:ascii="Calibri" w:eastAsia="Calibri" w:hAnsi="Calibri" w:cs="Calibri"/>
        </w:rPr>
        <w:t xml:space="preserve">xycodone MR 130mg </w:t>
      </w:r>
      <w:proofErr w:type="spellStart"/>
      <w:r w:rsidRPr="000007D3">
        <w:rPr>
          <w:rFonts w:ascii="Calibri" w:eastAsia="Calibri" w:hAnsi="Calibri" w:cs="Calibri"/>
        </w:rPr>
        <w:t>bd</w:t>
      </w:r>
      <w:proofErr w:type="spellEnd"/>
      <w:r w:rsidRPr="000007D3">
        <w:rPr>
          <w:rFonts w:ascii="Calibri" w:eastAsia="Calibri" w:hAnsi="Calibri" w:cs="Calibri"/>
        </w:rPr>
        <w:t xml:space="preserve">, </w:t>
      </w:r>
      <w:proofErr w:type="spellStart"/>
      <w:r w:rsidRPr="000007D3">
        <w:rPr>
          <w:rFonts w:ascii="Calibri" w:eastAsia="Calibri" w:hAnsi="Calibri" w:cs="Calibri"/>
        </w:rPr>
        <w:t>pregabalin</w:t>
      </w:r>
      <w:proofErr w:type="spellEnd"/>
      <w:r w:rsidRPr="000007D3">
        <w:rPr>
          <w:rFonts w:ascii="Calibri" w:eastAsia="Calibri" w:hAnsi="Calibri" w:cs="Calibri"/>
        </w:rPr>
        <w:t xml:space="preserve"> 300mg </w:t>
      </w:r>
      <w:proofErr w:type="spellStart"/>
      <w:r w:rsidRPr="000007D3">
        <w:rPr>
          <w:rFonts w:ascii="Calibri" w:eastAsia="Calibri" w:hAnsi="Calibri" w:cs="Calibri"/>
        </w:rPr>
        <w:t>bd</w:t>
      </w:r>
      <w:proofErr w:type="spellEnd"/>
      <w:r w:rsidRPr="000007D3">
        <w:rPr>
          <w:rFonts w:ascii="Calibri" w:eastAsia="Calibri" w:hAnsi="Calibri" w:cs="Calibri"/>
        </w:rPr>
        <w:t xml:space="preserve">, paracetamol 1g </w:t>
      </w:r>
      <w:proofErr w:type="spellStart"/>
      <w:r w:rsidRPr="000007D3">
        <w:rPr>
          <w:rFonts w:ascii="Calibri" w:eastAsia="Calibri" w:hAnsi="Calibri" w:cs="Calibri"/>
        </w:rPr>
        <w:t>qds</w:t>
      </w:r>
      <w:proofErr w:type="spellEnd"/>
      <w:r w:rsidRPr="000007D3">
        <w:rPr>
          <w:rFonts w:ascii="Calibri" w:eastAsia="Calibri" w:hAnsi="Calibri" w:cs="Calibri"/>
        </w:rPr>
        <w:t xml:space="preserve"> and a lidocaine 5% plaster. Prior opioid toxicity prevented </w:t>
      </w:r>
      <w:proofErr w:type="spellStart"/>
      <w:r w:rsidRPr="000007D3">
        <w:rPr>
          <w:rFonts w:ascii="Calibri" w:eastAsia="Calibri" w:hAnsi="Calibri" w:cs="Calibri"/>
        </w:rPr>
        <w:lastRenderedPageBreak/>
        <w:t>uptitration</w:t>
      </w:r>
      <w:proofErr w:type="spellEnd"/>
      <w:r w:rsidRPr="000007D3">
        <w:rPr>
          <w:rFonts w:ascii="Calibri" w:eastAsia="Calibri" w:hAnsi="Calibri" w:cs="Calibri"/>
        </w:rPr>
        <w:t xml:space="preserve"> of his oxycodone, therefore he was rotated to hydromorphone MR 20mg </w:t>
      </w:r>
      <w:proofErr w:type="spellStart"/>
      <w:r w:rsidRPr="000007D3">
        <w:rPr>
          <w:rFonts w:ascii="Calibri" w:eastAsia="Calibri" w:hAnsi="Calibri" w:cs="Calibri"/>
        </w:rPr>
        <w:t>bd</w:t>
      </w:r>
      <w:proofErr w:type="spellEnd"/>
      <w:r w:rsidRPr="000007D3">
        <w:rPr>
          <w:rFonts w:ascii="Calibri" w:eastAsia="Calibri" w:hAnsi="Calibri" w:cs="Calibri"/>
        </w:rPr>
        <w:t xml:space="preserve"> on admission. Hydromorphone IR 6.5mg was used prn for breakthrough pain. Between days 1 and 5, prn hydromorphone was used on average 3 times per day for breakthrough pain. On day 5 hydromorphone MR was increased to 28mg </w:t>
      </w:r>
      <w:proofErr w:type="spellStart"/>
      <w:r w:rsidRPr="000007D3">
        <w:rPr>
          <w:rFonts w:ascii="Calibri" w:eastAsia="Calibri" w:hAnsi="Calibri" w:cs="Calibri"/>
        </w:rPr>
        <w:t>bd</w:t>
      </w:r>
      <w:proofErr w:type="spellEnd"/>
      <w:r w:rsidRPr="000007D3">
        <w:rPr>
          <w:rFonts w:ascii="Calibri" w:eastAsia="Calibri" w:hAnsi="Calibri" w:cs="Calibri"/>
        </w:rPr>
        <w:t xml:space="preserve"> and routine bloods showed a magnesium of 0.48mmol/L with no other biochemical abnormalities.</w:t>
      </w:r>
    </w:p>
    <w:p w14:paraId="358632B0"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rPr>
        <w:t xml:space="preserve">On day 6, this was treated with 20mmol magnesium IV. Between days 7 and 9 his pain was well controlled but he developed intolerable drowsiness (without other signs of opioid toxicity). During this time, his hydromorphone MR dose was reduced to 10mg </w:t>
      </w:r>
      <w:proofErr w:type="spellStart"/>
      <w:r w:rsidRPr="000007D3">
        <w:rPr>
          <w:rFonts w:ascii="Calibri" w:eastAsia="Calibri" w:hAnsi="Calibri" w:cs="Calibri"/>
        </w:rPr>
        <w:t>bd</w:t>
      </w:r>
      <w:proofErr w:type="spellEnd"/>
      <w:r w:rsidRPr="000007D3">
        <w:rPr>
          <w:rFonts w:ascii="Calibri" w:eastAsia="Calibri" w:hAnsi="Calibri" w:cs="Calibri"/>
        </w:rPr>
        <w:t xml:space="preserve"> and his pain remained well controlled. </w:t>
      </w:r>
    </w:p>
    <w:p w14:paraId="78534D38"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rPr>
        <w:t xml:space="preserve">Between days 10 and 13 the patient’s pain remained well controlled with 1 prn dose of hydromorphone IR 2.6mg per day on average. However, the patient requested a rotation back to oxycodone due to concerns about recurrence of his drowsiness. He was therefore recommenced on oxycodone MR 80mg bd. </w:t>
      </w:r>
    </w:p>
    <w:p w14:paraId="2EC661E5" w14:textId="77777777"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b/>
          <w:bCs/>
        </w:rPr>
      </w:pPr>
      <w:r w:rsidRPr="000007D3">
        <w:rPr>
          <w:rFonts w:ascii="Calibri" w:eastAsia="Calibri" w:hAnsi="Calibri" w:cs="Calibri"/>
          <w:b/>
          <w:bCs/>
        </w:rPr>
        <w:t>Case outcome</w:t>
      </w:r>
    </w:p>
    <w:p w14:paraId="0BA64E1C" w14:textId="77777777" w:rsidR="000007D3" w:rsidRDefault="000007D3" w:rsidP="000007D3">
      <w:pPr>
        <w:widowControl w:val="0"/>
        <w:autoSpaceDE w:val="0"/>
        <w:autoSpaceDN w:val="0"/>
        <w:adjustRightInd w:val="0"/>
        <w:spacing w:after="240" w:line="276" w:lineRule="auto"/>
        <w:jc w:val="both"/>
        <w:rPr>
          <w:rFonts w:ascii="Calibri" w:eastAsia="Calibri" w:hAnsi="Calibri" w:cs="Calibri"/>
        </w:rPr>
      </w:pPr>
      <w:r w:rsidRPr="000007D3">
        <w:rPr>
          <w:rFonts w:ascii="Calibri" w:eastAsia="Calibri" w:hAnsi="Calibri" w:cs="Calibri"/>
        </w:rPr>
        <w:t xml:space="preserve">The patient was successfully maintained on 80mg oxycodone MR </w:t>
      </w:r>
      <w:proofErr w:type="spellStart"/>
      <w:r w:rsidRPr="000007D3">
        <w:rPr>
          <w:rFonts w:ascii="Calibri" w:eastAsia="Calibri" w:hAnsi="Calibri" w:cs="Calibri"/>
        </w:rPr>
        <w:t>bd</w:t>
      </w:r>
      <w:proofErr w:type="spellEnd"/>
      <w:r w:rsidRPr="000007D3">
        <w:rPr>
          <w:rFonts w:ascii="Calibri" w:eastAsia="Calibri" w:hAnsi="Calibri" w:cs="Calibri"/>
        </w:rPr>
        <w:t xml:space="preserve"> with good pain control; a significant decrease compared to his admission dosage. He remained in the hospice for a further 4 weeks due to other psychosocial interventions, and was discharged thereafter.</w:t>
      </w:r>
    </w:p>
    <w:p w14:paraId="060F3954" w14:textId="77777777" w:rsidR="000007D3" w:rsidRDefault="000007D3" w:rsidP="000007D3">
      <w:pPr>
        <w:widowControl w:val="0"/>
        <w:autoSpaceDE w:val="0"/>
        <w:autoSpaceDN w:val="0"/>
        <w:adjustRightInd w:val="0"/>
        <w:spacing w:after="240" w:line="276" w:lineRule="auto"/>
        <w:jc w:val="both"/>
        <w:rPr>
          <w:rFonts w:ascii="Calibri" w:eastAsia="Calibri" w:hAnsi="Calibri" w:cs="Calibri"/>
        </w:rPr>
      </w:pPr>
    </w:p>
    <w:p w14:paraId="111704FD" w14:textId="77777777" w:rsidR="000007D3" w:rsidRPr="000007D3" w:rsidRDefault="000007D3" w:rsidP="000007D3">
      <w:pPr>
        <w:widowControl w:val="0"/>
        <w:autoSpaceDE w:val="0"/>
        <w:autoSpaceDN w:val="0"/>
        <w:adjustRightInd w:val="0"/>
        <w:jc w:val="both"/>
        <w:rPr>
          <w:rFonts w:ascii="Calibri" w:eastAsia="Calibri" w:hAnsi="Calibri" w:cs="Calibri"/>
          <w:b/>
          <w:bCs/>
        </w:rPr>
      </w:pPr>
      <w:r w:rsidRPr="000007D3">
        <w:rPr>
          <w:rFonts w:ascii="Calibri" w:eastAsia="Calibri" w:hAnsi="Calibri" w:cs="Calibri"/>
          <w:b/>
          <w:bCs/>
        </w:rPr>
        <w:t>Conclusion</w:t>
      </w:r>
    </w:p>
    <w:p w14:paraId="3B271D9A" w14:textId="77777777" w:rsidR="000007D3" w:rsidRPr="000007D3" w:rsidRDefault="000007D3" w:rsidP="000007D3">
      <w:pPr>
        <w:widowControl w:val="0"/>
        <w:autoSpaceDE w:val="0"/>
        <w:autoSpaceDN w:val="0"/>
        <w:adjustRightInd w:val="0"/>
        <w:jc w:val="both"/>
        <w:rPr>
          <w:rFonts w:ascii="Calibri" w:eastAsia="Calibri" w:hAnsi="Calibri" w:cs="Calibri"/>
        </w:rPr>
      </w:pPr>
      <w:r w:rsidRPr="000007D3">
        <w:rPr>
          <w:rFonts w:ascii="Calibri" w:eastAsia="Calibri" w:hAnsi="Calibri" w:cs="Calibri"/>
        </w:rPr>
        <w:t>Some patients present with pain which is often difficult to treat. Despite many animal studies that have shown magnesium to have numerous sites of action on pain mechanisms, human trials have not consistently demonstrated the efficacy of magnesium as an analgesic.</w:t>
      </w:r>
    </w:p>
    <w:p w14:paraId="66A75F8E" w14:textId="2EF6E2A5" w:rsidR="000007D3" w:rsidRDefault="005925CD" w:rsidP="000007D3">
      <w:pPr>
        <w:widowControl w:val="0"/>
        <w:autoSpaceDE w:val="0"/>
        <w:autoSpaceDN w:val="0"/>
        <w:adjustRightInd w:val="0"/>
        <w:spacing w:after="240" w:line="276" w:lineRule="auto"/>
        <w:ind w:firstLine="720"/>
        <w:jc w:val="both"/>
        <w:rPr>
          <w:rFonts w:ascii="Calibri" w:eastAsia="Calibri" w:hAnsi="Calibri" w:cs="Calibri"/>
        </w:rPr>
      </w:pPr>
      <w:r>
        <w:rPr>
          <w:rFonts w:ascii="Calibri" w:eastAsia="Calibri" w:hAnsi="Calibri" w:cs="Calibri"/>
        </w:rPr>
        <w:t>These two</w:t>
      </w:r>
      <w:r w:rsidR="000007D3" w:rsidRPr="000007D3">
        <w:rPr>
          <w:rFonts w:ascii="Calibri" w:eastAsia="Calibri" w:hAnsi="Calibri" w:cs="Calibri"/>
        </w:rPr>
        <w:t xml:space="preserve"> cases demonstrate that the treatment of hypomagnesaemia may improve pain in patients with advanced cancer. </w:t>
      </w:r>
      <w:r w:rsidR="00182B38">
        <w:rPr>
          <w:rFonts w:ascii="Calibri" w:eastAsia="Calibri" w:hAnsi="Calibri" w:cs="Calibri"/>
        </w:rPr>
        <w:t>H</w:t>
      </w:r>
      <w:r w:rsidR="00182B38" w:rsidRPr="000007D3">
        <w:rPr>
          <w:rFonts w:ascii="Calibri" w:eastAsia="Calibri" w:hAnsi="Calibri" w:cs="Calibri"/>
        </w:rPr>
        <w:t xml:space="preserve">ypomagnesaemia is often </w:t>
      </w:r>
      <w:r w:rsidR="00182B38" w:rsidRPr="00243DC4">
        <w:rPr>
          <w:rFonts w:ascii="Calibri" w:eastAsia="Calibri" w:hAnsi="Calibri" w:cs="Calibri"/>
          <w:lang w:val="en-GB"/>
        </w:rPr>
        <w:t>under recognised</w:t>
      </w:r>
      <w:r w:rsidR="00182B38">
        <w:rPr>
          <w:rFonts w:ascii="Calibri" w:eastAsia="Calibri" w:hAnsi="Calibri" w:cs="Calibri"/>
        </w:rPr>
        <w:t xml:space="preserve"> because serum magnesium levels are</w:t>
      </w:r>
      <w:r w:rsidR="00182B38" w:rsidRPr="000007D3">
        <w:rPr>
          <w:rFonts w:ascii="Calibri" w:eastAsia="Calibri" w:hAnsi="Calibri" w:cs="Calibri"/>
        </w:rPr>
        <w:t xml:space="preserve"> an insensi</w:t>
      </w:r>
      <w:r w:rsidR="00182B38">
        <w:rPr>
          <w:rFonts w:ascii="Calibri" w:eastAsia="Calibri" w:hAnsi="Calibri" w:cs="Calibri"/>
        </w:rPr>
        <w:t>tive guide to total body stores</w:t>
      </w:r>
      <w:r w:rsidR="00182B38" w:rsidRPr="00243DC4">
        <w:rPr>
          <w:rFonts w:ascii="Calibri" w:eastAsia="Calibri" w:hAnsi="Calibri" w:cs="Calibri"/>
        </w:rPr>
        <w:t>.</w:t>
      </w:r>
      <w:r w:rsidR="00182B38">
        <w:rPr>
          <w:rFonts w:ascii="Calibri" w:eastAsia="Calibri" w:hAnsi="Calibri" w:cs="Calibri"/>
        </w:rPr>
        <w:t xml:space="preserve"> </w:t>
      </w:r>
      <w:r w:rsidR="000007D3" w:rsidRPr="000007D3">
        <w:rPr>
          <w:rFonts w:ascii="Calibri" w:eastAsia="Calibri" w:hAnsi="Calibri" w:cs="Calibri"/>
        </w:rPr>
        <w:t xml:space="preserve">These cases suggest that magnesium levels should be assessed in patients with advanced cancer with </w:t>
      </w:r>
      <w:r w:rsidR="00F763C7">
        <w:rPr>
          <w:rFonts w:ascii="Calibri" w:eastAsia="Calibri" w:hAnsi="Calibri" w:cs="Calibri"/>
        </w:rPr>
        <w:t>complex</w:t>
      </w:r>
      <w:r w:rsidR="00F763C7" w:rsidRPr="000007D3">
        <w:rPr>
          <w:rFonts w:ascii="Calibri" w:eastAsia="Calibri" w:hAnsi="Calibri" w:cs="Calibri"/>
        </w:rPr>
        <w:t xml:space="preserve"> </w:t>
      </w:r>
      <w:r w:rsidR="000007D3" w:rsidRPr="000007D3">
        <w:rPr>
          <w:rFonts w:ascii="Calibri" w:eastAsia="Calibri" w:hAnsi="Calibri" w:cs="Calibri"/>
        </w:rPr>
        <w:t>pain or inexplicable neurological symptoms. Further research is needed to determine the effect of treating hypomagnesaemia on pain.</w:t>
      </w:r>
    </w:p>
    <w:p w14:paraId="3E09B6C8" w14:textId="77777777" w:rsidR="00794334" w:rsidRDefault="00794334" w:rsidP="00794334">
      <w:pPr>
        <w:pStyle w:val="BodyA"/>
        <w:spacing w:after="0" w:line="360" w:lineRule="auto"/>
        <w:jc w:val="both"/>
        <w:rPr>
          <w:rFonts w:asciiTheme="majorHAnsi" w:hAnsiTheme="majorHAnsi"/>
          <w:b/>
          <w:bCs/>
          <w:sz w:val="24"/>
          <w:szCs w:val="24"/>
        </w:rPr>
      </w:pPr>
    </w:p>
    <w:p w14:paraId="15B5FB96" w14:textId="77777777" w:rsidR="000007D3" w:rsidRDefault="000007D3" w:rsidP="000007D3">
      <w:pPr>
        <w:widowControl w:val="0"/>
        <w:autoSpaceDE w:val="0"/>
        <w:autoSpaceDN w:val="0"/>
        <w:adjustRightInd w:val="0"/>
        <w:spacing w:after="240" w:line="276" w:lineRule="auto"/>
        <w:jc w:val="both"/>
        <w:rPr>
          <w:rFonts w:ascii="Calibri" w:eastAsia="Calibri" w:hAnsi="Calibri" w:cs="Calibri"/>
        </w:rPr>
      </w:pPr>
    </w:p>
    <w:p w14:paraId="4BA6F354" w14:textId="77777777" w:rsidR="007112C8" w:rsidRDefault="007112C8">
      <w:pPr>
        <w:rPr>
          <w:rFonts w:ascii="Calibri" w:eastAsia="Calibri" w:hAnsi="Calibri" w:cs="Calibri"/>
          <w:b/>
        </w:rPr>
      </w:pPr>
      <w:r>
        <w:rPr>
          <w:rFonts w:ascii="Calibri" w:eastAsia="Calibri" w:hAnsi="Calibri" w:cs="Calibri"/>
          <w:b/>
        </w:rPr>
        <w:br w:type="page"/>
      </w:r>
    </w:p>
    <w:p w14:paraId="018176AC" w14:textId="7C0E4CD8" w:rsidR="000007D3" w:rsidRPr="000007D3" w:rsidRDefault="000007D3" w:rsidP="000007D3">
      <w:pPr>
        <w:widowControl w:val="0"/>
        <w:autoSpaceDE w:val="0"/>
        <w:autoSpaceDN w:val="0"/>
        <w:adjustRightInd w:val="0"/>
        <w:spacing w:after="240" w:line="276" w:lineRule="auto"/>
        <w:jc w:val="both"/>
        <w:rPr>
          <w:rFonts w:ascii="Calibri" w:eastAsia="Calibri" w:hAnsi="Calibri" w:cs="Calibri"/>
          <w:b/>
        </w:rPr>
      </w:pPr>
      <w:bookmarkStart w:id="0" w:name="_GoBack"/>
      <w:bookmarkEnd w:id="0"/>
      <w:r w:rsidRPr="000007D3">
        <w:rPr>
          <w:rFonts w:ascii="Calibri" w:eastAsia="Calibri" w:hAnsi="Calibri" w:cs="Calibri"/>
          <w:b/>
        </w:rPr>
        <w:lastRenderedPageBreak/>
        <w:t>References</w:t>
      </w:r>
    </w:p>
    <w:p w14:paraId="5EB25B68" w14:textId="77777777" w:rsidR="000007D3" w:rsidRPr="000007D3" w:rsidRDefault="000007D3" w:rsidP="000007D3">
      <w:pPr>
        <w:widowControl w:val="0"/>
        <w:autoSpaceDE w:val="0"/>
        <w:autoSpaceDN w:val="0"/>
        <w:adjustRightInd w:val="0"/>
        <w:rPr>
          <w:rFonts w:ascii="Calibri" w:eastAsia="Calibri" w:hAnsi="Calibri" w:cs="Calibri"/>
        </w:rPr>
      </w:pPr>
      <w:r w:rsidRPr="000007D3">
        <w:rPr>
          <w:rFonts w:ascii="Calibri" w:eastAsia="Calibri" w:hAnsi="Calibri" w:cs="Calibri"/>
        </w:rPr>
        <w:t xml:space="preserve">1. Centavo C, </w:t>
      </w:r>
      <w:proofErr w:type="spellStart"/>
      <w:r w:rsidRPr="000007D3">
        <w:rPr>
          <w:rFonts w:ascii="Calibri" w:eastAsia="Calibri" w:hAnsi="Calibri" w:cs="Calibri"/>
        </w:rPr>
        <w:t>López</w:t>
      </w:r>
      <w:proofErr w:type="spellEnd"/>
      <w:r w:rsidRPr="000007D3">
        <w:rPr>
          <w:rFonts w:ascii="Calibri" w:eastAsia="Calibri" w:hAnsi="Calibri" w:cs="Calibri"/>
        </w:rPr>
        <w:t xml:space="preserve"> </w:t>
      </w:r>
      <w:proofErr w:type="spellStart"/>
      <w:r w:rsidRPr="000007D3">
        <w:rPr>
          <w:rFonts w:ascii="Calibri" w:eastAsia="Calibri" w:hAnsi="Calibri" w:cs="Calibri"/>
        </w:rPr>
        <w:t>Saca</w:t>
      </w:r>
      <w:proofErr w:type="spellEnd"/>
      <w:r w:rsidRPr="000007D3">
        <w:rPr>
          <w:rFonts w:ascii="Calibri" w:eastAsia="Calibri" w:hAnsi="Calibri" w:cs="Calibri"/>
        </w:rPr>
        <w:t xml:space="preserve"> JM. An update on the importance of monitoring serum magnesium in advanced disease patients. </w:t>
      </w:r>
      <w:proofErr w:type="spellStart"/>
      <w:r w:rsidRPr="000007D3">
        <w:rPr>
          <w:rFonts w:ascii="Calibri" w:eastAsia="Calibri" w:hAnsi="Calibri" w:cs="Calibri"/>
        </w:rPr>
        <w:t>Curr</w:t>
      </w:r>
      <w:proofErr w:type="spellEnd"/>
      <w:r w:rsidRPr="000007D3">
        <w:rPr>
          <w:rFonts w:ascii="Calibri" w:eastAsia="Calibri" w:hAnsi="Calibri" w:cs="Calibri"/>
        </w:rPr>
        <w:t xml:space="preserve"> </w:t>
      </w:r>
      <w:proofErr w:type="spellStart"/>
      <w:r w:rsidRPr="000007D3">
        <w:rPr>
          <w:rFonts w:ascii="Calibri" w:eastAsia="Calibri" w:hAnsi="Calibri" w:cs="Calibri"/>
        </w:rPr>
        <w:t>Opin</w:t>
      </w:r>
      <w:proofErr w:type="spellEnd"/>
      <w:r w:rsidRPr="000007D3">
        <w:rPr>
          <w:rFonts w:ascii="Calibri" w:eastAsia="Calibri" w:hAnsi="Calibri" w:cs="Calibri"/>
        </w:rPr>
        <w:t xml:space="preserve"> Support </w:t>
      </w:r>
      <w:proofErr w:type="spellStart"/>
      <w:r w:rsidRPr="000007D3">
        <w:rPr>
          <w:rFonts w:ascii="Calibri" w:eastAsia="Calibri" w:hAnsi="Calibri" w:cs="Calibri"/>
        </w:rPr>
        <w:t>Palliat</w:t>
      </w:r>
      <w:proofErr w:type="spellEnd"/>
      <w:r w:rsidRPr="000007D3">
        <w:rPr>
          <w:rFonts w:ascii="Calibri" w:eastAsia="Calibri" w:hAnsi="Calibri" w:cs="Calibri"/>
        </w:rPr>
        <w:t xml:space="preserve"> Care. 2013 Dec;7(4):396-405.</w:t>
      </w:r>
    </w:p>
    <w:p w14:paraId="7B698417" w14:textId="77777777" w:rsidR="000007D3" w:rsidRPr="000007D3" w:rsidRDefault="000007D3" w:rsidP="000007D3">
      <w:pPr>
        <w:widowControl w:val="0"/>
        <w:autoSpaceDE w:val="0"/>
        <w:autoSpaceDN w:val="0"/>
        <w:adjustRightInd w:val="0"/>
        <w:rPr>
          <w:rFonts w:ascii="Calibri" w:eastAsia="Calibri" w:hAnsi="Calibri" w:cs="Calibri"/>
        </w:rPr>
      </w:pPr>
    </w:p>
    <w:p w14:paraId="19FD4D76" w14:textId="77777777" w:rsidR="000007D3" w:rsidRPr="000007D3" w:rsidRDefault="000007D3" w:rsidP="000007D3">
      <w:pPr>
        <w:widowControl w:val="0"/>
        <w:autoSpaceDE w:val="0"/>
        <w:autoSpaceDN w:val="0"/>
        <w:adjustRightInd w:val="0"/>
        <w:rPr>
          <w:rFonts w:ascii="Calibri" w:eastAsia="Calibri" w:hAnsi="Calibri" w:cs="Calibri"/>
        </w:rPr>
      </w:pPr>
      <w:r w:rsidRPr="000007D3">
        <w:rPr>
          <w:rFonts w:ascii="Calibri" w:eastAsia="Calibri" w:hAnsi="Calibri" w:cs="Calibri"/>
        </w:rPr>
        <w:t>2</w:t>
      </w:r>
      <w:r>
        <w:rPr>
          <w:rFonts w:ascii="Calibri" w:eastAsia="Calibri" w:hAnsi="Calibri" w:cs="Calibri"/>
        </w:rPr>
        <w:t>.</w:t>
      </w:r>
      <w:r w:rsidRPr="000007D3">
        <w:rPr>
          <w:rFonts w:ascii="Calibri" w:eastAsia="Calibri" w:hAnsi="Calibri" w:cs="Calibri"/>
        </w:rPr>
        <w:t xml:space="preserve"> Crosby V, Elin RJ, Twycross R, et al. Magnesium</w:t>
      </w:r>
      <w:r w:rsidR="003F0DF8">
        <w:rPr>
          <w:rFonts w:ascii="Calibri" w:eastAsia="Calibri" w:hAnsi="Calibri" w:cs="Calibri"/>
        </w:rPr>
        <w:t>.</w:t>
      </w:r>
      <w:r w:rsidRPr="000007D3">
        <w:rPr>
          <w:rFonts w:ascii="Calibri" w:eastAsia="Calibri" w:hAnsi="Calibri" w:cs="Calibri"/>
        </w:rPr>
        <w:t xml:space="preserve">  J Pain Symptom Manage. 2013 45(1):137-144</w:t>
      </w:r>
    </w:p>
    <w:p w14:paraId="259158F2" w14:textId="77777777" w:rsidR="000007D3" w:rsidRPr="000007D3" w:rsidRDefault="000007D3" w:rsidP="000007D3">
      <w:pPr>
        <w:widowControl w:val="0"/>
        <w:autoSpaceDE w:val="0"/>
        <w:autoSpaceDN w:val="0"/>
        <w:adjustRightInd w:val="0"/>
        <w:rPr>
          <w:rFonts w:ascii="Calibri" w:eastAsia="Calibri" w:hAnsi="Calibri" w:cs="Calibri"/>
        </w:rPr>
      </w:pPr>
    </w:p>
    <w:p w14:paraId="540E14C7" w14:textId="77777777" w:rsidR="000007D3" w:rsidRPr="000007D3" w:rsidRDefault="000007D3" w:rsidP="000007D3">
      <w:pPr>
        <w:widowControl w:val="0"/>
        <w:autoSpaceDE w:val="0"/>
        <w:autoSpaceDN w:val="0"/>
        <w:adjustRightInd w:val="0"/>
        <w:rPr>
          <w:rFonts w:ascii="Calibri" w:eastAsia="Calibri" w:hAnsi="Calibri" w:cs="Calibri"/>
        </w:rPr>
      </w:pPr>
      <w:r w:rsidRPr="000007D3">
        <w:rPr>
          <w:rFonts w:ascii="Calibri" w:eastAsia="Calibri" w:hAnsi="Calibri" w:cs="Calibri"/>
        </w:rPr>
        <w:t>3</w:t>
      </w:r>
      <w:r>
        <w:rPr>
          <w:rFonts w:ascii="Calibri" w:eastAsia="Calibri" w:hAnsi="Calibri" w:cs="Calibri"/>
        </w:rPr>
        <w:t>.</w:t>
      </w:r>
      <w:r w:rsidRPr="000007D3">
        <w:rPr>
          <w:rFonts w:ascii="Calibri" w:eastAsia="Calibri" w:hAnsi="Calibri" w:cs="Calibri"/>
        </w:rPr>
        <w:t xml:space="preserve"> </w:t>
      </w:r>
      <w:proofErr w:type="spellStart"/>
      <w:r w:rsidRPr="000007D3">
        <w:rPr>
          <w:rFonts w:ascii="Calibri" w:eastAsia="Calibri" w:hAnsi="Calibri" w:cs="Calibri"/>
        </w:rPr>
        <w:t>Nechifor</w:t>
      </w:r>
      <w:proofErr w:type="spellEnd"/>
      <w:r w:rsidRPr="000007D3">
        <w:rPr>
          <w:rFonts w:ascii="Calibri" w:eastAsia="Calibri" w:hAnsi="Calibri" w:cs="Calibri"/>
        </w:rPr>
        <w:t xml:space="preserve"> M. Magnesium involvement in pain. </w:t>
      </w:r>
      <w:proofErr w:type="spellStart"/>
      <w:r w:rsidRPr="000007D3">
        <w:rPr>
          <w:rFonts w:ascii="Calibri" w:eastAsia="Calibri" w:hAnsi="Calibri" w:cs="Calibri"/>
        </w:rPr>
        <w:t>Magnes</w:t>
      </w:r>
      <w:proofErr w:type="spellEnd"/>
      <w:r w:rsidRPr="000007D3">
        <w:rPr>
          <w:rFonts w:ascii="Calibri" w:eastAsia="Calibri" w:hAnsi="Calibri" w:cs="Calibri"/>
        </w:rPr>
        <w:t xml:space="preserve"> Res. 2011 Dec;24(4):220-2. </w:t>
      </w:r>
    </w:p>
    <w:p w14:paraId="3B400078" w14:textId="77777777" w:rsidR="000007D3" w:rsidRPr="000007D3" w:rsidRDefault="000007D3" w:rsidP="000007D3">
      <w:pPr>
        <w:widowControl w:val="0"/>
        <w:autoSpaceDE w:val="0"/>
        <w:autoSpaceDN w:val="0"/>
        <w:adjustRightInd w:val="0"/>
        <w:rPr>
          <w:rFonts w:ascii="Calibri" w:eastAsia="Calibri" w:hAnsi="Calibri" w:cs="Calibri"/>
        </w:rPr>
      </w:pPr>
    </w:p>
    <w:p w14:paraId="215EBDD5" w14:textId="77777777" w:rsidR="00CA4417" w:rsidRDefault="000007D3" w:rsidP="000007D3">
      <w:pPr>
        <w:widowControl w:val="0"/>
        <w:autoSpaceDE w:val="0"/>
        <w:autoSpaceDN w:val="0"/>
        <w:adjustRightInd w:val="0"/>
        <w:spacing w:after="240" w:line="276" w:lineRule="auto"/>
        <w:rPr>
          <w:rFonts w:ascii="Calibri" w:eastAsia="Calibri" w:hAnsi="Calibri" w:cs="Calibri"/>
        </w:rPr>
      </w:pPr>
      <w:proofErr w:type="gramStart"/>
      <w:r w:rsidRPr="000007D3">
        <w:rPr>
          <w:rFonts w:ascii="Calibri" w:eastAsia="Calibri" w:hAnsi="Calibri" w:cs="Calibri"/>
        </w:rPr>
        <w:t xml:space="preserve">4 </w:t>
      </w:r>
      <w:r>
        <w:rPr>
          <w:rFonts w:ascii="Calibri" w:eastAsia="Calibri" w:hAnsi="Calibri" w:cs="Calibri"/>
        </w:rPr>
        <w:t>.</w:t>
      </w:r>
      <w:proofErr w:type="spellStart"/>
      <w:r w:rsidRPr="000007D3">
        <w:rPr>
          <w:rFonts w:ascii="Calibri" w:eastAsia="Calibri" w:hAnsi="Calibri" w:cs="Calibri"/>
        </w:rPr>
        <w:t>Dubray</w:t>
      </w:r>
      <w:proofErr w:type="spellEnd"/>
      <w:proofErr w:type="gramEnd"/>
      <w:r w:rsidRPr="000007D3">
        <w:rPr>
          <w:rFonts w:ascii="Calibri" w:eastAsia="Calibri" w:hAnsi="Calibri" w:cs="Calibri"/>
        </w:rPr>
        <w:t xml:space="preserve"> C, </w:t>
      </w:r>
      <w:proofErr w:type="spellStart"/>
      <w:r w:rsidRPr="000007D3">
        <w:rPr>
          <w:rFonts w:ascii="Calibri" w:eastAsia="Calibri" w:hAnsi="Calibri" w:cs="Calibri"/>
        </w:rPr>
        <w:t>Alloui</w:t>
      </w:r>
      <w:proofErr w:type="spellEnd"/>
      <w:r w:rsidRPr="000007D3">
        <w:rPr>
          <w:rFonts w:ascii="Calibri" w:eastAsia="Calibri" w:hAnsi="Calibri" w:cs="Calibri"/>
        </w:rPr>
        <w:t xml:space="preserve"> A, Bardin L, et al. Magnesium deficiency induces an hyperalgesia reversed by the NMDA receptor antagonist MK801. </w:t>
      </w:r>
      <w:proofErr w:type="spellStart"/>
      <w:r w:rsidRPr="000007D3">
        <w:rPr>
          <w:rFonts w:ascii="Calibri" w:eastAsia="Calibri" w:hAnsi="Calibri" w:cs="Calibri"/>
        </w:rPr>
        <w:t>Neuroreport</w:t>
      </w:r>
      <w:proofErr w:type="spellEnd"/>
      <w:r w:rsidRPr="000007D3">
        <w:rPr>
          <w:rFonts w:ascii="Calibri" w:eastAsia="Calibri" w:hAnsi="Calibri" w:cs="Calibri"/>
        </w:rPr>
        <w:t>. 1997 Apr 14;8(6):1383-6.</w:t>
      </w:r>
    </w:p>
    <w:p w14:paraId="4AA55DBC" w14:textId="77777777" w:rsidR="00CA4417" w:rsidRDefault="00CA4417" w:rsidP="000007D3">
      <w:pPr>
        <w:widowControl w:val="0"/>
        <w:autoSpaceDE w:val="0"/>
        <w:autoSpaceDN w:val="0"/>
        <w:adjustRightInd w:val="0"/>
        <w:spacing w:after="240" w:line="276" w:lineRule="auto"/>
        <w:rPr>
          <w:rFonts w:ascii="Calibri" w:eastAsia="Calibri" w:hAnsi="Calibri" w:cs="Calibri"/>
        </w:rPr>
      </w:pPr>
    </w:p>
    <w:p w14:paraId="4509C878" w14:textId="77777777" w:rsidR="00CA4417" w:rsidRPr="00CA4417" w:rsidRDefault="00CA4417" w:rsidP="000007D3">
      <w:pPr>
        <w:widowControl w:val="0"/>
        <w:autoSpaceDE w:val="0"/>
        <w:autoSpaceDN w:val="0"/>
        <w:adjustRightInd w:val="0"/>
        <w:spacing w:after="240" w:line="276" w:lineRule="auto"/>
        <w:rPr>
          <w:rFonts w:ascii="Calibri" w:eastAsia="Calibri" w:hAnsi="Calibri" w:cs="Calibri"/>
          <w:b/>
        </w:rPr>
      </w:pPr>
      <w:r w:rsidRPr="00CA4417">
        <w:rPr>
          <w:rFonts w:ascii="Calibri" w:eastAsia="Calibri" w:hAnsi="Calibri" w:cs="Calibri"/>
          <w:b/>
        </w:rPr>
        <w:t>Declarations</w:t>
      </w:r>
    </w:p>
    <w:p w14:paraId="235C6EE6" w14:textId="77777777" w:rsidR="00CA4417" w:rsidRDefault="00CA4417" w:rsidP="00CA4417">
      <w:pPr>
        <w:pStyle w:val="BodyA"/>
        <w:spacing w:after="0" w:line="360" w:lineRule="auto"/>
        <w:jc w:val="both"/>
        <w:rPr>
          <w:rFonts w:asciiTheme="majorHAnsi" w:hAnsiTheme="majorHAnsi"/>
          <w:b/>
          <w:bCs/>
          <w:sz w:val="24"/>
          <w:szCs w:val="24"/>
        </w:rPr>
      </w:pPr>
      <w:r>
        <w:rPr>
          <w:rFonts w:asciiTheme="majorHAnsi" w:hAnsiTheme="majorHAnsi"/>
          <w:b/>
          <w:bCs/>
          <w:sz w:val="24"/>
          <w:szCs w:val="24"/>
        </w:rPr>
        <w:t>Authorship</w:t>
      </w:r>
    </w:p>
    <w:p w14:paraId="2C173616" w14:textId="77777777" w:rsidR="00CA4417" w:rsidRPr="00EF4DC3" w:rsidRDefault="00CA4417" w:rsidP="00CA4417">
      <w:pPr>
        <w:pStyle w:val="BodyA"/>
        <w:spacing w:after="0" w:line="360" w:lineRule="auto"/>
        <w:jc w:val="both"/>
        <w:rPr>
          <w:rFonts w:asciiTheme="majorHAnsi" w:hAnsiTheme="majorHAnsi"/>
          <w:bCs/>
          <w:sz w:val="24"/>
          <w:szCs w:val="24"/>
        </w:rPr>
      </w:pPr>
      <w:r w:rsidRPr="00EF4DC3">
        <w:rPr>
          <w:rFonts w:asciiTheme="majorHAnsi" w:hAnsiTheme="majorHAnsi"/>
          <w:bCs/>
          <w:sz w:val="24"/>
          <w:szCs w:val="24"/>
        </w:rPr>
        <w:t>SC and DM contributed to the writing of the paper.</w:t>
      </w:r>
    </w:p>
    <w:p w14:paraId="1182BD3E" w14:textId="77777777" w:rsidR="00CA4417" w:rsidRPr="00794334" w:rsidRDefault="00CA4417" w:rsidP="00CA4417">
      <w:pPr>
        <w:pStyle w:val="BodyA"/>
        <w:spacing w:after="0" w:line="360" w:lineRule="auto"/>
        <w:jc w:val="both"/>
        <w:rPr>
          <w:rFonts w:asciiTheme="majorHAnsi" w:eastAsia="Arial" w:hAnsiTheme="majorHAnsi" w:cs="Arial"/>
          <w:b/>
          <w:bCs/>
          <w:sz w:val="24"/>
          <w:szCs w:val="24"/>
        </w:rPr>
      </w:pPr>
      <w:r>
        <w:rPr>
          <w:rFonts w:asciiTheme="majorHAnsi" w:hAnsiTheme="majorHAnsi"/>
          <w:b/>
          <w:bCs/>
          <w:sz w:val="24"/>
          <w:szCs w:val="24"/>
        </w:rPr>
        <w:t>Funding</w:t>
      </w:r>
    </w:p>
    <w:p w14:paraId="5FA29F6E" w14:textId="77777777" w:rsidR="00CA4417" w:rsidRPr="00794334" w:rsidRDefault="00CA4417" w:rsidP="00CA4417">
      <w:pPr>
        <w:pStyle w:val="BodyA"/>
        <w:spacing w:after="0" w:line="360" w:lineRule="auto"/>
        <w:jc w:val="both"/>
        <w:rPr>
          <w:rFonts w:asciiTheme="majorHAnsi" w:hAnsiTheme="majorHAnsi"/>
          <w:sz w:val="24"/>
          <w:szCs w:val="24"/>
        </w:rPr>
      </w:pPr>
      <w:r w:rsidRPr="00794334">
        <w:rPr>
          <w:rFonts w:asciiTheme="majorHAnsi" w:hAnsiTheme="majorHAnsi"/>
          <w:sz w:val="24"/>
          <w:szCs w:val="24"/>
        </w:rPr>
        <w:t xml:space="preserve">This </w:t>
      </w:r>
      <w:r>
        <w:rPr>
          <w:rFonts w:asciiTheme="majorHAnsi" w:hAnsiTheme="majorHAnsi"/>
          <w:sz w:val="24"/>
          <w:szCs w:val="24"/>
        </w:rPr>
        <w:t>work</w:t>
      </w:r>
      <w:r w:rsidRPr="00794334">
        <w:rPr>
          <w:rFonts w:asciiTheme="majorHAnsi" w:hAnsiTheme="majorHAnsi"/>
          <w:sz w:val="24"/>
          <w:szCs w:val="24"/>
        </w:rPr>
        <w:t xml:space="preserve"> received </w:t>
      </w:r>
      <w:r>
        <w:rPr>
          <w:rFonts w:asciiTheme="majorHAnsi" w:hAnsiTheme="majorHAnsi"/>
          <w:sz w:val="24"/>
          <w:szCs w:val="24"/>
        </w:rPr>
        <w:t>no funding</w:t>
      </w:r>
      <w:r w:rsidRPr="00794334">
        <w:rPr>
          <w:rFonts w:asciiTheme="majorHAnsi" w:hAnsiTheme="majorHAnsi"/>
          <w:sz w:val="24"/>
          <w:szCs w:val="24"/>
        </w:rPr>
        <w:t>.</w:t>
      </w:r>
    </w:p>
    <w:p w14:paraId="7CCB29BB" w14:textId="29C498FB" w:rsidR="00CA4417" w:rsidRPr="00EF4DC3" w:rsidRDefault="00CA4417" w:rsidP="00CA4417">
      <w:pPr>
        <w:spacing w:line="360" w:lineRule="auto"/>
        <w:rPr>
          <w:rFonts w:asciiTheme="majorHAnsi" w:hAnsiTheme="majorHAnsi"/>
          <w:szCs w:val="20"/>
        </w:rPr>
      </w:pPr>
      <w:r w:rsidRPr="00EF4DC3">
        <w:rPr>
          <w:rFonts w:asciiTheme="majorHAnsi" w:hAnsiTheme="majorHAnsi"/>
          <w:b/>
          <w:bCs/>
        </w:rPr>
        <w:t xml:space="preserve">Declaration of </w:t>
      </w:r>
      <w:r w:rsidR="00A80796">
        <w:rPr>
          <w:rFonts w:asciiTheme="majorHAnsi" w:hAnsiTheme="majorHAnsi"/>
          <w:b/>
          <w:bCs/>
        </w:rPr>
        <w:t>competing interests</w:t>
      </w:r>
    </w:p>
    <w:p w14:paraId="190CE4EB" w14:textId="37B839EE" w:rsidR="00CA4417" w:rsidRPr="00B50879" w:rsidRDefault="00BA47DE" w:rsidP="00CA4417">
      <w:pPr>
        <w:spacing w:line="360" w:lineRule="auto"/>
        <w:rPr>
          <w:rFonts w:asciiTheme="majorHAnsi" w:hAnsiTheme="majorHAnsi"/>
          <w:szCs w:val="20"/>
        </w:rPr>
      </w:pPr>
      <w:r>
        <w:rPr>
          <w:rFonts w:asciiTheme="majorHAnsi" w:hAnsiTheme="majorHAnsi"/>
          <w:szCs w:val="19"/>
          <w:shd w:val="clear" w:color="auto" w:fill="FFFFFF"/>
        </w:rPr>
        <w:t>The Authors declare</w:t>
      </w:r>
      <w:r w:rsidR="00A80796">
        <w:rPr>
          <w:rFonts w:asciiTheme="majorHAnsi" w:hAnsiTheme="majorHAnsi"/>
          <w:szCs w:val="19"/>
          <w:shd w:val="clear" w:color="auto" w:fill="FFFFFF"/>
        </w:rPr>
        <w:t xml:space="preserve"> that there are no competing</w:t>
      </w:r>
      <w:r w:rsidR="00CA4417" w:rsidRPr="00EF4DC3">
        <w:rPr>
          <w:rFonts w:asciiTheme="majorHAnsi" w:hAnsiTheme="majorHAnsi"/>
          <w:szCs w:val="19"/>
          <w:shd w:val="clear" w:color="auto" w:fill="FFFFFF"/>
        </w:rPr>
        <w:t xml:space="preserve"> interest</w:t>
      </w:r>
      <w:r w:rsidR="00A80796">
        <w:rPr>
          <w:rFonts w:asciiTheme="majorHAnsi" w:hAnsiTheme="majorHAnsi"/>
          <w:szCs w:val="19"/>
          <w:shd w:val="clear" w:color="auto" w:fill="FFFFFF"/>
        </w:rPr>
        <w:t>s</w:t>
      </w:r>
      <w:r w:rsidR="00CA4417" w:rsidRPr="00EF4DC3">
        <w:rPr>
          <w:rFonts w:asciiTheme="majorHAnsi" w:hAnsiTheme="majorHAnsi"/>
          <w:color w:val="333333"/>
          <w:szCs w:val="19"/>
          <w:shd w:val="clear" w:color="auto" w:fill="FFFFFF"/>
        </w:rPr>
        <w:t>.</w:t>
      </w:r>
    </w:p>
    <w:p w14:paraId="1EB6DA20" w14:textId="77777777" w:rsidR="00CA4417" w:rsidRDefault="00CA4417" w:rsidP="00CA4417">
      <w:pPr>
        <w:pStyle w:val="BodyA"/>
        <w:spacing w:after="0" w:line="360" w:lineRule="auto"/>
        <w:jc w:val="both"/>
        <w:rPr>
          <w:rFonts w:asciiTheme="majorHAnsi" w:hAnsiTheme="majorHAnsi"/>
          <w:b/>
          <w:bCs/>
          <w:sz w:val="24"/>
          <w:szCs w:val="24"/>
        </w:rPr>
      </w:pPr>
      <w:r>
        <w:rPr>
          <w:rFonts w:asciiTheme="majorHAnsi" w:hAnsiTheme="majorHAnsi"/>
          <w:b/>
          <w:bCs/>
          <w:sz w:val="24"/>
          <w:szCs w:val="24"/>
        </w:rPr>
        <w:t>Research ethics and patient consent</w:t>
      </w:r>
    </w:p>
    <w:p w14:paraId="67DAAD6D" w14:textId="77777777" w:rsidR="00CA4417" w:rsidRPr="00B50879" w:rsidRDefault="00CA4417" w:rsidP="00CA4417">
      <w:pPr>
        <w:pStyle w:val="BodyA"/>
        <w:spacing w:after="0" w:line="360" w:lineRule="auto"/>
        <w:jc w:val="both"/>
        <w:rPr>
          <w:rFonts w:asciiTheme="majorHAnsi" w:hAnsiTheme="majorHAnsi"/>
          <w:bCs/>
          <w:sz w:val="24"/>
          <w:szCs w:val="24"/>
        </w:rPr>
      </w:pPr>
      <w:r w:rsidRPr="00B50879">
        <w:rPr>
          <w:rFonts w:asciiTheme="majorHAnsi" w:hAnsiTheme="majorHAnsi"/>
          <w:bCs/>
          <w:sz w:val="24"/>
          <w:szCs w:val="24"/>
        </w:rPr>
        <w:t xml:space="preserve">Consent for use of each patient </w:t>
      </w:r>
      <w:r>
        <w:rPr>
          <w:rFonts w:asciiTheme="majorHAnsi" w:hAnsiTheme="majorHAnsi"/>
          <w:bCs/>
          <w:sz w:val="24"/>
          <w:szCs w:val="24"/>
        </w:rPr>
        <w:t xml:space="preserve">details </w:t>
      </w:r>
      <w:r w:rsidRPr="00B50879">
        <w:rPr>
          <w:rFonts w:asciiTheme="majorHAnsi" w:hAnsiTheme="majorHAnsi"/>
          <w:bCs/>
          <w:sz w:val="24"/>
          <w:szCs w:val="24"/>
        </w:rPr>
        <w:t>was obtained from the next of kin as each patient</w:t>
      </w:r>
      <w:r>
        <w:rPr>
          <w:rFonts w:asciiTheme="majorHAnsi" w:hAnsiTheme="majorHAnsi"/>
          <w:bCs/>
          <w:sz w:val="24"/>
          <w:szCs w:val="24"/>
        </w:rPr>
        <w:t xml:space="preserve"> had </w:t>
      </w:r>
      <w:r w:rsidRPr="00B50879">
        <w:rPr>
          <w:rFonts w:asciiTheme="majorHAnsi" w:hAnsiTheme="majorHAnsi"/>
          <w:bCs/>
          <w:sz w:val="24"/>
          <w:szCs w:val="24"/>
        </w:rPr>
        <w:t>subsequently died.</w:t>
      </w:r>
    </w:p>
    <w:p w14:paraId="4B3C2A74" w14:textId="77777777" w:rsidR="00CA4417" w:rsidRPr="00794334" w:rsidRDefault="00CA4417" w:rsidP="00CA4417">
      <w:pPr>
        <w:pStyle w:val="BodyA"/>
        <w:spacing w:after="0" w:line="360" w:lineRule="auto"/>
        <w:jc w:val="both"/>
        <w:rPr>
          <w:rFonts w:asciiTheme="majorHAnsi" w:eastAsia="Arial" w:hAnsiTheme="majorHAnsi" w:cs="Arial"/>
          <w:b/>
          <w:bCs/>
          <w:sz w:val="24"/>
          <w:szCs w:val="24"/>
        </w:rPr>
      </w:pPr>
      <w:r>
        <w:rPr>
          <w:rFonts w:asciiTheme="majorHAnsi" w:hAnsiTheme="majorHAnsi"/>
          <w:b/>
          <w:bCs/>
          <w:sz w:val="24"/>
          <w:szCs w:val="24"/>
        </w:rPr>
        <w:t>Data management and sharing</w:t>
      </w:r>
    </w:p>
    <w:p w14:paraId="5E3587A5" w14:textId="77777777" w:rsidR="00CA4417" w:rsidRPr="00794334" w:rsidRDefault="00CA4417" w:rsidP="00CA4417">
      <w:pPr>
        <w:pStyle w:val="BodyA"/>
        <w:spacing w:after="0" w:line="360" w:lineRule="auto"/>
        <w:jc w:val="both"/>
        <w:rPr>
          <w:rStyle w:val="Red"/>
        </w:rPr>
      </w:pPr>
      <w:r w:rsidRPr="00794334">
        <w:rPr>
          <w:rFonts w:asciiTheme="majorHAnsi" w:hAnsiTheme="majorHAnsi"/>
          <w:sz w:val="24"/>
          <w:szCs w:val="24"/>
        </w:rPr>
        <w:t>No additional data available</w:t>
      </w:r>
    </w:p>
    <w:p w14:paraId="46A1A72C" w14:textId="77777777" w:rsidR="000007D3" w:rsidRDefault="000007D3" w:rsidP="000007D3">
      <w:pPr>
        <w:widowControl w:val="0"/>
        <w:autoSpaceDE w:val="0"/>
        <w:autoSpaceDN w:val="0"/>
        <w:adjustRightInd w:val="0"/>
        <w:spacing w:after="240" w:line="276" w:lineRule="auto"/>
        <w:rPr>
          <w:rFonts w:ascii="Calibri" w:eastAsia="Calibri" w:hAnsi="Calibri" w:cs="Calibri"/>
        </w:rPr>
      </w:pPr>
    </w:p>
    <w:p w14:paraId="429721D8" w14:textId="77777777" w:rsidR="000007D3" w:rsidRPr="000007D3" w:rsidRDefault="000007D3" w:rsidP="000007D3">
      <w:pPr>
        <w:widowControl w:val="0"/>
        <w:autoSpaceDE w:val="0"/>
        <w:autoSpaceDN w:val="0"/>
        <w:adjustRightInd w:val="0"/>
        <w:spacing w:after="240" w:line="276" w:lineRule="auto"/>
        <w:rPr>
          <w:rFonts w:ascii="Cambria" w:eastAsia="Calibri" w:hAnsi="Cambria" w:cs="Cambria"/>
        </w:rPr>
      </w:pPr>
    </w:p>
    <w:p w14:paraId="3AFA33A9" w14:textId="77777777" w:rsidR="00F763C7" w:rsidRDefault="00F763C7" w:rsidP="000007D3"/>
    <w:sectPr w:rsidR="00F763C7" w:rsidSect="00F763C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D3"/>
    <w:rsid w:val="000007D3"/>
    <w:rsid w:val="00182B38"/>
    <w:rsid w:val="001D6D27"/>
    <w:rsid w:val="001F0D4F"/>
    <w:rsid w:val="00243DC4"/>
    <w:rsid w:val="00246F7A"/>
    <w:rsid w:val="00247785"/>
    <w:rsid w:val="00264295"/>
    <w:rsid w:val="002651FB"/>
    <w:rsid w:val="00270478"/>
    <w:rsid w:val="002E0ADA"/>
    <w:rsid w:val="003740F5"/>
    <w:rsid w:val="00387F64"/>
    <w:rsid w:val="003F0DF8"/>
    <w:rsid w:val="00403076"/>
    <w:rsid w:val="00516AF9"/>
    <w:rsid w:val="00566855"/>
    <w:rsid w:val="005925CD"/>
    <w:rsid w:val="00665BFA"/>
    <w:rsid w:val="007112C8"/>
    <w:rsid w:val="00717064"/>
    <w:rsid w:val="00730D81"/>
    <w:rsid w:val="00794334"/>
    <w:rsid w:val="007F1444"/>
    <w:rsid w:val="0081681D"/>
    <w:rsid w:val="008648C0"/>
    <w:rsid w:val="00A80796"/>
    <w:rsid w:val="00AC434B"/>
    <w:rsid w:val="00B21170"/>
    <w:rsid w:val="00B24F5A"/>
    <w:rsid w:val="00B50879"/>
    <w:rsid w:val="00B61855"/>
    <w:rsid w:val="00B80E06"/>
    <w:rsid w:val="00BA47DE"/>
    <w:rsid w:val="00BF1606"/>
    <w:rsid w:val="00BF52B1"/>
    <w:rsid w:val="00CA3D05"/>
    <w:rsid w:val="00CA4417"/>
    <w:rsid w:val="00E35A9D"/>
    <w:rsid w:val="00EF4DC3"/>
    <w:rsid w:val="00F431CA"/>
    <w:rsid w:val="00F763C7"/>
    <w:rsid w:val="00FA341E"/>
    <w:rsid w:val="00FB65D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E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65DA"/>
    <w:rPr>
      <w:sz w:val="16"/>
      <w:szCs w:val="16"/>
    </w:rPr>
  </w:style>
  <w:style w:type="paragraph" w:styleId="CommentText">
    <w:name w:val="annotation text"/>
    <w:basedOn w:val="Normal"/>
    <w:link w:val="CommentTextChar"/>
    <w:uiPriority w:val="99"/>
    <w:semiHidden/>
    <w:unhideWhenUsed/>
    <w:rsid w:val="00FB65DA"/>
    <w:rPr>
      <w:sz w:val="20"/>
      <w:szCs w:val="20"/>
    </w:rPr>
  </w:style>
  <w:style w:type="character" w:customStyle="1" w:styleId="CommentTextChar">
    <w:name w:val="Comment Text Char"/>
    <w:basedOn w:val="DefaultParagraphFont"/>
    <w:link w:val="CommentText"/>
    <w:uiPriority w:val="99"/>
    <w:semiHidden/>
    <w:rsid w:val="00FB65DA"/>
    <w:rPr>
      <w:sz w:val="20"/>
      <w:szCs w:val="20"/>
    </w:rPr>
  </w:style>
  <w:style w:type="paragraph" w:styleId="CommentSubject">
    <w:name w:val="annotation subject"/>
    <w:basedOn w:val="CommentText"/>
    <w:next w:val="CommentText"/>
    <w:link w:val="CommentSubjectChar"/>
    <w:uiPriority w:val="99"/>
    <w:semiHidden/>
    <w:unhideWhenUsed/>
    <w:rsid w:val="00FB65DA"/>
    <w:rPr>
      <w:b/>
      <w:bCs/>
    </w:rPr>
  </w:style>
  <w:style w:type="character" w:customStyle="1" w:styleId="CommentSubjectChar">
    <w:name w:val="Comment Subject Char"/>
    <w:basedOn w:val="CommentTextChar"/>
    <w:link w:val="CommentSubject"/>
    <w:uiPriority w:val="99"/>
    <w:semiHidden/>
    <w:rsid w:val="00FB65DA"/>
    <w:rPr>
      <w:b/>
      <w:bCs/>
      <w:sz w:val="20"/>
      <w:szCs w:val="20"/>
    </w:rPr>
  </w:style>
  <w:style w:type="paragraph" w:styleId="BalloonText">
    <w:name w:val="Balloon Text"/>
    <w:basedOn w:val="Normal"/>
    <w:link w:val="BalloonTextChar"/>
    <w:uiPriority w:val="99"/>
    <w:semiHidden/>
    <w:unhideWhenUsed/>
    <w:rsid w:val="00FB6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DA"/>
    <w:rPr>
      <w:rFonts w:ascii="Segoe UI" w:hAnsi="Segoe UI" w:cs="Segoe UI"/>
      <w:sz w:val="18"/>
      <w:szCs w:val="18"/>
    </w:rPr>
  </w:style>
  <w:style w:type="paragraph" w:customStyle="1" w:styleId="BodyA">
    <w:name w:val="Body A"/>
    <w:link w:val="BodyAChar"/>
    <w:rsid w:val="0079433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Red">
    <w:name w:val="Red"/>
    <w:rsid w:val="00794334"/>
    <w:rPr>
      <w:color w:val="C82505"/>
    </w:rPr>
  </w:style>
  <w:style w:type="character" w:customStyle="1" w:styleId="BodyAChar">
    <w:name w:val="Body A Char"/>
    <w:basedOn w:val="DefaultParagraphFont"/>
    <w:link w:val="BodyA"/>
    <w:rsid w:val="00794334"/>
    <w:rPr>
      <w:rFonts w:ascii="Calibri" w:eastAsia="Calibri" w:hAnsi="Calibri" w:cs="Calibri"/>
      <w:color w:val="000000"/>
      <w:sz w:val="22"/>
      <w:szCs w:val="22"/>
      <w:u w:color="000000"/>
      <w:bdr w:val="nil"/>
    </w:rPr>
  </w:style>
  <w:style w:type="character" w:styleId="Strong">
    <w:name w:val="Strong"/>
    <w:basedOn w:val="DefaultParagraphFont"/>
    <w:uiPriority w:val="22"/>
    <w:rsid w:val="00EF4DC3"/>
    <w:rPr>
      <w:b/>
    </w:rPr>
  </w:style>
  <w:style w:type="character" w:styleId="Emphasis">
    <w:name w:val="Emphasis"/>
    <w:basedOn w:val="DefaultParagraphFont"/>
    <w:uiPriority w:val="20"/>
    <w:rsid w:val="001F0D4F"/>
    <w:rPr>
      <w:i/>
    </w:rPr>
  </w:style>
  <w:style w:type="character" w:styleId="Hyperlink">
    <w:name w:val="Hyperlink"/>
    <w:basedOn w:val="DefaultParagraphFont"/>
    <w:unhideWhenUsed/>
    <w:rsid w:val="00816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6853">
      <w:bodyDiv w:val="1"/>
      <w:marLeft w:val="0"/>
      <w:marRight w:val="0"/>
      <w:marTop w:val="0"/>
      <w:marBottom w:val="0"/>
      <w:divBdr>
        <w:top w:val="none" w:sz="0" w:space="0" w:color="auto"/>
        <w:left w:val="none" w:sz="0" w:space="0" w:color="auto"/>
        <w:bottom w:val="none" w:sz="0" w:space="0" w:color="auto"/>
        <w:right w:val="none" w:sz="0" w:space="0" w:color="auto"/>
      </w:divBdr>
    </w:div>
    <w:div w:id="480196773">
      <w:bodyDiv w:val="1"/>
      <w:marLeft w:val="0"/>
      <w:marRight w:val="0"/>
      <w:marTop w:val="0"/>
      <w:marBottom w:val="0"/>
      <w:divBdr>
        <w:top w:val="none" w:sz="0" w:space="0" w:color="auto"/>
        <w:left w:val="none" w:sz="0" w:space="0" w:color="auto"/>
        <w:bottom w:val="none" w:sz="0" w:space="0" w:color="auto"/>
        <w:right w:val="none" w:sz="0" w:space="0" w:color="auto"/>
      </w:divBdr>
    </w:div>
    <w:div w:id="1081951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oyle@liverpool.ac.uk" TargetMode="External"/><Relationship Id="rId5" Type="http://schemas.openxmlformats.org/officeDocument/2006/relationships/hyperlink" Target="mailto:seamusc@willowbrookhospice.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1429</Words>
  <Characters>8148</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Coyle</dc:creator>
  <cp:keywords/>
  <cp:lastModifiedBy>Seamus Coyle</cp:lastModifiedBy>
  <cp:revision>3</cp:revision>
  <dcterms:created xsi:type="dcterms:W3CDTF">2018-05-04T15:32:00Z</dcterms:created>
  <dcterms:modified xsi:type="dcterms:W3CDTF">2018-05-04T15:42:00Z</dcterms:modified>
</cp:coreProperties>
</file>