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5E5DC" w14:textId="77777777" w:rsidR="00E92B63" w:rsidRDefault="00E92B63" w:rsidP="00AB1890">
      <w:pPr>
        <w:spacing w:line="360" w:lineRule="auto"/>
      </w:pPr>
    </w:p>
    <w:p w14:paraId="45EFDF52" w14:textId="77777777" w:rsidR="00F80788" w:rsidRPr="00CC042C" w:rsidRDefault="00F80788" w:rsidP="00AB1890">
      <w:pPr>
        <w:pStyle w:val="Heading1"/>
        <w:spacing w:before="0" w:after="0" w:line="360" w:lineRule="auto"/>
        <w:rPr>
          <w:sz w:val="36"/>
          <w:szCs w:val="36"/>
        </w:rPr>
      </w:pPr>
      <w:r w:rsidRPr="00CC042C">
        <w:rPr>
          <w:sz w:val="36"/>
          <w:szCs w:val="36"/>
        </w:rPr>
        <w:t xml:space="preserve">Chinese Leadership: Provincial Perspectives on Promotion and Performance </w:t>
      </w:r>
    </w:p>
    <w:p w14:paraId="1E5721AF" w14:textId="77777777" w:rsidR="00F80788" w:rsidRPr="00CC042C" w:rsidRDefault="00F80788" w:rsidP="00AB1890">
      <w:pPr>
        <w:spacing w:line="360" w:lineRule="auto"/>
      </w:pPr>
    </w:p>
    <w:p w14:paraId="62CC78B7" w14:textId="77777777" w:rsidR="00E926F4" w:rsidRPr="00CC042C" w:rsidRDefault="00E926F4" w:rsidP="00E926F4">
      <w:pPr>
        <w:spacing w:line="360" w:lineRule="auto"/>
        <w:rPr>
          <w:b/>
          <w:sz w:val="32"/>
          <w:szCs w:val="32"/>
        </w:rPr>
      </w:pPr>
      <w:r w:rsidRPr="00CC042C">
        <w:rPr>
          <w:b/>
          <w:sz w:val="32"/>
          <w:szCs w:val="32"/>
        </w:rPr>
        <w:t>Abstract</w:t>
      </w:r>
    </w:p>
    <w:p w14:paraId="593FF0D3" w14:textId="77777777" w:rsidR="00E926F4" w:rsidRPr="00CC042C" w:rsidRDefault="00E926F4" w:rsidP="00E926F4">
      <w:pPr>
        <w:spacing w:line="360" w:lineRule="auto"/>
      </w:pPr>
      <w:r w:rsidRPr="00CC042C">
        <w:t>This article addresses whether the promotion of China's provincial leadership can be explained through economic growth or alternative factors (experience, education or having previously held a central government post). We use promotion definitions, based on official administrative rankings and a more accurate reflection of political-governmental power relationships, and five econometric models. Analysis is also located within specific scholarship about promotion in the Chinese bureaucracy, bureaucratic cultures and transitions from socialism. Findings suggested some support for the idea that economic growth records affected promotion in terms of the second definition and additional evidence to imply impacts from non-economic factors.</w:t>
      </w:r>
    </w:p>
    <w:p w14:paraId="385B99DC" w14:textId="77777777" w:rsidR="00E926F4" w:rsidRPr="00CC042C" w:rsidRDefault="00E926F4" w:rsidP="00193FBA"/>
    <w:p w14:paraId="0FB408B3" w14:textId="77777777" w:rsidR="00F80788" w:rsidRPr="00CC042C" w:rsidRDefault="00F80788" w:rsidP="00AB1890">
      <w:pPr>
        <w:pStyle w:val="Heading2"/>
        <w:spacing w:line="360" w:lineRule="auto"/>
        <w:rPr>
          <w:lang w:val="en-GB"/>
        </w:rPr>
      </w:pPr>
      <w:bookmarkStart w:id="0" w:name="_Hlk495073218"/>
      <w:r w:rsidRPr="00CC042C">
        <w:t>I</w:t>
      </w:r>
      <w:r w:rsidRPr="00CC042C">
        <w:rPr>
          <w:lang w:val="en-GB"/>
        </w:rPr>
        <w:t>ntroduction</w:t>
      </w:r>
    </w:p>
    <w:bookmarkEnd w:id="0"/>
    <w:p w14:paraId="0D15175E" w14:textId="2F7D6567" w:rsidR="00F80788" w:rsidRPr="00CC042C" w:rsidRDefault="00F80788" w:rsidP="00AB1890">
      <w:pPr>
        <w:spacing w:line="360" w:lineRule="auto"/>
      </w:pPr>
      <w:r w:rsidRPr="00CC042C">
        <w:t>This article considers whether promotion of provincial Chinese leaders (Governors and Communist Party of China (CPC) Provincial</w:t>
      </w:r>
      <w:r w:rsidR="00036DB1" w:rsidRPr="00CC042C">
        <w:t xml:space="preserve"> </w:t>
      </w:r>
      <w:r w:rsidR="00D51C57" w:rsidRPr="00CC042C">
        <w:t xml:space="preserve">Committee </w:t>
      </w:r>
      <w:r w:rsidRPr="00CC042C">
        <w:t>Secretaries) can be explained through</w:t>
      </w:r>
      <w:r w:rsidR="00240372" w:rsidRPr="00CC042C">
        <w:t xml:space="preserve"> their economic growth records or whether alternative explanations offer</w:t>
      </w:r>
      <w:r w:rsidR="002A0101" w:rsidRPr="00CC042C">
        <w:t xml:space="preserve"> </w:t>
      </w:r>
      <w:r w:rsidR="00240372" w:rsidRPr="00CC042C">
        <w:t>plausible narratives. We address themes significant to understanding administrative contexts of the world’s second largest economy and aim to augment a small existing scholarly literature. Our starting point is the development of a market economy following the third plenary session of the 11</w:t>
      </w:r>
      <w:r w:rsidR="00240372" w:rsidRPr="00CC042C">
        <w:rPr>
          <w:vertAlign w:val="superscript"/>
        </w:rPr>
        <w:t>th</w:t>
      </w:r>
      <w:r w:rsidR="00240372" w:rsidRPr="00CC042C">
        <w:t xml:space="preserve"> CPC Central Committee in December 1978.</w:t>
      </w:r>
      <w:r w:rsidRPr="00CC042C">
        <w:t xml:space="preserve"> </w:t>
      </w:r>
    </w:p>
    <w:p w14:paraId="7D2E18C8" w14:textId="77777777" w:rsidR="00F80788" w:rsidRPr="00CC042C" w:rsidRDefault="00F80788" w:rsidP="00AB1890">
      <w:pPr>
        <w:spacing w:line="360" w:lineRule="auto"/>
      </w:pPr>
    </w:p>
    <w:p w14:paraId="6C79B43A" w14:textId="521AA201" w:rsidR="00F80788" w:rsidRPr="00CC042C" w:rsidRDefault="00F80788" w:rsidP="00AB1890">
      <w:pPr>
        <w:spacing w:line="360" w:lineRule="auto"/>
      </w:pPr>
      <w:r w:rsidRPr="00CC042C">
        <w:t>In locating this analysis within transitions from socialism, we also connect to debates about bureaucratic responses to such reforms. This issue has bee</w:t>
      </w:r>
      <w:r w:rsidR="00092324" w:rsidRPr="00CC042C">
        <w:t xml:space="preserve">n discussed widely, </w:t>
      </w:r>
      <w:r w:rsidR="00092324" w:rsidRPr="00CC042C">
        <w:lastRenderedPageBreak/>
        <w:t xml:space="preserve">for instance </w:t>
      </w:r>
      <w:r w:rsidRPr="00CC042C">
        <w:t>Walder (2003) studied capacity of Communist-era elites to appropriate public assets through reform processes. Similarly,</w:t>
      </w:r>
      <w:r w:rsidR="00A83A70" w:rsidRPr="00CC042C">
        <w:t xml:space="preserve"> Brown </w:t>
      </w:r>
      <w:r w:rsidR="00A83A70" w:rsidRPr="00CC042C">
        <w:rPr>
          <w:i/>
        </w:rPr>
        <w:t>et al.</w:t>
      </w:r>
      <w:r w:rsidRPr="00CC042C">
        <w:t xml:space="preserve"> (</w:t>
      </w:r>
      <w:r w:rsidR="00A83A70" w:rsidRPr="00CC042C">
        <w:t>2009</w:t>
      </w:r>
      <w:r w:rsidRPr="00CC042C">
        <w:t xml:space="preserve">) considered </w:t>
      </w:r>
      <w:r w:rsidR="00A83A70" w:rsidRPr="00CC042C">
        <w:t xml:space="preserve">participation of </w:t>
      </w:r>
      <w:r w:rsidRPr="00CC042C">
        <w:t xml:space="preserve">Russian bureaucrats </w:t>
      </w:r>
      <w:r w:rsidR="0079093F" w:rsidRPr="00CC042C">
        <w:t>in</w:t>
      </w:r>
      <w:r w:rsidRPr="00CC042C">
        <w:t xml:space="preserve"> </w:t>
      </w:r>
      <w:r w:rsidR="00A83A70" w:rsidRPr="00CC042C">
        <w:t>the privatization of state assets</w:t>
      </w:r>
      <w:r w:rsidRPr="00CC042C">
        <w:t xml:space="preserve">. </w:t>
      </w:r>
      <w:r w:rsidR="005135CC" w:rsidRPr="00CC042C">
        <w:t>We also place</w:t>
      </w:r>
      <w:r w:rsidR="00FD4E26" w:rsidRPr="00CC042C">
        <w:t xml:space="preserve"> our study within a wider literatur</w:t>
      </w:r>
      <w:r w:rsidR="005135CC" w:rsidRPr="00CC042C">
        <w:t>e about why people are promoted,</w:t>
      </w:r>
      <w:r w:rsidR="00FD4E26" w:rsidRPr="00CC042C">
        <w:t xml:space="preserve"> particularly the importance of performance</w:t>
      </w:r>
      <w:r w:rsidR="005135CC" w:rsidRPr="00CC042C">
        <w:t xml:space="preserve"> (</w:t>
      </w:r>
      <w:r w:rsidR="00403821" w:rsidRPr="00CC042C">
        <w:t xml:space="preserve">Weber, 1947; </w:t>
      </w:r>
      <w:r w:rsidR="00090A1D" w:rsidRPr="00CC042C">
        <w:t>B</w:t>
      </w:r>
      <w:r w:rsidR="00F64D8C" w:rsidRPr="00CC042C">
        <w:t>l</w:t>
      </w:r>
      <w:r w:rsidR="00090A1D" w:rsidRPr="00CC042C">
        <w:t>a</w:t>
      </w:r>
      <w:r w:rsidR="00F64D8C" w:rsidRPr="00CC042C">
        <w:t>u and DeV</w:t>
      </w:r>
      <w:r w:rsidR="00FD4E26" w:rsidRPr="00CC042C">
        <w:t xml:space="preserve">aro, 2007) and the emergence of public sector performance and improvement agendas (McLaughlin </w:t>
      </w:r>
      <w:r w:rsidR="00FD4E26" w:rsidRPr="00CC042C">
        <w:rPr>
          <w:i/>
        </w:rPr>
        <w:t>et</w:t>
      </w:r>
      <w:r w:rsidR="00FD4E26" w:rsidRPr="00CC042C">
        <w:t xml:space="preserve"> </w:t>
      </w:r>
      <w:r w:rsidR="00FD4E26" w:rsidRPr="00CC042C">
        <w:rPr>
          <w:i/>
        </w:rPr>
        <w:t>al.</w:t>
      </w:r>
      <w:r w:rsidR="00F64D8C" w:rsidRPr="00CC042C">
        <w:rPr>
          <w:i/>
        </w:rPr>
        <w:t>,</w:t>
      </w:r>
      <w:r w:rsidR="008A0755" w:rsidRPr="00CC042C">
        <w:t xml:space="preserve"> 2002</w:t>
      </w:r>
      <w:r w:rsidR="00FD4E26" w:rsidRPr="00CC042C">
        <w:t>), thus conne</w:t>
      </w:r>
      <w:r w:rsidR="00240372" w:rsidRPr="00CC042C">
        <w:t xml:space="preserve">cting </w:t>
      </w:r>
      <w:r w:rsidR="000972F7" w:rsidRPr="00CC042C">
        <w:t>this</w:t>
      </w:r>
      <w:r w:rsidR="00240372" w:rsidRPr="00CC042C">
        <w:t xml:space="preserve"> study with substantive</w:t>
      </w:r>
      <w:r w:rsidR="00FD4E26" w:rsidRPr="00CC042C">
        <w:t xml:space="preserve"> international scholarly and practitioner</w:t>
      </w:r>
      <w:r w:rsidR="005135CC" w:rsidRPr="00CC042C">
        <w:t xml:space="preserve"> perspectives.</w:t>
      </w:r>
      <w:r w:rsidR="00FD4E26" w:rsidRPr="00CC042C">
        <w:t xml:space="preserve"> </w:t>
      </w:r>
    </w:p>
    <w:p w14:paraId="140413C7" w14:textId="77777777" w:rsidR="00F80788" w:rsidRPr="00CC042C" w:rsidRDefault="00F80788" w:rsidP="00AB1890">
      <w:pPr>
        <w:spacing w:line="360" w:lineRule="auto"/>
      </w:pPr>
    </w:p>
    <w:p w14:paraId="07383F18" w14:textId="62C5DDB9" w:rsidR="00BB38E5" w:rsidRPr="00CC042C" w:rsidRDefault="00F80788" w:rsidP="00AB1890">
      <w:pPr>
        <w:spacing w:line="360" w:lineRule="auto"/>
        <w:rPr>
          <w:i/>
        </w:rPr>
      </w:pPr>
      <w:r w:rsidRPr="00CC042C">
        <w:t xml:space="preserve">Our analysis is shaped through a distinctive contemporary delegation </w:t>
      </w:r>
      <w:r w:rsidR="00BB38E5" w:rsidRPr="00CC042C">
        <w:t xml:space="preserve">in China </w:t>
      </w:r>
      <w:r w:rsidRPr="00CC042C">
        <w:t>of much of ‘the governance of national economy……..to sub-national governments’ (Xu, 2011: 1078</w:t>
      </w:r>
      <w:r w:rsidR="005135CC" w:rsidRPr="00CC042C">
        <w:t>), which</w:t>
      </w:r>
      <w:r w:rsidRPr="00CC042C">
        <w:t xml:space="preserve"> facilitated territ</w:t>
      </w:r>
      <w:r w:rsidR="00092324" w:rsidRPr="00CC042C">
        <w:t xml:space="preserve">orial competition, for example, </w:t>
      </w:r>
      <w:r w:rsidRPr="00CC042C">
        <w:t>through rivalry for inward investment (Yeung, 2000). Competition occurred, however, within centrally-imposed agendas</w:t>
      </w:r>
      <w:r w:rsidR="00BB38E5" w:rsidRPr="00CC042C">
        <w:t>, a process that has acc</w:t>
      </w:r>
      <w:r w:rsidR="003E34AA" w:rsidRPr="00CC042C">
        <w:t>e</w:t>
      </w:r>
      <w:r w:rsidR="00BB38E5" w:rsidRPr="00CC042C">
        <w:t xml:space="preserve">lerated since 2012 under </w:t>
      </w:r>
      <w:r w:rsidR="00BB38E5" w:rsidRPr="00CC042C">
        <w:rPr>
          <w:u w:val="single"/>
        </w:rPr>
        <w:t>Xi</w:t>
      </w:r>
      <w:r w:rsidR="00BB38E5" w:rsidRPr="00CC042C">
        <w:t xml:space="preserve"> Jinping (Lee, 2017)</w:t>
      </w:r>
      <w:r w:rsidRPr="00CC042C">
        <w:t xml:space="preserve">, </w:t>
      </w:r>
      <w:r w:rsidR="00BB38E5" w:rsidRPr="00CC042C">
        <w:t>and which has bee</w:t>
      </w:r>
      <w:r w:rsidR="003E2135" w:rsidRPr="00CC042C">
        <w:t>n</w:t>
      </w:r>
      <w:r w:rsidR="00BB38E5" w:rsidRPr="00CC042C">
        <w:t xml:space="preserve"> </w:t>
      </w:r>
      <w:r w:rsidRPr="00CC042C">
        <w:t>delivered, partly, through central control over sub-national, or at least provincial, appointments</w:t>
      </w:r>
      <w:r w:rsidR="000972F7" w:rsidRPr="00CC042C">
        <w:t>. These</w:t>
      </w:r>
      <w:r w:rsidRPr="00CC042C">
        <w:t xml:space="preserve"> arrangements </w:t>
      </w:r>
      <w:r w:rsidR="000972F7" w:rsidRPr="00CC042C">
        <w:t xml:space="preserve">have been </w:t>
      </w:r>
      <w:r w:rsidRPr="00CC042C">
        <w:t xml:space="preserve">characterized as a </w:t>
      </w:r>
      <w:r w:rsidRPr="00CC042C">
        <w:rPr>
          <w:i/>
        </w:rPr>
        <w:t>‘</w:t>
      </w:r>
      <w:r w:rsidR="00D52596" w:rsidRPr="00CC042C">
        <w:rPr>
          <w:i/>
        </w:rPr>
        <w:t xml:space="preserve">regionally </w:t>
      </w:r>
      <w:r w:rsidRPr="00CC042C">
        <w:rPr>
          <w:i/>
        </w:rPr>
        <w:t xml:space="preserve">decentralized authoritarian </w:t>
      </w:r>
      <w:r w:rsidR="00D52596" w:rsidRPr="00CC042C">
        <w:rPr>
          <w:i/>
        </w:rPr>
        <w:t xml:space="preserve">(RDA) </w:t>
      </w:r>
      <w:r w:rsidRPr="00CC042C">
        <w:rPr>
          <w:i/>
        </w:rPr>
        <w:t xml:space="preserve">regime’ </w:t>
      </w:r>
      <w:r w:rsidRPr="00CC042C">
        <w:t>(Xu, 2011: 1078)</w:t>
      </w:r>
      <w:r w:rsidRPr="00CC042C">
        <w:rPr>
          <w:i/>
        </w:rPr>
        <w:t xml:space="preserve">. </w:t>
      </w:r>
    </w:p>
    <w:p w14:paraId="0DA9A634" w14:textId="77777777" w:rsidR="00BB38E5" w:rsidRPr="00CC042C" w:rsidRDefault="00BB38E5" w:rsidP="00AB1890">
      <w:pPr>
        <w:spacing w:line="360" w:lineRule="auto"/>
        <w:rPr>
          <w:i/>
        </w:rPr>
      </w:pPr>
    </w:p>
    <w:p w14:paraId="5E15C40D" w14:textId="77777777" w:rsidR="001922AE" w:rsidRPr="00CC042C" w:rsidRDefault="00F80788" w:rsidP="00AB1890">
      <w:pPr>
        <w:spacing w:line="360" w:lineRule="auto"/>
      </w:pPr>
      <w:r w:rsidRPr="00CC042C">
        <w:t xml:space="preserve">The </w:t>
      </w:r>
      <w:r w:rsidRPr="00CC042C">
        <w:rPr>
          <w:i/>
        </w:rPr>
        <w:t xml:space="preserve">authoritarian </w:t>
      </w:r>
      <w:r w:rsidRPr="00CC042C">
        <w:t xml:space="preserve">element also reflected imposition of performance agendas, which could be interpreted as Chinese adaptations of western public sector improvement programmes (Afonso </w:t>
      </w:r>
      <w:r w:rsidRPr="00CC042C">
        <w:rPr>
          <w:i/>
        </w:rPr>
        <w:t>et al.</w:t>
      </w:r>
      <w:r w:rsidRPr="00CC042C">
        <w:t>, 2005) or Maoist planning legacies (Fan, 2006). These</w:t>
      </w:r>
      <w:r w:rsidR="00EF74B2" w:rsidRPr="00CC042C">
        <w:t xml:space="preserve"> </w:t>
      </w:r>
    </w:p>
    <w:p w14:paraId="7B7772C2" w14:textId="04FEB491" w:rsidR="00F80788" w:rsidRPr="00CC042C" w:rsidRDefault="00F80788" w:rsidP="00AB1890">
      <w:pPr>
        <w:spacing w:line="360" w:lineRule="auto"/>
      </w:pPr>
      <w:r w:rsidRPr="00CC042C">
        <w:t>developments have been chronicled by scholars</w:t>
      </w:r>
      <w:r w:rsidR="000972F7" w:rsidRPr="00CC042C">
        <w:t xml:space="preserve"> such as</w:t>
      </w:r>
      <w:r w:rsidR="005135CC" w:rsidRPr="00CC042C">
        <w:t xml:space="preserve"> </w:t>
      </w:r>
      <w:r w:rsidRPr="00CC042C">
        <w:t>Ts</w:t>
      </w:r>
      <w:r w:rsidR="00927CCF" w:rsidRPr="00CC042C">
        <w:t>u</w:t>
      </w:r>
      <w:r w:rsidRPr="00CC042C">
        <w:t>i and Wang (2004: 89)</w:t>
      </w:r>
      <w:r w:rsidR="000972F7" w:rsidRPr="00CC042C">
        <w:t>, who</w:t>
      </w:r>
      <w:r w:rsidRPr="00CC042C">
        <w:t xml:space="preserve"> observed ‘emergence of a target-based vertical control system’ that could be used to affect sub-national expenditure. </w:t>
      </w:r>
    </w:p>
    <w:p w14:paraId="307A88E5" w14:textId="77777777" w:rsidR="00F80788" w:rsidRPr="00CC042C" w:rsidRDefault="00F80788" w:rsidP="00AB1890">
      <w:pPr>
        <w:spacing w:line="360" w:lineRule="auto"/>
      </w:pPr>
    </w:p>
    <w:p w14:paraId="67E27BF3" w14:textId="279CB5ED" w:rsidR="00F80788" w:rsidRPr="00CC042C" w:rsidRDefault="00F80788" w:rsidP="00AB1890">
      <w:pPr>
        <w:spacing w:line="360" w:lineRule="auto"/>
      </w:pPr>
      <w:r w:rsidRPr="00CC042C">
        <w:t>This top-down performance agenda has long emphasized economic growth, both the tenth (2001-05) and eleventh (2006-10) five-year plans incorporated objectives to double the level of gross domestic product (GDP) recorded in the year 2000 by 2010. Similarly, the twelfth five year plan (2011-15) included a 7% annual GDP growth target. Sub-national competition operated</w:t>
      </w:r>
      <w:r w:rsidR="005135CC" w:rsidRPr="00CC042C">
        <w:t xml:space="preserve"> </w:t>
      </w:r>
      <w:r w:rsidRPr="00CC042C">
        <w:t xml:space="preserve">within a framework of </w:t>
      </w:r>
      <w:r w:rsidRPr="00CC042C">
        <w:rPr>
          <w:kern w:val="0"/>
        </w:rPr>
        <w:t>quantifiable economic targets and territories competed ‘to generate the highest growth rates’ (Ch</w:t>
      </w:r>
      <w:r w:rsidR="000E5783" w:rsidRPr="00CC042C">
        <w:rPr>
          <w:kern w:val="0"/>
        </w:rPr>
        <w:t>i</w:t>
      </w:r>
      <w:r w:rsidRPr="00CC042C">
        <w:rPr>
          <w:kern w:val="0"/>
        </w:rPr>
        <w:t>en and Gordon, 2008: 38). This context shifted behavior of sub-national bureaucrats, as Nee</w:t>
      </w:r>
      <w:r w:rsidRPr="00CC042C">
        <w:t xml:space="preserve"> (1992: 14) observed, such ‘cadre-entrepreneurs’ sought success in the market-place ‘to advance their careers, to gain </w:t>
      </w:r>
      <w:r w:rsidR="00364443" w:rsidRPr="00CC042C">
        <w:t xml:space="preserve">higher </w:t>
      </w:r>
      <w:r w:rsidRPr="00CC042C">
        <w:t xml:space="preserve">bonuses, and to expand their organizational power and influence’.  </w:t>
      </w:r>
    </w:p>
    <w:p w14:paraId="76BA1368" w14:textId="77777777" w:rsidR="00F80788" w:rsidRPr="00CC042C" w:rsidRDefault="00F80788" w:rsidP="00AB1890">
      <w:pPr>
        <w:spacing w:line="360" w:lineRule="auto"/>
      </w:pPr>
    </w:p>
    <w:p w14:paraId="5B877FD4" w14:textId="2E6ACBA2" w:rsidR="00F80788" w:rsidRPr="00CC042C" w:rsidRDefault="00F80788" w:rsidP="00AB1890">
      <w:pPr>
        <w:spacing w:line="360" w:lineRule="auto"/>
      </w:pPr>
      <w:r w:rsidRPr="00CC042C">
        <w:t xml:space="preserve">Our core research question </w:t>
      </w:r>
      <w:r w:rsidR="002A0101" w:rsidRPr="00CC042C">
        <w:t>concerns</w:t>
      </w:r>
      <w:r w:rsidRPr="00CC042C">
        <w:t xml:space="preserve"> whether promotion of provincial leaders to national level was affected by their economic growth records or a range of alternative explanations - experience; education; or central connection, the latter defined through previous employment at the national tier. We also ask what implications our findings have for shifting organizational cultures amongst the Chinese government and</w:t>
      </w:r>
      <w:r w:rsidR="002A0101" w:rsidRPr="00CC042C">
        <w:t xml:space="preserve"> </w:t>
      </w:r>
      <w:r w:rsidRPr="00CC042C">
        <w:t xml:space="preserve">changes to the ethos and values of the Chinese bureaucracy. We make, therefore, clear connections between our empirical </w:t>
      </w:r>
      <w:r w:rsidRPr="00193FBA">
        <w:t>analysis</w:t>
      </w:r>
      <w:r w:rsidR="00FD7086" w:rsidRPr="00193FBA">
        <w:t xml:space="preserve">, </w:t>
      </w:r>
      <w:r w:rsidRPr="00193FBA">
        <w:t xml:space="preserve">wider debates </w:t>
      </w:r>
      <w:r w:rsidRPr="00CC042C">
        <w:t>about bureaucratic leadership in China and transitions from socialism</w:t>
      </w:r>
      <w:r w:rsidR="006C137B" w:rsidRPr="00CC042C">
        <w:t>,</w:t>
      </w:r>
      <w:r w:rsidR="002A0101" w:rsidRPr="00CC042C">
        <w:t xml:space="preserve"> whilst also connecting to the extensive</w:t>
      </w:r>
      <w:r w:rsidR="006C137B" w:rsidRPr="00CC042C">
        <w:t xml:space="preserve"> </w:t>
      </w:r>
      <w:r w:rsidR="002A0101" w:rsidRPr="00CC042C">
        <w:t xml:space="preserve">international </w:t>
      </w:r>
      <w:r w:rsidR="006C137B" w:rsidRPr="00CC042C">
        <w:t>literature about promotion and performance.</w:t>
      </w:r>
      <w:r w:rsidRPr="00CC042C">
        <w:t xml:space="preserve"> </w:t>
      </w:r>
    </w:p>
    <w:p w14:paraId="44F65273" w14:textId="77777777" w:rsidR="00F80788" w:rsidRPr="00CC042C" w:rsidRDefault="00F80788" w:rsidP="00AB1890">
      <w:pPr>
        <w:spacing w:line="360" w:lineRule="auto"/>
      </w:pPr>
    </w:p>
    <w:p w14:paraId="38C5DE1E" w14:textId="09EEDF0F" w:rsidR="00F80788" w:rsidRPr="00CC042C" w:rsidRDefault="00F80788" w:rsidP="00AB1890">
      <w:pPr>
        <w:spacing w:line="360" w:lineRule="auto"/>
      </w:pPr>
      <w:r w:rsidRPr="00CC042C">
        <w:t>In the remainder of this article, we consider relevant scholarly literature</w:t>
      </w:r>
      <w:r w:rsidR="005135CC" w:rsidRPr="00CC042C">
        <w:t xml:space="preserve"> </w:t>
      </w:r>
      <w:r w:rsidRPr="00CC042C">
        <w:t xml:space="preserve">before discussing our data sources and outlining the methodology. Subsequently, we specify and apply two definitions of promotion and five econometric models and </w:t>
      </w:r>
      <w:r w:rsidR="005135CC" w:rsidRPr="00CC042C">
        <w:t>evaluate</w:t>
      </w:r>
      <w:r w:rsidRPr="00CC042C">
        <w:t xml:space="preserve"> the results. Finally, conclusions are highlighted and future research directions sketched.   </w:t>
      </w:r>
    </w:p>
    <w:p w14:paraId="19E704A9" w14:textId="77777777" w:rsidR="00F80788" w:rsidRPr="00CC042C" w:rsidRDefault="00F80788" w:rsidP="00AB1890">
      <w:pPr>
        <w:spacing w:line="360" w:lineRule="auto"/>
      </w:pPr>
    </w:p>
    <w:p w14:paraId="4EAA801D" w14:textId="41C143D7" w:rsidR="00F80788" w:rsidRPr="00CC042C" w:rsidRDefault="009E102D" w:rsidP="00AB1890">
      <w:pPr>
        <w:pStyle w:val="Heading2"/>
        <w:spacing w:line="360" w:lineRule="auto"/>
      </w:pPr>
      <w:r w:rsidRPr="00CC042C">
        <w:t xml:space="preserve">Promotion and Performance </w:t>
      </w:r>
    </w:p>
    <w:p w14:paraId="7698DC7F" w14:textId="2392A22F" w:rsidR="00FE63CB" w:rsidRPr="00CC042C" w:rsidRDefault="000E4BEC" w:rsidP="00FE63CB">
      <w:pPr>
        <w:spacing w:line="360" w:lineRule="auto"/>
      </w:pPr>
      <w:r w:rsidRPr="00CC042C">
        <w:t xml:space="preserve">There is a substantive relevant </w:t>
      </w:r>
      <w:r w:rsidR="00A90397" w:rsidRPr="00CC042C">
        <w:t>academic</w:t>
      </w:r>
      <w:r w:rsidRPr="00CC042C">
        <w:t xml:space="preserve"> literature about why individuals are promoted within </w:t>
      </w:r>
      <w:r w:rsidR="00364B7E" w:rsidRPr="00CC042C">
        <w:t>public sector bureaucracies</w:t>
      </w:r>
      <w:r w:rsidRPr="00CC042C">
        <w:t xml:space="preserve">. </w:t>
      </w:r>
      <w:r w:rsidR="00D24A90" w:rsidRPr="00CC042C">
        <w:t>S</w:t>
      </w:r>
      <w:r w:rsidR="003E06D7" w:rsidRPr="00CC042C">
        <w:t xml:space="preserve">cholars </w:t>
      </w:r>
      <w:r w:rsidR="00EF74B2" w:rsidRPr="00CC042C">
        <w:t xml:space="preserve">such </w:t>
      </w:r>
      <w:r w:rsidR="003E06D7" w:rsidRPr="00CC042C">
        <w:t>a</w:t>
      </w:r>
      <w:r w:rsidR="00310AD8" w:rsidRPr="00CC042C">
        <w:t>s</w:t>
      </w:r>
      <w:r w:rsidR="00EF74B2" w:rsidRPr="00CC042C">
        <w:t xml:space="preserve"> </w:t>
      </w:r>
      <w:r w:rsidR="000255DD" w:rsidRPr="00CC042C">
        <w:t>Weber (1947)</w:t>
      </w:r>
      <w:r w:rsidR="00FE63CB" w:rsidRPr="00CC042C">
        <w:t xml:space="preserve"> recognized the importance of seniority and performance, but ‘stopped short of stating explicitly the conditions that might result in emphasizing one criterion at the expense of another’ (Halaby, 1978, 466). Limitations that </w:t>
      </w:r>
      <w:r w:rsidR="00D24A90" w:rsidRPr="00CC042C">
        <w:t xml:space="preserve">were </w:t>
      </w:r>
      <w:r w:rsidR="00C63256" w:rsidRPr="00CC042C">
        <w:t>evident</w:t>
      </w:r>
      <w:r w:rsidR="00D24A90" w:rsidRPr="00CC042C">
        <w:t xml:space="preserve"> </w:t>
      </w:r>
      <w:r w:rsidR="00C63256" w:rsidRPr="00CC042C">
        <w:t>in wider</w:t>
      </w:r>
      <w:r w:rsidR="00D24A90" w:rsidRPr="00CC042C">
        <w:t xml:space="preserve"> scholarship about promotion decisions (Gouldner, 1957; Blau and Scott, 1962). </w:t>
      </w:r>
    </w:p>
    <w:p w14:paraId="614FE93F" w14:textId="77777777" w:rsidR="00FE63CB" w:rsidRPr="00CC042C" w:rsidRDefault="00FE63CB" w:rsidP="00FE63CB">
      <w:pPr>
        <w:spacing w:line="360" w:lineRule="auto"/>
      </w:pPr>
    </w:p>
    <w:p w14:paraId="5D1676F2" w14:textId="0B842BE5" w:rsidR="00F4732D" w:rsidRPr="00CC042C" w:rsidRDefault="00C63256" w:rsidP="00AB1890">
      <w:pPr>
        <w:spacing w:line="360" w:lineRule="auto"/>
      </w:pPr>
      <w:r w:rsidRPr="00CC042C">
        <w:t>More r</w:t>
      </w:r>
      <w:r w:rsidR="00F75903" w:rsidRPr="00CC042C">
        <w:t>ecent decades have</w:t>
      </w:r>
      <w:r w:rsidR="00AE5475" w:rsidRPr="00CC042C">
        <w:t xml:space="preserve"> </w:t>
      </w:r>
      <w:r w:rsidR="005135CC" w:rsidRPr="00CC042C">
        <w:t xml:space="preserve">witnessed </w:t>
      </w:r>
      <w:r w:rsidR="00AE5475" w:rsidRPr="00CC042C">
        <w:t xml:space="preserve">the </w:t>
      </w:r>
      <w:r w:rsidRPr="00CC042C">
        <w:t xml:space="preserve">emergence of a </w:t>
      </w:r>
      <w:r w:rsidR="003D22CC" w:rsidRPr="00CC042C">
        <w:t>rigo</w:t>
      </w:r>
      <w:r w:rsidR="00C36488" w:rsidRPr="00CC042C">
        <w:t xml:space="preserve">rous </w:t>
      </w:r>
      <w:r w:rsidR="003D22CC" w:rsidRPr="00CC042C">
        <w:t>empiric</w:t>
      </w:r>
      <w:r w:rsidR="00C36488" w:rsidRPr="00CC042C">
        <w:t xml:space="preserve">al literature investigating why promotions occurred. </w:t>
      </w:r>
      <w:r w:rsidR="00364B7E" w:rsidRPr="00CC042C">
        <w:t>Halaby (1978) studied US financial bureaus and drew con</w:t>
      </w:r>
      <w:r w:rsidR="00CC7E1A" w:rsidRPr="00CC042C">
        <w:t>clusions about how organizational</w:t>
      </w:r>
      <w:r w:rsidR="00364B7E" w:rsidRPr="00CC042C">
        <w:t xml:space="preserve"> characteristics affected promotion criteria, for example agencies with a relatively high proportion</w:t>
      </w:r>
      <w:r w:rsidR="00CA1A48" w:rsidRPr="00CC042C">
        <w:t xml:space="preserve"> </w:t>
      </w:r>
      <w:r w:rsidR="00364B7E" w:rsidRPr="00CC042C">
        <w:t xml:space="preserve">of employees with advanced </w:t>
      </w:r>
      <w:r w:rsidR="00C36488" w:rsidRPr="00CC042C">
        <w:t>accounting degrees gave</w:t>
      </w:r>
      <w:r w:rsidR="00DA3ABD" w:rsidRPr="00CC042C">
        <w:t xml:space="preserve"> less importance </w:t>
      </w:r>
      <w:r w:rsidR="00364B7E" w:rsidRPr="00CC042C">
        <w:t xml:space="preserve">to seniority. </w:t>
      </w:r>
      <w:r w:rsidR="002712D6" w:rsidRPr="00CC042C">
        <w:t xml:space="preserve">Similarly, </w:t>
      </w:r>
      <w:r w:rsidR="00563791" w:rsidRPr="00CC042C">
        <w:t xml:space="preserve">Baron </w:t>
      </w:r>
      <w:r w:rsidR="00563791" w:rsidRPr="00CC042C">
        <w:rPr>
          <w:i/>
        </w:rPr>
        <w:t>et al.</w:t>
      </w:r>
      <w:r w:rsidR="00563791" w:rsidRPr="00CC042C">
        <w:t xml:space="preserve"> (1986) </w:t>
      </w:r>
      <w:r w:rsidR="003C6A15" w:rsidRPr="00CC042C">
        <w:t>considered variations in the internal promotion regimes of</w:t>
      </w:r>
      <w:r w:rsidR="00F4732D" w:rsidRPr="00CC042C">
        <w:t xml:space="preserve"> 100 organizations, while Kalleberg and Van Buren (1996) discussed </w:t>
      </w:r>
      <w:r w:rsidR="00E93B18" w:rsidRPr="00CC042C">
        <w:t>effects</w:t>
      </w:r>
      <w:r w:rsidR="00F4732D" w:rsidRPr="00CC042C">
        <w:t xml:space="preserve"> derived from organizational scale. </w:t>
      </w:r>
    </w:p>
    <w:p w14:paraId="00515BC6" w14:textId="77777777" w:rsidR="00F4732D" w:rsidRPr="00CC042C" w:rsidRDefault="00F4732D" w:rsidP="00AB1890">
      <w:pPr>
        <w:spacing w:line="360" w:lineRule="auto"/>
      </w:pPr>
    </w:p>
    <w:p w14:paraId="45CD03AB" w14:textId="2E19B9D0" w:rsidR="000E4BEC" w:rsidRPr="00CC042C" w:rsidRDefault="00F4732D" w:rsidP="00AB1890">
      <w:pPr>
        <w:spacing w:line="360" w:lineRule="auto"/>
      </w:pPr>
      <w:r w:rsidRPr="00CC042C">
        <w:t xml:space="preserve">Alternatively, writers </w:t>
      </w:r>
      <w:r w:rsidR="00E264FA" w:rsidRPr="00CC042C">
        <w:t xml:space="preserve">such as </w:t>
      </w:r>
      <w:r w:rsidR="003E7CC9" w:rsidRPr="00CC042C">
        <w:t>Groot</w:t>
      </w:r>
      <w:r w:rsidR="00A75F6B" w:rsidRPr="00CC042C">
        <w:t xml:space="preserve"> and Van D</w:t>
      </w:r>
      <w:r w:rsidR="00E264FA" w:rsidRPr="00CC042C">
        <w:t>en Brink (</w:t>
      </w:r>
      <w:r w:rsidR="00A22A5D" w:rsidRPr="00CC042C">
        <w:t xml:space="preserve">1996); </w:t>
      </w:r>
      <w:r w:rsidR="00E264FA" w:rsidRPr="00CC042C">
        <w:t xml:space="preserve">Booth </w:t>
      </w:r>
      <w:r w:rsidR="00E264FA" w:rsidRPr="00CC042C">
        <w:rPr>
          <w:i/>
        </w:rPr>
        <w:t>et al</w:t>
      </w:r>
      <w:r w:rsidR="00E264FA" w:rsidRPr="00CC042C">
        <w:t>. (2003)</w:t>
      </w:r>
      <w:r w:rsidR="00363486" w:rsidRPr="00CC042C">
        <w:t>;</w:t>
      </w:r>
      <w:r w:rsidR="007C3AB0" w:rsidRPr="00CC042C">
        <w:t xml:space="preserve"> and Blau and DeV</w:t>
      </w:r>
      <w:r w:rsidR="00A22A5D" w:rsidRPr="00CC042C">
        <w:t>aro (2007)</w:t>
      </w:r>
      <w:r w:rsidR="00E264FA" w:rsidRPr="00CC042C">
        <w:t xml:space="preserve"> conside</w:t>
      </w:r>
      <w:r w:rsidR="002712D6" w:rsidRPr="00CC042C">
        <w:t xml:space="preserve">red impacts arising from gender, while scholars such as </w:t>
      </w:r>
      <w:r w:rsidR="00F72500" w:rsidRPr="00CC042C">
        <w:t xml:space="preserve">Ruderman </w:t>
      </w:r>
      <w:r w:rsidR="00F72500" w:rsidRPr="00CC042C">
        <w:rPr>
          <w:i/>
        </w:rPr>
        <w:t>et al.</w:t>
      </w:r>
      <w:r w:rsidR="00F72500" w:rsidRPr="00CC042C">
        <w:t xml:space="preserve"> (1995); and </w:t>
      </w:r>
      <w:r w:rsidR="002712D6" w:rsidRPr="00CC042C">
        <w:t xml:space="preserve">Pudney and Shields (2000) </w:t>
      </w:r>
      <w:r w:rsidR="00633E25" w:rsidRPr="00CC042C">
        <w:t>assessed</w:t>
      </w:r>
      <w:r w:rsidR="002712D6" w:rsidRPr="00CC042C">
        <w:t xml:space="preserve"> </w:t>
      </w:r>
      <w:r w:rsidR="00F72500" w:rsidRPr="00CC042C">
        <w:t>promotion within wider diversity contexts.</w:t>
      </w:r>
      <w:r w:rsidR="00746A91" w:rsidRPr="00CC042C">
        <w:t xml:space="preserve"> Others</w:t>
      </w:r>
      <w:r w:rsidR="00D35649" w:rsidRPr="00CC042C">
        <w:t xml:space="preserve"> such as Spilerman and Lunde </w:t>
      </w:r>
      <w:r w:rsidR="00C36488" w:rsidRPr="00CC042C">
        <w:t xml:space="preserve">(1991) </w:t>
      </w:r>
      <w:r w:rsidR="00633E25" w:rsidRPr="00CC042C">
        <w:t>studied</w:t>
      </w:r>
      <w:r w:rsidR="00D35649" w:rsidRPr="00CC042C">
        <w:t xml:space="preserve"> </w:t>
      </w:r>
      <w:r w:rsidR="00010F16" w:rsidRPr="00CC042C">
        <w:t>the importance of</w:t>
      </w:r>
      <w:r w:rsidR="00C36488" w:rsidRPr="00CC042C">
        <w:t xml:space="preserve"> </w:t>
      </w:r>
      <w:r w:rsidRPr="00CC042C">
        <w:t>educ</w:t>
      </w:r>
      <w:r w:rsidR="00D35649" w:rsidRPr="00CC042C">
        <w:t>a</w:t>
      </w:r>
      <w:r w:rsidRPr="00CC042C">
        <w:t>t</w:t>
      </w:r>
      <w:r w:rsidR="00C36488" w:rsidRPr="00CC042C">
        <w:t>ional backgrounds</w:t>
      </w:r>
      <w:r w:rsidR="00D35649" w:rsidRPr="00CC042C">
        <w:t>.</w:t>
      </w:r>
      <w:r w:rsidR="00746A91" w:rsidRPr="00CC042C">
        <w:t xml:space="preserve"> P</w:t>
      </w:r>
      <w:r w:rsidR="00CC7E1A" w:rsidRPr="00CC042C">
        <w:t xml:space="preserve">romotion prospects </w:t>
      </w:r>
      <w:r w:rsidR="00746A91" w:rsidRPr="00CC042C">
        <w:t xml:space="preserve">have also </w:t>
      </w:r>
      <w:r w:rsidR="00AE5475" w:rsidRPr="00CC042C">
        <w:t xml:space="preserve">been </w:t>
      </w:r>
      <w:r w:rsidR="00746A91" w:rsidRPr="00CC042C">
        <w:t xml:space="preserve">connected </w:t>
      </w:r>
      <w:r w:rsidR="00CC7E1A" w:rsidRPr="00CC042C">
        <w:t xml:space="preserve">to wider social themes, for example Kim (2002) associated promotion with </w:t>
      </w:r>
      <w:r w:rsidR="00C36488" w:rsidRPr="00CC042C">
        <w:t xml:space="preserve">individuals’ </w:t>
      </w:r>
      <w:r w:rsidR="00CC7E1A" w:rsidRPr="00CC042C">
        <w:t>social c</w:t>
      </w:r>
      <w:r w:rsidR="00C36488" w:rsidRPr="00CC042C">
        <w:t>apital</w:t>
      </w:r>
      <w:r w:rsidR="00636D1E" w:rsidRPr="00CC042C">
        <w:t xml:space="preserve">, while Lemons and Jones (2001) </w:t>
      </w:r>
      <w:r w:rsidR="004B446E" w:rsidRPr="00CC042C">
        <w:t xml:space="preserve">and </w:t>
      </w:r>
      <w:r w:rsidR="003E7CC9" w:rsidRPr="00CC042C">
        <w:t>Garcia-Izquierdo</w:t>
      </w:r>
      <w:r w:rsidR="004B446E" w:rsidRPr="00CC042C">
        <w:t xml:space="preserve"> </w:t>
      </w:r>
      <w:r w:rsidR="0067613D" w:rsidRPr="00CC042C">
        <w:rPr>
          <w:i/>
        </w:rPr>
        <w:t>et al.</w:t>
      </w:r>
      <w:r w:rsidR="0067613D" w:rsidRPr="00CC042C">
        <w:t xml:space="preserve"> </w:t>
      </w:r>
      <w:r w:rsidR="004B446E" w:rsidRPr="00CC042C">
        <w:t xml:space="preserve">(2012) </w:t>
      </w:r>
      <w:r w:rsidR="00636D1E" w:rsidRPr="00CC042C">
        <w:t xml:space="preserve">discussed promotion decisions </w:t>
      </w:r>
      <w:r w:rsidR="00947876" w:rsidRPr="00CC042C">
        <w:t xml:space="preserve">through </w:t>
      </w:r>
      <w:r w:rsidR="00636D1E" w:rsidRPr="00CC042C">
        <w:t xml:space="preserve">procedural justice.    </w:t>
      </w:r>
      <w:r w:rsidR="00E264FA" w:rsidRPr="00CC042C">
        <w:t xml:space="preserve"> </w:t>
      </w:r>
    </w:p>
    <w:p w14:paraId="3640345A" w14:textId="77777777" w:rsidR="00F75903" w:rsidRPr="00CC042C" w:rsidRDefault="00F75903" w:rsidP="00AB1890">
      <w:pPr>
        <w:spacing w:line="360" w:lineRule="auto"/>
      </w:pPr>
    </w:p>
    <w:p w14:paraId="0D97AE8E" w14:textId="40CBAACC" w:rsidR="00B90C08" w:rsidRPr="00CC042C" w:rsidRDefault="00C36488" w:rsidP="00AB1890">
      <w:pPr>
        <w:spacing w:line="360" w:lineRule="auto"/>
      </w:pPr>
      <w:r w:rsidRPr="00CC042C">
        <w:t>A substantial</w:t>
      </w:r>
      <w:r w:rsidR="00B90C08" w:rsidRPr="00CC042C">
        <w:t xml:space="preserve"> theme of this literature has been </w:t>
      </w:r>
      <w:r w:rsidR="00AC1A04" w:rsidRPr="00CC042C">
        <w:t xml:space="preserve">explicit expression of </w:t>
      </w:r>
      <w:r w:rsidR="00B90C08" w:rsidRPr="00CC042C">
        <w:t xml:space="preserve">the idea of promotion as a merit-derived process reflective of performance </w:t>
      </w:r>
      <w:r w:rsidRPr="00CC042C">
        <w:t>(</w:t>
      </w:r>
      <w:r w:rsidR="009C7786" w:rsidRPr="00CC042C">
        <w:t xml:space="preserve">Alonso and Lewis, 2001; </w:t>
      </w:r>
      <w:r w:rsidR="00B37BEE" w:rsidRPr="00CC042C">
        <w:t xml:space="preserve">Fairburn and Malcomson, 2001; </w:t>
      </w:r>
      <w:r w:rsidR="00B77664" w:rsidRPr="00CC042C">
        <w:t xml:space="preserve">DeVaro, 2006). </w:t>
      </w:r>
      <w:r w:rsidR="000E192D" w:rsidRPr="00CC042C">
        <w:t>An issue that has also been contexua</w:t>
      </w:r>
      <w:r w:rsidR="00947876" w:rsidRPr="00CC042C">
        <w:t xml:space="preserve">lised through the emergence of </w:t>
      </w:r>
      <w:r w:rsidR="00010F16" w:rsidRPr="00CC042C">
        <w:t xml:space="preserve">the </w:t>
      </w:r>
      <w:r w:rsidR="00947876" w:rsidRPr="00CC042C">
        <w:t>New Public M</w:t>
      </w:r>
      <w:r w:rsidR="000E192D" w:rsidRPr="00CC042C">
        <w:t xml:space="preserve">anagement </w:t>
      </w:r>
      <w:r w:rsidRPr="00CC042C">
        <w:t>(</w:t>
      </w:r>
      <w:r w:rsidR="00FD4E26" w:rsidRPr="00CC042C">
        <w:t xml:space="preserve">McLaughlin </w:t>
      </w:r>
      <w:r w:rsidR="00FD4E26" w:rsidRPr="00CC042C">
        <w:rPr>
          <w:i/>
        </w:rPr>
        <w:t>et al</w:t>
      </w:r>
      <w:r w:rsidR="003D22CC" w:rsidRPr="00CC042C">
        <w:t>.</w:t>
      </w:r>
      <w:r w:rsidR="00FD4E26" w:rsidRPr="00CC042C">
        <w:t>, 2002</w:t>
      </w:r>
      <w:r w:rsidR="00ED0346" w:rsidRPr="00CC042C">
        <w:t xml:space="preserve">) </w:t>
      </w:r>
      <w:r w:rsidR="003D22CC" w:rsidRPr="00CC042C">
        <w:t xml:space="preserve">and an invigorated and enhanced </w:t>
      </w:r>
      <w:r w:rsidR="000E192D" w:rsidRPr="00CC042C">
        <w:t>emphasis on public sector</w:t>
      </w:r>
      <w:r w:rsidRPr="00CC042C">
        <w:t xml:space="preserve"> performance (</w:t>
      </w:r>
      <w:r w:rsidR="000E192D" w:rsidRPr="00CC042C">
        <w:t xml:space="preserve">Horn 1995; </w:t>
      </w:r>
      <w:r w:rsidR="00AC2A06" w:rsidRPr="00CC042C">
        <w:t xml:space="preserve">Bale and Dale, 1998; </w:t>
      </w:r>
      <w:r w:rsidR="009708F8" w:rsidRPr="00CC042C">
        <w:t xml:space="preserve">Brown, 2004). </w:t>
      </w:r>
      <w:r w:rsidRPr="00CC042C">
        <w:t>Overall, scholarship</w:t>
      </w:r>
      <w:r w:rsidR="00E9164C" w:rsidRPr="00CC042C">
        <w:t xml:space="preserve"> indicates </w:t>
      </w:r>
      <w:r w:rsidR="00AC1A04" w:rsidRPr="00CC042C">
        <w:t xml:space="preserve">that promotion can reflect </w:t>
      </w:r>
      <w:r w:rsidR="003D22CC" w:rsidRPr="00CC042C">
        <w:t>achievement</w:t>
      </w:r>
      <w:r w:rsidR="00AC1A04" w:rsidRPr="00CC042C">
        <w:t xml:space="preserve"> of specific-job related goals </w:t>
      </w:r>
      <w:r w:rsidRPr="00CC042C">
        <w:t xml:space="preserve">and or </w:t>
      </w:r>
      <w:r w:rsidR="00AC1A04" w:rsidRPr="00CC042C">
        <w:t>other forms of personal attainment</w:t>
      </w:r>
      <w:r w:rsidR="00AE5475" w:rsidRPr="00CC042C">
        <w:t xml:space="preserve"> such as </w:t>
      </w:r>
      <w:r w:rsidR="00AC1A04" w:rsidRPr="00CC042C">
        <w:t>educational qualifi</w:t>
      </w:r>
      <w:r w:rsidR="00E9164C" w:rsidRPr="00CC042C">
        <w:t xml:space="preserve">cations. It also highlights the </w:t>
      </w:r>
      <w:r w:rsidR="00AC1A04" w:rsidRPr="00CC042C">
        <w:t>import</w:t>
      </w:r>
      <w:r w:rsidR="00627679" w:rsidRPr="00CC042C">
        <w:t>ance of personal attributes</w:t>
      </w:r>
      <w:r w:rsidR="00AC1A04" w:rsidRPr="00CC042C">
        <w:t xml:space="preserve"> unrelated to </w:t>
      </w:r>
      <w:r w:rsidR="003D22CC" w:rsidRPr="00CC042C">
        <w:t>performance</w:t>
      </w:r>
      <w:r w:rsidR="00AC1A04" w:rsidRPr="00CC042C">
        <w:t>, for example seniority, gender or ethnicity</w:t>
      </w:r>
      <w:r w:rsidR="00AE5475" w:rsidRPr="00CC042C">
        <w:t>,</w:t>
      </w:r>
      <w:r w:rsidR="00AC1A04" w:rsidRPr="00CC042C">
        <w:t xml:space="preserve"> and notes impacts from broader organizational </w:t>
      </w:r>
      <w:r w:rsidR="003D22CC" w:rsidRPr="00CC042C">
        <w:t>characteristics</w:t>
      </w:r>
      <w:r w:rsidR="00AC1A04" w:rsidRPr="00CC042C">
        <w:t xml:space="preserve">.    </w:t>
      </w:r>
    </w:p>
    <w:p w14:paraId="182B8986" w14:textId="77777777" w:rsidR="00623EAC" w:rsidRPr="00CC042C" w:rsidRDefault="00623EAC" w:rsidP="00AB1890">
      <w:pPr>
        <w:spacing w:line="360" w:lineRule="auto"/>
      </w:pPr>
    </w:p>
    <w:p w14:paraId="17625C3A" w14:textId="77777777" w:rsidR="00E63854" w:rsidRPr="00CC042C" w:rsidRDefault="00E63854" w:rsidP="00AB1890">
      <w:pPr>
        <w:spacing w:line="360" w:lineRule="auto"/>
        <w:rPr>
          <w:b/>
          <w:kern w:val="0"/>
          <w:sz w:val="32"/>
          <w:szCs w:val="32"/>
        </w:rPr>
      </w:pPr>
    </w:p>
    <w:p w14:paraId="4C1E7C99" w14:textId="538B68A5" w:rsidR="00C93F4B" w:rsidRPr="00CC042C" w:rsidRDefault="009E102D" w:rsidP="00AB1890">
      <w:pPr>
        <w:spacing w:line="360" w:lineRule="auto"/>
        <w:rPr>
          <w:b/>
          <w:sz w:val="32"/>
          <w:szCs w:val="32"/>
        </w:rPr>
      </w:pPr>
      <w:r w:rsidRPr="00CC042C">
        <w:rPr>
          <w:b/>
          <w:kern w:val="0"/>
          <w:sz w:val="32"/>
          <w:szCs w:val="32"/>
        </w:rPr>
        <w:t xml:space="preserve">Promotion, Performance, the Chinese Bureaucracy and Economic Growth </w:t>
      </w:r>
    </w:p>
    <w:p w14:paraId="470F8AB1" w14:textId="77777777" w:rsidR="005908EF" w:rsidRPr="00CC042C" w:rsidRDefault="005908EF" w:rsidP="009E102D">
      <w:pPr>
        <w:spacing w:line="360" w:lineRule="auto"/>
      </w:pPr>
    </w:p>
    <w:p w14:paraId="41F952A8" w14:textId="412391E6" w:rsidR="00536E88" w:rsidRPr="00CC042C" w:rsidRDefault="00BF2F3E" w:rsidP="009E102D">
      <w:pPr>
        <w:spacing w:line="360" w:lineRule="auto"/>
      </w:pPr>
      <w:r w:rsidRPr="00CC042C">
        <w:t>Th</w:t>
      </w:r>
      <w:r w:rsidR="006C137B" w:rsidRPr="00CC042C">
        <w:t>e</w:t>
      </w:r>
      <w:r w:rsidRPr="00CC042C">
        <w:t xml:space="preserve"> positions of authority in the government or the Communist Party </w:t>
      </w:r>
      <w:r w:rsidR="006C137B" w:rsidRPr="00CC042C">
        <w:t xml:space="preserve">mentioned here </w:t>
      </w:r>
      <w:r w:rsidRPr="00CC042C">
        <w:t xml:space="preserve">comprise </w:t>
      </w:r>
      <w:r w:rsidR="006C137B" w:rsidRPr="00CC042C">
        <w:t xml:space="preserve">part of </w:t>
      </w:r>
      <w:r w:rsidRPr="00CC042C">
        <w:t xml:space="preserve">a </w:t>
      </w:r>
      <w:r w:rsidRPr="00CC042C">
        <w:rPr>
          <w:i/>
        </w:rPr>
        <w:t>cadre</w:t>
      </w:r>
      <w:r w:rsidRPr="00CC042C">
        <w:t xml:space="preserve"> system, with its origins in the revolutionary struggle. During the Maoist period (1949-76), </w:t>
      </w:r>
      <w:r w:rsidRPr="00CC042C">
        <w:rPr>
          <w:i/>
        </w:rPr>
        <w:t>cadres</w:t>
      </w:r>
      <w:r w:rsidR="00E02B3D" w:rsidRPr="00CC042C">
        <w:t xml:space="preserve"> were chosen</w:t>
      </w:r>
      <w:r w:rsidRPr="00CC042C">
        <w:t xml:space="preserve"> from the peasantry </w:t>
      </w:r>
      <w:r w:rsidR="002A6E95" w:rsidRPr="00CC042C">
        <w:t>and at the start of the period</w:t>
      </w:r>
      <w:r w:rsidRPr="00CC042C">
        <w:t xml:space="preserve"> typically had revol</w:t>
      </w:r>
      <w:r w:rsidR="003E34AA" w:rsidRPr="00CC042C">
        <w:t>u</w:t>
      </w:r>
      <w:r w:rsidRPr="00CC042C">
        <w:t xml:space="preserve">tionary credentials forged in the civil war and or </w:t>
      </w:r>
      <w:r w:rsidR="00E9164C" w:rsidRPr="00CC042C">
        <w:t>the Japanes</w:t>
      </w:r>
      <w:r w:rsidR="003E34AA" w:rsidRPr="00CC042C">
        <w:t>e</w:t>
      </w:r>
      <w:r w:rsidR="00E9164C" w:rsidRPr="00CC042C">
        <w:t xml:space="preserve"> </w:t>
      </w:r>
      <w:r w:rsidRPr="00CC042C">
        <w:t>confl</w:t>
      </w:r>
      <w:r w:rsidR="003E34AA" w:rsidRPr="00CC042C">
        <w:t>ict</w:t>
      </w:r>
      <w:r w:rsidR="00A77B9D" w:rsidRPr="00CC042C">
        <w:t>.</w:t>
      </w:r>
      <w:r w:rsidRPr="00CC042C">
        <w:t xml:space="preserve"> Maoism regarded intellectuals as </w:t>
      </w:r>
      <w:r w:rsidR="003E34AA" w:rsidRPr="00CC042C">
        <w:t>bourgeois</w:t>
      </w:r>
      <w:r w:rsidR="00E9164C" w:rsidRPr="00CC042C">
        <w:t xml:space="preserve"> and, in cont</w:t>
      </w:r>
      <w:r w:rsidR="003E34AA" w:rsidRPr="00CC042C">
        <w:t>r</w:t>
      </w:r>
      <w:r w:rsidR="00E9164C" w:rsidRPr="00CC042C">
        <w:t>ast to European c</w:t>
      </w:r>
      <w:r w:rsidRPr="00CC042C">
        <w:t xml:space="preserve">ommunist regimes, </w:t>
      </w:r>
      <w:r w:rsidR="00E9164C" w:rsidRPr="00CC042C">
        <w:t xml:space="preserve">excluded them </w:t>
      </w:r>
      <w:r w:rsidR="008029AB" w:rsidRPr="00CC042C">
        <w:t>from leadership role</w:t>
      </w:r>
      <w:r w:rsidR="00E9164C" w:rsidRPr="00CC042C">
        <w:t xml:space="preserve">s. </w:t>
      </w:r>
      <w:r w:rsidR="00E9164C" w:rsidRPr="00CC042C">
        <w:rPr>
          <w:i/>
        </w:rPr>
        <w:t>Cadre</w:t>
      </w:r>
      <w:r w:rsidR="00E9164C" w:rsidRPr="00CC042C">
        <w:t xml:space="preserve"> recruitment was ‘</w:t>
      </w:r>
      <w:r w:rsidR="008029AB" w:rsidRPr="00CC042C">
        <w:t>based on class background and social relations rather than on talent and specialization’ (Wang, 1981: 4</w:t>
      </w:r>
      <w:r w:rsidR="00FA5ED5" w:rsidRPr="00CC042C">
        <w:t>)</w:t>
      </w:r>
      <w:r w:rsidR="009C340A" w:rsidRPr="00CC042C">
        <w:t>.</w:t>
      </w:r>
      <w:r w:rsidRPr="00CC042C">
        <w:t xml:space="preserve"> </w:t>
      </w:r>
      <w:r w:rsidR="009C340A" w:rsidRPr="00CC042C">
        <w:t>A</w:t>
      </w:r>
      <w:r w:rsidRPr="00CC042C">
        <w:t>ttempts by more pragmatic</w:t>
      </w:r>
      <w:r w:rsidR="00536E88" w:rsidRPr="00CC042C">
        <w:t xml:space="preserve"> leaders</w:t>
      </w:r>
      <w:r w:rsidR="009C46A7" w:rsidRPr="00CC042C">
        <w:t>,</w:t>
      </w:r>
      <w:r w:rsidR="00536E88" w:rsidRPr="00CC042C">
        <w:t xml:space="preserve"> such as </w:t>
      </w:r>
      <w:r w:rsidR="007E795A" w:rsidRPr="00CC042C">
        <w:rPr>
          <w:u w:val="single"/>
        </w:rPr>
        <w:t>Liu</w:t>
      </w:r>
      <w:r w:rsidR="00536E88" w:rsidRPr="00CC042C">
        <w:rPr>
          <w:u w:val="single"/>
        </w:rPr>
        <w:t xml:space="preserve"> </w:t>
      </w:r>
      <w:r w:rsidR="00536E88" w:rsidRPr="00CC042C">
        <w:t xml:space="preserve">Shaoqi, to co-opt intellectuals as </w:t>
      </w:r>
      <w:r w:rsidR="00536E88" w:rsidRPr="00CC042C">
        <w:rPr>
          <w:i/>
        </w:rPr>
        <w:t>cadres</w:t>
      </w:r>
      <w:r w:rsidR="002A6E95" w:rsidRPr="00CC042C">
        <w:t>,</w:t>
      </w:r>
      <w:r w:rsidR="00536E88" w:rsidRPr="00CC042C">
        <w:t xml:space="preserve"> so that their skills could be used for economic development, were resisted (Lee, 1991</w:t>
      </w:r>
      <w:r w:rsidR="006F4C75" w:rsidRPr="00CC042C">
        <w:t>: 77</w:t>
      </w:r>
      <w:r w:rsidR="00536E88" w:rsidRPr="00CC042C">
        <w:t>). Furthermore, recruitment of peasants meant that levels of educational attainment am</w:t>
      </w:r>
      <w:r w:rsidR="003E2135" w:rsidRPr="00CC042C">
        <w:t>ongst</w:t>
      </w:r>
      <w:r w:rsidR="00536E88" w:rsidRPr="00CC042C">
        <w:t xml:space="preserve"> the </w:t>
      </w:r>
      <w:r w:rsidR="00536E88" w:rsidRPr="00CC042C">
        <w:rPr>
          <w:i/>
        </w:rPr>
        <w:t>cadres</w:t>
      </w:r>
      <w:r w:rsidR="00536E88" w:rsidRPr="00CC042C">
        <w:t xml:space="preserve"> were typically low.  </w:t>
      </w:r>
      <w:r w:rsidR="00AC28EB" w:rsidRPr="00CC042C">
        <w:t xml:space="preserve">Absence </w:t>
      </w:r>
      <w:r w:rsidR="009E102D" w:rsidRPr="00CC042C">
        <w:t xml:space="preserve">of a retirement system made breaking into the communist elite difficult. </w:t>
      </w:r>
      <w:r w:rsidR="00536E88" w:rsidRPr="00CC042C">
        <w:t>Establis</w:t>
      </w:r>
      <w:r w:rsidR="00E02B3D" w:rsidRPr="00CC042C">
        <w:t xml:space="preserve">hed </w:t>
      </w:r>
      <w:r w:rsidR="003E34AA" w:rsidRPr="00CC042C">
        <w:t>hierarchies</w:t>
      </w:r>
      <w:r w:rsidR="00E02B3D" w:rsidRPr="00CC042C">
        <w:t xml:space="preserve"> were disrupted</w:t>
      </w:r>
      <w:r w:rsidR="00AC28EB" w:rsidRPr="00CC042C">
        <w:t xml:space="preserve"> during the Cultural R</w:t>
      </w:r>
      <w:r w:rsidR="00536E88" w:rsidRPr="00CC042C">
        <w:t xml:space="preserve">evolution, when many in senior positions were purged, although </w:t>
      </w:r>
      <w:r w:rsidR="00E02B3D" w:rsidRPr="00CC042C">
        <w:t>almost everyone was eventually reinstated</w:t>
      </w:r>
      <w:r w:rsidR="00B00161" w:rsidRPr="00CC042C">
        <w:t>, provided they</w:t>
      </w:r>
      <w:r w:rsidR="003E2135" w:rsidRPr="00CC042C">
        <w:t xml:space="preserve"> survived</w:t>
      </w:r>
      <w:r w:rsidR="00E02B3D" w:rsidRPr="00CC042C">
        <w:t xml:space="preserve">. </w:t>
      </w:r>
      <w:r w:rsidR="00536E88" w:rsidRPr="00CC042C">
        <w:t xml:space="preserve"> </w:t>
      </w:r>
    </w:p>
    <w:p w14:paraId="6703B0DD" w14:textId="77777777" w:rsidR="00DF5D77" w:rsidRPr="00CC042C" w:rsidRDefault="00DF5D77" w:rsidP="009E102D">
      <w:pPr>
        <w:spacing w:line="360" w:lineRule="auto"/>
      </w:pPr>
    </w:p>
    <w:p w14:paraId="6D70876A" w14:textId="3716F95E" w:rsidR="001003DA" w:rsidRPr="00CC042C" w:rsidRDefault="00DF5D77" w:rsidP="009E102D">
      <w:pPr>
        <w:spacing w:line="360" w:lineRule="auto"/>
      </w:pPr>
      <w:r w:rsidRPr="00CC042C">
        <w:t xml:space="preserve">During the 1980s, the </w:t>
      </w:r>
      <w:r w:rsidRPr="00CC042C">
        <w:rPr>
          <w:i/>
        </w:rPr>
        <w:t>cadre</w:t>
      </w:r>
      <w:r w:rsidRPr="00CC042C">
        <w:t xml:space="preserve"> system was overhauled</w:t>
      </w:r>
      <w:r w:rsidR="00470D37" w:rsidRPr="00CC042C">
        <w:t xml:space="preserve"> and</w:t>
      </w:r>
      <w:r w:rsidRPr="00CC042C">
        <w:t xml:space="preserve"> </w:t>
      </w:r>
      <w:r w:rsidR="00470D37" w:rsidRPr="00CC042C">
        <w:t xml:space="preserve">recruitment and promotion criteria shifted from </w:t>
      </w:r>
      <w:r w:rsidRPr="00CC042C">
        <w:t>revolutionary zeal to</w:t>
      </w:r>
      <w:r w:rsidR="00470D37" w:rsidRPr="00CC042C">
        <w:t xml:space="preserve">wards </w:t>
      </w:r>
      <w:r w:rsidRPr="00CC042C">
        <w:t xml:space="preserve">technical competency. </w:t>
      </w:r>
      <w:r w:rsidR="00850A9C" w:rsidRPr="00CC042C">
        <w:t>Changes that can be dated to</w:t>
      </w:r>
      <w:r w:rsidR="00470D37" w:rsidRPr="00CC042C">
        <w:t xml:space="preserve"> a</w:t>
      </w:r>
      <w:r w:rsidR="00850A9C" w:rsidRPr="00CC042C">
        <w:t xml:space="preserve"> speech made by </w:t>
      </w:r>
      <w:r w:rsidR="00850A9C" w:rsidRPr="00CC042C">
        <w:rPr>
          <w:u w:val="single"/>
        </w:rPr>
        <w:t>Deng</w:t>
      </w:r>
      <w:r w:rsidR="00850A9C" w:rsidRPr="00CC042C">
        <w:t xml:space="preserve"> Xiaoping to the </w:t>
      </w:r>
      <w:r w:rsidR="003E34AA" w:rsidRPr="00CC042C">
        <w:t>Politburo</w:t>
      </w:r>
      <w:r w:rsidR="00850A9C" w:rsidRPr="00CC042C">
        <w:t xml:space="preserve"> on 15</w:t>
      </w:r>
      <w:r w:rsidR="00850A9C" w:rsidRPr="00CC042C">
        <w:rPr>
          <w:vertAlign w:val="superscript"/>
        </w:rPr>
        <w:t>th</w:t>
      </w:r>
      <w:r w:rsidR="00850A9C" w:rsidRPr="00CC042C">
        <w:t xml:space="preserve"> August 1980, which </w:t>
      </w:r>
      <w:r w:rsidR="003E34AA" w:rsidRPr="00CC042C">
        <w:t>acknowledged</w:t>
      </w:r>
      <w:r w:rsidR="00850A9C" w:rsidRPr="00CC042C">
        <w:t xml:space="preserve"> a new policy to </w:t>
      </w:r>
      <w:r w:rsidR="00F54BE1" w:rsidRPr="00CC042C">
        <w:t>improve the e</w:t>
      </w:r>
      <w:r w:rsidR="00746A91" w:rsidRPr="00CC042C">
        <w:t>ducation and</w:t>
      </w:r>
      <w:r w:rsidR="00F54BE1" w:rsidRPr="00CC042C">
        <w:t xml:space="preserve"> competence of </w:t>
      </w:r>
      <w:r w:rsidR="00850A9C" w:rsidRPr="00CC042C">
        <w:t xml:space="preserve">the </w:t>
      </w:r>
      <w:r w:rsidR="00850A9C" w:rsidRPr="00CC042C">
        <w:rPr>
          <w:i/>
          <w:kern w:val="0"/>
        </w:rPr>
        <w:t>cadre</w:t>
      </w:r>
      <w:r w:rsidR="00850A9C" w:rsidRPr="00CC042C">
        <w:rPr>
          <w:kern w:val="0"/>
        </w:rPr>
        <w:t xml:space="preserve"> corps</w:t>
      </w:r>
      <w:r w:rsidR="00746A91" w:rsidRPr="00CC042C">
        <w:rPr>
          <w:kern w:val="0"/>
        </w:rPr>
        <w:t>,</w:t>
      </w:r>
      <w:r w:rsidR="00F54BE1" w:rsidRPr="00CC042C">
        <w:rPr>
          <w:kern w:val="0"/>
        </w:rPr>
        <w:t xml:space="preserve"> and lower its age profile.</w:t>
      </w:r>
      <w:r w:rsidR="00850A9C" w:rsidRPr="00CC042C">
        <w:rPr>
          <w:kern w:val="0"/>
        </w:rPr>
        <w:t xml:space="preserve"> </w:t>
      </w:r>
      <w:r w:rsidR="00746A91" w:rsidRPr="00CC042C">
        <w:rPr>
          <w:kern w:val="0"/>
        </w:rPr>
        <w:t>An agenda that, in part at least, was</w:t>
      </w:r>
      <w:r w:rsidR="00F54BE1" w:rsidRPr="00CC042C">
        <w:rPr>
          <w:kern w:val="0"/>
        </w:rPr>
        <w:t xml:space="preserve"> </w:t>
      </w:r>
      <w:r w:rsidR="00850A9C" w:rsidRPr="00CC042C">
        <w:rPr>
          <w:kern w:val="0"/>
        </w:rPr>
        <w:t xml:space="preserve">motivated through </w:t>
      </w:r>
      <w:r w:rsidR="00470D37" w:rsidRPr="00CC042C">
        <w:rPr>
          <w:kern w:val="0"/>
        </w:rPr>
        <w:t xml:space="preserve">aims </w:t>
      </w:r>
      <w:r w:rsidR="00850A9C" w:rsidRPr="00CC042C">
        <w:rPr>
          <w:kern w:val="0"/>
        </w:rPr>
        <w:t xml:space="preserve">to promote economic growth. </w:t>
      </w:r>
      <w:r w:rsidR="00850A9C" w:rsidRPr="00CC042C">
        <w:t xml:space="preserve"> </w:t>
      </w:r>
    </w:p>
    <w:p w14:paraId="47ADD9D2" w14:textId="77777777" w:rsidR="00A974D2" w:rsidRPr="00CC042C" w:rsidRDefault="00A974D2" w:rsidP="009E102D">
      <w:pPr>
        <w:spacing w:line="360" w:lineRule="auto"/>
      </w:pPr>
    </w:p>
    <w:p w14:paraId="738A2015" w14:textId="4B0070CE" w:rsidR="00A974D2" w:rsidRPr="00CC042C" w:rsidRDefault="00F62DAB" w:rsidP="009E102D">
      <w:pPr>
        <w:spacing w:line="360" w:lineRule="auto"/>
      </w:pPr>
      <w:r w:rsidRPr="00CC042C">
        <w:t xml:space="preserve">In order to remove </w:t>
      </w:r>
      <w:r w:rsidRPr="00CC042C">
        <w:rPr>
          <w:i/>
        </w:rPr>
        <w:t>cadres</w:t>
      </w:r>
      <w:r w:rsidRPr="00CC042C">
        <w:t xml:space="preserve"> </w:t>
      </w:r>
      <w:r w:rsidR="009A1119" w:rsidRPr="00CC042C">
        <w:t xml:space="preserve">without the </w:t>
      </w:r>
      <w:r w:rsidRPr="00CC042C">
        <w:t xml:space="preserve">technical skills </w:t>
      </w:r>
      <w:r w:rsidR="009A1119" w:rsidRPr="00CC042C">
        <w:t>required</w:t>
      </w:r>
      <w:r w:rsidRPr="00CC042C">
        <w:t xml:space="preserve"> for economic growth, retirement rules had to be addresse</w:t>
      </w:r>
      <w:r w:rsidR="00036DB1" w:rsidRPr="00CC042C">
        <w:t xml:space="preserve">d. In February </w:t>
      </w:r>
      <w:r w:rsidR="00A974D2" w:rsidRPr="00CC042C">
        <w:t>1982, the CPC Central Committee issued a document (</w:t>
      </w:r>
      <w:r w:rsidR="00A974D2" w:rsidRPr="00CC042C">
        <w:rPr>
          <w:i/>
        </w:rPr>
        <w:t xml:space="preserve">CPC Central Committee Decision on the Establishment of a Veteran Retirement System) </w:t>
      </w:r>
      <w:r w:rsidR="00A974D2" w:rsidRPr="00CC042C">
        <w:t>which commenced the process of abolishing life-tenures for senior officials.</w:t>
      </w:r>
      <w:r w:rsidR="0050658F" w:rsidRPr="00CC042C">
        <w:rPr>
          <w:rStyle w:val="FootnoteReference"/>
        </w:rPr>
        <w:footnoteReference w:id="1"/>
      </w:r>
      <w:r w:rsidR="00A974D2" w:rsidRPr="00CC042C">
        <w:t xml:space="preserve"> </w:t>
      </w:r>
      <w:r w:rsidR="009A570A" w:rsidRPr="00CC042C">
        <w:t xml:space="preserve">Certain veteran </w:t>
      </w:r>
      <w:r w:rsidR="009A570A" w:rsidRPr="00CC042C">
        <w:rPr>
          <w:i/>
        </w:rPr>
        <w:t>cadres</w:t>
      </w:r>
      <w:r w:rsidR="009A570A" w:rsidRPr="00CC042C">
        <w:t xml:space="preserve"> were eligible for </w:t>
      </w:r>
      <w:r w:rsidR="00AC28EB" w:rsidRPr="00CC042C">
        <w:t>a special form</w:t>
      </w:r>
      <w:r w:rsidR="009A570A" w:rsidRPr="00CC042C">
        <w:t xml:space="preserve"> of retirement </w:t>
      </w:r>
      <w:r w:rsidR="00AC28EB" w:rsidRPr="00CC042C">
        <w:t>(</w:t>
      </w:r>
      <w:r w:rsidR="00C63256" w:rsidRPr="00CC042C">
        <w:rPr>
          <w:i/>
        </w:rPr>
        <w:t>li</w:t>
      </w:r>
      <w:r w:rsidR="00BE1095" w:rsidRPr="00CC042C">
        <w:rPr>
          <w:i/>
        </w:rPr>
        <w:t>xiu</w:t>
      </w:r>
      <w:r w:rsidR="00AC28EB" w:rsidRPr="00CC042C">
        <w:rPr>
          <w:i/>
        </w:rPr>
        <w:t>)</w:t>
      </w:r>
      <w:r w:rsidR="009A570A" w:rsidRPr="00CC042C">
        <w:rPr>
          <w:i/>
        </w:rPr>
        <w:t xml:space="preserve">, </w:t>
      </w:r>
      <w:r w:rsidR="009A570A" w:rsidRPr="00CC042C">
        <w:t>which effectively translates as</w:t>
      </w:r>
      <w:r w:rsidR="009A570A" w:rsidRPr="00CC042C">
        <w:rPr>
          <w:i/>
        </w:rPr>
        <w:t xml:space="preserve"> ‘</w:t>
      </w:r>
      <w:r w:rsidR="009A570A" w:rsidRPr="00CC042C">
        <w:t>leaving a job to recuperate’</w:t>
      </w:r>
      <w:r w:rsidR="009A570A" w:rsidRPr="00CC042C">
        <w:rPr>
          <w:i/>
        </w:rPr>
        <w:t xml:space="preserve"> </w:t>
      </w:r>
      <w:r w:rsidR="009A570A" w:rsidRPr="00CC042C">
        <w:t>(Lee, 1991: 235)</w:t>
      </w:r>
      <w:r w:rsidR="00AC28EB" w:rsidRPr="00CC042C">
        <w:t xml:space="preserve">. Retirement was combined </w:t>
      </w:r>
      <w:r w:rsidR="0059756F" w:rsidRPr="00CC042C">
        <w:t>with “unchanged political treatment’ and ‘slightly better economic treatment” (Lee, 1991: 236).</w:t>
      </w:r>
    </w:p>
    <w:p w14:paraId="4FD875EA" w14:textId="77777777" w:rsidR="00A86A03" w:rsidRPr="00CC042C" w:rsidRDefault="00A86A03" w:rsidP="009E102D">
      <w:pPr>
        <w:spacing w:line="360" w:lineRule="auto"/>
      </w:pPr>
    </w:p>
    <w:p w14:paraId="530BF827" w14:textId="14097FA4" w:rsidR="003D724D" w:rsidRPr="00CC042C" w:rsidRDefault="002E6F2D">
      <w:pPr>
        <w:spacing w:line="360" w:lineRule="auto"/>
      </w:pPr>
      <w:r w:rsidRPr="00CC042C">
        <w:t>F</w:t>
      </w:r>
      <w:r w:rsidR="00546EFE" w:rsidRPr="00CC042C">
        <w:t>rom the mid-1980s onwards</w:t>
      </w:r>
      <w:r w:rsidR="003C375C" w:rsidRPr="00CC042C">
        <w:t>,</w:t>
      </w:r>
      <w:r w:rsidR="00546EFE" w:rsidRPr="00CC042C">
        <w:t xml:space="preserve"> there was</w:t>
      </w:r>
      <w:r w:rsidR="007330C2" w:rsidRPr="00CC042C">
        <w:t xml:space="preserve"> also</w:t>
      </w:r>
      <w:r w:rsidR="003D568B" w:rsidRPr="00CC042C">
        <w:t xml:space="preserve"> </w:t>
      </w:r>
      <w:r w:rsidR="00963063" w:rsidRPr="00CC042C">
        <w:t xml:space="preserve">evidence of the development of </w:t>
      </w:r>
      <w:r w:rsidR="004D4BF9" w:rsidRPr="00CC042C">
        <w:t xml:space="preserve">a more rigorous </w:t>
      </w:r>
      <w:r w:rsidR="004D4BF9" w:rsidRPr="00CC042C">
        <w:rPr>
          <w:i/>
        </w:rPr>
        <w:t>cadre</w:t>
      </w:r>
      <w:r w:rsidR="004D4BF9" w:rsidRPr="00CC042C">
        <w:t xml:space="preserve"> management system </w:t>
      </w:r>
      <w:r w:rsidR="00963063" w:rsidRPr="00CC042C">
        <w:t>(M</w:t>
      </w:r>
      <w:r w:rsidR="00367088" w:rsidRPr="00CC042C">
        <w:t xml:space="preserve">anion, 1985). </w:t>
      </w:r>
      <w:r w:rsidR="00546EFE" w:rsidRPr="00CC042C">
        <w:t xml:space="preserve">This evolved into the </w:t>
      </w:r>
      <w:r w:rsidR="00BD4FB8" w:rsidRPr="00CC042C">
        <w:rPr>
          <w:i/>
        </w:rPr>
        <w:t xml:space="preserve">Cadre Responsibility System </w:t>
      </w:r>
      <w:r w:rsidR="00D80DF9" w:rsidRPr="00CC042C">
        <w:t>(Edin</w:t>
      </w:r>
      <w:r w:rsidR="00BD4FB8" w:rsidRPr="00CC042C">
        <w:t>, 2003), which involved accountability for the delivery</w:t>
      </w:r>
      <w:r w:rsidR="00B80777" w:rsidRPr="00CC042C">
        <w:t xml:space="preserve"> of</w:t>
      </w:r>
      <w:r w:rsidR="00BD4FB8" w:rsidRPr="00CC042C">
        <w:t xml:space="preserve"> ‘goals o</w:t>
      </w:r>
      <w:r w:rsidR="003D22CC" w:rsidRPr="00CC042C">
        <w:t>n a scale of importance: soft t</w:t>
      </w:r>
      <w:r w:rsidR="00BD4FB8" w:rsidRPr="00CC042C">
        <w:t>a</w:t>
      </w:r>
      <w:r w:rsidR="003D22CC" w:rsidRPr="00CC042C">
        <w:t>r</w:t>
      </w:r>
      <w:r w:rsidR="00BD4FB8" w:rsidRPr="00CC042C">
        <w:t>gets, hard targets and priority targets’ (Collins and Cottey, 2012: 86). Failure to implement those priorities negat</w:t>
      </w:r>
      <w:r w:rsidR="00E36F94" w:rsidRPr="00CC042C">
        <w:t xml:space="preserve">ing </w:t>
      </w:r>
      <w:r w:rsidR="00BD4FB8" w:rsidRPr="00CC042C">
        <w:t xml:space="preserve">other achievements. </w:t>
      </w:r>
      <w:r w:rsidR="00E36F94" w:rsidRPr="00CC042C">
        <w:t xml:space="preserve">Accountability being (of course) through party-state structures at the next level in the </w:t>
      </w:r>
      <w:r w:rsidR="003D22CC" w:rsidRPr="00CC042C">
        <w:t>hierarchy</w:t>
      </w:r>
      <w:r w:rsidR="00E36F94" w:rsidRPr="00CC042C">
        <w:t xml:space="preserve">, political cultures that </w:t>
      </w:r>
      <w:r w:rsidR="00223D32" w:rsidRPr="00CC042C">
        <w:t xml:space="preserve">also </w:t>
      </w:r>
      <w:r w:rsidR="00E36F94" w:rsidRPr="00CC042C">
        <w:t xml:space="preserve">facilitate swift </w:t>
      </w:r>
      <w:r w:rsidR="00D64053" w:rsidRPr="00CC042C">
        <w:t xml:space="preserve">implementation of new </w:t>
      </w:r>
      <w:r w:rsidR="00E36F94" w:rsidRPr="00CC042C">
        <w:t>agendas</w:t>
      </w:r>
      <w:r w:rsidR="00010F16" w:rsidRPr="00CC042C">
        <w:t>.</w:t>
      </w:r>
      <w:r w:rsidR="00E36F94" w:rsidRPr="00CC042C">
        <w:t xml:space="preserve"> </w:t>
      </w:r>
      <w:r w:rsidR="009C46A7" w:rsidRPr="00CC042C">
        <w:t xml:space="preserve">This effect can be illustrated </w:t>
      </w:r>
      <w:r w:rsidR="002F062B" w:rsidRPr="00CC042C">
        <w:t xml:space="preserve">through reference to how </w:t>
      </w:r>
      <w:r w:rsidR="00E36F94" w:rsidRPr="00CC042C">
        <w:t xml:space="preserve">the decision </w:t>
      </w:r>
      <w:r w:rsidR="002F062B" w:rsidRPr="00CC042C">
        <w:t xml:space="preserve">by the national government </w:t>
      </w:r>
      <w:r w:rsidR="00E36F94" w:rsidRPr="00CC042C">
        <w:t xml:space="preserve">to make climate change ‘a high priority </w:t>
      </w:r>
      <w:r w:rsidR="00223D32" w:rsidRPr="00CC042C">
        <w:t xml:space="preserve">of </w:t>
      </w:r>
      <w:r w:rsidR="00E36F94" w:rsidRPr="00CC042C">
        <w:t>provincial and prefectural government</w:t>
      </w:r>
      <w:r w:rsidR="00C72A21" w:rsidRPr="00CC042C">
        <w:t>s</w:t>
      </w:r>
      <w:r w:rsidR="00E36F94" w:rsidRPr="00CC042C">
        <w:t xml:space="preserve">’ (Collins and </w:t>
      </w:r>
      <w:r w:rsidR="00067E53" w:rsidRPr="00CC042C">
        <w:t xml:space="preserve">Cottey, 2012: 86) quickly affected </w:t>
      </w:r>
      <w:r w:rsidR="00067E53" w:rsidRPr="00CC042C">
        <w:rPr>
          <w:i/>
        </w:rPr>
        <w:t>cadre</w:t>
      </w:r>
      <w:r w:rsidR="00067E53" w:rsidRPr="00CC042C">
        <w:t xml:space="preserve"> performance targets and actions (Qi </w:t>
      </w:r>
      <w:r w:rsidR="00067E53" w:rsidRPr="00CC042C">
        <w:rPr>
          <w:i/>
        </w:rPr>
        <w:t>et al</w:t>
      </w:r>
      <w:r w:rsidR="00067E53" w:rsidRPr="00CC042C">
        <w:t>.</w:t>
      </w:r>
      <w:r w:rsidR="00606E24" w:rsidRPr="00CC042C">
        <w:t>,</w:t>
      </w:r>
      <w:r w:rsidR="00067E53" w:rsidRPr="00CC042C">
        <w:t xml:space="preserve"> 2008). </w:t>
      </w:r>
      <w:r w:rsidR="00546EFE" w:rsidRPr="00CC042C">
        <w:t xml:space="preserve">The </w:t>
      </w:r>
      <w:r w:rsidR="00546EFE" w:rsidRPr="00CC042C">
        <w:rPr>
          <w:i/>
        </w:rPr>
        <w:t>cadre</w:t>
      </w:r>
      <w:r w:rsidR="00546EFE" w:rsidRPr="00CC042C">
        <w:t xml:space="preserve"> system also incorporated procedures to constrain the decentralization reforms </w:t>
      </w:r>
      <w:r w:rsidR="00B13D5A" w:rsidRPr="00CC042C">
        <w:t xml:space="preserve">through limiting </w:t>
      </w:r>
      <w:r w:rsidR="00546EFE" w:rsidRPr="00CC042C">
        <w:t xml:space="preserve">the </w:t>
      </w:r>
      <w:r w:rsidR="00B13D5A" w:rsidRPr="00CC042C">
        <w:t>extent to</w:t>
      </w:r>
      <w:r w:rsidR="00827AD2" w:rsidRPr="00CC042C">
        <w:t xml:space="preserve"> which </w:t>
      </w:r>
      <w:r w:rsidR="00827AD2" w:rsidRPr="00CC042C">
        <w:rPr>
          <w:i/>
        </w:rPr>
        <w:t>cadres</w:t>
      </w:r>
      <w:r w:rsidR="00827AD2" w:rsidRPr="00CC042C">
        <w:t xml:space="preserve"> identified</w:t>
      </w:r>
      <w:r w:rsidR="00546EFE" w:rsidRPr="00CC042C">
        <w:t xml:space="preserve"> with their local</w:t>
      </w:r>
      <w:r w:rsidR="00B13D5A" w:rsidRPr="00CC042C">
        <w:t>ity</w:t>
      </w:r>
      <w:r w:rsidR="000039A2" w:rsidRPr="00CC042C">
        <w:t>,</w:t>
      </w:r>
      <w:r w:rsidR="009A1119" w:rsidRPr="00CC042C">
        <w:t xml:space="preserve"> for example through rotation of individuals </w:t>
      </w:r>
      <w:r w:rsidR="007E1BB5" w:rsidRPr="00CC042C">
        <w:t>between different areas (Zheng, 2009)</w:t>
      </w:r>
      <w:r w:rsidR="00827AD2" w:rsidRPr="00CC042C">
        <w:t>.</w:t>
      </w:r>
      <w:r w:rsidR="00FA5ED5" w:rsidRPr="00CC042C">
        <w:t xml:space="preserve"> </w:t>
      </w:r>
    </w:p>
    <w:p w14:paraId="4A84F79B" w14:textId="77777777" w:rsidR="003D724D" w:rsidRPr="00CC042C" w:rsidRDefault="003D724D" w:rsidP="009E102D">
      <w:pPr>
        <w:spacing w:line="360" w:lineRule="auto"/>
      </w:pPr>
    </w:p>
    <w:p w14:paraId="7E01C5A1" w14:textId="5AB7E5B1" w:rsidR="00F80788" w:rsidRPr="00CC042C" w:rsidRDefault="0029667B" w:rsidP="00AB1890">
      <w:pPr>
        <w:spacing w:line="360" w:lineRule="auto"/>
      </w:pPr>
      <w:r w:rsidRPr="00CC042C">
        <w:t>I</w:t>
      </w:r>
      <w:r w:rsidR="00F80788" w:rsidRPr="00CC042C">
        <w:t>mportance of Chinese national policy agendas, evidenced particularly through t</w:t>
      </w:r>
      <w:r w:rsidR="009E102D" w:rsidRPr="00CC042C">
        <w:t xml:space="preserve">he </w:t>
      </w:r>
      <w:r w:rsidR="00F80788" w:rsidRPr="00CC042C">
        <w:t xml:space="preserve">five-year plans </w:t>
      </w:r>
      <w:r w:rsidR="00E8010F" w:rsidRPr="00CC042C">
        <w:t xml:space="preserve">and capacity of </w:t>
      </w:r>
      <w:r w:rsidR="00A3277E" w:rsidRPr="00CC042C">
        <w:t>national government</w:t>
      </w:r>
      <w:r w:rsidR="00E8010F" w:rsidRPr="00CC042C">
        <w:t xml:space="preserve"> to quickly impose its policies</w:t>
      </w:r>
      <w:r w:rsidRPr="00CC042C">
        <w:t>,</w:t>
      </w:r>
      <w:r w:rsidR="00E8010F" w:rsidRPr="00CC042C">
        <w:t xml:space="preserve"> </w:t>
      </w:r>
      <w:r w:rsidR="00F80788" w:rsidRPr="00CC042C">
        <w:t xml:space="preserve">might suggest that leadership of territories experiencing strong economic performance facilitates promotion. This interpretation, nevertheless, assumes similar reorientations in bureaucratic cultures (O’Reilly </w:t>
      </w:r>
      <w:r w:rsidR="00F80788" w:rsidRPr="00CC042C">
        <w:rPr>
          <w:i/>
        </w:rPr>
        <w:t>et al.</w:t>
      </w:r>
      <w:r w:rsidR="00F80788" w:rsidRPr="00CC042C">
        <w:t xml:space="preserve">, 1991) to reward performance </w:t>
      </w:r>
      <w:r w:rsidRPr="00CC042C">
        <w:t xml:space="preserve">with promotion </w:t>
      </w:r>
      <w:r w:rsidR="00F80788" w:rsidRPr="00CC042C">
        <w:t xml:space="preserve">and </w:t>
      </w:r>
      <w:r w:rsidRPr="00CC042C">
        <w:t xml:space="preserve">so </w:t>
      </w:r>
      <w:r w:rsidR="00F80788" w:rsidRPr="00CC042C">
        <w:t xml:space="preserve">the emergence of organizational cultures and processes </w:t>
      </w:r>
      <w:r w:rsidR="00B13D5A" w:rsidRPr="00CC042C">
        <w:t>reflective</w:t>
      </w:r>
      <w:r w:rsidRPr="00CC042C">
        <w:t xml:space="preserve"> of the reform</w:t>
      </w:r>
      <w:r w:rsidR="00B00161" w:rsidRPr="00CC042C">
        <w:t xml:space="preserve"> agenda</w:t>
      </w:r>
      <w:r w:rsidRPr="00CC042C">
        <w:t xml:space="preserve">. It is, therefore, assumed that these </w:t>
      </w:r>
      <w:r w:rsidR="00B00161" w:rsidRPr="00CC042C">
        <w:t>changes</w:t>
      </w:r>
      <w:r w:rsidRPr="00CC042C">
        <w:t xml:space="preserve"> have effectively challenged the </w:t>
      </w:r>
      <w:r w:rsidR="00F80788" w:rsidRPr="00CC042C">
        <w:t>traditional ‘mode of conduct’ (Rokeach, 1973: 5)</w:t>
      </w:r>
      <w:r w:rsidRPr="00CC042C">
        <w:t>,</w:t>
      </w:r>
      <w:r w:rsidR="00F80788" w:rsidRPr="00CC042C">
        <w:t xml:space="preserve"> dating from the Maoist period</w:t>
      </w:r>
      <w:r w:rsidR="003D568B" w:rsidRPr="00CC042C">
        <w:t>.</w:t>
      </w:r>
      <w:r w:rsidRPr="00CC042C">
        <w:t xml:space="preserve"> </w:t>
      </w:r>
    </w:p>
    <w:p w14:paraId="25079D50" w14:textId="77777777" w:rsidR="00F80788" w:rsidRPr="00CC042C" w:rsidRDefault="00F80788" w:rsidP="00AB1890">
      <w:pPr>
        <w:spacing w:line="360" w:lineRule="auto"/>
      </w:pPr>
    </w:p>
    <w:p w14:paraId="302AC83A" w14:textId="6F5854D4" w:rsidR="00F80788" w:rsidRPr="00CC042C" w:rsidRDefault="00F80788" w:rsidP="00AB1890">
      <w:pPr>
        <w:spacing w:line="360" w:lineRule="auto"/>
      </w:pPr>
      <w:r w:rsidRPr="00CC042C">
        <w:t>Such changes can be illuminated through relevant typological distinctions. Adopting Cameron and Freeman’s (1991) classification, constructed through internal-exte</w:t>
      </w:r>
      <w:r w:rsidR="00647A39" w:rsidRPr="00CC042C">
        <w:t>rnal and organic-mechanistic axe</w:t>
      </w:r>
      <w:r w:rsidRPr="00CC042C">
        <w:t>s, we can postulate that cultural shifts reflecting performance agendas are consistent with movements from hierarchy-based to market-based cultures. The former coalescing around prioritizing internal</w:t>
      </w:r>
      <w:r w:rsidRPr="00CC042C">
        <w:rPr>
          <w:i/>
        </w:rPr>
        <w:t xml:space="preserve"> </w:t>
      </w:r>
      <w:r w:rsidRPr="00CC042C">
        <w:t xml:space="preserve">maintenance, for example through integration and smoothing actions, the latter stressing external competition and differentiation. Both orientations are, however, focused on the mechanistic axis, reflective of values such as control and order. </w:t>
      </w:r>
    </w:p>
    <w:p w14:paraId="74501B74" w14:textId="77777777" w:rsidR="00F80788" w:rsidRPr="00CC042C" w:rsidRDefault="00F80788" w:rsidP="00AB1890">
      <w:pPr>
        <w:spacing w:line="360" w:lineRule="auto"/>
      </w:pPr>
    </w:p>
    <w:p w14:paraId="403A2ECC" w14:textId="3A61D825" w:rsidR="004248E5" w:rsidRPr="00CC042C" w:rsidRDefault="00F80788" w:rsidP="00AB1890">
      <w:pPr>
        <w:spacing w:line="360" w:lineRule="auto"/>
      </w:pPr>
      <w:r w:rsidRPr="00CC042C">
        <w:t>Literature about China’s transition from socialism has also addressed shifting organizational cultures</w:t>
      </w:r>
      <w:r w:rsidR="002F062B" w:rsidRPr="00CC042C">
        <w:t>.</w:t>
      </w:r>
      <w:r w:rsidRPr="00CC042C">
        <w:t xml:space="preserve"> </w:t>
      </w:r>
      <w:r w:rsidR="002F062B" w:rsidRPr="00CC042C">
        <w:t xml:space="preserve">Writers such as </w:t>
      </w:r>
      <w:r w:rsidRPr="00CC042C">
        <w:t xml:space="preserve">Tsui </w:t>
      </w:r>
      <w:r w:rsidRPr="00CC042C">
        <w:rPr>
          <w:i/>
        </w:rPr>
        <w:t>et al.</w:t>
      </w:r>
      <w:r w:rsidRPr="00CC042C">
        <w:t xml:space="preserve"> (2006) considered variations amongst state-ownership, private domestically-owned enterprises and foreign-owned firms</w:t>
      </w:r>
      <w:r w:rsidR="002F062B" w:rsidRPr="00CC042C">
        <w:t>.</w:t>
      </w:r>
      <w:r w:rsidR="00A6396A" w:rsidRPr="00CC042C">
        <w:t xml:space="preserve"> </w:t>
      </w:r>
      <w:r w:rsidR="002F062B" w:rsidRPr="00CC042C">
        <w:t xml:space="preserve">Others, such as </w:t>
      </w:r>
      <w:r w:rsidRPr="00CC042C">
        <w:t xml:space="preserve">Lau </w:t>
      </w:r>
      <w:r w:rsidRPr="00CC042C">
        <w:rPr>
          <w:i/>
        </w:rPr>
        <w:t>et al.</w:t>
      </w:r>
      <w:r w:rsidRPr="00CC042C">
        <w:t xml:space="preserve"> (2002)</w:t>
      </w:r>
      <w:r w:rsidR="002F062B" w:rsidRPr="00CC042C">
        <w:t>,</w:t>
      </w:r>
      <w:r w:rsidRPr="00CC042C">
        <w:t xml:space="preserve"> connected Chinese organizational cultures to change agendas and</w:t>
      </w:r>
      <w:r w:rsidR="00A6396A" w:rsidRPr="00CC042C">
        <w:t xml:space="preserve"> </w:t>
      </w:r>
      <w:r w:rsidRPr="00CC042C">
        <w:t>employee attitudes towards their firm and job</w:t>
      </w:r>
      <w:r w:rsidR="00A6396A" w:rsidRPr="00CC042C">
        <w:t>.</w:t>
      </w:r>
      <w:r w:rsidRPr="00CC042C">
        <w:t xml:space="preserve"> Similarly, our study has implications for understanding organizational cultures of the Chinese bureaucracy. Regarding the hierarchy and market distinctions specified by Cameron and Freeman (1991), evidence that promotion reflected economic growth performance could be interpreted as indicating m</w:t>
      </w:r>
      <w:r w:rsidR="00D64053" w:rsidRPr="00CC042C">
        <w:t>arket cultures. Central control</w:t>
      </w:r>
      <w:r w:rsidRPr="00CC042C">
        <w:t xml:space="preserve"> imposed to encourage provincial leaders to respond to external stimuli. Alternatively, dominance of other factors, particularly experience and central connection, might be appreciated as indicating hierarchy-based and inward-focused cultures.</w:t>
      </w:r>
    </w:p>
    <w:p w14:paraId="1322131E" w14:textId="77777777" w:rsidR="004248E5" w:rsidRPr="00CC042C" w:rsidRDefault="004248E5" w:rsidP="00AB1890">
      <w:pPr>
        <w:spacing w:line="360" w:lineRule="auto"/>
      </w:pPr>
    </w:p>
    <w:p w14:paraId="6DA9EC2C" w14:textId="7842DE94" w:rsidR="006F4069" w:rsidRPr="00CC042C" w:rsidRDefault="00F80788" w:rsidP="00AB1890">
      <w:pPr>
        <w:spacing w:line="360" w:lineRule="auto"/>
      </w:pPr>
      <w:r w:rsidRPr="00CC042C">
        <w:t xml:space="preserve">Although, there is an absence of scholarship connecting organizational cultures to bureaucratic promotions, the career trajectories of territorial Chinese leaders have been addressed through several studies. Chen </w:t>
      </w:r>
      <w:r w:rsidRPr="00CC042C">
        <w:rPr>
          <w:i/>
        </w:rPr>
        <w:t>et al.</w:t>
      </w:r>
      <w:r w:rsidRPr="00CC042C">
        <w:t xml:space="preserve"> (2005) argued that promotion prospects of provincial leaders depended on relative economic performance compared to their </w:t>
      </w:r>
      <w:r w:rsidR="0038181D" w:rsidRPr="00CC042C">
        <w:t xml:space="preserve">immediate </w:t>
      </w:r>
      <w:r w:rsidRPr="00CC042C">
        <w:t>predecessors. Li and Zhou (2005) asserted that promotion and dismissal of provincial leaders reflected their economi</w:t>
      </w:r>
      <w:r w:rsidR="006B0599" w:rsidRPr="00CC042C">
        <w:t xml:space="preserve">c </w:t>
      </w:r>
      <w:r w:rsidRPr="00CC042C">
        <w:t>records, while Blanchard and S</w:t>
      </w:r>
      <w:r w:rsidR="000D00E2" w:rsidRPr="00CC042C">
        <w:t>h</w:t>
      </w:r>
      <w:r w:rsidRPr="00CC042C">
        <w:t>leifer (2001: 175) claimed that the Chinese Communist Party supported ‘governors whose regions have performed well economically’ and disciplined ‘governors who have followed anti-growth policies’. Similarly, Wei (2002: 1733) commented that ‘local government officials who have succeeded in achieving local economic development can be promoted’</w:t>
      </w:r>
      <w:r w:rsidR="00A52F7F" w:rsidRPr="00CC042C">
        <w:t>.</w:t>
      </w:r>
      <w:r w:rsidRPr="00CC042C">
        <w:t xml:space="preserve"> </w:t>
      </w:r>
      <w:r w:rsidR="006C7669" w:rsidRPr="00CC042C">
        <w:t>Gu</w:t>
      </w:r>
      <w:r w:rsidRPr="00CC042C">
        <w:t xml:space="preserve">o (2007) associated promotion with revenue growth; </w:t>
      </w:r>
      <w:r w:rsidR="00A52F7F" w:rsidRPr="00CC042C">
        <w:t>while</w:t>
      </w:r>
      <w:r w:rsidRPr="00CC042C">
        <w:t xml:space="preserve"> Landry (2003) observed positive but limited impacts from economic performance on mayoral careers. </w:t>
      </w:r>
    </w:p>
    <w:p w14:paraId="5788B550" w14:textId="77777777" w:rsidR="00F80788" w:rsidRPr="00CC042C" w:rsidRDefault="00F80788" w:rsidP="00AB1890">
      <w:pPr>
        <w:spacing w:line="360" w:lineRule="auto"/>
      </w:pPr>
    </w:p>
    <w:p w14:paraId="32A0B533" w14:textId="1DB70FB4" w:rsidR="00F80788" w:rsidRPr="00CC042C" w:rsidRDefault="00F80788" w:rsidP="00AB1890">
      <w:pPr>
        <w:spacing w:line="360" w:lineRule="auto"/>
      </w:pPr>
      <w:r w:rsidRPr="00CC042C">
        <w:t xml:space="preserve">Alternatively, Su </w:t>
      </w:r>
      <w:r w:rsidRPr="00CC042C">
        <w:rPr>
          <w:i/>
        </w:rPr>
        <w:t xml:space="preserve">et al. </w:t>
      </w:r>
      <w:r w:rsidRPr="00CC042C">
        <w:t xml:space="preserve">(2012) concluded that economic growth records didn’t alter </w:t>
      </w:r>
      <w:r w:rsidR="006863C8" w:rsidRPr="00CC042C">
        <w:t xml:space="preserve">the </w:t>
      </w:r>
      <w:r w:rsidRPr="00CC042C">
        <w:t xml:space="preserve">career </w:t>
      </w:r>
      <w:r w:rsidR="00E16876" w:rsidRPr="00CC042C">
        <w:t>paths</w:t>
      </w:r>
      <w:r w:rsidRPr="00CC042C">
        <w:t xml:space="preserve"> of provincial bureaucrats. This finding echoe</w:t>
      </w:r>
      <w:r w:rsidR="00E16876" w:rsidRPr="00CC042C">
        <w:t>d</w:t>
      </w:r>
      <w:r w:rsidRPr="00CC042C">
        <w:t xml:space="preserve"> those of Bo (1996), who </w:t>
      </w:r>
      <w:r w:rsidR="007E7502" w:rsidRPr="00CC042C">
        <w:t xml:space="preserve">expressed some scepticism </w:t>
      </w:r>
      <w:r w:rsidRPr="00CC042C">
        <w:t xml:space="preserve">about </w:t>
      </w:r>
      <w:r w:rsidR="007E7502" w:rsidRPr="00CC042C">
        <w:t xml:space="preserve">the idea that good economic records facilitated the promotion of </w:t>
      </w:r>
      <w:r w:rsidRPr="00CC042C">
        <w:t xml:space="preserve">provincial leaders. Similarly, Shih </w:t>
      </w:r>
      <w:r w:rsidRPr="00CC042C">
        <w:rPr>
          <w:i/>
        </w:rPr>
        <w:t xml:space="preserve">et al. </w:t>
      </w:r>
      <w:r w:rsidRPr="00CC042C">
        <w:t xml:space="preserve">(2012: 166) </w:t>
      </w:r>
      <w:r w:rsidR="00715698" w:rsidRPr="00CC042C">
        <w:t>concluded</w:t>
      </w:r>
      <w:r w:rsidRPr="00CC042C">
        <w:t xml:space="preserve"> that there was </w:t>
      </w:r>
      <w:r w:rsidR="00715698" w:rsidRPr="00CC042C">
        <w:t>‘</w:t>
      </w:r>
      <w:r w:rsidRPr="00CC042C">
        <w:t xml:space="preserve">no evidence that strong growth performance was rewarded with higher party ranks’ and Zhang (2014: 263) observed that </w:t>
      </w:r>
      <w:r w:rsidR="00BE3E03" w:rsidRPr="00CC042C">
        <w:t>g</w:t>
      </w:r>
      <w:r w:rsidRPr="00CC042C">
        <w:t>ood</w:t>
      </w:r>
      <w:r w:rsidR="00BE3E03" w:rsidRPr="00CC042C">
        <w:t xml:space="preserve"> ‘</w:t>
      </w:r>
      <w:r w:rsidRPr="00CC042C">
        <w:t xml:space="preserve">economic performance’ did not increase probability of a Politburo or Secretariat appointment. </w:t>
      </w:r>
    </w:p>
    <w:p w14:paraId="5A543806" w14:textId="77777777" w:rsidR="00F80788" w:rsidRPr="00CC042C" w:rsidRDefault="00F80788" w:rsidP="00AB1890">
      <w:pPr>
        <w:spacing w:line="360" w:lineRule="auto"/>
      </w:pPr>
    </w:p>
    <w:p w14:paraId="6BF6177E" w14:textId="53E6D71F" w:rsidR="00F80788" w:rsidRPr="00CC042C" w:rsidRDefault="00F80788" w:rsidP="00AB1890">
      <w:pPr>
        <w:spacing w:line="360" w:lineRule="auto"/>
      </w:pPr>
      <w:r w:rsidRPr="00CC042C">
        <w:t>Regarding alternative explanations, studies addressed the impact of age</w:t>
      </w:r>
      <w:r w:rsidR="006863C8" w:rsidRPr="00CC042C">
        <w:t xml:space="preserve">. </w:t>
      </w:r>
      <w:r w:rsidRPr="00CC042C">
        <w:t xml:space="preserve">Bo (1996: 149) commented that amongst provincial leaderships, younger bureaucrats were ‘less likely to be demoted’; while Li and Zhou (2005) noted </w:t>
      </w:r>
      <w:r w:rsidR="00243CDB" w:rsidRPr="00CC042C">
        <w:t>age-</w:t>
      </w:r>
      <w:r w:rsidR="00F82F73" w:rsidRPr="00CC042C">
        <w:t xml:space="preserve">related impacts on </w:t>
      </w:r>
      <w:r w:rsidRPr="00CC042C">
        <w:t>promotion</w:t>
      </w:r>
      <w:r w:rsidR="00F82F73" w:rsidRPr="00CC042C">
        <w:t xml:space="preserve"> and termination</w:t>
      </w:r>
      <w:r w:rsidRPr="00CC042C">
        <w:t xml:space="preserve">. Scholars also considered educational attainment, Bo (1996: 147) concluded that </w:t>
      </w:r>
      <w:r w:rsidR="006863C8" w:rsidRPr="00CC042C">
        <w:t>p</w:t>
      </w:r>
      <w:r w:rsidRPr="00CC042C">
        <w:t xml:space="preserve">rovincial leaders </w:t>
      </w:r>
      <w:r w:rsidR="008739F1" w:rsidRPr="00CC042C">
        <w:t>with no college ed</w:t>
      </w:r>
      <w:r w:rsidR="00D7239D" w:rsidRPr="00CC042C">
        <w:t>ucation were more likely</w:t>
      </w:r>
      <w:r w:rsidR="008739F1" w:rsidRPr="00CC042C">
        <w:t xml:space="preserve"> to be promoted than those with college education. </w:t>
      </w:r>
      <w:r w:rsidRPr="00CC042C">
        <w:t xml:space="preserve">Similarly, the idea that promotion reflected previous employment at </w:t>
      </w:r>
      <w:r w:rsidR="00C47F9D" w:rsidRPr="00CC042C">
        <w:t>national level</w:t>
      </w:r>
      <w:r w:rsidRPr="00CC042C">
        <w:t xml:space="preserve"> was addressed. Bo (1996: 145</w:t>
      </w:r>
      <w:r w:rsidR="008739F1" w:rsidRPr="00CC042C">
        <w:t>) argued that ‘P</w:t>
      </w:r>
      <w:r w:rsidRPr="00CC042C">
        <w:t xml:space="preserve">rovincial leaders of central origins </w:t>
      </w:r>
      <w:r w:rsidR="008739F1" w:rsidRPr="00CC042C">
        <w:t>are more likely to be</w:t>
      </w:r>
      <w:r w:rsidRPr="00CC042C">
        <w:t xml:space="preserve"> promoted </w:t>
      </w:r>
      <w:r w:rsidR="0090132F" w:rsidRPr="00CC042C">
        <w:t>because they have stronger connections with the center</w:t>
      </w:r>
      <w:r w:rsidRPr="00CC042C">
        <w:t xml:space="preserve">’, while Li and Zhou (2005: 1755) commented that ‘previous or current work experience in </w:t>
      </w:r>
      <w:r w:rsidR="00F82F73" w:rsidRPr="00CC042C">
        <w:t xml:space="preserve">the </w:t>
      </w:r>
      <w:r w:rsidRPr="00CC042C">
        <w:t xml:space="preserve">central government increases…the probability of promotion’. </w:t>
      </w:r>
    </w:p>
    <w:p w14:paraId="5AF02A64" w14:textId="77777777" w:rsidR="00F80788" w:rsidRPr="00CC042C" w:rsidRDefault="00F80788" w:rsidP="00AB1890">
      <w:pPr>
        <w:spacing w:line="360" w:lineRule="auto"/>
      </w:pPr>
    </w:p>
    <w:p w14:paraId="4A9734A4" w14:textId="59D7953B" w:rsidR="00F80788" w:rsidRPr="00CC042C" w:rsidRDefault="00F80788" w:rsidP="00AB1890">
      <w:pPr>
        <w:spacing w:line="360" w:lineRule="auto"/>
        <w:rPr>
          <w:kern w:val="0"/>
        </w:rPr>
      </w:pPr>
      <w:r w:rsidRPr="00CC042C">
        <w:t>This scholarship has, however, been characterized by significant methodological weaknesses, implying requiremen</w:t>
      </w:r>
      <w:r w:rsidR="00EE3FD0" w:rsidRPr="00CC042C">
        <w:t xml:space="preserve">ts for further analysis. First, some </w:t>
      </w:r>
      <w:r w:rsidRPr="00CC042C">
        <w:t xml:space="preserve">studies were limited in scope, for example Su </w:t>
      </w:r>
      <w:r w:rsidRPr="00CC042C">
        <w:rPr>
          <w:i/>
        </w:rPr>
        <w:t xml:space="preserve">et al. </w:t>
      </w:r>
      <w:r w:rsidRPr="00CC042C">
        <w:rPr>
          <w:kern w:val="0"/>
        </w:rPr>
        <w:t>(2012) w</w:t>
      </w:r>
      <w:r w:rsidR="00AC694D" w:rsidRPr="00CC042C">
        <w:rPr>
          <w:kern w:val="0"/>
        </w:rPr>
        <w:t>as restricted to re-coding data used</w:t>
      </w:r>
      <w:r w:rsidRPr="00CC042C">
        <w:rPr>
          <w:kern w:val="0"/>
        </w:rPr>
        <w:t xml:space="preserve"> by Li and Zhou (2005) and Chen </w:t>
      </w:r>
      <w:r w:rsidRPr="00CC042C">
        <w:rPr>
          <w:i/>
          <w:kern w:val="0"/>
        </w:rPr>
        <w:t xml:space="preserve">et al. </w:t>
      </w:r>
      <w:r w:rsidRPr="00CC042C">
        <w:rPr>
          <w:kern w:val="0"/>
        </w:rPr>
        <w:t xml:space="preserve">(2005); while Landry’s (2003) study </w:t>
      </w:r>
      <w:r w:rsidR="00F40EF1" w:rsidRPr="00CC042C">
        <w:rPr>
          <w:kern w:val="0"/>
        </w:rPr>
        <w:t xml:space="preserve">was confined to </w:t>
      </w:r>
      <w:r w:rsidRPr="00CC042C">
        <w:rPr>
          <w:kern w:val="0"/>
        </w:rPr>
        <w:t xml:space="preserve">mayors, ignoring other echelons of the Chinese bureaucracy. Furthermore, </w:t>
      </w:r>
      <w:r w:rsidR="00D7239D" w:rsidRPr="00CC042C">
        <w:rPr>
          <w:kern w:val="0"/>
        </w:rPr>
        <w:t>this focus on mayors meant that the</w:t>
      </w:r>
      <w:r w:rsidRPr="00CC042C">
        <w:rPr>
          <w:kern w:val="0"/>
        </w:rPr>
        <w:t xml:space="preserve"> study was beset with intensive difficulties in obtaining accurate and comprehensive data. </w:t>
      </w:r>
    </w:p>
    <w:p w14:paraId="25CB4A27" w14:textId="77777777" w:rsidR="00F80788" w:rsidRPr="00CC042C" w:rsidRDefault="00F80788" w:rsidP="00AB1890">
      <w:pPr>
        <w:spacing w:line="360" w:lineRule="auto"/>
        <w:rPr>
          <w:kern w:val="0"/>
        </w:rPr>
      </w:pPr>
    </w:p>
    <w:p w14:paraId="02E87417" w14:textId="3E84D186" w:rsidR="00F80788" w:rsidRPr="00CC042C" w:rsidRDefault="00EE3FD0" w:rsidP="00AB1890">
      <w:pPr>
        <w:spacing w:line="360" w:lineRule="auto"/>
      </w:pPr>
      <w:r w:rsidRPr="00CC042C">
        <w:rPr>
          <w:kern w:val="0"/>
        </w:rPr>
        <w:t>Second</w:t>
      </w:r>
      <w:r w:rsidR="00F80788" w:rsidRPr="00CC042C">
        <w:rPr>
          <w:kern w:val="0"/>
        </w:rPr>
        <w:t xml:space="preserve">, there were timeframe deficiencies in several studies. Specifically, both Landry (2003) and </w:t>
      </w:r>
      <w:r w:rsidR="006C7669" w:rsidRPr="00CC042C">
        <w:rPr>
          <w:kern w:val="0"/>
        </w:rPr>
        <w:t>Gu</w:t>
      </w:r>
      <w:r w:rsidR="00F80788" w:rsidRPr="00CC042C">
        <w:rPr>
          <w:kern w:val="0"/>
        </w:rPr>
        <w:t xml:space="preserve">o (2007) used data from relatively short </w:t>
      </w:r>
      <w:r w:rsidR="00C47F9D" w:rsidRPr="00CC042C">
        <w:rPr>
          <w:kern w:val="0"/>
        </w:rPr>
        <w:t>eleven</w:t>
      </w:r>
      <w:r w:rsidR="006C7669" w:rsidRPr="00CC042C">
        <w:rPr>
          <w:kern w:val="0"/>
        </w:rPr>
        <w:t xml:space="preserve"> and eight</w:t>
      </w:r>
      <w:r w:rsidR="009B076E" w:rsidRPr="00CC042C">
        <w:rPr>
          <w:kern w:val="0"/>
        </w:rPr>
        <w:t>-</w:t>
      </w:r>
      <w:r w:rsidR="00F80788" w:rsidRPr="00CC042C">
        <w:rPr>
          <w:kern w:val="0"/>
        </w:rPr>
        <w:t xml:space="preserve">year periods respectively. </w:t>
      </w:r>
      <w:r w:rsidR="00F80788" w:rsidRPr="00CC042C">
        <w:t>Bo (1996) covered a substantive 1949-1994 period but failure to differentiate between sub-periods meant that</w:t>
      </w:r>
      <w:r w:rsidR="006863C8" w:rsidRPr="00CC042C">
        <w:t xml:space="preserve"> </w:t>
      </w:r>
      <w:r w:rsidR="00F80788" w:rsidRPr="00CC042C">
        <w:t>impacts derived from post-1978</w:t>
      </w:r>
      <w:r w:rsidR="00AC5FC2" w:rsidRPr="00CC042C">
        <w:t>/1980</w:t>
      </w:r>
      <w:r w:rsidR="00F80788" w:rsidRPr="00CC042C">
        <w:t xml:space="preserve"> reform processes were obscured. </w:t>
      </w:r>
    </w:p>
    <w:p w14:paraId="2ABA597E" w14:textId="77777777" w:rsidR="00F80788" w:rsidRPr="00CC042C" w:rsidRDefault="00F80788" w:rsidP="00AB1890">
      <w:pPr>
        <w:spacing w:line="360" w:lineRule="auto"/>
      </w:pPr>
    </w:p>
    <w:p w14:paraId="4A080706" w14:textId="471A944C" w:rsidR="00F80788" w:rsidRPr="003253C8" w:rsidRDefault="00EE3FD0" w:rsidP="00AB1890">
      <w:pPr>
        <w:spacing w:line="360" w:lineRule="auto"/>
      </w:pPr>
      <w:r w:rsidRPr="003253C8">
        <w:t>Third</w:t>
      </w:r>
      <w:r w:rsidR="00F80788" w:rsidRPr="003253C8">
        <w:t xml:space="preserve">, </w:t>
      </w:r>
      <w:r w:rsidR="005C24E8" w:rsidRPr="003253C8">
        <w:t xml:space="preserve">the literature has, to some extent, been characterized by </w:t>
      </w:r>
      <w:r w:rsidR="00F80788" w:rsidRPr="003253C8">
        <w:t xml:space="preserve">definitional weaknesses. </w:t>
      </w:r>
      <w:r w:rsidR="005C24E8" w:rsidRPr="00193FBA">
        <w:t>Studies</w:t>
      </w:r>
      <w:r w:rsidR="00FD7086" w:rsidRPr="00193FBA">
        <w:t>,</w:t>
      </w:r>
      <w:r w:rsidR="005C24E8" w:rsidRPr="00193FBA">
        <w:t xml:space="preserve"> such as </w:t>
      </w:r>
      <w:r w:rsidR="00FD7086" w:rsidRPr="00193FBA">
        <w:t xml:space="preserve">those undertaken by </w:t>
      </w:r>
      <w:r w:rsidR="00F80788" w:rsidRPr="00193FBA">
        <w:t xml:space="preserve">Chen </w:t>
      </w:r>
      <w:r w:rsidR="00F80788" w:rsidRPr="00193FBA">
        <w:rPr>
          <w:i/>
        </w:rPr>
        <w:t xml:space="preserve">et al. </w:t>
      </w:r>
      <w:r w:rsidR="00FD7086" w:rsidRPr="00193FBA">
        <w:t>(2</w:t>
      </w:r>
      <w:r w:rsidR="00F80788" w:rsidRPr="00193FBA">
        <w:t>0</w:t>
      </w:r>
      <w:r w:rsidR="0038181D" w:rsidRPr="00193FBA">
        <w:t>0</w:t>
      </w:r>
      <w:r w:rsidR="00F80788" w:rsidRPr="00193FBA">
        <w:t>5</w:t>
      </w:r>
      <w:r w:rsidR="00FD7086" w:rsidRPr="00193FBA">
        <w:t>) and Li and Zhou</w:t>
      </w:r>
      <w:r w:rsidR="00772D54" w:rsidRPr="00193FBA">
        <w:t xml:space="preserve">  (</w:t>
      </w:r>
      <w:r w:rsidR="00F80788" w:rsidRPr="00193FBA">
        <w:t>2005</w:t>
      </w:r>
      <w:r w:rsidR="00FD7086" w:rsidRPr="00193FBA">
        <w:t xml:space="preserve">), have been </w:t>
      </w:r>
      <w:r w:rsidR="005C24E8" w:rsidRPr="003253C8">
        <w:t>diminished through failure to recognize and model valid alternative definitions of promotion</w:t>
      </w:r>
      <w:r w:rsidR="00F80788" w:rsidRPr="003253C8">
        <w:t xml:space="preserve">. Similarly, deficiencies in </w:t>
      </w:r>
      <w:r w:rsidR="00A861FA" w:rsidRPr="003253C8">
        <w:t xml:space="preserve">the </w:t>
      </w:r>
      <w:r w:rsidR="00F80788" w:rsidRPr="003253C8">
        <w:t xml:space="preserve">treatment of economic growth </w:t>
      </w:r>
      <w:r w:rsidR="005C24E8" w:rsidRPr="003253C8">
        <w:t xml:space="preserve">were widespread </w:t>
      </w:r>
      <w:r w:rsidR="00F80788" w:rsidRPr="003253C8">
        <w:t>(</w:t>
      </w:r>
      <w:r w:rsidR="005C24E8" w:rsidRPr="003253C8">
        <w:t xml:space="preserve">see </w:t>
      </w:r>
      <w:r w:rsidR="00F80788" w:rsidRPr="003253C8">
        <w:rPr>
          <w:kern w:val="0"/>
        </w:rPr>
        <w:t xml:space="preserve">Bo, 1996; Landry, 2003; Chen </w:t>
      </w:r>
      <w:r w:rsidR="00F80788" w:rsidRPr="003253C8">
        <w:rPr>
          <w:i/>
          <w:kern w:val="0"/>
        </w:rPr>
        <w:t>et al.</w:t>
      </w:r>
      <w:r w:rsidR="00F80788" w:rsidRPr="003253C8">
        <w:rPr>
          <w:kern w:val="0"/>
        </w:rPr>
        <w:t>, 2005; Li and Zhou, 2005</w:t>
      </w:r>
      <w:r w:rsidR="006C7669" w:rsidRPr="003253C8">
        <w:rPr>
          <w:kern w:val="0"/>
        </w:rPr>
        <w:t>; Gu</w:t>
      </w:r>
      <w:r w:rsidR="00F80788" w:rsidRPr="003253C8">
        <w:rPr>
          <w:kern w:val="0"/>
        </w:rPr>
        <w:t>o, 2007; Su</w:t>
      </w:r>
      <w:r w:rsidR="008B51C5" w:rsidRPr="003253C8">
        <w:rPr>
          <w:kern w:val="0"/>
        </w:rPr>
        <w:t xml:space="preserve"> </w:t>
      </w:r>
      <w:r w:rsidR="008B51C5" w:rsidRPr="003253C8">
        <w:rPr>
          <w:i/>
          <w:kern w:val="0"/>
        </w:rPr>
        <w:t>et al</w:t>
      </w:r>
      <w:r w:rsidR="008B51C5" w:rsidRPr="003253C8">
        <w:rPr>
          <w:kern w:val="0"/>
        </w:rPr>
        <w:t>.,</w:t>
      </w:r>
      <w:r w:rsidR="00F80788" w:rsidRPr="003253C8">
        <w:rPr>
          <w:kern w:val="0"/>
        </w:rPr>
        <w:t xml:space="preserve"> 2012; Zhang, 2014). </w:t>
      </w:r>
      <w:r w:rsidR="005C24E8" w:rsidRPr="003253C8">
        <w:rPr>
          <w:kern w:val="0"/>
        </w:rPr>
        <w:t xml:space="preserve">For example, </w:t>
      </w:r>
      <w:r w:rsidR="006C7669" w:rsidRPr="003253C8">
        <w:t>Gu</w:t>
      </w:r>
      <w:r w:rsidR="00F80788" w:rsidRPr="003253C8">
        <w:t xml:space="preserve">o (2007) omitted to situate economic growth </w:t>
      </w:r>
      <w:r w:rsidR="001F5DF9" w:rsidRPr="003253C8">
        <w:t xml:space="preserve">records </w:t>
      </w:r>
      <w:r w:rsidR="00F80788" w:rsidRPr="003253C8">
        <w:t xml:space="preserve">within contemporary economic performance of the relevant regions. This issue matters given uneven spatial development (Li and Wei, 2010) and substantive economic cycle variations (Zhang and Wan, 2005).  </w:t>
      </w:r>
    </w:p>
    <w:p w14:paraId="31025044" w14:textId="77777777" w:rsidR="00F80788" w:rsidRPr="003253C8" w:rsidRDefault="00F80788" w:rsidP="00AB1890">
      <w:pPr>
        <w:spacing w:line="360" w:lineRule="auto"/>
      </w:pPr>
    </w:p>
    <w:p w14:paraId="1A572A33" w14:textId="5E3ACF54" w:rsidR="00EB7DCE" w:rsidRPr="003253C8" w:rsidRDefault="00EE3FD0" w:rsidP="00CC413A">
      <w:pPr>
        <w:spacing w:line="360" w:lineRule="auto"/>
      </w:pPr>
      <w:r w:rsidRPr="003253C8">
        <w:t>Fourth</w:t>
      </w:r>
      <w:r w:rsidR="00F80788" w:rsidRPr="003253C8">
        <w:t>, potential connections with wider themes such as changes to bureaucratic leadership in China (Lin, 2008)</w:t>
      </w:r>
      <w:r w:rsidR="00B90051" w:rsidRPr="003253C8">
        <w:t>,</w:t>
      </w:r>
      <w:r w:rsidR="00F80788" w:rsidRPr="003253C8">
        <w:t xml:space="preserve"> </w:t>
      </w:r>
      <w:r w:rsidR="00A861FA" w:rsidRPr="003253C8">
        <w:t>or</w:t>
      </w:r>
      <w:r w:rsidR="00F80788" w:rsidRPr="003253C8">
        <w:t xml:space="preserve"> more generally transitions from socialism (Ferrero, 2001)</w:t>
      </w:r>
      <w:r w:rsidR="00B90051" w:rsidRPr="003253C8">
        <w:t>,</w:t>
      </w:r>
      <w:r w:rsidR="00F80788" w:rsidRPr="003253C8">
        <w:t xml:space="preserve"> have not been properly addressed through this existing literature. Our study avoids these methodological weaknesses, it covers a substantive timeframe relevant to modernization; uses an extensive quantitative dataset; deploys precise and robust definitions of promotion, economic growth and the other </w:t>
      </w:r>
      <w:r w:rsidR="00047666" w:rsidRPr="003253C8">
        <w:t>explanatory</w:t>
      </w:r>
      <w:r w:rsidR="00F80788" w:rsidRPr="003253C8">
        <w:t xml:space="preserve"> variables; and makes connections to the wider themes.  </w:t>
      </w:r>
    </w:p>
    <w:p w14:paraId="2FD6A8DF" w14:textId="0A796823" w:rsidR="00737D35" w:rsidRPr="003253C8" w:rsidRDefault="00F80788" w:rsidP="00CC413A">
      <w:pPr>
        <w:spacing w:line="360" w:lineRule="auto"/>
      </w:pPr>
      <w:r w:rsidRPr="003253C8">
        <w:t xml:space="preserve">  </w:t>
      </w:r>
    </w:p>
    <w:p w14:paraId="07EFE1E8" w14:textId="77777777" w:rsidR="00F80788" w:rsidRPr="003253C8" w:rsidRDefault="00F80788" w:rsidP="00AB1890">
      <w:pPr>
        <w:pStyle w:val="Heading2"/>
        <w:spacing w:line="360" w:lineRule="auto"/>
        <w:rPr>
          <w:lang w:val="en-GB"/>
        </w:rPr>
      </w:pPr>
      <w:r w:rsidRPr="003253C8">
        <w:rPr>
          <w:lang w:val="en-GB"/>
        </w:rPr>
        <w:t>Methodology and data</w:t>
      </w:r>
    </w:p>
    <w:p w14:paraId="18BA428C" w14:textId="6E376EEE" w:rsidR="00F80788" w:rsidRPr="003253C8" w:rsidRDefault="00F80788" w:rsidP="00AB1890">
      <w:pPr>
        <w:widowControl/>
        <w:spacing w:line="360" w:lineRule="auto"/>
        <w:jc w:val="left"/>
        <w:rPr>
          <w:rFonts w:ascii="Times New Roman" w:hAnsi="Times New Roman"/>
          <w:kern w:val="0"/>
          <w:lang w:val="en-GB" w:eastAsia="en-GB"/>
        </w:rPr>
      </w:pPr>
      <w:r w:rsidRPr="003253C8">
        <w:t xml:space="preserve">Our data comprises biographic details about Governors and CPC </w:t>
      </w:r>
      <w:r w:rsidR="009F69B6" w:rsidRPr="003253C8">
        <w:t>Provincial</w:t>
      </w:r>
      <w:r w:rsidR="004A694A" w:rsidRPr="003253C8">
        <w:t xml:space="preserve"> Committee</w:t>
      </w:r>
      <w:r w:rsidR="009F69B6" w:rsidRPr="003253C8">
        <w:t xml:space="preserve"> S</w:t>
      </w:r>
      <w:r w:rsidRPr="003253C8">
        <w:t xml:space="preserve">ecretaries and economic growth statistics. Information about the leaders was collated from a diversity of </w:t>
      </w:r>
      <w:r w:rsidRPr="003253C8">
        <w:rPr>
          <w:kern w:val="0"/>
        </w:rPr>
        <w:t>authoritative sources, including governmental and pa</w:t>
      </w:r>
      <w:r w:rsidR="00A861FA" w:rsidRPr="003253C8">
        <w:rPr>
          <w:kern w:val="0"/>
        </w:rPr>
        <w:t xml:space="preserve">rty websites and media outlets, such as </w:t>
      </w:r>
      <w:r w:rsidRPr="003253C8">
        <w:rPr>
          <w:i/>
          <w:kern w:val="0"/>
        </w:rPr>
        <w:t>xinhuanet.com</w:t>
      </w:r>
      <w:r w:rsidRPr="003253C8">
        <w:rPr>
          <w:kern w:val="0"/>
        </w:rPr>
        <w:t xml:space="preserve"> and </w:t>
      </w:r>
      <w:r w:rsidR="00A861FA" w:rsidRPr="003253C8">
        <w:rPr>
          <w:i/>
          <w:kern w:val="0"/>
        </w:rPr>
        <w:t>people.com.cn</w:t>
      </w:r>
      <w:r w:rsidRPr="003253C8">
        <w:rPr>
          <w:kern w:val="0"/>
        </w:rPr>
        <w:t xml:space="preserve">. </w:t>
      </w:r>
      <w:r w:rsidRPr="003253C8">
        <w:t xml:space="preserve">Our decision to study provincial governmental and party leaderships reflected common scholarly approaches (Bo, 1996; Chen </w:t>
      </w:r>
      <w:r w:rsidRPr="003253C8">
        <w:rPr>
          <w:i/>
        </w:rPr>
        <w:t xml:space="preserve">et al., </w:t>
      </w:r>
      <w:r w:rsidRPr="003253C8">
        <w:t>2005; Li and Zhou, 2005) and the importance of this tier. Particularly through economic decentralization, which</w:t>
      </w:r>
      <w:r w:rsidR="004B63C0" w:rsidRPr="003253C8">
        <w:t xml:space="preserve"> </w:t>
      </w:r>
      <w:r w:rsidRPr="003253C8">
        <w:t>rendered ‘each provincial leader’s performance individually distinguishable and comparable and thereby allows for a sensible link between performance and turnover’</w:t>
      </w:r>
      <w:r w:rsidR="004B63C0" w:rsidRPr="003253C8">
        <w:t xml:space="preserve"> (Chen et al., 2005: 422).</w:t>
      </w:r>
      <w:r w:rsidRPr="003253C8">
        <w:t xml:space="preserve"> </w:t>
      </w:r>
    </w:p>
    <w:p w14:paraId="3C97B05A" w14:textId="77777777" w:rsidR="00F80788" w:rsidRPr="003253C8" w:rsidRDefault="00F80788" w:rsidP="00AB1890">
      <w:pPr>
        <w:autoSpaceDE w:val="0"/>
        <w:autoSpaceDN w:val="0"/>
        <w:adjustRightInd w:val="0"/>
        <w:spacing w:line="360" w:lineRule="auto"/>
        <w:jc w:val="left"/>
      </w:pPr>
    </w:p>
    <w:p w14:paraId="22554F14" w14:textId="47874415" w:rsidR="00F80788" w:rsidRPr="003253C8" w:rsidRDefault="00F80788" w:rsidP="00AB1890">
      <w:pPr>
        <w:autoSpaceDE w:val="0"/>
        <w:autoSpaceDN w:val="0"/>
        <w:adjustRightInd w:val="0"/>
        <w:spacing w:line="360" w:lineRule="auto"/>
        <w:jc w:val="left"/>
        <w:rPr>
          <w:kern w:val="0"/>
        </w:rPr>
      </w:pPr>
      <w:r w:rsidRPr="003253C8">
        <w:t>We included individuals from 31 territories - the 22 provinces, four municipalities (</w:t>
      </w:r>
      <w:r w:rsidRPr="003253C8">
        <w:rPr>
          <w:kern w:val="0"/>
        </w:rPr>
        <w:t xml:space="preserve">Beijing, Tianjin, Shanghai and Chongqing) and five autonomous regions (Inner Mongolia, Guangxi Zhuang, Tibet, Ningxia Hui and Xinjiang Uyghur). We excluded the two special administrative regions (Hong Kong and Macau), which operate under the one country, two systems regime and were, partly, insulated from national governmental authority. We incorporated leaders, whose tenure ended after the </w:t>
      </w:r>
      <w:r w:rsidR="000C73C3" w:rsidRPr="003253C8">
        <w:rPr>
          <w:kern w:val="0"/>
        </w:rPr>
        <w:t xml:space="preserve">Third </w:t>
      </w:r>
      <w:r w:rsidR="008B2D8C" w:rsidRPr="003253C8">
        <w:rPr>
          <w:kern w:val="0"/>
        </w:rPr>
        <w:t>Plenary Session of the 11th Central Committee of the Communist Party of China</w:t>
      </w:r>
      <w:r w:rsidR="000C73C3" w:rsidRPr="003253C8">
        <w:rPr>
          <w:kern w:val="0"/>
        </w:rPr>
        <w:t xml:space="preserve"> </w:t>
      </w:r>
      <w:r w:rsidRPr="003253C8">
        <w:rPr>
          <w:kern w:val="0"/>
        </w:rPr>
        <w:t xml:space="preserve">(December 1978). </w:t>
      </w:r>
      <w:r w:rsidRPr="003253C8">
        <w:t xml:space="preserve">This timeframe reflects commencement of economic reforms and shifting bureaucratic perspectives from revolutionary agitators to technocrats (Lee, 1991). </w:t>
      </w:r>
      <w:r w:rsidRPr="003253C8">
        <w:rPr>
          <w:kern w:val="0"/>
        </w:rPr>
        <w:t>Data was obtained about 487 postings undertaken by 350 individuals, 345 (98.6%) of which were male and 309 (88.3%) Han Chinese. We treat</w:t>
      </w:r>
      <w:r w:rsidR="0000319D" w:rsidRPr="003253C8">
        <w:rPr>
          <w:kern w:val="0"/>
        </w:rPr>
        <w:t>ed</w:t>
      </w:r>
      <w:r w:rsidRPr="003253C8">
        <w:rPr>
          <w:kern w:val="0"/>
        </w:rPr>
        <w:t xml:space="preserve"> each posting as a separate case because key characteristics</w:t>
      </w:r>
      <w:r w:rsidR="00D417A0" w:rsidRPr="003253C8">
        <w:rPr>
          <w:kern w:val="0"/>
        </w:rPr>
        <w:t>,</w:t>
      </w:r>
      <w:r w:rsidRPr="003253C8">
        <w:rPr>
          <w:kern w:val="0"/>
        </w:rPr>
        <w:t xml:space="preserve"> </w:t>
      </w:r>
      <w:r w:rsidR="00D417A0" w:rsidRPr="003253C8">
        <w:rPr>
          <w:kern w:val="0"/>
        </w:rPr>
        <w:t xml:space="preserve">such as </w:t>
      </w:r>
      <w:r w:rsidRPr="003253C8">
        <w:rPr>
          <w:kern w:val="0"/>
        </w:rPr>
        <w:t>age, central connection and education</w:t>
      </w:r>
      <w:r w:rsidR="00CD65DE" w:rsidRPr="003253C8">
        <w:rPr>
          <w:kern w:val="0"/>
        </w:rPr>
        <w:t>,</w:t>
      </w:r>
      <w:r w:rsidRPr="003253C8">
        <w:rPr>
          <w:kern w:val="0"/>
        </w:rPr>
        <w:t xml:space="preserve"> of each official</w:t>
      </w:r>
      <w:r w:rsidR="00B90051" w:rsidRPr="003253C8">
        <w:rPr>
          <w:kern w:val="0"/>
        </w:rPr>
        <w:t>,</w:t>
      </w:r>
      <w:r w:rsidRPr="003253C8">
        <w:rPr>
          <w:kern w:val="0"/>
        </w:rPr>
        <w:t xml:space="preserve"> and their economic growth records</w:t>
      </w:r>
      <w:r w:rsidR="00B90051" w:rsidRPr="003253C8">
        <w:rPr>
          <w:kern w:val="0"/>
        </w:rPr>
        <w:t>,</w:t>
      </w:r>
      <w:r w:rsidRPr="003253C8">
        <w:rPr>
          <w:kern w:val="0"/>
        </w:rPr>
        <w:t xml:space="preserve"> differ</w:t>
      </w:r>
      <w:r w:rsidR="0000319D" w:rsidRPr="003253C8">
        <w:rPr>
          <w:kern w:val="0"/>
        </w:rPr>
        <w:t>ed</w:t>
      </w:r>
      <w:r w:rsidRPr="003253C8">
        <w:rPr>
          <w:kern w:val="0"/>
        </w:rPr>
        <w:t xml:space="preserve"> amongst postings. </w:t>
      </w:r>
    </w:p>
    <w:p w14:paraId="3DC778B3" w14:textId="77777777" w:rsidR="00F80788" w:rsidRPr="003253C8" w:rsidRDefault="00F80788" w:rsidP="00AB1890">
      <w:pPr>
        <w:spacing w:line="360" w:lineRule="auto"/>
        <w:rPr>
          <w:kern w:val="0"/>
        </w:rPr>
      </w:pPr>
    </w:p>
    <w:p w14:paraId="286E3AFA" w14:textId="77777777" w:rsidR="00F80788" w:rsidRPr="003253C8" w:rsidRDefault="00F80788" w:rsidP="00AB1890">
      <w:pPr>
        <w:pStyle w:val="Heading3"/>
        <w:spacing w:line="360" w:lineRule="auto"/>
      </w:pPr>
      <w:r w:rsidRPr="003253C8">
        <w:t xml:space="preserve">Promotion  </w:t>
      </w:r>
    </w:p>
    <w:p w14:paraId="27D95B65" w14:textId="0976C657" w:rsidR="00BB4C4E" w:rsidRPr="003253C8" w:rsidRDefault="00F80788" w:rsidP="00AB1890">
      <w:pPr>
        <w:autoSpaceDE w:val="0"/>
        <w:autoSpaceDN w:val="0"/>
        <w:adjustRightInd w:val="0"/>
        <w:spacing w:line="360" w:lineRule="auto"/>
        <w:jc w:val="left"/>
      </w:pPr>
      <w:r w:rsidRPr="003253C8">
        <w:t>We use</w:t>
      </w:r>
      <w:r w:rsidR="00307442" w:rsidRPr="003253C8">
        <w:t>d</w:t>
      </w:r>
      <w:r w:rsidRPr="003253C8">
        <w:t xml:space="preserve"> two definitions. First, an official version constructed through the Chinese administrative rankings; that codifies equivalence of </w:t>
      </w:r>
      <w:r w:rsidR="00E548F8" w:rsidRPr="003253C8">
        <w:t>M</w:t>
      </w:r>
      <w:r w:rsidRPr="003253C8">
        <w:t xml:space="preserve">inisters, </w:t>
      </w:r>
      <w:r w:rsidR="00E548F8" w:rsidRPr="003253C8">
        <w:t>P</w:t>
      </w:r>
      <w:r w:rsidRPr="003253C8">
        <w:t xml:space="preserve">rovincial </w:t>
      </w:r>
      <w:r w:rsidR="00E548F8" w:rsidRPr="003253C8">
        <w:t>G</w:t>
      </w:r>
      <w:r w:rsidRPr="003253C8">
        <w:t xml:space="preserve">overnors and CPC </w:t>
      </w:r>
      <w:r w:rsidR="00E548F8" w:rsidRPr="003253C8">
        <w:t>P</w:t>
      </w:r>
      <w:r w:rsidRPr="003253C8">
        <w:t xml:space="preserve">rovincial </w:t>
      </w:r>
      <w:r w:rsidR="00E548F8" w:rsidRPr="003253C8">
        <w:t>C</w:t>
      </w:r>
      <w:r w:rsidRPr="003253C8">
        <w:t xml:space="preserve">ommittee </w:t>
      </w:r>
      <w:r w:rsidR="00E548F8" w:rsidRPr="003253C8">
        <w:t>S</w:t>
      </w:r>
      <w:r w:rsidRPr="003253C8">
        <w:t xml:space="preserve">ecretaries (see Table 1). This classification has been recognized by scholars, </w:t>
      </w:r>
      <w:r w:rsidR="00D417A0" w:rsidRPr="003253C8">
        <w:t>specifically</w:t>
      </w:r>
      <w:r w:rsidRPr="003253C8">
        <w:t xml:space="preserve"> </w:t>
      </w:r>
      <w:r w:rsidR="00465FD5" w:rsidRPr="003253C8">
        <w:t>Li and Zhou</w:t>
      </w:r>
      <w:r w:rsidRPr="003253C8">
        <w:t xml:space="preserve"> (20</w:t>
      </w:r>
      <w:r w:rsidR="00465FD5" w:rsidRPr="003253C8">
        <w:t>05</w:t>
      </w:r>
      <w:r w:rsidRPr="003253C8">
        <w:t xml:space="preserve">: </w:t>
      </w:r>
      <w:r w:rsidR="00465FD5" w:rsidRPr="003253C8">
        <w:t>1745</w:t>
      </w:r>
      <w:r w:rsidRPr="003253C8">
        <w:t xml:space="preserve">) commented that </w:t>
      </w:r>
      <w:r w:rsidR="00465FD5" w:rsidRPr="003253C8">
        <w:t>a ‘province ranks at the same level as a ministry in the central government</w:t>
      </w:r>
      <w:r w:rsidRPr="003253C8">
        <w:t xml:space="preserve">’. Second, criteria that is more reflective of political and governmental power-relationships. This aligns us with Li and Zhou (2005), </w:t>
      </w:r>
      <w:r w:rsidR="002F0D33" w:rsidRPr="003253C8">
        <w:t xml:space="preserve">in terms of classifying </w:t>
      </w:r>
      <w:r w:rsidRPr="003253C8">
        <w:t xml:space="preserve">shifting from </w:t>
      </w:r>
      <w:r w:rsidR="009F69B6" w:rsidRPr="003253C8">
        <w:t>P</w:t>
      </w:r>
      <w:r w:rsidRPr="003253C8">
        <w:t xml:space="preserve">rovincial </w:t>
      </w:r>
      <w:r w:rsidR="009F69B6" w:rsidRPr="003253C8">
        <w:t>G</w:t>
      </w:r>
      <w:r w:rsidRPr="003253C8">
        <w:t xml:space="preserve">overnor to CPC </w:t>
      </w:r>
      <w:r w:rsidR="009F69B6" w:rsidRPr="003253C8">
        <w:t xml:space="preserve">Provincial </w:t>
      </w:r>
      <w:r w:rsidR="00E548F8" w:rsidRPr="003253C8">
        <w:t xml:space="preserve">Committee </w:t>
      </w:r>
      <w:r w:rsidR="009F69B6" w:rsidRPr="003253C8">
        <w:t>S</w:t>
      </w:r>
      <w:r w:rsidRPr="003253C8">
        <w:t xml:space="preserve">ecretary as promotion; assumptions reflexive of the central role of the CPC in delivering national agendas. Similarly, </w:t>
      </w:r>
      <w:r w:rsidR="002F0D33" w:rsidRPr="003253C8">
        <w:t>and in contrast to the definition adopted by Li and Zhou (2005), we interpret</w:t>
      </w:r>
      <w:r w:rsidR="00E04BAD" w:rsidRPr="003253C8">
        <w:t>ed</w:t>
      </w:r>
      <w:r w:rsidR="002F0D33" w:rsidRPr="003253C8">
        <w:t xml:space="preserve"> </w:t>
      </w:r>
      <w:r w:rsidRPr="003253C8">
        <w:t>moving from provincial leadership to a ministe</w:t>
      </w:r>
      <w:r w:rsidR="0082410F" w:rsidRPr="003253C8">
        <w:t xml:space="preserve">rial appointment </w:t>
      </w:r>
      <w:r w:rsidRPr="003253C8">
        <w:t>as promotion;</w:t>
      </w:r>
      <w:r w:rsidR="004A694A" w:rsidRPr="003253C8">
        <w:t xml:space="preserve"> </w:t>
      </w:r>
      <w:r w:rsidRPr="003253C8">
        <w:t xml:space="preserve">participation in national decision-making being the key factor. </w:t>
      </w:r>
    </w:p>
    <w:p w14:paraId="5893EB9C" w14:textId="77777777" w:rsidR="00F80788" w:rsidRPr="003253C8" w:rsidRDefault="00F80788" w:rsidP="00AB1890">
      <w:pPr>
        <w:autoSpaceDE w:val="0"/>
        <w:autoSpaceDN w:val="0"/>
        <w:adjustRightInd w:val="0"/>
        <w:spacing w:line="360" w:lineRule="auto"/>
        <w:jc w:val="left"/>
      </w:pPr>
    </w:p>
    <w:p w14:paraId="3DC2A92C" w14:textId="77777777" w:rsidR="00F80788" w:rsidRPr="003253C8" w:rsidRDefault="00F80788" w:rsidP="00AB1890">
      <w:pPr>
        <w:autoSpaceDE w:val="0"/>
        <w:autoSpaceDN w:val="0"/>
        <w:adjustRightInd w:val="0"/>
        <w:spacing w:line="360" w:lineRule="auto"/>
        <w:jc w:val="left"/>
        <w:rPr>
          <w:b/>
        </w:rPr>
      </w:pPr>
      <w:r w:rsidRPr="003253C8">
        <w:rPr>
          <w:b/>
        </w:rPr>
        <w:t>Insert table 1 here.</w:t>
      </w:r>
    </w:p>
    <w:p w14:paraId="6FE0CD3B" w14:textId="77777777" w:rsidR="00F80788" w:rsidRPr="003253C8" w:rsidRDefault="00F80788" w:rsidP="00AB1890">
      <w:pPr>
        <w:autoSpaceDE w:val="0"/>
        <w:autoSpaceDN w:val="0"/>
        <w:adjustRightInd w:val="0"/>
        <w:spacing w:line="360" w:lineRule="auto"/>
        <w:jc w:val="left"/>
        <w:rPr>
          <w:b/>
        </w:rPr>
      </w:pPr>
    </w:p>
    <w:p w14:paraId="1E2E3EE1" w14:textId="77777777" w:rsidR="00F80788" w:rsidRPr="003253C8" w:rsidRDefault="00F80788" w:rsidP="00AB1890">
      <w:pPr>
        <w:pStyle w:val="Heading3"/>
        <w:spacing w:line="360" w:lineRule="auto"/>
      </w:pPr>
      <w:r w:rsidRPr="003253C8">
        <w:t xml:space="preserve">Economic Growth </w:t>
      </w:r>
    </w:p>
    <w:p w14:paraId="6F2F0DAF" w14:textId="353E751B" w:rsidR="00F269F1" w:rsidRPr="003253C8" w:rsidRDefault="00F269F1" w:rsidP="00AB1890">
      <w:pPr>
        <w:autoSpaceDE w:val="0"/>
        <w:autoSpaceDN w:val="0"/>
        <w:adjustRightInd w:val="0"/>
        <w:spacing w:line="360" w:lineRule="auto"/>
        <w:jc w:val="left"/>
      </w:pPr>
      <w:r w:rsidRPr="003253C8">
        <w:t xml:space="preserve">Economic </w:t>
      </w:r>
      <w:r w:rsidR="00B019A4" w:rsidRPr="003253C8">
        <w:t xml:space="preserve">performance of a given provincial leader </w:t>
      </w:r>
      <w:r w:rsidRPr="003253C8">
        <w:t>is measured by the time weighted geometric growth rate</w:t>
      </w:r>
      <w:r w:rsidR="00B019A4" w:rsidRPr="003253C8">
        <w:t xml:space="preserve"> during </w:t>
      </w:r>
      <w:r w:rsidR="00765464" w:rsidRPr="003253C8">
        <w:t>their</w:t>
      </w:r>
      <w:r w:rsidR="00B019A4" w:rsidRPr="003253C8">
        <w:t xml:space="preserve"> tenure</w:t>
      </w:r>
      <w:r w:rsidRPr="003253C8">
        <w:t xml:space="preserve">. Denote </w:t>
      </w:r>
      <m:oMath>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hint="eastAsia"/>
              </w:rPr>
              <m:t>i,t</m:t>
            </m:r>
          </m:sub>
        </m:sSub>
      </m:oMath>
      <w:r w:rsidRPr="003253C8">
        <w:t xml:space="preserve"> as the economic growth rate </w:t>
      </w:r>
      <w:r w:rsidR="00AB5F34" w:rsidRPr="003253C8">
        <w:t xml:space="preserve">of province </w:t>
      </w:r>
      <m:oMath>
        <m:r>
          <m:rPr>
            <m:sty m:val="p"/>
          </m:rPr>
          <w:rPr>
            <w:rFonts w:ascii="Cambria Math" w:hAnsi="Cambria Math" w:hint="eastAsia"/>
          </w:rPr>
          <m:t>i</m:t>
        </m:r>
      </m:oMath>
      <w:r w:rsidRPr="003253C8">
        <w:t xml:space="preserve"> </w:t>
      </w:r>
      <w:r w:rsidR="00AB5F34" w:rsidRPr="003253C8">
        <w:t>at year</w:t>
      </w:r>
      <m:oMath>
        <m:r>
          <w:rPr>
            <w:rFonts w:ascii="Cambria Math" w:hAnsi="Cambria Math" w:hint="eastAsia"/>
          </w:rPr>
          <m:t xml:space="preserve"> </m:t>
        </m:r>
        <m:r>
          <m:rPr>
            <m:sty m:val="p"/>
          </m:rPr>
          <w:rPr>
            <w:rFonts w:ascii="Cambria Math" w:hAnsi="Cambria Math" w:hint="eastAsia"/>
          </w:rPr>
          <m:t>t</m:t>
        </m:r>
      </m:oMath>
      <w:r w:rsidRPr="003253C8">
        <w:t xml:space="preserve">. </w:t>
      </w:r>
      <w:r w:rsidR="00AA2370" w:rsidRPr="003253C8">
        <w:t>S</w:t>
      </w:r>
      <w:r w:rsidRPr="003253C8">
        <w:t xml:space="preserve">uppose the </w:t>
      </w:r>
      <w:r w:rsidR="004A694A" w:rsidRPr="003253C8">
        <w:t>G</w:t>
      </w:r>
      <w:r w:rsidRPr="003253C8">
        <w:t>overnor</w:t>
      </w:r>
      <w:r w:rsidR="007F4463" w:rsidRPr="003253C8">
        <w:t xml:space="preserve"> of province </w:t>
      </w:r>
      <m:oMath>
        <m:r>
          <m:rPr>
            <m:sty m:val="p"/>
          </m:rPr>
          <w:rPr>
            <w:rFonts w:ascii="Cambria Math" w:hAnsi="Cambria Math" w:hint="eastAsia"/>
          </w:rPr>
          <m:t>i</m:t>
        </m:r>
      </m:oMath>
      <w:r w:rsidR="007F4463" w:rsidRPr="003253C8">
        <w:t xml:space="preserve"> </w:t>
      </w:r>
      <w:r w:rsidRPr="003253C8">
        <w:t xml:space="preserve">began </w:t>
      </w:r>
      <w:r w:rsidR="00765464" w:rsidRPr="003253C8">
        <w:t>their</w:t>
      </w:r>
      <w:r w:rsidR="00A01DBA" w:rsidRPr="003253C8">
        <w:t xml:space="preserve"> </w:t>
      </w:r>
      <w:r w:rsidRPr="003253C8">
        <w:t xml:space="preserve">tenure in March 2003 and departed in July 2005. We ignore the month when the tenure started, a decision reflexive of inadequate data about the precise appointment date; similarly we ignore the end month. Here, tenure would be recorded as 27 months. </w:t>
      </w:r>
      <w:r w:rsidR="00946F53" w:rsidRPr="003253C8">
        <w:t>The average economic growth rate</w:t>
      </w:r>
      <w:r w:rsidRPr="003253C8">
        <w:t xml:space="preserve"> is calculated as follows: </w:t>
      </w:r>
    </w:p>
    <w:p w14:paraId="7B2CEB81" w14:textId="77777777" w:rsidR="00AE1369" w:rsidRPr="003253C8" w:rsidRDefault="00F269F1" w:rsidP="00AB1890">
      <w:pPr>
        <w:spacing w:line="360" w:lineRule="auto"/>
      </w:pPr>
      <w:bookmarkStart w:id="1" w:name="_Hlk491029571"/>
      <w:r w:rsidRPr="003253C8">
        <w:tab/>
      </w:r>
      <m:oMath>
        <m:sSup>
          <m:sSupPr>
            <m:ctrlPr>
              <w:rPr>
                <w:rFonts w:ascii="Cambria Math" w:hAnsi="Cambria Math"/>
              </w:rPr>
            </m:ctrlPr>
          </m:sSupPr>
          <m:e>
            <m:sSub>
              <m:sSubPr>
                <m:ctrlPr>
                  <w:rPr>
                    <w:rFonts w:ascii="Cambria Math" w:hAnsi="Cambria Math"/>
                  </w:rPr>
                </m:ctrlPr>
              </m:sSubPr>
              <m:e>
                <m:acc>
                  <m:accPr>
                    <m:chr m:val="̅"/>
                    <m:ctrlPr>
                      <w:rPr>
                        <w:rFonts w:ascii="Cambria Math" w:hAnsi="Cambria Math"/>
                      </w:rPr>
                    </m:ctrlPr>
                  </m:accPr>
                  <m:e>
                    <m:r>
                      <w:rPr>
                        <w:rFonts w:ascii="Cambria Math" w:hAnsi="Cambria Math" w:hint="eastAsia"/>
                      </w:rPr>
                      <m:t>r</m:t>
                    </m:r>
                  </m:e>
                </m:acc>
              </m:e>
              <m:sub>
                <m:r>
                  <w:rPr>
                    <w:rFonts w:ascii="Cambria Math" w:hAnsi="Cambria Math" w:hint="eastAsia"/>
                  </w:rPr>
                  <m:t>i</m:t>
                </m:r>
              </m:sub>
            </m:sSub>
            <m:r>
              <m:rPr>
                <m:sty m:val="p"/>
              </m:rPr>
              <w:rPr>
                <w:rFonts w:ascii="Cambria Math" w:hAnsi="Cambria Math" w:hint="eastAsia"/>
              </w:rPr>
              <m:t>=</m:t>
            </m:r>
            <m:d>
              <m:dPr>
                <m:begChr m:val="{"/>
                <m:endChr m:val="}"/>
                <m:ctrlPr>
                  <w:rPr>
                    <w:rFonts w:ascii="Cambria Math" w:hAnsi="Cambria Math"/>
                  </w:rPr>
                </m:ctrlPr>
              </m:d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9</m:t>
                        </m:r>
                      </m:num>
                      <m:den>
                        <m:r>
                          <m:rPr>
                            <m:sty m:val="p"/>
                          </m:rPr>
                          <w:rPr>
                            <w:rFonts w:ascii="Cambria Math" w:hAnsi="Cambria Math" w:hint="eastAsia"/>
                          </w:rPr>
                          <m:t>12</m:t>
                        </m:r>
                      </m:den>
                    </m:f>
                    <m:d>
                      <m:dPr>
                        <m:ctrlPr>
                          <w:rPr>
                            <w:rFonts w:ascii="Cambria Math" w:hAnsi="Cambria Math"/>
                          </w:rPr>
                        </m:ctrlPr>
                      </m:dPr>
                      <m:e>
                        <m:r>
                          <m:rPr>
                            <m:sty m:val="p"/>
                          </m:rPr>
                          <w:rPr>
                            <w:rFonts w:ascii="Cambria Math" w:hAnsi="Cambria Math" w:hint="eastAsia"/>
                          </w:rPr>
                          <m:t>1+</m:t>
                        </m:r>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hint="eastAsia"/>
                              </w:rPr>
                              <m:t>i,2003</m:t>
                            </m:r>
                          </m:sub>
                        </m:sSub>
                      </m:e>
                    </m:d>
                  </m:e>
                </m:d>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12</m:t>
                        </m:r>
                      </m:num>
                      <m:den>
                        <m:r>
                          <m:rPr>
                            <m:sty m:val="p"/>
                          </m:rPr>
                          <w:rPr>
                            <w:rFonts w:ascii="Cambria Math" w:hAnsi="Cambria Math" w:hint="eastAsia"/>
                          </w:rPr>
                          <m:t>12</m:t>
                        </m:r>
                      </m:den>
                    </m:f>
                    <m:d>
                      <m:dPr>
                        <m:ctrlPr>
                          <w:rPr>
                            <w:rFonts w:ascii="Cambria Math" w:hAnsi="Cambria Math"/>
                          </w:rPr>
                        </m:ctrlPr>
                      </m:dPr>
                      <m:e>
                        <m:r>
                          <m:rPr>
                            <m:sty m:val="p"/>
                          </m:rPr>
                          <w:rPr>
                            <w:rFonts w:ascii="Cambria Math" w:hAnsi="Cambria Math" w:hint="eastAsia"/>
                          </w:rPr>
                          <m:t>1+</m:t>
                        </m:r>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hint="eastAsia"/>
                              </w:rPr>
                              <m:t>i,2004</m:t>
                            </m:r>
                          </m:sub>
                        </m:sSub>
                      </m:e>
                    </m:d>
                  </m:e>
                </m:d>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6</m:t>
                        </m:r>
                      </m:num>
                      <m:den>
                        <m:r>
                          <m:rPr>
                            <m:sty m:val="p"/>
                          </m:rPr>
                          <w:rPr>
                            <w:rFonts w:ascii="Cambria Math" w:hAnsi="Cambria Math" w:hint="eastAsia"/>
                          </w:rPr>
                          <m:t>12</m:t>
                        </m:r>
                      </m:den>
                    </m:f>
                    <m:d>
                      <m:dPr>
                        <m:ctrlPr>
                          <w:rPr>
                            <w:rFonts w:ascii="Cambria Math" w:hAnsi="Cambria Math"/>
                          </w:rPr>
                        </m:ctrlPr>
                      </m:dPr>
                      <m:e>
                        <m:r>
                          <m:rPr>
                            <m:sty m:val="p"/>
                          </m:rPr>
                          <w:rPr>
                            <w:rFonts w:ascii="Cambria Math" w:hAnsi="Cambria Math" w:hint="eastAsia"/>
                          </w:rPr>
                          <m:t>1+</m:t>
                        </m:r>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hint="eastAsia"/>
                              </w:rPr>
                              <m:t>i,2005</m:t>
                            </m:r>
                          </m:sub>
                        </m:sSub>
                      </m:e>
                    </m:d>
                  </m:e>
                </m:d>
              </m:e>
            </m:d>
          </m:e>
          <m:sup>
            <m:r>
              <m:rPr>
                <m:sty m:val="p"/>
              </m:rPr>
              <w:rPr>
                <w:rFonts w:ascii="Cambria Math" w:hAnsi="Cambria Math" w:hint="eastAsia"/>
              </w:rPr>
              <m:t>1/</m:t>
            </m:r>
            <m:d>
              <m:dPr>
                <m:ctrlPr>
                  <w:rPr>
                    <w:rFonts w:ascii="Cambria Math" w:hAnsi="Cambria Math"/>
                  </w:rPr>
                </m:ctrlPr>
              </m:dPr>
              <m:e>
                <m:f>
                  <m:fPr>
                    <m:ctrlPr>
                      <w:rPr>
                        <w:rFonts w:ascii="Cambria Math" w:hAnsi="Cambria Math"/>
                      </w:rPr>
                    </m:ctrlPr>
                  </m:fPr>
                  <m:num>
                    <m:r>
                      <m:rPr>
                        <m:sty m:val="p"/>
                      </m:rPr>
                      <w:rPr>
                        <w:rFonts w:ascii="Cambria Math" w:hAnsi="Cambria Math" w:hint="eastAsia"/>
                      </w:rPr>
                      <m:t>9</m:t>
                    </m:r>
                  </m:num>
                  <m:den>
                    <m:r>
                      <m:rPr>
                        <m:sty m:val="p"/>
                      </m:rPr>
                      <w:rPr>
                        <w:rFonts w:ascii="Cambria Math" w:hAnsi="Cambria Math" w:hint="eastAsia"/>
                      </w:rPr>
                      <m:t>12</m:t>
                    </m:r>
                  </m:den>
                </m:f>
                <m:r>
                  <m:rPr>
                    <m:sty m:val="p"/>
                  </m:rPr>
                  <w:rPr>
                    <w:rFonts w:ascii="Cambria Math" w:hAnsi="Cambria Math" w:hint="eastAsia"/>
                  </w:rPr>
                  <m:t>+1+</m:t>
                </m:r>
                <m:f>
                  <m:fPr>
                    <m:ctrlPr>
                      <w:rPr>
                        <w:rFonts w:ascii="Cambria Math" w:hAnsi="Cambria Math"/>
                      </w:rPr>
                    </m:ctrlPr>
                  </m:fPr>
                  <m:num>
                    <m:r>
                      <m:rPr>
                        <m:sty m:val="p"/>
                      </m:rPr>
                      <w:rPr>
                        <w:rFonts w:ascii="Cambria Math" w:hAnsi="Cambria Math" w:hint="eastAsia"/>
                      </w:rPr>
                      <m:t>6</m:t>
                    </m:r>
                  </m:num>
                  <m:den>
                    <m:r>
                      <m:rPr>
                        <m:sty m:val="p"/>
                      </m:rPr>
                      <w:rPr>
                        <w:rFonts w:ascii="Cambria Math" w:hAnsi="Cambria Math" w:hint="eastAsia"/>
                      </w:rPr>
                      <m:t>12</m:t>
                    </m:r>
                  </m:den>
                </m:f>
              </m:e>
            </m:d>
          </m:sup>
        </m:sSup>
        <m:r>
          <m:rPr>
            <m:sty m:val="p"/>
          </m:rPr>
          <w:rPr>
            <w:rFonts w:ascii="Cambria Math" w:hAnsi="Cambria Math"/>
          </w:rPr>
          <m:t>-1</m:t>
        </m:r>
      </m:oMath>
      <w:r w:rsidR="00AE1369" w:rsidRPr="003253C8">
        <w:t xml:space="preserve">. </w:t>
      </w:r>
      <w:bookmarkEnd w:id="1"/>
    </w:p>
    <w:p w14:paraId="0553BAAA" w14:textId="77777777" w:rsidR="00F269F1" w:rsidRPr="003253C8" w:rsidRDefault="00F269F1" w:rsidP="00AB1890">
      <w:pPr>
        <w:autoSpaceDE w:val="0"/>
        <w:autoSpaceDN w:val="0"/>
        <w:adjustRightInd w:val="0"/>
        <w:spacing w:line="360" w:lineRule="auto"/>
        <w:jc w:val="left"/>
      </w:pPr>
    </w:p>
    <w:p w14:paraId="782CB68A" w14:textId="62A99931" w:rsidR="00F269F1" w:rsidRPr="003253C8" w:rsidRDefault="00F269F1" w:rsidP="00AB1890">
      <w:pPr>
        <w:spacing w:line="360" w:lineRule="auto"/>
        <w:rPr>
          <w:kern w:val="0"/>
        </w:rPr>
      </w:pPr>
      <w:r w:rsidRPr="003253C8">
        <w:rPr>
          <w:kern w:val="0"/>
        </w:rPr>
        <w:t>The geometric average is used because the arithmetic average tends to overstate actual average growth. Our analysis incorporates 20 cases without a valid growth measure. This occurs when the tenure start</w:t>
      </w:r>
      <w:r w:rsidR="005A790C" w:rsidRPr="003253C8">
        <w:rPr>
          <w:kern w:val="0"/>
        </w:rPr>
        <w:t>ed</w:t>
      </w:r>
      <w:r w:rsidRPr="003253C8">
        <w:rPr>
          <w:kern w:val="0"/>
        </w:rPr>
        <w:t xml:space="preserve"> and end</w:t>
      </w:r>
      <w:r w:rsidR="005A790C" w:rsidRPr="003253C8">
        <w:rPr>
          <w:kern w:val="0"/>
        </w:rPr>
        <w:t>ed</w:t>
      </w:r>
      <w:r w:rsidRPr="003253C8">
        <w:rPr>
          <w:kern w:val="0"/>
        </w:rPr>
        <w:t xml:space="preserve"> in the same year, or when there were no valid provincial economic statistics. However, partial information was available for these leaders; hence these cases are included in the tabulation but omitted from the model-building. </w:t>
      </w:r>
      <w:r w:rsidR="00831B1A" w:rsidRPr="003253C8">
        <w:rPr>
          <w:kern w:val="0"/>
        </w:rPr>
        <w:t xml:space="preserve"> </w:t>
      </w:r>
    </w:p>
    <w:p w14:paraId="6663C178" w14:textId="77777777" w:rsidR="00F269F1" w:rsidRPr="003253C8" w:rsidRDefault="00F269F1" w:rsidP="00AB1890">
      <w:pPr>
        <w:spacing w:line="360" w:lineRule="auto"/>
        <w:jc w:val="left"/>
        <w:rPr>
          <w:kern w:val="0"/>
        </w:rPr>
      </w:pPr>
    </w:p>
    <w:p w14:paraId="3EF8CFA9" w14:textId="238244AF" w:rsidR="009749D9" w:rsidRPr="003253C8" w:rsidRDefault="00F269F1" w:rsidP="00AB1890">
      <w:pPr>
        <w:spacing w:line="360" w:lineRule="auto"/>
        <w:rPr>
          <w:kern w:val="0"/>
        </w:rPr>
      </w:pPr>
      <w:r w:rsidRPr="003253C8">
        <w:rPr>
          <w:kern w:val="0"/>
        </w:rPr>
        <w:t>The economic growth measure of the province alone cannot capture effectively performance of the provincial leadership</w:t>
      </w:r>
      <w:r w:rsidR="00A2780C" w:rsidRPr="003253C8">
        <w:rPr>
          <w:kern w:val="0"/>
        </w:rPr>
        <w:t>,</w:t>
      </w:r>
      <w:r w:rsidRPr="003253C8">
        <w:rPr>
          <w:kern w:val="0"/>
        </w:rPr>
        <w:t xml:space="preserve"> because we need to address the issue of national government benchmarking the performance of individuals against their peers. </w:t>
      </w:r>
      <w:r w:rsidR="009749D9" w:rsidRPr="003253C8">
        <w:rPr>
          <w:kern w:val="0"/>
        </w:rPr>
        <w:t xml:space="preserve">Furthermore, economic growth rates include many shocks, both domestic, such as regional economic policy; and international, </w:t>
      </w:r>
      <w:r w:rsidR="00ED4832" w:rsidRPr="003253C8">
        <w:rPr>
          <w:kern w:val="0"/>
        </w:rPr>
        <w:t>for instance</w:t>
      </w:r>
      <w:r w:rsidR="009749D9" w:rsidRPr="003253C8">
        <w:rPr>
          <w:kern w:val="0"/>
        </w:rPr>
        <w:t xml:space="preserve"> the </w:t>
      </w:r>
      <w:r w:rsidR="005A790C" w:rsidRPr="003253C8">
        <w:rPr>
          <w:kern w:val="0"/>
        </w:rPr>
        <w:t xml:space="preserve">severe </w:t>
      </w:r>
      <w:r w:rsidR="009749D9" w:rsidRPr="003253C8">
        <w:rPr>
          <w:kern w:val="0"/>
        </w:rPr>
        <w:t xml:space="preserve">economic recession in 2008-09. </w:t>
      </w:r>
      <w:r w:rsidR="008E360E" w:rsidRPr="003253C8">
        <w:rPr>
          <w:kern w:val="0"/>
        </w:rPr>
        <w:t xml:space="preserve">To address </w:t>
      </w:r>
      <w:r w:rsidR="00AB5F34" w:rsidRPr="003253C8">
        <w:rPr>
          <w:kern w:val="0"/>
        </w:rPr>
        <w:t>these issues</w:t>
      </w:r>
      <w:r w:rsidR="008E360E" w:rsidRPr="003253C8">
        <w:rPr>
          <w:kern w:val="0"/>
        </w:rPr>
        <w:t>, we develop</w:t>
      </w:r>
      <w:r w:rsidR="0082410F" w:rsidRPr="003253C8">
        <w:rPr>
          <w:kern w:val="0"/>
        </w:rPr>
        <w:t>ed</w:t>
      </w:r>
      <w:r w:rsidR="008E360E" w:rsidRPr="003253C8">
        <w:rPr>
          <w:kern w:val="0"/>
        </w:rPr>
        <w:t xml:space="preserve"> and improve</w:t>
      </w:r>
      <w:r w:rsidR="0082410F" w:rsidRPr="003253C8">
        <w:rPr>
          <w:kern w:val="0"/>
        </w:rPr>
        <w:t>d</w:t>
      </w:r>
      <w:r w:rsidR="008E360E" w:rsidRPr="003253C8">
        <w:rPr>
          <w:kern w:val="0"/>
        </w:rPr>
        <w:t xml:space="preserve"> the approach used</w:t>
      </w:r>
      <w:r w:rsidR="005A790C" w:rsidRPr="003253C8">
        <w:rPr>
          <w:kern w:val="0"/>
        </w:rPr>
        <w:t xml:space="preserve"> </w:t>
      </w:r>
      <w:r w:rsidR="008E360E" w:rsidRPr="003253C8">
        <w:rPr>
          <w:kern w:val="0"/>
        </w:rPr>
        <w:t>by Chen</w:t>
      </w:r>
      <w:r w:rsidR="008E360E" w:rsidRPr="003253C8">
        <w:rPr>
          <w:i/>
          <w:kern w:val="0"/>
        </w:rPr>
        <w:t xml:space="preserve"> et al.</w:t>
      </w:r>
      <w:r w:rsidR="008E360E" w:rsidRPr="003253C8">
        <w:rPr>
          <w:kern w:val="0"/>
        </w:rPr>
        <w:t xml:space="preserve"> (2005), who included provincial GDP growth of the immediate predecessor and GDP growth of the neighboring provinces as benchmarks. </w:t>
      </w:r>
    </w:p>
    <w:p w14:paraId="6A435ECF" w14:textId="77777777" w:rsidR="00AB5F34" w:rsidRPr="003253C8" w:rsidRDefault="00AB5F34" w:rsidP="00AB1890">
      <w:pPr>
        <w:spacing w:line="360" w:lineRule="auto"/>
        <w:rPr>
          <w:kern w:val="0"/>
        </w:rPr>
      </w:pPr>
    </w:p>
    <w:p w14:paraId="359911ED" w14:textId="03E7FECA" w:rsidR="00AB5F34" w:rsidRPr="003253C8" w:rsidRDefault="00AB5F34" w:rsidP="00AB1890">
      <w:pPr>
        <w:spacing w:line="360" w:lineRule="auto"/>
        <w:rPr>
          <w:kern w:val="0"/>
        </w:rPr>
      </w:pPr>
      <w:r w:rsidRPr="003253C8">
        <w:rPr>
          <w:kern w:val="0"/>
        </w:rPr>
        <w:t>First, we use</w:t>
      </w:r>
      <w:r w:rsidR="00F96965" w:rsidRPr="003253C8">
        <w:rPr>
          <w:kern w:val="0"/>
        </w:rPr>
        <w:t>d</w:t>
      </w:r>
      <w:r w:rsidRPr="003253C8">
        <w:rPr>
          <w:kern w:val="0"/>
        </w:rPr>
        <w:t xml:space="preserve"> a five-year g</w:t>
      </w:r>
      <w:r w:rsidR="00765464" w:rsidRPr="003253C8">
        <w:rPr>
          <w:kern w:val="0"/>
        </w:rPr>
        <w:t>eo</w:t>
      </w:r>
      <w:r w:rsidRPr="003253C8">
        <w:rPr>
          <w:kern w:val="0"/>
        </w:rPr>
        <w:t xml:space="preserve">metric average provincial growth rate for the period before the start of a given tenure to measure predecessor(s)’ performance. This approach reflects the length of a normal tenure and concern to prevent wide variations in the tenure length of immediate predecessor(s) undermining our comparison benchmarks. </w:t>
      </w:r>
      <w:r w:rsidR="00DD5D3C" w:rsidRPr="003253C8">
        <w:rPr>
          <w:kern w:val="0"/>
        </w:rPr>
        <w:t>Calculation is relatively straightforward, it is identical to the growth measure of a hypothetical predecessor who has had a 60 months tenure</w:t>
      </w:r>
      <w:r w:rsidR="002C5707" w:rsidRPr="003253C8">
        <w:rPr>
          <w:kern w:val="0"/>
        </w:rPr>
        <w:t>.</w:t>
      </w:r>
      <w:r w:rsidR="00DD5D3C" w:rsidRPr="003253C8">
        <w:rPr>
          <w:kern w:val="0"/>
        </w:rPr>
        <w:t xml:space="preserve"> </w:t>
      </w:r>
    </w:p>
    <w:p w14:paraId="4C518C0F" w14:textId="77777777" w:rsidR="00AB5F34" w:rsidRPr="003253C8" w:rsidRDefault="00AB5F34" w:rsidP="00AB1890">
      <w:pPr>
        <w:spacing w:line="360" w:lineRule="auto"/>
        <w:rPr>
          <w:kern w:val="0"/>
        </w:rPr>
      </w:pPr>
    </w:p>
    <w:p w14:paraId="6F7708EB" w14:textId="2B4BB50B" w:rsidR="00A7336A" w:rsidRPr="003253C8" w:rsidRDefault="00AB5F34" w:rsidP="00A7336A">
      <w:pPr>
        <w:spacing w:line="360" w:lineRule="auto"/>
      </w:pPr>
      <w:r w:rsidRPr="003253C8">
        <w:rPr>
          <w:kern w:val="0"/>
        </w:rPr>
        <w:t xml:space="preserve">Second, we grouped provinces into regions using </w:t>
      </w:r>
      <w:r w:rsidRPr="003253C8">
        <w:t>the standard geographical classification of Chinese regions. The regional groupings are as follows: - North (Beijing, Tianjin, Hebei, Shanxi and Inner Mongolia), North-East (Liaoning</w:t>
      </w:r>
      <w:r w:rsidR="00765464" w:rsidRPr="003253C8">
        <w:t>,</w:t>
      </w:r>
      <w:r w:rsidRPr="003253C8">
        <w:t xml:space="preserve"> Jilin and Heilongjiang), East (Shanghai, Jiangsu, Zhejiang, Anhui, Fujian and Shandong), Central (Jiangxi, Henan, Hubei and Hunan), South (Guangdong, Guangxi Zhuang and Hainan), South-West (Chongqing, Sichuan, Guizhou, Yunnan and Tibet) and North-West (Shaanxi, Gansu, Qinghai, Ningxia Hui and Xinjiang Uyghur). This </w:t>
      </w:r>
      <w:r w:rsidR="00765464" w:rsidRPr="003253C8">
        <w:t xml:space="preserve">approach is adopted </w:t>
      </w:r>
      <w:r w:rsidRPr="003253C8">
        <w:t xml:space="preserve">because growth rates </w:t>
      </w:r>
      <w:r w:rsidR="00765464" w:rsidRPr="003253C8">
        <w:t>reflect</w:t>
      </w:r>
      <w:r w:rsidRPr="003253C8">
        <w:t xml:space="preserve"> regional policy </w:t>
      </w:r>
      <w:r w:rsidR="00765464" w:rsidRPr="003253C8">
        <w:t>variations.</w:t>
      </w:r>
      <w:r w:rsidRPr="003253C8">
        <w:t xml:space="preserve"> Chinese economic policy has </w:t>
      </w:r>
      <w:r w:rsidR="00D14AB2" w:rsidRPr="003253C8">
        <w:t xml:space="preserve">long </w:t>
      </w:r>
      <w:r w:rsidRPr="003253C8">
        <w:t>had a regional focus</w:t>
      </w:r>
      <w:r w:rsidR="00765464" w:rsidRPr="003253C8">
        <w:t xml:space="preserve">, </w:t>
      </w:r>
      <w:r w:rsidR="00876A54" w:rsidRPr="003253C8">
        <w:t>for example</w:t>
      </w:r>
      <w:r w:rsidRPr="003253C8">
        <w:t xml:space="preserve"> </w:t>
      </w:r>
      <w:bookmarkStart w:id="2" w:name="_Hlk491031064"/>
      <w:r w:rsidRPr="003253C8">
        <w:t>fro</w:t>
      </w:r>
      <w:r w:rsidRPr="003253C8">
        <w:rPr>
          <w:kern w:val="0"/>
        </w:rPr>
        <w:t xml:space="preserve">m 1979 onwards central government implemented preferential economic policies to stimulate </w:t>
      </w:r>
      <w:r w:rsidR="00B90051" w:rsidRPr="003253C8">
        <w:rPr>
          <w:kern w:val="0"/>
        </w:rPr>
        <w:t xml:space="preserve">the </w:t>
      </w:r>
      <w:r w:rsidRPr="003253C8">
        <w:rPr>
          <w:kern w:val="0"/>
        </w:rPr>
        <w:t>economic growth of the coastal regions. More recently, several specific regional economic policies have been introduced</w:t>
      </w:r>
      <w:r w:rsidR="00876A54" w:rsidRPr="003253C8">
        <w:rPr>
          <w:kern w:val="0"/>
        </w:rPr>
        <w:t>; an example being</w:t>
      </w:r>
      <w:r w:rsidRPr="003253C8">
        <w:t xml:space="preserve"> the North East Area Revitalization Plan (China State Council, 2007).</w:t>
      </w:r>
      <w:bookmarkEnd w:id="2"/>
      <w:r w:rsidRPr="003253C8" w:rsidDel="00C576B0">
        <w:t xml:space="preserve"> </w:t>
      </w:r>
      <w:r w:rsidRPr="003253C8">
        <w:t xml:space="preserve">Furthermore, to </w:t>
      </w:r>
      <w:r w:rsidR="008D0075" w:rsidRPr="003253C8">
        <w:t>isolate</w:t>
      </w:r>
      <w:r w:rsidRPr="003253C8">
        <w:t xml:space="preserve"> the impact of the province on the regional economic growth rate, we exclude</w:t>
      </w:r>
      <w:r w:rsidR="00990480" w:rsidRPr="003253C8">
        <w:t>d</w:t>
      </w:r>
      <w:r w:rsidRPr="003253C8">
        <w:t xml:space="preserve"> the province while calculating the average regional economic growth.</w:t>
      </w:r>
      <w:r w:rsidR="008D0075" w:rsidRPr="003253C8">
        <w:t xml:space="preserve"> This is particularly important for smaller regions, or regions with uneven economic growth among provinces.</w:t>
      </w:r>
      <w:r w:rsidRPr="003253C8">
        <w:t xml:space="preserve"> Suppose </w:t>
      </w:r>
      <w:r w:rsidR="00266729" w:rsidRPr="003253C8">
        <w:t xml:space="preserve">there are </w:t>
      </w:r>
      <m:oMath>
        <m:r>
          <m:rPr>
            <m:sty m:val="p"/>
          </m:rPr>
          <w:rPr>
            <w:rFonts w:ascii="Cambria Math" w:hAnsi="Cambria Math" w:hint="eastAsia"/>
          </w:rPr>
          <m:t>N</m:t>
        </m:r>
      </m:oMath>
      <w:r w:rsidR="00266729" w:rsidRPr="003253C8">
        <w:t xml:space="preserve"> provinces in the region</w:t>
      </w:r>
      <w:r w:rsidR="007F4463" w:rsidRPr="003253C8">
        <w:t xml:space="preserve">, we index them as </w:t>
      </w:r>
      <m:oMath>
        <m:r>
          <m:rPr>
            <m:sty m:val="p"/>
          </m:rPr>
          <w:rPr>
            <w:rFonts w:ascii="Cambria Math" w:hAnsi="Cambria Math" w:hint="eastAsia"/>
          </w:rPr>
          <m:t>1,</m:t>
        </m:r>
        <m:r>
          <m:rPr>
            <m:sty m:val="p"/>
          </m:rPr>
          <w:rPr>
            <w:rFonts w:ascii="Cambria Math" w:hAnsi="Cambria Math" w:hint="eastAsia"/>
          </w:rPr>
          <m:t>…</m:t>
        </m:r>
        <m:r>
          <m:rPr>
            <m:sty m:val="p"/>
          </m:rPr>
          <w:rPr>
            <w:rFonts w:ascii="Cambria Math" w:hAnsi="Cambria Math" w:hint="eastAsia"/>
          </w:rPr>
          <m:t>,N</m:t>
        </m:r>
      </m:oMath>
      <w:r w:rsidR="00266729" w:rsidRPr="003253C8">
        <w:t xml:space="preserve">. </w:t>
      </w:r>
      <w:r w:rsidR="00635285" w:rsidRPr="003253C8">
        <w:t>W</w:t>
      </w:r>
      <w:r w:rsidR="008D0075" w:rsidRPr="003253C8">
        <w:t>e need to calculate</w:t>
      </w:r>
      <w:r w:rsidR="00635285" w:rsidRPr="003253C8">
        <w:t xml:space="preserve"> the rate of returns for all the other provinces during the tenure, as follows: </w:t>
      </w:r>
      <w:r w:rsidR="00266729" w:rsidRPr="003253C8">
        <w:t xml:space="preserve"> </w:t>
      </w:r>
    </w:p>
    <w:p w14:paraId="449E07AC" w14:textId="77777777" w:rsidR="00A7336A" w:rsidRPr="003253C8" w:rsidRDefault="00203E28" w:rsidP="00A7336A">
      <w:pPr>
        <w:spacing w:line="360" w:lineRule="auto"/>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hint="eastAsia"/>
                    </w:rPr>
                    <m:t>r</m:t>
                  </m:r>
                </m:e>
              </m:acc>
            </m:e>
            <m:sub>
              <m:r>
                <w:rPr>
                  <w:rFonts w:ascii="Cambria Math" w:hAnsi="Cambria Math" w:hint="eastAsia"/>
                </w:rPr>
                <m:t>1</m:t>
              </m:r>
            </m:sub>
          </m:sSub>
          <m:r>
            <w:rPr>
              <w:rFonts w:ascii="Cambria Math" w:hAnsi="Cambria Math" w:hint="eastAsia"/>
            </w:rPr>
            <m:t>=</m:t>
          </m:r>
          <m:sSup>
            <m:sSupPr>
              <m:ctrlPr>
                <w:rPr>
                  <w:rFonts w:ascii="Cambria Math" w:hAnsi="Cambria Math"/>
                </w:rPr>
              </m:ctrlPr>
            </m:sSupPr>
            <m:e>
              <m:d>
                <m:dPr>
                  <m:begChr m:val="{"/>
                  <m:endChr m:val="}"/>
                  <m:ctrlPr>
                    <w:rPr>
                      <w:rFonts w:ascii="Cambria Math" w:hAnsi="Cambria Math"/>
                    </w:rPr>
                  </m:ctrlPr>
                </m:d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9</m:t>
                          </m:r>
                        </m:num>
                        <m:den>
                          <m:r>
                            <m:rPr>
                              <m:sty m:val="p"/>
                            </m:rPr>
                            <w:rPr>
                              <w:rFonts w:ascii="Cambria Math" w:hAnsi="Cambria Math" w:hint="eastAsia"/>
                            </w:rPr>
                            <m:t>12</m:t>
                          </m:r>
                        </m:den>
                      </m:f>
                      <m:d>
                        <m:dPr>
                          <m:ctrlPr>
                            <w:rPr>
                              <w:rFonts w:ascii="Cambria Math" w:hAnsi="Cambria Math"/>
                            </w:rPr>
                          </m:ctrlPr>
                        </m:dPr>
                        <m:e>
                          <m:r>
                            <m:rPr>
                              <m:sty m:val="p"/>
                            </m:rPr>
                            <w:rPr>
                              <w:rFonts w:ascii="Cambria Math" w:hAnsi="Cambria Math" w:hint="eastAsia"/>
                            </w:rPr>
                            <m:t>1+</m:t>
                          </m:r>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hint="eastAsia"/>
                                </w:rPr>
                                <m:t>1,2003</m:t>
                              </m:r>
                            </m:sub>
                          </m:sSub>
                        </m:e>
                      </m:d>
                    </m:e>
                  </m:d>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12</m:t>
                          </m:r>
                        </m:num>
                        <m:den>
                          <m:r>
                            <m:rPr>
                              <m:sty m:val="p"/>
                            </m:rPr>
                            <w:rPr>
                              <w:rFonts w:ascii="Cambria Math" w:hAnsi="Cambria Math" w:hint="eastAsia"/>
                            </w:rPr>
                            <m:t>12</m:t>
                          </m:r>
                        </m:den>
                      </m:f>
                      <m:d>
                        <m:dPr>
                          <m:ctrlPr>
                            <w:rPr>
                              <w:rFonts w:ascii="Cambria Math" w:hAnsi="Cambria Math"/>
                            </w:rPr>
                          </m:ctrlPr>
                        </m:dPr>
                        <m:e>
                          <m:r>
                            <m:rPr>
                              <m:sty m:val="p"/>
                            </m:rPr>
                            <w:rPr>
                              <w:rFonts w:ascii="Cambria Math" w:hAnsi="Cambria Math" w:hint="eastAsia"/>
                            </w:rPr>
                            <m:t>1+</m:t>
                          </m:r>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hint="eastAsia"/>
                                </w:rPr>
                                <m:t>1,2004</m:t>
                              </m:r>
                            </m:sub>
                          </m:sSub>
                        </m:e>
                      </m:d>
                    </m:e>
                  </m:d>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6</m:t>
                          </m:r>
                        </m:num>
                        <m:den>
                          <m:r>
                            <m:rPr>
                              <m:sty m:val="p"/>
                            </m:rPr>
                            <w:rPr>
                              <w:rFonts w:ascii="Cambria Math" w:hAnsi="Cambria Math" w:hint="eastAsia"/>
                            </w:rPr>
                            <m:t>12</m:t>
                          </m:r>
                        </m:den>
                      </m:f>
                      <m:d>
                        <m:dPr>
                          <m:ctrlPr>
                            <w:rPr>
                              <w:rFonts w:ascii="Cambria Math" w:hAnsi="Cambria Math"/>
                            </w:rPr>
                          </m:ctrlPr>
                        </m:dPr>
                        <m:e>
                          <m:r>
                            <m:rPr>
                              <m:sty m:val="p"/>
                            </m:rPr>
                            <w:rPr>
                              <w:rFonts w:ascii="Cambria Math" w:hAnsi="Cambria Math" w:hint="eastAsia"/>
                            </w:rPr>
                            <m:t>1+</m:t>
                          </m:r>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hint="eastAsia"/>
                                </w:rPr>
                                <m:t>1,2005</m:t>
                              </m:r>
                            </m:sub>
                          </m:sSub>
                        </m:e>
                      </m:d>
                    </m:e>
                  </m:d>
                </m:e>
              </m:d>
            </m:e>
            <m:sup>
              <m:f>
                <m:fPr>
                  <m:ctrlPr>
                    <w:rPr>
                      <w:rFonts w:ascii="Cambria Math" w:hAnsi="Cambria Math"/>
                    </w:rPr>
                  </m:ctrlPr>
                </m:fPr>
                <m:num>
                  <m:r>
                    <m:rPr>
                      <m:sty m:val="p"/>
                    </m:rPr>
                    <w:rPr>
                      <w:rFonts w:ascii="Cambria Math" w:hAnsi="Cambria Math" w:hint="eastAsia"/>
                    </w:rPr>
                    <m:t>1</m:t>
                  </m:r>
                </m:num>
                <m:den>
                  <m:d>
                    <m:dPr>
                      <m:ctrlPr>
                        <w:rPr>
                          <w:rFonts w:ascii="Cambria Math" w:hAnsi="Cambria Math"/>
                        </w:rPr>
                      </m:ctrlPr>
                    </m:dPr>
                    <m:e>
                      <m:f>
                        <m:fPr>
                          <m:ctrlPr>
                            <w:rPr>
                              <w:rFonts w:ascii="Cambria Math" w:hAnsi="Cambria Math"/>
                            </w:rPr>
                          </m:ctrlPr>
                        </m:fPr>
                        <m:num>
                          <m:r>
                            <m:rPr>
                              <m:sty m:val="p"/>
                            </m:rPr>
                            <w:rPr>
                              <w:rFonts w:ascii="Cambria Math" w:hAnsi="Cambria Math" w:hint="eastAsia"/>
                            </w:rPr>
                            <m:t>9</m:t>
                          </m:r>
                        </m:num>
                        <m:den>
                          <m:r>
                            <m:rPr>
                              <m:sty m:val="p"/>
                            </m:rPr>
                            <w:rPr>
                              <w:rFonts w:ascii="Cambria Math" w:hAnsi="Cambria Math" w:hint="eastAsia"/>
                            </w:rPr>
                            <m:t>12</m:t>
                          </m:r>
                        </m:den>
                      </m:f>
                      <m:r>
                        <m:rPr>
                          <m:sty m:val="p"/>
                        </m:rPr>
                        <w:rPr>
                          <w:rFonts w:ascii="Cambria Math" w:hAnsi="Cambria Math" w:hint="eastAsia"/>
                        </w:rPr>
                        <m:t>+1+</m:t>
                      </m:r>
                      <m:f>
                        <m:fPr>
                          <m:ctrlPr>
                            <w:rPr>
                              <w:rFonts w:ascii="Cambria Math" w:hAnsi="Cambria Math"/>
                            </w:rPr>
                          </m:ctrlPr>
                        </m:fPr>
                        <m:num>
                          <m:r>
                            <m:rPr>
                              <m:sty m:val="p"/>
                            </m:rPr>
                            <w:rPr>
                              <w:rFonts w:ascii="Cambria Math" w:hAnsi="Cambria Math" w:hint="eastAsia"/>
                            </w:rPr>
                            <m:t>6</m:t>
                          </m:r>
                        </m:num>
                        <m:den>
                          <m:r>
                            <m:rPr>
                              <m:sty m:val="p"/>
                            </m:rPr>
                            <w:rPr>
                              <w:rFonts w:ascii="Cambria Math" w:hAnsi="Cambria Math" w:hint="eastAsia"/>
                            </w:rPr>
                            <m:t>12</m:t>
                          </m:r>
                        </m:den>
                      </m:f>
                    </m:e>
                  </m:d>
                </m:den>
              </m:f>
            </m:sup>
          </m:sSup>
          <m:r>
            <m:rPr>
              <m:sty m:val="p"/>
            </m:rPr>
            <w:rPr>
              <w:rFonts w:ascii="Cambria Math" w:hAnsi="Cambria Math"/>
            </w:rPr>
            <m:t>-1</m:t>
          </m:r>
        </m:oMath>
      </m:oMathPara>
    </w:p>
    <w:p w14:paraId="7D992553" w14:textId="77777777" w:rsidR="00A7336A" w:rsidRPr="003253C8" w:rsidRDefault="00203E28" w:rsidP="00A7336A">
      <w:pPr>
        <w:spacing w:line="360" w:lineRule="auto"/>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hint="eastAsia"/>
                    </w:rPr>
                    <m:t>r</m:t>
                  </m:r>
                </m:e>
              </m:acc>
            </m:e>
            <m:sub>
              <m:r>
                <w:rPr>
                  <w:rFonts w:ascii="Cambria Math" w:hAnsi="Cambria Math" w:hint="eastAsia"/>
                </w:rPr>
                <m:t>2</m:t>
              </m:r>
            </m:sub>
          </m:sSub>
          <m:r>
            <w:rPr>
              <w:rFonts w:ascii="Cambria Math" w:hAnsi="Cambria Math" w:hint="eastAsia"/>
            </w:rPr>
            <m:t>=</m:t>
          </m:r>
          <m:sSup>
            <m:sSupPr>
              <m:ctrlPr>
                <w:rPr>
                  <w:rFonts w:ascii="Cambria Math" w:hAnsi="Cambria Math"/>
                </w:rPr>
              </m:ctrlPr>
            </m:sSupPr>
            <m:e>
              <m:d>
                <m:dPr>
                  <m:begChr m:val="{"/>
                  <m:endChr m:val="}"/>
                  <m:ctrlPr>
                    <w:rPr>
                      <w:rFonts w:ascii="Cambria Math" w:hAnsi="Cambria Math"/>
                    </w:rPr>
                  </m:ctrlPr>
                </m:d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9</m:t>
                          </m:r>
                        </m:num>
                        <m:den>
                          <m:r>
                            <m:rPr>
                              <m:sty m:val="p"/>
                            </m:rPr>
                            <w:rPr>
                              <w:rFonts w:ascii="Cambria Math" w:hAnsi="Cambria Math" w:hint="eastAsia"/>
                            </w:rPr>
                            <m:t>12</m:t>
                          </m:r>
                        </m:den>
                      </m:f>
                      <m:d>
                        <m:dPr>
                          <m:ctrlPr>
                            <w:rPr>
                              <w:rFonts w:ascii="Cambria Math" w:hAnsi="Cambria Math"/>
                            </w:rPr>
                          </m:ctrlPr>
                        </m:dPr>
                        <m:e>
                          <m:r>
                            <m:rPr>
                              <m:sty m:val="p"/>
                            </m:rPr>
                            <w:rPr>
                              <w:rFonts w:ascii="Cambria Math" w:hAnsi="Cambria Math" w:hint="eastAsia"/>
                            </w:rPr>
                            <m:t>1+</m:t>
                          </m:r>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hint="eastAsia"/>
                                </w:rPr>
                                <m:t>2,2003</m:t>
                              </m:r>
                            </m:sub>
                          </m:sSub>
                        </m:e>
                      </m:d>
                    </m:e>
                  </m:d>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12</m:t>
                          </m:r>
                        </m:num>
                        <m:den>
                          <m:r>
                            <m:rPr>
                              <m:sty m:val="p"/>
                            </m:rPr>
                            <w:rPr>
                              <w:rFonts w:ascii="Cambria Math" w:hAnsi="Cambria Math" w:hint="eastAsia"/>
                            </w:rPr>
                            <m:t>12</m:t>
                          </m:r>
                        </m:den>
                      </m:f>
                      <m:d>
                        <m:dPr>
                          <m:ctrlPr>
                            <w:rPr>
                              <w:rFonts w:ascii="Cambria Math" w:hAnsi="Cambria Math"/>
                            </w:rPr>
                          </m:ctrlPr>
                        </m:dPr>
                        <m:e>
                          <m:r>
                            <m:rPr>
                              <m:sty m:val="p"/>
                            </m:rPr>
                            <w:rPr>
                              <w:rFonts w:ascii="Cambria Math" w:hAnsi="Cambria Math" w:hint="eastAsia"/>
                            </w:rPr>
                            <m:t>1+</m:t>
                          </m:r>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hint="eastAsia"/>
                                </w:rPr>
                                <m:t>2,2004</m:t>
                              </m:r>
                            </m:sub>
                          </m:sSub>
                        </m:e>
                      </m:d>
                    </m:e>
                  </m:d>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6</m:t>
                          </m:r>
                        </m:num>
                        <m:den>
                          <m:r>
                            <m:rPr>
                              <m:sty m:val="p"/>
                            </m:rPr>
                            <w:rPr>
                              <w:rFonts w:ascii="Cambria Math" w:hAnsi="Cambria Math" w:hint="eastAsia"/>
                            </w:rPr>
                            <m:t>12</m:t>
                          </m:r>
                        </m:den>
                      </m:f>
                      <m:d>
                        <m:dPr>
                          <m:ctrlPr>
                            <w:rPr>
                              <w:rFonts w:ascii="Cambria Math" w:hAnsi="Cambria Math"/>
                            </w:rPr>
                          </m:ctrlPr>
                        </m:dPr>
                        <m:e>
                          <m:r>
                            <m:rPr>
                              <m:sty m:val="p"/>
                            </m:rPr>
                            <w:rPr>
                              <w:rFonts w:ascii="Cambria Math" w:hAnsi="Cambria Math" w:hint="eastAsia"/>
                            </w:rPr>
                            <m:t>1+</m:t>
                          </m:r>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hint="eastAsia"/>
                                </w:rPr>
                                <m:t>2,2005</m:t>
                              </m:r>
                            </m:sub>
                          </m:sSub>
                        </m:e>
                      </m:d>
                    </m:e>
                  </m:d>
                </m:e>
              </m:d>
            </m:e>
            <m:sup>
              <m:f>
                <m:fPr>
                  <m:ctrlPr>
                    <w:rPr>
                      <w:rFonts w:ascii="Cambria Math" w:hAnsi="Cambria Math"/>
                    </w:rPr>
                  </m:ctrlPr>
                </m:fPr>
                <m:num>
                  <m:r>
                    <m:rPr>
                      <m:sty m:val="p"/>
                    </m:rPr>
                    <w:rPr>
                      <w:rFonts w:ascii="Cambria Math" w:hAnsi="Cambria Math" w:hint="eastAsia"/>
                    </w:rPr>
                    <m:t>1</m:t>
                  </m:r>
                </m:num>
                <m:den>
                  <m:d>
                    <m:dPr>
                      <m:ctrlPr>
                        <w:rPr>
                          <w:rFonts w:ascii="Cambria Math" w:hAnsi="Cambria Math"/>
                        </w:rPr>
                      </m:ctrlPr>
                    </m:dPr>
                    <m:e>
                      <m:f>
                        <m:fPr>
                          <m:ctrlPr>
                            <w:rPr>
                              <w:rFonts w:ascii="Cambria Math" w:hAnsi="Cambria Math"/>
                            </w:rPr>
                          </m:ctrlPr>
                        </m:fPr>
                        <m:num>
                          <m:r>
                            <m:rPr>
                              <m:sty m:val="p"/>
                            </m:rPr>
                            <w:rPr>
                              <w:rFonts w:ascii="Cambria Math" w:hAnsi="Cambria Math" w:hint="eastAsia"/>
                            </w:rPr>
                            <m:t>9</m:t>
                          </m:r>
                        </m:num>
                        <m:den>
                          <m:r>
                            <m:rPr>
                              <m:sty m:val="p"/>
                            </m:rPr>
                            <w:rPr>
                              <w:rFonts w:ascii="Cambria Math" w:hAnsi="Cambria Math" w:hint="eastAsia"/>
                            </w:rPr>
                            <m:t>12</m:t>
                          </m:r>
                        </m:den>
                      </m:f>
                      <m:r>
                        <m:rPr>
                          <m:sty m:val="p"/>
                        </m:rPr>
                        <w:rPr>
                          <w:rFonts w:ascii="Cambria Math" w:hAnsi="Cambria Math" w:hint="eastAsia"/>
                        </w:rPr>
                        <m:t>+1+</m:t>
                      </m:r>
                      <m:f>
                        <m:fPr>
                          <m:ctrlPr>
                            <w:rPr>
                              <w:rFonts w:ascii="Cambria Math" w:hAnsi="Cambria Math"/>
                            </w:rPr>
                          </m:ctrlPr>
                        </m:fPr>
                        <m:num>
                          <m:r>
                            <m:rPr>
                              <m:sty m:val="p"/>
                            </m:rPr>
                            <w:rPr>
                              <w:rFonts w:ascii="Cambria Math" w:hAnsi="Cambria Math" w:hint="eastAsia"/>
                            </w:rPr>
                            <m:t>6</m:t>
                          </m:r>
                        </m:num>
                        <m:den>
                          <m:r>
                            <m:rPr>
                              <m:sty m:val="p"/>
                            </m:rPr>
                            <w:rPr>
                              <w:rFonts w:ascii="Cambria Math" w:hAnsi="Cambria Math" w:hint="eastAsia"/>
                            </w:rPr>
                            <m:t>12</m:t>
                          </m:r>
                        </m:den>
                      </m:f>
                    </m:e>
                  </m:d>
                </m:den>
              </m:f>
            </m:sup>
          </m:sSup>
          <m:r>
            <m:rPr>
              <m:sty m:val="p"/>
            </m:rPr>
            <w:rPr>
              <w:rFonts w:ascii="Cambria Math" w:hAnsi="Cambria Math"/>
            </w:rPr>
            <m:t>-1</m:t>
          </m:r>
        </m:oMath>
      </m:oMathPara>
    </w:p>
    <w:p w14:paraId="7739EB2B" w14:textId="77777777" w:rsidR="00A7336A" w:rsidRPr="003253C8" w:rsidRDefault="00A7336A" w:rsidP="00A7336A">
      <w:pPr>
        <w:spacing w:line="360" w:lineRule="auto"/>
        <w:jc w:val="center"/>
      </w:pPr>
      <m:oMathPara>
        <m:oMath>
          <m:r>
            <w:rPr>
              <w:rFonts w:ascii="Cambria Math" w:hAnsi="Cambria Math" w:hint="eastAsia"/>
            </w:rPr>
            <m:t>…</m:t>
          </m:r>
          <m:r>
            <w:rPr>
              <w:rFonts w:ascii="Cambria Math" w:hAnsi="Cambria Math" w:hint="eastAsia"/>
            </w:rPr>
            <m:t>.</m:t>
          </m:r>
        </m:oMath>
      </m:oMathPara>
    </w:p>
    <w:p w14:paraId="03FFC0F1" w14:textId="77777777" w:rsidR="00A7336A" w:rsidRPr="003253C8" w:rsidRDefault="00203E28" w:rsidP="00A7336A">
      <w:pPr>
        <w:spacing w:line="360" w:lineRule="auto"/>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hint="eastAsia"/>
                    </w:rPr>
                    <m:t>r</m:t>
                  </m:r>
                </m:e>
              </m:acc>
            </m:e>
            <m:sub>
              <m:r>
                <w:rPr>
                  <w:rFonts w:ascii="Cambria Math" w:hAnsi="Cambria Math"/>
                </w:rPr>
                <m:t>i-1</m:t>
              </m:r>
            </m:sub>
          </m:sSub>
          <m:r>
            <w:rPr>
              <w:rFonts w:ascii="Cambria Math" w:hAnsi="Cambria Math" w:hint="eastAsia"/>
            </w:rPr>
            <m:t>=</m:t>
          </m:r>
          <m:sSup>
            <m:sSupPr>
              <m:ctrlPr>
                <w:rPr>
                  <w:rFonts w:ascii="Cambria Math" w:hAnsi="Cambria Math"/>
                </w:rPr>
              </m:ctrlPr>
            </m:sSupPr>
            <m:e>
              <m:d>
                <m:dPr>
                  <m:begChr m:val="{"/>
                  <m:endChr m:val="}"/>
                  <m:ctrlPr>
                    <w:rPr>
                      <w:rFonts w:ascii="Cambria Math" w:hAnsi="Cambria Math"/>
                    </w:rPr>
                  </m:ctrlPr>
                </m:d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9</m:t>
                          </m:r>
                        </m:num>
                        <m:den>
                          <m:r>
                            <m:rPr>
                              <m:sty m:val="p"/>
                            </m:rPr>
                            <w:rPr>
                              <w:rFonts w:ascii="Cambria Math" w:hAnsi="Cambria Math" w:hint="eastAsia"/>
                            </w:rPr>
                            <m:t>12</m:t>
                          </m:r>
                        </m:den>
                      </m:f>
                      <m:d>
                        <m:dPr>
                          <m:ctrlPr>
                            <w:rPr>
                              <w:rFonts w:ascii="Cambria Math" w:hAnsi="Cambria Math"/>
                            </w:rPr>
                          </m:ctrlPr>
                        </m:dPr>
                        <m:e>
                          <m:r>
                            <m:rPr>
                              <m:sty m:val="p"/>
                            </m:rPr>
                            <w:rPr>
                              <w:rFonts w:ascii="Cambria Math" w:hAnsi="Cambria Math" w:hint="eastAsia"/>
                            </w:rPr>
                            <m:t>1+</m:t>
                          </m:r>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hint="eastAsia"/>
                                </w:rPr>
                                <m:t>2,2003</m:t>
                              </m:r>
                            </m:sub>
                          </m:sSub>
                        </m:e>
                      </m:d>
                    </m:e>
                  </m:d>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12</m:t>
                          </m:r>
                        </m:num>
                        <m:den>
                          <m:r>
                            <m:rPr>
                              <m:sty m:val="p"/>
                            </m:rPr>
                            <w:rPr>
                              <w:rFonts w:ascii="Cambria Math" w:hAnsi="Cambria Math" w:hint="eastAsia"/>
                            </w:rPr>
                            <m:t>12</m:t>
                          </m:r>
                        </m:den>
                      </m:f>
                      <m:d>
                        <m:dPr>
                          <m:ctrlPr>
                            <w:rPr>
                              <w:rFonts w:ascii="Cambria Math" w:hAnsi="Cambria Math"/>
                            </w:rPr>
                          </m:ctrlPr>
                        </m:dPr>
                        <m:e>
                          <m:r>
                            <m:rPr>
                              <m:sty m:val="p"/>
                            </m:rPr>
                            <w:rPr>
                              <w:rFonts w:ascii="Cambria Math" w:hAnsi="Cambria Math" w:hint="eastAsia"/>
                            </w:rPr>
                            <m:t>1+</m:t>
                          </m:r>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rPr>
                                <m:t>i-1,2004</m:t>
                              </m:r>
                            </m:sub>
                          </m:sSub>
                        </m:e>
                      </m:d>
                    </m:e>
                  </m:d>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6</m:t>
                          </m:r>
                        </m:num>
                        <m:den>
                          <m:r>
                            <m:rPr>
                              <m:sty m:val="p"/>
                            </m:rPr>
                            <w:rPr>
                              <w:rFonts w:ascii="Cambria Math" w:hAnsi="Cambria Math" w:hint="eastAsia"/>
                            </w:rPr>
                            <m:t>12</m:t>
                          </m:r>
                        </m:den>
                      </m:f>
                      <m:d>
                        <m:dPr>
                          <m:ctrlPr>
                            <w:rPr>
                              <w:rFonts w:ascii="Cambria Math" w:hAnsi="Cambria Math"/>
                            </w:rPr>
                          </m:ctrlPr>
                        </m:dPr>
                        <m:e>
                          <m:r>
                            <m:rPr>
                              <m:sty m:val="p"/>
                            </m:rPr>
                            <w:rPr>
                              <w:rFonts w:ascii="Cambria Math" w:hAnsi="Cambria Math" w:hint="eastAsia"/>
                            </w:rPr>
                            <m:t>1+</m:t>
                          </m:r>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rPr>
                                <m:t>i-1,2005</m:t>
                              </m:r>
                            </m:sub>
                          </m:sSub>
                        </m:e>
                      </m:d>
                    </m:e>
                  </m:d>
                </m:e>
              </m:d>
            </m:e>
            <m:sup>
              <m:f>
                <m:fPr>
                  <m:ctrlPr>
                    <w:rPr>
                      <w:rFonts w:ascii="Cambria Math" w:hAnsi="Cambria Math"/>
                    </w:rPr>
                  </m:ctrlPr>
                </m:fPr>
                <m:num>
                  <m:r>
                    <m:rPr>
                      <m:sty m:val="p"/>
                    </m:rPr>
                    <w:rPr>
                      <w:rFonts w:ascii="Cambria Math" w:hAnsi="Cambria Math" w:hint="eastAsia"/>
                    </w:rPr>
                    <m:t>1</m:t>
                  </m:r>
                </m:num>
                <m:den>
                  <m:d>
                    <m:dPr>
                      <m:ctrlPr>
                        <w:rPr>
                          <w:rFonts w:ascii="Cambria Math" w:hAnsi="Cambria Math"/>
                        </w:rPr>
                      </m:ctrlPr>
                    </m:dPr>
                    <m:e>
                      <m:f>
                        <m:fPr>
                          <m:ctrlPr>
                            <w:rPr>
                              <w:rFonts w:ascii="Cambria Math" w:hAnsi="Cambria Math"/>
                            </w:rPr>
                          </m:ctrlPr>
                        </m:fPr>
                        <m:num>
                          <m:r>
                            <m:rPr>
                              <m:sty m:val="p"/>
                            </m:rPr>
                            <w:rPr>
                              <w:rFonts w:ascii="Cambria Math" w:hAnsi="Cambria Math" w:hint="eastAsia"/>
                            </w:rPr>
                            <m:t>9</m:t>
                          </m:r>
                        </m:num>
                        <m:den>
                          <m:r>
                            <m:rPr>
                              <m:sty m:val="p"/>
                            </m:rPr>
                            <w:rPr>
                              <w:rFonts w:ascii="Cambria Math" w:hAnsi="Cambria Math" w:hint="eastAsia"/>
                            </w:rPr>
                            <m:t>12</m:t>
                          </m:r>
                        </m:den>
                      </m:f>
                      <m:r>
                        <m:rPr>
                          <m:sty m:val="p"/>
                        </m:rPr>
                        <w:rPr>
                          <w:rFonts w:ascii="Cambria Math" w:hAnsi="Cambria Math" w:hint="eastAsia"/>
                        </w:rPr>
                        <m:t>+1+</m:t>
                      </m:r>
                      <m:f>
                        <m:fPr>
                          <m:ctrlPr>
                            <w:rPr>
                              <w:rFonts w:ascii="Cambria Math" w:hAnsi="Cambria Math"/>
                            </w:rPr>
                          </m:ctrlPr>
                        </m:fPr>
                        <m:num>
                          <m:r>
                            <m:rPr>
                              <m:sty m:val="p"/>
                            </m:rPr>
                            <w:rPr>
                              <w:rFonts w:ascii="Cambria Math" w:hAnsi="Cambria Math" w:hint="eastAsia"/>
                            </w:rPr>
                            <m:t>6</m:t>
                          </m:r>
                        </m:num>
                        <m:den>
                          <m:r>
                            <m:rPr>
                              <m:sty m:val="p"/>
                            </m:rPr>
                            <w:rPr>
                              <w:rFonts w:ascii="Cambria Math" w:hAnsi="Cambria Math" w:hint="eastAsia"/>
                            </w:rPr>
                            <m:t>12</m:t>
                          </m:r>
                        </m:den>
                      </m:f>
                    </m:e>
                  </m:d>
                </m:den>
              </m:f>
            </m:sup>
          </m:sSup>
          <m:r>
            <m:rPr>
              <m:sty m:val="p"/>
            </m:rPr>
            <w:rPr>
              <w:rFonts w:ascii="Cambria Math" w:hAnsi="Cambria Math"/>
            </w:rPr>
            <m:t>-1</m:t>
          </m:r>
        </m:oMath>
      </m:oMathPara>
    </w:p>
    <w:p w14:paraId="05999BD2" w14:textId="77777777" w:rsidR="00A7336A" w:rsidRPr="003253C8" w:rsidRDefault="00203E28" w:rsidP="00A7336A">
      <w:pPr>
        <w:spacing w:line="360" w:lineRule="auto"/>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hint="eastAsia"/>
                    </w:rPr>
                    <m:t>r</m:t>
                  </m:r>
                </m:e>
              </m:acc>
            </m:e>
            <m:sub>
              <m:r>
                <w:rPr>
                  <w:rFonts w:ascii="Cambria Math" w:hAnsi="Cambria Math" w:hint="eastAsia"/>
                </w:rPr>
                <m:t>i+1</m:t>
              </m:r>
            </m:sub>
          </m:sSub>
          <m:r>
            <w:rPr>
              <w:rFonts w:ascii="Cambria Math" w:hAnsi="Cambria Math" w:hint="eastAsia"/>
            </w:rPr>
            <m:t>=</m:t>
          </m:r>
          <m:sSup>
            <m:sSupPr>
              <m:ctrlPr>
                <w:rPr>
                  <w:rFonts w:ascii="Cambria Math" w:hAnsi="Cambria Math"/>
                </w:rPr>
              </m:ctrlPr>
            </m:sSupPr>
            <m:e>
              <m:d>
                <m:dPr>
                  <m:begChr m:val="{"/>
                  <m:endChr m:val="}"/>
                  <m:ctrlPr>
                    <w:rPr>
                      <w:rFonts w:ascii="Cambria Math" w:hAnsi="Cambria Math"/>
                    </w:rPr>
                  </m:ctrlPr>
                </m:d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9</m:t>
                          </m:r>
                        </m:num>
                        <m:den>
                          <m:r>
                            <m:rPr>
                              <m:sty m:val="p"/>
                            </m:rPr>
                            <w:rPr>
                              <w:rFonts w:ascii="Cambria Math" w:hAnsi="Cambria Math" w:hint="eastAsia"/>
                            </w:rPr>
                            <m:t>12</m:t>
                          </m:r>
                        </m:den>
                      </m:f>
                      <m:d>
                        <m:dPr>
                          <m:ctrlPr>
                            <w:rPr>
                              <w:rFonts w:ascii="Cambria Math" w:hAnsi="Cambria Math"/>
                            </w:rPr>
                          </m:ctrlPr>
                        </m:dPr>
                        <m:e>
                          <m:r>
                            <m:rPr>
                              <m:sty m:val="p"/>
                            </m:rPr>
                            <w:rPr>
                              <w:rFonts w:ascii="Cambria Math" w:hAnsi="Cambria Math" w:hint="eastAsia"/>
                            </w:rPr>
                            <m:t>1+</m:t>
                          </m:r>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hint="eastAsia"/>
                                </w:rPr>
                                <m:t>2,2003</m:t>
                              </m:r>
                            </m:sub>
                          </m:sSub>
                        </m:e>
                      </m:d>
                    </m:e>
                  </m:d>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12</m:t>
                          </m:r>
                        </m:num>
                        <m:den>
                          <m:r>
                            <m:rPr>
                              <m:sty m:val="p"/>
                            </m:rPr>
                            <w:rPr>
                              <w:rFonts w:ascii="Cambria Math" w:hAnsi="Cambria Math" w:hint="eastAsia"/>
                            </w:rPr>
                            <m:t>12</m:t>
                          </m:r>
                        </m:den>
                      </m:f>
                      <m:d>
                        <m:dPr>
                          <m:ctrlPr>
                            <w:rPr>
                              <w:rFonts w:ascii="Cambria Math" w:hAnsi="Cambria Math"/>
                            </w:rPr>
                          </m:ctrlPr>
                        </m:dPr>
                        <m:e>
                          <m:r>
                            <m:rPr>
                              <m:sty m:val="p"/>
                            </m:rPr>
                            <w:rPr>
                              <w:rFonts w:ascii="Cambria Math" w:hAnsi="Cambria Math" w:hint="eastAsia"/>
                            </w:rPr>
                            <m:t>1+</m:t>
                          </m:r>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hint="eastAsia"/>
                                </w:rPr>
                                <m:t>i+1,2004</m:t>
                              </m:r>
                            </m:sub>
                          </m:sSub>
                        </m:e>
                      </m:d>
                    </m:e>
                  </m:d>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6</m:t>
                          </m:r>
                        </m:num>
                        <m:den>
                          <m:r>
                            <m:rPr>
                              <m:sty m:val="p"/>
                            </m:rPr>
                            <w:rPr>
                              <w:rFonts w:ascii="Cambria Math" w:hAnsi="Cambria Math" w:hint="eastAsia"/>
                            </w:rPr>
                            <m:t>12</m:t>
                          </m:r>
                        </m:den>
                      </m:f>
                      <m:d>
                        <m:dPr>
                          <m:ctrlPr>
                            <w:rPr>
                              <w:rFonts w:ascii="Cambria Math" w:hAnsi="Cambria Math"/>
                            </w:rPr>
                          </m:ctrlPr>
                        </m:dPr>
                        <m:e>
                          <m:r>
                            <m:rPr>
                              <m:sty m:val="p"/>
                            </m:rPr>
                            <w:rPr>
                              <w:rFonts w:ascii="Cambria Math" w:hAnsi="Cambria Math" w:hint="eastAsia"/>
                            </w:rPr>
                            <m:t>1+</m:t>
                          </m:r>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hint="eastAsia"/>
                                </w:rPr>
                                <m:t>i+1,2005</m:t>
                              </m:r>
                            </m:sub>
                          </m:sSub>
                        </m:e>
                      </m:d>
                    </m:e>
                  </m:d>
                </m:e>
              </m:d>
            </m:e>
            <m:sup>
              <m:f>
                <m:fPr>
                  <m:ctrlPr>
                    <w:rPr>
                      <w:rFonts w:ascii="Cambria Math" w:hAnsi="Cambria Math"/>
                    </w:rPr>
                  </m:ctrlPr>
                </m:fPr>
                <m:num>
                  <m:r>
                    <m:rPr>
                      <m:sty m:val="p"/>
                    </m:rPr>
                    <w:rPr>
                      <w:rFonts w:ascii="Cambria Math" w:hAnsi="Cambria Math" w:hint="eastAsia"/>
                    </w:rPr>
                    <m:t>1</m:t>
                  </m:r>
                </m:num>
                <m:den>
                  <m:d>
                    <m:dPr>
                      <m:ctrlPr>
                        <w:rPr>
                          <w:rFonts w:ascii="Cambria Math" w:hAnsi="Cambria Math"/>
                        </w:rPr>
                      </m:ctrlPr>
                    </m:dPr>
                    <m:e>
                      <m:f>
                        <m:fPr>
                          <m:ctrlPr>
                            <w:rPr>
                              <w:rFonts w:ascii="Cambria Math" w:hAnsi="Cambria Math"/>
                            </w:rPr>
                          </m:ctrlPr>
                        </m:fPr>
                        <m:num>
                          <m:r>
                            <m:rPr>
                              <m:sty m:val="p"/>
                            </m:rPr>
                            <w:rPr>
                              <w:rFonts w:ascii="Cambria Math" w:hAnsi="Cambria Math" w:hint="eastAsia"/>
                            </w:rPr>
                            <m:t>9</m:t>
                          </m:r>
                        </m:num>
                        <m:den>
                          <m:r>
                            <m:rPr>
                              <m:sty m:val="p"/>
                            </m:rPr>
                            <w:rPr>
                              <w:rFonts w:ascii="Cambria Math" w:hAnsi="Cambria Math" w:hint="eastAsia"/>
                            </w:rPr>
                            <m:t>12</m:t>
                          </m:r>
                        </m:den>
                      </m:f>
                      <m:r>
                        <m:rPr>
                          <m:sty m:val="p"/>
                        </m:rPr>
                        <w:rPr>
                          <w:rFonts w:ascii="Cambria Math" w:hAnsi="Cambria Math" w:hint="eastAsia"/>
                        </w:rPr>
                        <m:t>+1+</m:t>
                      </m:r>
                      <m:f>
                        <m:fPr>
                          <m:ctrlPr>
                            <w:rPr>
                              <w:rFonts w:ascii="Cambria Math" w:hAnsi="Cambria Math"/>
                            </w:rPr>
                          </m:ctrlPr>
                        </m:fPr>
                        <m:num>
                          <m:r>
                            <m:rPr>
                              <m:sty m:val="p"/>
                            </m:rPr>
                            <w:rPr>
                              <w:rFonts w:ascii="Cambria Math" w:hAnsi="Cambria Math" w:hint="eastAsia"/>
                            </w:rPr>
                            <m:t>6</m:t>
                          </m:r>
                        </m:num>
                        <m:den>
                          <m:r>
                            <m:rPr>
                              <m:sty m:val="p"/>
                            </m:rPr>
                            <w:rPr>
                              <w:rFonts w:ascii="Cambria Math" w:hAnsi="Cambria Math" w:hint="eastAsia"/>
                            </w:rPr>
                            <m:t>12</m:t>
                          </m:r>
                        </m:den>
                      </m:f>
                    </m:e>
                  </m:d>
                </m:den>
              </m:f>
            </m:sup>
          </m:sSup>
          <m:r>
            <m:rPr>
              <m:sty m:val="p"/>
            </m:rPr>
            <w:rPr>
              <w:rFonts w:ascii="Cambria Math" w:hAnsi="Cambria Math"/>
            </w:rPr>
            <m:t>-1</m:t>
          </m:r>
        </m:oMath>
      </m:oMathPara>
    </w:p>
    <w:p w14:paraId="70FB7897" w14:textId="77777777" w:rsidR="00A7336A" w:rsidRPr="003253C8" w:rsidRDefault="00A7336A" w:rsidP="00A7336A">
      <w:pPr>
        <w:spacing w:line="360" w:lineRule="auto"/>
        <w:jc w:val="center"/>
      </w:pPr>
      <m:oMathPara>
        <m:oMath>
          <m:r>
            <w:rPr>
              <w:rFonts w:ascii="Cambria Math" w:hAnsi="Cambria Math" w:hint="eastAsia"/>
            </w:rPr>
            <m:t>…</m:t>
          </m:r>
          <m:r>
            <w:rPr>
              <w:rFonts w:ascii="Cambria Math" w:hAnsi="Cambria Math" w:hint="eastAsia"/>
            </w:rPr>
            <m:t>.</m:t>
          </m:r>
        </m:oMath>
      </m:oMathPara>
    </w:p>
    <w:p w14:paraId="7A4E269F" w14:textId="77777777" w:rsidR="00A7336A" w:rsidRPr="003253C8" w:rsidRDefault="00203E28" w:rsidP="00A7336A">
      <w:pPr>
        <w:spacing w:line="360" w:lineRule="auto"/>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hint="eastAsia"/>
                    </w:rPr>
                    <m:t>r</m:t>
                  </m:r>
                </m:e>
              </m:acc>
            </m:e>
            <m:sub>
              <m:r>
                <w:rPr>
                  <w:rFonts w:ascii="Cambria Math" w:hAnsi="Cambria Math" w:hint="eastAsia"/>
                </w:rPr>
                <m:t>N</m:t>
              </m:r>
            </m:sub>
          </m:sSub>
          <m:r>
            <w:rPr>
              <w:rFonts w:ascii="Cambria Math" w:hAnsi="Cambria Math" w:hint="eastAsia"/>
            </w:rPr>
            <m:t>=</m:t>
          </m:r>
          <m:sSup>
            <m:sSupPr>
              <m:ctrlPr>
                <w:rPr>
                  <w:rFonts w:ascii="Cambria Math" w:hAnsi="Cambria Math"/>
                </w:rPr>
              </m:ctrlPr>
            </m:sSupPr>
            <m:e>
              <m:d>
                <m:dPr>
                  <m:begChr m:val="{"/>
                  <m:endChr m:val="}"/>
                  <m:ctrlPr>
                    <w:rPr>
                      <w:rFonts w:ascii="Cambria Math" w:hAnsi="Cambria Math"/>
                    </w:rPr>
                  </m:ctrlPr>
                </m:d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9</m:t>
                          </m:r>
                        </m:num>
                        <m:den>
                          <m:r>
                            <m:rPr>
                              <m:sty m:val="p"/>
                            </m:rPr>
                            <w:rPr>
                              <w:rFonts w:ascii="Cambria Math" w:hAnsi="Cambria Math" w:hint="eastAsia"/>
                            </w:rPr>
                            <m:t>12</m:t>
                          </m:r>
                        </m:den>
                      </m:f>
                      <m:d>
                        <m:dPr>
                          <m:ctrlPr>
                            <w:rPr>
                              <w:rFonts w:ascii="Cambria Math" w:hAnsi="Cambria Math"/>
                            </w:rPr>
                          </m:ctrlPr>
                        </m:dPr>
                        <m:e>
                          <m:r>
                            <m:rPr>
                              <m:sty m:val="p"/>
                            </m:rPr>
                            <w:rPr>
                              <w:rFonts w:ascii="Cambria Math" w:hAnsi="Cambria Math" w:hint="eastAsia"/>
                            </w:rPr>
                            <m:t>1+</m:t>
                          </m:r>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hint="eastAsia"/>
                                </w:rPr>
                                <m:t>N,2003</m:t>
                              </m:r>
                            </m:sub>
                          </m:sSub>
                        </m:e>
                      </m:d>
                    </m:e>
                  </m:d>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12</m:t>
                          </m:r>
                        </m:num>
                        <m:den>
                          <m:r>
                            <m:rPr>
                              <m:sty m:val="p"/>
                            </m:rPr>
                            <w:rPr>
                              <w:rFonts w:ascii="Cambria Math" w:hAnsi="Cambria Math" w:hint="eastAsia"/>
                            </w:rPr>
                            <m:t>12</m:t>
                          </m:r>
                        </m:den>
                      </m:f>
                      <m:d>
                        <m:dPr>
                          <m:ctrlPr>
                            <w:rPr>
                              <w:rFonts w:ascii="Cambria Math" w:hAnsi="Cambria Math"/>
                            </w:rPr>
                          </m:ctrlPr>
                        </m:dPr>
                        <m:e>
                          <m:r>
                            <m:rPr>
                              <m:sty m:val="p"/>
                            </m:rPr>
                            <w:rPr>
                              <w:rFonts w:ascii="Cambria Math" w:hAnsi="Cambria Math" w:hint="eastAsia"/>
                            </w:rPr>
                            <m:t>1+</m:t>
                          </m:r>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hint="eastAsia"/>
                                </w:rPr>
                                <m:t>N,2004</m:t>
                              </m:r>
                            </m:sub>
                          </m:sSub>
                        </m:e>
                      </m:d>
                    </m:e>
                  </m:d>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hint="eastAsia"/>
                            </w:rPr>
                            <m:t>6</m:t>
                          </m:r>
                        </m:num>
                        <m:den>
                          <m:r>
                            <m:rPr>
                              <m:sty m:val="p"/>
                            </m:rPr>
                            <w:rPr>
                              <w:rFonts w:ascii="Cambria Math" w:hAnsi="Cambria Math" w:hint="eastAsia"/>
                            </w:rPr>
                            <m:t>12</m:t>
                          </m:r>
                        </m:den>
                      </m:f>
                      <m:d>
                        <m:dPr>
                          <m:ctrlPr>
                            <w:rPr>
                              <w:rFonts w:ascii="Cambria Math" w:hAnsi="Cambria Math"/>
                            </w:rPr>
                          </m:ctrlPr>
                        </m:dPr>
                        <m:e>
                          <m:r>
                            <m:rPr>
                              <m:sty m:val="p"/>
                            </m:rPr>
                            <w:rPr>
                              <w:rFonts w:ascii="Cambria Math" w:hAnsi="Cambria Math" w:hint="eastAsia"/>
                            </w:rPr>
                            <m:t>1+</m:t>
                          </m:r>
                          <m:sSub>
                            <m:sSubPr>
                              <m:ctrlPr>
                                <w:rPr>
                                  <w:rFonts w:ascii="Cambria Math" w:hAnsi="Cambria Math"/>
                                </w:rPr>
                              </m:ctrlPr>
                            </m:sSubPr>
                            <m:e>
                              <m:r>
                                <m:rPr>
                                  <m:sty m:val="p"/>
                                </m:rPr>
                                <w:rPr>
                                  <w:rFonts w:ascii="Cambria Math" w:hAnsi="Cambria Math" w:hint="eastAsia"/>
                                </w:rPr>
                                <m:t>r</m:t>
                              </m:r>
                            </m:e>
                            <m:sub>
                              <m:r>
                                <m:rPr>
                                  <m:sty m:val="p"/>
                                </m:rPr>
                                <w:rPr>
                                  <w:rFonts w:ascii="Cambria Math" w:hAnsi="Cambria Math" w:hint="eastAsia"/>
                                </w:rPr>
                                <m:t>N,2005</m:t>
                              </m:r>
                            </m:sub>
                          </m:sSub>
                        </m:e>
                      </m:d>
                    </m:e>
                  </m:d>
                </m:e>
              </m:d>
            </m:e>
            <m:sup>
              <m:f>
                <m:fPr>
                  <m:ctrlPr>
                    <w:rPr>
                      <w:rFonts w:ascii="Cambria Math" w:hAnsi="Cambria Math"/>
                    </w:rPr>
                  </m:ctrlPr>
                </m:fPr>
                <m:num>
                  <m:r>
                    <m:rPr>
                      <m:sty m:val="p"/>
                    </m:rPr>
                    <w:rPr>
                      <w:rFonts w:ascii="Cambria Math" w:hAnsi="Cambria Math" w:hint="eastAsia"/>
                    </w:rPr>
                    <m:t>1</m:t>
                  </m:r>
                </m:num>
                <m:den>
                  <m:d>
                    <m:dPr>
                      <m:ctrlPr>
                        <w:rPr>
                          <w:rFonts w:ascii="Cambria Math" w:hAnsi="Cambria Math"/>
                        </w:rPr>
                      </m:ctrlPr>
                    </m:dPr>
                    <m:e>
                      <m:f>
                        <m:fPr>
                          <m:ctrlPr>
                            <w:rPr>
                              <w:rFonts w:ascii="Cambria Math" w:hAnsi="Cambria Math"/>
                            </w:rPr>
                          </m:ctrlPr>
                        </m:fPr>
                        <m:num>
                          <m:r>
                            <m:rPr>
                              <m:sty m:val="p"/>
                            </m:rPr>
                            <w:rPr>
                              <w:rFonts w:ascii="Cambria Math" w:hAnsi="Cambria Math" w:hint="eastAsia"/>
                            </w:rPr>
                            <m:t>9</m:t>
                          </m:r>
                        </m:num>
                        <m:den>
                          <m:r>
                            <m:rPr>
                              <m:sty m:val="p"/>
                            </m:rPr>
                            <w:rPr>
                              <w:rFonts w:ascii="Cambria Math" w:hAnsi="Cambria Math" w:hint="eastAsia"/>
                            </w:rPr>
                            <m:t>12</m:t>
                          </m:r>
                        </m:den>
                      </m:f>
                      <m:r>
                        <m:rPr>
                          <m:sty m:val="p"/>
                        </m:rPr>
                        <w:rPr>
                          <w:rFonts w:ascii="Cambria Math" w:hAnsi="Cambria Math" w:hint="eastAsia"/>
                        </w:rPr>
                        <m:t>+1+</m:t>
                      </m:r>
                      <m:f>
                        <m:fPr>
                          <m:ctrlPr>
                            <w:rPr>
                              <w:rFonts w:ascii="Cambria Math" w:hAnsi="Cambria Math"/>
                            </w:rPr>
                          </m:ctrlPr>
                        </m:fPr>
                        <m:num>
                          <m:r>
                            <m:rPr>
                              <m:sty m:val="p"/>
                            </m:rPr>
                            <w:rPr>
                              <w:rFonts w:ascii="Cambria Math" w:hAnsi="Cambria Math" w:hint="eastAsia"/>
                            </w:rPr>
                            <m:t>6</m:t>
                          </m:r>
                        </m:num>
                        <m:den>
                          <m:r>
                            <m:rPr>
                              <m:sty m:val="p"/>
                            </m:rPr>
                            <w:rPr>
                              <w:rFonts w:ascii="Cambria Math" w:hAnsi="Cambria Math" w:hint="eastAsia"/>
                            </w:rPr>
                            <m:t>12</m:t>
                          </m:r>
                        </m:den>
                      </m:f>
                    </m:e>
                  </m:d>
                </m:den>
              </m:f>
            </m:sup>
          </m:sSup>
          <m:r>
            <w:rPr>
              <w:rFonts w:ascii="Cambria Math" w:hAnsi="Cambria Math"/>
            </w:rPr>
            <m:t>-1</m:t>
          </m:r>
        </m:oMath>
      </m:oMathPara>
    </w:p>
    <w:p w14:paraId="232CA603" w14:textId="00192EFF" w:rsidR="00A7336A" w:rsidRPr="003253C8" w:rsidRDefault="00A7336A" w:rsidP="00A7336A">
      <w:pPr>
        <w:spacing w:line="360" w:lineRule="auto"/>
        <w:rPr>
          <w:kern w:val="0"/>
        </w:rPr>
      </w:pPr>
      <w:r w:rsidRPr="003253C8">
        <w:rPr>
          <w:kern w:val="0"/>
        </w:rPr>
        <w:t xml:space="preserve">The regional economic growth benchmark is then </w:t>
      </w:r>
      <w:r w:rsidR="00DD5D3C" w:rsidRPr="003253C8">
        <w:rPr>
          <w:kern w:val="0"/>
        </w:rPr>
        <w:t>generated</w:t>
      </w:r>
      <w:r w:rsidRPr="003253C8">
        <w:rPr>
          <w:kern w:val="0"/>
        </w:rPr>
        <w:t xml:space="preserve"> as</w:t>
      </w:r>
      <w:r w:rsidR="00876A54" w:rsidRPr="003253C8">
        <w:rPr>
          <w:kern w:val="0"/>
        </w:rPr>
        <w:t xml:space="preserve"> </w:t>
      </w:r>
      <w:r w:rsidRPr="003253C8">
        <w:rPr>
          <w:kern w:val="0"/>
        </w:rPr>
        <w:t xml:space="preserve"> </w:t>
      </w:r>
    </w:p>
    <w:p w14:paraId="02E98B7F" w14:textId="09C6FFF8" w:rsidR="00A7336A" w:rsidRPr="003253C8" w:rsidRDefault="00203E28" w:rsidP="00A7336A">
      <w:pPr>
        <w:spacing w:line="360" w:lineRule="auto"/>
        <w:rPr>
          <w:kern w:val="0"/>
        </w:rPr>
      </w:pPr>
      <m:oMathPara>
        <m:oMath>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hint="eastAsia"/>
                            </w:rPr>
                            <m:t>r</m:t>
                          </m:r>
                        </m:e>
                      </m:acc>
                    </m:e>
                    <m:sub>
                      <m:r>
                        <w:rPr>
                          <w:rFonts w:ascii="Cambria Math" w:hAnsi="Cambria Math" w:hint="eastAsia"/>
                        </w:rPr>
                        <m:t>1</m:t>
                      </m:r>
                    </m:sub>
                  </m:sSub>
                  <m:r>
                    <m:rPr>
                      <m:sty m:val="p"/>
                    </m:rPr>
                    <w:rPr>
                      <w:rFonts w:ascii="Cambria Math" w:hAnsi="Cambria Math" w:hint="eastAsia"/>
                      <w:kern w:val="0"/>
                    </w:rPr>
                    <m:t>+</m:t>
                  </m:r>
                  <m:sSub>
                    <m:sSubPr>
                      <m:ctrlPr>
                        <w:rPr>
                          <w:rFonts w:ascii="Cambria Math" w:hAnsi="Cambria Math"/>
                          <w:i/>
                        </w:rPr>
                      </m:ctrlPr>
                    </m:sSubPr>
                    <m:e>
                      <m:acc>
                        <m:accPr>
                          <m:chr m:val="̅"/>
                          <m:ctrlPr>
                            <w:rPr>
                              <w:rFonts w:ascii="Cambria Math" w:hAnsi="Cambria Math"/>
                              <w:i/>
                            </w:rPr>
                          </m:ctrlPr>
                        </m:accPr>
                        <m:e>
                          <m:r>
                            <w:rPr>
                              <w:rFonts w:ascii="Cambria Math" w:hAnsi="Cambria Math" w:hint="eastAsia"/>
                            </w:rPr>
                            <m:t>r</m:t>
                          </m:r>
                        </m:e>
                      </m:acc>
                    </m:e>
                    <m:sub>
                      <m:r>
                        <w:rPr>
                          <w:rFonts w:ascii="Cambria Math" w:hAnsi="Cambria Math" w:hint="eastAsia"/>
                        </w:rPr>
                        <m:t>2</m:t>
                      </m:r>
                    </m:sub>
                  </m:sSub>
                  <m:r>
                    <w:rPr>
                      <w:rFonts w:ascii="Cambria Math" w:hAnsi="Cambria Math" w:hint="eastAsia"/>
                    </w:rPr>
                    <m:t>+</m:t>
                  </m:r>
                  <m:r>
                    <w:rPr>
                      <w:rFonts w:ascii="Cambria Math" w:hAnsi="Cambria Math" w:hint="eastAsia"/>
                    </w:rPr>
                    <m:t>…</m:t>
                  </m:r>
                  <m:r>
                    <w:rPr>
                      <w:rFonts w:ascii="Cambria Math" w:hAnsi="Cambria Math" w:hint="eastAsia"/>
                    </w:rPr>
                    <m:t>+</m:t>
                  </m:r>
                  <m:sSub>
                    <m:sSubPr>
                      <m:ctrlPr>
                        <w:rPr>
                          <w:rFonts w:ascii="Cambria Math" w:hAnsi="Cambria Math"/>
                          <w:i/>
                        </w:rPr>
                      </m:ctrlPr>
                    </m:sSubPr>
                    <m:e>
                      <m:acc>
                        <m:accPr>
                          <m:chr m:val="̅"/>
                          <m:ctrlPr>
                            <w:rPr>
                              <w:rFonts w:ascii="Cambria Math" w:hAnsi="Cambria Math"/>
                              <w:i/>
                            </w:rPr>
                          </m:ctrlPr>
                        </m:accPr>
                        <m:e>
                          <m:r>
                            <w:rPr>
                              <w:rFonts w:ascii="Cambria Math" w:hAnsi="Cambria Math" w:hint="eastAsia"/>
                            </w:rPr>
                            <m:t>r</m:t>
                          </m:r>
                        </m:e>
                      </m:acc>
                    </m:e>
                    <m:sub>
                      <m:r>
                        <w:rPr>
                          <w:rFonts w:ascii="Cambria Math" w:hAnsi="Cambria Math"/>
                        </w:rPr>
                        <m:t>i-1</m:t>
                      </m:r>
                    </m:sub>
                  </m:sSub>
                  <m:r>
                    <w:rPr>
                      <w:rFonts w:ascii="Cambria Math" w:hAnsi="Cambria Math" w:hint="eastAsia"/>
                    </w:rPr>
                    <m:t>+</m:t>
                  </m:r>
                  <m:sSub>
                    <m:sSubPr>
                      <m:ctrlPr>
                        <w:rPr>
                          <w:rFonts w:ascii="Cambria Math" w:hAnsi="Cambria Math"/>
                          <w:i/>
                        </w:rPr>
                      </m:ctrlPr>
                    </m:sSubPr>
                    <m:e>
                      <m:acc>
                        <m:accPr>
                          <m:chr m:val="̅"/>
                          <m:ctrlPr>
                            <w:rPr>
                              <w:rFonts w:ascii="Cambria Math" w:hAnsi="Cambria Math"/>
                              <w:i/>
                            </w:rPr>
                          </m:ctrlPr>
                        </m:accPr>
                        <m:e>
                          <m:r>
                            <w:rPr>
                              <w:rFonts w:ascii="Cambria Math" w:hAnsi="Cambria Math" w:hint="eastAsia"/>
                            </w:rPr>
                            <m:t>r</m:t>
                          </m:r>
                        </m:e>
                      </m:acc>
                    </m:e>
                    <m:sub>
                      <m:r>
                        <w:rPr>
                          <w:rFonts w:ascii="Cambria Math" w:hAnsi="Cambria Math" w:hint="eastAsia"/>
                        </w:rPr>
                        <m:t>i+1</m:t>
                      </m:r>
                    </m:sub>
                  </m:sSub>
                  <m:r>
                    <w:rPr>
                      <w:rFonts w:ascii="Cambria Math" w:hAnsi="Cambria Math" w:hint="eastAsia"/>
                    </w:rPr>
                    <m:t>+</m:t>
                  </m:r>
                  <m:sSub>
                    <m:sSubPr>
                      <m:ctrlPr>
                        <w:rPr>
                          <w:rFonts w:ascii="Cambria Math" w:hAnsi="Cambria Math"/>
                          <w:i/>
                        </w:rPr>
                      </m:ctrlPr>
                    </m:sSubPr>
                    <m:e>
                      <m:acc>
                        <m:accPr>
                          <m:chr m:val="̅"/>
                          <m:ctrlPr>
                            <w:rPr>
                              <w:rFonts w:ascii="Cambria Math" w:hAnsi="Cambria Math"/>
                              <w:i/>
                            </w:rPr>
                          </m:ctrlPr>
                        </m:accPr>
                        <m:e>
                          <m:r>
                            <w:rPr>
                              <w:rFonts w:ascii="Cambria Math" w:hAnsi="Cambria Math" w:hint="eastAsia"/>
                            </w:rPr>
                            <m:t>r</m:t>
                          </m:r>
                        </m:e>
                      </m:acc>
                    </m:e>
                    <m:sub>
                      <m:r>
                        <w:rPr>
                          <w:rFonts w:ascii="Cambria Math" w:hAnsi="Cambria Math" w:hint="eastAsia"/>
                        </w:rPr>
                        <m:t>N</m:t>
                      </m:r>
                    </m:sub>
                  </m:sSub>
                </m:e>
              </m:d>
            </m:num>
            <m:den>
              <m:r>
                <w:rPr>
                  <w:rFonts w:ascii="Cambria Math" w:hAnsi="Cambria Math" w:hint="eastAsia"/>
                </w:rPr>
                <m:t>N</m:t>
              </m:r>
            </m:den>
          </m:f>
          <m:r>
            <w:rPr>
              <w:rFonts w:ascii="Cambria Math" w:hAnsi="Cambria Math" w:hint="eastAsia"/>
            </w:rPr>
            <m:t>.</m:t>
          </m:r>
        </m:oMath>
      </m:oMathPara>
    </w:p>
    <w:p w14:paraId="549948C6" w14:textId="77777777" w:rsidR="00AB5F34" w:rsidRPr="003253C8" w:rsidRDefault="00AB5F34" w:rsidP="00AB5F34">
      <w:pPr>
        <w:spacing w:line="360" w:lineRule="auto"/>
      </w:pPr>
    </w:p>
    <w:p w14:paraId="1789B245" w14:textId="3B31B858" w:rsidR="00BC62D0" w:rsidRPr="003253C8" w:rsidRDefault="00AE1369" w:rsidP="00AB1890">
      <w:pPr>
        <w:spacing w:line="360" w:lineRule="auto"/>
      </w:pPr>
      <w:r w:rsidRPr="003253C8">
        <w:t xml:space="preserve">Third, to consider possible shocks from </w:t>
      </w:r>
      <w:r w:rsidR="00D73E34" w:rsidRPr="003253C8">
        <w:t xml:space="preserve">the </w:t>
      </w:r>
      <w:r w:rsidRPr="003253C8">
        <w:t xml:space="preserve">global economy, we </w:t>
      </w:r>
      <w:r w:rsidR="00DD5D3C" w:rsidRPr="003253C8">
        <w:t>selected five countries; s</w:t>
      </w:r>
      <w:r w:rsidR="007E0CA0" w:rsidRPr="003253C8">
        <w:t>pecifically</w:t>
      </w:r>
      <w:r w:rsidR="00DD5D3C" w:rsidRPr="003253C8">
        <w:t xml:space="preserve">, </w:t>
      </w:r>
      <w:bookmarkStart w:id="3" w:name="_Hlk491031135"/>
      <w:r w:rsidR="007E0CA0" w:rsidRPr="003253C8">
        <w:t xml:space="preserve">the </w:t>
      </w:r>
      <w:r w:rsidR="00DD5D3C" w:rsidRPr="003253C8">
        <w:rPr>
          <w:b/>
        </w:rPr>
        <w:t>Un</w:t>
      </w:r>
      <w:r w:rsidR="00AD336A" w:rsidRPr="003253C8">
        <w:rPr>
          <w:b/>
        </w:rPr>
        <w:t>ited States, Japan, South Korea</w:t>
      </w:r>
      <w:r w:rsidR="00DD5D3C" w:rsidRPr="003253C8">
        <w:rPr>
          <w:b/>
        </w:rPr>
        <w:t>, Germany</w:t>
      </w:r>
      <w:r w:rsidR="00E61C2C" w:rsidRPr="003253C8">
        <w:rPr>
          <w:b/>
        </w:rPr>
        <w:t xml:space="preserve"> </w:t>
      </w:r>
      <w:r w:rsidR="00E61C2C" w:rsidRPr="003253C8">
        <w:t>and</w:t>
      </w:r>
      <w:r w:rsidR="00DD5D3C" w:rsidRPr="003253C8">
        <w:rPr>
          <w:b/>
        </w:rPr>
        <w:t xml:space="preserve"> Australia</w:t>
      </w:r>
      <w:bookmarkEnd w:id="3"/>
      <w:r w:rsidR="00DD5D3C" w:rsidRPr="003253C8">
        <w:t xml:space="preserve">; and calculated the average economic growth rates during the tenure of the provincial leader. These are </w:t>
      </w:r>
      <w:r w:rsidR="003D568B" w:rsidRPr="003253C8">
        <w:t xml:space="preserve">the </w:t>
      </w:r>
      <w:r w:rsidR="00DD5D3C" w:rsidRPr="003253C8">
        <w:t>top countries in terms of trad</w:t>
      </w:r>
      <w:r w:rsidR="00436720" w:rsidRPr="003253C8">
        <w:t>ing volume</w:t>
      </w:r>
      <w:r w:rsidR="00DD5D3C" w:rsidRPr="003253C8">
        <w:t xml:space="preserve"> with China</w:t>
      </w:r>
      <w:r w:rsidR="00635285" w:rsidRPr="003253C8">
        <w:t xml:space="preserve"> (based on </w:t>
      </w:r>
      <w:r w:rsidR="00765464" w:rsidRPr="003253C8">
        <w:t>2014 figures</w:t>
      </w:r>
      <w:r w:rsidR="00635285" w:rsidRPr="003253C8">
        <w:t>)</w:t>
      </w:r>
      <w:r w:rsidR="00DD5D3C" w:rsidRPr="003253C8">
        <w:t xml:space="preserve">, and are </w:t>
      </w:r>
      <w:r w:rsidR="00B65DB0" w:rsidRPr="003253C8">
        <w:t xml:space="preserve">G20 </w:t>
      </w:r>
      <w:r w:rsidR="00DD5D3C" w:rsidRPr="003253C8">
        <w:t xml:space="preserve">members. The economic growth shocks of these countries </w:t>
      </w:r>
      <w:r w:rsidR="00601387" w:rsidRPr="003253C8">
        <w:t>we</w:t>
      </w:r>
      <w:r w:rsidR="00DD5D3C" w:rsidRPr="003253C8">
        <w:t xml:space="preserve">re likely to have </w:t>
      </w:r>
      <w:r w:rsidR="00601387" w:rsidRPr="003253C8">
        <w:t xml:space="preserve">had </w:t>
      </w:r>
      <w:r w:rsidR="00DD5D3C" w:rsidRPr="003253C8">
        <w:t>spill</w:t>
      </w:r>
      <w:r w:rsidR="00436720" w:rsidRPr="003253C8">
        <w:t>-</w:t>
      </w:r>
      <w:r w:rsidR="00DD5D3C" w:rsidRPr="003253C8">
        <w:t>over effect</w:t>
      </w:r>
      <w:r w:rsidR="00B65DB0" w:rsidRPr="003253C8">
        <w:t>s</w:t>
      </w:r>
      <w:r w:rsidR="00DD5D3C" w:rsidRPr="003253C8">
        <w:t xml:space="preserve"> on </w:t>
      </w:r>
      <w:r w:rsidR="0062464A" w:rsidRPr="003253C8">
        <w:t>the Chinese economy</w:t>
      </w:r>
      <w:r w:rsidR="00DD5D3C" w:rsidRPr="003253C8">
        <w:t xml:space="preserve">. </w:t>
      </w:r>
      <w:r w:rsidR="00542369" w:rsidRPr="003253C8">
        <w:t xml:space="preserve"> </w:t>
      </w:r>
    </w:p>
    <w:p w14:paraId="5BD08DDC" w14:textId="25DA85E6" w:rsidR="00D73E34" w:rsidRPr="003253C8" w:rsidRDefault="00D73E34" w:rsidP="00AB1890">
      <w:pPr>
        <w:spacing w:line="360" w:lineRule="auto"/>
        <w:rPr>
          <w:kern w:val="0"/>
        </w:rPr>
      </w:pPr>
    </w:p>
    <w:p w14:paraId="16B2A71A" w14:textId="5A5EF574" w:rsidR="0048477C" w:rsidRPr="003253C8" w:rsidRDefault="00E61C2C" w:rsidP="00AB1890">
      <w:pPr>
        <w:spacing w:line="360" w:lineRule="auto"/>
        <w:rPr>
          <w:kern w:val="0"/>
        </w:rPr>
      </w:pPr>
      <w:r w:rsidRPr="003253C8">
        <w:rPr>
          <w:kern w:val="0"/>
        </w:rPr>
        <w:t>Fourth, p</w:t>
      </w:r>
      <w:r w:rsidR="00F269F1" w:rsidRPr="003253C8">
        <w:rPr>
          <w:kern w:val="0"/>
        </w:rPr>
        <w:t xml:space="preserve">re-existing prosperity is also important for evaluating impacts of individual leaders. </w:t>
      </w:r>
      <w:r w:rsidR="0010766B" w:rsidRPr="003253C8">
        <w:rPr>
          <w:kern w:val="0"/>
        </w:rPr>
        <w:t>Particularly</w:t>
      </w:r>
      <w:r w:rsidR="00F269F1" w:rsidRPr="003253C8">
        <w:rPr>
          <w:kern w:val="0"/>
        </w:rPr>
        <w:t xml:space="preserve"> this reflects the economic </w:t>
      </w:r>
      <w:r w:rsidR="004C3934" w:rsidRPr="003253C8">
        <w:rPr>
          <w:kern w:val="0"/>
        </w:rPr>
        <w:t>convergence</w:t>
      </w:r>
      <w:r w:rsidR="00F269F1" w:rsidRPr="003253C8">
        <w:rPr>
          <w:kern w:val="0"/>
        </w:rPr>
        <w:t xml:space="preserve"> literature (</w:t>
      </w:r>
      <w:r w:rsidR="00601387" w:rsidRPr="003253C8">
        <w:rPr>
          <w:kern w:val="0"/>
        </w:rPr>
        <w:t>see</w:t>
      </w:r>
      <w:r w:rsidR="009F1932" w:rsidRPr="003253C8">
        <w:rPr>
          <w:kern w:val="0"/>
        </w:rPr>
        <w:t xml:space="preserve"> Quah, 1996)</w:t>
      </w:r>
      <w:r w:rsidR="00B65DB0" w:rsidRPr="003253C8">
        <w:rPr>
          <w:i/>
          <w:kern w:val="0"/>
        </w:rPr>
        <w:t>,</w:t>
      </w:r>
      <w:r w:rsidR="00F269F1" w:rsidRPr="003253C8">
        <w:rPr>
          <w:kern w:val="0"/>
        </w:rPr>
        <w:t xml:space="preserve"> which indicates that territories with higher income levels typically grow at slower rates, and vice versa. Suppose two provinces have the same economic growth; </w:t>
      </w:r>
      <w:r w:rsidR="00F269F1" w:rsidRPr="003253C8">
        <w:rPr>
          <w:i/>
          <w:kern w:val="0"/>
        </w:rPr>
        <w:t>ceteris paribus</w:t>
      </w:r>
      <w:r w:rsidR="00F269F1" w:rsidRPr="003253C8">
        <w:rPr>
          <w:kern w:val="0"/>
        </w:rPr>
        <w:t xml:space="preserve">, the leader from the more affluent province would effectively be outperforming his colleague from the poorer province, because it would be more difficult for the economy of the more affluent province to grow. </w:t>
      </w:r>
      <w:r w:rsidR="00D73E34" w:rsidRPr="003253C8">
        <w:rPr>
          <w:kern w:val="0"/>
        </w:rPr>
        <w:t>T</w:t>
      </w:r>
      <w:r w:rsidR="00F269F1" w:rsidRPr="003253C8">
        <w:rPr>
          <w:kern w:val="0"/>
        </w:rPr>
        <w:t xml:space="preserve">here is </w:t>
      </w:r>
      <w:r w:rsidR="00D73E34" w:rsidRPr="003253C8">
        <w:rPr>
          <w:kern w:val="0"/>
        </w:rPr>
        <w:t xml:space="preserve">also </w:t>
      </w:r>
      <w:r w:rsidR="00F269F1" w:rsidRPr="003253C8">
        <w:rPr>
          <w:kern w:val="0"/>
        </w:rPr>
        <w:t xml:space="preserve">an interpretation </w:t>
      </w:r>
      <w:r w:rsidR="003D568B" w:rsidRPr="003253C8">
        <w:rPr>
          <w:kern w:val="0"/>
        </w:rPr>
        <w:t>through</w:t>
      </w:r>
      <w:r w:rsidR="00F269F1" w:rsidRPr="003253C8">
        <w:rPr>
          <w:kern w:val="0"/>
        </w:rPr>
        <w:t xml:space="preserve"> those with the most political leverage securing appointments in the more affluent provinces, rather than the poorer and less developed parts of the country. Thus, similar to Li</w:t>
      </w:r>
      <w:r w:rsidR="00D14AB2" w:rsidRPr="003253C8">
        <w:rPr>
          <w:i/>
          <w:kern w:val="0"/>
        </w:rPr>
        <w:t xml:space="preserve"> </w:t>
      </w:r>
      <w:r w:rsidR="00D14AB2" w:rsidRPr="003253C8">
        <w:rPr>
          <w:kern w:val="0"/>
        </w:rPr>
        <w:t>and Zhou</w:t>
      </w:r>
      <w:r w:rsidR="00F269F1" w:rsidRPr="003253C8">
        <w:rPr>
          <w:i/>
          <w:kern w:val="0"/>
        </w:rPr>
        <w:t xml:space="preserve">. </w:t>
      </w:r>
      <w:r w:rsidR="00F269F1" w:rsidRPr="003253C8">
        <w:rPr>
          <w:kern w:val="0"/>
        </w:rPr>
        <w:t xml:space="preserve">(2005), we included the lagged provincial per capita GDP (per capita GDP of the year before the start of the tenure) to control for pre-existing prosperity. </w:t>
      </w:r>
    </w:p>
    <w:p w14:paraId="4DC32E8A" w14:textId="77777777" w:rsidR="0048477C" w:rsidRPr="003253C8" w:rsidRDefault="0048477C" w:rsidP="00AB1890">
      <w:pPr>
        <w:spacing w:line="360" w:lineRule="auto"/>
        <w:rPr>
          <w:kern w:val="0"/>
        </w:rPr>
      </w:pPr>
    </w:p>
    <w:p w14:paraId="51FC17EB" w14:textId="77777777" w:rsidR="00F80788" w:rsidRPr="003253C8" w:rsidRDefault="00F269F1" w:rsidP="00AB1890">
      <w:pPr>
        <w:pStyle w:val="Heading3"/>
        <w:spacing w:line="360" w:lineRule="auto"/>
        <w:rPr>
          <w:lang w:val="en-GB"/>
        </w:rPr>
      </w:pPr>
      <w:r w:rsidRPr="003253C8">
        <w:rPr>
          <w:lang w:val="en-GB"/>
        </w:rPr>
        <w:t xml:space="preserve">Central Connection </w:t>
      </w:r>
    </w:p>
    <w:p w14:paraId="283BA35A" w14:textId="68919319" w:rsidR="00C33CF6" w:rsidRPr="003253C8" w:rsidRDefault="00F269F1" w:rsidP="00AB1890">
      <w:pPr>
        <w:spacing w:line="360" w:lineRule="auto"/>
      </w:pPr>
      <w:r w:rsidRPr="003253C8">
        <w:t>Central connection enters the regression as a dichotomo</w:t>
      </w:r>
      <w:r w:rsidR="00FD7086" w:rsidRPr="003253C8">
        <w:t xml:space="preserve">us variable (Li and Zhou, 2005). </w:t>
      </w:r>
      <w:r w:rsidR="00FD7086" w:rsidRPr="00193FBA">
        <w:t>L</w:t>
      </w:r>
      <w:r w:rsidRPr="00193FBA">
        <w:t>eaders</w:t>
      </w:r>
      <w:r w:rsidRPr="003253C8">
        <w:t xml:space="preserve"> having previous experience in national government, or holding contemporaneous joint-appointments in both central government and as </w:t>
      </w:r>
      <w:r w:rsidR="00FD7086" w:rsidRPr="003253C8">
        <w:t xml:space="preserve">provincial leaders, </w:t>
      </w:r>
      <w:r w:rsidRPr="003253C8">
        <w:t xml:space="preserve">equating </w:t>
      </w:r>
      <w:r w:rsidR="00FD7086" w:rsidRPr="00193FBA">
        <w:t>to</w:t>
      </w:r>
      <w:r w:rsidR="00FD7086" w:rsidRPr="003253C8">
        <w:t xml:space="preserve"> </w:t>
      </w:r>
      <w:r w:rsidR="0048477C" w:rsidRPr="003253C8">
        <w:t>1</w:t>
      </w:r>
      <w:r w:rsidRPr="003253C8">
        <w:t>, and 0 otherwise.</w:t>
      </w:r>
      <w:r w:rsidR="00F82B14" w:rsidRPr="003253C8">
        <w:t xml:space="preserve"> </w:t>
      </w:r>
    </w:p>
    <w:p w14:paraId="13C0DF10" w14:textId="77777777" w:rsidR="00C33CF6" w:rsidRPr="003253C8" w:rsidRDefault="00C33CF6" w:rsidP="00AB1890">
      <w:pPr>
        <w:spacing w:line="360" w:lineRule="auto"/>
      </w:pPr>
    </w:p>
    <w:p w14:paraId="32A7A654" w14:textId="22FDF145" w:rsidR="00F00832" w:rsidRPr="00DF477D" w:rsidRDefault="00F1774C" w:rsidP="00EB644A">
      <w:pPr>
        <w:autoSpaceDE w:val="0"/>
        <w:autoSpaceDN w:val="0"/>
        <w:adjustRightInd w:val="0"/>
        <w:spacing w:line="360" w:lineRule="auto"/>
        <w:jc w:val="left"/>
      </w:pPr>
      <w:r w:rsidRPr="003253C8">
        <w:t>I</w:t>
      </w:r>
      <w:r w:rsidR="00C33CF6" w:rsidRPr="003253C8">
        <w:t>nformation on central connection</w:t>
      </w:r>
      <w:r w:rsidRPr="003253C8">
        <w:t>,</w:t>
      </w:r>
      <w:r w:rsidR="00B65DB0" w:rsidRPr="003253C8">
        <w:t xml:space="preserve"> was</w:t>
      </w:r>
      <w:r w:rsidRPr="003253C8">
        <w:t>, however collected</w:t>
      </w:r>
      <w:r w:rsidR="00C33CF6" w:rsidRPr="003253C8">
        <w:t xml:space="preserve"> </w:t>
      </w:r>
      <w:r w:rsidR="002A3C77" w:rsidRPr="003253C8">
        <w:t>in an ordinal scale</w:t>
      </w:r>
      <w:r w:rsidR="00546B7D" w:rsidRPr="003253C8">
        <w:t>, deta</w:t>
      </w:r>
      <w:r w:rsidRPr="003253C8">
        <w:t>iling the exact tier in the bureaucratic system (see Table 2)</w:t>
      </w:r>
      <w:r w:rsidR="002A3C77" w:rsidRPr="003253C8">
        <w:t>. This facilitate</w:t>
      </w:r>
      <w:r w:rsidR="00B65DB0" w:rsidRPr="003253C8">
        <w:t>s</w:t>
      </w:r>
      <w:r w:rsidR="002A3C77" w:rsidRPr="003253C8">
        <w:t xml:space="preserve"> exclusion of cases that would otherwise generate over-counting of promotion and bias estimation results. Specifically, </w:t>
      </w:r>
      <w:r w:rsidR="00B80690" w:rsidRPr="003253C8">
        <w:t xml:space="preserve">there are officials who possessed central connection at tier two, this cohort </w:t>
      </w:r>
      <w:r w:rsidR="000427FC" w:rsidRPr="003253C8">
        <w:t>had</w:t>
      </w:r>
      <w:r w:rsidR="00B80690" w:rsidRPr="003253C8">
        <w:t xml:space="preserve"> effectively already been promoted</w:t>
      </w:r>
      <w:r w:rsidR="00156B74" w:rsidRPr="003253C8">
        <w:t xml:space="preserve"> to </w:t>
      </w:r>
      <w:r w:rsidR="00D73E34" w:rsidRPr="003253C8">
        <w:t xml:space="preserve">the </w:t>
      </w:r>
      <w:r w:rsidR="00156B74" w:rsidRPr="003253C8">
        <w:t>national leadership</w:t>
      </w:r>
      <w:r w:rsidR="00B80690" w:rsidRPr="003253C8">
        <w:t>, and wou</w:t>
      </w:r>
      <w:r w:rsidR="00C72815" w:rsidRPr="003253C8">
        <w:t>ld need to be removed from the first</w:t>
      </w:r>
      <w:r w:rsidR="00B80690" w:rsidRPr="003253C8">
        <w:t xml:space="preserve"> set of regressions. Furthermore, </w:t>
      </w:r>
      <w:r w:rsidR="002A3C77" w:rsidRPr="003253C8">
        <w:t>o</w:t>
      </w:r>
      <w:r w:rsidR="00B80690" w:rsidRPr="003253C8">
        <w:t xml:space="preserve">fficials with central connections at </w:t>
      </w:r>
      <w:r w:rsidR="001C31ED" w:rsidRPr="003253C8">
        <w:t xml:space="preserve">tier </w:t>
      </w:r>
      <w:r w:rsidR="00AE068B" w:rsidRPr="003253C8">
        <w:t>three</w:t>
      </w:r>
      <w:r w:rsidR="00B80690" w:rsidRPr="003253C8">
        <w:t xml:space="preserve"> level</w:t>
      </w:r>
      <w:r w:rsidR="00601387" w:rsidRPr="003253C8">
        <w:t xml:space="preserve"> </w:t>
      </w:r>
      <w:r w:rsidR="00D73E34" w:rsidRPr="003253C8">
        <w:t>(</w:t>
      </w:r>
      <w:r w:rsidR="00B80690" w:rsidRPr="003253C8">
        <w:rPr>
          <w:i/>
        </w:rPr>
        <w:t xml:space="preserve">e.g. </w:t>
      </w:r>
      <w:r w:rsidR="00B80690" w:rsidRPr="003253C8">
        <w:t>ministerial posts</w:t>
      </w:r>
      <w:r w:rsidR="00D73E34" w:rsidRPr="003253C8">
        <w:t>)</w:t>
      </w:r>
      <w:r w:rsidR="00B80690" w:rsidRPr="003253C8">
        <w:t xml:space="preserve"> </w:t>
      </w:r>
      <w:r w:rsidR="00B65DB0" w:rsidRPr="003253C8">
        <w:t>before</w:t>
      </w:r>
      <w:r w:rsidR="00B80690" w:rsidRPr="003253C8">
        <w:t xml:space="preserve"> appointment</w:t>
      </w:r>
      <w:r w:rsidR="00B65DB0" w:rsidRPr="003253C8">
        <w:t xml:space="preserve"> to the</w:t>
      </w:r>
      <w:r w:rsidR="00B80690" w:rsidRPr="003253C8">
        <w:t xml:space="preserve"> provincial leadership</w:t>
      </w:r>
      <w:r w:rsidR="002A3C77" w:rsidRPr="003253C8">
        <w:t>, would also</w:t>
      </w:r>
      <w:r w:rsidR="002A3C77" w:rsidRPr="00DF477D">
        <w:t xml:space="preserve"> need to be excluded</w:t>
      </w:r>
      <w:r w:rsidR="00B80690" w:rsidRPr="00DF477D">
        <w:t xml:space="preserve">. Such </w:t>
      </w:r>
      <w:r w:rsidR="00601387" w:rsidRPr="00DF477D">
        <w:t>cases</w:t>
      </w:r>
      <w:r w:rsidR="00B80690" w:rsidRPr="00DF477D">
        <w:t xml:space="preserve"> included </w:t>
      </w:r>
      <w:r w:rsidR="00B80690" w:rsidRPr="00DF477D">
        <w:rPr>
          <w:u w:val="single"/>
        </w:rPr>
        <w:t>Sun</w:t>
      </w:r>
      <w:r w:rsidR="00B80690" w:rsidRPr="00DF477D">
        <w:t xml:space="preserve"> Zhengcai</w:t>
      </w:r>
      <w:r w:rsidR="00601387" w:rsidRPr="00DF477D">
        <w:t>,</w:t>
      </w:r>
      <w:r w:rsidR="00B80690" w:rsidRPr="00DF477D">
        <w:t xml:space="preserve"> who served as Minister of Agriculture before becoming the CPC </w:t>
      </w:r>
      <w:r w:rsidR="00AE068B" w:rsidRPr="00DF477D">
        <w:t xml:space="preserve">Committee </w:t>
      </w:r>
      <w:r w:rsidR="00B80690" w:rsidRPr="00DF477D">
        <w:t xml:space="preserve">Secretary of Jilin province; and </w:t>
      </w:r>
      <w:r w:rsidR="00B80690" w:rsidRPr="00DF477D">
        <w:rPr>
          <w:u w:val="single"/>
        </w:rPr>
        <w:t>Jiang</w:t>
      </w:r>
      <w:r w:rsidR="00B80690" w:rsidRPr="00DF477D">
        <w:t xml:space="preserve"> Zemin, later the </w:t>
      </w:r>
      <w:r w:rsidR="00F1407B" w:rsidRPr="00DF477D">
        <w:t xml:space="preserve">General Secretary of the CPC Central Committee and then </w:t>
      </w:r>
      <w:r w:rsidR="00B80690" w:rsidRPr="00DF477D">
        <w:t xml:space="preserve">President of China, who served as Minister for the Electronics Industry before becoming </w:t>
      </w:r>
      <w:r w:rsidR="00F1407B" w:rsidRPr="00DF477D">
        <w:t xml:space="preserve">the </w:t>
      </w:r>
      <w:r w:rsidR="00B80690" w:rsidRPr="00DF477D">
        <w:t xml:space="preserve">Mayor and </w:t>
      </w:r>
      <w:r w:rsidR="00F1407B" w:rsidRPr="00DF477D">
        <w:t xml:space="preserve">then the </w:t>
      </w:r>
      <w:r w:rsidR="00B80690" w:rsidRPr="00DF477D">
        <w:t xml:space="preserve">CPC </w:t>
      </w:r>
      <w:r w:rsidR="00E548F8" w:rsidRPr="00DF477D">
        <w:t xml:space="preserve">Committee </w:t>
      </w:r>
      <w:r w:rsidR="00B65DB0" w:rsidRPr="00DF477D">
        <w:t>S</w:t>
      </w:r>
      <w:r w:rsidR="00B80690" w:rsidRPr="00DF477D">
        <w:t>ecretary of Shanghai. This cohort would need to be</w:t>
      </w:r>
      <w:r w:rsidR="00C72815" w:rsidRPr="00DF477D">
        <w:t xml:space="preserve"> removed from the </w:t>
      </w:r>
      <w:r w:rsidR="00F16404" w:rsidRPr="00DF477D">
        <w:t>second</w:t>
      </w:r>
      <w:r w:rsidR="00B80690" w:rsidRPr="00DF477D">
        <w:t xml:space="preserve"> set of regression analysis. </w:t>
      </w:r>
      <w:r w:rsidR="00445C5A" w:rsidRPr="00DF477D">
        <w:t xml:space="preserve">Such </w:t>
      </w:r>
      <w:r w:rsidR="00B80690" w:rsidRPr="00DF477D">
        <w:t xml:space="preserve">job changes </w:t>
      </w:r>
      <w:r w:rsidR="00445C5A" w:rsidRPr="00DF477D">
        <w:t xml:space="preserve">might be </w:t>
      </w:r>
      <w:r w:rsidR="00B80690" w:rsidRPr="00DF477D">
        <w:t xml:space="preserve">reflexive of personal desires to relocate back to Beijing or </w:t>
      </w:r>
      <w:r w:rsidR="007D4F90" w:rsidRPr="00DF477D">
        <w:t xml:space="preserve">the </w:t>
      </w:r>
      <w:r w:rsidR="00B80690" w:rsidRPr="00DF477D">
        <w:t>natural culmination of temporary postings aimed at broadening administrative experience</w:t>
      </w:r>
      <w:r w:rsidR="00445C5A" w:rsidRPr="00DF477D">
        <w:t xml:space="preserve"> rather than a genuine promotion</w:t>
      </w:r>
      <w:r w:rsidR="00B80690" w:rsidRPr="00DF477D">
        <w:t xml:space="preserve">. Including those cases might, therefore, produce a false significant relationship between central connection and promotion. </w:t>
      </w:r>
      <w:r w:rsidR="00B65DB0" w:rsidRPr="00DF477D">
        <w:t>Similarly</w:t>
      </w:r>
      <w:r w:rsidR="00AB63BF" w:rsidRPr="00DF477D">
        <w:t>, we do not count posts</w:t>
      </w:r>
      <w:r w:rsidR="00CF51D0" w:rsidRPr="00DF477D">
        <w:t xml:space="preserve"> </w:t>
      </w:r>
      <w:r w:rsidR="00AB63BF" w:rsidRPr="00DF477D">
        <w:t xml:space="preserve">below tier </w:t>
      </w:r>
      <w:r w:rsidR="00AE068B" w:rsidRPr="00DF477D">
        <w:t>four</w:t>
      </w:r>
      <w:r w:rsidR="00CF51D0" w:rsidRPr="00DF477D">
        <w:t>, give</w:t>
      </w:r>
      <w:r w:rsidR="00B65DB0" w:rsidRPr="00DF477D">
        <w:t>n their</w:t>
      </w:r>
      <w:r w:rsidR="00CF51D0" w:rsidRPr="00DF477D">
        <w:t xml:space="preserve"> low ranking. </w:t>
      </w:r>
      <w:r w:rsidR="00B65DB0" w:rsidRPr="00DF477D">
        <w:t>Furthermore, o</w:t>
      </w:r>
      <w:r w:rsidR="00F00832" w:rsidRPr="00DF477D">
        <w:t xml:space="preserve">ur decision to investigate specific positions rather </w:t>
      </w:r>
      <w:r w:rsidR="008B3DDF" w:rsidRPr="00DF477D">
        <w:t xml:space="preserve">than </w:t>
      </w:r>
      <w:r w:rsidR="00F00832" w:rsidRPr="00DF477D">
        <w:t>individuals was confirmed because some officials had no central connection in an initial tenure but acquired one before a subsequent tenure. Most of them eventually acquiring central connection (see table 3).</w:t>
      </w:r>
      <w:r w:rsidR="009939EC" w:rsidRPr="00DF477D">
        <w:t xml:space="preserve"> </w:t>
      </w:r>
    </w:p>
    <w:p w14:paraId="64A4A1F4" w14:textId="77777777" w:rsidR="00F00832" w:rsidRPr="00DF477D" w:rsidRDefault="00F00832" w:rsidP="00AB1890">
      <w:pPr>
        <w:tabs>
          <w:tab w:val="left" w:pos="3315"/>
        </w:tabs>
        <w:spacing w:line="360" w:lineRule="auto"/>
        <w:rPr>
          <w:b/>
        </w:rPr>
      </w:pPr>
    </w:p>
    <w:p w14:paraId="1AE60BBF" w14:textId="77777777" w:rsidR="00F00832" w:rsidRPr="00DF477D" w:rsidRDefault="00F00832" w:rsidP="00AB1890">
      <w:pPr>
        <w:tabs>
          <w:tab w:val="left" w:pos="3315"/>
        </w:tabs>
        <w:spacing w:line="360" w:lineRule="auto"/>
      </w:pPr>
      <w:r w:rsidRPr="00DF477D">
        <w:rPr>
          <w:b/>
        </w:rPr>
        <w:t>Insert table 2 here.</w:t>
      </w:r>
    </w:p>
    <w:p w14:paraId="065D6CC4" w14:textId="77777777" w:rsidR="00F00832" w:rsidRPr="00DF477D" w:rsidRDefault="00F00832" w:rsidP="00AB1890">
      <w:pPr>
        <w:tabs>
          <w:tab w:val="left" w:pos="3315"/>
        </w:tabs>
        <w:spacing w:line="360" w:lineRule="auto"/>
        <w:rPr>
          <w:b/>
        </w:rPr>
      </w:pPr>
    </w:p>
    <w:p w14:paraId="49224E87" w14:textId="77777777" w:rsidR="00F00832" w:rsidRPr="00DF477D" w:rsidRDefault="00F00832" w:rsidP="00AB1890">
      <w:pPr>
        <w:tabs>
          <w:tab w:val="left" w:pos="3315"/>
        </w:tabs>
        <w:spacing w:line="360" w:lineRule="auto"/>
        <w:rPr>
          <w:b/>
        </w:rPr>
      </w:pPr>
      <w:r w:rsidRPr="00DF477D">
        <w:rPr>
          <w:b/>
        </w:rPr>
        <w:t>Insert table 3 here.</w:t>
      </w:r>
    </w:p>
    <w:p w14:paraId="442B7B24" w14:textId="77777777" w:rsidR="00F269F1" w:rsidRPr="00DF477D" w:rsidRDefault="00F269F1" w:rsidP="00AB1890">
      <w:pPr>
        <w:spacing w:line="360" w:lineRule="auto"/>
        <w:rPr>
          <w:lang w:val="en-GB"/>
        </w:rPr>
      </w:pPr>
    </w:p>
    <w:p w14:paraId="531FF5B5" w14:textId="77777777" w:rsidR="00F00832" w:rsidRPr="00DF477D" w:rsidRDefault="00F00832" w:rsidP="00AB1890">
      <w:pPr>
        <w:pStyle w:val="Heading3"/>
        <w:spacing w:line="360" w:lineRule="auto"/>
        <w:rPr>
          <w:lang w:val="en-GB"/>
        </w:rPr>
      </w:pPr>
      <w:r w:rsidRPr="00DF477D">
        <w:rPr>
          <w:lang w:val="en-GB"/>
        </w:rPr>
        <w:t xml:space="preserve">Experience and Education </w:t>
      </w:r>
    </w:p>
    <w:p w14:paraId="0C221499" w14:textId="1924C545" w:rsidR="00F00832" w:rsidRPr="00193FBA" w:rsidRDefault="00F00832" w:rsidP="00AB1890">
      <w:pPr>
        <w:spacing w:line="360" w:lineRule="auto"/>
      </w:pPr>
      <w:r w:rsidRPr="00DF477D">
        <w:t>Experience was addressed through age and length of service.</w:t>
      </w:r>
      <w:r w:rsidR="00206E43" w:rsidRPr="00DF477D">
        <w:t xml:space="preserve"> Our age statistics reflect age at the end of each tenure (see table 4).</w:t>
      </w:r>
      <w:r w:rsidRPr="00DF477D">
        <w:t xml:space="preserve"> </w:t>
      </w:r>
      <w:r w:rsidR="000B0CC3" w:rsidRPr="00DF477D">
        <w:t>A</w:t>
      </w:r>
      <w:r w:rsidRPr="00DF477D">
        <w:t xml:space="preserve">ge is (of course) important in determining bureaucratic career trajectories. Since our purpose is to identify contributing factors to </w:t>
      </w:r>
      <w:r w:rsidRPr="00182FDA">
        <w:t>promotion, retirement rules must be addressed</w:t>
      </w:r>
      <w:r w:rsidR="00043F5E" w:rsidRPr="00182FDA">
        <w:t>,</w:t>
      </w:r>
      <w:r w:rsidR="00AC28EB" w:rsidRPr="00182FDA">
        <w:t xml:space="preserve"> specifically the introduction of mandatory retirement</w:t>
      </w:r>
      <w:r w:rsidR="00043F5E" w:rsidRPr="00182FDA">
        <w:t>.</w:t>
      </w:r>
      <w:r w:rsidRPr="00182FDA">
        <w:t xml:space="preserve"> </w:t>
      </w:r>
      <w:r w:rsidR="00AC28EB" w:rsidRPr="00182FDA">
        <w:t xml:space="preserve">These rules </w:t>
      </w:r>
      <w:r w:rsidRPr="00182FDA">
        <w:t>specified retirement of provincial leaders at aged 65; and were implemented in 1983 (Li and Zhou, 2005</w:t>
      </w:r>
      <w:r w:rsidR="005D16C5" w:rsidRPr="00182FDA">
        <w:t>: 1759</w:t>
      </w:r>
      <w:r w:rsidRPr="00182FDA">
        <w:t>). Although there are dispensations to retain office until completion of current terms, tenures are seldom renewed for those aged above 63, and 68 is, with some</w:t>
      </w:r>
      <w:r w:rsidR="00A91290" w:rsidRPr="00182FDA">
        <w:t xml:space="preserve"> very</w:t>
      </w:r>
      <w:r w:rsidRPr="00182FDA">
        <w:t xml:space="preserve"> rare exceptions (see table 7), usually the ceiling for joining the national leadership. Thus, to reflect impacts from implementation of mandatory retirement, we generated a dummy variable indicating whether the tenure commenced from 1</w:t>
      </w:r>
      <w:r w:rsidRPr="00182FDA">
        <w:rPr>
          <w:vertAlign w:val="superscript"/>
        </w:rPr>
        <w:t>st</w:t>
      </w:r>
      <w:r w:rsidRPr="00182FDA">
        <w:t xml:space="preserve"> January 1983 and onwards</w:t>
      </w:r>
      <w:r w:rsidRPr="00182FDA">
        <w:rPr>
          <w:rStyle w:val="EndnoteReference"/>
        </w:rPr>
        <w:endnoteReference w:id="1"/>
      </w:r>
      <w:r w:rsidRPr="00182FDA">
        <w:t xml:space="preserve"> (</w:t>
      </w:r>
      <w:r w:rsidR="00AE068B" w:rsidRPr="00182FDA">
        <w:t>p</w:t>
      </w:r>
      <w:r w:rsidRPr="00182FDA">
        <w:t xml:space="preserve">ost-82) and </w:t>
      </w:r>
      <w:r w:rsidR="00956A78" w:rsidRPr="00182FDA">
        <w:t xml:space="preserve">an </w:t>
      </w:r>
      <w:r w:rsidRPr="00182FDA">
        <w:t xml:space="preserve">age </w:t>
      </w:r>
      <w:r w:rsidR="00C72913" w:rsidRPr="00182FDA">
        <w:t>indicator</w:t>
      </w:r>
      <w:r w:rsidR="000427FC" w:rsidRPr="00182FDA">
        <w:t xml:space="preserve"> (age&gt;65)</w:t>
      </w:r>
      <w:r w:rsidR="000960D9" w:rsidRPr="00182FDA">
        <w:t xml:space="preserve">. </w:t>
      </w:r>
      <w:r w:rsidR="000960D9" w:rsidRPr="00193FBA">
        <w:t xml:space="preserve">We then </w:t>
      </w:r>
      <w:r w:rsidRPr="00193FBA">
        <w:t xml:space="preserve">included age, the </w:t>
      </w:r>
      <w:r w:rsidR="005B24AD" w:rsidRPr="00193FBA">
        <w:t>p</w:t>
      </w:r>
      <w:r w:rsidR="000960D9" w:rsidRPr="00193FBA">
        <w:t xml:space="preserve">ost-82 </w:t>
      </w:r>
      <w:r w:rsidR="001373B6" w:rsidRPr="00193FBA">
        <w:t>indicator</w:t>
      </w:r>
      <w:r w:rsidRPr="00193FBA">
        <w:t xml:space="preserve"> and the multiplication of </w:t>
      </w:r>
      <w:r w:rsidR="00772D54" w:rsidRPr="00193FBA">
        <w:t xml:space="preserve">age with the </w:t>
      </w:r>
      <w:r w:rsidRPr="00193FBA">
        <w:t xml:space="preserve">post-82 </w:t>
      </w:r>
      <w:r w:rsidR="001373B6" w:rsidRPr="00193FBA">
        <w:t>indicator</w:t>
      </w:r>
      <w:r w:rsidR="00F82B28" w:rsidRPr="00193FBA">
        <w:t>,</w:t>
      </w:r>
      <w:r w:rsidRPr="00193FBA">
        <w:t xml:space="preserve"> to </w:t>
      </w:r>
      <w:r w:rsidR="003D40B0" w:rsidRPr="00193FBA">
        <w:t xml:space="preserve">capture the </w:t>
      </w:r>
      <w:r w:rsidR="00C93CF5" w:rsidRPr="00193FBA">
        <w:t>effect</w:t>
      </w:r>
      <w:r w:rsidR="00F82B28" w:rsidRPr="00193FBA">
        <w:t>s o</w:t>
      </w:r>
      <w:r w:rsidR="00C93CF5" w:rsidRPr="00193FBA">
        <w:t xml:space="preserve">f age, </w:t>
      </w:r>
      <w:r w:rsidR="00CF17DD" w:rsidRPr="00193FBA">
        <w:t xml:space="preserve">the </w:t>
      </w:r>
      <w:r w:rsidR="000960D9" w:rsidRPr="00193FBA">
        <w:t>mandatory retirement rule</w:t>
      </w:r>
      <w:r w:rsidR="00C93CF5" w:rsidRPr="00193FBA">
        <w:t xml:space="preserve"> and their interaction on promotion. </w:t>
      </w:r>
      <w:r w:rsidRPr="00193FBA">
        <w:t xml:space="preserve">  </w:t>
      </w:r>
    </w:p>
    <w:p w14:paraId="127CDE05" w14:textId="77777777" w:rsidR="00F00832" w:rsidRPr="00182FDA" w:rsidRDefault="00F00832" w:rsidP="00AB1890">
      <w:pPr>
        <w:spacing w:line="360" w:lineRule="auto"/>
      </w:pPr>
    </w:p>
    <w:p w14:paraId="5C7736E9" w14:textId="133C1237" w:rsidR="00A42AAF" w:rsidRPr="00182FDA" w:rsidRDefault="00A42AAF" w:rsidP="00AB1890">
      <w:pPr>
        <w:spacing w:line="360" w:lineRule="auto"/>
        <w:rPr>
          <w:b/>
        </w:rPr>
      </w:pPr>
      <w:r w:rsidRPr="00182FDA">
        <w:rPr>
          <w:b/>
        </w:rPr>
        <w:t>Insert table 4 here.</w:t>
      </w:r>
    </w:p>
    <w:p w14:paraId="0CD48BFE" w14:textId="77777777" w:rsidR="00A42AAF" w:rsidRPr="00182FDA" w:rsidRDefault="00A42AAF" w:rsidP="00AB1890">
      <w:pPr>
        <w:spacing w:line="360" w:lineRule="auto"/>
        <w:rPr>
          <w:b/>
        </w:rPr>
      </w:pPr>
    </w:p>
    <w:p w14:paraId="5B5E0E47" w14:textId="5D2F2D9C" w:rsidR="00F00832" w:rsidRPr="00182FDA" w:rsidRDefault="00F00832" w:rsidP="00AB1890">
      <w:pPr>
        <w:spacing w:line="360" w:lineRule="auto"/>
      </w:pPr>
      <w:r w:rsidRPr="00182FDA">
        <w:t xml:space="preserve">Length of service is considered through two aspects. First, the number of months an </w:t>
      </w:r>
      <w:r w:rsidR="00AE068B" w:rsidRPr="00182FDA">
        <w:t>individual</w:t>
      </w:r>
      <w:r w:rsidRPr="00182FDA">
        <w:t xml:space="preserve"> has served i</w:t>
      </w:r>
      <w:r w:rsidR="00063276" w:rsidRPr="00182FDA">
        <w:t>n the relevant post</w:t>
      </w:r>
      <w:r w:rsidRPr="00182FDA">
        <w:t xml:space="preserve">, cases where an official held their position for more than five years (one-tenure) have been flagged out and effects captured as a </w:t>
      </w:r>
      <w:r w:rsidR="001D0885" w:rsidRPr="00182FDA">
        <w:t>d</w:t>
      </w:r>
      <w:r w:rsidRPr="00182FDA">
        <w:t xml:space="preserve">ummy variable through regression analysis. Second, we recorded the number of provinces an </w:t>
      </w:r>
      <w:r w:rsidR="00AE068B" w:rsidRPr="00182FDA">
        <w:t>individual</w:t>
      </w:r>
      <w:r w:rsidRPr="00182FDA">
        <w:t xml:space="preserve"> has served in</w:t>
      </w:r>
      <w:r w:rsidR="005B4884" w:rsidRPr="00182FDA">
        <w:t>,</w:t>
      </w:r>
      <w:r w:rsidRPr="00182FDA">
        <w:t xml:space="preserve"> as either </w:t>
      </w:r>
      <w:r w:rsidR="00AE068B" w:rsidRPr="00182FDA">
        <w:t>G</w:t>
      </w:r>
      <w:r w:rsidRPr="00182FDA">
        <w:t xml:space="preserve">overnor or CPC </w:t>
      </w:r>
      <w:r w:rsidR="00AE068B" w:rsidRPr="00182FDA">
        <w:t>P</w:t>
      </w:r>
      <w:r w:rsidRPr="00182FDA">
        <w:t xml:space="preserve">rovincial </w:t>
      </w:r>
      <w:r w:rsidR="00AE068B" w:rsidRPr="00182FDA">
        <w:t>Committee S</w:t>
      </w:r>
      <w:r w:rsidRPr="00182FDA">
        <w:t xml:space="preserve">ecretary. </w:t>
      </w:r>
      <w:r w:rsidR="00973AFA" w:rsidRPr="00182FDA">
        <w:t>This, similar to</w:t>
      </w:r>
      <w:r w:rsidR="00E80E48" w:rsidRPr="00182FDA">
        <w:t xml:space="preserve"> central connection, captu</w:t>
      </w:r>
      <w:r w:rsidR="00973AFA" w:rsidRPr="00182FDA">
        <w:t>res the extent</w:t>
      </w:r>
      <w:r w:rsidR="00E80E48" w:rsidRPr="00182FDA">
        <w:t xml:space="preserve"> of </w:t>
      </w:r>
      <w:r w:rsidR="00DC45F3" w:rsidRPr="00182FDA">
        <w:t>their</w:t>
      </w:r>
      <w:r w:rsidR="00E80E48" w:rsidRPr="00182FDA">
        <w:t xml:space="preserve"> personal connections</w:t>
      </w:r>
      <w:r w:rsidR="00DC45F3" w:rsidRPr="00182FDA">
        <w:t xml:space="preserve"> and </w:t>
      </w:r>
      <w:r w:rsidR="00C72815" w:rsidRPr="00182FDA">
        <w:t>administrative experience</w:t>
      </w:r>
      <w:r w:rsidR="00E80E48" w:rsidRPr="00182FDA">
        <w:t xml:space="preserve">. </w:t>
      </w:r>
      <w:r w:rsidR="00E04BAD" w:rsidRPr="00182FDA">
        <w:t xml:space="preserve">We thus </w:t>
      </w:r>
      <w:r w:rsidRPr="00182FDA">
        <w:t>identified a variable overlooked by others</w:t>
      </w:r>
      <w:r w:rsidR="00CA362F" w:rsidRPr="00182FDA">
        <w:t xml:space="preserve"> such as </w:t>
      </w:r>
      <w:r w:rsidRPr="00182FDA">
        <w:t>Li and Zhou</w:t>
      </w:r>
      <w:r w:rsidR="00CA362F" w:rsidRPr="00182FDA">
        <w:t xml:space="preserve"> (2005) and </w:t>
      </w:r>
      <w:r w:rsidRPr="00182FDA">
        <w:t xml:space="preserve">Chen </w:t>
      </w:r>
      <w:r w:rsidRPr="00182FDA">
        <w:rPr>
          <w:i/>
        </w:rPr>
        <w:t>et al</w:t>
      </w:r>
      <w:r w:rsidRPr="00182FDA">
        <w:t>.</w:t>
      </w:r>
      <w:r w:rsidR="00CA362F" w:rsidRPr="00182FDA">
        <w:t xml:space="preserve"> (2</w:t>
      </w:r>
      <w:r w:rsidRPr="00182FDA">
        <w:t>005).</w:t>
      </w:r>
    </w:p>
    <w:p w14:paraId="044B6BC6" w14:textId="77777777" w:rsidR="00765299" w:rsidRPr="00182FDA" w:rsidRDefault="00765299" w:rsidP="00AB1890">
      <w:pPr>
        <w:spacing w:line="360" w:lineRule="auto"/>
      </w:pPr>
    </w:p>
    <w:p w14:paraId="1CD876B0" w14:textId="6B28833D" w:rsidR="00F00832" w:rsidRPr="00182FDA" w:rsidRDefault="00F00832" w:rsidP="00AB1890">
      <w:pPr>
        <w:spacing w:line="360" w:lineRule="auto"/>
      </w:pPr>
      <w:r w:rsidRPr="00182FDA">
        <w:t>Educational attainment is assessed through a fourfold classification</w:t>
      </w:r>
      <w:r w:rsidR="00CE0CDF" w:rsidRPr="00182FDA">
        <w:t xml:space="preserve">. </w:t>
      </w:r>
      <w:r w:rsidR="00CE0CDF" w:rsidRPr="00182FDA">
        <w:rPr>
          <w:i/>
        </w:rPr>
        <w:t>Cadres</w:t>
      </w:r>
      <w:r w:rsidR="007C30D1" w:rsidRPr="00182FDA">
        <w:t xml:space="preserve"> were categorised</w:t>
      </w:r>
      <w:r w:rsidR="00CE0CDF" w:rsidRPr="00182FDA">
        <w:t xml:space="preserve"> in terms of whether their highest educational qualification was a PhD, master’s degree, a first degree or a high school graduation certificate or below. Levels were </w:t>
      </w:r>
      <w:r w:rsidR="000B0CC3" w:rsidRPr="00182FDA">
        <w:t xml:space="preserve">recorded for when each individual attained their first tier three position </w:t>
      </w:r>
      <w:r w:rsidRPr="00182FDA">
        <w:t xml:space="preserve">and each </w:t>
      </w:r>
      <w:r w:rsidR="000B0CC3" w:rsidRPr="00182FDA">
        <w:t xml:space="preserve">subsequent </w:t>
      </w:r>
      <w:r w:rsidRPr="00182FDA">
        <w:t xml:space="preserve">tenure. </w:t>
      </w:r>
      <w:r w:rsidR="00765299" w:rsidRPr="00182FDA">
        <w:t>Similar to</w:t>
      </w:r>
      <w:r w:rsidRPr="00182FDA">
        <w:t xml:space="preserve"> central connection, educational attainment enters the regression as a binary variable</w:t>
      </w:r>
      <w:r w:rsidR="00765299" w:rsidRPr="00182FDA">
        <w:t xml:space="preserve"> (undergraduate and above=1, lower=0). </w:t>
      </w:r>
      <w:r w:rsidRPr="00182FDA">
        <w:t xml:space="preserve">Data on </w:t>
      </w:r>
      <w:r w:rsidR="005B4884" w:rsidRPr="00182FDA">
        <w:t xml:space="preserve">the </w:t>
      </w:r>
      <w:r w:rsidRPr="00182FDA">
        <w:t xml:space="preserve">educational attainment of 51 leaders was missing. However, it is unlikely that a provincial leader with higher education would omit those details from their resume. Alternatively, it is probable that those leaders had minimal formal education. Analysis strengthened this hypothesis. The oldest of these people is </w:t>
      </w:r>
      <w:r w:rsidRPr="00182FDA">
        <w:rPr>
          <w:u w:val="single"/>
        </w:rPr>
        <w:t>Liu</w:t>
      </w:r>
      <w:r w:rsidR="007E795A" w:rsidRPr="00182FDA">
        <w:t xml:space="preserve"> Tianfu</w:t>
      </w:r>
      <w:r w:rsidRPr="00182FDA">
        <w:t>, born October 1908, and the youngest</w:t>
      </w:r>
      <w:r w:rsidR="00834892" w:rsidRPr="00182FDA">
        <w:t xml:space="preserve"> </w:t>
      </w:r>
      <w:r w:rsidR="00834892" w:rsidRPr="00182FDA">
        <w:rPr>
          <w:u w:val="single"/>
        </w:rPr>
        <w:t>Song</w:t>
      </w:r>
      <w:r w:rsidRPr="00182FDA">
        <w:t xml:space="preserve"> Xiangrui, born October 1939. All were born and obtained maturity during the civil war or very shortly afterwards, when receiving higher education was unusual. We, therefore, classified them as high school graduates and belo</w:t>
      </w:r>
      <w:r w:rsidR="00ED1C5F" w:rsidRPr="00182FDA">
        <w:t xml:space="preserve">w. We then </w:t>
      </w:r>
      <w:r w:rsidRPr="00182FDA">
        <w:t xml:space="preserve">compared </w:t>
      </w:r>
      <w:r w:rsidR="00C72815" w:rsidRPr="00182FDA">
        <w:t xml:space="preserve">the </w:t>
      </w:r>
      <w:r w:rsidRPr="00182FDA">
        <w:t xml:space="preserve">educational attainment of leaders whose tenure started before </w:t>
      </w:r>
      <w:r w:rsidR="001A1DBF" w:rsidRPr="00182FDA">
        <w:t>1</w:t>
      </w:r>
      <w:r w:rsidR="001A1DBF" w:rsidRPr="00182FDA">
        <w:rPr>
          <w:vertAlign w:val="superscript"/>
        </w:rPr>
        <w:t>st</w:t>
      </w:r>
      <w:r w:rsidR="00C72815" w:rsidRPr="00182FDA">
        <w:rPr>
          <w:vertAlign w:val="superscript"/>
        </w:rPr>
        <w:t xml:space="preserve"> </w:t>
      </w:r>
      <w:r w:rsidR="00C72815" w:rsidRPr="00182FDA">
        <w:t>January 1983 with those commencing</w:t>
      </w:r>
      <w:r w:rsidRPr="00182FDA">
        <w:t xml:space="preserve"> </w:t>
      </w:r>
      <w:r w:rsidR="001A1DBF" w:rsidRPr="00182FDA">
        <w:t>on/</w:t>
      </w:r>
      <w:r w:rsidRPr="00182FDA">
        <w:t>after 1</w:t>
      </w:r>
      <w:r w:rsidRPr="00182FDA">
        <w:rPr>
          <w:vertAlign w:val="superscript"/>
        </w:rPr>
        <w:t>st</w:t>
      </w:r>
      <w:r w:rsidRPr="00182FDA">
        <w:t xml:space="preserve"> January 1983</w:t>
      </w:r>
      <w:r w:rsidR="007C30D1" w:rsidRPr="00182FDA">
        <w:t xml:space="preserve"> (see table 5)</w:t>
      </w:r>
      <w:r w:rsidRPr="00182FDA">
        <w:t xml:space="preserve">. This analysis suggested that educational attainment of the officials in the second sample exceeded substantially the first cohort. These findings might also be interpreted as reflexive of transitions from revolutionary </w:t>
      </w:r>
      <w:r w:rsidRPr="00182FDA">
        <w:rPr>
          <w:i/>
        </w:rPr>
        <w:t>cadres</w:t>
      </w:r>
      <w:r w:rsidRPr="00182FDA">
        <w:t xml:space="preserve"> to party technocrats (Lee, 1991), given the rough proximity of our cut-off date to the start of reform processes.   </w:t>
      </w:r>
    </w:p>
    <w:p w14:paraId="374E0831" w14:textId="77777777" w:rsidR="00F00832" w:rsidRPr="00182FDA" w:rsidRDefault="00F00832" w:rsidP="00AB1890">
      <w:pPr>
        <w:spacing w:line="360" w:lineRule="auto"/>
      </w:pPr>
    </w:p>
    <w:p w14:paraId="479D19DD" w14:textId="77777777" w:rsidR="00F00832" w:rsidRPr="00182FDA" w:rsidRDefault="00F00832" w:rsidP="00AB1890">
      <w:pPr>
        <w:spacing w:line="360" w:lineRule="auto"/>
        <w:rPr>
          <w:b/>
        </w:rPr>
      </w:pPr>
      <w:r w:rsidRPr="00182FDA">
        <w:rPr>
          <w:b/>
        </w:rPr>
        <w:t>Insert table 5 here.</w:t>
      </w:r>
    </w:p>
    <w:p w14:paraId="70F619DC" w14:textId="77777777" w:rsidR="00F00832" w:rsidRPr="00182FDA" w:rsidRDefault="00F00832" w:rsidP="00AB1890">
      <w:pPr>
        <w:spacing w:line="360" w:lineRule="auto"/>
        <w:rPr>
          <w:lang w:val="en-GB"/>
        </w:rPr>
      </w:pPr>
    </w:p>
    <w:p w14:paraId="2C4B0050" w14:textId="77777777" w:rsidR="00F00832" w:rsidRPr="00182FDA" w:rsidRDefault="00F00832" w:rsidP="00AB1890">
      <w:pPr>
        <w:pStyle w:val="Heading2"/>
        <w:spacing w:line="360" w:lineRule="auto"/>
        <w:rPr>
          <w:lang w:val="en-GB"/>
        </w:rPr>
      </w:pPr>
      <w:r w:rsidRPr="00182FDA">
        <w:rPr>
          <w:lang w:val="en-GB"/>
        </w:rPr>
        <w:t xml:space="preserve">Analysis </w:t>
      </w:r>
    </w:p>
    <w:p w14:paraId="5457CC69" w14:textId="0C3FB645" w:rsidR="00F00832" w:rsidRPr="00182FDA" w:rsidRDefault="00F00832" w:rsidP="00AB1890">
      <w:pPr>
        <w:spacing w:line="360" w:lineRule="auto"/>
      </w:pPr>
      <w:r w:rsidRPr="00182FDA">
        <w:t>We explore connections between our explanatory factors and both promotion definitions. Our dependent variable is the turnover of provincial leaders, which is categorical or</w:t>
      </w:r>
      <w:r w:rsidR="00D73058" w:rsidRPr="00182FDA">
        <w:t>,</w:t>
      </w:r>
      <w:r w:rsidRPr="00182FDA">
        <w:t xml:space="preserve"> more specifically</w:t>
      </w:r>
      <w:r w:rsidR="00D73058" w:rsidRPr="00182FDA">
        <w:t>,</w:t>
      </w:r>
      <w:r w:rsidRPr="00182FDA">
        <w:t xml:space="preserve"> ordinal. Our dataset is panel data in nature, although we wouldn’t be able to specify a categorical panel model; the dataset is heavily unbalanced</w:t>
      </w:r>
      <w:r w:rsidR="00CF63EB" w:rsidRPr="00182FDA">
        <w:t>,</w:t>
      </w:r>
      <w:r w:rsidRPr="00182FDA">
        <w:t xml:space="preserve"> because data about characteristics of specific leaders were collected for different years. Neither </w:t>
      </w:r>
      <w:r w:rsidR="00C3386B" w:rsidRPr="00182FDA">
        <w:t xml:space="preserve">should </w:t>
      </w:r>
      <w:r w:rsidRPr="00182FDA">
        <w:t xml:space="preserve">a time-series framework </w:t>
      </w:r>
      <w:r w:rsidR="00C3386B" w:rsidRPr="00182FDA">
        <w:t xml:space="preserve">be </w:t>
      </w:r>
      <w:r w:rsidRPr="00182FDA">
        <w:t>used</w:t>
      </w:r>
      <w:r w:rsidR="00EA2FB1" w:rsidRPr="00182FDA">
        <w:t xml:space="preserve">, as </w:t>
      </w:r>
      <w:r w:rsidRPr="00182FDA">
        <w:t>individuals seldom spend more than a few years in senior provincial positions. Geographical categorization of our data implies relevance for a spatial model; however severe limitations concerning spatial categorical modeling</w:t>
      </w:r>
      <w:r w:rsidR="00F96F6C" w:rsidRPr="00182FDA">
        <w:t>,</w:t>
      </w:r>
      <w:r w:rsidRPr="00182FDA">
        <w:t xml:space="preserve"> and the related econometric theory</w:t>
      </w:r>
      <w:r w:rsidR="00F96F6C" w:rsidRPr="00182FDA">
        <w:t>,</w:t>
      </w:r>
      <w:r w:rsidRPr="00182FDA">
        <w:t xml:space="preserve"> mean that we eschew this approach. Nevertheless, spatial effects can be incorporated through specification of regional GDP growth rates as an explanatory variable. With regard to the overall analysis, there were another two crucial technical issues. </w:t>
      </w:r>
    </w:p>
    <w:p w14:paraId="4749BFB2" w14:textId="77777777" w:rsidR="00F00832" w:rsidRPr="00182FDA" w:rsidRDefault="00F00832" w:rsidP="00AB1890">
      <w:pPr>
        <w:spacing w:line="360" w:lineRule="auto"/>
      </w:pPr>
    </w:p>
    <w:p w14:paraId="734BEA8D" w14:textId="1A534C17" w:rsidR="00F00832" w:rsidRPr="00182FDA" w:rsidRDefault="00F00832" w:rsidP="00AB1890">
      <w:pPr>
        <w:spacing w:line="360" w:lineRule="auto"/>
      </w:pPr>
      <w:r w:rsidRPr="00182FDA">
        <w:t>First, each category of explanatory variables included multiple measures, some of which are highly correlated, for example growth and lagged growth. This matters</w:t>
      </w:r>
      <w:r w:rsidR="00EA2FB1" w:rsidRPr="00182FDA">
        <w:t>,</w:t>
      </w:r>
      <w:r w:rsidRPr="00182FDA">
        <w:t xml:space="preserve"> </w:t>
      </w:r>
      <w:r w:rsidR="00B90EFF" w:rsidRPr="00182FDA">
        <w:t>b</w:t>
      </w:r>
      <w:r w:rsidRPr="00182FDA">
        <w:t>ecause such multicollinearity causes estimation problems and the consequential failure of the estimation algorithm. Thus</w:t>
      </w:r>
      <w:r w:rsidR="00EA2FB1" w:rsidRPr="00182FDA">
        <w:t>,</w:t>
      </w:r>
      <w:r w:rsidRPr="00182FDA">
        <w:t xml:space="preserve"> we first ran a separate linear regression of the independent variables on the dependent variable, examined the VIF (Variance Inflation Factor) and only considered possible combinations of explanatory variables with a VIF less than 10.  </w:t>
      </w:r>
    </w:p>
    <w:p w14:paraId="427209BA" w14:textId="77777777" w:rsidR="00F00832" w:rsidRPr="00182FDA" w:rsidRDefault="00F00832" w:rsidP="00AB1890">
      <w:pPr>
        <w:spacing w:line="360" w:lineRule="auto"/>
        <w:rPr>
          <w:lang w:val="en-GB"/>
        </w:rPr>
      </w:pPr>
    </w:p>
    <w:p w14:paraId="2BEBEAA1" w14:textId="5A43A975" w:rsidR="00F00832" w:rsidRPr="00182FDA" w:rsidRDefault="00F00832" w:rsidP="00AB1890">
      <w:pPr>
        <w:spacing w:line="360" w:lineRule="auto"/>
        <w:rPr>
          <w:i/>
          <w:lang w:val="en-GB"/>
        </w:rPr>
      </w:pPr>
      <w:r w:rsidRPr="00182FDA">
        <w:t xml:space="preserve">Second, choice of the </w:t>
      </w:r>
      <w:r w:rsidRPr="00182FDA">
        <w:rPr>
          <w:lang w:val="en-GB"/>
        </w:rPr>
        <w:t xml:space="preserve">most appropriate categorical data model. </w:t>
      </w:r>
      <w:r w:rsidR="00C30A21" w:rsidRPr="00182FDA">
        <w:rPr>
          <w:lang w:val="en-GB"/>
        </w:rPr>
        <w:t xml:space="preserve">Scholars such as </w:t>
      </w:r>
      <w:r w:rsidRPr="00182FDA">
        <w:rPr>
          <w:lang w:val="en-GB"/>
        </w:rPr>
        <w:t xml:space="preserve">Li and Zhou (2005) and Chen </w:t>
      </w:r>
      <w:r w:rsidRPr="00182FDA">
        <w:rPr>
          <w:i/>
          <w:lang w:val="en-GB"/>
        </w:rPr>
        <w:t>et al.</w:t>
      </w:r>
      <w:r w:rsidRPr="00182FDA">
        <w:rPr>
          <w:lang w:val="en-GB"/>
        </w:rPr>
        <w:t xml:space="preserve"> (2005) applied ordinal regressions</w:t>
      </w:r>
      <w:r w:rsidR="00EA2FB1" w:rsidRPr="00182FDA">
        <w:rPr>
          <w:lang w:val="en-GB"/>
        </w:rPr>
        <w:t>,</w:t>
      </w:r>
      <w:r w:rsidRPr="00182FDA">
        <w:rPr>
          <w:lang w:val="en-GB"/>
        </w:rPr>
        <w:t xml:space="preserve"> however ordinal models are based on the parallel lines assumption. We were, therefore, obliged to undertake a full-likelihood ratio test on our dataset to compare the fitted ordinal model to a model with varying slope parameters, and found</w:t>
      </w:r>
      <w:r w:rsidR="00EA2FB1" w:rsidRPr="00182FDA">
        <w:rPr>
          <w:lang w:val="en-GB"/>
        </w:rPr>
        <w:t xml:space="preserve"> </w:t>
      </w:r>
      <w:r w:rsidR="00750769" w:rsidRPr="00182FDA">
        <w:rPr>
          <w:lang w:val="en-GB"/>
        </w:rPr>
        <w:t xml:space="preserve">that </w:t>
      </w:r>
      <w:r w:rsidR="00EA2FB1" w:rsidRPr="00182FDA">
        <w:rPr>
          <w:lang w:val="en-GB"/>
        </w:rPr>
        <w:t>the parallel lines assumption</w:t>
      </w:r>
      <w:r w:rsidRPr="00182FDA">
        <w:rPr>
          <w:lang w:val="en-GB"/>
        </w:rPr>
        <w:t xml:space="preserve"> failed to hold. To resolve this problem, we could split the ordinal dependent variable into dichotomies and run binomial logistic regressions on each of these cumulative dichotomies, but that specification would not be parsimonious and the results would present interpretation difficulties. We decided, therefore, to specify a more parsimonious binary logistic model, with 1 representing promotion and 0 otherwise. </w:t>
      </w:r>
    </w:p>
    <w:p w14:paraId="651A19DF" w14:textId="77777777" w:rsidR="00647638" w:rsidRPr="00182FDA" w:rsidRDefault="00647638" w:rsidP="00AB1890">
      <w:pPr>
        <w:spacing w:line="360" w:lineRule="auto"/>
        <w:rPr>
          <w:lang w:val="en-GB"/>
        </w:rPr>
      </w:pPr>
    </w:p>
    <w:p w14:paraId="31AC9F2E" w14:textId="77777777" w:rsidR="00873E50" w:rsidRPr="00182FDA" w:rsidRDefault="00F00832" w:rsidP="00AB1890">
      <w:pPr>
        <w:spacing w:line="360" w:lineRule="auto"/>
      </w:pPr>
      <w:r w:rsidRPr="00182FDA">
        <w:t xml:space="preserve">The binary logistic model predicts the probability of success given the set of explanatory variables. The model takes the following format: </w:t>
      </w:r>
    </w:p>
    <w:p w14:paraId="4663861F" w14:textId="77777777" w:rsidR="00F00832" w:rsidRPr="00182FDA" w:rsidRDefault="00873E50" w:rsidP="00AB1890">
      <w:pPr>
        <w:spacing w:line="360" w:lineRule="auto"/>
        <w:jc w:val="center"/>
      </w:pPr>
      <m:oMathPara>
        <m:oMath>
          <m:r>
            <m:rPr>
              <m:sty m:val="p"/>
            </m:rPr>
            <w:rPr>
              <w:rFonts w:ascii="Cambria Math" w:hAnsi="Cambria Math" w:hint="eastAsia"/>
            </w:rPr>
            <m:t>logit</m:t>
          </m:r>
          <m:d>
            <m:dPr>
              <m:ctrlPr>
                <w:rPr>
                  <w:rFonts w:ascii="Cambria Math" w:hAnsi="Cambria Math"/>
                </w:rPr>
              </m:ctrlPr>
            </m:dPr>
            <m:e>
              <m:acc>
                <m:accPr>
                  <m:ctrlPr>
                    <w:rPr>
                      <w:rFonts w:ascii="Cambria Math" w:hAnsi="Cambria Math"/>
                      <w:i/>
                    </w:rPr>
                  </m:ctrlPr>
                </m:accPr>
                <m:e>
                  <m:r>
                    <w:rPr>
                      <w:rFonts w:ascii="Cambria Math" w:hAnsi="Cambria Math" w:hint="eastAsia"/>
                    </w:rPr>
                    <m:t>p</m:t>
                  </m:r>
                </m:e>
              </m:acc>
            </m:e>
          </m:d>
          <m:r>
            <w:rPr>
              <w:rFonts w:ascii="Cambria Math" w:hAnsi="Cambria Math" w:hint="eastAsia"/>
            </w:rPr>
            <m:t>=ln</m:t>
          </m:r>
          <m:d>
            <m:dPr>
              <m:ctrlPr>
                <w:rPr>
                  <w:rFonts w:ascii="Cambria Math" w:hAnsi="Cambria Math"/>
                  <w:i/>
                </w:rPr>
              </m:ctrlPr>
            </m:dPr>
            <m:e>
              <m:f>
                <m:fPr>
                  <m:ctrlPr>
                    <w:rPr>
                      <w:rFonts w:ascii="Cambria Math" w:hAnsi="Cambria Math"/>
                      <w:i/>
                    </w:rPr>
                  </m:ctrlPr>
                </m:fPr>
                <m:num>
                  <m:acc>
                    <m:accPr>
                      <m:ctrlPr>
                        <w:rPr>
                          <w:rFonts w:ascii="Cambria Math" w:hAnsi="Cambria Math"/>
                          <w:i/>
                        </w:rPr>
                      </m:ctrlPr>
                    </m:accPr>
                    <m:e>
                      <m:r>
                        <w:rPr>
                          <w:rFonts w:ascii="Cambria Math" w:hAnsi="Cambria Math" w:hint="eastAsia"/>
                        </w:rPr>
                        <m:t>p</m:t>
                      </m:r>
                    </m:e>
                  </m:acc>
                </m:num>
                <m:den>
                  <m:r>
                    <w:rPr>
                      <w:rFonts w:ascii="Cambria Math" w:hAnsi="Cambria Math"/>
                    </w:rPr>
                    <m:t>1-</m:t>
                  </m:r>
                  <m:acc>
                    <m:accPr>
                      <m:ctrlPr>
                        <w:rPr>
                          <w:rFonts w:ascii="Cambria Math" w:hAnsi="Cambria Math"/>
                          <w:i/>
                        </w:rPr>
                      </m:ctrlPr>
                    </m:accPr>
                    <m:e>
                      <m:r>
                        <w:rPr>
                          <w:rFonts w:ascii="Cambria Math" w:hAnsi="Cambria Math" w:hint="eastAsia"/>
                        </w:rPr>
                        <m:t>p</m:t>
                      </m:r>
                    </m:e>
                  </m:acc>
                </m:den>
              </m:f>
            </m:e>
          </m:d>
          <m:r>
            <w:rPr>
              <w:rFonts w:ascii="Cambria Math" w:hAnsi="Cambria Math" w:hint="eastAsia"/>
            </w:rPr>
            <m:t>=Xβ,</m:t>
          </m:r>
        </m:oMath>
      </m:oMathPara>
    </w:p>
    <w:p w14:paraId="731D2801" w14:textId="42040A2B" w:rsidR="00F00832" w:rsidRPr="00182FDA" w:rsidRDefault="00873E50" w:rsidP="00AB1890">
      <w:pPr>
        <w:spacing w:line="360" w:lineRule="auto"/>
      </w:pPr>
      <w:r w:rsidRPr="00182FDA">
        <w:rPr>
          <w:lang w:val="en-GB"/>
        </w:rPr>
        <w:t xml:space="preserve">where </w:t>
      </w:r>
      <m:oMath>
        <m:d>
          <m:dPr>
            <m:ctrlPr>
              <w:rPr>
                <w:rFonts w:ascii="Cambria Math" w:hAnsi="Cambria Math"/>
                <w:i/>
              </w:rPr>
            </m:ctrlPr>
          </m:dPr>
          <m:e>
            <m:f>
              <m:fPr>
                <m:ctrlPr>
                  <w:rPr>
                    <w:rFonts w:ascii="Cambria Math" w:hAnsi="Cambria Math"/>
                    <w:i/>
                  </w:rPr>
                </m:ctrlPr>
              </m:fPr>
              <m:num>
                <m:acc>
                  <m:accPr>
                    <m:ctrlPr>
                      <w:rPr>
                        <w:rFonts w:ascii="Cambria Math" w:hAnsi="Cambria Math"/>
                        <w:i/>
                      </w:rPr>
                    </m:ctrlPr>
                  </m:accPr>
                  <m:e>
                    <m:r>
                      <w:rPr>
                        <w:rFonts w:ascii="Cambria Math" w:hAnsi="Cambria Math" w:hint="eastAsia"/>
                      </w:rPr>
                      <m:t>p</m:t>
                    </m:r>
                  </m:e>
                </m:acc>
              </m:num>
              <m:den>
                <m:r>
                  <w:rPr>
                    <w:rFonts w:ascii="Cambria Math" w:hAnsi="Cambria Math"/>
                  </w:rPr>
                  <m:t>1-</m:t>
                </m:r>
                <m:acc>
                  <m:accPr>
                    <m:ctrlPr>
                      <w:rPr>
                        <w:rFonts w:ascii="Cambria Math" w:hAnsi="Cambria Math"/>
                        <w:i/>
                      </w:rPr>
                    </m:ctrlPr>
                  </m:accPr>
                  <m:e>
                    <m:r>
                      <w:rPr>
                        <w:rFonts w:ascii="Cambria Math" w:hAnsi="Cambria Math" w:hint="eastAsia"/>
                      </w:rPr>
                      <m:t>p</m:t>
                    </m:r>
                  </m:e>
                </m:acc>
              </m:den>
            </m:f>
          </m:e>
        </m:d>
      </m:oMath>
      <w:r w:rsidRPr="00182FDA">
        <w:t xml:space="preserve"> is the predicted odds ratio, </w:t>
      </w:r>
      <m:oMath>
        <m:acc>
          <m:accPr>
            <m:ctrlPr>
              <w:rPr>
                <w:rFonts w:ascii="Cambria Math" w:hAnsi="Cambria Math"/>
                <w:i/>
              </w:rPr>
            </m:ctrlPr>
          </m:accPr>
          <m:e>
            <m:r>
              <w:rPr>
                <w:rFonts w:ascii="Cambria Math" w:hAnsi="Cambria Math" w:hint="eastAsia"/>
              </w:rPr>
              <m:t>p</m:t>
            </m:r>
          </m:e>
        </m:acc>
      </m:oMath>
      <w:r w:rsidRPr="00182FDA">
        <w:t xml:space="preserve"> is the predicted probability of the event of promotion, which is coded as </w:t>
      </w:r>
      <m:oMath>
        <m:r>
          <m:rPr>
            <m:sty m:val="p"/>
          </m:rPr>
          <w:rPr>
            <w:rFonts w:ascii="Cambria Math" w:hAnsi="Cambria Math" w:hint="eastAsia"/>
          </w:rPr>
          <m:t>1</m:t>
        </m:r>
      </m:oMath>
      <w:r w:rsidRPr="00182FDA">
        <w:t xml:space="preserve">; </w:t>
      </w:r>
      <m:oMath>
        <m:r>
          <w:rPr>
            <w:rFonts w:ascii="Cambria Math" w:hAnsi="Cambria Math" w:hint="eastAsia"/>
          </w:rPr>
          <m:t>X</m:t>
        </m:r>
      </m:oMath>
      <w:r w:rsidRPr="00182FDA">
        <w:t xml:space="preserve"> is the matrix of explanatory variables with </w:t>
      </w:r>
      <w:r w:rsidR="00705487" w:rsidRPr="00182FDA">
        <w:t xml:space="preserve">the </w:t>
      </w:r>
      <w:r w:rsidRPr="00182FDA">
        <w:t xml:space="preserve">first column being </w:t>
      </w:r>
      <m:oMath>
        <m:r>
          <m:rPr>
            <m:sty m:val="p"/>
          </m:rPr>
          <w:rPr>
            <w:rFonts w:ascii="Cambria Math" w:hAnsi="Cambria Math" w:hint="eastAsia"/>
          </w:rPr>
          <m:t>1</m:t>
        </m:r>
      </m:oMath>
      <w:r w:rsidRPr="00182FDA">
        <w:t xml:space="preserve">, and </w:t>
      </w:r>
      <m:oMath>
        <m:r>
          <w:rPr>
            <w:rFonts w:ascii="Cambria Math" w:hAnsi="Cambria Math" w:hint="eastAsia"/>
          </w:rPr>
          <m:t>β</m:t>
        </m:r>
      </m:oMath>
      <w:r w:rsidRPr="00182FDA">
        <w:t xml:space="preserve"> the vectors of coefficients. </w:t>
      </w:r>
    </w:p>
    <w:p w14:paraId="409498E9" w14:textId="77777777" w:rsidR="00873E50" w:rsidRPr="00182FDA" w:rsidRDefault="00873E50" w:rsidP="00AB1890">
      <w:pPr>
        <w:spacing w:line="360" w:lineRule="auto"/>
      </w:pPr>
    </w:p>
    <w:p w14:paraId="1FBB07E0" w14:textId="77777777" w:rsidR="00873E50" w:rsidRPr="00182FDA" w:rsidRDefault="00063350" w:rsidP="00AB1890">
      <w:pPr>
        <w:pStyle w:val="Heading3"/>
        <w:spacing w:line="360" w:lineRule="auto"/>
        <w:rPr>
          <w:lang w:val="en-GB"/>
        </w:rPr>
      </w:pPr>
      <w:r w:rsidRPr="00182FDA">
        <w:rPr>
          <w:lang w:val="en-GB"/>
        </w:rPr>
        <w:t>Promotion: Official administrative rankings</w:t>
      </w:r>
    </w:p>
    <w:p w14:paraId="6529DF0F" w14:textId="51E41133" w:rsidR="00063350" w:rsidRPr="00182FDA" w:rsidRDefault="00063350" w:rsidP="00AB1890">
      <w:pPr>
        <w:spacing w:line="360" w:lineRule="auto"/>
        <w:rPr>
          <w:b/>
          <w:kern w:val="0"/>
        </w:rPr>
      </w:pPr>
      <w:r w:rsidRPr="00182FDA">
        <w:rPr>
          <w:kern w:val="0"/>
        </w:rPr>
        <w:t>Promotion is specified exclusively as elevation to tiers one and two.</w:t>
      </w:r>
      <w:r w:rsidR="006F5D8F" w:rsidRPr="00182FDA">
        <w:rPr>
          <w:rStyle w:val="FootnoteReference"/>
          <w:kern w:val="0"/>
        </w:rPr>
        <w:footnoteReference w:id="2"/>
      </w:r>
      <w:r w:rsidRPr="00182FDA">
        <w:rPr>
          <w:kern w:val="0"/>
        </w:rPr>
        <w:t xml:space="preserve"> After removing those with no economic growth measure and those having tier two central connection, 450 cases remained. Using this definition, 63 (14%) were promoted, 250 (5</w:t>
      </w:r>
      <w:r w:rsidR="00A80DD5" w:rsidRPr="00182FDA">
        <w:rPr>
          <w:kern w:val="0"/>
        </w:rPr>
        <w:t>5.6</w:t>
      </w:r>
      <w:r w:rsidRPr="00182FDA">
        <w:rPr>
          <w:kern w:val="0"/>
        </w:rPr>
        <w:t>%) re</w:t>
      </w:r>
      <w:r w:rsidR="00821E4A" w:rsidRPr="00182FDA">
        <w:rPr>
          <w:kern w:val="0"/>
        </w:rPr>
        <w:softHyphen/>
      </w:r>
      <w:r w:rsidRPr="00182FDA">
        <w:rPr>
          <w:kern w:val="0"/>
        </w:rPr>
        <w:t>mained at tier three and 137 (30</w:t>
      </w:r>
      <w:r w:rsidR="00A80DD5" w:rsidRPr="00182FDA">
        <w:rPr>
          <w:kern w:val="0"/>
        </w:rPr>
        <w:t>.4</w:t>
      </w:r>
      <w:r w:rsidRPr="00182FDA">
        <w:rPr>
          <w:kern w:val="0"/>
        </w:rPr>
        <w:t xml:space="preserve">%) were retired or demoted. </w:t>
      </w:r>
    </w:p>
    <w:p w14:paraId="125F359E" w14:textId="77777777" w:rsidR="00063350" w:rsidRPr="00182FDA" w:rsidRDefault="00063350" w:rsidP="00AB1890">
      <w:pPr>
        <w:spacing w:line="360" w:lineRule="auto"/>
        <w:rPr>
          <w:kern w:val="0"/>
        </w:rPr>
      </w:pPr>
    </w:p>
    <w:p w14:paraId="6998A8D7" w14:textId="2202C868" w:rsidR="00063350" w:rsidRPr="00182FDA" w:rsidRDefault="00063350" w:rsidP="00AD336A">
      <w:pPr>
        <w:spacing w:line="360" w:lineRule="auto"/>
        <w:rPr>
          <w:kern w:val="0"/>
        </w:rPr>
      </w:pPr>
      <w:r w:rsidRPr="00193FBA">
        <w:rPr>
          <w:noProof/>
          <w:lang w:val="en-GB" w:eastAsia="en-GB"/>
        </w:rPr>
        <mc:AlternateContent>
          <mc:Choice Requires="wpi">
            <w:drawing>
              <wp:anchor distT="8955" distB="9315" distL="123255" distR="123615" simplePos="0" relativeHeight="251659264" behindDoc="0" locked="0" layoutInCell="1" allowOverlap="1" wp14:anchorId="3C1A6C50" wp14:editId="5CBA1885">
                <wp:simplePos x="0" y="0"/>
                <wp:positionH relativeFrom="column">
                  <wp:posOffset>3570605</wp:posOffset>
                </wp:positionH>
                <wp:positionV relativeFrom="paragraph">
                  <wp:posOffset>2501900</wp:posOffset>
                </wp:positionV>
                <wp:extent cx="635" cy="635"/>
                <wp:effectExtent l="38100" t="38100" r="56515" b="56515"/>
                <wp:wrapNone/>
                <wp:docPr id="7" name="墨迹 7"/>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1FE9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7" o:spid="_x0000_s1026" type="#_x0000_t75" style="position:absolute;margin-left:280.7pt;margin-top:196.55pt;width:.95pt;height:.95pt;z-index:251659264;visibility:visible;mso-wrap-style:square;mso-width-percent:0;mso-height-percent:0;mso-wrap-distance-left:3.42375mm;mso-wrap-distance-top:.24875mm;mso-wrap-distance-right:3.43375mm;mso-wrap-distance-bottom:.2587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">
                <v:imagedata r:id="rId12" o:title=""/>
                <v:path arrowok="t"/>
                <o:lock v:ext="edit" rotation="t" aspectratio="f"/>
              </v:shape>
            </w:pict>
          </mc:Fallback>
        </mc:AlternateContent>
      </w:r>
      <w:r w:rsidRPr="00182FDA">
        <w:rPr>
          <w:kern w:val="0"/>
        </w:rPr>
        <w:t xml:space="preserve">Our regression analysis used five models to explain promotion from the provincial leadership. Each model is adequate, in the sense that the Hosmer-Lemeshow tests don’t reject. Because an important objective is </w:t>
      </w:r>
      <w:r w:rsidR="00EA2FB1" w:rsidRPr="00182FDA">
        <w:rPr>
          <w:kern w:val="0"/>
        </w:rPr>
        <w:t>to establish</w:t>
      </w:r>
      <w:r w:rsidRPr="00182FDA">
        <w:rPr>
          <w:kern w:val="0"/>
        </w:rPr>
        <w:t xml:space="preserve"> whether there is a causal relationship between economic performance and promotion, in the first three models the explanatory variables are restricted to economic growth indicators. The first model is confined to the provincial GDP growth measure. The second model extends the first model by including the current leader’s regional growth measure, both the provincial and regional growth measures of the predecessor(s)</w:t>
      </w:r>
      <w:r w:rsidR="008777D4" w:rsidRPr="00182FDA">
        <w:rPr>
          <w:kern w:val="0"/>
        </w:rPr>
        <w:t xml:space="preserve"> and lagged provincial per capita GDP</w:t>
      </w:r>
      <w:r w:rsidR="009509DE" w:rsidRPr="00182FDA">
        <w:rPr>
          <w:kern w:val="0"/>
        </w:rPr>
        <w:t>.</w:t>
      </w:r>
      <w:r w:rsidR="009760AE" w:rsidRPr="00182FDA">
        <w:rPr>
          <w:kern w:val="0"/>
        </w:rPr>
        <w:t xml:space="preserve"> </w:t>
      </w:r>
      <w:r w:rsidRPr="00182FDA">
        <w:rPr>
          <w:kern w:val="0"/>
        </w:rPr>
        <w:t xml:space="preserve">The third model </w:t>
      </w:r>
      <w:r w:rsidR="00AD336A" w:rsidRPr="00182FDA">
        <w:rPr>
          <w:kern w:val="0"/>
        </w:rPr>
        <w:t xml:space="preserve">incorporates possible international shocks by including the top five </w:t>
      </w:r>
      <w:r w:rsidR="00CE28AD" w:rsidRPr="00182FDA">
        <w:rPr>
          <w:kern w:val="0"/>
        </w:rPr>
        <w:t>international trading</w:t>
      </w:r>
      <w:r w:rsidR="00AD336A" w:rsidRPr="00182FDA">
        <w:rPr>
          <w:kern w:val="0"/>
        </w:rPr>
        <w:t xml:space="preserve"> partners’ corresponding per capita GDP</w:t>
      </w:r>
      <w:r w:rsidR="00E5341D" w:rsidRPr="00182FDA">
        <w:rPr>
          <w:kern w:val="0"/>
        </w:rPr>
        <w:t xml:space="preserve"> growth rates</w:t>
      </w:r>
      <w:r w:rsidR="00AD336A" w:rsidRPr="00182FDA">
        <w:rPr>
          <w:kern w:val="0"/>
        </w:rPr>
        <w:t>.</w:t>
      </w:r>
      <w:r w:rsidR="003C4DE9" w:rsidRPr="00182FDA">
        <w:rPr>
          <w:rStyle w:val="FootnoteReference"/>
          <w:kern w:val="0"/>
        </w:rPr>
        <w:footnoteReference w:id="3"/>
      </w:r>
    </w:p>
    <w:p w14:paraId="20923406" w14:textId="77777777" w:rsidR="00063350" w:rsidRPr="00182FDA" w:rsidRDefault="00063350" w:rsidP="00AB1890">
      <w:pPr>
        <w:spacing w:line="360" w:lineRule="auto"/>
        <w:rPr>
          <w:kern w:val="0"/>
        </w:rPr>
      </w:pPr>
    </w:p>
    <w:p w14:paraId="23E27D95" w14:textId="77777777" w:rsidR="00063350" w:rsidRPr="00182FDA" w:rsidRDefault="00063350" w:rsidP="00AB1890">
      <w:pPr>
        <w:spacing w:line="360" w:lineRule="auto"/>
        <w:rPr>
          <w:b/>
          <w:kern w:val="0"/>
        </w:rPr>
      </w:pPr>
      <w:r w:rsidRPr="00182FDA">
        <w:rPr>
          <w:b/>
          <w:kern w:val="0"/>
        </w:rPr>
        <w:t>Insert table 6 here.</w:t>
      </w:r>
    </w:p>
    <w:p w14:paraId="42F887D5" w14:textId="77777777" w:rsidR="00063350" w:rsidRPr="00182FDA" w:rsidRDefault="00063350" w:rsidP="00AB1890">
      <w:pPr>
        <w:spacing w:line="360" w:lineRule="auto"/>
        <w:rPr>
          <w:kern w:val="0"/>
        </w:rPr>
      </w:pPr>
    </w:p>
    <w:p w14:paraId="66BE285A" w14:textId="3FE3B37A" w:rsidR="00767713" w:rsidRPr="00182FDA" w:rsidRDefault="00B0252C">
      <w:pPr>
        <w:spacing w:line="360" w:lineRule="auto"/>
        <w:rPr>
          <w:kern w:val="0"/>
        </w:rPr>
      </w:pPr>
      <w:r w:rsidRPr="00182FDA">
        <w:rPr>
          <w:kern w:val="0"/>
        </w:rPr>
        <w:t>The results indicate</w:t>
      </w:r>
      <w:r w:rsidR="001463BD" w:rsidRPr="00182FDA">
        <w:rPr>
          <w:kern w:val="0"/>
        </w:rPr>
        <w:t xml:space="preserve"> that</w:t>
      </w:r>
      <w:r w:rsidRPr="00182FDA">
        <w:rPr>
          <w:kern w:val="0"/>
        </w:rPr>
        <w:t xml:space="preserve">, except for lagged per capita GDP, which is used to capture existing levels of each province’s economic development (pre-existing prosperity), all economic </w:t>
      </w:r>
      <w:r w:rsidR="00406287" w:rsidRPr="00182FDA">
        <w:rPr>
          <w:kern w:val="0"/>
        </w:rPr>
        <w:t>growth related variables</w:t>
      </w:r>
      <w:r w:rsidRPr="00182FDA">
        <w:rPr>
          <w:kern w:val="0"/>
        </w:rPr>
        <w:t xml:space="preserve"> are </w:t>
      </w:r>
      <w:r w:rsidR="00B47FD2" w:rsidRPr="00182FDA">
        <w:rPr>
          <w:kern w:val="0"/>
        </w:rPr>
        <w:t>insignificant</w:t>
      </w:r>
      <w:r w:rsidR="00FC01D0" w:rsidRPr="00182FDA">
        <w:rPr>
          <w:kern w:val="0"/>
        </w:rPr>
        <w:t>.</w:t>
      </w:r>
      <w:r w:rsidRPr="00182FDA">
        <w:rPr>
          <w:kern w:val="0"/>
        </w:rPr>
        <w:t xml:space="preserve"> </w:t>
      </w:r>
      <w:r w:rsidR="00261A1E" w:rsidRPr="00182FDA">
        <w:rPr>
          <w:kern w:val="0"/>
        </w:rPr>
        <w:t>Not</w:t>
      </w:r>
      <w:r w:rsidR="00A81387" w:rsidRPr="00182FDA">
        <w:rPr>
          <w:kern w:val="0"/>
        </w:rPr>
        <w:t>e</w:t>
      </w:r>
      <w:r w:rsidR="00261A1E" w:rsidRPr="00182FDA">
        <w:rPr>
          <w:kern w:val="0"/>
        </w:rPr>
        <w:t xml:space="preserve"> </w:t>
      </w:r>
      <w:r w:rsidR="00843F11" w:rsidRPr="00182FDA">
        <w:rPr>
          <w:kern w:val="0"/>
        </w:rPr>
        <w:t xml:space="preserve">that, </w:t>
      </w:r>
      <w:r w:rsidR="002A0740" w:rsidRPr="00182FDA">
        <w:rPr>
          <w:kern w:val="0"/>
        </w:rPr>
        <w:t>apart from</w:t>
      </w:r>
      <w:r w:rsidR="00261A1E" w:rsidRPr="00182FDA">
        <w:rPr>
          <w:kern w:val="0"/>
        </w:rPr>
        <w:t xml:space="preserve"> the provincial, regional, international economic growth rates during the tenure of the provincial leader, we examined the lagged three, six and twelve month economic growth rates</w:t>
      </w:r>
      <w:r w:rsidR="00691313" w:rsidRPr="00182FDA">
        <w:rPr>
          <w:kern w:val="0"/>
          <w:lang w:val="x-none"/>
        </w:rPr>
        <w:t xml:space="preserve">. However, we dropped them from the tabulation as we found their coefficients were statistically insignificant. </w:t>
      </w:r>
      <w:r w:rsidR="00261A1E" w:rsidRPr="00182FDA">
        <w:rPr>
          <w:kern w:val="0"/>
        </w:rPr>
        <w:t xml:space="preserve">The calculation of these growth rates </w:t>
      </w:r>
      <w:r w:rsidR="0045353C" w:rsidRPr="00182FDA">
        <w:rPr>
          <w:kern w:val="0"/>
        </w:rPr>
        <w:t>wa</w:t>
      </w:r>
      <w:r w:rsidR="005D337C" w:rsidRPr="00182FDA">
        <w:rPr>
          <w:kern w:val="0"/>
        </w:rPr>
        <w:t>s</w:t>
      </w:r>
      <w:r w:rsidR="00261A1E" w:rsidRPr="00182FDA">
        <w:rPr>
          <w:kern w:val="0"/>
        </w:rPr>
        <w:t xml:space="preserve"> </w:t>
      </w:r>
      <w:r w:rsidR="00843F11" w:rsidRPr="00182FDA">
        <w:rPr>
          <w:kern w:val="0"/>
        </w:rPr>
        <w:t xml:space="preserve">the </w:t>
      </w:r>
      <w:r w:rsidR="00261A1E" w:rsidRPr="00182FDA">
        <w:rPr>
          <w:kern w:val="0"/>
        </w:rPr>
        <w:t xml:space="preserve">same as </w:t>
      </w:r>
      <w:r w:rsidR="001463BD" w:rsidRPr="00182FDA">
        <w:rPr>
          <w:kern w:val="0"/>
        </w:rPr>
        <w:t xml:space="preserve">for </w:t>
      </w:r>
      <w:r w:rsidR="00261A1E" w:rsidRPr="00182FDA">
        <w:rPr>
          <w:kern w:val="0"/>
        </w:rPr>
        <w:t xml:space="preserve">those of a hypothetical provincial leader whose </w:t>
      </w:r>
      <w:r w:rsidR="0092376E" w:rsidRPr="00182FDA">
        <w:rPr>
          <w:kern w:val="0"/>
        </w:rPr>
        <w:t>tenure was shifted backward by three, six and twelve months</w:t>
      </w:r>
      <w:r w:rsidR="005D337C" w:rsidRPr="00182FDA">
        <w:rPr>
          <w:kern w:val="0"/>
        </w:rPr>
        <w:t xml:space="preserve"> respectively</w:t>
      </w:r>
      <w:r w:rsidR="0092376E" w:rsidRPr="00182FDA">
        <w:rPr>
          <w:kern w:val="0"/>
        </w:rPr>
        <w:t>.</w:t>
      </w:r>
      <w:r w:rsidR="005D337C" w:rsidRPr="00182FDA">
        <w:rPr>
          <w:kern w:val="0"/>
        </w:rPr>
        <w:t xml:space="preserve"> </w:t>
      </w:r>
    </w:p>
    <w:p w14:paraId="4579A65A" w14:textId="77777777" w:rsidR="00767713" w:rsidRPr="00182FDA" w:rsidRDefault="00767713">
      <w:pPr>
        <w:spacing w:line="360" w:lineRule="auto"/>
        <w:rPr>
          <w:kern w:val="0"/>
        </w:rPr>
      </w:pPr>
    </w:p>
    <w:p w14:paraId="721621EB" w14:textId="38BE73B3" w:rsidR="00FC01D0" w:rsidRPr="00182FDA" w:rsidRDefault="005D337C">
      <w:pPr>
        <w:spacing w:line="360" w:lineRule="auto"/>
        <w:rPr>
          <w:kern w:val="0"/>
          <w:highlight w:val="red"/>
          <w:lang w:val="x-none"/>
        </w:rPr>
      </w:pPr>
      <w:r w:rsidRPr="00182FDA">
        <w:rPr>
          <w:kern w:val="0"/>
        </w:rPr>
        <w:t xml:space="preserve">We also examined </w:t>
      </w:r>
      <w:r w:rsidR="00B0252C" w:rsidRPr="00182FDA">
        <w:rPr>
          <w:kern w:val="0"/>
        </w:rPr>
        <w:t>non</w:t>
      </w:r>
      <w:r w:rsidR="00AB6FE9" w:rsidRPr="00182FDA">
        <w:rPr>
          <w:kern w:val="0"/>
        </w:rPr>
        <w:t>-</w:t>
      </w:r>
      <w:r w:rsidR="00B0252C" w:rsidRPr="00182FDA">
        <w:rPr>
          <w:kern w:val="0"/>
        </w:rPr>
        <w:t>linear interactions</w:t>
      </w:r>
      <w:r w:rsidR="000430AD" w:rsidRPr="00182FDA">
        <w:rPr>
          <w:kern w:val="0"/>
        </w:rPr>
        <w:t xml:space="preserve"> among different economic growth rates</w:t>
      </w:r>
      <w:r w:rsidR="00334B96" w:rsidRPr="00182FDA">
        <w:t xml:space="preserve">, </w:t>
      </w:r>
      <w:r w:rsidR="00AB6FE9" w:rsidRPr="00182FDA">
        <w:t>for example</w:t>
      </w:r>
      <w:r w:rsidR="00334B96" w:rsidRPr="00182FDA">
        <w:t xml:space="preserve"> ratios of the provincial economic growth rate plus 1 over the national economic growth rate plus 1. It is impossible to exhaust all non</w:t>
      </w:r>
      <w:r w:rsidR="00AB6FE9" w:rsidRPr="00182FDA">
        <w:t>-</w:t>
      </w:r>
      <w:r w:rsidR="00334B96" w:rsidRPr="00182FDA">
        <w:t>linear interactions of growth rates</w:t>
      </w:r>
      <w:r w:rsidR="00191F41" w:rsidRPr="00182FDA">
        <w:t xml:space="preserve">, however we </w:t>
      </w:r>
      <w:r w:rsidR="00B1621A" w:rsidRPr="00182FDA">
        <w:t xml:space="preserve">found </w:t>
      </w:r>
      <w:r w:rsidR="00BB5B72" w:rsidRPr="00182FDA">
        <w:t>that</w:t>
      </w:r>
      <w:r w:rsidR="00A454C0" w:rsidRPr="00182FDA">
        <w:t xml:space="preserve"> </w:t>
      </w:r>
      <w:r w:rsidR="00B1621A" w:rsidRPr="00182FDA">
        <w:t>the economic growth rates and the non</w:t>
      </w:r>
      <w:r w:rsidR="00AB6FE9" w:rsidRPr="00182FDA">
        <w:t>-</w:t>
      </w:r>
      <w:r w:rsidR="00B1621A" w:rsidRPr="00182FDA">
        <w:t xml:space="preserve">linear interactions we attempted to include </w:t>
      </w:r>
      <w:r w:rsidR="00A454C0" w:rsidRPr="00182FDA">
        <w:t xml:space="preserve">were </w:t>
      </w:r>
      <w:r w:rsidR="00B1621A" w:rsidRPr="00182FDA">
        <w:t xml:space="preserve">all associated with </w:t>
      </w:r>
      <w:r w:rsidR="00334B96" w:rsidRPr="00182FDA">
        <w:t>statistically insignificant</w:t>
      </w:r>
      <w:r w:rsidR="00B1621A" w:rsidRPr="00182FDA">
        <w:t xml:space="preserve"> coefficients</w:t>
      </w:r>
      <w:r w:rsidR="00334B96" w:rsidRPr="00182FDA">
        <w:t xml:space="preserve">, and </w:t>
      </w:r>
      <w:r w:rsidR="008C2857" w:rsidRPr="00182FDA">
        <w:t xml:space="preserve">that </w:t>
      </w:r>
      <w:r w:rsidR="00334B96" w:rsidRPr="00182FDA">
        <w:t xml:space="preserve">there </w:t>
      </w:r>
      <w:r w:rsidR="00751C2C" w:rsidRPr="00182FDA">
        <w:t>were</w:t>
      </w:r>
      <w:r w:rsidR="00334B96" w:rsidRPr="00182FDA">
        <w:t xml:space="preserve"> no statistically significant reduction</w:t>
      </w:r>
      <w:r w:rsidR="00751C2C" w:rsidRPr="00182FDA">
        <w:t>s</w:t>
      </w:r>
      <w:r w:rsidR="00334B96" w:rsidRPr="00182FDA">
        <w:t xml:space="preserve"> of the ‘-2 Log Likelihood’</w:t>
      </w:r>
      <w:r w:rsidR="002C6402" w:rsidRPr="00182FDA">
        <w:t xml:space="preserve"> by including them. </w:t>
      </w:r>
      <w:r w:rsidR="002A5517" w:rsidRPr="00182FDA">
        <w:t>These results were, therefore, omitted from the tabulation. T</w:t>
      </w:r>
      <w:r w:rsidR="002C6402" w:rsidRPr="00182FDA">
        <w:t>he detail</w:t>
      </w:r>
      <w:r w:rsidR="00751C2C" w:rsidRPr="00182FDA">
        <w:t>s are</w:t>
      </w:r>
      <w:r w:rsidR="002C6402" w:rsidRPr="00182FDA">
        <w:t xml:space="preserve"> available from the authors upon request. </w:t>
      </w:r>
    </w:p>
    <w:p w14:paraId="28CDA858" w14:textId="77777777" w:rsidR="00FC01D0" w:rsidRPr="00182FDA" w:rsidRDefault="00FC01D0" w:rsidP="00484126">
      <w:pPr>
        <w:spacing w:line="360" w:lineRule="auto"/>
        <w:rPr>
          <w:kern w:val="0"/>
        </w:rPr>
      </w:pPr>
    </w:p>
    <w:p w14:paraId="6EB0EBA5" w14:textId="2467987C" w:rsidR="00EC5465" w:rsidRPr="00182FDA" w:rsidRDefault="00063350" w:rsidP="00EB644A">
      <w:pPr>
        <w:pStyle w:val="FootnoteText"/>
        <w:spacing w:line="360" w:lineRule="auto"/>
        <w:rPr>
          <w:rFonts w:asciiTheme="minorHAnsi" w:hAnsiTheme="minorHAnsi"/>
          <w:sz w:val="24"/>
          <w:szCs w:val="24"/>
        </w:rPr>
      </w:pPr>
      <w:r w:rsidRPr="00182FDA">
        <w:rPr>
          <w:sz w:val="24"/>
          <w:szCs w:val="24"/>
        </w:rPr>
        <w:t xml:space="preserve">Next, we tried </w:t>
      </w:r>
      <w:r w:rsidR="00AC5A86" w:rsidRPr="00182FDA">
        <w:rPr>
          <w:sz w:val="24"/>
          <w:szCs w:val="24"/>
        </w:rPr>
        <w:t xml:space="preserve">to include </w:t>
      </w:r>
      <w:r w:rsidRPr="00182FDA">
        <w:rPr>
          <w:sz w:val="24"/>
          <w:szCs w:val="24"/>
        </w:rPr>
        <w:t xml:space="preserve">most of the explanatory variables in one regression, provided that the VIF would permit, and reported this configuration in the fourth model. </w:t>
      </w:r>
      <w:r w:rsidR="001B1F28" w:rsidRPr="00182FDA">
        <w:rPr>
          <w:sz w:val="24"/>
          <w:szCs w:val="24"/>
        </w:rPr>
        <w:t xml:space="preserve">We found </w:t>
      </w:r>
      <w:r w:rsidR="00EA15CC" w:rsidRPr="00182FDA">
        <w:rPr>
          <w:sz w:val="24"/>
          <w:szCs w:val="24"/>
          <w:lang w:val="en-GB"/>
        </w:rPr>
        <w:t xml:space="preserve">that </w:t>
      </w:r>
      <w:r w:rsidR="00FC01D0" w:rsidRPr="00182FDA">
        <w:rPr>
          <w:sz w:val="24"/>
          <w:szCs w:val="24"/>
        </w:rPr>
        <w:t xml:space="preserve">South </w:t>
      </w:r>
      <w:r w:rsidR="001B1F28" w:rsidRPr="00182FDA">
        <w:rPr>
          <w:sz w:val="24"/>
          <w:szCs w:val="24"/>
        </w:rPr>
        <w:t xml:space="preserve">Korea’s per capita GDP </w:t>
      </w:r>
      <w:r w:rsidR="005E2472" w:rsidRPr="00182FDA">
        <w:rPr>
          <w:sz w:val="24"/>
          <w:szCs w:val="24"/>
          <w:lang w:val="en-GB"/>
        </w:rPr>
        <w:t xml:space="preserve">growth rate </w:t>
      </w:r>
      <w:r w:rsidR="001B1F28" w:rsidRPr="00182FDA">
        <w:rPr>
          <w:sz w:val="24"/>
          <w:szCs w:val="24"/>
        </w:rPr>
        <w:t>appear</w:t>
      </w:r>
      <w:r w:rsidR="00EA15CC" w:rsidRPr="00182FDA">
        <w:rPr>
          <w:sz w:val="24"/>
          <w:szCs w:val="24"/>
          <w:lang w:val="en-GB"/>
        </w:rPr>
        <w:t>ed</w:t>
      </w:r>
      <w:r w:rsidR="001B1F28" w:rsidRPr="00182FDA">
        <w:rPr>
          <w:sz w:val="24"/>
          <w:szCs w:val="24"/>
        </w:rPr>
        <w:t xml:space="preserve"> to </w:t>
      </w:r>
      <w:r w:rsidR="00970F48" w:rsidRPr="00182FDA">
        <w:rPr>
          <w:sz w:val="24"/>
          <w:szCs w:val="24"/>
        </w:rPr>
        <w:t xml:space="preserve">have a significant impact on the odds of promoting </w:t>
      </w:r>
      <w:r w:rsidR="007462D6" w:rsidRPr="00182FDA">
        <w:rPr>
          <w:sz w:val="24"/>
          <w:szCs w:val="24"/>
        </w:rPr>
        <w:t xml:space="preserve">to </w:t>
      </w:r>
      <w:r w:rsidR="004A3AE2" w:rsidRPr="00182FDA">
        <w:rPr>
          <w:sz w:val="24"/>
          <w:szCs w:val="24"/>
          <w:lang w:val="en-GB"/>
        </w:rPr>
        <w:t xml:space="preserve">the </w:t>
      </w:r>
      <w:r w:rsidR="00970F48" w:rsidRPr="00182FDA">
        <w:rPr>
          <w:sz w:val="24"/>
          <w:szCs w:val="24"/>
        </w:rPr>
        <w:t>national leadership</w:t>
      </w:r>
      <w:r w:rsidR="001B1F28" w:rsidRPr="00182FDA">
        <w:rPr>
          <w:sz w:val="24"/>
          <w:szCs w:val="24"/>
        </w:rPr>
        <w:t xml:space="preserve"> at </w:t>
      </w:r>
      <w:r w:rsidR="00FC01D0" w:rsidRPr="00182FDA">
        <w:rPr>
          <w:sz w:val="24"/>
          <w:szCs w:val="24"/>
        </w:rPr>
        <w:t xml:space="preserve">the </w:t>
      </w:r>
      <w:r w:rsidR="001B1F28" w:rsidRPr="00182FDA">
        <w:rPr>
          <w:sz w:val="24"/>
          <w:szCs w:val="24"/>
        </w:rPr>
        <w:t xml:space="preserve">5% level. However, </w:t>
      </w:r>
      <w:r w:rsidR="00970F48" w:rsidRPr="00182FDA">
        <w:rPr>
          <w:sz w:val="24"/>
          <w:szCs w:val="24"/>
        </w:rPr>
        <w:t xml:space="preserve">this raises </w:t>
      </w:r>
      <w:r w:rsidR="00A50278" w:rsidRPr="00182FDA">
        <w:rPr>
          <w:sz w:val="24"/>
          <w:szCs w:val="24"/>
        </w:rPr>
        <w:t xml:space="preserve">a question - </w:t>
      </w:r>
      <w:r w:rsidR="00970F48" w:rsidRPr="00182FDA">
        <w:rPr>
          <w:sz w:val="24"/>
          <w:szCs w:val="24"/>
        </w:rPr>
        <w:t xml:space="preserve">why </w:t>
      </w:r>
      <w:r w:rsidR="00FC01D0" w:rsidRPr="00182FDA">
        <w:rPr>
          <w:sz w:val="24"/>
          <w:szCs w:val="24"/>
        </w:rPr>
        <w:t xml:space="preserve">South </w:t>
      </w:r>
      <w:r w:rsidR="00970F48" w:rsidRPr="00182FDA">
        <w:rPr>
          <w:sz w:val="24"/>
          <w:szCs w:val="24"/>
        </w:rPr>
        <w:t xml:space="preserve">Korea? </w:t>
      </w:r>
      <w:r w:rsidR="00FC01D0" w:rsidRPr="00182FDA">
        <w:rPr>
          <w:sz w:val="24"/>
          <w:szCs w:val="24"/>
        </w:rPr>
        <w:t xml:space="preserve">South </w:t>
      </w:r>
      <w:r w:rsidR="00970F48" w:rsidRPr="00182FDA">
        <w:rPr>
          <w:sz w:val="24"/>
          <w:szCs w:val="24"/>
        </w:rPr>
        <w:t xml:space="preserve">Korea has not been China’s largest trading partner. Moreover, </w:t>
      </w:r>
      <w:r w:rsidR="000430AD" w:rsidRPr="00182FDA">
        <w:rPr>
          <w:sz w:val="24"/>
          <w:szCs w:val="24"/>
        </w:rPr>
        <w:t xml:space="preserve">such benchmarking would only </w:t>
      </w:r>
      <w:r w:rsidR="007462D6" w:rsidRPr="00182FDA">
        <w:rPr>
          <w:sz w:val="24"/>
          <w:szCs w:val="24"/>
        </w:rPr>
        <w:t>make sense</w:t>
      </w:r>
      <w:r w:rsidR="000430AD" w:rsidRPr="00182FDA">
        <w:rPr>
          <w:sz w:val="24"/>
          <w:szCs w:val="24"/>
        </w:rPr>
        <w:t xml:space="preserve"> if the provincial economic growth rate matters first</w:t>
      </w:r>
      <w:r w:rsidR="00B302F6" w:rsidRPr="00182FDA">
        <w:rPr>
          <w:sz w:val="24"/>
          <w:szCs w:val="24"/>
        </w:rPr>
        <w:t>; on the contrary</w:t>
      </w:r>
      <w:r w:rsidR="00CD4A8A" w:rsidRPr="00182FDA">
        <w:rPr>
          <w:sz w:val="24"/>
          <w:szCs w:val="24"/>
        </w:rPr>
        <w:t>,</w:t>
      </w:r>
      <w:r w:rsidR="007462D6" w:rsidRPr="00182FDA">
        <w:rPr>
          <w:sz w:val="24"/>
          <w:szCs w:val="24"/>
        </w:rPr>
        <w:t xml:space="preserve"> the provincial economic growth </w:t>
      </w:r>
      <w:r w:rsidR="00BB7BCE" w:rsidRPr="00182FDA">
        <w:rPr>
          <w:sz w:val="24"/>
          <w:szCs w:val="24"/>
          <w:lang w:val="en-GB"/>
        </w:rPr>
        <w:t xml:space="preserve">rate </w:t>
      </w:r>
      <w:r w:rsidR="007462D6" w:rsidRPr="00182FDA">
        <w:rPr>
          <w:sz w:val="24"/>
          <w:szCs w:val="24"/>
        </w:rPr>
        <w:t>itself</w:t>
      </w:r>
      <w:r w:rsidR="00B302F6" w:rsidRPr="00182FDA">
        <w:rPr>
          <w:sz w:val="24"/>
          <w:szCs w:val="24"/>
        </w:rPr>
        <w:t xml:space="preserve"> is </w:t>
      </w:r>
      <w:r w:rsidR="00A13845" w:rsidRPr="00182FDA">
        <w:rPr>
          <w:sz w:val="24"/>
          <w:szCs w:val="24"/>
        </w:rPr>
        <w:t>insignificant</w:t>
      </w:r>
      <w:r w:rsidR="000430AD" w:rsidRPr="00182FDA">
        <w:rPr>
          <w:sz w:val="24"/>
          <w:szCs w:val="24"/>
        </w:rPr>
        <w:t xml:space="preserve">. </w:t>
      </w:r>
      <w:r w:rsidR="00FC01D0" w:rsidRPr="00182FDA">
        <w:rPr>
          <w:sz w:val="24"/>
          <w:szCs w:val="24"/>
        </w:rPr>
        <w:t xml:space="preserve">Our results imply, therefore, that </w:t>
      </w:r>
      <w:r w:rsidR="001B1F28" w:rsidRPr="00182FDA">
        <w:rPr>
          <w:sz w:val="24"/>
          <w:szCs w:val="24"/>
        </w:rPr>
        <w:t xml:space="preserve">this significant relationship </w:t>
      </w:r>
      <w:r w:rsidR="000430AD" w:rsidRPr="00182FDA">
        <w:rPr>
          <w:sz w:val="24"/>
          <w:szCs w:val="24"/>
        </w:rPr>
        <w:t>is</w:t>
      </w:r>
      <w:r w:rsidR="001B1F28" w:rsidRPr="00182FDA">
        <w:rPr>
          <w:sz w:val="24"/>
          <w:szCs w:val="24"/>
        </w:rPr>
        <w:t xml:space="preserve"> </w:t>
      </w:r>
      <w:r w:rsidR="00B47FD2" w:rsidRPr="00182FDA">
        <w:rPr>
          <w:sz w:val="24"/>
          <w:szCs w:val="24"/>
        </w:rPr>
        <w:t>spurious</w:t>
      </w:r>
      <w:r w:rsidR="001B1F28" w:rsidRPr="00182FDA">
        <w:rPr>
          <w:sz w:val="24"/>
          <w:szCs w:val="24"/>
        </w:rPr>
        <w:t xml:space="preserve">. Indeed, we found such significance disappeared after we </w:t>
      </w:r>
      <w:r w:rsidR="000430AD" w:rsidRPr="00182FDA">
        <w:rPr>
          <w:sz w:val="24"/>
          <w:szCs w:val="24"/>
        </w:rPr>
        <w:t>re</w:t>
      </w:r>
      <w:r w:rsidR="001B1F28" w:rsidRPr="00182FDA">
        <w:rPr>
          <w:sz w:val="24"/>
          <w:szCs w:val="24"/>
        </w:rPr>
        <w:t>moved some of the insignificant variables</w:t>
      </w:r>
      <w:r w:rsidR="00A50278" w:rsidRPr="00182FDA">
        <w:rPr>
          <w:sz w:val="24"/>
          <w:szCs w:val="24"/>
        </w:rPr>
        <w:t>.</w:t>
      </w:r>
      <w:r w:rsidR="00EC5465" w:rsidRPr="00182FDA">
        <w:rPr>
          <w:rFonts w:asciiTheme="minorHAnsi" w:hAnsiTheme="minorHAnsi"/>
          <w:sz w:val="24"/>
          <w:szCs w:val="24"/>
        </w:rPr>
        <w:t xml:space="preserve"> </w:t>
      </w:r>
      <w:r w:rsidR="008813DD" w:rsidRPr="00182FDA">
        <w:rPr>
          <w:rFonts w:asciiTheme="minorHAnsi" w:hAnsiTheme="minorHAnsi"/>
          <w:sz w:val="24"/>
          <w:szCs w:val="24"/>
        </w:rPr>
        <w:t>W</w:t>
      </w:r>
      <w:r w:rsidR="00EC5465" w:rsidRPr="00182FDA">
        <w:rPr>
          <w:rFonts w:asciiTheme="minorHAnsi" w:hAnsiTheme="minorHAnsi"/>
          <w:sz w:val="24"/>
          <w:szCs w:val="24"/>
        </w:rPr>
        <w:t xml:space="preserve">e also reported the Cox &amp; Snell </w:t>
      </w:r>
      <m:oMath>
        <m:sSup>
          <m:sSupPr>
            <m:ctrlPr>
              <w:rPr>
                <w:rFonts w:ascii="Cambria Math" w:hAnsi="Cambria Math"/>
                <w:sz w:val="24"/>
                <w:szCs w:val="24"/>
              </w:rPr>
            </m:ctrlPr>
          </m:sSupPr>
          <m:e>
            <m:r>
              <w:rPr>
                <w:rFonts w:ascii="Cambria Math" w:hAnsi="Cambria Math" w:hint="eastAsia"/>
                <w:sz w:val="24"/>
                <w:szCs w:val="24"/>
              </w:rPr>
              <m:t>R</m:t>
            </m:r>
          </m:e>
          <m:sup>
            <m:r>
              <w:rPr>
                <w:rFonts w:ascii="Cambria Math" w:hAnsi="Cambria Math" w:hint="eastAsia"/>
                <w:sz w:val="24"/>
                <w:szCs w:val="24"/>
              </w:rPr>
              <m:t>2</m:t>
            </m:r>
          </m:sup>
        </m:sSup>
      </m:oMath>
      <w:r w:rsidR="00EC5465" w:rsidRPr="00182FDA">
        <w:rPr>
          <w:rFonts w:asciiTheme="minorHAnsi" w:hAnsiTheme="minorHAnsi"/>
          <w:sz w:val="24"/>
          <w:szCs w:val="24"/>
        </w:rPr>
        <w:t xml:space="preserve"> and Nagelkerke </w:t>
      </w:r>
      <m:oMath>
        <m:sSup>
          <m:sSupPr>
            <m:ctrlPr>
              <w:rPr>
                <w:rFonts w:ascii="Cambria Math" w:hAnsi="Cambria Math"/>
                <w:sz w:val="24"/>
                <w:szCs w:val="24"/>
              </w:rPr>
            </m:ctrlPr>
          </m:sSupPr>
          <m:e>
            <m:r>
              <w:rPr>
                <w:rFonts w:ascii="Cambria Math" w:hAnsi="Cambria Math" w:hint="eastAsia"/>
                <w:sz w:val="24"/>
                <w:szCs w:val="24"/>
              </w:rPr>
              <m:t>R</m:t>
            </m:r>
          </m:e>
          <m:sup>
            <m:r>
              <w:rPr>
                <w:rFonts w:ascii="Cambria Math" w:hAnsi="Cambria Math" w:hint="eastAsia"/>
                <w:sz w:val="24"/>
                <w:szCs w:val="24"/>
              </w:rPr>
              <m:t>2</m:t>
            </m:r>
          </m:sup>
        </m:sSup>
      </m:oMath>
      <w:r w:rsidR="00EC5465" w:rsidRPr="00182FDA">
        <w:rPr>
          <w:rFonts w:asciiTheme="minorHAnsi" w:hAnsiTheme="minorHAnsi"/>
          <w:sz w:val="24"/>
          <w:szCs w:val="24"/>
        </w:rPr>
        <w:t>.</w:t>
      </w:r>
      <w:r w:rsidR="003443B5" w:rsidRPr="00182FDA">
        <w:rPr>
          <w:rStyle w:val="FootnoteReference"/>
          <w:rFonts w:asciiTheme="minorHAnsi" w:hAnsiTheme="minorHAnsi"/>
          <w:sz w:val="24"/>
          <w:szCs w:val="24"/>
        </w:rPr>
        <w:footnoteReference w:id="4"/>
      </w:r>
      <w:r w:rsidR="00EC5465" w:rsidRPr="00182FDA">
        <w:rPr>
          <w:rFonts w:asciiTheme="minorHAnsi" w:hAnsiTheme="minorHAnsi"/>
          <w:sz w:val="24"/>
          <w:szCs w:val="24"/>
        </w:rPr>
        <w:t xml:space="preserve"> </w:t>
      </w:r>
    </w:p>
    <w:p w14:paraId="69F09FAD" w14:textId="77777777" w:rsidR="00484126" w:rsidRPr="00182FDA" w:rsidRDefault="00484126" w:rsidP="00970F48">
      <w:pPr>
        <w:spacing w:line="360" w:lineRule="auto"/>
        <w:rPr>
          <w:kern w:val="0"/>
        </w:rPr>
      </w:pPr>
    </w:p>
    <w:p w14:paraId="4F2AA57C" w14:textId="77232328" w:rsidR="00484126" w:rsidRPr="00182FDA" w:rsidRDefault="00792F8E" w:rsidP="00484126">
      <w:pPr>
        <w:spacing w:line="360" w:lineRule="auto"/>
        <w:rPr>
          <w:kern w:val="0"/>
        </w:rPr>
      </w:pPr>
      <w:r w:rsidRPr="00182FDA">
        <w:rPr>
          <w:kern w:val="0"/>
        </w:rPr>
        <w:t>Model five</w:t>
      </w:r>
      <w:r w:rsidR="00484126" w:rsidRPr="00182FDA">
        <w:rPr>
          <w:kern w:val="0"/>
        </w:rPr>
        <w:t xml:space="preserve"> contains the explanatory variables which are statistically significant at </w:t>
      </w:r>
      <w:r w:rsidR="003F1380" w:rsidRPr="00182FDA">
        <w:rPr>
          <w:kern w:val="0"/>
        </w:rPr>
        <w:t xml:space="preserve">the </w:t>
      </w:r>
      <w:r w:rsidR="00484126" w:rsidRPr="00182FDA">
        <w:rPr>
          <w:kern w:val="0"/>
        </w:rPr>
        <w:t>5% level. Clearly, the fourth model can be interpreted as extending the fifth model by adding ten explanatory variables. It has reduced</w:t>
      </w:r>
      <w:r w:rsidR="00A56B3D" w:rsidRPr="00182FDA">
        <w:rPr>
          <w:kern w:val="0"/>
        </w:rPr>
        <w:t xml:space="preserve"> the</w:t>
      </w:r>
      <w:r w:rsidR="00484126" w:rsidRPr="00182FDA">
        <w:rPr>
          <w:kern w:val="0"/>
        </w:rPr>
        <w:t xml:space="preserve"> ‘-2 Log Likelihood’ by 11.265. However, such a reduction would be statistically insignificant, considering that </w:t>
      </w:r>
      <w:r w:rsidR="00A56B3D" w:rsidRPr="00182FDA">
        <w:rPr>
          <w:kern w:val="0"/>
        </w:rPr>
        <w:t>ten</w:t>
      </w:r>
      <w:r w:rsidR="00484126" w:rsidRPr="00182FDA">
        <w:rPr>
          <w:kern w:val="0"/>
        </w:rPr>
        <w:t xml:space="preserve"> variables were added to the equation. </w:t>
      </w:r>
    </w:p>
    <w:p w14:paraId="321B66A1" w14:textId="77777777" w:rsidR="00063350" w:rsidRPr="00182FDA" w:rsidRDefault="00063350" w:rsidP="00AB1890">
      <w:pPr>
        <w:spacing w:line="360" w:lineRule="auto"/>
        <w:rPr>
          <w:kern w:val="0"/>
        </w:rPr>
      </w:pPr>
    </w:p>
    <w:p w14:paraId="1F59EB43" w14:textId="48DB5802" w:rsidR="000A62C4" w:rsidRPr="00182FDA" w:rsidRDefault="00063350" w:rsidP="006F67E5">
      <w:pPr>
        <w:spacing w:line="360" w:lineRule="auto"/>
        <w:rPr>
          <w:kern w:val="0"/>
        </w:rPr>
      </w:pPr>
      <w:r w:rsidRPr="00182FDA">
        <w:rPr>
          <w:kern w:val="0"/>
        </w:rPr>
        <w:t>We, therefore, establish</w:t>
      </w:r>
      <w:r w:rsidR="00615A20" w:rsidRPr="00182FDA">
        <w:rPr>
          <w:kern w:val="0"/>
        </w:rPr>
        <w:t>ed</w:t>
      </w:r>
      <w:r w:rsidRPr="00182FDA">
        <w:rPr>
          <w:kern w:val="0"/>
        </w:rPr>
        <w:t xml:space="preserve"> the fifth model as being the parsimonious model, adequate for determining the key contributing factors to the odds of promotion. In summary, it is suggested that age, whether tenures ended after 1982,</w:t>
      </w:r>
      <w:r w:rsidR="00484126" w:rsidRPr="00182FDA">
        <w:rPr>
          <w:kern w:val="0"/>
        </w:rPr>
        <w:t xml:space="preserve"> the interaction of the </w:t>
      </w:r>
    </w:p>
    <w:p w14:paraId="603D0D7F" w14:textId="74F5BF5C" w:rsidR="00063350" w:rsidRPr="00182FDA" w:rsidRDefault="00484126" w:rsidP="006F67E5">
      <w:pPr>
        <w:spacing w:line="360" w:lineRule="auto"/>
        <w:rPr>
          <w:kern w:val="0"/>
        </w:rPr>
      </w:pPr>
      <w:r w:rsidRPr="00182FDA">
        <w:rPr>
          <w:kern w:val="0"/>
        </w:rPr>
        <w:t>age dummy and post-1982 indicator,</w:t>
      </w:r>
      <w:r w:rsidR="00063350" w:rsidRPr="00182FDA">
        <w:rPr>
          <w:kern w:val="0"/>
        </w:rPr>
        <w:t xml:space="preserve"> central connection, serving </w:t>
      </w:r>
      <w:r w:rsidR="005F45BE" w:rsidRPr="00182FDA">
        <w:rPr>
          <w:kern w:val="0"/>
        </w:rPr>
        <w:t xml:space="preserve">more than one </w:t>
      </w:r>
      <w:r w:rsidR="00063350" w:rsidRPr="00182FDA">
        <w:rPr>
          <w:kern w:val="0"/>
        </w:rPr>
        <w:t xml:space="preserve">tenure in a </w:t>
      </w:r>
      <w:r w:rsidR="00F85B5F" w:rsidRPr="00182FDA">
        <w:rPr>
          <w:kern w:val="0"/>
        </w:rPr>
        <w:t xml:space="preserve">specific </w:t>
      </w:r>
      <w:r w:rsidR="00063350" w:rsidRPr="00182FDA">
        <w:rPr>
          <w:kern w:val="0"/>
        </w:rPr>
        <w:t>provinc</w:t>
      </w:r>
      <w:r w:rsidR="00F85B5F" w:rsidRPr="00182FDA">
        <w:rPr>
          <w:kern w:val="0"/>
        </w:rPr>
        <w:t>ial role</w:t>
      </w:r>
      <w:r w:rsidR="00063350" w:rsidRPr="00182FDA">
        <w:rPr>
          <w:kern w:val="0"/>
        </w:rPr>
        <w:t xml:space="preserve"> and the number of provinces served in </w:t>
      </w:r>
      <w:r w:rsidR="002849E2" w:rsidRPr="00182FDA">
        <w:rPr>
          <w:kern w:val="0"/>
        </w:rPr>
        <w:t>as a leader</w:t>
      </w:r>
      <w:r w:rsidR="00063350" w:rsidRPr="00182FDA">
        <w:rPr>
          <w:kern w:val="0"/>
        </w:rPr>
        <w:t xml:space="preserve"> all significantly affect the odds of promotion to the national leadership. </w:t>
      </w:r>
      <w:r w:rsidRPr="00182FDA">
        <w:rPr>
          <w:kern w:val="0"/>
        </w:rPr>
        <w:t xml:space="preserve"> </w:t>
      </w:r>
    </w:p>
    <w:p w14:paraId="213BA744" w14:textId="77777777" w:rsidR="00063350" w:rsidRPr="00182FDA" w:rsidRDefault="00063350" w:rsidP="006F67E5">
      <w:pPr>
        <w:spacing w:line="360" w:lineRule="auto"/>
        <w:rPr>
          <w:kern w:val="0"/>
        </w:rPr>
      </w:pPr>
    </w:p>
    <w:p w14:paraId="088CA549" w14:textId="4110646F" w:rsidR="00063350" w:rsidRPr="00182FDA" w:rsidRDefault="00063350" w:rsidP="007800AA">
      <w:pPr>
        <w:spacing w:line="360" w:lineRule="auto"/>
        <w:rPr>
          <w:kern w:val="0"/>
        </w:rPr>
      </w:pPr>
      <w:r w:rsidRPr="00182FDA">
        <w:rPr>
          <w:kern w:val="0"/>
        </w:rPr>
        <w:t xml:space="preserve">Overall, our findings imply that promotion to tiers one and two from the provincial leadership is not much affected by performance as measured through </w:t>
      </w:r>
      <w:r w:rsidR="002849E2" w:rsidRPr="00182FDA">
        <w:rPr>
          <w:kern w:val="0"/>
        </w:rPr>
        <w:t xml:space="preserve">the </w:t>
      </w:r>
      <w:r w:rsidRPr="00182FDA">
        <w:rPr>
          <w:kern w:val="0"/>
        </w:rPr>
        <w:t>economic growth of the province. However, having leadership positions in the more affluent provinces</w:t>
      </w:r>
      <w:r w:rsidR="00EA15CC" w:rsidRPr="00182FDA">
        <w:rPr>
          <w:kern w:val="0"/>
        </w:rPr>
        <w:t xml:space="preserve"> </w:t>
      </w:r>
      <w:r w:rsidRPr="00182FDA">
        <w:rPr>
          <w:kern w:val="0"/>
        </w:rPr>
        <w:t>appears to be an important positive factor in promotion to the national leadership</w:t>
      </w:r>
      <w:r w:rsidR="00072AD9" w:rsidRPr="00182FDA">
        <w:rPr>
          <w:kern w:val="0"/>
        </w:rPr>
        <w:t xml:space="preserve">, signaled by a significant and positively estimated coefficient for lagged provincial per capital GDP – the measure for initial income level. </w:t>
      </w:r>
      <w:r w:rsidR="00704A36" w:rsidRPr="00182FDA">
        <w:rPr>
          <w:kern w:val="0"/>
        </w:rPr>
        <w:t>Had the economic growth rate been positive and statistically significant, a positive and statistically significant</w:t>
      </w:r>
      <w:r w:rsidR="00602DC6" w:rsidRPr="00182FDA">
        <w:rPr>
          <w:kern w:val="0"/>
        </w:rPr>
        <w:t xml:space="preserve"> lagged per capita GDP would imply a promotion rule based on economic growth, given that it would be more difficult for a more developed economy to grow</w:t>
      </w:r>
      <w:r w:rsidR="008F4249" w:rsidRPr="00182FDA">
        <w:rPr>
          <w:kern w:val="0"/>
        </w:rPr>
        <w:t xml:space="preserve">, as indicated by the economic convergence literature </w:t>
      </w:r>
      <w:r w:rsidR="008F4249" w:rsidRPr="00182FDA">
        <w:t>(</w:t>
      </w:r>
      <w:r w:rsidR="008F4249" w:rsidRPr="00182FDA">
        <w:rPr>
          <w:i/>
        </w:rPr>
        <w:t>e.g.</w:t>
      </w:r>
      <w:r w:rsidR="008F4249" w:rsidRPr="00182FDA">
        <w:t xml:space="preserve"> Quah, 1996).</w:t>
      </w:r>
      <w:r w:rsidR="00602DC6" w:rsidRPr="00182FDA">
        <w:rPr>
          <w:kern w:val="0"/>
        </w:rPr>
        <w:t xml:space="preserve"> However, given the insignificant impact o</w:t>
      </w:r>
      <w:r w:rsidR="00C959B6" w:rsidRPr="00182FDA">
        <w:rPr>
          <w:kern w:val="0"/>
        </w:rPr>
        <w:t>f the</w:t>
      </w:r>
      <w:r w:rsidR="00602DC6" w:rsidRPr="00182FDA">
        <w:rPr>
          <w:kern w:val="0"/>
        </w:rPr>
        <w:t xml:space="preserve"> provincial growth rate on the odds of promotion, t</w:t>
      </w:r>
      <w:r w:rsidRPr="00182FDA">
        <w:rPr>
          <w:kern w:val="0"/>
        </w:rPr>
        <w:t>he</w:t>
      </w:r>
      <w:r w:rsidR="00602DC6" w:rsidRPr="00182FDA">
        <w:rPr>
          <w:kern w:val="0"/>
        </w:rPr>
        <w:t xml:space="preserve"> significant and positive impact from initial income level may suggest that </w:t>
      </w:r>
      <w:r w:rsidRPr="00182FDA">
        <w:rPr>
          <w:kern w:val="0"/>
        </w:rPr>
        <w:t xml:space="preserve">certain individuals possess the initial political leverage to secure postings in the more affluent areas rather </w:t>
      </w:r>
      <w:r w:rsidR="00CC5B4E" w:rsidRPr="00182FDA">
        <w:rPr>
          <w:kern w:val="0"/>
        </w:rPr>
        <w:t xml:space="preserve">than </w:t>
      </w:r>
      <w:r w:rsidRPr="00182FDA">
        <w:rPr>
          <w:kern w:val="0"/>
        </w:rPr>
        <w:t xml:space="preserve">the poorer and less developed areas. Part of this political leverage </w:t>
      </w:r>
      <w:r w:rsidR="009939EC" w:rsidRPr="00182FDA">
        <w:rPr>
          <w:kern w:val="0"/>
        </w:rPr>
        <w:t>can be</w:t>
      </w:r>
      <w:r w:rsidRPr="00182FDA">
        <w:rPr>
          <w:kern w:val="0"/>
        </w:rPr>
        <w:t xml:space="preserve"> measured </w:t>
      </w:r>
      <w:r w:rsidR="00547A02" w:rsidRPr="00182FDA">
        <w:rPr>
          <w:kern w:val="0"/>
        </w:rPr>
        <w:t xml:space="preserve">by </w:t>
      </w:r>
      <w:r w:rsidR="00EA15CC" w:rsidRPr="00182FDA">
        <w:rPr>
          <w:kern w:val="0"/>
        </w:rPr>
        <w:t xml:space="preserve">the </w:t>
      </w:r>
      <w:r w:rsidR="009939EC" w:rsidRPr="00182FDA">
        <w:rPr>
          <w:kern w:val="0"/>
        </w:rPr>
        <w:t xml:space="preserve">depth and width of their political connections, specifically </w:t>
      </w:r>
      <w:r w:rsidR="00F834A4" w:rsidRPr="00182FDA">
        <w:rPr>
          <w:kern w:val="0"/>
        </w:rPr>
        <w:t xml:space="preserve">the </w:t>
      </w:r>
      <w:r w:rsidR="009939EC" w:rsidRPr="00182FDA">
        <w:rPr>
          <w:kern w:val="0"/>
        </w:rPr>
        <w:t xml:space="preserve">central connection indicator and </w:t>
      </w:r>
      <w:r w:rsidR="00B00B23" w:rsidRPr="00182FDA">
        <w:rPr>
          <w:kern w:val="0"/>
        </w:rPr>
        <w:t>the</w:t>
      </w:r>
      <w:r w:rsidR="007800AA" w:rsidRPr="00182FDA">
        <w:rPr>
          <w:kern w:val="0"/>
        </w:rPr>
        <w:t xml:space="preserve"> total</w:t>
      </w:r>
      <w:r w:rsidR="00B00B23" w:rsidRPr="00182FDA">
        <w:rPr>
          <w:kern w:val="0"/>
        </w:rPr>
        <w:t xml:space="preserve"> </w:t>
      </w:r>
      <w:r w:rsidR="009939EC" w:rsidRPr="00182FDA">
        <w:rPr>
          <w:kern w:val="0"/>
        </w:rPr>
        <w:t>number of provinc</w:t>
      </w:r>
      <w:r w:rsidR="00D20CC7" w:rsidRPr="00182FDA">
        <w:rPr>
          <w:kern w:val="0"/>
        </w:rPr>
        <w:t xml:space="preserve">es served </w:t>
      </w:r>
      <w:r w:rsidR="00C959B6" w:rsidRPr="00182FDA">
        <w:rPr>
          <w:kern w:val="0"/>
        </w:rPr>
        <w:t xml:space="preserve">in </w:t>
      </w:r>
      <w:r w:rsidR="00D20CC7" w:rsidRPr="00182FDA">
        <w:rPr>
          <w:kern w:val="0"/>
        </w:rPr>
        <w:t xml:space="preserve">as </w:t>
      </w:r>
      <w:r w:rsidR="00C959B6" w:rsidRPr="00182FDA">
        <w:rPr>
          <w:kern w:val="0"/>
        </w:rPr>
        <w:t>a leader</w:t>
      </w:r>
      <w:r w:rsidR="00D20CC7" w:rsidRPr="00182FDA">
        <w:rPr>
          <w:kern w:val="0"/>
        </w:rPr>
        <w:t xml:space="preserve"> </w:t>
      </w:r>
      <w:r w:rsidR="007800AA" w:rsidRPr="00182FDA">
        <w:rPr>
          <w:kern w:val="0"/>
        </w:rPr>
        <w:t>by the end of the tenure</w:t>
      </w:r>
      <w:r w:rsidR="00DB15F9" w:rsidRPr="00182FDA">
        <w:rPr>
          <w:kern w:val="0"/>
        </w:rPr>
        <w:t xml:space="preserve">. </w:t>
      </w:r>
      <w:r w:rsidR="00F834A4" w:rsidRPr="00182FDA">
        <w:rPr>
          <w:kern w:val="0"/>
        </w:rPr>
        <w:t>T</w:t>
      </w:r>
      <w:r w:rsidR="009939EC" w:rsidRPr="00182FDA">
        <w:rPr>
          <w:kern w:val="0"/>
        </w:rPr>
        <w:t>he first variable measures the connection with the top (depth), the second</w:t>
      </w:r>
      <w:r w:rsidR="007800AA" w:rsidRPr="00182FDA">
        <w:rPr>
          <w:kern w:val="0"/>
        </w:rPr>
        <w:t xml:space="preserve"> variable measures</w:t>
      </w:r>
      <w:r w:rsidR="009939EC" w:rsidRPr="00182FDA">
        <w:rPr>
          <w:kern w:val="0"/>
        </w:rPr>
        <w:t xml:space="preserve"> </w:t>
      </w:r>
      <w:r w:rsidR="009C2C9D" w:rsidRPr="00182FDA">
        <w:rPr>
          <w:kern w:val="0"/>
        </w:rPr>
        <w:t>the</w:t>
      </w:r>
      <w:r w:rsidR="009939EC" w:rsidRPr="00182FDA">
        <w:rPr>
          <w:kern w:val="0"/>
        </w:rPr>
        <w:t xml:space="preserve"> broadness of the connection</w:t>
      </w:r>
      <w:r w:rsidR="007800AA" w:rsidRPr="00182FDA">
        <w:rPr>
          <w:kern w:val="0"/>
        </w:rPr>
        <w:t xml:space="preserve"> at the </w:t>
      </w:r>
      <w:r w:rsidR="006D1158" w:rsidRPr="00182FDA">
        <w:rPr>
          <w:kern w:val="0"/>
        </w:rPr>
        <w:t>provincial</w:t>
      </w:r>
      <w:r w:rsidR="007800AA" w:rsidRPr="00182FDA">
        <w:rPr>
          <w:kern w:val="0"/>
        </w:rPr>
        <w:t xml:space="preserve"> level</w:t>
      </w:r>
      <w:r w:rsidR="009939EC" w:rsidRPr="00182FDA">
        <w:rPr>
          <w:kern w:val="0"/>
        </w:rPr>
        <w:t xml:space="preserve"> (width), </w:t>
      </w:r>
      <w:r w:rsidR="007800AA" w:rsidRPr="00182FDA">
        <w:rPr>
          <w:kern w:val="0"/>
        </w:rPr>
        <w:t>both</w:t>
      </w:r>
      <w:r w:rsidR="009939EC" w:rsidRPr="00182FDA">
        <w:rPr>
          <w:kern w:val="0"/>
        </w:rPr>
        <w:t xml:space="preserve"> of which have statistically significant impacts on promotion;</w:t>
      </w:r>
      <w:r w:rsidR="007800AA" w:rsidRPr="00182FDA">
        <w:rPr>
          <w:kern w:val="0"/>
        </w:rPr>
        <w:t xml:space="preserve"> </w:t>
      </w:r>
      <w:r w:rsidRPr="00182FDA">
        <w:rPr>
          <w:kern w:val="0"/>
        </w:rPr>
        <w:t xml:space="preserve">although </w:t>
      </w:r>
      <w:r w:rsidR="00802170" w:rsidRPr="00193FBA">
        <w:rPr>
          <w:kern w:val="0"/>
        </w:rPr>
        <w:t>such political leverage</w:t>
      </w:r>
      <w:r w:rsidRPr="00193FBA">
        <w:rPr>
          <w:kern w:val="0"/>
        </w:rPr>
        <w:t xml:space="preserve"> </w:t>
      </w:r>
      <w:r w:rsidRPr="00182FDA">
        <w:rPr>
          <w:kern w:val="0"/>
        </w:rPr>
        <w:t xml:space="preserve">would </w:t>
      </w:r>
      <w:r w:rsidR="00802170" w:rsidRPr="00182FDA">
        <w:rPr>
          <w:kern w:val="0"/>
        </w:rPr>
        <w:t xml:space="preserve">also </w:t>
      </w:r>
      <w:r w:rsidRPr="00182FDA">
        <w:rPr>
          <w:kern w:val="0"/>
        </w:rPr>
        <w:t>be related to qualities (</w:t>
      </w:r>
      <w:r w:rsidRPr="00182FDA">
        <w:rPr>
          <w:i/>
          <w:kern w:val="0"/>
        </w:rPr>
        <w:t>e.g.</w:t>
      </w:r>
      <w:r w:rsidRPr="00182FDA">
        <w:rPr>
          <w:kern w:val="0"/>
        </w:rPr>
        <w:t xml:space="preserve"> family background) that would be very difficult to quantify. </w:t>
      </w:r>
    </w:p>
    <w:p w14:paraId="16ADA33C" w14:textId="77777777" w:rsidR="00063350" w:rsidRPr="00182FDA" w:rsidRDefault="00063350" w:rsidP="00CF6C28">
      <w:pPr>
        <w:spacing w:line="360" w:lineRule="auto"/>
        <w:rPr>
          <w:kern w:val="0"/>
        </w:rPr>
      </w:pPr>
      <w:r w:rsidRPr="00182FDA">
        <w:rPr>
          <w:kern w:val="0"/>
        </w:rPr>
        <w:tab/>
      </w:r>
    </w:p>
    <w:p w14:paraId="1E5BF3BD" w14:textId="40FEEE80" w:rsidR="00063350" w:rsidRPr="00182FDA" w:rsidRDefault="00063350" w:rsidP="00CF6C28">
      <w:pPr>
        <w:spacing w:line="360" w:lineRule="auto"/>
        <w:rPr>
          <w:kern w:val="0"/>
        </w:rPr>
      </w:pPr>
      <w:r w:rsidRPr="00182FDA">
        <w:rPr>
          <w:kern w:val="0"/>
        </w:rPr>
        <w:t>Interpretation of the post-1982 indicator might</w:t>
      </w:r>
      <w:r w:rsidR="006D1158" w:rsidRPr="00182FDA">
        <w:rPr>
          <w:kern w:val="0"/>
        </w:rPr>
        <w:t xml:space="preserve"> </w:t>
      </w:r>
      <w:r w:rsidRPr="00182FDA">
        <w:rPr>
          <w:kern w:val="0"/>
        </w:rPr>
        <w:t>not be straightforward. Superficially, it seems that cases in the post-1982 sub-sample are less likely to be promoted. This outcome might</w:t>
      </w:r>
      <w:r w:rsidR="006D1158" w:rsidRPr="00182FDA">
        <w:rPr>
          <w:kern w:val="0"/>
        </w:rPr>
        <w:t xml:space="preserve">, however, </w:t>
      </w:r>
      <w:r w:rsidRPr="00182FDA">
        <w:rPr>
          <w:kern w:val="0"/>
        </w:rPr>
        <w:t xml:space="preserve">reflect the fact that some officials have not yet realized their career potential as a consequence of relative youth (see table 7). Most officials are promoted when aged between 56 and 65, while many cases in the post-1982 sample were </w:t>
      </w:r>
      <w:r w:rsidR="00DB15F9" w:rsidRPr="00182FDA">
        <w:rPr>
          <w:kern w:val="0"/>
        </w:rPr>
        <w:t>under</w:t>
      </w:r>
      <w:r w:rsidRPr="00182FDA">
        <w:rPr>
          <w:kern w:val="0"/>
        </w:rPr>
        <w:t xml:space="preserve"> 55 years old. Nevertheless, we included a post-82 indicator as an explanatory variable since it is reflexive of an important change in the age composition of the provincial leadership. </w:t>
      </w:r>
      <w:r w:rsidR="003C4DE9" w:rsidRPr="00182FDA">
        <w:rPr>
          <w:kern w:val="0"/>
        </w:rPr>
        <w:t xml:space="preserve">We found that education has no significant impact on promotion, </w:t>
      </w:r>
      <w:r w:rsidR="00F93564" w:rsidRPr="00182FDA">
        <w:rPr>
          <w:kern w:val="0"/>
        </w:rPr>
        <w:t>which</w:t>
      </w:r>
      <w:r w:rsidR="003C4DE9" w:rsidRPr="00182FDA">
        <w:rPr>
          <w:kern w:val="0"/>
        </w:rPr>
        <w:t xml:space="preserve"> is consistent with the </w:t>
      </w:r>
      <w:r w:rsidR="00E12D6E" w:rsidRPr="00182FDA">
        <w:rPr>
          <w:kern w:val="0"/>
        </w:rPr>
        <w:t>findings</w:t>
      </w:r>
      <w:r w:rsidR="003C4DE9" w:rsidRPr="00182FDA">
        <w:rPr>
          <w:kern w:val="0"/>
        </w:rPr>
        <w:t xml:space="preserve"> in Li and Zhou (2005)</w:t>
      </w:r>
      <w:r w:rsidR="003F6248" w:rsidRPr="00182FDA">
        <w:rPr>
          <w:kern w:val="0"/>
        </w:rPr>
        <w:t xml:space="preserve">. </w:t>
      </w:r>
      <w:r w:rsidR="00026F1F" w:rsidRPr="00182FDA">
        <w:t xml:space="preserve">Furthermore, an independent T test </w:t>
      </w:r>
      <w:r w:rsidR="00EA15CC" w:rsidRPr="00182FDA">
        <w:t>wa</w:t>
      </w:r>
      <w:r w:rsidR="00026F1F" w:rsidRPr="00182FDA">
        <w:t xml:space="preserve">s conducted to test the difference </w:t>
      </w:r>
      <w:r w:rsidR="002849E2" w:rsidRPr="00182FDA">
        <w:t>in the</w:t>
      </w:r>
      <w:r w:rsidR="00026F1F" w:rsidRPr="00182FDA">
        <w:t xml:space="preserve"> average levels of education between the cohort who were promoted to </w:t>
      </w:r>
      <w:r w:rsidR="0053331C" w:rsidRPr="00182FDA">
        <w:t xml:space="preserve">the </w:t>
      </w:r>
      <w:r w:rsidR="00026F1F" w:rsidRPr="00182FDA">
        <w:t>national leadership and the cohort who weren’t</w:t>
      </w:r>
      <w:r w:rsidR="00EA15CC" w:rsidRPr="00182FDA">
        <w:t>;</w:t>
      </w:r>
      <w:r w:rsidR="00026F1F" w:rsidRPr="00182FDA">
        <w:t xml:space="preserve"> we found </w:t>
      </w:r>
      <w:r w:rsidR="002849E2" w:rsidRPr="00182FDA">
        <w:t xml:space="preserve">that </w:t>
      </w:r>
      <w:r w:rsidR="00026F1F" w:rsidRPr="00182FDA">
        <w:t xml:space="preserve">there </w:t>
      </w:r>
      <w:r w:rsidR="00B00B23" w:rsidRPr="00182FDA">
        <w:t>were</w:t>
      </w:r>
      <w:r w:rsidR="00026F1F" w:rsidRPr="00182FDA">
        <w:t xml:space="preserve"> no significant differences in levels of education. </w:t>
      </w:r>
    </w:p>
    <w:p w14:paraId="48A26351" w14:textId="77777777" w:rsidR="00063350" w:rsidRPr="00182FDA" w:rsidRDefault="00063350" w:rsidP="00AB1890">
      <w:pPr>
        <w:spacing w:line="360" w:lineRule="auto"/>
        <w:rPr>
          <w:kern w:val="0"/>
        </w:rPr>
      </w:pPr>
    </w:p>
    <w:p w14:paraId="18C8E31C" w14:textId="77777777" w:rsidR="00063350" w:rsidRPr="00182FDA" w:rsidRDefault="00063350" w:rsidP="00AB1890">
      <w:pPr>
        <w:spacing w:line="360" w:lineRule="auto"/>
        <w:rPr>
          <w:b/>
          <w:kern w:val="0"/>
        </w:rPr>
      </w:pPr>
      <w:r w:rsidRPr="00182FDA">
        <w:rPr>
          <w:b/>
          <w:kern w:val="0"/>
        </w:rPr>
        <w:t>Insert table 7 here.</w:t>
      </w:r>
    </w:p>
    <w:p w14:paraId="6DBD63FD" w14:textId="70F83A5A" w:rsidR="00F00832" w:rsidRPr="00182FDA" w:rsidRDefault="00F00832" w:rsidP="00AB1890">
      <w:pPr>
        <w:spacing w:line="360" w:lineRule="auto"/>
        <w:rPr>
          <w:lang w:val="en-GB"/>
        </w:rPr>
      </w:pPr>
    </w:p>
    <w:p w14:paraId="15B1D14E" w14:textId="77777777" w:rsidR="00063350" w:rsidRPr="00182FDA" w:rsidRDefault="00063350" w:rsidP="00AB1890">
      <w:pPr>
        <w:pStyle w:val="Heading3"/>
        <w:spacing w:line="360" w:lineRule="auto"/>
        <w:rPr>
          <w:lang w:val="en-GB"/>
        </w:rPr>
      </w:pPr>
      <w:r w:rsidRPr="00182FDA">
        <w:rPr>
          <w:lang w:val="en-GB"/>
        </w:rPr>
        <w:t>Promotion: Political-governmental power relationships</w:t>
      </w:r>
    </w:p>
    <w:p w14:paraId="61B7627E" w14:textId="7D87C1BF" w:rsidR="00063350" w:rsidRPr="00182FDA" w:rsidRDefault="00063350">
      <w:pPr>
        <w:autoSpaceDE w:val="0"/>
        <w:autoSpaceDN w:val="0"/>
        <w:adjustRightInd w:val="0"/>
        <w:spacing w:line="360" w:lineRule="auto"/>
        <w:jc w:val="left"/>
      </w:pPr>
      <w:r w:rsidRPr="00182FDA">
        <w:t xml:space="preserve">Here, we also interpret moving from </w:t>
      </w:r>
      <w:r w:rsidR="00E548F8" w:rsidRPr="00182FDA">
        <w:t>G</w:t>
      </w:r>
      <w:r w:rsidRPr="00182FDA">
        <w:t xml:space="preserve">overnor to CPC </w:t>
      </w:r>
      <w:r w:rsidR="00E548F8" w:rsidRPr="00182FDA">
        <w:t>P</w:t>
      </w:r>
      <w:r w:rsidR="00480694" w:rsidRPr="00182FDA">
        <w:t>rovincial</w:t>
      </w:r>
      <w:r w:rsidRPr="00182FDA">
        <w:t xml:space="preserve"> </w:t>
      </w:r>
      <w:r w:rsidR="00E548F8" w:rsidRPr="00182FDA">
        <w:t>Committee S</w:t>
      </w:r>
      <w:r w:rsidRPr="00182FDA">
        <w:t xml:space="preserve">ecretary and from </w:t>
      </w:r>
      <w:r w:rsidR="000A4FB1" w:rsidRPr="00182FDA">
        <w:t xml:space="preserve">the </w:t>
      </w:r>
      <w:r w:rsidRPr="00182FDA">
        <w:t>provincial leadership to ministerial positions as p</w:t>
      </w:r>
      <w:r w:rsidR="007B42F8" w:rsidRPr="00182FDA">
        <w:t>romotion. We, therefore, specif</w:t>
      </w:r>
      <w:r w:rsidR="007B42F8" w:rsidRPr="00193FBA">
        <w:t>ied</w:t>
      </w:r>
      <w:r w:rsidRPr="00193FBA">
        <w:t xml:space="preserve"> </w:t>
      </w:r>
      <w:r w:rsidRPr="00182FDA">
        <w:t>promotion criteria more reflective of contemporary power-relationships. Apart from removing cases with no valid end of tenure GDP, and those with central connections at tier two and above, we eliminate</w:t>
      </w:r>
      <w:r w:rsidR="007B42F8" w:rsidRPr="00193FBA">
        <w:t>d</w:t>
      </w:r>
      <w:r w:rsidRPr="00193FBA">
        <w:t xml:space="preserve"> </w:t>
      </w:r>
      <w:r w:rsidRPr="00182FDA">
        <w:t>cases with central connection at tier three (see above), leaving 396 cases in total.</w:t>
      </w:r>
      <w:r w:rsidR="00C17B7A" w:rsidRPr="00182FDA">
        <w:t xml:space="preserve"> Otherwise, w</w:t>
      </w:r>
      <w:r w:rsidRPr="00182FDA">
        <w:t>e retain</w:t>
      </w:r>
      <w:r w:rsidR="007B42F8" w:rsidRPr="00193FBA">
        <w:t>ed</w:t>
      </w:r>
      <w:r w:rsidRPr="00182FDA">
        <w:t xml:space="preserve"> the same explanatory variables and our estimation</w:t>
      </w:r>
      <w:r w:rsidR="007130AB" w:rsidRPr="00182FDA">
        <w:t xml:space="preserve"> results are reported in table eight</w:t>
      </w:r>
      <w:r w:rsidRPr="00182FDA">
        <w:t xml:space="preserve">. </w:t>
      </w:r>
    </w:p>
    <w:p w14:paraId="534A6EB6" w14:textId="77777777" w:rsidR="00063350" w:rsidRPr="00182FDA" w:rsidRDefault="00063350" w:rsidP="00AB1890">
      <w:pPr>
        <w:autoSpaceDE w:val="0"/>
        <w:autoSpaceDN w:val="0"/>
        <w:adjustRightInd w:val="0"/>
        <w:spacing w:line="360" w:lineRule="auto"/>
        <w:jc w:val="left"/>
      </w:pPr>
    </w:p>
    <w:p w14:paraId="69862E61" w14:textId="77777777" w:rsidR="00063350" w:rsidRPr="00182FDA" w:rsidRDefault="00063350" w:rsidP="00AB1890">
      <w:pPr>
        <w:autoSpaceDE w:val="0"/>
        <w:autoSpaceDN w:val="0"/>
        <w:adjustRightInd w:val="0"/>
        <w:spacing w:line="360" w:lineRule="auto"/>
        <w:jc w:val="left"/>
        <w:rPr>
          <w:b/>
        </w:rPr>
      </w:pPr>
      <w:r w:rsidRPr="00182FDA">
        <w:rPr>
          <w:b/>
        </w:rPr>
        <w:t>Insert table 8 here</w:t>
      </w:r>
    </w:p>
    <w:p w14:paraId="5BAE3F84" w14:textId="77777777" w:rsidR="00063350" w:rsidRPr="00182FDA" w:rsidRDefault="00063350" w:rsidP="00AB1890">
      <w:pPr>
        <w:autoSpaceDE w:val="0"/>
        <w:autoSpaceDN w:val="0"/>
        <w:adjustRightInd w:val="0"/>
        <w:spacing w:line="360" w:lineRule="auto"/>
        <w:jc w:val="left"/>
        <w:rPr>
          <w:b/>
        </w:rPr>
      </w:pPr>
    </w:p>
    <w:p w14:paraId="380F44E1" w14:textId="77777777" w:rsidR="00C32A55" w:rsidRPr="00182FDA" w:rsidRDefault="00063350" w:rsidP="00AB1890">
      <w:pPr>
        <w:autoSpaceDE w:val="0"/>
        <w:autoSpaceDN w:val="0"/>
        <w:adjustRightInd w:val="0"/>
        <w:spacing w:line="360" w:lineRule="auto"/>
        <w:jc w:val="left"/>
        <w:rPr>
          <w:kern w:val="0"/>
        </w:rPr>
      </w:pPr>
      <w:r w:rsidRPr="00182FDA">
        <w:t xml:space="preserve">For the same reason as in the previous case, concerning the official administrative ranking, we base our interpretation primarily on the fifth model. Comparison with findings from the previous case (see tables 6 and 8), implies some shifts in promotion explanations. Specifically, coefficients for the provincial </w:t>
      </w:r>
      <w:r w:rsidR="00246F2C" w:rsidRPr="00182FDA">
        <w:t xml:space="preserve">economic </w:t>
      </w:r>
      <w:r w:rsidRPr="00182FDA">
        <w:t xml:space="preserve">growth </w:t>
      </w:r>
      <w:r w:rsidR="00246F2C" w:rsidRPr="00182FDA">
        <w:t xml:space="preserve">rate </w:t>
      </w:r>
      <w:r w:rsidRPr="00182FDA">
        <w:t>as well as for its initial income level (measured through lagged per capita GDP) are positive and statistically significant</w:t>
      </w:r>
      <w:r w:rsidR="00792F8E" w:rsidRPr="00182FDA">
        <w:t xml:space="preserve"> (Model 5)</w:t>
      </w:r>
      <w:r w:rsidRPr="00182FDA">
        <w:t xml:space="preserve">. Our findings imply, therefore, that strong performance through good economic growth records facilitates promotion. </w:t>
      </w:r>
      <w:r w:rsidR="007130AB" w:rsidRPr="00182FDA">
        <w:rPr>
          <w:kern w:val="0"/>
        </w:rPr>
        <w:t>Similarly, these</w:t>
      </w:r>
      <w:r w:rsidRPr="00182FDA">
        <w:rPr>
          <w:kern w:val="0"/>
        </w:rPr>
        <w:t xml:space="preserve"> findings suggest that</w:t>
      </w:r>
      <w:r w:rsidR="007130AB" w:rsidRPr="00182FDA">
        <w:rPr>
          <w:kern w:val="0"/>
        </w:rPr>
        <w:t>,</w:t>
      </w:r>
      <w:r w:rsidRPr="00182FDA">
        <w:rPr>
          <w:kern w:val="0"/>
        </w:rPr>
        <w:t xml:space="preserve"> assuming similar growth records, possession of leadership roles in the more affluent provinces facilitates promotion</w:t>
      </w:r>
      <w:r w:rsidR="00792F8E" w:rsidRPr="00182FDA">
        <w:rPr>
          <w:kern w:val="0"/>
        </w:rPr>
        <w:t xml:space="preserve"> (Model 5)</w:t>
      </w:r>
      <w:r w:rsidRPr="00182FDA">
        <w:rPr>
          <w:kern w:val="0"/>
        </w:rPr>
        <w:t>.</w:t>
      </w:r>
      <w:r w:rsidR="00602DC6" w:rsidRPr="00182FDA">
        <w:rPr>
          <w:kern w:val="0"/>
        </w:rPr>
        <w:t xml:space="preserve"> </w:t>
      </w:r>
    </w:p>
    <w:p w14:paraId="65ECFCAA" w14:textId="77777777" w:rsidR="00C32A55" w:rsidRPr="00182FDA" w:rsidRDefault="00C32A55" w:rsidP="00AB1890">
      <w:pPr>
        <w:autoSpaceDE w:val="0"/>
        <w:autoSpaceDN w:val="0"/>
        <w:adjustRightInd w:val="0"/>
        <w:spacing w:line="360" w:lineRule="auto"/>
        <w:jc w:val="left"/>
        <w:rPr>
          <w:kern w:val="0"/>
        </w:rPr>
      </w:pPr>
    </w:p>
    <w:p w14:paraId="46C78398" w14:textId="3CD22BF4" w:rsidR="00063350" w:rsidRPr="00182FDA" w:rsidRDefault="00063350" w:rsidP="00AB1890">
      <w:pPr>
        <w:autoSpaceDE w:val="0"/>
        <w:autoSpaceDN w:val="0"/>
        <w:adjustRightInd w:val="0"/>
        <w:spacing w:line="360" w:lineRule="auto"/>
        <w:jc w:val="left"/>
      </w:pPr>
      <w:r w:rsidRPr="00182FDA">
        <w:t>These results for provincial and lagged per capita GDP growth imply, therefore, a possible interpretation that aligns our findings with the economic convergence literature (</w:t>
      </w:r>
      <w:r w:rsidRPr="00182FDA">
        <w:rPr>
          <w:i/>
        </w:rPr>
        <w:t>e.g.</w:t>
      </w:r>
      <w:r w:rsidRPr="00182FDA">
        <w:t xml:space="preserve"> Quah, 1996). </w:t>
      </w:r>
      <w:r w:rsidR="00860962" w:rsidRPr="00182FDA">
        <w:t>As indicated above, t</w:t>
      </w:r>
      <w:r w:rsidRPr="00182FDA">
        <w:t xml:space="preserve">his </w:t>
      </w:r>
      <w:r w:rsidR="00747463" w:rsidRPr="00182FDA">
        <w:t>scholarship</w:t>
      </w:r>
      <w:r w:rsidRPr="00182FDA">
        <w:t xml:space="preserve"> acknowledges that achieving economic growth is more difficult in a relatively affluent province and so equaling growth rates from the poorer </w:t>
      </w:r>
      <w:r w:rsidR="00ED525A" w:rsidRPr="00182FDA">
        <w:t xml:space="preserve">areas means that leaders in </w:t>
      </w:r>
      <w:r w:rsidR="00ED525A" w:rsidRPr="00193FBA">
        <w:t>those more prosperous</w:t>
      </w:r>
      <w:r w:rsidRPr="00182FDA">
        <w:t xml:space="preserve"> provinces can be said to have outperfor</w:t>
      </w:r>
      <w:r w:rsidR="007130AB" w:rsidRPr="00182FDA">
        <w:t>med their colleagues</w:t>
      </w:r>
      <w:r w:rsidRPr="00182FDA">
        <w:t xml:space="preserve">. In contrast with the first case, </w:t>
      </w:r>
      <w:r w:rsidR="005A3B53" w:rsidRPr="00182FDA">
        <w:rPr>
          <w:kern w:val="0"/>
        </w:rPr>
        <w:t>interaction between the age and post-1982 indicator</w:t>
      </w:r>
      <w:r w:rsidR="006201B3" w:rsidRPr="00182FDA">
        <w:rPr>
          <w:kern w:val="0"/>
        </w:rPr>
        <w:t>s</w:t>
      </w:r>
      <w:r w:rsidR="005A3B53" w:rsidRPr="00182FDA">
        <w:rPr>
          <w:kern w:val="0"/>
        </w:rPr>
        <w:t>,</w:t>
      </w:r>
      <w:r w:rsidR="005A3B53" w:rsidRPr="00182FDA">
        <w:t xml:space="preserve"> </w:t>
      </w:r>
      <w:r w:rsidRPr="00182FDA">
        <w:t>central connection,</w:t>
      </w:r>
      <w:r w:rsidR="008F4249" w:rsidRPr="00182FDA">
        <w:t xml:space="preserve"> whether the leader served for more than one tenure in a </w:t>
      </w:r>
      <w:r w:rsidR="00F85B5F" w:rsidRPr="00182FDA">
        <w:t xml:space="preserve">specific </w:t>
      </w:r>
      <w:r w:rsidR="008F4249" w:rsidRPr="00182FDA">
        <w:t>provinc</w:t>
      </w:r>
      <w:r w:rsidR="00F85B5F" w:rsidRPr="00182FDA">
        <w:t>ial job</w:t>
      </w:r>
      <w:r w:rsidRPr="00182FDA">
        <w:t xml:space="preserve"> and the number of provinces served in are insignificant</w:t>
      </w:r>
      <w:r w:rsidR="00792F8E" w:rsidRPr="00182FDA">
        <w:t xml:space="preserve"> (Model 4)</w:t>
      </w:r>
      <w:r w:rsidRPr="00182FDA">
        <w:t xml:space="preserve">. In particular, findings about central connection are reflective of the fact that we have removed central connection at tier three and above, leaving only those with central connection at tier four. </w:t>
      </w:r>
      <w:r w:rsidR="005A3B53" w:rsidRPr="00182FDA">
        <w:rPr>
          <w:kern w:val="0"/>
        </w:rPr>
        <w:t xml:space="preserve">As for the insignificance concerning </w:t>
      </w:r>
      <w:r w:rsidR="00775946" w:rsidRPr="00182FDA">
        <w:rPr>
          <w:kern w:val="0"/>
        </w:rPr>
        <w:t xml:space="preserve">the </w:t>
      </w:r>
      <w:r w:rsidR="005A3B53" w:rsidRPr="00182FDA">
        <w:t>Post 82 indicator</w:t>
      </w:r>
      <m:oMath>
        <m:r>
          <m:rPr>
            <m:sty m:val="p"/>
          </m:rPr>
          <w:rPr>
            <w:rFonts w:ascii="Cambria Math" w:hAnsi="Cambria Math" w:hint="eastAsia"/>
          </w:rPr>
          <m:t>×</m:t>
        </m:r>
      </m:oMath>
      <w:r w:rsidR="005A3B53" w:rsidRPr="00182FDA">
        <w:t>Age65 indicator</w:t>
      </w:r>
      <w:r w:rsidR="005A3B53" w:rsidRPr="00182FDA">
        <w:rPr>
          <w:kern w:val="0"/>
        </w:rPr>
        <w:t xml:space="preserve">, it can be seen (see table 9) that the age composition of </w:t>
      </w:r>
      <w:r w:rsidR="00100544" w:rsidRPr="00182FDA">
        <w:rPr>
          <w:kern w:val="0"/>
        </w:rPr>
        <w:t xml:space="preserve">the </w:t>
      </w:r>
      <w:r w:rsidR="005A3B53" w:rsidRPr="00182FDA">
        <w:rPr>
          <w:kern w:val="0"/>
        </w:rPr>
        <w:t xml:space="preserve">post-1982 cases </w:t>
      </w:r>
      <w:r w:rsidR="006201B3" w:rsidRPr="00182FDA">
        <w:rPr>
          <w:kern w:val="0"/>
        </w:rPr>
        <w:t xml:space="preserve">is not </w:t>
      </w:r>
      <w:r w:rsidR="005A3B53" w:rsidRPr="00182FDA">
        <w:rPr>
          <w:kern w:val="0"/>
        </w:rPr>
        <w:t xml:space="preserve">very different from the overall sample.  </w:t>
      </w:r>
    </w:p>
    <w:p w14:paraId="6F10337C" w14:textId="77777777" w:rsidR="00063350" w:rsidRPr="00182FDA" w:rsidRDefault="00063350" w:rsidP="00AB1890">
      <w:pPr>
        <w:autoSpaceDE w:val="0"/>
        <w:autoSpaceDN w:val="0"/>
        <w:adjustRightInd w:val="0"/>
        <w:spacing w:line="360" w:lineRule="auto"/>
        <w:jc w:val="left"/>
      </w:pPr>
    </w:p>
    <w:p w14:paraId="5B941102" w14:textId="77777777" w:rsidR="00063350" w:rsidRPr="00182FDA" w:rsidRDefault="00063350" w:rsidP="00AB1890">
      <w:pPr>
        <w:autoSpaceDE w:val="0"/>
        <w:autoSpaceDN w:val="0"/>
        <w:adjustRightInd w:val="0"/>
        <w:spacing w:line="360" w:lineRule="auto"/>
        <w:jc w:val="left"/>
        <w:rPr>
          <w:b/>
        </w:rPr>
      </w:pPr>
      <w:r w:rsidRPr="00182FDA">
        <w:rPr>
          <w:b/>
        </w:rPr>
        <w:t xml:space="preserve">Insert table 9 here. </w:t>
      </w:r>
    </w:p>
    <w:p w14:paraId="5A5D6865" w14:textId="77777777" w:rsidR="00063350" w:rsidRPr="00182FDA" w:rsidRDefault="00063350" w:rsidP="00AB1890">
      <w:pPr>
        <w:spacing w:line="360" w:lineRule="auto"/>
        <w:rPr>
          <w:lang w:val="en-GB"/>
        </w:rPr>
      </w:pPr>
    </w:p>
    <w:p w14:paraId="4C7ACF65" w14:textId="71FC95E5" w:rsidR="00063350" w:rsidRPr="00182FDA" w:rsidRDefault="00063350" w:rsidP="00AB1890">
      <w:pPr>
        <w:pStyle w:val="Heading2"/>
        <w:spacing w:line="360" w:lineRule="auto"/>
        <w:rPr>
          <w:lang w:val="en-GB"/>
        </w:rPr>
      </w:pPr>
      <w:r w:rsidRPr="00182FDA">
        <w:rPr>
          <w:lang w:val="en-GB"/>
        </w:rPr>
        <w:t>Conclusion</w:t>
      </w:r>
      <w:r w:rsidR="00BC075F" w:rsidRPr="00182FDA">
        <w:rPr>
          <w:lang w:val="en-GB"/>
        </w:rPr>
        <w:t>s</w:t>
      </w:r>
    </w:p>
    <w:p w14:paraId="1E733454" w14:textId="4E4A536C" w:rsidR="00063350" w:rsidRPr="00182FDA" w:rsidRDefault="00063350" w:rsidP="00AB1890">
      <w:pPr>
        <w:spacing w:line="360" w:lineRule="auto"/>
      </w:pPr>
      <w:r w:rsidRPr="00182FDA">
        <w:t>We have evaluated whether promotion of provincial Chinese leaders can be explained through their economic growth records or several alternative factors</w:t>
      </w:r>
      <w:r w:rsidR="00D57D70" w:rsidRPr="00182FDA">
        <w:t>. This emphasis</w:t>
      </w:r>
      <w:r w:rsidR="0049368F" w:rsidRPr="00182FDA">
        <w:t xml:space="preserve"> means that our study </w:t>
      </w:r>
      <w:r w:rsidR="00D57D70" w:rsidRPr="00182FDA">
        <w:t xml:space="preserve">contributes </w:t>
      </w:r>
      <w:r w:rsidR="0049368F" w:rsidRPr="00182FDA">
        <w:t xml:space="preserve">to wider </w:t>
      </w:r>
      <w:r w:rsidR="00D57D70" w:rsidRPr="00182FDA">
        <w:t>debates about relationships between promotion and performance (see</w:t>
      </w:r>
      <w:r w:rsidR="007130AB" w:rsidRPr="00182FDA">
        <w:t xml:space="preserve"> </w:t>
      </w:r>
      <w:r w:rsidR="00D57D70" w:rsidRPr="00182FDA">
        <w:t>Alonso and Lewis, 2001; DeVaro, 2006)</w:t>
      </w:r>
      <w:r w:rsidR="00584424" w:rsidRPr="00182FDA">
        <w:t xml:space="preserve"> and </w:t>
      </w:r>
      <w:r w:rsidR="0049368F" w:rsidRPr="00182FDA">
        <w:t xml:space="preserve">deliberations about the extent to which Chinese governance is reflective </w:t>
      </w:r>
      <w:r w:rsidR="00584424" w:rsidRPr="00182FDA">
        <w:t>of the emergence of the</w:t>
      </w:r>
      <w:r w:rsidR="0049368F" w:rsidRPr="00182FDA">
        <w:t xml:space="preserve"> pronounced performance agenda (McLaughlin </w:t>
      </w:r>
      <w:r w:rsidR="0049368F" w:rsidRPr="00182FDA">
        <w:rPr>
          <w:i/>
        </w:rPr>
        <w:t>et al</w:t>
      </w:r>
      <w:r w:rsidR="0049368F" w:rsidRPr="00182FDA">
        <w:t>., 2003) observed across the public sector in a wide range of countries. Here, w</w:t>
      </w:r>
      <w:r w:rsidRPr="00182FDA">
        <w:t>e utilized two sets of promotion criteria, official administrative rankings and an alternative definition more closely equated to actual politico-governmental power relationships.</w:t>
      </w:r>
    </w:p>
    <w:p w14:paraId="44AB3DCD" w14:textId="77777777" w:rsidR="00063350" w:rsidRPr="00182FDA" w:rsidRDefault="00063350" w:rsidP="00AB1890">
      <w:pPr>
        <w:spacing w:line="360" w:lineRule="auto"/>
      </w:pPr>
    </w:p>
    <w:p w14:paraId="786EBFA8" w14:textId="559D6463" w:rsidR="00063350" w:rsidRPr="00182FDA" w:rsidRDefault="00063350" w:rsidP="00AB1890">
      <w:pPr>
        <w:spacing w:line="360" w:lineRule="auto"/>
      </w:pPr>
      <w:r w:rsidRPr="00182FDA">
        <w:t>Concerning our first definition, promotion was facilitated through factors such as serving as a provincial leader beyond one five-year tenure in a specific leadership role and or in leadership roles in multiple provinces; and age. Alternatively, promotion wasn’t facilitated through good economic growth records; although political leverage, as measured by the lagged</w:t>
      </w:r>
      <w:r w:rsidR="000C4891" w:rsidRPr="00182FDA">
        <w:t xml:space="preserve"> per capita GDP of the province and</w:t>
      </w:r>
      <w:r w:rsidRPr="00182FDA">
        <w:t xml:space="preserve"> central connection </w:t>
      </w:r>
      <w:r w:rsidR="000C4891" w:rsidRPr="00182FDA">
        <w:t>appeared to have an impact</w:t>
      </w:r>
      <w:r w:rsidRPr="00182FDA">
        <w:t xml:space="preserve">. </w:t>
      </w:r>
    </w:p>
    <w:p w14:paraId="4BBB763C" w14:textId="77777777" w:rsidR="00063350" w:rsidRPr="00182FDA" w:rsidRDefault="00063350" w:rsidP="00AB1890">
      <w:pPr>
        <w:spacing w:line="360" w:lineRule="auto"/>
      </w:pPr>
    </w:p>
    <w:p w14:paraId="71B3AC58" w14:textId="295667A6" w:rsidR="00063350" w:rsidRPr="00182FDA" w:rsidRDefault="00063350" w:rsidP="00AB1890">
      <w:pPr>
        <w:spacing w:line="360" w:lineRule="auto"/>
        <w:rPr>
          <w:kern w:val="0"/>
        </w:rPr>
      </w:pPr>
      <w:r w:rsidRPr="00182FDA">
        <w:rPr>
          <w:kern w:val="0"/>
        </w:rPr>
        <w:t>We identified, however, a positive and significant relationship between economic growth and promotion through the alternative promotion definition (see table 8). This is interesting given the strategic authority exercised both directly from national government and indirectly through Communist Party structures</w:t>
      </w:r>
      <w:r w:rsidR="004A0324" w:rsidRPr="00182FDA">
        <w:rPr>
          <w:kern w:val="0"/>
        </w:rPr>
        <w:t>,</w:t>
      </w:r>
      <w:r w:rsidRPr="00182FDA">
        <w:rPr>
          <w:kern w:val="0"/>
        </w:rPr>
        <w:t xml:space="preserve"> and supplies evidence to reinforce market and performance-driven interpretations of Chinese governanc</w:t>
      </w:r>
      <w:r w:rsidR="004A0324" w:rsidRPr="00182FDA">
        <w:rPr>
          <w:kern w:val="0"/>
        </w:rPr>
        <w:t>e. There is, therefore, support</w:t>
      </w:r>
      <w:r w:rsidRPr="00182FDA">
        <w:rPr>
          <w:kern w:val="0"/>
        </w:rPr>
        <w:t xml:space="preserve"> for the interpretation that central government exercised its substantive control to reward bureaucrats with good economic records.  Particularly, these findings are important in terms of understanding organizational cultures amongst the Chinese bureaucracy. It suggests that whilst promotion from </w:t>
      </w:r>
      <w:r w:rsidR="00B26F8C" w:rsidRPr="00182FDA">
        <w:rPr>
          <w:kern w:val="0"/>
        </w:rPr>
        <w:t>G</w:t>
      </w:r>
      <w:r w:rsidRPr="00182FDA">
        <w:rPr>
          <w:kern w:val="0"/>
        </w:rPr>
        <w:t xml:space="preserve">overnors to CPC </w:t>
      </w:r>
      <w:r w:rsidR="00A30949" w:rsidRPr="00182FDA">
        <w:rPr>
          <w:kern w:val="0"/>
        </w:rPr>
        <w:t>P</w:t>
      </w:r>
      <w:r w:rsidRPr="00182FDA">
        <w:rPr>
          <w:kern w:val="0"/>
        </w:rPr>
        <w:t xml:space="preserve">rovincial </w:t>
      </w:r>
      <w:r w:rsidR="00D57D70" w:rsidRPr="00182FDA">
        <w:rPr>
          <w:kern w:val="0"/>
        </w:rPr>
        <w:t xml:space="preserve">Committee </w:t>
      </w:r>
      <w:r w:rsidR="00B26F8C" w:rsidRPr="00182FDA">
        <w:rPr>
          <w:kern w:val="0"/>
        </w:rPr>
        <w:t>S</w:t>
      </w:r>
      <w:r w:rsidRPr="00182FDA">
        <w:rPr>
          <w:kern w:val="0"/>
        </w:rPr>
        <w:t>ecretaries</w:t>
      </w:r>
      <w:r w:rsidR="006C5A57" w:rsidRPr="00182FDA">
        <w:rPr>
          <w:kern w:val="0"/>
        </w:rPr>
        <w:t>, and from the provincial leadership to</w:t>
      </w:r>
      <w:r w:rsidRPr="00182FDA">
        <w:rPr>
          <w:kern w:val="0"/>
        </w:rPr>
        <w:t xml:space="preserve"> ministerial positions</w:t>
      </w:r>
      <w:r w:rsidR="006C5A57" w:rsidRPr="00182FDA">
        <w:rPr>
          <w:kern w:val="0"/>
        </w:rPr>
        <w:t>,</w:t>
      </w:r>
      <w:r w:rsidRPr="00182FDA">
        <w:rPr>
          <w:kern w:val="0"/>
        </w:rPr>
        <w:t xml:space="preserve"> might be interpreted through market cultures reflective of adherence to values appreciative of a competitive ethos; promotion to higher levels appears to reflect a hierarchical and internally-orientated organizational culture</w:t>
      </w:r>
      <w:r w:rsidR="004A0324" w:rsidRPr="00182FDA">
        <w:rPr>
          <w:kern w:val="0"/>
        </w:rPr>
        <w:t>. F</w:t>
      </w:r>
      <w:r w:rsidRPr="00182FDA">
        <w:rPr>
          <w:kern w:val="0"/>
        </w:rPr>
        <w:t>actors such as central connection, age</w:t>
      </w:r>
      <w:r w:rsidR="000E385C" w:rsidRPr="00182FDA">
        <w:rPr>
          <w:kern w:val="0"/>
        </w:rPr>
        <w:t xml:space="preserve">, </w:t>
      </w:r>
      <w:r w:rsidR="008F4249" w:rsidRPr="00182FDA">
        <w:rPr>
          <w:kern w:val="0"/>
        </w:rPr>
        <w:t xml:space="preserve">whether the leader has served more than one tenure in a </w:t>
      </w:r>
      <w:r w:rsidR="00F85B5F" w:rsidRPr="00182FDA">
        <w:rPr>
          <w:kern w:val="0"/>
        </w:rPr>
        <w:t xml:space="preserve">specific </w:t>
      </w:r>
      <w:r w:rsidR="008F4249" w:rsidRPr="00182FDA">
        <w:rPr>
          <w:kern w:val="0"/>
        </w:rPr>
        <w:t>provinc</w:t>
      </w:r>
      <w:r w:rsidR="00F85B5F" w:rsidRPr="00182FDA">
        <w:rPr>
          <w:kern w:val="0"/>
        </w:rPr>
        <w:t>ial job</w:t>
      </w:r>
      <w:r w:rsidR="000E385C" w:rsidRPr="00182FDA">
        <w:rPr>
          <w:kern w:val="0"/>
        </w:rPr>
        <w:t xml:space="preserve"> and </w:t>
      </w:r>
      <w:r w:rsidR="00C32A55" w:rsidRPr="00193FBA">
        <w:rPr>
          <w:kern w:val="0"/>
        </w:rPr>
        <w:t xml:space="preserve">the </w:t>
      </w:r>
      <w:r w:rsidR="000E385C" w:rsidRPr="00182FDA">
        <w:rPr>
          <w:kern w:val="0"/>
        </w:rPr>
        <w:t>number of provincial leadership tenures</w:t>
      </w:r>
      <w:r w:rsidR="004A0324" w:rsidRPr="00182FDA">
        <w:rPr>
          <w:kern w:val="0"/>
        </w:rPr>
        <w:t xml:space="preserve"> being</w:t>
      </w:r>
      <w:r w:rsidRPr="00182FDA">
        <w:rPr>
          <w:kern w:val="0"/>
        </w:rPr>
        <w:t xml:space="preserve"> importan</w:t>
      </w:r>
      <w:r w:rsidR="00EC29DA" w:rsidRPr="00182FDA">
        <w:rPr>
          <w:kern w:val="0"/>
        </w:rPr>
        <w:t>t</w:t>
      </w:r>
      <w:r w:rsidRPr="00182FDA">
        <w:rPr>
          <w:kern w:val="0"/>
        </w:rPr>
        <w:t>. Promotion can, therefore, be equated more with characteristics reflexive of status</w:t>
      </w:r>
      <w:r w:rsidR="004A0324" w:rsidRPr="00182FDA">
        <w:rPr>
          <w:kern w:val="0"/>
        </w:rPr>
        <w:t>,</w:t>
      </w:r>
      <w:r w:rsidRPr="00182FDA">
        <w:rPr>
          <w:kern w:val="0"/>
        </w:rPr>
        <w:t xml:space="preserve"> and or seniority</w:t>
      </w:r>
      <w:r w:rsidR="004A0324" w:rsidRPr="00182FDA">
        <w:rPr>
          <w:kern w:val="0"/>
        </w:rPr>
        <w:t>,</w:t>
      </w:r>
      <w:r w:rsidRPr="00182FDA">
        <w:rPr>
          <w:kern w:val="0"/>
        </w:rPr>
        <w:t xml:space="preserve"> rather than achievement. </w:t>
      </w:r>
    </w:p>
    <w:p w14:paraId="14E78FED" w14:textId="77777777" w:rsidR="00063350" w:rsidRPr="00182FDA" w:rsidRDefault="00063350" w:rsidP="00AB1890">
      <w:pPr>
        <w:spacing w:line="360" w:lineRule="auto"/>
        <w:rPr>
          <w:kern w:val="0"/>
        </w:rPr>
      </w:pPr>
    </w:p>
    <w:p w14:paraId="6611BC99" w14:textId="50ECE4C4" w:rsidR="0065729C" w:rsidRPr="00182FDA" w:rsidRDefault="00063350" w:rsidP="00AB1890">
      <w:pPr>
        <w:spacing w:line="360" w:lineRule="auto"/>
        <w:rPr>
          <w:kern w:val="0"/>
        </w:rPr>
      </w:pPr>
      <w:bookmarkStart w:id="4" w:name="_Hlk491045879"/>
      <w:r w:rsidRPr="00182FDA">
        <w:rPr>
          <w:kern w:val="0"/>
        </w:rPr>
        <w:t xml:space="preserve">Our analysis might, therefore, be interpreted to signify emergence of dual organizational cultures as expressed through bureaucratic promotions. With advancement to the less important levels reflective of market cultures, but promotion to more senior roles </w:t>
      </w:r>
      <w:r w:rsidR="00B26F8C" w:rsidRPr="00182FDA">
        <w:rPr>
          <w:kern w:val="0"/>
        </w:rPr>
        <w:t>indicative</w:t>
      </w:r>
      <w:r w:rsidRPr="00182FDA">
        <w:rPr>
          <w:kern w:val="0"/>
        </w:rPr>
        <w:t xml:space="preserve"> of hierarchical and traditional values.</w:t>
      </w:r>
      <w:bookmarkEnd w:id="4"/>
      <w:r w:rsidRPr="00182FDA">
        <w:rPr>
          <w:kern w:val="0"/>
        </w:rPr>
        <w:t xml:space="preserve"> We suggest, therefore, that after approximately 40 years of economic reforms, the senior bureaucracy seems reluctant to allow performance at provincial leadership level to affect directly composition of tiers one and two; insulating leadership selection for the upper echelons of the government and the CPC from market cultures, performance considerations and</w:t>
      </w:r>
      <w:r w:rsidR="00B26F8C" w:rsidRPr="00182FDA">
        <w:rPr>
          <w:kern w:val="0"/>
        </w:rPr>
        <w:t>,</w:t>
      </w:r>
      <w:r w:rsidRPr="00182FDA">
        <w:rPr>
          <w:kern w:val="0"/>
        </w:rPr>
        <w:t xml:space="preserve"> </w:t>
      </w:r>
      <w:r w:rsidR="00B26F8C" w:rsidRPr="00182FDA">
        <w:rPr>
          <w:kern w:val="0"/>
        </w:rPr>
        <w:t xml:space="preserve">specifically, the </w:t>
      </w:r>
      <w:r w:rsidRPr="00182FDA">
        <w:rPr>
          <w:kern w:val="0"/>
        </w:rPr>
        <w:t xml:space="preserve">successful implementation of economic reform agendas. </w:t>
      </w:r>
    </w:p>
    <w:p w14:paraId="144B5B7F" w14:textId="77777777" w:rsidR="00A871A3" w:rsidRPr="00182FDA" w:rsidRDefault="00A871A3" w:rsidP="00AB1890">
      <w:pPr>
        <w:spacing w:line="360" w:lineRule="auto"/>
        <w:rPr>
          <w:kern w:val="0"/>
        </w:rPr>
      </w:pPr>
    </w:p>
    <w:p w14:paraId="477C7E3A" w14:textId="7B0C4B71" w:rsidR="00623257" w:rsidRPr="00182FDA" w:rsidRDefault="0065729C" w:rsidP="00040AB3">
      <w:pPr>
        <w:spacing w:line="360" w:lineRule="auto"/>
        <w:rPr>
          <w:kern w:val="0"/>
        </w:rPr>
      </w:pPr>
      <w:r w:rsidRPr="00182FDA">
        <w:rPr>
          <w:kern w:val="0"/>
        </w:rPr>
        <w:t>Our findings about this dual organization cul</w:t>
      </w:r>
      <w:r w:rsidR="00470CA9" w:rsidRPr="00182FDA">
        <w:rPr>
          <w:kern w:val="0"/>
        </w:rPr>
        <w:t>ture concerning promotion raise</w:t>
      </w:r>
      <w:r w:rsidRPr="00182FDA">
        <w:rPr>
          <w:kern w:val="0"/>
        </w:rPr>
        <w:t xml:space="preserve"> </w:t>
      </w:r>
      <w:r w:rsidR="0011673D" w:rsidRPr="00182FDA">
        <w:rPr>
          <w:kern w:val="0"/>
        </w:rPr>
        <w:t xml:space="preserve">questions </w:t>
      </w:r>
      <w:r w:rsidR="00BC0CC5" w:rsidRPr="00182FDA">
        <w:rPr>
          <w:kern w:val="0"/>
        </w:rPr>
        <w:t>about</w:t>
      </w:r>
      <w:r w:rsidRPr="00182FDA">
        <w:rPr>
          <w:kern w:val="0"/>
        </w:rPr>
        <w:t xml:space="preserve"> whether such </w:t>
      </w:r>
      <w:r w:rsidR="00BC0CC5" w:rsidRPr="00182FDA">
        <w:rPr>
          <w:kern w:val="0"/>
        </w:rPr>
        <w:t>cultural distinctions are sustainable</w:t>
      </w:r>
      <w:r w:rsidRPr="00182FDA">
        <w:rPr>
          <w:kern w:val="0"/>
        </w:rPr>
        <w:t xml:space="preserve"> or whether</w:t>
      </w:r>
      <w:r w:rsidR="00BC0CC5" w:rsidRPr="00182FDA">
        <w:rPr>
          <w:kern w:val="0"/>
        </w:rPr>
        <w:t xml:space="preserve"> a convergence will occur at some stage. </w:t>
      </w:r>
      <w:r w:rsidR="006247E5" w:rsidRPr="00182FDA">
        <w:rPr>
          <w:kern w:val="0"/>
        </w:rPr>
        <w:t>Of potential significance are contrasting organizational arrangements for promotion at different levels i</w:t>
      </w:r>
      <w:r w:rsidR="00682D12" w:rsidRPr="00182FDA">
        <w:rPr>
          <w:kern w:val="0"/>
        </w:rPr>
        <w:t>n the hierarchy. For example, t</w:t>
      </w:r>
      <w:r w:rsidR="0011673D" w:rsidRPr="00182FDA">
        <w:rPr>
          <w:kern w:val="0"/>
        </w:rPr>
        <w:t xml:space="preserve">he upper echelons are selected </w:t>
      </w:r>
      <w:r w:rsidR="00B26F8C" w:rsidRPr="00182FDA">
        <w:rPr>
          <w:kern w:val="0"/>
        </w:rPr>
        <w:t xml:space="preserve">through three conferences, </w:t>
      </w:r>
      <w:r w:rsidR="00843A82" w:rsidRPr="00182FDA">
        <w:rPr>
          <w:kern w:val="0"/>
        </w:rPr>
        <w:t xml:space="preserve">particularly the National People’s Congress (NPC), which has the supreme authority. </w:t>
      </w:r>
      <w:r w:rsidR="0006757A" w:rsidRPr="00182FDA">
        <w:rPr>
          <w:kern w:val="0"/>
        </w:rPr>
        <w:t xml:space="preserve">The candidates for most senior positions being proposed by the presidium of </w:t>
      </w:r>
      <w:r w:rsidR="00DC16AB" w:rsidRPr="00193FBA">
        <w:rPr>
          <w:kern w:val="0"/>
        </w:rPr>
        <w:t xml:space="preserve">the </w:t>
      </w:r>
      <w:r w:rsidR="0006757A" w:rsidRPr="00182FDA">
        <w:rPr>
          <w:kern w:val="0"/>
        </w:rPr>
        <w:t xml:space="preserve">NPC, a temporary organization functioning during the duration of </w:t>
      </w:r>
      <w:r w:rsidR="00DC16AB" w:rsidRPr="00193FBA">
        <w:rPr>
          <w:kern w:val="0"/>
        </w:rPr>
        <w:t xml:space="preserve">the </w:t>
      </w:r>
      <w:r w:rsidR="0006757A" w:rsidRPr="00182FDA">
        <w:rPr>
          <w:kern w:val="0"/>
        </w:rPr>
        <w:t>NPC.</w:t>
      </w:r>
      <w:r w:rsidR="00605439" w:rsidRPr="00182FDA">
        <w:rPr>
          <w:kern w:val="0"/>
        </w:rPr>
        <w:t xml:space="preserve"> Alternatively</w:t>
      </w:r>
      <w:r w:rsidR="0006757A" w:rsidRPr="00182FDA">
        <w:rPr>
          <w:kern w:val="0"/>
        </w:rPr>
        <w:t xml:space="preserve">, ministerial positions are nominated by the Premier of the State Council, and approved by the NPC. When the NPC is closed, the NPC Standing Committee has the authority to appoint and dismiss ministers. </w:t>
      </w:r>
      <w:r w:rsidR="0006757A" w:rsidRPr="00182FDA">
        <w:t xml:space="preserve">CPC </w:t>
      </w:r>
      <w:r w:rsidR="00E548F8" w:rsidRPr="00182FDA">
        <w:t>Provincial C</w:t>
      </w:r>
      <w:r w:rsidR="00EC1B77" w:rsidRPr="00182FDA">
        <w:t xml:space="preserve">ommittee </w:t>
      </w:r>
      <w:r w:rsidR="00E548F8" w:rsidRPr="00182FDA">
        <w:t>S</w:t>
      </w:r>
      <w:r w:rsidR="0006757A" w:rsidRPr="00182FDA">
        <w:t>ecretaries</w:t>
      </w:r>
      <w:r w:rsidR="00EC1B77" w:rsidRPr="00182FDA">
        <w:t xml:space="preserve"> are usually selected by </w:t>
      </w:r>
      <w:r w:rsidR="00B26F8C" w:rsidRPr="00182FDA">
        <w:t xml:space="preserve">the </w:t>
      </w:r>
      <w:r w:rsidR="00EC1B77" w:rsidRPr="00182FDA">
        <w:t xml:space="preserve">Organization Department of the CPC Central Committee, or sometimes recommended by </w:t>
      </w:r>
      <w:r w:rsidR="000173CE" w:rsidRPr="00182FDA">
        <w:t xml:space="preserve">the </w:t>
      </w:r>
      <w:r w:rsidR="00EC1B77" w:rsidRPr="00182FDA">
        <w:t xml:space="preserve">Chinese national leadership, screened by </w:t>
      </w:r>
      <w:r w:rsidR="00B26F8C" w:rsidRPr="00182FDA">
        <w:t xml:space="preserve">the </w:t>
      </w:r>
      <w:r w:rsidR="00EC1B77" w:rsidRPr="00182FDA">
        <w:t xml:space="preserve">Central Political Bureau and its standing committee, </w:t>
      </w:r>
      <w:r w:rsidR="000173CE" w:rsidRPr="00182FDA">
        <w:t xml:space="preserve">and </w:t>
      </w:r>
      <w:r w:rsidR="00EC1B77" w:rsidRPr="00182FDA">
        <w:t>appointed by the central government</w:t>
      </w:r>
      <w:r w:rsidR="00605439" w:rsidRPr="00182FDA">
        <w:t>.</w:t>
      </w:r>
      <w:r w:rsidR="00617F80" w:rsidRPr="00182FDA">
        <w:t xml:space="preserve"> </w:t>
      </w:r>
    </w:p>
    <w:p w14:paraId="6240C32A" w14:textId="77777777" w:rsidR="006247E5" w:rsidRPr="00182FDA" w:rsidRDefault="006247E5" w:rsidP="00040AB3">
      <w:pPr>
        <w:spacing w:line="360" w:lineRule="auto"/>
      </w:pPr>
      <w:bookmarkStart w:id="5" w:name="_GoBack"/>
      <w:bookmarkEnd w:id="5"/>
    </w:p>
    <w:p w14:paraId="7B3400BB" w14:textId="7204154D" w:rsidR="00A871A3" w:rsidRPr="00182FDA" w:rsidRDefault="006247E5" w:rsidP="0092665D">
      <w:pPr>
        <w:spacing w:line="360" w:lineRule="auto"/>
      </w:pPr>
      <w:r w:rsidRPr="00182FDA">
        <w:t>Such institution</w:t>
      </w:r>
      <w:r w:rsidR="005C61C4" w:rsidRPr="00182FDA">
        <w:t>al variations for selections at</w:t>
      </w:r>
      <w:r w:rsidRPr="00182FDA">
        <w:t xml:space="preserve"> contrasting stages in the structure might, however, imply that erosion of this dual culture might have to await institutional reform and establish</w:t>
      </w:r>
      <w:r w:rsidR="00FB179B" w:rsidRPr="00182FDA">
        <w:t>ment of more uniform procedures. Alternatively, eventual pro</w:t>
      </w:r>
      <w:r w:rsidR="00E548F8" w:rsidRPr="00182FDA">
        <w:t>motion of individuals from CPC P</w:t>
      </w:r>
      <w:r w:rsidR="00FB179B" w:rsidRPr="00182FDA">
        <w:t xml:space="preserve">rovincial </w:t>
      </w:r>
      <w:r w:rsidR="00E548F8" w:rsidRPr="00182FDA">
        <w:t>Committee S</w:t>
      </w:r>
      <w:r w:rsidR="00FB179B" w:rsidRPr="00182FDA">
        <w:t>ecretar</w:t>
      </w:r>
      <w:r w:rsidR="000E385C" w:rsidRPr="00182FDA">
        <w:t>ies</w:t>
      </w:r>
      <w:r w:rsidR="00FB179B" w:rsidRPr="00182FDA">
        <w:t xml:space="preserve"> and ministerial positions with strong economic growth records</w:t>
      </w:r>
      <w:r w:rsidR="00470CA9" w:rsidRPr="00182FDA">
        <w:t>,</w:t>
      </w:r>
      <w:r w:rsidR="00FB179B" w:rsidRPr="00182FDA">
        <w:t xml:space="preserve"> and </w:t>
      </w:r>
      <w:r w:rsidR="00EC29DA" w:rsidRPr="00182FDA">
        <w:t xml:space="preserve">perhaps </w:t>
      </w:r>
      <w:r w:rsidR="00FB179B" w:rsidRPr="00182FDA">
        <w:t>acute concerns with such performance</w:t>
      </w:r>
      <w:r w:rsidR="00470CA9" w:rsidRPr="00182FDA">
        <w:t>,</w:t>
      </w:r>
      <w:r w:rsidR="00FB179B" w:rsidRPr="00182FDA">
        <w:t xml:space="preserve"> might erode this dual culture.</w:t>
      </w:r>
      <w:r w:rsidR="00A871A3" w:rsidRPr="00182FDA">
        <w:t xml:space="preserve"> </w:t>
      </w:r>
    </w:p>
    <w:p w14:paraId="31662ACE" w14:textId="77777777" w:rsidR="00A871A3" w:rsidRPr="00182FDA" w:rsidRDefault="00A871A3" w:rsidP="0092665D">
      <w:pPr>
        <w:spacing w:line="360" w:lineRule="auto"/>
      </w:pPr>
    </w:p>
    <w:p w14:paraId="2A021DA7" w14:textId="21B227E1" w:rsidR="0092665D" w:rsidRPr="00182FDA" w:rsidRDefault="00A871A3" w:rsidP="0092665D">
      <w:pPr>
        <w:spacing w:line="360" w:lineRule="auto"/>
        <w:rPr>
          <w:kern w:val="0"/>
        </w:rPr>
      </w:pPr>
      <w:r w:rsidRPr="00182FDA">
        <w:t>Central is the issue</w:t>
      </w:r>
      <w:r w:rsidR="006E2ADC" w:rsidRPr="00182FDA">
        <w:rPr>
          <w:kern w:val="0"/>
        </w:rPr>
        <w:t xml:space="preserve"> of </w:t>
      </w:r>
      <w:r w:rsidRPr="00182FDA">
        <w:rPr>
          <w:kern w:val="0"/>
        </w:rPr>
        <w:t>whether</w:t>
      </w:r>
      <w:r w:rsidR="0092665D" w:rsidRPr="00182FDA">
        <w:rPr>
          <w:kern w:val="0"/>
        </w:rPr>
        <w:t xml:space="preserve">, despite its focus on </w:t>
      </w:r>
      <w:r w:rsidRPr="00182FDA">
        <w:rPr>
          <w:kern w:val="0"/>
        </w:rPr>
        <w:t xml:space="preserve">economic growth, </w:t>
      </w:r>
      <w:r w:rsidR="0092665D" w:rsidRPr="00182FDA">
        <w:rPr>
          <w:kern w:val="0"/>
        </w:rPr>
        <w:t xml:space="preserve">the system is </w:t>
      </w:r>
      <w:r w:rsidR="00B26F8C" w:rsidRPr="00182FDA">
        <w:rPr>
          <w:kern w:val="0"/>
        </w:rPr>
        <w:t xml:space="preserve">reluctant </w:t>
      </w:r>
      <w:r w:rsidR="0092665D" w:rsidRPr="00182FDA">
        <w:rPr>
          <w:kern w:val="0"/>
        </w:rPr>
        <w:t xml:space="preserve">to allow such performance criteria to determine elevation to </w:t>
      </w:r>
      <w:r w:rsidR="00470CA9" w:rsidRPr="00182FDA">
        <w:rPr>
          <w:kern w:val="0"/>
        </w:rPr>
        <w:t xml:space="preserve">the </w:t>
      </w:r>
      <w:r w:rsidR="0092665D" w:rsidRPr="00182FDA">
        <w:rPr>
          <w:kern w:val="0"/>
        </w:rPr>
        <w:t xml:space="preserve">most senior levels, where the real power resides. This might also be considered within the emergence of a more nationalistic and authoritarian atmosphere (Lagerkvist, 2014) under </w:t>
      </w:r>
      <w:r w:rsidR="0092665D" w:rsidRPr="00182FDA">
        <w:rPr>
          <w:kern w:val="0"/>
          <w:u w:val="single"/>
        </w:rPr>
        <w:t>Xi</w:t>
      </w:r>
      <w:r w:rsidR="0092665D" w:rsidRPr="00182FDA">
        <w:rPr>
          <w:kern w:val="0"/>
        </w:rPr>
        <w:t xml:space="preserve"> Jingpin since</w:t>
      </w:r>
      <w:r w:rsidR="005C61C4" w:rsidRPr="00182FDA">
        <w:rPr>
          <w:kern w:val="0"/>
        </w:rPr>
        <w:t xml:space="preserve"> 2012. The </w:t>
      </w:r>
      <w:r w:rsidR="006E2ADC" w:rsidRPr="00182FDA">
        <w:rPr>
          <w:kern w:val="0"/>
        </w:rPr>
        <w:t>core questions are</w:t>
      </w:r>
      <w:r w:rsidR="005C61C4" w:rsidRPr="00182FDA">
        <w:rPr>
          <w:kern w:val="0"/>
        </w:rPr>
        <w:t xml:space="preserve"> </w:t>
      </w:r>
      <w:r w:rsidR="0092665D" w:rsidRPr="00182FDA">
        <w:rPr>
          <w:kern w:val="0"/>
        </w:rPr>
        <w:t>whether this new authoritarianism might marginalize t</w:t>
      </w:r>
      <w:r w:rsidR="006E2ADC" w:rsidRPr="00182FDA">
        <w:rPr>
          <w:kern w:val="0"/>
        </w:rPr>
        <w:t>echnocratic expertise</w:t>
      </w:r>
      <w:r w:rsidR="00310433" w:rsidRPr="00182FDA">
        <w:rPr>
          <w:kern w:val="0"/>
        </w:rPr>
        <w:t>,</w:t>
      </w:r>
      <w:r w:rsidR="006E2ADC" w:rsidRPr="00182FDA">
        <w:rPr>
          <w:kern w:val="0"/>
        </w:rPr>
        <w:t xml:space="preserve"> or if</w:t>
      </w:r>
      <w:r w:rsidR="0092665D" w:rsidRPr="00182FDA">
        <w:rPr>
          <w:kern w:val="0"/>
        </w:rPr>
        <w:t xml:space="preserve"> aspirations towards a more substantive global role might eventually facilitate pr</w:t>
      </w:r>
      <w:r w:rsidR="00EC29DA" w:rsidRPr="00182FDA">
        <w:rPr>
          <w:kern w:val="0"/>
        </w:rPr>
        <w:t>omotion to the upper echelons of</w:t>
      </w:r>
      <w:r w:rsidR="0092665D" w:rsidRPr="00182FDA">
        <w:rPr>
          <w:kern w:val="0"/>
        </w:rPr>
        <w:t xml:space="preserve"> those with the stronger economic growth record</w:t>
      </w:r>
      <w:r w:rsidR="00EC29DA" w:rsidRPr="00182FDA">
        <w:rPr>
          <w:kern w:val="0"/>
        </w:rPr>
        <w:t>s</w:t>
      </w:r>
      <w:r w:rsidR="00B745C5" w:rsidRPr="00182FDA">
        <w:rPr>
          <w:kern w:val="0"/>
        </w:rPr>
        <w:t>.</w:t>
      </w:r>
      <w:r w:rsidR="0092665D" w:rsidRPr="00182FDA">
        <w:rPr>
          <w:kern w:val="0"/>
        </w:rPr>
        <w:t xml:space="preserve"> </w:t>
      </w:r>
      <w:r w:rsidR="00B745C5" w:rsidRPr="00182FDA">
        <w:rPr>
          <w:kern w:val="0"/>
        </w:rPr>
        <w:t>E</w:t>
      </w:r>
      <w:r w:rsidR="0092665D" w:rsidRPr="00182FDA">
        <w:rPr>
          <w:kern w:val="0"/>
        </w:rPr>
        <w:t>conomic strength being (of course) a key determinant of international influence and authority.</w:t>
      </w:r>
    </w:p>
    <w:p w14:paraId="267AC583" w14:textId="77777777" w:rsidR="0092665D" w:rsidRPr="00182FDA" w:rsidRDefault="0092665D">
      <w:pPr>
        <w:spacing w:line="360" w:lineRule="auto"/>
      </w:pPr>
    </w:p>
    <w:p w14:paraId="7A207531" w14:textId="0DD97DAF" w:rsidR="00605439" w:rsidRPr="00182FDA" w:rsidRDefault="00A871A3">
      <w:pPr>
        <w:spacing w:line="360" w:lineRule="auto"/>
      </w:pPr>
      <w:r w:rsidRPr="00182FDA">
        <w:t xml:space="preserve">This discussion implies </w:t>
      </w:r>
      <w:r w:rsidR="0084052A" w:rsidRPr="00182FDA">
        <w:t xml:space="preserve">future research agendas through investigating </w:t>
      </w:r>
      <w:r w:rsidR="00310433" w:rsidRPr="00182FDA">
        <w:t>changes</w:t>
      </w:r>
      <w:r w:rsidR="0084052A" w:rsidRPr="00182FDA">
        <w:t xml:space="preserve"> </w:t>
      </w:r>
      <w:r w:rsidR="00310433" w:rsidRPr="00182FDA">
        <w:t>to</w:t>
      </w:r>
      <w:r w:rsidR="0084052A" w:rsidRPr="00182FDA">
        <w:t xml:space="preserve"> this dual preferment culture. Options might include interview</w:t>
      </w:r>
      <w:r w:rsidR="000173CE" w:rsidRPr="00182FDA">
        <w:t>-</w:t>
      </w:r>
      <w:r w:rsidR="0084052A" w:rsidRPr="00182FDA">
        <w:t>based projects to capture shifting attitudes and quantitative studie</w:t>
      </w:r>
      <w:r w:rsidR="00B26F8C" w:rsidRPr="00182FDA">
        <w:t>s of promotion across a narrower</w:t>
      </w:r>
      <w:r w:rsidR="0084052A" w:rsidRPr="00182FDA">
        <w:t xml:space="preserve"> range of posts using subsequent</w:t>
      </w:r>
      <w:r w:rsidR="00310433" w:rsidRPr="00182FDA">
        <w:t>,</w:t>
      </w:r>
      <w:r w:rsidR="0084052A" w:rsidRPr="00182FDA">
        <w:t xml:space="preserve"> and </w:t>
      </w:r>
      <w:r w:rsidR="00B26F8C" w:rsidRPr="00182FDA">
        <w:t>perhaps more detailed</w:t>
      </w:r>
      <w:r w:rsidR="00310433" w:rsidRPr="00182FDA">
        <w:t>,</w:t>
      </w:r>
      <w:r w:rsidR="00B26F8C" w:rsidRPr="00182FDA">
        <w:t xml:space="preserve"> </w:t>
      </w:r>
      <w:r w:rsidR="0084052A" w:rsidRPr="00182FDA">
        <w:t>data-sets.</w:t>
      </w:r>
      <w:r w:rsidR="009D0C73" w:rsidRPr="00182FDA">
        <w:t xml:space="preserve"> The </w:t>
      </w:r>
      <w:r w:rsidR="00F065F8" w:rsidRPr="00182FDA">
        <w:t>focus</w:t>
      </w:r>
      <w:r w:rsidR="009D0C73" w:rsidRPr="00182FDA">
        <w:t xml:space="preserve"> </w:t>
      </w:r>
      <w:r w:rsidR="00EC29DA" w:rsidRPr="00182FDA">
        <w:t xml:space="preserve">might also be </w:t>
      </w:r>
      <w:r w:rsidR="00F065F8" w:rsidRPr="00182FDA">
        <w:t xml:space="preserve">on </w:t>
      </w:r>
      <w:r w:rsidR="009D0C73" w:rsidRPr="00182FDA">
        <w:t>whether it was possible to detect movement in organizational culture through a more fine-tuned and micro</w:t>
      </w:r>
      <w:r w:rsidR="00310433" w:rsidRPr="00182FDA">
        <w:t>-</w:t>
      </w:r>
      <w:r w:rsidR="009D0C73" w:rsidRPr="00182FDA">
        <w:t xml:space="preserve">analysis of selections </w:t>
      </w:r>
      <w:r w:rsidR="00EC29DA" w:rsidRPr="00182FDA">
        <w:t xml:space="preserve">of </w:t>
      </w:r>
      <w:r w:rsidR="00B26F8C" w:rsidRPr="00182FDA">
        <w:t xml:space="preserve">a smaller cohort of </w:t>
      </w:r>
      <w:r w:rsidR="00B26F8C" w:rsidRPr="00182FDA">
        <w:rPr>
          <w:i/>
        </w:rPr>
        <w:t>cadres</w:t>
      </w:r>
      <w:r w:rsidR="00605439" w:rsidRPr="00182FDA">
        <w:rPr>
          <w:i/>
        </w:rPr>
        <w:t xml:space="preserve"> </w:t>
      </w:r>
      <w:r w:rsidR="00605439" w:rsidRPr="00182FDA">
        <w:t xml:space="preserve">occupying a more distinctive position in the </w:t>
      </w:r>
      <w:r w:rsidR="00F74E09" w:rsidRPr="00182FDA">
        <w:t>hierarchy</w:t>
      </w:r>
      <w:r w:rsidR="009D0C73" w:rsidRPr="00182FDA">
        <w:t>.</w:t>
      </w:r>
      <w:r w:rsidR="00605439" w:rsidRPr="00182FDA">
        <w:t xml:space="preserve"> </w:t>
      </w:r>
    </w:p>
    <w:p w14:paraId="1A46F9BB" w14:textId="77777777" w:rsidR="00605439" w:rsidRPr="00182FDA" w:rsidRDefault="00605439">
      <w:pPr>
        <w:spacing w:line="360" w:lineRule="auto"/>
      </w:pPr>
    </w:p>
    <w:p w14:paraId="641ADB34" w14:textId="70741B7B" w:rsidR="00B02443" w:rsidRPr="00182FDA" w:rsidRDefault="007D1623" w:rsidP="004514ED">
      <w:pPr>
        <w:spacing w:line="360" w:lineRule="auto"/>
        <w:rPr>
          <w:kern w:val="0"/>
        </w:rPr>
      </w:pPr>
      <w:r w:rsidRPr="00182FDA">
        <w:t>Alternatively, our</w:t>
      </w:r>
      <w:r w:rsidR="006948CB" w:rsidRPr="00182FDA">
        <w:t xml:space="preserve"> analysis might be extended through application to </w:t>
      </w:r>
      <w:r w:rsidR="004802CF" w:rsidRPr="00182FDA">
        <w:t xml:space="preserve">a wider group of </w:t>
      </w:r>
      <w:r w:rsidR="005464CF" w:rsidRPr="00182FDA">
        <w:rPr>
          <w:kern w:val="0"/>
        </w:rPr>
        <w:t xml:space="preserve">lower-level </w:t>
      </w:r>
      <w:r w:rsidR="005464CF" w:rsidRPr="00182FDA">
        <w:rPr>
          <w:i/>
          <w:kern w:val="0"/>
        </w:rPr>
        <w:t>cadres</w:t>
      </w:r>
      <w:r w:rsidR="006948CB" w:rsidRPr="00182FDA">
        <w:rPr>
          <w:i/>
          <w:kern w:val="0"/>
        </w:rPr>
        <w:t xml:space="preserve"> </w:t>
      </w:r>
      <w:r w:rsidR="006948CB" w:rsidRPr="00182FDA">
        <w:rPr>
          <w:kern w:val="0"/>
        </w:rPr>
        <w:t>and or</w:t>
      </w:r>
      <w:r w:rsidR="002D1804" w:rsidRPr="00182FDA">
        <w:rPr>
          <w:i/>
          <w:kern w:val="0"/>
        </w:rPr>
        <w:t xml:space="preserve"> </w:t>
      </w:r>
      <w:r w:rsidR="002C15BB" w:rsidRPr="00182FDA">
        <w:rPr>
          <w:kern w:val="0"/>
        </w:rPr>
        <w:t xml:space="preserve">promotions of leaders of state-owned enterprises (SOEs), particularly with regard to the fact that the career trajectories of these </w:t>
      </w:r>
      <w:r w:rsidR="006948CB" w:rsidRPr="00182FDA">
        <w:rPr>
          <w:kern w:val="0"/>
        </w:rPr>
        <w:t>individuals</w:t>
      </w:r>
      <w:r w:rsidR="002C15BB" w:rsidRPr="00182FDA">
        <w:rPr>
          <w:kern w:val="0"/>
        </w:rPr>
        <w:t xml:space="preserve"> often incorporate similar roles in party and or governmental structures. This reality suggests some significant research questions, for example – does the economic performance of the SOE under their tenure affe</w:t>
      </w:r>
      <w:r w:rsidR="00310433" w:rsidRPr="00182FDA">
        <w:rPr>
          <w:kern w:val="0"/>
        </w:rPr>
        <w:t>ct their promotion prospects? Are</w:t>
      </w:r>
      <w:r w:rsidR="002C15BB" w:rsidRPr="00182FDA">
        <w:rPr>
          <w:kern w:val="0"/>
        </w:rPr>
        <w:t xml:space="preserve"> the successful achievement of other goals</w:t>
      </w:r>
      <w:r w:rsidR="00310433" w:rsidRPr="00182FDA">
        <w:rPr>
          <w:kern w:val="0"/>
        </w:rPr>
        <w:t>,</w:t>
      </w:r>
      <w:r w:rsidR="002C15BB" w:rsidRPr="00182FDA">
        <w:rPr>
          <w:kern w:val="0"/>
        </w:rPr>
        <w:t xml:space="preserve"> such as providing employment</w:t>
      </w:r>
      <w:r w:rsidR="00310433" w:rsidRPr="00182FDA">
        <w:rPr>
          <w:kern w:val="0"/>
        </w:rPr>
        <w:t>,</w:t>
      </w:r>
      <w:r w:rsidR="002C15BB" w:rsidRPr="00182FDA">
        <w:rPr>
          <w:kern w:val="0"/>
        </w:rPr>
        <w:t xml:space="preserve"> more important for promotion? </w:t>
      </w:r>
    </w:p>
    <w:p w14:paraId="01A50AFD" w14:textId="77777777" w:rsidR="006948CB" w:rsidRPr="00182FDA" w:rsidRDefault="006948CB" w:rsidP="004514ED">
      <w:pPr>
        <w:spacing w:line="360" w:lineRule="auto"/>
        <w:rPr>
          <w:kern w:val="0"/>
        </w:rPr>
      </w:pPr>
    </w:p>
    <w:p w14:paraId="27AFBC2F" w14:textId="2C7940F0" w:rsidR="00C57623" w:rsidRPr="00182FDA" w:rsidRDefault="006948CB" w:rsidP="004514ED">
      <w:pPr>
        <w:spacing w:line="360" w:lineRule="auto"/>
        <w:rPr>
          <w:kern w:val="0"/>
        </w:rPr>
      </w:pPr>
      <w:r w:rsidRPr="00182FDA">
        <w:rPr>
          <w:kern w:val="0"/>
        </w:rPr>
        <w:t>O</w:t>
      </w:r>
      <w:r w:rsidR="00CD0201" w:rsidRPr="00182FDA">
        <w:rPr>
          <w:kern w:val="0"/>
        </w:rPr>
        <w:t xml:space="preserve">ur approach </w:t>
      </w:r>
      <w:r w:rsidRPr="00182FDA">
        <w:rPr>
          <w:kern w:val="0"/>
        </w:rPr>
        <w:t>might</w:t>
      </w:r>
      <w:r w:rsidR="003535EC" w:rsidRPr="00182FDA">
        <w:rPr>
          <w:kern w:val="0"/>
        </w:rPr>
        <w:t xml:space="preserve"> </w:t>
      </w:r>
      <w:r w:rsidRPr="00182FDA">
        <w:rPr>
          <w:kern w:val="0"/>
        </w:rPr>
        <w:t xml:space="preserve">also </w:t>
      </w:r>
      <w:r w:rsidR="003535EC" w:rsidRPr="00182FDA">
        <w:rPr>
          <w:kern w:val="0"/>
        </w:rPr>
        <w:t>be extended through use of much more complex datasets to consider promotion of</w:t>
      </w:r>
      <w:r w:rsidR="00DF0970" w:rsidRPr="00182FDA">
        <w:rPr>
          <w:kern w:val="0"/>
        </w:rPr>
        <w:t xml:space="preserve"> certain political cliques, such as</w:t>
      </w:r>
      <w:r w:rsidR="003535EC" w:rsidRPr="00182FDA">
        <w:rPr>
          <w:kern w:val="0"/>
        </w:rPr>
        <w:t xml:space="preserve"> </w:t>
      </w:r>
      <w:r w:rsidR="00CD0201" w:rsidRPr="00182FDA">
        <w:rPr>
          <w:i/>
          <w:kern w:val="0"/>
        </w:rPr>
        <w:t>princelings</w:t>
      </w:r>
      <w:r w:rsidR="00AD1187" w:rsidRPr="00182FDA">
        <w:rPr>
          <w:kern w:val="0"/>
        </w:rPr>
        <w:t>, namely national leaders</w:t>
      </w:r>
      <w:r w:rsidR="00CD0201" w:rsidRPr="00182FDA">
        <w:rPr>
          <w:kern w:val="0"/>
        </w:rPr>
        <w:t xml:space="preserve"> </w:t>
      </w:r>
      <w:r w:rsidR="00AD1187" w:rsidRPr="00182FDA">
        <w:rPr>
          <w:kern w:val="0"/>
        </w:rPr>
        <w:t xml:space="preserve">with </w:t>
      </w:r>
      <w:r w:rsidR="00DF0970" w:rsidRPr="00182FDA">
        <w:rPr>
          <w:kern w:val="0"/>
        </w:rPr>
        <w:t xml:space="preserve">family connections to </w:t>
      </w:r>
      <w:r w:rsidR="00AD1187" w:rsidRPr="00182FDA">
        <w:rPr>
          <w:kern w:val="0"/>
        </w:rPr>
        <w:t xml:space="preserve">previous members of that same elite. Prominent contemporary examples </w:t>
      </w:r>
      <w:r w:rsidR="00DF0970" w:rsidRPr="00182FDA">
        <w:rPr>
          <w:kern w:val="0"/>
        </w:rPr>
        <w:t xml:space="preserve">of Chinese </w:t>
      </w:r>
      <w:r w:rsidR="00DF0970" w:rsidRPr="00182FDA">
        <w:rPr>
          <w:i/>
          <w:kern w:val="0"/>
        </w:rPr>
        <w:t>princelings</w:t>
      </w:r>
      <w:r w:rsidR="00DF0970" w:rsidRPr="00182FDA">
        <w:rPr>
          <w:kern w:val="0"/>
        </w:rPr>
        <w:t xml:space="preserve"> </w:t>
      </w:r>
      <w:r w:rsidR="00AD1187" w:rsidRPr="00182FDA">
        <w:rPr>
          <w:kern w:val="0"/>
        </w:rPr>
        <w:t xml:space="preserve">include </w:t>
      </w:r>
      <w:r w:rsidR="004514ED" w:rsidRPr="00182FDA">
        <w:t>current General Secretary</w:t>
      </w:r>
      <w:r w:rsidR="000173CE" w:rsidRPr="00182FDA">
        <w:t>, President and Chair of the Central Military Commission</w:t>
      </w:r>
      <w:r w:rsidR="004514ED" w:rsidRPr="00182FDA">
        <w:t xml:space="preserve"> </w:t>
      </w:r>
      <w:r w:rsidR="004514ED" w:rsidRPr="00182FDA">
        <w:rPr>
          <w:u w:val="single"/>
        </w:rPr>
        <w:t>Xi</w:t>
      </w:r>
      <w:r w:rsidR="004514ED" w:rsidRPr="00182FDA">
        <w:t xml:space="preserve"> Jingpin, who is the son of </w:t>
      </w:r>
      <w:r w:rsidR="004514ED" w:rsidRPr="00182FDA">
        <w:rPr>
          <w:u w:val="single"/>
        </w:rPr>
        <w:t>Xi</w:t>
      </w:r>
      <w:r w:rsidR="004514ED" w:rsidRPr="00182FDA">
        <w:t xml:space="preserve"> Zhongxun, whose </w:t>
      </w:r>
      <w:r w:rsidR="00753417" w:rsidRPr="00182FDA">
        <w:t xml:space="preserve">senior positions included </w:t>
      </w:r>
      <w:r w:rsidR="004514ED" w:rsidRPr="00182FDA">
        <w:t>Vice</w:t>
      </w:r>
      <w:r w:rsidR="004802CF" w:rsidRPr="00182FDA">
        <w:t>-</w:t>
      </w:r>
      <w:r w:rsidR="004514ED" w:rsidRPr="00182FDA">
        <w:t>Chair of the NPC Standing Co</w:t>
      </w:r>
      <w:r w:rsidR="00C00A75" w:rsidRPr="00182FDA">
        <w:t>mmittee</w:t>
      </w:r>
      <w:r w:rsidR="000173CE" w:rsidRPr="00182FDA">
        <w:t>;</w:t>
      </w:r>
      <w:r w:rsidR="00C00A75" w:rsidRPr="00182FDA">
        <w:t xml:space="preserve"> and </w:t>
      </w:r>
      <w:r w:rsidR="00C00A75" w:rsidRPr="00182FDA">
        <w:rPr>
          <w:kern w:val="0"/>
          <w:u w:val="single"/>
        </w:rPr>
        <w:t>Wang</w:t>
      </w:r>
      <w:r w:rsidR="00C00A75" w:rsidRPr="00182FDA">
        <w:rPr>
          <w:kern w:val="0"/>
        </w:rPr>
        <w:t xml:space="preserve"> Qishan (</w:t>
      </w:r>
      <w:r w:rsidR="00753417" w:rsidRPr="00182FDA">
        <w:rPr>
          <w:kern w:val="0"/>
        </w:rPr>
        <w:t>the current Vice-President of China</w:t>
      </w:r>
      <w:r w:rsidR="00C00A75" w:rsidRPr="00182FDA">
        <w:rPr>
          <w:kern w:val="0"/>
        </w:rPr>
        <w:t>)</w:t>
      </w:r>
      <w:r w:rsidR="00012514" w:rsidRPr="00182FDA">
        <w:rPr>
          <w:kern w:val="0"/>
        </w:rPr>
        <w:t>,</w:t>
      </w:r>
      <w:r w:rsidR="00C00A75" w:rsidRPr="00182FDA">
        <w:rPr>
          <w:kern w:val="0"/>
        </w:rPr>
        <w:t xml:space="preserve"> </w:t>
      </w:r>
      <w:r w:rsidR="00012514" w:rsidRPr="00182FDA">
        <w:rPr>
          <w:kern w:val="0"/>
        </w:rPr>
        <w:t xml:space="preserve">who </w:t>
      </w:r>
      <w:r w:rsidR="00C00A75" w:rsidRPr="00182FDA">
        <w:rPr>
          <w:kern w:val="0"/>
        </w:rPr>
        <w:t xml:space="preserve">is the son-in-law of </w:t>
      </w:r>
      <w:r w:rsidR="00C00A75" w:rsidRPr="00182FDA">
        <w:rPr>
          <w:kern w:val="0"/>
          <w:u w:val="single"/>
        </w:rPr>
        <w:t>Tao</w:t>
      </w:r>
      <w:r w:rsidR="00C00A75" w:rsidRPr="00182FDA">
        <w:rPr>
          <w:kern w:val="0"/>
        </w:rPr>
        <w:t xml:space="preserve"> Yilin (a fo</w:t>
      </w:r>
      <w:r w:rsidR="00012514" w:rsidRPr="00182FDA">
        <w:rPr>
          <w:kern w:val="0"/>
        </w:rPr>
        <w:t>r</w:t>
      </w:r>
      <w:r w:rsidR="00C00A75" w:rsidRPr="00182FDA">
        <w:rPr>
          <w:kern w:val="0"/>
        </w:rPr>
        <w:t>mer Vice</w:t>
      </w:r>
      <w:r w:rsidRPr="00182FDA">
        <w:rPr>
          <w:kern w:val="0"/>
        </w:rPr>
        <w:t>-</w:t>
      </w:r>
      <w:r w:rsidR="00C00A75" w:rsidRPr="00182FDA">
        <w:rPr>
          <w:kern w:val="0"/>
        </w:rPr>
        <w:t>Premier).</w:t>
      </w:r>
      <w:r w:rsidR="003535EC" w:rsidRPr="00182FDA">
        <w:rPr>
          <w:kern w:val="0"/>
        </w:rPr>
        <w:t xml:space="preserve"> </w:t>
      </w:r>
      <w:r w:rsidR="00B02443" w:rsidRPr="00182FDA">
        <w:rPr>
          <w:kern w:val="0"/>
        </w:rPr>
        <w:t>There are research questions concerning explanations for their promotion to t</w:t>
      </w:r>
      <w:r w:rsidR="005128FB" w:rsidRPr="00182FDA">
        <w:rPr>
          <w:kern w:val="0"/>
        </w:rPr>
        <w:t>he national leadership and how such explanations vary with those identified for the wider cohort of provincial leaders. Scholars could consider whether</w:t>
      </w:r>
      <w:r w:rsidR="004802CF" w:rsidRPr="00182FDA">
        <w:rPr>
          <w:kern w:val="0"/>
        </w:rPr>
        <w:t xml:space="preserve">, </w:t>
      </w:r>
      <w:r w:rsidR="005128FB" w:rsidRPr="00182FDA">
        <w:rPr>
          <w:kern w:val="0"/>
        </w:rPr>
        <w:t>or to what extent</w:t>
      </w:r>
      <w:r w:rsidR="004802CF" w:rsidRPr="00182FDA">
        <w:rPr>
          <w:kern w:val="0"/>
        </w:rPr>
        <w:t>,</w:t>
      </w:r>
      <w:r w:rsidR="005128FB" w:rsidRPr="00182FDA">
        <w:rPr>
          <w:kern w:val="0"/>
        </w:rPr>
        <w:t xml:space="preserve"> those </w:t>
      </w:r>
      <w:r w:rsidR="005128FB" w:rsidRPr="00182FDA">
        <w:rPr>
          <w:i/>
          <w:kern w:val="0"/>
        </w:rPr>
        <w:t xml:space="preserve">princelings, </w:t>
      </w:r>
      <w:r w:rsidR="005128FB" w:rsidRPr="00182FDA">
        <w:rPr>
          <w:kern w:val="0"/>
        </w:rPr>
        <w:t xml:space="preserve">once established in provincial leadership roles, have an enhanced chance of promotion to the national leadership. </w:t>
      </w:r>
    </w:p>
    <w:p w14:paraId="7063995B" w14:textId="77777777" w:rsidR="00C57623" w:rsidRPr="00182FDA" w:rsidRDefault="00C57623" w:rsidP="004514ED">
      <w:pPr>
        <w:spacing w:line="360" w:lineRule="auto"/>
        <w:rPr>
          <w:kern w:val="0"/>
        </w:rPr>
      </w:pPr>
    </w:p>
    <w:p w14:paraId="5B54C411" w14:textId="3B7971D7" w:rsidR="004514ED" w:rsidRPr="00182FDA" w:rsidRDefault="00E23378" w:rsidP="004514ED">
      <w:pPr>
        <w:spacing w:line="360" w:lineRule="auto"/>
        <w:rPr>
          <w:kern w:val="0"/>
        </w:rPr>
      </w:pPr>
      <w:r w:rsidRPr="00182FDA">
        <w:rPr>
          <w:kern w:val="0"/>
        </w:rPr>
        <w:t>T</w:t>
      </w:r>
      <w:r w:rsidR="006F471E" w:rsidRPr="00182FDA">
        <w:rPr>
          <w:kern w:val="0"/>
        </w:rPr>
        <w:t xml:space="preserve">here is also potential to apply our models to other countries, either </w:t>
      </w:r>
      <w:r w:rsidR="007D1623" w:rsidRPr="00182FDA">
        <w:rPr>
          <w:kern w:val="0"/>
        </w:rPr>
        <w:t>through</w:t>
      </w:r>
      <w:r w:rsidR="006F471E" w:rsidRPr="00182FDA">
        <w:rPr>
          <w:kern w:val="0"/>
        </w:rPr>
        <w:t xml:space="preserve"> promotion of governmental officials or</w:t>
      </w:r>
      <w:r w:rsidR="00DC16AB" w:rsidRPr="00193FBA">
        <w:rPr>
          <w:kern w:val="0"/>
        </w:rPr>
        <w:t>,</w:t>
      </w:r>
      <w:r w:rsidR="006F471E" w:rsidRPr="00182FDA">
        <w:rPr>
          <w:kern w:val="0"/>
        </w:rPr>
        <w:t xml:space="preserve"> more specifically</w:t>
      </w:r>
      <w:r w:rsidR="00DC16AB" w:rsidRPr="00193FBA">
        <w:rPr>
          <w:kern w:val="0"/>
        </w:rPr>
        <w:t>,</w:t>
      </w:r>
      <w:r w:rsidR="006F471E" w:rsidRPr="00182FDA">
        <w:rPr>
          <w:kern w:val="0"/>
        </w:rPr>
        <w:t xml:space="preserve"> </w:t>
      </w:r>
      <w:r w:rsidR="004A33C4" w:rsidRPr="00182FDA">
        <w:rPr>
          <w:kern w:val="0"/>
        </w:rPr>
        <w:t>to political systems with similar relationships between a dominant political party and governmental structures</w:t>
      </w:r>
      <w:r w:rsidR="00310433" w:rsidRPr="00182FDA">
        <w:rPr>
          <w:kern w:val="0"/>
        </w:rPr>
        <w:t>,</w:t>
      </w:r>
      <w:r w:rsidR="004A33C4" w:rsidRPr="00182FDA">
        <w:rPr>
          <w:kern w:val="0"/>
        </w:rPr>
        <w:t xml:space="preserve"> and where electoral choice is heavily constrained.</w:t>
      </w:r>
      <w:r w:rsidR="005128FB" w:rsidRPr="00182FDA">
        <w:rPr>
          <w:i/>
          <w:kern w:val="0"/>
        </w:rPr>
        <w:t xml:space="preserve"> </w:t>
      </w:r>
      <w:r w:rsidR="005128FB" w:rsidRPr="00182FDA">
        <w:rPr>
          <w:kern w:val="0"/>
        </w:rPr>
        <w:t xml:space="preserve">  </w:t>
      </w:r>
      <w:r w:rsidR="00012514" w:rsidRPr="00182FDA">
        <w:rPr>
          <w:kern w:val="0"/>
        </w:rPr>
        <w:t xml:space="preserve"> </w:t>
      </w:r>
      <w:r w:rsidR="00C00A75" w:rsidRPr="00182FDA">
        <w:rPr>
          <w:kern w:val="0"/>
        </w:rPr>
        <w:t xml:space="preserve">     </w:t>
      </w:r>
      <w:r w:rsidR="004514ED" w:rsidRPr="00182FDA">
        <w:t xml:space="preserve"> </w:t>
      </w:r>
    </w:p>
    <w:p w14:paraId="51821159" w14:textId="168A5109" w:rsidR="005464CF" w:rsidRPr="00182FDA" w:rsidRDefault="00CD0201" w:rsidP="00AB1890">
      <w:pPr>
        <w:spacing w:line="360" w:lineRule="auto"/>
        <w:rPr>
          <w:kern w:val="0"/>
        </w:rPr>
      </w:pPr>
      <w:r w:rsidRPr="00182FDA">
        <w:rPr>
          <w:kern w:val="0"/>
        </w:rPr>
        <w:t xml:space="preserve">    </w:t>
      </w:r>
      <w:r w:rsidR="002C15BB" w:rsidRPr="00182FDA">
        <w:rPr>
          <w:kern w:val="0"/>
        </w:rPr>
        <w:t xml:space="preserve">  </w:t>
      </w:r>
    </w:p>
    <w:p w14:paraId="535373FA" w14:textId="77777777" w:rsidR="00DF0970" w:rsidRPr="00182FDA" w:rsidRDefault="00DF0970" w:rsidP="00AB1890">
      <w:pPr>
        <w:spacing w:line="360" w:lineRule="auto"/>
        <w:rPr>
          <w:kern w:val="0"/>
        </w:rPr>
      </w:pPr>
    </w:p>
    <w:p w14:paraId="12EF9D63" w14:textId="77777777" w:rsidR="006F1C9D" w:rsidRPr="00182FDA" w:rsidRDefault="006F1C9D" w:rsidP="006F1C9D">
      <w:pPr>
        <w:pStyle w:val="Heading2"/>
      </w:pPr>
      <w:r w:rsidRPr="00182FDA">
        <w:t>References</w:t>
      </w:r>
    </w:p>
    <w:p w14:paraId="729C896D" w14:textId="69265F24" w:rsidR="006F1C9D" w:rsidRPr="00182FDA" w:rsidRDefault="006F1C9D" w:rsidP="006F1C9D">
      <w:pPr>
        <w:spacing w:line="360" w:lineRule="auto"/>
      </w:pPr>
      <w:r w:rsidRPr="00182FDA">
        <w:t xml:space="preserve">Afonso, A., Schuknecht, L. and Tanzi, V. (2005) Public sector efficiency: an international comparison. </w:t>
      </w:r>
      <w:r w:rsidRPr="00182FDA">
        <w:rPr>
          <w:i/>
        </w:rPr>
        <w:t xml:space="preserve">Public Choice </w:t>
      </w:r>
      <w:r w:rsidRPr="00182FDA">
        <w:t>123</w:t>
      </w:r>
      <w:r w:rsidR="004C4B0D" w:rsidRPr="00182FDA">
        <w:t>(3-4)</w:t>
      </w:r>
      <w:r w:rsidRPr="00182FDA">
        <w:rPr>
          <w:b/>
        </w:rPr>
        <w:t xml:space="preserve">: </w:t>
      </w:r>
      <w:r w:rsidRPr="00182FDA">
        <w:t>321-347.</w:t>
      </w:r>
    </w:p>
    <w:p w14:paraId="7A511780" w14:textId="77777777" w:rsidR="006F1C9D" w:rsidRPr="00182FDA" w:rsidRDefault="006F1C9D" w:rsidP="006F1C9D">
      <w:pPr>
        <w:spacing w:line="360" w:lineRule="auto"/>
      </w:pPr>
    </w:p>
    <w:p w14:paraId="13FF81EA" w14:textId="7495056C" w:rsidR="006F1C9D" w:rsidRPr="00182FDA" w:rsidRDefault="006F1C9D" w:rsidP="006F1C9D">
      <w:pPr>
        <w:spacing w:line="360" w:lineRule="auto"/>
      </w:pPr>
      <w:r w:rsidRPr="00182FDA">
        <w:t>Alonso, P. and Lewis, G. (2001) Public Service</w:t>
      </w:r>
      <w:r w:rsidR="00581C2A" w:rsidRPr="00182FDA">
        <w:t xml:space="preserve"> Motivation and Job Performance: </w:t>
      </w:r>
      <w:r w:rsidR="00581C2A" w:rsidRPr="00182FDA">
        <w:rPr>
          <w:i/>
        </w:rPr>
        <w:t>Evidence from the Federal Sector</w:t>
      </w:r>
      <w:r w:rsidR="00C733B9" w:rsidRPr="00182FDA">
        <w:rPr>
          <w:i/>
        </w:rPr>
        <w:t>.</w:t>
      </w:r>
      <w:r w:rsidRPr="00182FDA">
        <w:t xml:space="preserve"> </w:t>
      </w:r>
      <w:r w:rsidRPr="00182FDA">
        <w:rPr>
          <w:i/>
        </w:rPr>
        <w:t xml:space="preserve">The American Review of Public Administration </w:t>
      </w:r>
      <w:r w:rsidRPr="00182FDA">
        <w:t>31(4)</w:t>
      </w:r>
      <w:r w:rsidR="00C733B9" w:rsidRPr="00182FDA">
        <w:t>:</w:t>
      </w:r>
      <w:r w:rsidRPr="00182FDA">
        <w:t xml:space="preserve"> 363-380.</w:t>
      </w:r>
    </w:p>
    <w:p w14:paraId="4C279D96" w14:textId="77777777" w:rsidR="006F1C9D" w:rsidRPr="00182FDA" w:rsidRDefault="006F1C9D" w:rsidP="006F1C9D">
      <w:pPr>
        <w:spacing w:line="360" w:lineRule="auto"/>
      </w:pPr>
    </w:p>
    <w:p w14:paraId="26D56A72" w14:textId="590ECD1E" w:rsidR="006F1C9D" w:rsidRPr="00182FDA" w:rsidRDefault="006F1C9D" w:rsidP="006F1C9D">
      <w:pPr>
        <w:spacing w:line="360" w:lineRule="auto"/>
      </w:pPr>
      <w:r w:rsidRPr="00182FDA">
        <w:t>Bale, M. and Dale, T. (1998) Public Sector Reform in New Zealand and its Relevance to Developing Countries</w:t>
      </w:r>
      <w:r w:rsidR="00C733B9" w:rsidRPr="00182FDA">
        <w:t>.</w:t>
      </w:r>
      <w:r w:rsidRPr="00182FDA">
        <w:t xml:space="preserve"> </w:t>
      </w:r>
      <w:r w:rsidRPr="00182FDA">
        <w:rPr>
          <w:i/>
        </w:rPr>
        <w:t xml:space="preserve">The World Bank Research Observer </w:t>
      </w:r>
      <w:r w:rsidRPr="00182FDA">
        <w:t>13(1)</w:t>
      </w:r>
      <w:r w:rsidR="00C733B9" w:rsidRPr="00182FDA">
        <w:t>:</w:t>
      </w:r>
      <w:r w:rsidRPr="00182FDA">
        <w:t xml:space="preserve"> 103-121.</w:t>
      </w:r>
    </w:p>
    <w:p w14:paraId="646160EB" w14:textId="77777777" w:rsidR="006F1C9D" w:rsidRPr="00182FDA" w:rsidRDefault="006F1C9D" w:rsidP="006F1C9D">
      <w:pPr>
        <w:spacing w:line="360" w:lineRule="auto"/>
      </w:pPr>
    </w:p>
    <w:p w14:paraId="06CFF87B" w14:textId="08FC6870" w:rsidR="006F1C9D" w:rsidRPr="00182FDA" w:rsidRDefault="006F1C9D" w:rsidP="006F1C9D">
      <w:pPr>
        <w:spacing w:line="360" w:lineRule="auto"/>
      </w:pPr>
      <w:r w:rsidRPr="00182FDA">
        <w:t>Baron, J., Davis-Blake, A. and Bielby, W. (1986) The Structure of Opportunity: How Promotion Ladders Vary Within and Among Organizations</w:t>
      </w:r>
      <w:r w:rsidR="00C733B9" w:rsidRPr="00182FDA">
        <w:t>.</w:t>
      </w:r>
      <w:r w:rsidRPr="00182FDA">
        <w:t xml:space="preserve"> </w:t>
      </w:r>
      <w:r w:rsidRPr="00182FDA">
        <w:rPr>
          <w:i/>
        </w:rPr>
        <w:t xml:space="preserve">Administrative Science Quarterly </w:t>
      </w:r>
      <w:r w:rsidRPr="00182FDA">
        <w:t>31(2)</w:t>
      </w:r>
      <w:r w:rsidR="00C733B9" w:rsidRPr="00182FDA">
        <w:t>:</w:t>
      </w:r>
      <w:r w:rsidRPr="00182FDA">
        <w:t xml:space="preserve"> 248-273. </w:t>
      </w:r>
    </w:p>
    <w:p w14:paraId="096069FE" w14:textId="77777777" w:rsidR="002216C4" w:rsidRPr="00182FDA" w:rsidRDefault="002216C4" w:rsidP="006F1C9D">
      <w:pPr>
        <w:spacing w:line="360" w:lineRule="auto"/>
      </w:pPr>
    </w:p>
    <w:p w14:paraId="0225EDAC" w14:textId="516950A9" w:rsidR="006F1C9D" w:rsidRPr="00182FDA" w:rsidRDefault="006F1C9D" w:rsidP="006F1C9D">
      <w:pPr>
        <w:spacing w:line="360" w:lineRule="auto"/>
      </w:pPr>
      <w:r w:rsidRPr="00182FDA">
        <w:t xml:space="preserve">Blanchard, O. and Shleifer, A. (2001) Federalism With and Without Political Centralization: China Versus Russia. </w:t>
      </w:r>
      <w:r w:rsidR="000D00E2" w:rsidRPr="00182FDA">
        <w:rPr>
          <w:i/>
        </w:rPr>
        <w:t>I</w:t>
      </w:r>
      <w:r w:rsidRPr="00182FDA">
        <w:rPr>
          <w:i/>
        </w:rPr>
        <w:t xml:space="preserve">MF Staff Papers </w:t>
      </w:r>
      <w:r w:rsidRPr="00182FDA">
        <w:t>48</w:t>
      </w:r>
      <w:r w:rsidR="000D00E2" w:rsidRPr="00182FDA">
        <w:t>(S1)</w:t>
      </w:r>
      <w:r w:rsidRPr="00182FDA">
        <w:t>:</w:t>
      </w:r>
      <w:r w:rsidRPr="00182FDA">
        <w:rPr>
          <w:b/>
        </w:rPr>
        <w:t xml:space="preserve"> </w:t>
      </w:r>
      <w:r w:rsidRPr="00182FDA">
        <w:t>171-179.</w:t>
      </w:r>
    </w:p>
    <w:p w14:paraId="041B857A" w14:textId="77777777" w:rsidR="006F1C9D" w:rsidRPr="00182FDA" w:rsidRDefault="006F1C9D" w:rsidP="006F1C9D">
      <w:pPr>
        <w:spacing w:line="360" w:lineRule="auto"/>
      </w:pPr>
    </w:p>
    <w:p w14:paraId="2EDC5052" w14:textId="56BED30E" w:rsidR="006F1C9D" w:rsidRPr="00182FDA" w:rsidRDefault="006F1C9D" w:rsidP="006F1C9D">
      <w:pPr>
        <w:spacing w:line="360" w:lineRule="auto"/>
      </w:pPr>
      <w:r w:rsidRPr="00182FDA">
        <w:t>B</w:t>
      </w:r>
      <w:r w:rsidR="00090A1D" w:rsidRPr="00182FDA">
        <w:t>lau, F. and DeV</w:t>
      </w:r>
      <w:r w:rsidRPr="00182FDA">
        <w:t>aro, J. (2007) New Evidence on Gender Differences</w:t>
      </w:r>
      <w:r w:rsidR="00090A1D" w:rsidRPr="00182FDA">
        <w:t xml:space="preserve"> in Promotion Rates: An Empiric</w:t>
      </w:r>
      <w:r w:rsidRPr="00182FDA">
        <w:t xml:space="preserve">al Analysis of a Sample of New Hires, </w:t>
      </w:r>
      <w:r w:rsidRPr="00182FDA">
        <w:rPr>
          <w:i/>
        </w:rPr>
        <w:t>Industrial Relations</w:t>
      </w:r>
      <w:r w:rsidR="00C733B9" w:rsidRPr="00182FDA">
        <w:rPr>
          <w:i/>
        </w:rPr>
        <w:t>.</w:t>
      </w:r>
      <w:r w:rsidRPr="00182FDA">
        <w:rPr>
          <w:i/>
        </w:rPr>
        <w:t xml:space="preserve"> </w:t>
      </w:r>
      <w:r w:rsidRPr="00182FDA">
        <w:t>46(3)</w:t>
      </w:r>
      <w:r w:rsidR="00C733B9" w:rsidRPr="00182FDA">
        <w:t>:</w:t>
      </w:r>
      <w:r w:rsidRPr="00182FDA">
        <w:t xml:space="preserve"> 511-550.</w:t>
      </w:r>
    </w:p>
    <w:p w14:paraId="046A0562" w14:textId="0FA968F4" w:rsidR="000E6BD6" w:rsidRPr="00182FDA" w:rsidRDefault="000E6BD6" w:rsidP="006F1C9D">
      <w:pPr>
        <w:spacing w:line="360" w:lineRule="auto"/>
      </w:pPr>
    </w:p>
    <w:p w14:paraId="5013023B" w14:textId="42CC2981" w:rsidR="006F1C9D" w:rsidRPr="00182FDA" w:rsidRDefault="006F1C9D" w:rsidP="006F1C9D">
      <w:pPr>
        <w:spacing w:line="360" w:lineRule="auto"/>
      </w:pPr>
      <w:r w:rsidRPr="00182FDA">
        <w:t xml:space="preserve">Blau, P. and Scott, R. (1962) </w:t>
      </w:r>
      <w:r w:rsidRPr="00182FDA">
        <w:rPr>
          <w:i/>
        </w:rPr>
        <w:t xml:space="preserve">Formal Organizations: A Comparative Approach. </w:t>
      </w:r>
      <w:r w:rsidR="00FE63CB" w:rsidRPr="00182FDA">
        <w:t xml:space="preserve">San Francisco: </w:t>
      </w:r>
      <w:r w:rsidRPr="00182FDA">
        <w:t>Chandler</w:t>
      </w:r>
      <w:r w:rsidR="00FE63CB" w:rsidRPr="00182FDA">
        <w:t>.</w:t>
      </w:r>
    </w:p>
    <w:p w14:paraId="04496043" w14:textId="77777777" w:rsidR="006F1C9D" w:rsidRPr="00182FDA" w:rsidRDefault="006F1C9D" w:rsidP="006F1C9D">
      <w:pPr>
        <w:spacing w:line="360" w:lineRule="auto"/>
      </w:pPr>
    </w:p>
    <w:p w14:paraId="0DFEA11E" w14:textId="53A74E61" w:rsidR="006F1C9D" w:rsidRPr="00182FDA" w:rsidRDefault="006F1C9D" w:rsidP="006F1C9D">
      <w:pPr>
        <w:spacing w:line="360" w:lineRule="auto"/>
      </w:pPr>
      <w:r w:rsidRPr="00182FDA">
        <w:t xml:space="preserve">Bo, Z. (1996) Economic performance and political mobility: Chinese provincial leaders, </w:t>
      </w:r>
      <w:r w:rsidRPr="00182FDA">
        <w:rPr>
          <w:i/>
        </w:rPr>
        <w:t>Journal of Contemporary China.</w:t>
      </w:r>
      <w:r w:rsidRPr="00182FDA">
        <w:rPr>
          <w:b/>
          <w:i/>
        </w:rPr>
        <w:t xml:space="preserve"> </w:t>
      </w:r>
      <w:r w:rsidRPr="00182FDA">
        <w:t>5</w:t>
      </w:r>
      <w:r w:rsidR="002B4728" w:rsidRPr="00182FDA">
        <w:t>(12)</w:t>
      </w:r>
      <w:r w:rsidRPr="00182FDA">
        <w:t xml:space="preserve">:135-154.  </w:t>
      </w:r>
    </w:p>
    <w:p w14:paraId="7C77A6E7" w14:textId="77777777" w:rsidR="006F1C9D" w:rsidRPr="00182FDA" w:rsidRDefault="006F1C9D" w:rsidP="006F1C9D">
      <w:pPr>
        <w:spacing w:line="360" w:lineRule="auto"/>
      </w:pPr>
    </w:p>
    <w:p w14:paraId="154AF62A" w14:textId="1324BF43" w:rsidR="006F1C9D" w:rsidRPr="00182FDA" w:rsidRDefault="006F1C9D" w:rsidP="006F1C9D">
      <w:pPr>
        <w:spacing w:line="360" w:lineRule="auto"/>
      </w:pPr>
      <w:r w:rsidRPr="00182FDA">
        <w:t xml:space="preserve">Booth, A., Francesconi, M. and Frank, J. (2003) A Sticky Floors Model of Promotion, Pay and Gender, </w:t>
      </w:r>
      <w:r w:rsidRPr="00182FDA">
        <w:rPr>
          <w:i/>
        </w:rPr>
        <w:t>European Economic Review</w:t>
      </w:r>
      <w:r w:rsidR="00C733B9" w:rsidRPr="00182FDA">
        <w:rPr>
          <w:i/>
        </w:rPr>
        <w:t>.</w:t>
      </w:r>
      <w:r w:rsidRPr="00182FDA">
        <w:rPr>
          <w:i/>
        </w:rPr>
        <w:t xml:space="preserve"> </w:t>
      </w:r>
      <w:r w:rsidRPr="00182FDA">
        <w:t>47(2)</w:t>
      </w:r>
      <w:r w:rsidR="00C733B9" w:rsidRPr="00182FDA">
        <w:t>:</w:t>
      </w:r>
      <w:r w:rsidRPr="00182FDA">
        <w:t xml:space="preserve"> 295-322. </w:t>
      </w:r>
    </w:p>
    <w:p w14:paraId="77D261AD" w14:textId="77777777" w:rsidR="006F1C9D" w:rsidRPr="00182FDA" w:rsidRDefault="006F1C9D" w:rsidP="006F1C9D">
      <w:pPr>
        <w:spacing w:line="360" w:lineRule="auto"/>
      </w:pPr>
    </w:p>
    <w:p w14:paraId="53E5E267" w14:textId="7ED22724" w:rsidR="00B27F19" w:rsidRPr="00182FDA" w:rsidRDefault="00B27F19" w:rsidP="006F1C9D">
      <w:pPr>
        <w:spacing w:line="360" w:lineRule="auto"/>
      </w:pPr>
      <w:r w:rsidRPr="00182FDA">
        <w:t xml:space="preserve">Brown, D., Earle, J. and Gehlbach, S. (2009) Helping Hand or Grabbing Hand? State Bureaucracy and Privatization Effectiveness, </w:t>
      </w:r>
      <w:r w:rsidRPr="00182FDA">
        <w:rPr>
          <w:i/>
        </w:rPr>
        <w:t xml:space="preserve">American Political Science Review </w:t>
      </w:r>
      <w:r w:rsidRPr="00182FDA">
        <w:t>103(2)</w:t>
      </w:r>
      <w:r w:rsidR="00C733B9" w:rsidRPr="00182FDA">
        <w:t>:</w:t>
      </w:r>
      <w:r w:rsidRPr="00182FDA">
        <w:t xml:space="preserve"> 264-283.</w:t>
      </w:r>
    </w:p>
    <w:p w14:paraId="71CF8CD2" w14:textId="10C7E99F" w:rsidR="00FF18AC" w:rsidRPr="00DF477D" w:rsidRDefault="00FF18AC" w:rsidP="006F1C9D">
      <w:pPr>
        <w:spacing w:line="360" w:lineRule="auto"/>
      </w:pPr>
    </w:p>
    <w:p w14:paraId="5CFA216F" w14:textId="58692560" w:rsidR="006F1C9D" w:rsidRPr="00DF477D" w:rsidRDefault="006F1C9D" w:rsidP="006F1C9D">
      <w:pPr>
        <w:spacing w:line="360" w:lineRule="auto"/>
      </w:pPr>
      <w:r w:rsidRPr="00DF477D">
        <w:t>Brown, K. (2004) Human Resource Management in the Public Sector</w:t>
      </w:r>
      <w:r w:rsidR="00C733B9" w:rsidRPr="00DF477D">
        <w:t>.</w:t>
      </w:r>
      <w:r w:rsidRPr="00DF477D">
        <w:t xml:space="preserve"> </w:t>
      </w:r>
      <w:r w:rsidRPr="00DF477D">
        <w:rPr>
          <w:i/>
        </w:rPr>
        <w:t xml:space="preserve">Public Management Review </w:t>
      </w:r>
      <w:r w:rsidRPr="00DF477D">
        <w:t>6(3)</w:t>
      </w:r>
      <w:r w:rsidR="00C733B9" w:rsidRPr="00DF477D">
        <w:t>:</w:t>
      </w:r>
      <w:r w:rsidRPr="00DF477D">
        <w:t xml:space="preserve"> 303-309.</w:t>
      </w:r>
    </w:p>
    <w:p w14:paraId="02E17545" w14:textId="77777777" w:rsidR="006F1C9D" w:rsidRPr="00DF477D" w:rsidRDefault="006F1C9D" w:rsidP="006F1C9D">
      <w:pPr>
        <w:spacing w:line="360" w:lineRule="auto"/>
      </w:pPr>
    </w:p>
    <w:p w14:paraId="1E5C98A8" w14:textId="26F08A4E" w:rsidR="006F1C9D" w:rsidRPr="00DF477D" w:rsidRDefault="006F1C9D" w:rsidP="006F1C9D">
      <w:pPr>
        <w:spacing w:line="360" w:lineRule="auto"/>
      </w:pPr>
      <w:r w:rsidRPr="00DF477D">
        <w:t>Cameron, K. and Freeman, S. (1991) Culture, Congruence, Strength and Type: Relationship</w:t>
      </w:r>
      <w:r w:rsidR="009A5114" w:rsidRPr="00DF477D">
        <w:t>s</w:t>
      </w:r>
      <w:r w:rsidRPr="00DF477D">
        <w:t xml:space="preserve"> to Effectiveness</w:t>
      </w:r>
      <w:r w:rsidR="000F661C" w:rsidRPr="00DF477D">
        <w:t xml:space="preserve">, </w:t>
      </w:r>
      <w:r w:rsidRPr="00DF477D">
        <w:rPr>
          <w:i/>
        </w:rPr>
        <w:t xml:space="preserve">Research in Organizational Change and Development </w:t>
      </w:r>
      <w:r w:rsidRPr="00DF477D">
        <w:t>5: 23-58.</w:t>
      </w:r>
    </w:p>
    <w:p w14:paraId="7AAA9A56" w14:textId="77777777" w:rsidR="009A5114" w:rsidRPr="00DF477D" w:rsidRDefault="009A5114" w:rsidP="006F1C9D">
      <w:pPr>
        <w:spacing w:line="360" w:lineRule="auto"/>
      </w:pPr>
    </w:p>
    <w:p w14:paraId="355B35E1" w14:textId="4B1F0719" w:rsidR="006F1C9D" w:rsidRPr="00DF477D" w:rsidRDefault="00404C18" w:rsidP="006F1C9D">
      <w:pPr>
        <w:spacing w:line="360" w:lineRule="auto"/>
      </w:pPr>
      <w:r w:rsidRPr="00DF477D">
        <w:t xml:space="preserve">Chen, Y., Li, H. and </w:t>
      </w:r>
      <w:r w:rsidR="006F1C9D" w:rsidRPr="00DF477D">
        <w:t>Zhou</w:t>
      </w:r>
      <w:r w:rsidRPr="00DF477D">
        <w:t>, L</w:t>
      </w:r>
      <w:r w:rsidR="00C83E91" w:rsidRPr="00DF477D">
        <w:t>-A</w:t>
      </w:r>
      <w:r w:rsidRPr="00DF477D">
        <w:t>.</w:t>
      </w:r>
      <w:r w:rsidR="006F1C9D" w:rsidRPr="00DF477D">
        <w:t xml:space="preserve"> (2005) Relative performance evaluation and the turnover of provincial leaders in China. </w:t>
      </w:r>
      <w:r w:rsidR="006F1C9D" w:rsidRPr="00DF477D">
        <w:rPr>
          <w:i/>
        </w:rPr>
        <w:t xml:space="preserve">Economic Letters </w:t>
      </w:r>
      <w:r w:rsidR="006F1C9D" w:rsidRPr="00DF477D">
        <w:t>88</w:t>
      </w:r>
      <w:r w:rsidRPr="00DF477D">
        <w:t>(3)</w:t>
      </w:r>
      <w:r w:rsidR="006F1C9D" w:rsidRPr="00DF477D">
        <w:t>: 421-425.</w:t>
      </w:r>
    </w:p>
    <w:p w14:paraId="072ED91A" w14:textId="77777777" w:rsidR="006F1C9D" w:rsidRPr="00DF477D" w:rsidRDefault="006F1C9D" w:rsidP="006F1C9D">
      <w:pPr>
        <w:spacing w:line="360" w:lineRule="auto"/>
      </w:pPr>
    </w:p>
    <w:p w14:paraId="2B4B5E30" w14:textId="74F69C36" w:rsidR="006F1C9D" w:rsidRPr="00DF477D" w:rsidRDefault="006F1C9D" w:rsidP="006F1C9D">
      <w:pPr>
        <w:spacing w:line="360" w:lineRule="auto"/>
      </w:pPr>
      <w:r w:rsidRPr="00DF477D">
        <w:t>Chien, S. and Gordon, I</w:t>
      </w:r>
      <w:r w:rsidR="000E5783" w:rsidRPr="00DF477D">
        <w:t>.</w:t>
      </w:r>
      <w:r w:rsidRPr="00DF477D">
        <w:t xml:space="preserve"> (2008) Territorial Comp</w:t>
      </w:r>
      <w:r w:rsidR="00090A1D" w:rsidRPr="00DF477D">
        <w:t>etition in China and the West</w:t>
      </w:r>
      <w:r w:rsidR="00C733B9" w:rsidRPr="00DF477D">
        <w:t>.</w:t>
      </w:r>
      <w:r w:rsidR="00090A1D" w:rsidRPr="00DF477D">
        <w:t xml:space="preserve"> </w:t>
      </w:r>
      <w:r w:rsidRPr="00DF477D">
        <w:rPr>
          <w:i/>
        </w:rPr>
        <w:t xml:space="preserve">Regional Studies </w:t>
      </w:r>
      <w:r w:rsidRPr="00DF477D">
        <w:t>42</w:t>
      </w:r>
      <w:r w:rsidR="000E5783" w:rsidRPr="00DF477D">
        <w:t>(1)</w:t>
      </w:r>
      <w:r w:rsidRPr="00DF477D">
        <w:rPr>
          <w:b/>
        </w:rPr>
        <w:t xml:space="preserve">: </w:t>
      </w:r>
      <w:r w:rsidRPr="00DF477D">
        <w:t xml:space="preserve">31-49. </w:t>
      </w:r>
    </w:p>
    <w:p w14:paraId="05692392" w14:textId="77777777" w:rsidR="006F1C9D" w:rsidRPr="00DF477D" w:rsidRDefault="006F1C9D" w:rsidP="006F1C9D">
      <w:pPr>
        <w:spacing w:line="360" w:lineRule="auto"/>
      </w:pPr>
    </w:p>
    <w:p w14:paraId="2D863A22" w14:textId="391DE760" w:rsidR="006F1C9D" w:rsidRPr="00DF477D" w:rsidRDefault="006F1C9D" w:rsidP="006F1C9D">
      <w:pPr>
        <w:spacing w:line="360" w:lineRule="auto"/>
      </w:pPr>
      <w:r w:rsidRPr="00DF477D">
        <w:t xml:space="preserve">China State Council (2007), </w:t>
      </w:r>
      <w:r w:rsidRPr="00DF477D">
        <w:rPr>
          <w:i/>
        </w:rPr>
        <w:t>Northeast Revitalization Plan</w:t>
      </w:r>
      <w:r w:rsidRPr="00DF477D">
        <w:t xml:space="preserve">. Beijing: China State Council. </w:t>
      </w:r>
    </w:p>
    <w:p w14:paraId="1170F6A2" w14:textId="77777777" w:rsidR="006F1C9D" w:rsidRPr="00DF477D" w:rsidRDefault="006F1C9D" w:rsidP="006F1C9D">
      <w:pPr>
        <w:spacing w:line="360" w:lineRule="auto"/>
      </w:pPr>
    </w:p>
    <w:p w14:paraId="35B254E2" w14:textId="77777777" w:rsidR="006F1C9D" w:rsidRPr="00DF477D" w:rsidRDefault="006F1C9D" w:rsidP="006F1C9D">
      <w:pPr>
        <w:spacing w:line="360" w:lineRule="auto"/>
      </w:pPr>
      <w:r w:rsidRPr="00DF477D">
        <w:t xml:space="preserve">Collins, N. and Cottey, A. (2012) </w:t>
      </w:r>
      <w:r w:rsidRPr="00DF477D">
        <w:rPr>
          <w:i/>
        </w:rPr>
        <w:t xml:space="preserve">Understanding Chinese Politics. </w:t>
      </w:r>
      <w:r w:rsidRPr="00DF477D">
        <w:t>Manchester: Manchester University Press.</w:t>
      </w:r>
    </w:p>
    <w:p w14:paraId="156F2624" w14:textId="77777777" w:rsidR="006F1C9D" w:rsidRPr="00DF477D" w:rsidRDefault="006F1C9D" w:rsidP="006F1C9D">
      <w:pPr>
        <w:spacing w:line="360" w:lineRule="auto"/>
      </w:pPr>
    </w:p>
    <w:p w14:paraId="6416E3DB" w14:textId="5E9BDA91" w:rsidR="006F1C9D" w:rsidRPr="00DF477D" w:rsidRDefault="006F1C9D" w:rsidP="006F1C9D">
      <w:pPr>
        <w:spacing w:line="360" w:lineRule="auto"/>
      </w:pPr>
      <w:r w:rsidRPr="00DF477D">
        <w:t xml:space="preserve">DeVaro, J. (2006) Strategic Promotion Tournaments and Worker Performance, </w:t>
      </w:r>
      <w:r w:rsidRPr="00DF477D">
        <w:rPr>
          <w:i/>
        </w:rPr>
        <w:t>Strategic Management Journal</w:t>
      </w:r>
      <w:r w:rsidR="00C733B9" w:rsidRPr="00DF477D">
        <w:rPr>
          <w:i/>
        </w:rPr>
        <w:t>.</w:t>
      </w:r>
      <w:r w:rsidRPr="00DF477D">
        <w:rPr>
          <w:i/>
        </w:rPr>
        <w:t xml:space="preserve"> </w:t>
      </w:r>
      <w:r w:rsidRPr="00DF477D">
        <w:t>27(8)</w:t>
      </w:r>
      <w:r w:rsidR="00C733B9" w:rsidRPr="00DF477D">
        <w:t>:</w:t>
      </w:r>
      <w:r w:rsidRPr="00DF477D">
        <w:t xml:space="preserve"> 721-740.</w:t>
      </w:r>
    </w:p>
    <w:p w14:paraId="44DBC709" w14:textId="77777777" w:rsidR="007C3AB0" w:rsidRPr="00DF477D" w:rsidRDefault="007C3AB0" w:rsidP="006F1C9D">
      <w:pPr>
        <w:spacing w:line="360" w:lineRule="auto"/>
      </w:pPr>
    </w:p>
    <w:p w14:paraId="5C3B1F5D" w14:textId="1B9032BC" w:rsidR="007C3AB0" w:rsidRPr="00DF477D" w:rsidRDefault="007C3AB0" w:rsidP="007C3AB0">
      <w:pPr>
        <w:spacing w:line="360" w:lineRule="auto"/>
      </w:pPr>
      <w:r w:rsidRPr="00DF477D">
        <w:t>Edin M. (2003) Remaking the Communist Party-State: The Cadre Responsibility System at the Local Level in China</w:t>
      </w:r>
      <w:r w:rsidR="00C733B9" w:rsidRPr="00DF477D">
        <w:t xml:space="preserve">. </w:t>
      </w:r>
      <w:r w:rsidRPr="00DF477D">
        <w:rPr>
          <w:i/>
        </w:rPr>
        <w:t xml:space="preserve">China: An International Journal </w:t>
      </w:r>
      <w:r w:rsidRPr="00DF477D">
        <w:t xml:space="preserve">1(1): 1-15.   </w:t>
      </w:r>
    </w:p>
    <w:p w14:paraId="5D302BE9" w14:textId="77777777" w:rsidR="006F1C9D" w:rsidRPr="00DF477D" w:rsidRDefault="006F1C9D" w:rsidP="006F1C9D">
      <w:pPr>
        <w:spacing w:line="360" w:lineRule="auto"/>
      </w:pPr>
    </w:p>
    <w:p w14:paraId="1C11844E" w14:textId="718C5F1B" w:rsidR="006F1C9D" w:rsidRPr="00DF477D" w:rsidRDefault="006F1C9D" w:rsidP="006F1C9D">
      <w:pPr>
        <w:spacing w:line="360" w:lineRule="auto"/>
      </w:pPr>
      <w:r w:rsidRPr="00DF477D">
        <w:t xml:space="preserve">Fairburn, J. and Malcomson, J. (2001) Performance, Promotion and the Peter Principle, </w:t>
      </w:r>
      <w:r w:rsidRPr="00DF477D">
        <w:rPr>
          <w:i/>
        </w:rPr>
        <w:t>The Review of Economic Studies</w:t>
      </w:r>
      <w:r w:rsidR="00C733B9" w:rsidRPr="00DF477D">
        <w:rPr>
          <w:i/>
        </w:rPr>
        <w:t>.</w:t>
      </w:r>
      <w:r w:rsidRPr="00DF477D">
        <w:rPr>
          <w:i/>
        </w:rPr>
        <w:t xml:space="preserve"> </w:t>
      </w:r>
      <w:r w:rsidRPr="00DF477D">
        <w:t>68(1</w:t>
      </w:r>
      <w:r w:rsidR="00581C2A" w:rsidRPr="00DF477D">
        <w:t>,1</w:t>
      </w:r>
      <w:r w:rsidRPr="00DF477D">
        <w:t>)</w:t>
      </w:r>
      <w:r w:rsidR="00C733B9" w:rsidRPr="00DF477D">
        <w:t>:</w:t>
      </w:r>
      <w:r w:rsidRPr="00DF477D">
        <w:t xml:space="preserve"> 45-66.</w:t>
      </w:r>
    </w:p>
    <w:p w14:paraId="670D6512" w14:textId="77777777" w:rsidR="006F1C9D" w:rsidRPr="00DF477D" w:rsidRDefault="006F1C9D" w:rsidP="006F1C9D">
      <w:pPr>
        <w:spacing w:line="360" w:lineRule="auto"/>
      </w:pPr>
    </w:p>
    <w:p w14:paraId="07EB6159" w14:textId="0F026AF5" w:rsidR="006F1C9D" w:rsidRPr="00DF477D" w:rsidRDefault="006F1C9D" w:rsidP="006F1C9D">
      <w:pPr>
        <w:spacing w:line="360" w:lineRule="auto"/>
      </w:pPr>
      <w:r w:rsidRPr="00DF477D">
        <w:t xml:space="preserve">Fan, C. (2006) China’s Eleventh Five-Year Plan (2006-2010): From “Getting Rich First” to “Common Prosperity”. </w:t>
      </w:r>
      <w:r w:rsidRPr="00DF477D">
        <w:rPr>
          <w:i/>
        </w:rPr>
        <w:t xml:space="preserve">Eurasian Geography and Economics </w:t>
      </w:r>
      <w:r w:rsidRPr="00DF477D">
        <w:t>47</w:t>
      </w:r>
      <w:r w:rsidR="004C4B0D" w:rsidRPr="00DF477D">
        <w:t>(6):708</w:t>
      </w:r>
      <w:r w:rsidRPr="00DF477D">
        <w:t xml:space="preserve">-723. </w:t>
      </w:r>
    </w:p>
    <w:p w14:paraId="6C0245D5" w14:textId="77777777" w:rsidR="006F1C9D" w:rsidRPr="00DF477D" w:rsidRDefault="006F1C9D" w:rsidP="006F1C9D">
      <w:pPr>
        <w:spacing w:line="360" w:lineRule="auto"/>
      </w:pPr>
    </w:p>
    <w:p w14:paraId="2E3DE68E" w14:textId="79BF222E" w:rsidR="006F1C9D" w:rsidRPr="00DF477D" w:rsidRDefault="006F1C9D" w:rsidP="006F1C9D">
      <w:pPr>
        <w:spacing w:line="360" w:lineRule="auto"/>
      </w:pPr>
      <w:r w:rsidRPr="00DF477D">
        <w:t xml:space="preserve">Ferrero, M. (2001) Political exchange in mass party regimes and the transition from socialism. </w:t>
      </w:r>
      <w:r w:rsidRPr="00DF477D">
        <w:rPr>
          <w:i/>
        </w:rPr>
        <w:t xml:space="preserve">Economic Systems </w:t>
      </w:r>
      <w:r w:rsidRPr="00DF477D">
        <w:t>25</w:t>
      </w:r>
      <w:r w:rsidR="0043602D" w:rsidRPr="00DF477D">
        <w:t>(4)</w:t>
      </w:r>
      <w:r w:rsidRPr="00DF477D">
        <w:t xml:space="preserve">: 365-379. </w:t>
      </w:r>
    </w:p>
    <w:p w14:paraId="7A28E0C9" w14:textId="77777777" w:rsidR="006F1C9D" w:rsidRPr="00DF477D" w:rsidRDefault="006F1C9D" w:rsidP="006F1C9D">
      <w:pPr>
        <w:spacing w:line="360" w:lineRule="auto"/>
      </w:pPr>
    </w:p>
    <w:p w14:paraId="0D447110" w14:textId="31299262" w:rsidR="006F1C9D" w:rsidRPr="00DF477D" w:rsidRDefault="006F1C9D" w:rsidP="006F1C9D">
      <w:pPr>
        <w:spacing w:line="360" w:lineRule="auto"/>
      </w:pPr>
      <w:r w:rsidRPr="00DF477D">
        <w:t>G</w:t>
      </w:r>
      <w:r w:rsidR="00A06063" w:rsidRPr="00DF477D">
        <w:t>u</w:t>
      </w:r>
      <w:r w:rsidRPr="00DF477D">
        <w:t xml:space="preserve">o, G. (2007) Retrospective Economic Accountability Under Authoritarianism: Evidence from China. </w:t>
      </w:r>
      <w:r w:rsidRPr="00DF477D">
        <w:rPr>
          <w:i/>
        </w:rPr>
        <w:t xml:space="preserve">Political Research Quarterly </w:t>
      </w:r>
      <w:r w:rsidRPr="00DF477D">
        <w:t>60</w:t>
      </w:r>
      <w:r w:rsidR="00E83131" w:rsidRPr="00DF477D">
        <w:t>(3)</w:t>
      </w:r>
      <w:r w:rsidRPr="00DF477D">
        <w:t>: 378-390.</w:t>
      </w:r>
    </w:p>
    <w:p w14:paraId="15B237F9" w14:textId="77777777" w:rsidR="006F1C9D" w:rsidRPr="00DF477D" w:rsidRDefault="006F1C9D" w:rsidP="006F1C9D">
      <w:pPr>
        <w:spacing w:line="360" w:lineRule="auto"/>
      </w:pPr>
    </w:p>
    <w:p w14:paraId="711A1808" w14:textId="5B9A77C8" w:rsidR="006F1C9D" w:rsidRPr="00DF477D" w:rsidRDefault="006F1C9D" w:rsidP="006F1C9D">
      <w:pPr>
        <w:spacing w:line="360" w:lineRule="auto"/>
      </w:pPr>
      <w:r w:rsidRPr="00DF477D">
        <w:t>Garcia-Izquierdo, A., Mosc</w:t>
      </w:r>
      <w:r w:rsidR="00157AC4" w:rsidRPr="00DF477D">
        <w:t>o</w:t>
      </w:r>
      <w:r w:rsidRPr="00DF477D">
        <w:t>so</w:t>
      </w:r>
      <w:r w:rsidR="00F803F2" w:rsidRPr="00DF477D">
        <w:t>, S. and Ram</w:t>
      </w:r>
      <w:r w:rsidRPr="00DF477D">
        <w:t xml:space="preserve">os-Villagrasa, P. (2012) Reactions to the Fairness of Promotion Methods: Procedural Justice and Job Satisfaction, </w:t>
      </w:r>
      <w:r w:rsidRPr="00DF477D">
        <w:rPr>
          <w:i/>
        </w:rPr>
        <w:t>International Journal of Selection and Assessment</w:t>
      </w:r>
      <w:r w:rsidR="00C733B9" w:rsidRPr="00DF477D">
        <w:rPr>
          <w:i/>
        </w:rPr>
        <w:t>.</w:t>
      </w:r>
      <w:r w:rsidRPr="00DF477D">
        <w:rPr>
          <w:i/>
        </w:rPr>
        <w:t xml:space="preserve"> </w:t>
      </w:r>
      <w:r w:rsidRPr="00DF477D">
        <w:t>20(4)</w:t>
      </w:r>
      <w:r w:rsidR="00C733B9" w:rsidRPr="00DF477D">
        <w:t>:</w:t>
      </w:r>
      <w:r w:rsidRPr="00DF477D">
        <w:t xml:space="preserve"> 394-403.</w:t>
      </w:r>
    </w:p>
    <w:p w14:paraId="1118DD2D" w14:textId="77777777" w:rsidR="006F1C9D" w:rsidRPr="00DF477D" w:rsidRDefault="006F1C9D" w:rsidP="006F1C9D">
      <w:pPr>
        <w:spacing w:line="360" w:lineRule="auto"/>
      </w:pPr>
    </w:p>
    <w:p w14:paraId="28DC98C0" w14:textId="16DF5193" w:rsidR="00FC5E9D" w:rsidRPr="00DF477D" w:rsidRDefault="00FC5E9D" w:rsidP="00FC5E9D">
      <w:pPr>
        <w:spacing w:line="360" w:lineRule="auto"/>
      </w:pPr>
      <w:r w:rsidRPr="00DF477D">
        <w:t>Gouldner, A. (1957) Cosmopolitans and Locals: Toward an Analysis of Latent Social Roles</w:t>
      </w:r>
      <w:r w:rsidR="00CA324E" w:rsidRPr="00DF477D">
        <w:t>.</w:t>
      </w:r>
      <w:r w:rsidR="002D6FED" w:rsidRPr="00DF477D">
        <w:t>1</w:t>
      </w:r>
      <w:r w:rsidRPr="00DF477D">
        <w:t xml:space="preserve">, </w:t>
      </w:r>
      <w:r w:rsidRPr="00DF477D">
        <w:rPr>
          <w:i/>
        </w:rPr>
        <w:t>Administrative Science Quarterly</w:t>
      </w:r>
      <w:r w:rsidR="00C733B9" w:rsidRPr="00DF477D">
        <w:rPr>
          <w:i/>
        </w:rPr>
        <w:t>.</w:t>
      </w:r>
      <w:r w:rsidRPr="00DF477D">
        <w:rPr>
          <w:i/>
        </w:rPr>
        <w:t xml:space="preserve"> </w:t>
      </w:r>
      <w:r w:rsidRPr="00DF477D">
        <w:t>2(3): 281-306.</w:t>
      </w:r>
    </w:p>
    <w:p w14:paraId="7EB6C210" w14:textId="77777777" w:rsidR="006F1C9D" w:rsidRPr="00DF477D" w:rsidRDefault="006F1C9D" w:rsidP="006F1C9D">
      <w:pPr>
        <w:spacing w:line="360" w:lineRule="auto"/>
      </w:pPr>
    </w:p>
    <w:p w14:paraId="443FD753" w14:textId="63BC3B31" w:rsidR="006F1C9D" w:rsidRPr="00DF477D" w:rsidRDefault="00A75F6B" w:rsidP="006F1C9D">
      <w:pPr>
        <w:spacing w:line="360" w:lineRule="auto"/>
      </w:pPr>
      <w:r w:rsidRPr="00DF477D">
        <w:t>Groot, W. and Van D</w:t>
      </w:r>
      <w:r w:rsidR="006F1C9D" w:rsidRPr="00DF477D">
        <w:t xml:space="preserve">en Brink, H. (1996) Glass Ceilings or Dead Ends: Job Promotion of Men and Women Compared, </w:t>
      </w:r>
      <w:r w:rsidR="006F1C9D" w:rsidRPr="00DF477D">
        <w:rPr>
          <w:i/>
        </w:rPr>
        <w:t>Economic Letters</w:t>
      </w:r>
      <w:r w:rsidR="00C733B9" w:rsidRPr="00DF477D">
        <w:rPr>
          <w:i/>
        </w:rPr>
        <w:t>.</w:t>
      </w:r>
      <w:r w:rsidR="006F1C9D" w:rsidRPr="00DF477D">
        <w:rPr>
          <w:i/>
        </w:rPr>
        <w:t xml:space="preserve"> </w:t>
      </w:r>
      <w:r w:rsidR="006F1C9D" w:rsidRPr="00DF477D">
        <w:t>53(2)</w:t>
      </w:r>
      <w:r w:rsidR="00C733B9" w:rsidRPr="00DF477D">
        <w:t>:</w:t>
      </w:r>
      <w:r w:rsidR="006F1C9D" w:rsidRPr="00DF477D">
        <w:t xml:space="preserve"> 221-226.</w:t>
      </w:r>
    </w:p>
    <w:p w14:paraId="60347121" w14:textId="77777777" w:rsidR="006F1C9D" w:rsidRPr="00DF477D" w:rsidRDefault="006F1C9D" w:rsidP="006F1C9D">
      <w:pPr>
        <w:spacing w:line="360" w:lineRule="auto"/>
      </w:pPr>
    </w:p>
    <w:p w14:paraId="56E4E0FE" w14:textId="6E86BA4F" w:rsidR="006F1C9D" w:rsidRPr="00DF477D" w:rsidRDefault="006F1C9D" w:rsidP="006F1C9D">
      <w:pPr>
        <w:spacing w:line="360" w:lineRule="auto"/>
      </w:pPr>
      <w:r w:rsidRPr="00DF477D">
        <w:t>Halaby, C.</w:t>
      </w:r>
      <w:r w:rsidR="006B0EDE" w:rsidRPr="00DF477D">
        <w:t xml:space="preserve"> (1978) Bureau</w:t>
      </w:r>
      <w:r w:rsidRPr="00DF477D">
        <w:t xml:space="preserve">cratic Promotion Criteria. </w:t>
      </w:r>
      <w:r w:rsidRPr="00DF477D">
        <w:rPr>
          <w:i/>
        </w:rPr>
        <w:t xml:space="preserve">Administrative Science Quarterly </w:t>
      </w:r>
      <w:r w:rsidRPr="00DF477D">
        <w:t>23(3): 466-484.</w:t>
      </w:r>
    </w:p>
    <w:p w14:paraId="25986098" w14:textId="77777777" w:rsidR="006F1C9D" w:rsidRPr="00DF477D" w:rsidRDefault="006F1C9D" w:rsidP="006F1C9D">
      <w:pPr>
        <w:spacing w:line="360" w:lineRule="auto"/>
      </w:pPr>
    </w:p>
    <w:p w14:paraId="5B6252FF" w14:textId="77777777" w:rsidR="006F1C9D" w:rsidRPr="00DF477D" w:rsidRDefault="006F1C9D" w:rsidP="006F1C9D">
      <w:pPr>
        <w:spacing w:line="360" w:lineRule="auto"/>
      </w:pPr>
      <w:r w:rsidRPr="00DF477D">
        <w:t xml:space="preserve">Horn, M. (1995) </w:t>
      </w:r>
      <w:r w:rsidRPr="00DF477D">
        <w:rPr>
          <w:i/>
        </w:rPr>
        <w:t xml:space="preserve">The Political Economy of Public Administration. </w:t>
      </w:r>
      <w:r w:rsidRPr="00DF477D">
        <w:t xml:space="preserve">Cambridge: Cambridge University Press. </w:t>
      </w:r>
    </w:p>
    <w:p w14:paraId="6D4C036A" w14:textId="77777777" w:rsidR="006F1C9D" w:rsidRPr="00DF477D" w:rsidRDefault="006F1C9D" w:rsidP="006F1C9D">
      <w:pPr>
        <w:spacing w:line="360" w:lineRule="auto"/>
      </w:pPr>
    </w:p>
    <w:p w14:paraId="182BD9B8" w14:textId="6C3D7157" w:rsidR="006F1C9D" w:rsidRPr="00DF477D" w:rsidRDefault="006F1C9D" w:rsidP="006F1C9D">
      <w:pPr>
        <w:spacing w:line="360" w:lineRule="auto"/>
      </w:pPr>
      <w:r w:rsidRPr="00DF477D">
        <w:t>Kalleberg, A. and Van Buren, M. (1996) Is Bigger Better? Explaining the Relationship Between Organization Size and Job Rewards</w:t>
      </w:r>
      <w:r w:rsidR="00C733B9" w:rsidRPr="00DF477D">
        <w:t>.</w:t>
      </w:r>
      <w:r w:rsidRPr="00DF477D">
        <w:t xml:space="preserve"> </w:t>
      </w:r>
      <w:r w:rsidRPr="00DF477D">
        <w:rPr>
          <w:i/>
        </w:rPr>
        <w:t xml:space="preserve">American Sociological Review </w:t>
      </w:r>
      <w:r w:rsidRPr="00DF477D">
        <w:t>61(1)</w:t>
      </w:r>
      <w:r w:rsidR="00C733B9" w:rsidRPr="00DF477D">
        <w:t>:</w:t>
      </w:r>
      <w:r w:rsidRPr="00DF477D">
        <w:t xml:space="preserve"> 47-66.</w:t>
      </w:r>
    </w:p>
    <w:p w14:paraId="654C2402" w14:textId="77777777" w:rsidR="006F1C9D" w:rsidRPr="00DF477D" w:rsidRDefault="006F1C9D" w:rsidP="006F1C9D">
      <w:pPr>
        <w:spacing w:line="360" w:lineRule="auto"/>
      </w:pPr>
    </w:p>
    <w:p w14:paraId="350E5B76" w14:textId="7EF52564" w:rsidR="006F1C9D" w:rsidRPr="00DF477D" w:rsidRDefault="006F1C9D" w:rsidP="006F1C9D">
      <w:pPr>
        <w:spacing w:line="360" w:lineRule="auto"/>
      </w:pPr>
      <w:r w:rsidRPr="00DF477D">
        <w:t>Kim, Y. (2002) Executive Social Capital and its Impacts on Job Promotion</w:t>
      </w:r>
      <w:r w:rsidR="00C733B9" w:rsidRPr="00DF477D">
        <w:t>.</w:t>
      </w:r>
      <w:r w:rsidRPr="00DF477D">
        <w:t xml:space="preserve"> </w:t>
      </w:r>
      <w:r w:rsidRPr="00DF477D">
        <w:rPr>
          <w:i/>
        </w:rPr>
        <w:t>Academy of Management Proceedings</w:t>
      </w:r>
      <w:r w:rsidR="006464B9" w:rsidRPr="00DF477D">
        <w:rPr>
          <w:i/>
        </w:rPr>
        <w:t xml:space="preserve"> </w:t>
      </w:r>
      <w:r w:rsidR="0063497A" w:rsidRPr="00DF477D">
        <w:t>1:(J1-J6).</w:t>
      </w:r>
    </w:p>
    <w:p w14:paraId="02D78594" w14:textId="316FF490" w:rsidR="006F1C9D" w:rsidRPr="00DF477D" w:rsidRDefault="006F1C9D" w:rsidP="006F1C9D">
      <w:pPr>
        <w:spacing w:line="360" w:lineRule="auto"/>
      </w:pPr>
    </w:p>
    <w:p w14:paraId="2F06185F" w14:textId="0C27BB2C" w:rsidR="007E74DE" w:rsidRPr="00DF477D" w:rsidRDefault="007E74DE" w:rsidP="006F1C9D">
      <w:pPr>
        <w:spacing w:line="360" w:lineRule="auto"/>
      </w:pPr>
      <w:r w:rsidRPr="00DF477D">
        <w:t>Lagerkvist, J. (2014) The Legacy of the 1989 Beijing Massacre: Establishing Neo-Authoritarian Rule, Silencing Civil Society</w:t>
      </w:r>
      <w:r w:rsidR="00F16A39" w:rsidRPr="00DF477D">
        <w:t>.</w:t>
      </w:r>
      <w:r w:rsidRPr="00DF477D">
        <w:t xml:space="preserve"> </w:t>
      </w:r>
      <w:r w:rsidR="00522C2E" w:rsidRPr="00DF477D">
        <w:rPr>
          <w:i/>
        </w:rPr>
        <w:t>International Journal of China Studies</w:t>
      </w:r>
      <w:r w:rsidR="00F16A39" w:rsidRPr="00DF477D">
        <w:rPr>
          <w:i/>
        </w:rPr>
        <w:t xml:space="preserve"> </w:t>
      </w:r>
      <w:r w:rsidR="00522C2E" w:rsidRPr="00DF477D">
        <w:t>5(2)</w:t>
      </w:r>
      <w:r w:rsidR="00F16A39" w:rsidRPr="00DF477D">
        <w:t>:</w:t>
      </w:r>
      <w:r w:rsidR="00522C2E" w:rsidRPr="00DF477D">
        <w:t xml:space="preserve"> 349-369.</w:t>
      </w:r>
    </w:p>
    <w:p w14:paraId="4BECED6B" w14:textId="77777777" w:rsidR="007E74DE" w:rsidRPr="00DF477D" w:rsidRDefault="007E74DE" w:rsidP="006F1C9D">
      <w:pPr>
        <w:spacing w:line="360" w:lineRule="auto"/>
      </w:pPr>
    </w:p>
    <w:p w14:paraId="3AF3E012" w14:textId="77777777" w:rsidR="006F1C9D" w:rsidRPr="00DF477D" w:rsidRDefault="006F1C9D" w:rsidP="006F1C9D">
      <w:pPr>
        <w:spacing w:line="360" w:lineRule="auto"/>
      </w:pPr>
      <w:r w:rsidRPr="00DF477D">
        <w:t xml:space="preserve">Landry. P. (2003) The Political Management of Mayors in Post-Deng China. </w:t>
      </w:r>
      <w:r w:rsidRPr="00DF477D">
        <w:rPr>
          <w:i/>
        </w:rPr>
        <w:t xml:space="preserve">The Copenhagen Journal of Asian Studies </w:t>
      </w:r>
      <w:r w:rsidRPr="00DF477D">
        <w:t>17</w:t>
      </w:r>
      <w:r w:rsidRPr="00DF477D">
        <w:rPr>
          <w:b/>
        </w:rPr>
        <w:t xml:space="preserve">: </w:t>
      </w:r>
      <w:r w:rsidRPr="00DF477D">
        <w:t>31-58.</w:t>
      </w:r>
    </w:p>
    <w:p w14:paraId="38E7DD78" w14:textId="77777777" w:rsidR="006F1C9D" w:rsidRPr="00DF477D" w:rsidRDefault="006F1C9D" w:rsidP="006F1C9D">
      <w:pPr>
        <w:spacing w:line="360" w:lineRule="auto"/>
      </w:pPr>
    </w:p>
    <w:p w14:paraId="322810A6" w14:textId="6B44300B" w:rsidR="006F1C9D" w:rsidRPr="00DF477D" w:rsidRDefault="006F1C9D" w:rsidP="006F1C9D">
      <w:pPr>
        <w:spacing w:line="360" w:lineRule="auto"/>
      </w:pPr>
      <w:r w:rsidRPr="00DF477D">
        <w:t>Lau, C-M., Tse, D. and Zhou, N. (2002) Institutional Forces and Organizational C</w:t>
      </w:r>
      <w:r w:rsidR="00583BD7" w:rsidRPr="00DF477D">
        <w:t>ulture</w:t>
      </w:r>
      <w:r w:rsidRPr="00DF477D">
        <w:t xml:space="preserve"> in China: Effects on Change Schemas, Firm Commitment and Job Satisfaction. </w:t>
      </w:r>
      <w:r w:rsidRPr="00DF477D">
        <w:rPr>
          <w:i/>
        </w:rPr>
        <w:t xml:space="preserve">Journal of International Business Studies </w:t>
      </w:r>
      <w:r w:rsidRPr="00DF477D">
        <w:t>33</w:t>
      </w:r>
      <w:r w:rsidR="00974AE0" w:rsidRPr="00DF477D">
        <w:t>(3)</w:t>
      </w:r>
      <w:r w:rsidRPr="00DF477D">
        <w:t>:</w:t>
      </w:r>
      <w:r w:rsidRPr="00DF477D">
        <w:rPr>
          <w:b/>
        </w:rPr>
        <w:t xml:space="preserve"> </w:t>
      </w:r>
      <w:r w:rsidRPr="00DF477D">
        <w:t xml:space="preserve">533-550. </w:t>
      </w:r>
    </w:p>
    <w:p w14:paraId="461371CB" w14:textId="77777777" w:rsidR="006F1C9D" w:rsidRPr="00DF477D" w:rsidRDefault="006F1C9D" w:rsidP="006F1C9D">
      <w:pPr>
        <w:spacing w:line="360" w:lineRule="auto"/>
      </w:pPr>
    </w:p>
    <w:p w14:paraId="73014924" w14:textId="31F40484" w:rsidR="006F1C9D" w:rsidRPr="00DF477D" w:rsidRDefault="006F1C9D" w:rsidP="006F1C9D">
      <w:pPr>
        <w:spacing w:line="360" w:lineRule="auto"/>
      </w:pPr>
      <w:r w:rsidRPr="00DF477D">
        <w:t xml:space="preserve">Lee, H. (1991) </w:t>
      </w:r>
      <w:r w:rsidRPr="00DF477D">
        <w:rPr>
          <w:i/>
        </w:rPr>
        <w:t xml:space="preserve">From Revolutionary Cadres to Party Technocrats in Socialist China. </w:t>
      </w:r>
      <w:r w:rsidRPr="00DF477D">
        <w:t>Berk</w:t>
      </w:r>
      <w:r w:rsidR="007B41CE" w:rsidRPr="00DF477D">
        <w:t>el</w:t>
      </w:r>
      <w:r w:rsidRPr="00DF477D">
        <w:t>ey</w:t>
      </w:r>
      <w:r w:rsidR="007B41CE" w:rsidRPr="00DF477D">
        <w:t xml:space="preserve"> and Los Angeles</w:t>
      </w:r>
      <w:r w:rsidRPr="00DF477D">
        <w:t>: University of California Press.</w:t>
      </w:r>
    </w:p>
    <w:p w14:paraId="135FE676" w14:textId="77777777" w:rsidR="006F1C9D" w:rsidRPr="00DF477D" w:rsidRDefault="006F1C9D" w:rsidP="006F1C9D">
      <w:pPr>
        <w:spacing w:line="360" w:lineRule="auto"/>
      </w:pPr>
    </w:p>
    <w:p w14:paraId="6119046C" w14:textId="2903E398" w:rsidR="006F1C9D" w:rsidRPr="00DF477D" w:rsidRDefault="006F1C9D" w:rsidP="006F1C9D">
      <w:pPr>
        <w:spacing w:line="360" w:lineRule="auto"/>
      </w:pPr>
      <w:r w:rsidRPr="00DF477D">
        <w:t>Lee, S. (2017) An Institutional An</w:t>
      </w:r>
      <w:r w:rsidR="00282F20" w:rsidRPr="00DF477D">
        <w:t>alysis of Xi Jinping’s Centraliz</w:t>
      </w:r>
      <w:r w:rsidRPr="00DF477D">
        <w:t>ation of Power</w:t>
      </w:r>
      <w:r w:rsidR="001F3BB3" w:rsidRPr="00DF477D">
        <w:t>.</w:t>
      </w:r>
      <w:r w:rsidRPr="00DF477D">
        <w:t xml:space="preserve"> </w:t>
      </w:r>
      <w:r w:rsidRPr="00DF477D">
        <w:rPr>
          <w:i/>
        </w:rPr>
        <w:t xml:space="preserve">Journal of Contemporary China </w:t>
      </w:r>
      <w:r w:rsidRPr="00DF477D">
        <w:t>26</w:t>
      </w:r>
      <w:r w:rsidR="00282F20" w:rsidRPr="00DF477D">
        <w:t xml:space="preserve">(105): </w:t>
      </w:r>
      <w:r w:rsidRPr="00DF477D">
        <w:t>325-336.</w:t>
      </w:r>
    </w:p>
    <w:p w14:paraId="17CB8EFC" w14:textId="77777777" w:rsidR="006F1C9D" w:rsidRPr="00DF477D" w:rsidRDefault="006F1C9D" w:rsidP="006F1C9D">
      <w:pPr>
        <w:spacing w:line="360" w:lineRule="auto"/>
      </w:pPr>
    </w:p>
    <w:p w14:paraId="773914AA" w14:textId="630F6216" w:rsidR="006F1C9D" w:rsidRPr="00DF477D" w:rsidRDefault="006F1C9D" w:rsidP="006F1C9D">
      <w:pPr>
        <w:spacing w:line="360" w:lineRule="auto"/>
      </w:pPr>
      <w:r w:rsidRPr="00DF477D">
        <w:t>Lemons, M. and Jones, C. (2001) Procedural Justi</w:t>
      </w:r>
      <w:r w:rsidR="00253D20" w:rsidRPr="00DF477D">
        <w:t xml:space="preserve">ce in Promotion Decisions: </w:t>
      </w:r>
      <w:r w:rsidR="00F538DF" w:rsidRPr="00DF477D">
        <w:t>U</w:t>
      </w:r>
      <w:r w:rsidR="00253D20" w:rsidRPr="00DF477D">
        <w:t>sing</w:t>
      </w:r>
      <w:r w:rsidRPr="00DF477D">
        <w:t xml:space="preserve"> Perceptions of Fairness to Build Employee Commitment</w:t>
      </w:r>
      <w:r w:rsidR="001F3BB3" w:rsidRPr="00DF477D">
        <w:t>.</w:t>
      </w:r>
      <w:r w:rsidRPr="00DF477D">
        <w:t xml:space="preserve"> </w:t>
      </w:r>
      <w:r w:rsidRPr="00DF477D">
        <w:rPr>
          <w:i/>
        </w:rPr>
        <w:t xml:space="preserve">Journal of Managerial Psychology </w:t>
      </w:r>
      <w:r w:rsidRPr="00DF477D">
        <w:t>16(4)</w:t>
      </w:r>
      <w:r w:rsidR="001F3BB3" w:rsidRPr="00DF477D">
        <w:t>:</w:t>
      </w:r>
      <w:r w:rsidRPr="00DF477D">
        <w:t xml:space="preserve"> 268-281. </w:t>
      </w:r>
    </w:p>
    <w:p w14:paraId="63DAA3A9" w14:textId="77777777" w:rsidR="006F1C9D" w:rsidRPr="00DF477D" w:rsidRDefault="006F1C9D" w:rsidP="006F1C9D">
      <w:pPr>
        <w:spacing w:line="360" w:lineRule="auto"/>
      </w:pPr>
    </w:p>
    <w:p w14:paraId="55C5656E" w14:textId="07A1AE79" w:rsidR="006F1C9D" w:rsidRPr="00DF477D" w:rsidRDefault="006F1C9D" w:rsidP="006F1C9D">
      <w:pPr>
        <w:spacing w:line="360" w:lineRule="auto"/>
      </w:pPr>
      <w:r w:rsidRPr="00DF477D">
        <w:t>Li, H. and Zhou, L</w:t>
      </w:r>
      <w:r w:rsidR="006B0599" w:rsidRPr="00DF477D">
        <w:t>-A</w:t>
      </w:r>
      <w:r w:rsidRPr="00DF477D">
        <w:t xml:space="preserve"> (2005) Political turnover and economic performance: the incentive role of personnel control in China. </w:t>
      </w:r>
      <w:r w:rsidRPr="00DF477D">
        <w:rPr>
          <w:i/>
        </w:rPr>
        <w:t xml:space="preserve">Journal of Public Economics </w:t>
      </w:r>
      <w:r w:rsidRPr="00DF477D">
        <w:t>89</w:t>
      </w:r>
      <w:r w:rsidR="006B0599" w:rsidRPr="00DF477D">
        <w:t>(9-10)</w:t>
      </w:r>
      <w:r w:rsidRPr="00DF477D">
        <w:t>: 1743-1762.</w:t>
      </w:r>
    </w:p>
    <w:p w14:paraId="10D12167" w14:textId="77777777" w:rsidR="006F1C9D" w:rsidRPr="00DF477D" w:rsidRDefault="006F1C9D" w:rsidP="006F1C9D">
      <w:pPr>
        <w:spacing w:line="360" w:lineRule="auto"/>
      </w:pPr>
    </w:p>
    <w:p w14:paraId="41FB2A3C" w14:textId="4DC89587" w:rsidR="006F1C9D" w:rsidRPr="00DF477D" w:rsidRDefault="006F1C9D" w:rsidP="006F1C9D">
      <w:pPr>
        <w:spacing w:line="360" w:lineRule="auto"/>
      </w:pPr>
      <w:r w:rsidRPr="00DF477D">
        <w:t xml:space="preserve">Li, Y. and Wei, D. (2010) The spatial-temporal hierarchy </w:t>
      </w:r>
      <w:r w:rsidR="00C74FDB" w:rsidRPr="00DF477D">
        <w:t xml:space="preserve">of </w:t>
      </w:r>
      <w:r w:rsidRPr="00DF477D">
        <w:t xml:space="preserve">regional inequality in China. </w:t>
      </w:r>
      <w:r w:rsidRPr="00DF477D">
        <w:rPr>
          <w:i/>
        </w:rPr>
        <w:t xml:space="preserve">Applied Geography </w:t>
      </w:r>
      <w:r w:rsidRPr="00DF477D">
        <w:t>30</w:t>
      </w:r>
      <w:r w:rsidR="00FF5713" w:rsidRPr="00DF477D">
        <w:t>(3)</w:t>
      </w:r>
      <w:r w:rsidRPr="00DF477D">
        <w:rPr>
          <w:b/>
        </w:rPr>
        <w:t xml:space="preserve">: </w:t>
      </w:r>
      <w:r w:rsidRPr="00DF477D">
        <w:t xml:space="preserve">303-316. </w:t>
      </w:r>
    </w:p>
    <w:p w14:paraId="5B901404" w14:textId="77777777" w:rsidR="006F1C9D" w:rsidRPr="00DF477D" w:rsidRDefault="006F1C9D" w:rsidP="006F1C9D">
      <w:pPr>
        <w:spacing w:line="360" w:lineRule="auto"/>
      </w:pPr>
    </w:p>
    <w:p w14:paraId="415CBD96" w14:textId="3BB8EAD5" w:rsidR="006F1C9D" w:rsidRPr="00DF477D" w:rsidRDefault="006F1C9D" w:rsidP="006F1C9D">
      <w:pPr>
        <w:spacing w:line="360" w:lineRule="auto"/>
        <w:rPr>
          <w:i/>
        </w:rPr>
      </w:pPr>
      <w:r w:rsidRPr="00DF477D">
        <w:t xml:space="preserve">Lin, C. (2008) Demystifying the Chameleonic Nature of Chinese Leadership. </w:t>
      </w:r>
      <w:r w:rsidRPr="00DF477D">
        <w:rPr>
          <w:i/>
        </w:rPr>
        <w:t xml:space="preserve">Journal of Leadership and Organizational Studies </w:t>
      </w:r>
      <w:r w:rsidRPr="00DF477D">
        <w:t>14</w:t>
      </w:r>
      <w:r w:rsidR="003745C8" w:rsidRPr="00DF477D">
        <w:t>(4)</w:t>
      </w:r>
      <w:r w:rsidRPr="00DF477D">
        <w:t>: 303-321.</w:t>
      </w:r>
    </w:p>
    <w:p w14:paraId="1DE1FF0F" w14:textId="77777777" w:rsidR="006F1C9D" w:rsidRPr="00DF477D" w:rsidRDefault="006F1C9D" w:rsidP="006F1C9D">
      <w:pPr>
        <w:spacing w:line="360" w:lineRule="auto"/>
      </w:pPr>
    </w:p>
    <w:p w14:paraId="02029495" w14:textId="74D2597C" w:rsidR="006F1C9D" w:rsidRPr="00DF477D" w:rsidRDefault="006F1C9D" w:rsidP="006F1C9D">
      <w:pPr>
        <w:spacing w:line="360" w:lineRule="auto"/>
      </w:pPr>
      <w:r w:rsidRPr="00DF477D">
        <w:t>Manion, M. (1985) The Cadre Management System</w:t>
      </w:r>
      <w:r w:rsidR="00773A2F" w:rsidRPr="00DF477D">
        <w:t>,</w:t>
      </w:r>
      <w:r w:rsidRPr="00DF477D">
        <w:t xml:space="preserve"> Post-Mao: The Appointment, </w:t>
      </w:r>
      <w:r w:rsidR="00DC148F" w:rsidRPr="00DF477D">
        <w:t>Promotion, Transfer and Removal</w:t>
      </w:r>
      <w:r w:rsidRPr="00DF477D">
        <w:t xml:space="preserve"> of Party and State Leaders</w:t>
      </w:r>
      <w:r w:rsidR="001F3BB3" w:rsidRPr="00DF477D">
        <w:t>.</w:t>
      </w:r>
      <w:r w:rsidRPr="00DF477D">
        <w:t xml:space="preserve"> </w:t>
      </w:r>
      <w:r w:rsidRPr="00DF477D">
        <w:rPr>
          <w:i/>
        </w:rPr>
        <w:t xml:space="preserve">The China Quarterly </w:t>
      </w:r>
      <w:r w:rsidRPr="00DF477D">
        <w:t xml:space="preserve">102: 203-233. </w:t>
      </w:r>
    </w:p>
    <w:p w14:paraId="380AB919" w14:textId="77777777" w:rsidR="006F1C9D" w:rsidRPr="00DF477D" w:rsidRDefault="006F1C9D" w:rsidP="006F1C9D">
      <w:pPr>
        <w:spacing w:line="360" w:lineRule="auto"/>
      </w:pPr>
    </w:p>
    <w:p w14:paraId="0E6BCAEE" w14:textId="15E10C34" w:rsidR="006F1C9D" w:rsidRPr="00DF477D" w:rsidRDefault="006F1C9D" w:rsidP="006F1C9D">
      <w:pPr>
        <w:spacing w:line="360" w:lineRule="auto"/>
      </w:pPr>
      <w:r w:rsidRPr="00DF477D">
        <w:t>Mc</w:t>
      </w:r>
      <w:r w:rsidR="008A0755" w:rsidRPr="00DF477D">
        <w:t>Laughlin, K., Osborne, P. and Fe</w:t>
      </w:r>
      <w:r w:rsidRPr="00DF477D">
        <w:t>rlie, E. (eds</w:t>
      </w:r>
      <w:r w:rsidR="008A0755" w:rsidRPr="00DF477D">
        <w:t>.</w:t>
      </w:r>
      <w:r w:rsidRPr="00DF477D">
        <w:t xml:space="preserve">) (2002) </w:t>
      </w:r>
      <w:r w:rsidRPr="00DF477D">
        <w:rPr>
          <w:i/>
        </w:rPr>
        <w:t xml:space="preserve">New Public Management. </w:t>
      </w:r>
      <w:r w:rsidRPr="00DF477D">
        <w:t>London: Routledge.</w:t>
      </w:r>
    </w:p>
    <w:p w14:paraId="5854C495" w14:textId="77777777" w:rsidR="006F1C9D" w:rsidRPr="00DF477D" w:rsidRDefault="006F1C9D" w:rsidP="006F1C9D">
      <w:pPr>
        <w:spacing w:line="360" w:lineRule="auto"/>
      </w:pPr>
    </w:p>
    <w:p w14:paraId="470663D7" w14:textId="71E377FC" w:rsidR="006F1C9D" w:rsidRPr="00DF477D" w:rsidRDefault="006F1C9D" w:rsidP="006F1C9D">
      <w:pPr>
        <w:spacing w:line="360" w:lineRule="auto"/>
      </w:pPr>
      <w:r w:rsidRPr="00DF477D">
        <w:t xml:space="preserve">Nee, V. (1992) Organizational Dynamics of Market Transition: Hybrid Forms, Property Rights, and Mixed Economy in China. </w:t>
      </w:r>
      <w:r w:rsidRPr="00DF477D">
        <w:rPr>
          <w:i/>
        </w:rPr>
        <w:t xml:space="preserve">Administrative Science Quarterly </w:t>
      </w:r>
      <w:r w:rsidRPr="00DF477D">
        <w:t>37</w:t>
      </w:r>
      <w:r w:rsidR="00364443" w:rsidRPr="00DF477D">
        <w:t>(1)</w:t>
      </w:r>
      <w:r w:rsidRPr="00DF477D">
        <w:t>:</w:t>
      </w:r>
      <w:r w:rsidRPr="00DF477D">
        <w:rPr>
          <w:b/>
        </w:rPr>
        <w:t xml:space="preserve"> </w:t>
      </w:r>
      <w:r w:rsidRPr="00DF477D">
        <w:t>1-27.</w:t>
      </w:r>
    </w:p>
    <w:p w14:paraId="5B311588" w14:textId="77777777" w:rsidR="006F1C9D" w:rsidRPr="00DF477D" w:rsidRDefault="006F1C9D" w:rsidP="006F1C9D">
      <w:pPr>
        <w:spacing w:line="360" w:lineRule="auto"/>
      </w:pPr>
    </w:p>
    <w:p w14:paraId="0513E7DD" w14:textId="44BFE7A0" w:rsidR="006F1C9D" w:rsidRPr="00DF477D" w:rsidRDefault="006F1C9D" w:rsidP="006F1C9D">
      <w:pPr>
        <w:spacing w:line="360" w:lineRule="auto"/>
      </w:pPr>
      <w:r w:rsidRPr="00DF477D">
        <w:t xml:space="preserve">O’Reilly, C., Chatman, </w:t>
      </w:r>
      <w:r w:rsidR="00363D65" w:rsidRPr="00DF477D">
        <w:t>J</w:t>
      </w:r>
      <w:r w:rsidRPr="00DF477D">
        <w:t xml:space="preserve">. and Caldwell, D. (1991) People and Organizational Culture: A Profile Comparison Approach to Assessing Person-Organization Fit. </w:t>
      </w:r>
      <w:r w:rsidRPr="00DF477D">
        <w:rPr>
          <w:i/>
        </w:rPr>
        <w:t xml:space="preserve">Academy of Management Journal </w:t>
      </w:r>
      <w:r w:rsidRPr="00DF477D">
        <w:t>34</w:t>
      </w:r>
      <w:r w:rsidR="00050D62" w:rsidRPr="00DF477D">
        <w:t>(3)</w:t>
      </w:r>
      <w:r w:rsidRPr="00DF477D">
        <w:t>:</w:t>
      </w:r>
      <w:r w:rsidRPr="00DF477D">
        <w:rPr>
          <w:b/>
        </w:rPr>
        <w:t xml:space="preserve"> </w:t>
      </w:r>
      <w:r w:rsidRPr="00DF477D">
        <w:t>487-516.</w:t>
      </w:r>
    </w:p>
    <w:p w14:paraId="67B2BA83" w14:textId="77777777" w:rsidR="006F1C9D" w:rsidRPr="00DF477D" w:rsidRDefault="006F1C9D" w:rsidP="006F1C9D">
      <w:pPr>
        <w:spacing w:line="360" w:lineRule="auto"/>
        <w:rPr>
          <w:b/>
        </w:rPr>
      </w:pPr>
    </w:p>
    <w:p w14:paraId="4EAA1A64" w14:textId="3C3FD7C1" w:rsidR="006F1C9D" w:rsidRPr="00DF477D" w:rsidRDefault="006F1C9D" w:rsidP="006F1C9D">
      <w:pPr>
        <w:spacing w:line="360" w:lineRule="auto"/>
      </w:pPr>
      <w:r w:rsidRPr="00DF477D">
        <w:t xml:space="preserve">Pudney, S. and Shields, M. (2000) Gender, Pay, Race and Promotion </w:t>
      </w:r>
      <w:r w:rsidR="0005078D" w:rsidRPr="00DF477D">
        <w:t>in the B</w:t>
      </w:r>
      <w:r w:rsidRPr="00DF477D">
        <w:t>ritish Nursing Profession: Estimation of a Generalized Ordered Probit Model</w:t>
      </w:r>
      <w:r w:rsidR="001F3BB3" w:rsidRPr="00DF477D">
        <w:t>.</w:t>
      </w:r>
      <w:r w:rsidRPr="00DF477D">
        <w:t xml:space="preserve"> </w:t>
      </w:r>
      <w:r w:rsidRPr="00DF477D">
        <w:rPr>
          <w:i/>
        </w:rPr>
        <w:t xml:space="preserve">Journal of Applied Econometrics </w:t>
      </w:r>
      <w:r w:rsidRPr="00DF477D">
        <w:t>15(4)</w:t>
      </w:r>
      <w:r w:rsidR="001F3BB3" w:rsidRPr="00DF477D">
        <w:t>:</w:t>
      </w:r>
      <w:r w:rsidRPr="00DF477D">
        <w:t xml:space="preserve"> 367-399.</w:t>
      </w:r>
    </w:p>
    <w:p w14:paraId="6EC35042" w14:textId="77777777" w:rsidR="006F1C9D" w:rsidRPr="00DF477D" w:rsidRDefault="006F1C9D" w:rsidP="006F1C9D">
      <w:pPr>
        <w:spacing w:line="360" w:lineRule="auto"/>
        <w:rPr>
          <w:b/>
        </w:rPr>
      </w:pPr>
    </w:p>
    <w:p w14:paraId="55EADD53" w14:textId="1E950CFC" w:rsidR="006F1C9D" w:rsidRPr="00DF477D" w:rsidRDefault="006F1C9D" w:rsidP="006F1C9D">
      <w:pPr>
        <w:spacing w:line="360" w:lineRule="auto"/>
        <w:rPr>
          <w:b/>
        </w:rPr>
      </w:pPr>
      <w:r w:rsidRPr="00DF477D">
        <w:t>Qi, Y., Ma, L., Zhang, H. and Li, H. (2008) Translating a Global Issue into Local Priority: China’s Local Government Response to Climate Change</w:t>
      </w:r>
      <w:r w:rsidR="001F3BB3" w:rsidRPr="00DF477D">
        <w:t>.</w:t>
      </w:r>
      <w:r w:rsidRPr="00DF477D">
        <w:t xml:space="preserve"> </w:t>
      </w:r>
      <w:r w:rsidR="00606E24" w:rsidRPr="00DF477D">
        <w:rPr>
          <w:i/>
        </w:rPr>
        <w:t>The J</w:t>
      </w:r>
      <w:r w:rsidRPr="00DF477D">
        <w:rPr>
          <w:i/>
        </w:rPr>
        <w:t xml:space="preserve">ournal of Environment and Development </w:t>
      </w:r>
      <w:r w:rsidRPr="00DF477D">
        <w:t>17(4)</w:t>
      </w:r>
      <w:r w:rsidR="001F3BB3" w:rsidRPr="00DF477D">
        <w:t>:</w:t>
      </w:r>
      <w:r w:rsidRPr="00DF477D">
        <w:t xml:space="preserve"> 379-400.</w:t>
      </w:r>
      <w:r w:rsidRPr="00DF477D">
        <w:rPr>
          <w:b/>
        </w:rPr>
        <w:t xml:space="preserve"> </w:t>
      </w:r>
    </w:p>
    <w:p w14:paraId="2E39A1FA" w14:textId="77777777" w:rsidR="006F1C9D" w:rsidRPr="00DF477D" w:rsidRDefault="006F1C9D" w:rsidP="006F1C9D">
      <w:pPr>
        <w:spacing w:line="360" w:lineRule="auto"/>
        <w:rPr>
          <w:b/>
        </w:rPr>
      </w:pPr>
    </w:p>
    <w:p w14:paraId="7407D214" w14:textId="5B753C97" w:rsidR="006F1C9D" w:rsidRPr="00DF477D" w:rsidRDefault="006F1C9D" w:rsidP="006F1C9D">
      <w:pPr>
        <w:spacing w:line="360" w:lineRule="auto"/>
      </w:pPr>
      <w:r w:rsidRPr="00DF477D">
        <w:t xml:space="preserve">Quah, D. (1996) Empirics for </w:t>
      </w:r>
      <w:r w:rsidR="008B51C5" w:rsidRPr="00DF477D">
        <w:t>economic growth and convergence</w:t>
      </w:r>
      <w:r w:rsidRPr="00DF477D">
        <w:t xml:space="preserve">. </w:t>
      </w:r>
      <w:r w:rsidRPr="00DF477D">
        <w:rPr>
          <w:i/>
        </w:rPr>
        <w:t>European Economic</w:t>
      </w:r>
      <w:r w:rsidRPr="00DF477D">
        <w:t xml:space="preserve"> </w:t>
      </w:r>
      <w:r w:rsidRPr="00DF477D">
        <w:rPr>
          <w:i/>
        </w:rPr>
        <w:t>Review</w:t>
      </w:r>
      <w:r w:rsidRPr="00DF477D">
        <w:t xml:space="preserve"> 40</w:t>
      </w:r>
      <w:r w:rsidR="008B51C5" w:rsidRPr="00DF477D">
        <w:t>(6)</w:t>
      </w:r>
      <w:r w:rsidRPr="00DF477D">
        <w:t>: 1353-1375.</w:t>
      </w:r>
    </w:p>
    <w:p w14:paraId="6B13366F" w14:textId="77777777" w:rsidR="006F1C9D" w:rsidRPr="00DF477D" w:rsidRDefault="006F1C9D" w:rsidP="006F1C9D">
      <w:pPr>
        <w:spacing w:line="360" w:lineRule="auto"/>
      </w:pPr>
    </w:p>
    <w:p w14:paraId="5B1C3330" w14:textId="571FD08D" w:rsidR="006F1C9D" w:rsidRPr="00DF477D" w:rsidRDefault="006F1C9D" w:rsidP="006F1C9D">
      <w:pPr>
        <w:spacing w:line="360" w:lineRule="auto"/>
      </w:pPr>
      <w:r w:rsidRPr="00DF477D">
        <w:t>Rokeach, M. (1973)</w:t>
      </w:r>
      <w:r w:rsidRPr="00DF477D">
        <w:rPr>
          <w:b/>
        </w:rPr>
        <w:t xml:space="preserve"> </w:t>
      </w:r>
      <w:r w:rsidRPr="00DF477D">
        <w:rPr>
          <w:i/>
        </w:rPr>
        <w:t xml:space="preserve">The Nature of Human Values. </w:t>
      </w:r>
      <w:r w:rsidRPr="00DF477D">
        <w:t>New York: Free Press.</w:t>
      </w:r>
    </w:p>
    <w:p w14:paraId="63E4A3CF" w14:textId="77777777" w:rsidR="006F1C9D" w:rsidRPr="00DF477D" w:rsidRDefault="006F1C9D" w:rsidP="006F1C9D">
      <w:pPr>
        <w:spacing w:line="360" w:lineRule="auto"/>
      </w:pPr>
    </w:p>
    <w:p w14:paraId="556D2134" w14:textId="2FC4B407" w:rsidR="006F1C9D" w:rsidRPr="00DF477D" w:rsidRDefault="006F1C9D" w:rsidP="006F1C9D">
      <w:pPr>
        <w:spacing w:line="360" w:lineRule="auto"/>
      </w:pPr>
      <w:r w:rsidRPr="00DF477D">
        <w:t>Ruderman, M., Ohlott, P. and Kram, K. (1995) Promotion Decisions as a Diversity Practice</w:t>
      </w:r>
      <w:r w:rsidR="001F3BB3" w:rsidRPr="00DF477D">
        <w:t>.</w:t>
      </w:r>
      <w:r w:rsidRPr="00DF477D">
        <w:t xml:space="preserve"> </w:t>
      </w:r>
      <w:r w:rsidRPr="00DF477D">
        <w:rPr>
          <w:i/>
        </w:rPr>
        <w:t xml:space="preserve">Journal of Management Development </w:t>
      </w:r>
      <w:r w:rsidRPr="00DF477D">
        <w:t>14(2)</w:t>
      </w:r>
      <w:r w:rsidR="001F3BB3" w:rsidRPr="00DF477D">
        <w:t>:</w:t>
      </w:r>
      <w:r w:rsidRPr="00DF477D">
        <w:t xml:space="preserve"> 6-23.</w:t>
      </w:r>
    </w:p>
    <w:p w14:paraId="569F9C09" w14:textId="77777777" w:rsidR="006F1C9D" w:rsidRPr="00DF477D" w:rsidRDefault="006F1C9D" w:rsidP="006F1C9D">
      <w:pPr>
        <w:spacing w:line="360" w:lineRule="auto"/>
      </w:pPr>
    </w:p>
    <w:p w14:paraId="4431DE6F" w14:textId="75B7F0C1" w:rsidR="006F1C9D" w:rsidRPr="00DF477D" w:rsidRDefault="006F1C9D" w:rsidP="006F1C9D">
      <w:pPr>
        <w:spacing w:line="360" w:lineRule="auto"/>
      </w:pPr>
      <w:r w:rsidRPr="00DF477D">
        <w:t xml:space="preserve">Shih, V. Adolph, C. and Liu, M. (2012) Getting Ahead in the Communist Party: Explaining the Advancement of Central Committee Members in China. </w:t>
      </w:r>
      <w:r w:rsidRPr="00DF477D">
        <w:rPr>
          <w:i/>
        </w:rPr>
        <w:t xml:space="preserve">American Political Science Review </w:t>
      </w:r>
      <w:r w:rsidRPr="00DF477D">
        <w:t>106</w:t>
      </w:r>
      <w:r w:rsidR="00F35AB7" w:rsidRPr="00DF477D">
        <w:t>(1)</w:t>
      </w:r>
      <w:r w:rsidRPr="00DF477D">
        <w:t>:</w:t>
      </w:r>
      <w:r w:rsidRPr="00DF477D">
        <w:rPr>
          <w:b/>
        </w:rPr>
        <w:t xml:space="preserve"> </w:t>
      </w:r>
      <w:r w:rsidRPr="00DF477D">
        <w:t>166-187.</w:t>
      </w:r>
    </w:p>
    <w:p w14:paraId="482F2802" w14:textId="77777777" w:rsidR="006F1C9D" w:rsidRPr="00DF477D" w:rsidRDefault="006F1C9D" w:rsidP="006F1C9D">
      <w:pPr>
        <w:spacing w:line="360" w:lineRule="auto"/>
      </w:pPr>
    </w:p>
    <w:p w14:paraId="541EACD7" w14:textId="15D4BEBD" w:rsidR="006F1C9D" w:rsidRPr="00DF477D" w:rsidRDefault="004E3B54" w:rsidP="006F1C9D">
      <w:pPr>
        <w:spacing w:line="360" w:lineRule="auto"/>
      </w:pPr>
      <w:r w:rsidRPr="00DF477D">
        <w:t>Spil</w:t>
      </w:r>
      <w:r w:rsidR="006F1C9D" w:rsidRPr="00DF477D">
        <w:t>erman, S. and Lunde, T. (1991) Features of Educational Attainment and Job Promotion Prospects</w:t>
      </w:r>
      <w:r w:rsidR="001F3BB3" w:rsidRPr="00DF477D">
        <w:t>.</w:t>
      </w:r>
      <w:r w:rsidR="006F1C9D" w:rsidRPr="00DF477D">
        <w:t xml:space="preserve"> </w:t>
      </w:r>
      <w:r w:rsidR="006F1C9D" w:rsidRPr="00DF477D">
        <w:rPr>
          <w:i/>
        </w:rPr>
        <w:t xml:space="preserve">American Journal of Sociology </w:t>
      </w:r>
      <w:r w:rsidR="006F1C9D" w:rsidRPr="00DF477D">
        <w:t>97(3)</w:t>
      </w:r>
      <w:r w:rsidR="001F3BB3" w:rsidRPr="00DF477D">
        <w:t>:</w:t>
      </w:r>
      <w:r w:rsidR="006F1C9D" w:rsidRPr="00DF477D">
        <w:t xml:space="preserve"> 689-720.</w:t>
      </w:r>
    </w:p>
    <w:p w14:paraId="37D9A553" w14:textId="77777777" w:rsidR="006F1C9D" w:rsidRPr="00DF477D" w:rsidRDefault="006F1C9D" w:rsidP="006F1C9D">
      <w:pPr>
        <w:spacing w:line="360" w:lineRule="auto"/>
      </w:pPr>
    </w:p>
    <w:p w14:paraId="33A8263D" w14:textId="1DA60C70" w:rsidR="006F1C9D" w:rsidRPr="00DF477D" w:rsidRDefault="006F1C9D" w:rsidP="006F1C9D">
      <w:pPr>
        <w:spacing w:line="360" w:lineRule="auto"/>
        <w:rPr>
          <w:kern w:val="0"/>
        </w:rPr>
      </w:pPr>
      <w:r w:rsidRPr="00DF477D">
        <w:t>Su, F., Tao, R., Xi, L. and Li, M. (</w:t>
      </w:r>
      <w:r w:rsidRPr="00DF477D">
        <w:rPr>
          <w:kern w:val="0"/>
        </w:rPr>
        <w:t>2012) Local Officials</w:t>
      </w:r>
      <w:r w:rsidR="00176D89" w:rsidRPr="00DF477D">
        <w:rPr>
          <w:kern w:val="0"/>
        </w:rPr>
        <w:t>’</w:t>
      </w:r>
      <w:r w:rsidRPr="00DF477D">
        <w:rPr>
          <w:kern w:val="0"/>
        </w:rPr>
        <w:t xml:space="preserve"> Incentives and China’s Economic Growth: Tournament Thesis Reexamined and Alternative Explanatory Framework. </w:t>
      </w:r>
      <w:r w:rsidRPr="00DF477D">
        <w:rPr>
          <w:i/>
          <w:kern w:val="0"/>
        </w:rPr>
        <w:t xml:space="preserve">China and World Economy </w:t>
      </w:r>
      <w:r w:rsidRPr="00DF477D">
        <w:rPr>
          <w:kern w:val="0"/>
        </w:rPr>
        <w:t>20</w:t>
      </w:r>
      <w:r w:rsidR="00036598" w:rsidRPr="00DF477D">
        <w:rPr>
          <w:kern w:val="0"/>
        </w:rPr>
        <w:t>(4)</w:t>
      </w:r>
      <w:r w:rsidRPr="00DF477D">
        <w:rPr>
          <w:kern w:val="0"/>
        </w:rPr>
        <w:t>:</w:t>
      </w:r>
      <w:r w:rsidRPr="00DF477D">
        <w:rPr>
          <w:b/>
          <w:kern w:val="0"/>
        </w:rPr>
        <w:t xml:space="preserve"> </w:t>
      </w:r>
      <w:r w:rsidRPr="00DF477D">
        <w:rPr>
          <w:kern w:val="0"/>
        </w:rPr>
        <w:t>1-18.</w:t>
      </w:r>
    </w:p>
    <w:p w14:paraId="54CFB7C5" w14:textId="77777777" w:rsidR="006F1C9D" w:rsidRPr="00DF477D" w:rsidRDefault="006F1C9D" w:rsidP="006F1C9D">
      <w:pPr>
        <w:spacing w:line="360" w:lineRule="auto"/>
      </w:pPr>
    </w:p>
    <w:p w14:paraId="3FC9D097" w14:textId="2CF86B66" w:rsidR="006F1C9D" w:rsidRPr="00DF477D" w:rsidRDefault="00927CCF" w:rsidP="006F1C9D">
      <w:pPr>
        <w:spacing w:line="360" w:lineRule="auto"/>
      </w:pPr>
      <w:r w:rsidRPr="00DF477D">
        <w:t>Tsu</w:t>
      </w:r>
      <w:r w:rsidR="006F1C9D" w:rsidRPr="00DF477D">
        <w:t xml:space="preserve">i, K. and Wang, Y. (2004) Between Separate Stoves and a Single Menu: Fiscal Decentralization in China. </w:t>
      </w:r>
      <w:r w:rsidR="006F1C9D" w:rsidRPr="00DF477D">
        <w:rPr>
          <w:i/>
        </w:rPr>
        <w:t xml:space="preserve">The China Quarterly </w:t>
      </w:r>
      <w:r w:rsidR="006F1C9D" w:rsidRPr="00DF477D">
        <w:t>177:</w:t>
      </w:r>
      <w:r w:rsidR="006F1C9D" w:rsidRPr="00DF477D">
        <w:rPr>
          <w:b/>
        </w:rPr>
        <w:t xml:space="preserve"> </w:t>
      </w:r>
      <w:r w:rsidR="006F1C9D" w:rsidRPr="00DF477D">
        <w:t xml:space="preserve">71-90.  </w:t>
      </w:r>
    </w:p>
    <w:p w14:paraId="3C540A65" w14:textId="77777777" w:rsidR="006F1C9D" w:rsidRPr="00DF477D" w:rsidRDefault="006F1C9D" w:rsidP="006F1C9D">
      <w:pPr>
        <w:spacing w:line="360" w:lineRule="auto"/>
      </w:pPr>
    </w:p>
    <w:p w14:paraId="7F1FA0DA" w14:textId="007AD0DA" w:rsidR="006F1C9D" w:rsidRPr="00DF477D" w:rsidRDefault="006F1C9D" w:rsidP="006F1C9D">
      <w:pPr>
        <w:spacing w:line="360" w:lineRule="auto"/>
      </w:pPr>
      <w:r w:rsidRPr="00DF477D">
        <w:t xml:space="preserve">Tsui, A., Wang, H. and Xin, K. (2006) Organizational Culture in China: An Analysis of Culture Dimensions </w:t>
      </w:r>
      <w:r w:rsidR="00851390" w:rsidRPr="00DF477D">
        <w:t xml:space="preserve">and </w:t>
      </w:r>
      <w:r w:rsidRPr="00DF477D">
        <w:t xml:space="preserve">Culture Types. </w:t>
      </w:r>
      <w:r w:rsidRPr="00DF477D">
        <w:rPr>
          <w:i/>
        </w:rPr>
        <w:t xml:space="preserve">Management and Organization Review </w:t>
      </w:r>
      <w:r w:rsidRPr="00DF477D">
        <w:t>2</w:t>
      </w:r>
      <w:r w:rsidR="00E60E30" w:rsidRPr="00DF477D">
        <w:t>(3)</w:t>
      </w:r>
      <w:r w:rsidRPr="00DF477D">
        <w:t>: 345-376.</w:t>
      </w:r>
    </w:p>
    <w:p w14:paraId="7B6AB511" w14:textId="77777777" w:rsidR="006F1C9D" w:rsidRPr="00DF477D" w:rsidRDefault="006F1C9D" w:rsidP="006F1C9D">
      <w:pPr>
        <w:spacing w:line="360" w:lineRule="auto"/>
      </w:pPr>
    </w:p>
    <w:p w14:paraId="47B14057" w14:textId="0637EBE0" w:rsidR="006F1C9D" w:rsidRPr="00DF477D" w:rsidRDefault="006F1C9D" w:rsidP="006F1C9D">
      <w:pPr>
        <w:spacing w:line="360" w:lineRule="auto"/>
      </w:pPr>
      <w:r w:rsidRPr="00DF477D">
        <w:t xml:space="preserve">Walder, A. (2003) Elite Opportunity in Transitional Economies. </w:t>
      </w:r>
      <w:r w:rsidRPr="00DF477D">
        <w:rPr>
          <w:i/>
        </w:rPr>
        <w:t xml:space="preserve">American Sociological Review </w:t>
      </w:r>
      <w:r w:rsidRPr="00DF477D">
        <w:t>68</w:t>
      </w:r>
      <w:r w:rsidR="00ED0CE4" w:rsidRPr="00DF477D">
        <w:t>(</w:t>
      </w:r>
      <w:r w:rsidR="0061696C" w:rsidRPr="00DF477D">
        <w:t>6</w:t>
      </w:r>
      <w:r w:rsidR="00ED0CE4" w:rsidRPr="00DF477D">
        <w:t>)</w:t>
      </w:r>
      <w:r w:rsidRPr="00DF477D">
        <w:rPr>
          <w:b/>
        </w:rPr>
        <w:t xml:space="preserve">: </w:t>
      </w:r>
      <w:r w:rsidRPr="00DF477D">
        <w:t>899-916.</w:t>
      </w:r>
    </w:p>
    <w:p w14:paraId="75FE2A7C" w14:textId="77777777" w:rsidR="006F1C9D" w:rsidRPr="00DF477D" w:rsidRDefault="006F1C9D" w:rsidP="006F1C9D">
      <w:pPr>
        <w:spacing w:line="360" w:lineRule="auto"/>
      </w:pPr>
    </w:p>
    <w:p w14:paraId="32B0D1EE" w14:textId="2A6092EB" w:rsidR="006F1C9D" w:rsidRPr="00DF477D" w:rsidRDefault="006F1C9D" w:rsidP="006F1C9D">
      <w:pPr>
        <w:spacing w:line="360" w:lineRule="auto"/>
      </w:pPr>
      <w:r w:rsidRPr="00DF477D">
        <w:t>Wang, S. (1981) The Problem of Cadres in China</w:t>
      </w:r>
      <w:r w:rsidR="00873034" w:rsidRPr="00DF477D">
        <w:t>.</w:t>
      </w:r>
      <w:r w:rsidRPr="00DF477D">
        <w:t xml:space="preserve"> </w:t>
      </w:r>
      <w:r w:rsidRPr="00DF477D">
        <w:rPr>
          <w:i/>
        </w:rPr>
        <w:t xml:space="preserve">China Report, </w:t>
      </w:r>
      <w:r w:rsidRPr="00DF477D">
        <w:t>May/June: 3-12.</w:t>
      </w:r>
    </w:p>
    <w:p w14:paraId="44726D1B" w14:textId="77777777" w:rsidR="006F1C9D" w:rsidRPr="00DF477D" w:rsidRDefault="006F1C9D" w:rsidP="006F1C9D">
      <w:pPr>
        <w:spacing w:line="360" w:lineRule="auto"/>
      </w:pPr>
    </w:p>
    <w:p w14:paraId="74D06FE2" w14:textId="1C29A9C0" w:rsidR="006F1C9D" w:rsidRPr="00DF477D" w:rsidRDefault="006F1C9D" w:rsidP="006F1C9D">
      <w:pPr>
        <w:spacing w:line="360" w:lineRule="auto"/>
      </w:pPr>
      <w:r w:rsidRPr="00DF477D">
        <w:t xml:space="preserve">Weber, M. (1947) </w:t>
      </w:r>
      <w:r w:rsidRPr="00DF477D">
        <w:rPr>
          <w:i/>
        </w:rPr>
        <w:t xml:space="preserve">The Theory of Social and Economic Organization. </w:t>
      </w:r>
      <w:r w:rsidR="008032D2" w:rsidRPr="00DF477D">
        <w:t>A. Henderson and T.</w:t>
      </w:r>
      <w:r w:rsidR="00FA7EB9" w:rsidRPr="00DF477D">
        <w:t xml:space="preserve"> Par</w:t>
      </w:r>
      <w:r w:rsidR="005456BE" w:rsidRPr="00DF477D">
        <w:t xml:space="preserve">sons </w:t>
      </w:r>
      <w:r w:rsidR="00FA7EB9" w:rsidRPr="00DF477D">
        <w:t>(ed</w:t>
      </w:r>
      <w:r w:rsidR="005456BE" w:rsidRPr="00DF477D">
        <w:t>s</w:t>
      </w:r>
      <w:r w:rsidR="00FA7EB9" w:rsidRPr="00DF477D">
        <w:t>.)</w:t>
      </w:r>
      <w:r w:rsidRPr="00DF477D">
        <w:t xml:space="preserve"> Oxford University Press: New York. </w:t>
      </w:r>
    </w:p>
    <w:p w14:paraId="7B613173" w14:textId="77777777" w:rsidR="006F1C9D" w:rsidRPr="00DF477D" w:rsidRDefault="006F1C9D" w:rsidP="006F1C9D">
      <w:pPr>
        <w:spacing w:line="360" w:lineRule="auto"/>
      </w:pPr>
    </w:p>
    <w:p w14:paraId="5AB30ED3" w14:textId="1968A849" w:rsidR="006F1C9D" w:rsidRPr="00DF477D" w:rsidRDefault="00C22493" w:rsidP="006F1C9D">
      <w:pPr>
        <w:spacing w:line="360" w:lineRule="auto"/>
      </w:pPr>
      <w:r w:rsidRPr="00DF477D">
        <w:t>Wei, Y</w:t>
      </w:r>
      <w:r w:rsidR="006F1C9D" w:rsidRPr="00DF477D">
        <w:t xml:space="preserve">. </w:t>
      </w:r>
      <w:r w:rsidRPr="00DF477D">
        <w:t>(2002) Beyond the Sunan Model: Trajectory and Underlying Factors of Development in Kunshan,</w:t>
      </w:r>
      <w:r w:rsidR="006F1C9D" w:rsidRPr="00DF477D">
        <w:t xml:space="preserve"> China</w:t>
      </w:r>
      <w:r w:rsidR="001F3BB3" w:rsidRPr="00DF477D">
        <w:t>.</w:t>
      </w:r>
      <w:r w:rsidR="006F1C9D" w:rsidRPr="00DF477D">
        <w:t xml:space="preserve"> </w:t>
      </w:r>
      <w:r w:rsidR="006F1C9D" w:rsidRPr="00DF477D">
        <w:rPr>
          <w:i/>
        </w:rPr>
        <w:t>Environment and Planning A</w:t>
      </w:r>
      <w:r w:rsidR="0074599E" w:rsidRPr="00DF477D">
        <w:rPr>
          <w:i/>
        </w:rPr>
        <w:t xml:space="preserve"> </w:t>
      </w:r>
      <w:r w:rsidR="006F1C9D" w:rsidRPr="00DF477D">
        <w:t>34</w:t>
      </w:r>
      <w:r w:rsidRPr="00DF477D">
        <w:t>(10)</w:t>
      </w:r>
      <w:r w:rsidR="006F1C9D" w:rsidRPr="00DF477D">
        <w:t xml:space="preserve">: 1725-1747. </w:t>
      </w:r>
    </w:p>
    <w:p w14:paraId="224C8CD8" w14:textId="77777777" w:rsidR="006F1C9D" w:rsidRPr="00DF477D" w:rsidRDefault="006F1C9D" w:rsidP="006F1C9D">
      <w:pPr>
        <w:spacing w:line="360" w:lineRule="auto"/>
      </w:pPr>
    </w:p>
    <w:p w14:paraId="6DC40C4A" w14:textId="5F0CACF8" w:rsidR="006F1C9D" w:rsidRPr="00DF477D" w:rsidRDefault="006F1C9D" w:rsidP="006F1C9D">
      <w:pPr>
        <w:spacing w:line="360" w:lineRule="auto"/>
      </w:pPr>
      <w:r w:rsidRPr="00DF477D">
        <w:t>Xu, C. (2011) The Fundamental Institutions of China’s Reforms and Development</w:t>
      </w:r>
      <w:r w:rsidR="001F3BB3" w:rsidRPr="00DF477D">
        <w:t>.</w:t>
      </w:r>
      <w:r w:rsidRPr="00DF477D">
        <w:t xml:space="preserve"> </w:t>
      </w:r>
      <w:r w:rsidRPr="00DF477D">
        <w:rPr>
          <w:i/>
        </w:rPr>
        <w:t xml:space="preserve">Journal of Economic Literature </w:t>
      </w:r>
      <w:r w:rsidRPr="00DF477D">
        <w:t>49</w:t>
      </w:r>
      <w:r w:rsidR="00086D97" w:rsidRPr="00DF477D">
        <w:t>(4)</w:t>
      </w:r>
      <w:r w:rsidRPr="00DF477D">
        <w:t>: 1076-1151</w:t>
      </w:r>
      <w:r w:rsidR="00086D97" w:rsidRPr="00DF477D">
        <w:t>.</w:t>
      </w:r>
      <w:r w:rsidRPr="00DF477D">
        <w:t xml:space="preserve"> </w:t>
      </w:r>
    </w:p>
    <w:p w14:paraId="15185A36" w14:textId="77777777" w:rsidR="006F1C9D" w:rsidRPr="00DF477D" w:rsidRDefault="006F1C9D" w:rsidP="006F1C9D">
      <w:pPr>
        <w:spacing w:line="360" w:lineRule="auto"/>
      </w:pPr>
    </w:p>
    <w:p w14:paraId="62498FAC" w14:textId="045485A2" w:rsidR="006F1C9D" w:rsidRPr="00DF477D" w:rsidRDefault="006F1C9D" w:rsidP="006F1C9D">
      <w:pPr>
        <w:spacing w:line="360" w:lineRule="auto"/>
      </w:pPr>
      <w:r w:rsidRPr="00DF477D">
        <w:t>Yeung, H. (2000) Local politics and foreign ventures in China’s transitional economy</w:t>
      </w:r>
      <w:r w:rsidR="00AC1482" w:rsidRPr="00DF477D">
        <w:t>: the political economy of Singaporean investments in China</w:t>
      </w:r>
      <w:r w:rsidRPr="00DF477D">
        <w:t xml:space="preserve"> </w:t>
      </w:r>
      <w:r w:rsidRPr="00DF477D">
        <w:rPr>
          <w:i/>
        </w:rPr>
        <w:t xml:space="preserve">Political Geography </w:t>
      </w:r>
      <w:r w:rsidRPr="00DF477D">
        <w:t>19</w:t>
      </w:r>
      <w:r w:rsidR="00D33402" w:rsidRPr="00DF477D">
        <w:t>(7)</w:t>
      </w:r>
      <w:r w:rsidRPr="00DF477D">
        <w:rPr>
          <w:b/>
        </w:rPr>
        <w:t xml:space="preserve">: </w:t>
      </w:r>
      <w:r w:rsidRPr="00DF477D">
        <w:t>809-840.</w:t>
      </w:r>
    </w:p>
    <w:p w14:paraId="331A199A" w14:textId="77777777" w:rsidR="005725D8" w:rsidRPr="00DF477D" w:rsidRDefault="005725D8" w:rsidP="006F1C9D">
      <w:pPr>
        <w:spacing w:line="360" w:lineRule="auto"/>
      </w:pPr>
    </w:p>
    <w:p w14:paraId="6401119A" w14:textId="79D8E237" w:rsidR="006F1C9D" w:rsidRPr="00DF477D" w:rsidRDefault="006F1C9D" w:rsidP="006F1C9D">
      <w:pPr>
        <w:spacing w:line="360" w:lineRule="auto"/>
      </w:pPr>
      <w:r w:rsidRPr="00DF477D">
        <w:t>Zhang, Y. (2014) Testing Social Ties against Merits: the Political Career of Provincial Party Chiefs in China, 1990-2007</w:t>
      </w:r>
      <w:r w:rsidR="001F3BB3" w:rsidRPr="00DF477D">
        <w:t>.</w:t>
      </w:r>
      <w:r w:rsidRPr="00DF477D">
        <w:t xml:space="preserve"> </w:t>
      </w:r>
      <w:r w:rsidRPr="00DF477D">
        <w:rPr>
          <w:i/>
        </w:rPr>
        <w:t xml:space="preserve">Journal of Chinese Political Science </w:t>
      </w:r>
      <w:r w:rsidRPr="00DF477D">
        <w:t>19</w:t>
      </w:r>
      <w:r w:rsidR="00BE3E03" w:rsidRPr="00DF477D">
        <w:t>(3)</w:t>
      </w:r>
      <w:r w:rsidR="001F3BB3" w:rsidRPr="00DF477D">
        <w:t>:</w:t>
      </w:r>
      <w:r w:rsidRPr="00DF477D">
        <w:rPr>
          <w:b/>
        </w:rPr>
        <w:t xml:space="preserve"> </w:t>
      </w:r>
      <w:r w:rsidRPr="00DF477D">
        <w:t xml:space="preserve">249-265.   </w:t>
      </w:r>
    </w:p>
    <w:p w14:paraId="180D1F5C" w14:textId="77777777" w:rsidR="006F1C9D" w:rsidRPr="00DF477D" w:rsidRDefault="006F1C9D" w:rsidP="006F1C9D">
      <w:pPr>
        <w:spacing w:line="360" w:lineRule="auto"/>
      </w:pPr>
    </w:p>
    <w:p w14:paraId="4A78BACD" w14:textId="0F57C629" w:rsidR="006F1C9D" w:rsidRPr="00DF477D" w:rsidRDefault="006F1C9D" w:rsidP="006F1C9D">
      <w:pPr>
        <w:spacing w:line="360" w:lineRule="auto"/>
      </w:pPr>
      <w:r w:rsidRPr="00DF477D">
        <w:t xml:space="preserve">Zhang, Y. and Wan, G. (2005) China’s Business Cycles: Perspectives from </w:t>
      </w:r>
      <w:r w:rsidR="007663FE" w:rsidRPr="00DF477D">
        <w:t>an</w:t>
      </w:r>
      <w:r w:rsidRPr="00DF477D">
        <w:t xml:space="preserve"> AD-AS Model</w:t>
      </w:r>
      <w:r w:rsidR="001F3BB3" w:rsidRPr="00DF477D">
        <w:t>.</w:t>
      </w:r>
      <w:r w:rsidRPr="00DF477D">
        <w:t xml:space="preserve"> </w:t>
      </w:r>
      <w:r w:rsidRPr="00DF477D">
        <w:rPr>
          <w:i/>
        </w:rPr>
        <w:t xml:space="preserve">Asian Economic Journal </w:t>
      </w:r>
      <w:r w:rsidRPr="00DF477D">
        <w:t>19</w:t>
      </w:r>
      <w:r w:rsidR="00C438E5" w:rsidRPr="00DF477D">
        <w:t>(4)</w:t>
      </w:r>
      <w:r w:rsidR="001F3BB3" w:rsidRPr="00DF477D">
        <w:t>:</w:t>
      </w:r>
      <w:r w:rsidRPr="00DF477D">
        <w:t xml:space="preserve"> 445-469.</w:t>
      </w:r>
    </w:p>
    <w:p w14:paraId="14A33506" w14:textId="77777777" w:rsidR="006F1C9D" w:rsidRPr="00DF477D" w:rsidRDefault="006F1C9D" w:rsidP="006F1C9D">
      <w:pPr>
        <w:spacing w:line="360" w:lineRule="auto"/>
      </w:pPr>
    </w:p>
    <w:p w14:paraId="3F254E61" w14:textId="6D285A5D" w:rsidR="006F1C9D" w:rsidRPr="00DF477D" w:rsidRDefault="006F1C9D" w:rsidP="00040AB3">
      <w:pPr>
        <w:rPr>
          <w:kern w:val="0"/>
        </w:rPr>
        <w:sectPr w:rsidR="006F1C9D" w:rsidRPr="00DF477D">
          <w:footerReference w:type="default" r:id="rId13"/>
          <w:endnotePr>
            <w:numFmt w:val="decimal"/>
          </w:endnotePr>
          <w:pgSz w:w="11906" w:h="16838"/>
          <w:pgMar w:top="1440" w:right="1800" w:bottom="1440" w:left="1800" w:header="851" w:footer="992" w:gutter="0"/>
          <w:cols w:space="720"/>
          <w:docGrid w:type="lines" w:linePitch="312"/>
        </w:sectPr>
      </w:pPr>
      <w:r w:rsidRPr="00DF477D">
        <w:t>Z</w:t>
      </w:r>
      <w:r w:rsidR="00222959" w:rsidRPr="00DF477D">
        <w:t>heng, Y. (2009) Can the</w:t>
      </w:r>
      <w:r w:rsidR="0001008F" w:rsidRPr="00DF477D">
        <w:t xml:space="preserve"> </w:t>
      </w:r>
      <w:r w:rsidRPr="00DF477D">
        <w:t>Communist Party Sustain its</w:t>
      </w:r>
      <w:r w:rsidR="00222959" w:rsidRPr="00DF477D">
        <w:t xml:space="preserve"> R</w:t>
      </w:r>
      <w:r w:rsidR="003A27E0" w:rsidRPr="00DF477D">
        <w:t>u</w:t>
      </w:r>
      <w:r w:rsidR="00222959" w:rsidRPr="00DF477D">
        <w:t xml:space="preserve">le in China?’, in K. Lee, </w:t>
      </w:r>
      <w:r w:rsidR="003A27E0" w:rsidRPr="00DF477D">
        <w:t xml:space="preserve">J-H </w:t>
      </w:r>
      <w:r w:rsidRPr="00DF477D">
        <w:t>Kim</w:t>
      </w:r>
      <w:r w:rsidR="00222959" w:rsidRPr="00DF477D">
        <w:t xml:space="preserve">, and </w:t>
      </w:r>
      <w:r w:rsidR="003A27E0" w:rsidRPr="00DF477D">
        <w:t xml:space="preserve">W. </w:t>
      </w:r>
      <w:r w:rsidRPr="00DF477D">
        <w:t>Woo</w:t>
      </w:r>
      <w:r w:rsidR="003A27E0" w:rsidRPr="00DF477D">
        <w:t xml:space="preserve"> </w:t>
      </w:r>
      <w:r w:rsidRPr="00DF477D">
        <w:t>(eds</w:t>
      </w:r>
      <w:r w:rsidR="00222959" w:rsidRPr="00DF477D">
        <w:t>.</w:t>
      </w:r>
      <w:r w:rsidRPr="00DF477D">
        <w:t xml:space="preserve">), </w:t>
      </w:r>
      <w:r w:rsidRPr="00DF477D">
        <w:rPr>
          <w:i/>
        </w:rPr>
        <w:t xml:space="preserve">Power and Sustainability of the Chinese State. </w:t>
      </w:r>
      <w:r w:rsidR="005F0A01" w:rsidRPr="00DF477D">
        <w:t>London</w:t>
      </w:r>
      <w:r w:rsidRPr="00DF477D">
        <w:t>: Rou</w:t>
      </w:r>
      <w:r w:rsidR="00222959" w:rsidRPr="00DF477D">
        <w:t>tled</w:t>
      </w:r>
      <w:r w:rsidRPr="00DF477D">
        <w:t>ge, 186-2</w:t>
      </w:r>
      <w:r w:rsidR="00926E4C">
        <w:t>0</w:t>
      </w:r>
    </w:p>
    <w:p w14:paraId="4C8C13E6" w14:textId="77777777" w:rsidR="00063350" w:rsidRPr="00063350" w:rsidRDefault="00063350" w:rsidP="00926E4C">
      <w:pPr>
        <w:pStyle w:val="Heading2"/>
        <w:spacing w:line="360" w:lineRule="auto"/>
        <w:rPr>
          <w:lang w:val="en-GB"/>
        </w:rPr>
      </w:pPr>
    </w:p>
    <w:sectPr w:rsidR="00063350" w:rsidRPr="00063350">
      <w:headerReference w:type="even" r:id="rId14"/>
      <w:headerReference w:type="default" r:id="rId15"/>
      <w:footerReference w:type="default" r:id="rId16"/>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FFE3F" w16cid:durableId="1EEF9755"/>
  <w16cid:commentId w16cid:paraId="5A575DB1" w16cid:durableId="1EF0CBF0"/>
  <w16cid:commentId w16cid:paraId="66923B06" w16cid:durableId="1EEF9823"/>
  <w16cid:commentId w16cid:paraId="25A34B3B" w16cid:durableId="1EEF9892"/>
  <w16cid:commentId w16cid:paraId="5ECCC0E4" w16cid:durableId="1EEF99A8"/>
  <w16cid:commentId w16cid:paraId="271627AB" w16cid:durableId="1EEF99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33A09" w14:textId="77777777" w:rsidR="005D0AFC" w:rsidRDefault="005D0AFC" w:rsidP="00F00832">
      <w:r>
        <w:separator/>
      </w:r>
    </w:p>
  </w:endnote>
  <w:endnote w:type="continuationSeparator" w:id="0">
    <w:p w14:paraId="2BEFD8BA" w14:textId="77777777" w:rsidR="005D0AFC" w:rsidRDefault="005D0AFC" w:rsidP="00F00832">
      <w:r>
        <w:continuationSeparator/>
      </w:r>
    </w:p>
  </w:endnote>
  <w:endnote w:id="1">
    <w:p w14:paraId="0D54B076" w14:textId="2B75B967" w:rsidR="000960D9" w:rsidRPr="00EC568B" w:rsidRDefault="000960D9" w:rsidP="00EB644A">
      <w:pPr>
        <w:pStyle w:val="FootnoteText"/>
        <w:spacing w:line="360" w:lineRule="auto"/>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177929"/>
      <w:docPartObj>
        <w:docPartGallery w:val="Page Numbers (Bottom of Page)"/>
        <w:docPartUnique/>
      </w:docPartObj>
    </w:sdtPr>
    <w:sdtEndPr>
      <w:rPr>
        <w:noProof/>
      </w:rPr>
    </w:sdtEndPr>
    <w:sdtContent>
      <w:p w14:paraId="06511C4A" w14:textId="40457A54" w:rsidR="000960D9" w:rsidRDefault="000960D9">
        <w:pPr>
          <w:pStyle w:val="Footer"/>
          <w:jc w:val="center"/>
        </w:pPr>
        <w:r>
          <w:fldChar w:fldCharType="begin"/>
        </w:r>
        <w:r>
          <w:instrText xml:space="preserve"> PAGE   \* MERGEFORMAT </w:instrText>
        </w:r>
        <w:r>
          <w:fldChar w:fldCharType="separate"/>
        </w:r>
        <w:r w:rsidR="00203E28">
          <w:rPr>
            <w:noProof/>
          </w:rPr>
          <w:t>26</w:t>
        </w:r>
        <w:r>
          <w:rPr>
            <w:noProof/>
          </w:rPr>
          <w:fldChar w:fldCharType="end"/>
        </w:r>
      </w:p>
    </w:sdtContent>
  </w:sdt>
  <w:p w14:paraId="59685BC2" w14:textId="77777777" w:rsidR="000960D9" w:rsidRDefault="00096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3BAD2" w14:textId="08758926" w:rsidR="000960D9" w:rsidRDefault="000960D9">
    <w:pPr>
      <w:pStyle w:val="Footer"/>
      <w:jc w:val="center"/>
    </w:pPr>
    <w:r>
      <w:fldChar w:fldCharType="begin"/>
    </w:r>
    <w:r>
      <w:instrText xml:space="preserve"> PAGE   \* MERGEFORMAT </w:instrText>
    </w:r>
    <w:r>
      <w:fldChar w:fldCharType="separate"/>
    </w:r>
    <w:r w:rsidR="004F4BE7">
      <w:rPr>
        <w:noProof/>
      </w:rPr>
      <w:t>35</w:t>
    </w:r>
    <w:r>
      <w:fldChar w:fldCharType="end"/>
    </w:r>
  </w:p>
  <w:p w14:paraId="0872FBF6" w14:textId="77777777" w:rsidR="000960D9" w:rsidRDefault="00096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1C28B" w14:textId="77777777" w:rsidR="005D0AFC" w:rsidRDefault="005D0AFC" w:rsidP="00F00832">
      <w:r>
        <w:separator/>
      </w:r>
    </w:p>
  </w:footnote>
  <w:footnote w:type="continuationSeparator" w:id="0">
    <w:p w14:paraId="4297B71C" w14:textId="77777777" w:rsidR="005D0AFC" w:rsidRDefault="005D0AFC" w:rsidP="00F00832">
      <w:r>
        <w:continuationSeparator/>
      </w:r>
    </w:p>
  </w:footnote>
  <w:footnote w:id="1">
    <w:p w14:paraId="001A0DB6" w14:textId="7976E743" w:rsidR="000960D9" w:rsidRPr="00E12D6E" w:rsidRDefault="000960D9">
      <w:pPr>
        <w:pStyle w:val="FootnoteText"/>
        <w:rPr>
          <w:lang w:eastAsia="zh-CN"/>
        </w:rPr>
      </w:pPr>
      <w:r>
        <w:rPr>
          <w:rStyle w:val="FootnoteReference"/>
        </w:rPr>
        <w:footnoteRef/>
      </w:r>
      <w:r>
        <w:t xml:space="preserve"> </w:t>
      </w:r>
      <w:hyperlink r:id="rId1" w:history="1">
        <w:r w:rsidRPr="004038F7">
          <w:rPr>
            <w:rStyle w:val="Hyperlink"/>
          </w:rPr>
          <w:t>http://cpc.people.com.cn/GB/64162/71380/71387/71591/4854975.html</w:t>
        </w:r>
      </w:hyperlink>
      <w:r>
        <w:t xml:space="preserve"> </w:t>
      </w:r>
    </w:p>
  </w:footnote>
  <w:footnote w:id="2">
    <w:p w14:paraId="739CBB75" w14:textId="280AC68D" w:rsidR="000960D9" w:rsidRDefault="000960D9">
      <w:pPr>
        <w:pStyle w:val="FootnoteText"/>
        <w:rPr>
          <w:lang w:eastAsia="zh-CN"/>
        </w:rPr>
      </w:pPr>
      <w:r>
        <w:rPr>
          <w:rStyle w:val="FootnoteReference"/>
        </w:rPr>
        <w:footnoteRef/>
      </w:r>
      <w:r>
        <w:t xml:space="preserve"> </w:t>
      </w:r>
      <w:r w:rsidRPr="001C7F0C">
        <w:t xml:space="preserve">Membership of the Central Advisory Commission, although at tier </w:t>
      </w:r>
      <w:r>
        <w:t>two</w:t>
      </w:r>
      <w:r>
        <w:rPr>
          <w:lang w:val="en-GB"/>
        </w:rPr>
        <w:t xml:space="preserve"> </w:t>
      </w:r>
      <w:r w:rsidRPr="001C7F0C">
        <w:t>could possibly be regarded as an honorary position and classified as retirement</w:t>
      </w:r>
      <w:r>
        <w:rPr>
          <w:lang w:val="en-GB"/>
        </w:rPr>
        <w:t xml:space="preserve">. However, </w:t>
      </w:r>
      <w:r w:rsidRPr="001C7F0C">
        <w:t xml:space="preserve">historically its members possessed great political leverage, </w:t>
      </w:r>
      <w:r>
        <w:rPr>
          <w:lang w:val="en-GB"/>
        </w:rPr>
        <w:t xml:space="preserve">a legacy </w:t>
      </w:r>
      <w:r w:rsidRPr="001C7F0C">
        <w:t xml:space="preserve">which justifies classifying such cases as promotion. The Commission was abolished during the leadership of </w:t>
      </w:r>
      <w:r w:rsidRPr="00040AB3">
        <w:rPr>
          <w:u w:val="single"/>
          <w:lang w:val="en-GB"/>
        </w:rPr>
        <w:t>Deng</w:t>
      </w:r>
      <w:r>
        <w:rPr>
          <w:lang w:val="en-GB"/>
        </w:rPr>
        <w:t xml:space="preserve"> </w:t>
      </w:r>
      <w:r w:rsidRPr="001C7F0C">
        <w:t>Xiaoping. However, since there is only one case –</w:t>
      </w:r>
      <w:r>
        <w:t xml:space="preserve"> </w:t>
      </w:r>
      <w:r w:rsidRPr="00040AB3">
        <w:rPr>
          <w:u w:val="single"/>
        </w:rPr>
        <w:t>Duan</w:t>
      </w:r>
      <w:r>
        <w:t xml:space="preserve"> Junyi</w:t>
      </w:r>
      <w:r w:rsidRPr="001C7F0C">
        <w:t xml:space="preserve"> </w:t>
      </w:r>
      <w:r>
        <w:rPr>
          <w:lang w:val="en-GB"/>
        </w:rPr>
        <w:t xml:space="preserve">- </w:t>
      </w:r>
      <w:r w:rsidRPr="001C7F0C">
        <w:t>in the entire sample, classifying this case as promotion or not does not impact the results</w:t>
      </w:r>
      <w:r>
        <w:rPr>
          <w:lang w:val="en-GB"/>
        </w:rPr>
        <w:t>.</w:t>
      </w:r>
      <w:r w:rsidRPr="001C7F0C">
        <w:t xml:space="preserve"> </w:t>
      </w:r>
      <w:r>
        <w:rPr>
          <w:lang w:val="en-GB"/>
        </w:rPr>
        <w:t>H</w:t>
      </w:r>
      <w:r w:rsidRPr="001C7F0C">
        <w:t>ere</w:t>
      </w:r>
      <w:r>
        <w:rPr>
          <w:lang w:val="en-GB"/>
        </w:rPr>
        <w:t>,</w:t>
      </w:r>
      <w:r w:rsidRPr="001C7F0C">
        <w:t xml:space="preserve"> we classified this case as promotion to </w:t>
      </w:r>
      <w:r>
        <w:rPr>
          <w:lang w:val="en-GB"/>
        </w:rPr>
        <w:t>reflect the</w:t>
      </w:r>
      <w:r w:rsidRPr="001C7F0C">
        <w:t xml:space="preserve"> administrative ranking.</w:t>
      </w:r>
    </w:p>
  </w:footnote>
  <w:footnote w:id="3">
    <w:p w14:paraId="22853672" w14:textId="269365CD" w:rsidR="000960D9" w:rsidRDefault="000960D9" w:rsidP="003C4DE9">
      <w:pPr>
        <w:pStyle w:val="FootnoteText"/>
      </w:pPr>
      <w:r>
        <w:rPr>
          <w:rStyle w:val="FootnoteReference"/>
        </w:rPr>
        <w:footnoteRef/>
      </w:r>
      <w:r>
        <w:t xml:space="preserve"> Note we explored some of the non</w:t>
      </w:r>
      <w:r>
        <w:rPr>
          <w:lang w:val="en-GB"/>
        </w:rPr>
        <w:t>-</w:t>
      </w:r>
      <w:r>
        <w:t xml:space="preserve">linear functional forms of provincial, regional, </w:t>
      </w:r>
    </w:p>
    <w:p w14:paraId="7E5D36C4" w14:textId="406FC6BF" w:rsidR="000960D9" w:rsidRPr="00E12D6E" w:rsidRDefault="000960D9" w:rsidP="003C4DE9">
      <w:pPr>
        <w:pStyle w:val="FootnoteText"/>
        <w:rPr>
          <w:lang w:eastAsia="zh-CN"/>
        </w:rPr>
      </w:pPr>
      <w:r>
        <w:rPr>
          <w:lang w:val="en-GB"/>
        </w:rPr>
        <w:t>n</w:t>
      </w:r>
      <w:r>
        <w:t>ational and international GDP growth rates as potential economic performance measures, although we did not include the results due to insignificance of estimated coefficients. The details are available upon request.</w:t>
      </w:r>
    </w:p>
  </w:footnote>
  <w:footnote w:id="4">
    <w:p w14:paraId="78C91DBA" w14:textId="7819CC0B" w:rsidR="000960D9" w:rsidRDefault="000960D9">
      <w:pPr>
        <w:pStyle w:val="FootnoteText"/>
      </w:pPr>
      <w:r>
        <w:rPr>
          <w:rStyle w:val="FootnoteReference"/>
        </w:rPr>
        <w:footnoteRef/>
      </w:r>
      <w:r>
        <w:t xml:space="preserve"> L</w:t>
      </w:r>
      <w:r w:rsidRPr="00040AB3">
        <w:t xml:space="preserve">ogistic regression does not have an </w:t>
      </w:r>
      <m:oMath>
        <m:sSup>
          <m:sSupPr>
            <m:ctrlPr>
              <w:rPr>
                <w:rFonts w:ascii="Cambria Math" w:hAnsi="Cambria Math"/>
              </w:rPr>
            </m:ctrlPr>
          </m:sSupPr>
          <m:e>
            <m:r>
              <w:rPr>
                <w:rFonts w:ascii="Cambria Math" w:hAnsi="Cambria Math" w:hint="eastAsia"/>
              </w:rPr>
              <m:t>R</m:t>
            </m:r>
          </m:e>
          <m:sup>
            <m:r>
              <m:rPr>
                <m:sty m:val="p"/>
              </m:rPr>
              <w:rPr>
                <w:rFonts w:ascii="Cambria Math" w:hAnsi="Cambria Math" w:hint="eastAsia"/>
              </w:rPr>
              <m:t>2</m:t>
            </m:r>
          </m:sup>
        </m:sSup>
      </m:oMath>
      <w:r w:rsidRPr="00040AB3">
        <w:t xml:space="preserve"> equivalent to that found in OLS (ordinary least square), both Cox &amp; Snell </w:t>
      </w:r>
      <m:oMath>
        <m:sSup>
          <m:sSupPr>
            <m:ctrlPr>
              <w:rPr>
                <w:rFonts w:ascii="Cambria Math" w:hAnsi="Cambria Math"/>
              </w:rPr>
            </m:ctrlPr>
          </m:sSupPr>
          <m:e>
            <m:r>
              <w:rPr>
                <w:rFonts w:ascii="Cambria Math" w:hAnsi="Cambria Math" w:hint="eastAsia"/>
              </w:rPr>
              <m:t>R</m:t>
            </m:r>
          </m:e>
          <m:sup>
            <m:r>
              <m:rPr>
                <m:sty m:val="p"/>
              </m:rPr>
              <w:rPr>
                <w:rFonts w:ascii="Cambria Math" w:hAnsi="Cambria Math" w:hint="eastAsia"/>
              </w:rPr>
              <m:t>2</m:t>
            </m:r>
          </m:sup>
        </m:sSup>
      </m:oMath>
      <w:r w:rsidRPr="00040AB3">
        <w:t xml:space="preserve"> and Nagelkerke </w:t>
      </w:r>
      <m:oMath>
        <m:sSup>
          <m:sSupPr>
            <m:ctrlPr>
              <w:rPr>
                <w:rFonts w:ascii="Cambria Math" w:hAnsi="Cambria Math"/>
              </w:rPr>
            </m:ctrlPr>
          </m:sSupPr>
          <m:e>
            <m:r>
              <w:rPr>
                <w:rFonts w:ascii="Cambria Math" w:hAnsi="Cambria Math" w:hint="eastAsia"/>
              </w:rPr>
              <m:t>R</m:t>
            </m:r>
          </m:e>
          <m:sup>
            <m:r>
              <m:rPr>
                <m:sty m:val="p"/>
              </m:rPr>
              <w:rPr>
                <w:rFonts w:ascii="Cambria Math" w:hAnsi="Cambria Math" w:hint="eastAsia"/>
              </w:rPr>
              <m:t>2</m:t>
            </m:r>
          </m:sup>
        </m:sSup>
      </m:oMath>
      <w:r w:rsidRPr="00040AB3">
        <w:t xml:space="preserve"> are pseudo </w:t>
      </w:r>
      <m:oMath>
        <m:sSup>
          <m:sSupPr>
            <m:ctrlPr>
              <w:rPr>
                <w:rFonts w:ascii="Cambria Math" w:hAnsi="Cambria Math"/>
              </w:rPr>
            </m:ctrlPr>
          </m:sSupPr>
          <m:e>
            <m:r>
              <w:rPr>
                <w:rFonts w:ascii="Cambria Math" w:hAnsi="Cambria Math" w:hint="eastAsia"/>
              </w:rPr>
              <m:t>R</m:t>
            </m:r>
          </m:e>
          <m:sup>
            <m:r>
              <m:rPr>
                <m:sty m:val="p"/>
              </m:rPr>
              <w:rPr>
                <w:rFonts w:ascii="Cambria Math" w:hAnsi="Cambria Math" w:hint="eastAsia"/>
              </w:rPr>
              <m:t>2</m:t>
            </m:r>
          </m:sup>
        </m:sSup>
      </m:oMath>
      <w:r w:rsidRPr="00040AB3">
        <w:t xml:space="preserve">, and are linked with the likelihood function. The difference between them is that Nagelkerke </w:t>
      </w:r>
      <m:oMath>
        <m:sSup>
          <m:sSupPr>
            <m:ctrlPr>
              <w:rPr>
                <w:rFonts w:ascii="Cambria Math" w:hAnsi="Cambria Math"/>
              </w:rPr>
            </m:ctrlPr>
          </m:sSupPr>
          <m:e>
            <m:r>
              <w:rPr>
                <w:rFonts w:ascii="Cambria Math" w:hAnsi="Cambria Math" w:hint="eastAsia"/>
              </w:rPr>
              <m:t>R</m:t>
            </m:r>
          </m:e>
          <m:sup>
            <m:r>
              <m:rPr>
                <m:sty m:val="p"/>
              </m:rPr>
              <w:rPr>
                <w:rFonts w:ascii="Cambria Math" w:hAnsi="Cambria Math" w:hint="eastAsia"/>
              </w:rPr>
              <m:t>2</m:t>
            </m:r>
          </m:sup>
        </m:sSup>
      </m:oMath>
      <w:r w:rsidRPr="00040AB3">
        <w:t xml:space="preserve"> is corrected by the upper bound of Cox &amp; Snell </w:t>
      </w:r>
      <m:oMath>
        <m:sSup>
          <m:sSupPr>
            <m:ctrlPr>
              <w:rPr>
                <w:rFonts w:ascii="Cambria Math" w:hAnsi="Cambria Math"/>
              </w:rPr>
            </m:ctrlPr>
          </m:sSupPr>
          <m:e>
            <m:r>
              <w:rPr>
                <w:rFonts w:ascii="Cambria Math" w:hAnsi="Cambria Math" w:hint="eastAsia"/>
              </w:rPr>
              <m:t>R</m:t>
            </m:r>
          </m:e>
          <m:sup>
            <m:r>
              <m:rPr>
                <m:sty m:val="p"/>
              </m:rPr>
              <w:rPr>
                <w:rFonts w:ascii="Cambria Math" w:hAnsi="Cambria Math" w:hint="eastAsia"/>
              </w:rPr>
              <m:t>2</m:t>
            </m:r>
          </m:sup>
        </m:sSup>
      </m:oMath>
      <w:r w:rsidRPr="00040AB3">
        <w:t xml:space="preserve"> to ensure the upper bound is 1.0 as in the linear regression.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54332" w14:textId="77777777" w:rsidR="000960D9" w:rsidRDefault="000960D9" w:rsidP="008D0075">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2ED8" w14:textId="77777777" w:rsidR="000960D9" w:rsidRDefault="000960D9" w:rsidP="008D007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A0D5A"/>
    <w:multiLevelType w:val="hybridMultilevel"/>
    <w:tmpl w:val="E7402DCA"/>
    <w:lvl w:ilvl="0" w:tplc="8D823E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B82679"/>
    <w:multiLevelType w:val="hybridMultilevel"/>
    <w:tmpl w:val="39025DA2"/>
    <w:lvl w:ilvl="0" w:tplc="116CC8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803483"/>
    <w:multiLevelType w:val="hybridMultilevel"/>
    <w:tmpl w:val="A476ACCC"/>
    <w:lvl w:ilvl="0" w:tplc="08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32F2829"/>
    <w:multiLevelType w:val="hybridMultilevel"/>
    <w:tmpl w:val="9E2C884A"/>
    <w:lvl w:ilvl="0" w:tplc="57F6DA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5F"/>
    <w:rsid w:val="0000319D"/>
    <w:rsid w:val="000039A2"/>
    <w:rsid w:val="00004FB4"/>
    <w:rsid w:val="00007250"/>
    <w:rsid w:val="000074C0"/>
    <w:rsid w:val="0001008F"/>
    <w:rsid w:val="00010F16"/>
    <w:rsid w:val="00012514"/>
    <w:rsid w:val="000173CE"/>
    <w:rsid w:val="00017D72"/>
    <w:rsid w:val="00020004"/>
    <w:rsid w:val="00020AEA"/>
    <w:rsid w:val="00023143"/>
    <w:rsid w:val="000255DD"/>
    <w:rsid w:val="00026F1F"/>
    <w:rsid w:val="00031248"/>
    <w:rsid w:val="0003146A"/>
    <w:rsid w:val="00033624"/>
    <w:rsid w:val="00036598"/>
    <w:rsid w:val="00036DB1"/>
    <w:rsid w:val="00040AB3"/>
    <w:rsid w:val="000427FC"/>
    <w:rsid w:val="00042905"/>
    <w:rsid w:val="000430AD"/>
    <w:rsid w:val="00043F5E"/>
    <w:rsid w:val="00047666"/>
    <w:rsid w:val="00047A94"/>
    <w:rsid w:val="0005078D"/>
    <w:rsid w:val="00050D62"/>
    <w:rsid w:val="000532A3"/>
    <w:rsid w:val="000622BF"/>
    <w:rsid w:val="00063276"/>
    <w:rsid w:val="00063350"/>
    <w:rsid w:val="000648CC"/>
    <w:rsid w:val="00067181"/>
    <w:rsid w:val="0006757A"/>
    <w:rsid w:val="00067E53"/>
    <w:rsid w:val="000718DC"/>
    <w:rsid w:val="00072AD9"/>
    <w:rsid w:val="0007795A"/>
    <w:rsid w:val="0008026E"/>
    <w:rsid w:val="00082D68"/>
    <w:rsid w:val="00083A0F"/>
    <w:rsid w:val="00086D97"/>
    <w:rsid w:val="00090A1D"/>
    <w:rsid w:val="00092324"/>
    <w:rsid w:val="00093064"/>
    <w:rsid w:val="00095821"/>
    <w:rsid w:val="00095E7A"/>
    <w:rsid w:val="000960D9"/>
    <w:rsid w:val="000972F7"/>
    <w:rsid w:val="000A1CA9"/>
    <w:rsid w:val="000A49A0"/>
    <w:rsid w:val="000A4FB1"/>
    <w:rsid w:val="000A62C4"/>
    <w:rsid w:val="000A639D"/>
    <w:rsid w:val="000A6795"/>
    <w:rsid w:val="000A6EB8"/>
    <w:rsid w:val="000B0CC3"/>
    <w:rsid w:val="000B132F"/>
    <w:rsid w:val="000B5B0A"/>
    <w:rsid w:val="000B75F7"/>
    <w:rsid w:val="000C4891"/>
    <w:rsid w:val="000C5A99"/>
    <w:rsid w:val="000C73C3"/>
    <w:rsid w:val="000D00E2"/>
    <w:rsid w:val="000D3220"/>
    <w:rsid w:val="000D3B5A"/>
    <w:rsid w:val="000D445B"/>
    <w:rsid w:val="000D4D00"/>
    <w:rsid w:val="000D54B7"/>
    <w:rsid w:val="000E192D"/>
    <w:rsid w:val="000E20BC"/>
    <w:rsid w:val="000E385C"/>
    <w:rsid w:val="000E3CBE"/>
    <w:rsid w:val="000E4BEC"/>
    <w:rsid w:val="000E5783"/>
    <w:rsid w:val="000E6BD6"/>
    <w:rsid w:val="000E7A94"/>
    <w:rsid w:val="000F3D7C"/>
    <w:rsid w:val="000F4A68"/>
    <w:rsid w:val="000F661C"/>
    <w:rsid w:val="000F6A4E"/>
    <w:rsid w:val="0010019E"/>
    <w:rsid w:val="001003DA"/>
    <w:rsid w:val="00100544"/>
    <w:rsid w:val="0010310E"/>
    <w:rsid w:val="0010766B"/>
    <w:rsid w:val="00114C34"/>
    <w:rsid w:val="0011673D"/>
    <w:rsid w:val="00120523"/>
    <w:rsid w:val="00120583"/>
    <w:rsid w:val="00122C6F"/>
    <w:rsid w:val="00123F4D"/>
    <w:rsid w:val="0012513B"/>
    <w:rsid w:val="00132BAA"/>
    <w:rsid w:val="001373B6"/>
    <w:rsid w:val="00142C34"/>
    <w:rsid w:val="00144D5C"/>
    <w:rsid w:val="0014606C"/>
    <w:rsid w:val="001463BD"/>
    <w:rsid w:val="00147180"/>
    <w:rsid w:val="001503B4"/>
    <w:rsid w:val="00154EA9"/>
    <w:rsid w:val="00154FF6"/>
    <w:rsid w:val="00156928"/>
    <w:rsid w:val="00156B74"/>
    <w:rsid w:val="00157AC4"/>
    <w:rsid w:val="001627E8"/>
    <w:rsid w:val="00163798"/>
    <w:rsid w:val="00164B71"/>
    <w:rsid w:val="00176D89"/>
    <w:rsid w:val="00182FDA"/>
    <w:rsid w:val="00187D67"/>
    <w:rsid w:val="00191F41"/>
    <w:rsid w:val="001922AE"/>
    <w:rsid w:val="00193FBA"/>
    <w:rsid w:val="001A02F9"/>
    <w:rsid w:val="001A1DBF"/>
    <w:rsid w:val="001A57F9"/>
    <w:rsid w:val="001A7ABF"/>
    <w:rsid w:val="001B1F28"/>
    <w:rsid w:val="001B2E6F"/>
    <w:rsid w:val="001B378C"/>
    <w:rsid w:val="001B5B99"/>
    <w:rsid w:val="001C017B"/>
    <w:rsid w:val="001C31ED"/>
    <w:rsid w:val="001C398E"/>
    <w:rsid w:val="001C7F0C"/>
    <w:rsid w:val="001D0885"/>
    <w:rsid w:val="001D4ECC"/>
    <w:rsid w:val="001E3BB4"/>
    <w:rsid w:val="001F04CA"/>
    <w:rsid w:val="001F0E1A"/>
    <w:rsid w:val="001F151C"/>
    <w:rsid w:val="001F3B2E"/>
    <w:rsid w:val="001F3BB3"/>
    <w:rsid w:val="001F5AFE"/>
    <w:rsid w:val="001F5DF9"/>
    <w:rsid w:val="00203E28"/>
    <w:rsid w:val="002062A0"/>
    <w:rsid w:val="00206E43"/>
    <w:rsid w:val="0021202B"/>
    <w:rsid w:val="002132D3"/>
    <w:rsid w:val="00213EDE"/>
    <w:rsid w:val="00216022"/>
    <w:rsid w:val="002168CD"/>
    <w:rsid w:val="00220901"/>
    <w:rsid w:val="00220A0E"/>
    <w:rsid w:val="002216C4"/>
    <w:rsid w:val="00222959"/>
    <w:rsid w:val="00223456"/>
    <w:rsid w:val="00223D32"/>
    <w:rsid w:val="002260BA"/>
    <w:rsid w:val="002323C4"/>
    <w:rsid w:val="00233480"/>
    <w:rsid w:val="002336EB"/>
    <w:rsid w:val="002370FB"/>
    <w:rsid w:val="00240372"/>
    <w:rsid w:val="00243CDB"/>
    <w:rsid w:val="00246F2C"/>
    <w:rsid w:val="002528C2"/>
    <w:rsid w:val="00253087"/>
    <w:rsid w:val="00253D20"/>
    <w:rsid w:val="00260C11"/>
    <w:rsid w:val="00260F7B"/>
    <w:rsid w:val="00261A1E"/>
    <w:rsid w:val="00265553"/>
    <w:rsid w:val="00266729"/>
    <w:rsid w:val="002712D6"/>
    <w:rsid w:val="002723E3"/>
    <w:rsid w:val="00276D9B"/>
    <w:rsid w:val="00280F75"/>
    <w:rsid w:val="002823BA"/>
    <w:rsid w:val="00282F20"/>
    <w:rsid w:val="002841F0"/>
    <w:rsid w:val="002849E2"/>
    <w:rsid w:val="00284C45"/>
    <w:rsid w:val="00287F7B"/>
    <w:rsid w:val="002939C8"/>
    <w:rsid w:val="002942C4"/>
    <w:rsid w:val="0029667B"/>
    <w:rsid w:val="002A0101"/>
    <w:rsid w:val="002A0740"/>
    <w:rsid w:val="002A08B1"/>
    <w:rsid w:val="002A2416"/>
    <w:rsid w:val="002A258E"/>
    <w:rsid w:val="002A3C77"/>
    <w:rsid w:val="002A5517"/>
    <w:rsid w:val="002A5EAD"/>
    <w:rsid w:val="002A6DE6"/>
    <w:rsid w:val="002A6E95"/>
    <w:rsid w:val="002A7FDF"/>
    <w:rsid w:val="002B14C7"/>
    <w:rsid w:val="002B2116"/>
    <w:rsid w:val="002B4728"/>
    <w:rsid w:val="002C15BB"/>
    <w:rsid w:val="002C2678"/>
    <w:rsid w:val="002C5707"/>
    <w:rsid w:val="002C5B8F"/>
    <w:rsid w:val="002C6402"/>
    <w:rsid w:val="002D0E42"/>
    <w:rsid w:val="002D1804"/>
    <w:rsid w:val="002D38CB"/>
    <w:rsid w:val="002D5C63"/>
    <w:rsid w:val="002D6FED"/>
    <w:rsid w:val="002D798F"/>
    <w:rsid w:val="002E17D7"/>
    <w:rsid w:val="002E4823"/>
    <w:rsid w:val="002E501B"/>
    <w:rsid w:val="002E6F2D"/>
    <w:rsid w:val="002F062B"/>
    <w:rsid w:val="002F0D33"/>
    <w:rsid w:val="002F4FCF"/>
    <w:rsid w:val="002F5B2C"/>
    <w:rsid w:val="002F69AD"/>
    <w:rsid w:val="002F766C"/>
    <w:rsid w:val="00300232"/>
    <w:rsid w:val="00301478"/>
    <w:rsid w:val="003054E4"/>
    <w:rsid w:val="0030649C"/>
    <w:rsid w:val="00307442"/>
    <w:rsid w:val="00310433"/>
    <w:rsid w:val="00310AD8"/>
    <w:rsid w:val="00310E11"/>
    <w:rsid w:val="00313217"/>
    <w:rsid w:val="00314013"/>
    <w:rsid w:val="0032015B"/>
    <w:rsid w:val="0032152C"/>
    <w:rsid w:val="003240EB"/>
    <w:rsid w:val="003253C8"/>
    <w:rsid w:val="00326988"/>
    <w:rsid w:val="00333498"/>
    <w:rsid w:val="00334B96"/>
    <w:rsid w:val="00335260"/>
    <w:rsid w:val="003400FA"/>
    <w:rsid w:val="00341527"/>
    <w:rsid w:val="00341AF6"/>
    <w:rsid w:val="00342D99"/>
    <w:rsid w:val="0034338E"/>
    <w:rsid w:val="003443B5"/>
    <w:rsid w:val="003535EC"/>
    <w:rsid w:val="0036001B"/>
    <w:rsid w:val="00363486"/>
    <w:rsid w:val="00363D65"/>
    <w:rsid w:val="00364443"/>
    <w:rsid w:val="00364B7E"/>
    <w:rsid w:val="003658EC"/>
    <w:rsid w:val="00366E06"/>
    <w:rsid w:val="00367088"/>
    <w:rsid w:val="00370498"/>
    <w:rsid w:val="00370582"/>
    <w:rsid w:val="003708D9"/>
    <w:rsid w:val="003745C8"/>
    <w:rsid w:val="003748AC"/>
    <w:rsid w:val="00375421"/>
    <w:rsid w:val="0037735F"/>
    <w:rsid w:val="003800E9"/>
    <w:rsid w:val="003814FB"/>
    <w:rsid w:val="0038181D"/>
    <w:rsid w:val="003821C9"/>
    <w:rsid w:val="00391FAA"/>
    <w:rsid w:val="003978B8"/>
    <w:rsid w:val="003A27E0"/>
    <w:rsid w:val="003C05C4"/>
    <w:rsid w:val="003C179C"/>
    <w:rsid w:val="003C2D48"/>
    <w:rsid w:val="003C375C"/>
    <w:rsid w:val="003C39C2"/>
    <w:rsid w:val="003C403B"/>
    <w:rsid w:val="003C4DE9"/>
    <w:rsid w:val="003C6A15"/>
    <w:rsid w:val="003C742C"/>
    <w:rsid w:val="003C7484"/>
    <w:rsid w:val="003D22CC"/>
    <w:rsid w:val="003D40B0"/>
    <w:rsid w:val="003D568B"/>
    <w:rsid w:val="003D724D"/>
    <w:rsid w:val="003E06D7"/>
    <w:rsid w:val="003E2135"/>
    <w:rsid w:val="003E34AA"/>
    <w:rsid w:val="003E647E"/>
    <w:rsid w:val="003E7CC9"/>
    <w:rsid w:val="003F1380"/>
    <w:rsid w:val="003F16F2"/>
    <w:rsid w:val="003F3D85"/>
    <w:rsid w:val="003F6248"/>
    <w:rsid w:val="004027C7"/>
    <w:rsid w:val="00402A68"/>
    <w:rsid w:val="00402F19"/>
    <w:rsid w:val="00403821"/>
    <w:rsid w:val="00404C18"/>
    <w:rsid w:val="00406287"/>
    <w:rsid w:val="004143F6"/>
    <w:rsid w:val="00420036"/>
    <w:rsid w:val="00420ECF"/>
    <w:rsid w:val="0042154B"/>
    <w:rsid w:val="00421A33"/>
    <w:rsid w:val="00422D30"/>
    <w:rsid w:val="00422E32"/>
    <w:rsid w:val="004239EC"/>
    <w:rsid w:val="004248E5"/>
    <w:rsid w:val="00430D88"/>
    <w:rsid w:val="004313A2"/>
    <w:rsid w:val="00434BBF"/>
    <w:rsid w:val="0043602D"/>
    <w:rsid w:val="00436720"/>
    <w:rsid w:val="0044041B"/>
    <w:rsid w:val="004405B2"/>
    <w:rsid w:val="00441791"/>
    <w:rsid w:val="00443D47"/>
    <w:rsid w:val="00444E44"/>
    <w:rsid w:val="00445C5A"/>
    <w:rsid w:val="004514ED"/>
    <w:rsid w:val="00451E75"/>
    <w:rsid w:val="0045353C"/>
    <w:rsid w:val="00457C60"/>
    <w:rsid w:val="0046140E"/>
    <w:rsid w:val="004619C1"/>
    <w:rsid w:val="00463621"/>
    <w:rsid w:val="004656C5"/>
    <w:rsid w:val="00465FD5"/>
    <w:rsid w:val="004673A6"/>
    <w:rsid w:val="004676A9"/>
    <w:rsid w:val="00470CA9"/>
    <w:rsid w:val="00470D37"/>
    <w:rsid w:val="00471775"/>
    <w:rsid w:val="004777CD"/>
    <w:rsid w:val="004802CF"/>
    <w:rsid w:val="00480694"/>
    <w:rsid w:val="0048091D"/>
    <w:rsid w:val="00483D8C"/>
    <w:rsid w:val="00484126"/>
    <w:rsid w:val="0048477C"/>
    <w:rsid w:val="00486464"/>
    <w:rsid w:val="00487C5B"/>
    <w:rsid w:val="0049165D"/>
    <w:rsid w:val="00493599"/>
    <w:rsid w:val="0049368F"/>
    <w:rsid w:val="00494920"/>
    <w:rsid w:val="0049784A"/>
    <w:rsid w:val="004A0324"/>
    <w:rsid w:val="004A0465"/>
    <w:rsid w:val="004A33C4"/>
    <w:rsid w:val="004A3AE2"/>
    <w:rsid w:val="004A477F"/>
    <w:rsid w:val="004A694A"/>
    <w:rsid w:val="004B17A1"/>
    <w:rsid w:val="004B19F5"/>
    <w:rsid w:val="004B2F74"/>
    <w:rsid w:val="004B446E"/>
    <w:rsid w:val="004B6013"/>
    <w:rsid w:val="004B6074"/>
    <w:rsid w:val="004B63C0"/>
    <w:rsid w:val="004C17D7"/>
    <w:rsid w:val="004C2860"/>
    <w:rsid w:val="004C3934"/>
    <w:rsid w:val="004C4B0D"/>
    <w:rsid w:val="004D0979"/>
    <w:rsid w:val="004D0ADB"/>
    <w:rsid w:val="004D1E3C"/>
    <w:rsid w:val="004D4BF9"/>
    <w:rsid w:val="004D4FCD"/>
    <w:rsid w:val="004D643C"/>
    <w:rsid w:val="004E0395"/>
    <w:rsid w:val="004E19D5"/>
    <w:rsid w:val="004E3B54"/>
    <w:rsid w:val="004E40B4"/>
    <w:rsid w:val="004E4B5E"/>
    <w:rsid w:val="004E5AD1"/>
    <w:rsid w:val="004F0C49"/>
    <w:rsid w:val="004F4BE7"/>
    <w:rsid w:val="00506549"/>
    <w:rsid w:val="0050658F"/>
    <w:rsid w:val="00507080"/>
    <w:rsid w:val="00511B77"/>
    <w:rsid w:val="00512475"/>
    <w:rsid w:val="0051259A"/>
    <w:rsid w:val="005128FB"/>
    <w:rsid w:val="005135CC"/>
    <w:rsid w:val="00514C6C"/>
    <w:rsid w:val="0051629C"/>
    <w:rsid w:val="00520AF4"/>
    <w:rsid w:val="00522C2E"/>
    <w:rsid w:val="0052348A"/>
    <w:rsid w:val="00523E80"/>
    <w:rsid w:val="00524577"/>
    <w:rsid w:val="005329A6"/>
    <w:rsid w:val="0053331C"/>
    <w:rsid w:val="005346D6"/>
    <w:rsid w:val="00536E88"/>
    <w:rsid w:val="00542369"/>
    <w:rsid w:val="005435A3"/>
    <w:rsid w:val="005456BE"/>
    <w:rsid w:val="0054645C"/>
    <w:rsid w:val="005464CF"/>
    <w:rsid w:val="00546B7D"/>
    <w:rsid w:val="00546EFE"/>
    <w:rsid w:val="005470EC"/>
    <w:rsid w:val="0054792C"/>
    <w:rsid w:val="00547A02"/>
    <w:rsid w:val="00550211"/>
    <w:rsid w:val="0055414B"/>
    <w:rsid w:val="00557D9E"/>
    <w:rsid w:val="00563791"/>
    <w:rsid w:val="00567333"/>
    <w:rsid w:val="00567B7D"/>
    <w:rsid w:val="00570137"/>
    <w:rsid w:val="00570F7C"/>
    <w:rsid w:val="005725D8"/>
    <w:rsid w:val="00574C46"/>
    <w:rsid w:val="005819DA"/>
    <w:rsid w:val="00581C2A"/>
    <w:rsid w:val="00583BD7"/>
    <w:rsid w:val="00584424"/>
    <w:rsid w:val="005908EF"/>
    <w:rsid w:val="00591134"/>
    <w:rsid w:val="00593C60"/>
    <w:rsid w:val="005942EF"/>
    <w:rsid w:val="0059756F"/>
    <w:rsid w:val="005A3B53"/>
    <w:rsid w:val="005A5022"/>
    <w:rsid w:val="005A6C83"/>
    <w:rsid w:val="005A790C"/>
    <w:rsid w:val="005A7CD2"/>
    <w:rsid w:val="005B24AD"/>
    <w:rsid w:val="005B4884"/>
    <w:rsid w:val="005C1D51"/>
    <w:rsid w:val="005C24E8"/>
    <w:rsid w:val="005C61C4"/>
    <w:rsid w:val="005D08AF"/>
    <w:rsid w:val="005D0AFC"/>
    <w:rsid w:val="005D0F93"/>
    <w:rsid w:val="005D16C5"/>
    <w:rsid w:val="005D252E"/>
    <w:rsid w:val="005D292F"/>
    <w:rsid w:val="005D337C"/>
    <w:rsid w:val="005D483E"/>
    <w:rsid w:val="005D5401"/>
    <w:rsid w:val="005D545D"/>
    <w:rsid w:val="005D7CB3"/>
    <w:rsid w:val="005E07D1"/>
    <w:rsid w:val="005E2472"/>
    <w:rsid w:val="005E327B"/>
    <w:rsid w:val="005F0A01"/>
    <w:rsid w:val="005F2A49"/>
    <w:rsid w:val="005F45BE"/>
    <w:rsid w:val="005F4FEB"/>
    <w:rsid w:val="005F53C0"/>
    <w:rsid w:val="005F6172"/>
    <w:rsid w:val="00600D2E"/>
    <w:rsid w:val="00601387"/>
    <w:rsid w:val="00602DC6"/>
    <w:rsid w:val="0060386C"/>
    <w:rsid w:val="00603A39"/>
    <w:rsid w:val="00605439"/>
    <w:rsid w:val="00606E24"/>
    <w:rsid w:val="00607028"/>
    <w:rsid w:val="006073C7"/>
    <w:rsid w:val="006139A3"/>
    <w:rsid w:val="00615318"/>
    <w:rsid w:val="00615A20"/>
    <w:rsid w:val="0061696C"/>
    <w:rsid w:val="00616F18"/>
    <w:rsid w:val="006178AF"/>
    <w:rsid w:val="00617F80"/>
    <w:rsid w:val="006201B3"/>
    <w:rsid w:val="00623257"/>
    <w:rsid w:val="00623EAC"/>
    <w:rsid w:val="0062464A"/>
    <w:rsid w:val="006247E5"/>
    <w:rsid w:val="00626CE7"/>
    <w:rsid w:val="00627679"/>
    <w:rsid w:val="00633AA9"/>
    <w:rsid w:val="00633E25"/>
    <w:rsid w:val="0063497A"/>
    <w:rsid w:val="00635285"/>
    <w:rsid w:val="00635D63"/>
    <w:rsid w:val="00636D1E"/>
    <w:rsid w:val="00641787"/>
    <w:rsid w:val="006448BB"/>
    <w:rsid w:val="006464B9"/>
    <w:rsid w:val="00647638"/>
    <w:rsid w:val="00647A39"/>
    <w:rsid w:val="0065292A"/>
    <w:rsid w:val="0065729C"/>
    <w:rsid w:val="00665074"/>
    <w:rsid w:val="00667038"/>
    <w:rsid w:val="00667502"/>
    <w:rsid w:val="00667ED4"/>
    <w:rsid w:val="0067613D"/>
    <w:rsid w:val="006812F4"/>
    <w:rsid w:val="00682A17"/>
    <w:rsid w:val="00682D12"/>
    <w:rsid w:val="006863C8"/>
    <w:rsid w:val="006876C2"/>
    <w:rsid w:val="00690BAD"/>
    <w:rsid w:val="00691313"/>
    <w:rsid w:val="006931B0"/>
    <w:rsid w:val="006948CB"/>
    <w:rsid w:val="006A0770"/>
    <w:rsid w:val="006A189F"/>
    <w:rsid w:val="006A193F"/>
    <w:rsid w:val="006A1D26"/>
    <w:rsid w:val="006A70A5"/>
    <w:rsid w:val="006B0599"/>
    <w:rsid w:val="006B0E51"/>
    <w:rsid w:val="006B0EDE"/>
    <w:rsid w:val="006B2241"/>
    <w:rsid w:val="006B27A3"/>
    <w:rsid w:val="006C137B"/>
    <w:rsid w:val="006C3202"/>
    <w:rsid w:val="006C4306"/>
    <w:rsid w:val="006C4F0B"/>
    <w:rsid w:val="006C5A57"/>
    <w:rsid w:val="006C72D8"/>
    <w:rsid w:val="006C7669"/>
    <w:rsid w:val="006D04A0"/>
    <w:rsid w:val="006D1158"/>
    <w:rsid w:val="006D2C53"/>
    <w:rsid w:val="006E0C52"/>
    <w:rsid w:val="006E2713"/>
    <w:rsid w:val="006E2ADC"/>
    <w:rsid w:val="006E3381"/>
    <w:rsid w:val="006E78CB"/>
    <w:rsid w:val="006F013C"/>
    <w:rsid w:val="006F0721"/>
    <w:rsid w:val="006F1C9D"/>
    <w:rsid w:val="006F2508"/>
    <w:rsid w:val="006F2F4D"/>
    <w:rsid w:val="006F3059"/>
    <w:rsid w:val="006F4069"/>
    <w:rsid w:val="006F471E"/>
    <w:rsid w:val="006F4C75"/>
    <w:rsid w:val="006F4CFE"/>
    <w:rsid w:val="006F5D8F"/>
    <w:rsid w:val="006F67E5"/>
    <w:rsid w:val="00702603"/>
    <w:rsid w:val="00704A36"/>
    <w:rsid w:val="00705487"/>
    <w:rsid w:val="007100F6"/>
    <w:rsid w:val="00711BAB"/>
    <w:rsid w:val="0071273B"/>
    <w:rsid w:val="007130AB"/>
    <w:rsid w:val="00715698"/>
    <w:rsid w:val="00716AC1"/>
    <w:rsid w:val="007246FD"/>
    <w:rsid w:val="0072501E"/>
    <w:rsid w:val="007330C2"/>
    <w:rsid w:val="0073348B"/>
    <w:rsid w:val="00737D35"/>
    <w:rsid w:val="00745966"/>
    <w:rsid w:val="0074599E"/>
    <w:rsid w:val="007462D6"/>
    <w:rsid w:val="00746A91"/>
    <w:rsid w:val="00747463"/>
    <w:rsid w:val="00750769"/>
    <w:rsid w:val="00751C2C"/>
    <w:rsid w:val="007525A6"/>
    <w:rsid w:val="00752CD8"/>
    <w:rsid w:val="00753417"/>
    <w:rsid w:val="007545F6"/>
    <w:rsid w:val="00754A24"/>
    <w:rsid w:val="0076216B"/>
    <w:rsid w:val="00762298"/>
    <w:rsid w:val="00765299"/>
    <w:rsid w:val="00765464"/>
    <w:rsid w:val="007663FE"/>
    <w:rsid w:val="00766F1E"/>
    <w:rsid w:val="007673F4"/>
    <w:rsid w:val="00767713"/>
    <w:rsid w:val="00770F8C"/>
    <w:rsid w:val="00772D54"/>
    <w:rsid w:val="0077312F"/>
    <w:rsid w:val="00773A2F"/>
    <w:rsid w:val="00775946"/>
    <w:rsid w:val="007800AA"/>
    <w:rsid w:val="00785059"/>
    <w:rsid w:val="00785B3E"/>
    <w:rsid w:val="00786144"/>
    <w:rsid w:val="0079093F"/>
    <w:rsid w:val="00791BC0"/>
    <w:rsid w:val="00792F8E"/>
    <w:rsid w:val="00793819"/>
    <w:rsid w:val="007A1686"/>
    <w:rsid w:val="007A4877"/>
    <w:rsid w:val="007A4ABE"/>
    <w:rsid w:val="007A6524"/>
    <w:rsid w:val="007B3A90"/>
    <w:rsid w:val="007B41CE"/>
    <w:rsid w:val="007B42F8"/>
    <w:rsid w:val="007C0994"/>
    <w:rsid w:val="007C1C27"/>
    <w:rsid w:val="007C30D1"/>
    <w:rsid w:val="007C3AB0"/>
    <w:rsid w:val="007C45DD"/>
    <w:rsid w:val="007D1623"/>
    <w:rsid w:val="007D4F90"/>
    <w:rsid w:val="007D52FA"/>
    <w:rsid w:val="007E00D5"/>
    <w:rsid w:val="007E07CD"/>
    <w:rsid w:val="007E0CA0"/>
    <w:rsid w:val="007E1BB5"/>
    <w:rsid w:val="007E2228"/>
    <w:rsid w:val="007E3E60"/>
    <w:rsid w:val="007E4480"/>
    <w:rsid w:val="007E65C8"/>
    <w:rsid w:val="007E6F39"/>
    <w:rsid w:val="007E74DE"/>
    <w:rsid w:val="007E7502"/>
    <w:rsid w:val="007E795A"/>
    <w:rsid w:val="007F2011"/>
    <w:rsid w:val="007F4463"/>
    <w:rsid w:val="007F590A"/>
    <w:rsid w:val="007F7049"/>
    <w:rsid w:val="00802170"/>
    <w:rsid w:val="008029AB"/>
    <w:rsid w:val="008032BA"/>
    <w:rsid w:val="008032D2"/>
    <w:rsid w:val="008033BC"/>
    <w:rsid w:val="008039A0"/>
    <w:rsid w:val="0080626A"/>
    <w:rsid w:val="00807582"/>
    <w:rsid w:val="00811163"/>
    <w:rsid w:val="00811D1A"/>
    <w:rsid w:val="00816289"/>
    <w:rsid w:val="00820747"/>
    <w:rsid w:val="00821289"/>
    <w:rsid w:val="00821E4A"/>
    <w:rsid w:val="0082410F"/>
    <w:rsid w:val="0082746E"/>
    <w:rsid w:val="00827AD2"/>
    <w:rsid w:val="00830D98"/>
    <w:rsid w:val="0083167C"/>
    <w:rsid w:val="00831B1A"/>
    <w:rsid w:val="00832707"/>
    <w:rsid w:val="00834892"/>
    <w:rsid w:val="0084052A"/>
    <w:rsid w:val="00841C97"/>
    <w:rsid w:val="00843A82"/>
    <w:rsid w:val="00843E74"/>
    <w:rsid w:val="00843F11"/>
    <w:rsid w:val="00844084"/>
    <w:rsid w:val="00850A9C"/>
    <w:rsid w:val="00851390"/>
    <w:rsid w:val="00854B69"/>
    <w:rsid w:val="00857CE1"/>
    <w:rsid w:val="00860962"/>
    <w:rsid w:val="00870AE4"/>
    <w:rsid w:val="00873034"/>
    <w:rsid w:val="008739F1"/>
    <w:rsid w:val="00873E50"/>
    <w:rsid w:val="00876A54"/>
    <w:rsid w:val="008777D4"/>
    <w:rsid w:val="008813DD"/>
    <w:rsid w:val="00881735"/>
    <w:rsid w:val="00886E24"/>
    <w:rsid w:val="00887167"/>
    <w:rsid w:val="0088745C"/>
    <w:rsid w:val="00893A83"/>
    <w:rsid w:val="00894002"/>
    <w:rsid w:val="0089503B"/>
    <w:rsid w:val="008955D1"/>
    <w:rsid w:val="008963E9"/>
    <w:rsid w:val="008A0755"/>
    <w:rsid w:val="008A0B07"/>
    <w:rsid w:val="008B0ED5"/>
    <w:rsid w:val="008B2D8C"/>
    <w:rsid w:val="008B3DDF"/>
    <w:rsid w:val="008B51C5"/>
    <w:rsid w:val="008B5CFC"/>
    <w:rsid w:val="008C0F72"/>
    <w:rsid w:val="008C1359"/>
    <w:rsid w:val="008C18C8"/>
    <w:rsid w:val="008C2857"/>
    <w:rsid w:val="008C4446"/>
    <w:rsid w:val="008C701F"/>
    <w:rsid w:val="008D0075"/>
    <w:rsid w:val="008D7054"/>
    <w:rsid w:val="008D7D84"/>
    <w:rsid w:val="008E1A26"/>
    <w:rsid w:val="008E360E"/>
    <w:rsid w:val="008E5910"/>
    <w:rsid w:val="008E6911"/>
    <w:rsid w:val="008F2499"/>
    <w:rsid w:val="008F391D"/>
    <w:rsid w:val="008F4249"/>
    <w:rsid w:val="008F6021"/>
    <w:rsid w:val="008F7CB8"/>
    <w:rsid w:val="0090132F"/>
    <w:rsid w:val="00902440"/>
    <w:rsid w:val="00903C16"/>
    <w:rsid w:val="00904DF6"/>
    <w:rsid w:val="00906310"/>
    <w:rsid w:val="00906A0E"/>
    <w:rsid w:val="00914284"/>
    <w:rsid w:val="00917D0A"/>
    <w:rsid w:val="009207AE"/>
    <w:rsid w:val="00922F61"/>
    <w:rsid w:val="0092376E"/>
    <w:rsid w:val="00924874"/>
    <w:rsid w:val="009254A0"/>
    <w:rsid w:val="0092665D"/>
    <w:rsid w:val="00926BE9"/>
    <w:rsid w:val="00926E4C"/>
    <w:rsid w:val="00927CCF"/>
    <w:rsid w:val="009305CB"/>
    <w:rsid w:val="0093166A"/>
    <w:rsid w:val="00942F64"/>
    <w:rsid w:val="009433A2"/>
    <w:rsid w:val="009437D3"/>
    <w:rsid w:val="00946F53"/>
    <w:rsid w:val="00947827"/>
    <w:rsid w:val="00947876"/>
    <w:rsid w:val="009509DE"/>
    <w:rsid w:val="00950A46"/>
    <w:rsid w:val="00952FCE"/>
    <w:rsid w:val="0095582F"/>
    <w:rsid w:val="00956A78"/>
    <w:rsid w:val="0095790F"/>
    <w:rsid w:val="00963063"/>
    <w:rsid w:val="009702A3"/>
    <w:rsid w:val="009708F8"/>
    <w:rsid w:val="00970F48"/>
    <w:rsid w:val="00973AFA"/>
    <w:rsid w:val="009749D9"/>
    <w:rsid w:val="00974AE0"/>
    <w:rsid w:val="00975339"/>
    <w:rsid w:val="0097538B"/>
    <w:rsid w:val="009760AE"/>
    <w:rsid w:val="00984C7D"/>
    <w:rsid w:val="00986680"/>
    <w:rsid w:val="00987105"/>
    <w:rsid w:val="00990480"/>
    <w:rsid w:val="0099249D"/>
    <w:rsid w:val="00992EF6"/>
    <w:rsid w:val="009939EC"/>
    <w:rsid w:val="009A1119"/>
    <w:rsid w:val="009A2DE6"/>
    <w:rsid w:val="009A354D"/>
    <w:rsid w:val="009A5114"/>
    <w:rsid w:val="009A53BA"/>
    <w:rsid w:val="009A570A"/>
    <w:rsid w:val="009A5F66"/>
    <w:rsid w:val="009A722B"/>
    <w:rsid w:val="009B076E"/>
    <w:rsid w:val="009B1063"/>
    <w:rsid w:val="009B279F"/>
    <w:rsid w:val="009B3953"/>
    <w:rsid w:val="009B4F66"/>
    <w:rsid w:val="009B52FB"/>
    <w:rsid w:val="009C28C7"/>
    <w:rsid w:val="009C2C9D"/>
    <w:rsid w:val="009C340A"/>
    <w:rsid w:val="009C46A7"/>
    <w:rsid w:val="009C7786"/>
    <w:rsid w:val="009C7DCC"/>
    <w:rsid w:val="009D0C73"/>
    <w:rsid w:val="009D22A4"/>
    <w:rsid w:val="009D308C"/>
    <w:rsid w:val="009D3C46"/>
    <w:rsid w:val="009E0496"/>
    <w:rsid w:val="009E0B2D"/>
    <w:rsid w:val="009E102D"/>
    <w:rsid w:val="009E73F2"/>
    <w:rsid w:val="009E7E10"/>
    <w:rsid w:val="009F1932"/>
    <w:rsid w:val="009F1BC6"/>
    <w:rsid w:val="009F4AF8"/>
    <w:rsid w:val="009F69B6"/>
    <w:rsid w:val="00A01DBA"/>
    <w:rsid w:val="00A0530B"/>
    <w:rsid w:val="00A06063"/>
    <w:rsid w:val="00A066A6"/>
    <w:rsid w:val="00A1156A"/>
    <w:rsid w:val="00A13252"/>
    <w:rsid w:val="00A13845"/>
    <w:rsid w:val="00A17035"/>
    <w:rsid w:val="00A22A5D"/>
    <w:rsid w:val="00A2381E"/>
    <w:rsid w:val="00A2780C"/>
    <w:rsid w:val="00A30949"/>
    <w:rsid w:val="00A32094"/>
    <w:rsid w:val="00A3227F"/>
    <w:rsid w:val="00A3277E"/>
    <w:rsid w:val="00A3434A"/>
    <w:rsid w:val="00A3510D"/>
    <w:rsid w:val="00A35A31"/>
    <w:rsid w:val="00A37B93"/>
    <w:rsid w:val="00A42AAF"/>
    <w:rsid w:val="00A454C0"/>
    <w:rsid w:val="00A45623"/>
    <w:rsid w:val="00A464D7"/>
    <w:rsid w:val="00A47DC0"/>
    <w:rsid w:val="00A50278"/>
    <w:rsid w:val="00A52EC8"/>
    <w:rsid w:val="00A52F7F"/>
    <w:rsid w:val="00A56B3D"/>
    <w:rsid w:val="00A61E2E"/>
    <w:rsid w:val="00A6396A"/>
    <w:rsid w:val="00A63B3C"/>
    <w:rsid w:val="00A64EE4"/>
    <w:rsid w:val="00A6581D"/>
    <w:rsid w:val="00A66730"/>
    <w:rsid w:val="00A71EC8"/>
    <w:rsid w:val="00A72483"/>
    <w:rsid w:val="00A7336A"/>
    <w:rsid w:val="00A73E85"/>
    <w:rsid w:val="00A740CC"/>
    <w:rsid w:val="00A7512A"/>
    <w:rsid w:val="00A75F6B"/>
    <w:rsid w:val="00A77426"/>
    <w:rsid w:val="00A77B9D"/>
    <w:rsid w:val="00A803E1"/>
    <w:rsid w:val="00A80DD5"/>
    <w:rsid w:val="00A81387"/>
    <w:rsid w:val="00A83A70"/>
    <w:rsid w:val="00A85300"/>
    <w:rsid w:val="00A8581D"/>
    <w:rsid w:val="00A861FA"/>
    <w:rsid w:val="00A86A03"/>
    <w:rsid w:val="00A871A3"/>
    <w:rsid w:val="00A90397"/>
    <w:rsid w:val="00A91290"/>
    <w:rsid w:val="00A91471"/>
    <w:rsid w:val="00A92D8E"/>
    <w:rsid w:val="00A93A73"/>
    <w:rsid w:val="00A94F60"/>
    <w:rsid w:val="00A974D2"/>
    <w:rsid w:val="00AA2370"/>
    <w:rsid w:val="00AA3C69"/>
    <w:rsid w:val="00AA5D13"/>
    <w:rsid w:val="00AA5E1B"/>
    <w:rsid w:val="00AB1890"/>
    <w:rsid w:val="00AB5F34"/>
    <w:rsid w:val="00AB63BF"/>
    <w:rsid w:val="00AB6FE9"/>
    <w:rsid w:val="00AB7718"/>
    <w:rsid w:val="00AB7DCF"/>
    <w:rsid w:val="00AC1482"/>
    <w:rsid w:val="00AC1A04"/>
    <w:rsid w:val="00AC1B41"/>
    <w:rsid w:val="00AC28EB"/>
    <w:rsid w:val="00AC2A06"/>
    <w:rsid w:val="00AC2E17"/>
    <w:rsid w:val="00AC4D37"/>
    <w:rsid w:val="00AC57BC"/>
    <w:rsid w:val="00AC5A86"/>
    <w:rsid w:val="00AC5FC2"/>
    <w:rsid w:val="00AC694D"/>
    <w:rsid w:val="00AD1187"/>
    <w:rsid w:val="00AD336A"/>
    <w:rsid w:val="00AE068B"/>
    <w:rsid w:val="00AE1369"/>
    <w:rsid w:val="00AE5475"/>
    <w:rsid w:val="00AE62F9"/>
    <w:rsid w:val="00AE69B4"/>
    <w:rsid w:val="00AE6BFE"/>
    <w:rsid w:val="00AF295E"/>
    <w:rsid w:val="00AF31D1"/>
    <w:rsid w:val="00AF3BF6"/>
    <w:rsid w:val="00AF40A9"/>
    <w:rsid w:val="00AF5768"/>
    <w:rsid w:val="00AF6FDC"/>
    <w:rsid w:val="00AF746A"/>
    <w:rsid w:val="00B00161"/>
    <w:rsid w:val="00B00B23"/>
    <w:rsid w:val="00B019A4"/>
    <w:rsid w:val="00B02443"/>
    <w:rsid w:val="00B0252C"/>
    <w:rsid w:val="00B03C52"/>
    <w:rsid w:val="00B128AE"/>
    <w:rsid w:val="00B13D5A"/>
    <w:rsid w:val="00B14CEA"/>
    <w:rsid w:val="00B1621A"/>
    <w:rsid w:val="00B20028"/>
    <w:rsid w:val="00B204E1"/>
    <w:rsid w:val="00B20B0C"/>
    <w:rsid w:val="00B220B5"/>
    <w:rsid w:val="00B24495"/>
    <w:rsid w:val="00B26B3F"/>
    <w:rsid w:val="00B26F8C"/>
    <w:rsid w:val="00B27F19"/>
    <w:rsid w:val="00B302F6"/>
    <w:rsid w:val="00B30A09"/>
    <w:rsid w:val="00B314D2"/>
    <w:rsid w:val="00B3157C"/>
    <w:rsid w:val="00B33C85"/>
    <w:rsid w:val="00B357CC"/>
    <w:rsid w:val="00B35D78"/>
    <w:rsid w:val="00B37BEE"/>
    <w:rsid w:val="00B37C71"/>
    <w:rsid w:val="00B43F32"/>
    <w:rsid w:val="00B4696A"/>
    <w:rsid w:val="00B47FD2"/>
    <w:rsid w:val="00B50CEF"/>
    <w:rsid w:val="00B52BE7"/>
    <w:rsid w:val="00B65DB0"/>
    <w:rsid w:val="00B6621B"/>
    <w:rsid w:val="00B66712"/>
    <w:rsid w:val="00B745C5"/>
    <w:rsid w:val="00B77664"/>
    <w:rsid w:val="00B80690"/>
    <w:rsid w:val="00B80777"/>
    <w:rsid w:val="00B8453C"/>
    <w:rsid w:val="00B85CC4"/>
    <w:rsid w:val="00B90051"/>
    <w:rsid w:val="00B90C08"/>
    <w:rsid w:val="00B90EFF"/>
    <w:rsid w:val="00B92CC4"/>
    <w:rsid w:val="00B94DE9"/>
    <w:rsid w:val="00B95070"/>
    <w:rsid w:val="00B95D85"/>
    <w:rsid w:val="00BA017B"/>
    <w:rsid w:val="00BA3D26"/>
    <w:rsid w:val="00BA44B6"/>
    <w:rsid w:val="00BA7B1D"/>
    <w:rsid w:val="00BA7BB7"/>
    <w:rsid w:val="00BB20AB"/>
    <w:rsid w:val="00BB38E5"/>
    <w:rsid w:val="00BB4C4E"/>
    <w:rsid w:val="00BB556B"/>
    <w:rsid w:val="00BB5B72"/>
    <w:rsid w:val="00BB5CF1"/>
    <w:rsid w:val="00BB7BCE"/>
    <w:rsid w:val="00BC075F"/>
    <w:rsid w:val="00BC0CC5"/>
    <w:rsid w:val="00BC4C33"/>
    <w:rsid w:val="00BC4F79"/>
    <w:rsid w:val="00BC5274"/>
    <w:rsid w:val="00BC5765"/>
    <w:rsid w:val="00BC62D0"/>
    <w:rsid w:val="00BD19C9"/>
    <w:rsid w:val="00BD4FB8"/>
    <w:rsid w:val="00BD6EAF"/>
    <w:rsid w:val="00BE1095"/>
    <w:rsid w:val="00BE3E03"/>
    <w:rsid w:val="00BE60F8"/>
    <w:rsid w:val="00BE6EAC"/>
    <w:rsid w:val="00BF2F3E"/>
    <w:rsid w:val="00BF5D32"/>
    <w:rsid w:val="00BF6F85"/>
    <w:rsid w:val="00C00A75"/>
    <w:rsid w:val="00C00E19"/>
    <w:rsid w:val="00C02AAB"/>
    <w:rsid w:val="00C03400"/>
    <w:rsid w:val="00C115DB"/>
    <w:rsid w:val="00C117C7"/>
    <w:rsid w:val="00C17B7A"/>
    <w:rsid w:val="00C216AB"/>
    <w:rsid w:val="00C222F4"/>
    <w:rsid w:val="00C22493"/>
    <w:rsid w:val="00C22748"/>
    <w:rsid w:val="00C236D0"/>
    <w:rsid w:val="00C256BD"/>
    <w:rsid w:val="00C273CF"/>
    <w:rsid w:val="00C30A21"/>
    <w:rsid w:val="00C30C0B"/>
    <w:rsid w:val="00C30D4E"/>
    <w:rsid w:val="00C3211D"/>
    <w:rsid w:val="00C32A55"/>
    <w:rsid w:val="00C337C2"/>
    <w:rsid w:val="00C3386B"/>
    <w:rsid w:val="00C33CF6"/>
    <w:rsid w:val="00C345D6"/>
    <w:rsid w:val="00C36488"/>
    <w:rsid w:val="00C41898"/>
    <w:rsid w:val="00C421C1"/>
    <w:rsid w:val="00C438E5"/>
    <w:rsid w:val="00C44FB3"/>
    <w:rsid w:val="00C47F9D"/>
    <w:rsid w:val="00C52D63"/>
    <w:rsid w:val="00C57623"/>
    <w:rsid w:val="00C61070"/>
    <w:rsid w:val="00C61B2D"/>
    <w:rsid w:val="00C61D6F"/>
    <w:rsid w:val="00C622DB"/>
    <w:rsid w:val="00C63256"/>
    <w:rsid w:val="00C64BCC"/>
    <w:rsid w:val="00C72815"/>
    <w:rsid w:val="00C7285D"/>
    <w:rsid w:val="00C72913"/>
    <w:rsid w:val="00C72A21"/>
    <w:rsid w:val="00C733B9"/>
    <w:rsid w:val="00C73F37"/>
    <w:rsid w:val="00C74AAB"/>
    <w:rsid w:val="00C74FDB"/>
    <w:rsid w:val="00C762D2"/>
    <w:rsid w:val="00C77FCE"/>
    <w:rsid w:val="00C83E91"/>
    <w:rsid w:val="00C86159"/>
    <w:rsid w:val="00C862E9"/>
    <w:rsid w:val="00C93CF5"/>
    <w:rsid w:val="00C93F4B"/>
    <w:rsid w:val="00C959B6"/>
    <w:rsid w:val="00CA1A48"/>
    <w:rsid w:val="00CA324E"/>
    <w:rsid w:val="00CA362F"/>
    <w:rsid w:val="00CA4C7C"/>
    <w:rsid w:val="00CA685B"/>
    <w:rsid w:val="00CA7C2C"/>
    <w:rsid w:val="00CB315F"/>
    <w:rsid w:val="00CB4ECB"/>
    <w:rsid w:val="00CB7776"/>
    <w:rsid w:val="00CC042C"/>
    <w:rsid w:val="00CC16EE"/>
    <w:rsid w:val="00CC22C5"/>
    <w:rsid w:val="00CC3D9C"/>
    <w:rsid w:val="00CC413A"/>
    <w:rsid w:val="00CC5B4E"/>
    <w:rsid w:val="00CC7854"/>
    <w:rsid w:val="00CC7E1A"/>
    <w:rsid w:val="00CD0201"/>
    <w:rsid w:val="00CD4A8A"/>
    <w:rsid w:val="00CD65DE"/>
    <w:rsid w:val="00CE07FB"/>
    <w:rsid w:val="00CE0CDF"/>
    <w:rsid w:val="00CE28AD"/>
    <w:rsid w:val="00CF1025"/>
    <w:rsid w:val="00CF17DD"/>
    <w:rsid w:val="00CF23A1"/>
    <w:rsid w:val="00CF51D0"/>
    <w:rsid w:val="00CF5412"/>
    <w:rsid w:val="00CF63EB"/>
    <w:rsid w:val="00CF6C28"/>
    <w:rsid w:val="00D02229"/>
    <w:rsid w:val="00D04A23"/>
    <w:rsid w:val="00D10A6F"/>
    <w:rsid w:val="00D13535"/>
    <w:rsid w:val="00D13D89"/>
    <w:rsid w:val="00D14AB2"/>
    <w:rsid w:val="00D1506C"/>
    <w:rsid w:val="00D163B7"/>
    <w:rsid w:val="00D20CC7"/>
    <w:rsid w:val="00D23543"/>
    <w:rsid w:val="00D24A90"/>
    <w:rsid w:val="00D27E16"/>
    <w:rsid w:val="00D33402"/>
    <w:rsid w:val="00D33D82"/>
    <w:rsid w:val="00D35649"/>
    <w:rsid w:val="00D377C9"/>
    <w:rsid w:val="00D378EE"/>
    <w:rsid w:val="00D40C47"/>
    <w:rsid w:val="00D417A0"/>
    <w:rsid w:val="00D47C49"/>
    <w:rsid w:val="00D51C57"/>
    <w:rsid w:val="00D52596"/>
    <w:rsid w:val="00D557D8"/>
    <w:rsid w:val="00D56E11"/>
    <w:rsid w:val="00D57550"/>
    <w:rsid w:val="00D57D70"/>
    <w:rsid w:val="00D60068"/>
    <w:rsid w:val="00D60ED0"/>
    <w:rsid w:val="00D61568"/>
    <w:rsid w:val="00D6381E"/>
    <w:rsid w:val="00D64053"/>
    <w:rsid w:val="00D7239D"/>
    <w:rsid w:val="00D72E10"/>
    <w:rsid w:val="00D73058"/>
    <w:rsid w:val="00D73E34"/>
    <w:rsid w:val="00D767AF"/>
    <w:rsid w:val="00D77643"/>
    <w:rsid w:val="00D8075F"/>
    <w:rsid w:val="00D80DF9"/>
    <w:rsid w:val="00D82BBE"/>
    <w:rsid w:val="00D84047"/>
    <w:rsid w:val="00D86B08"/>
    <w:rsid w:val="00D923C6"/>
    <w:rsid w:val="00D929F5"/>
    <w:rsid w:val="00D937CB"/>
    <w:rsid w:val="00D93B00"/>
    <w:rsid w:val="00D96908"/>
    <w:rsid w:val="00DA3ABD"/>
    <w:rsid w:val="00DB15F9"/>
    <w:rsid w:val="00DB32FC"/>
    <w:rsid w:val="00DB60B5"/>
    <w:rsid w:val="00DC148F"/>
    <w:rsid w:val="00DC16AB"/>
    <w:rsid w:val="00DC45F3"/>
    <w:rsid w:val="00DC77F8"/>
    <w:rsid w:val="00DC787B"/>
    <w:rsid w:val="00DD0086"/>
    <w:rsid w:val="00DD11F4"/>
    <w:rsid w:val="00DD4385"/>
    <w:rsid w:val="00DD5B61"/>
    <w:rsid w:val="00DD5D3C"/>
    <w:rsid w:val="00DE707B"/>
    <w:rsid w:val="00DF0970"/>
    <w:rsid w:val="00DF20DE"/>
    <w:rsid w:val="00DF477D"/>
    <w:rsid w:val="00DF5D77"/>
    <w:rsid w:val="00DF7650"/>
    <w:rsid w:val="00E02B3D"/>
    <w:rsid w:val="00E042DD"/>
    <w:rsid w:val="00E04BAD"/>
    <w:rsid w:val="00E05096"/>
    <w:rsid w:val="00E05446"/>
    <w:rsid w:val="00E117C9"/>
    <w:rsid w:val="00E12D6E"/>
    <w:rsid w:val="00E13A4D"/>
    <w:rsid w:val="00E16876"/>
    <w:rsid w:val="00E17007"/>
    <w:rsid w:val="00E2027C"/>
    <w:rsid w:val="00E23378"/>
    <w:rsid w:val="00E24973"/>
    <w:rsid w:val="00E264FA"/>
    <w:rsid w:val="00E33BD2"/>
    <w:rsid w:val="00E33FAD"/>
    <w:rsid w:val="00E34CAE"/>
    <w:rsid w:val="00E351E8"/>
    <w:rsid w:val="00E36F94"/>
    <w:rsid w:val="00E408D7"/>
    <w:rsid w:val="00E40DD6"/>
    <w:rsid w:val="00E458DE"/>
    <w:rsid w:val="00E46049"/>
    <w:rsid w:val="00E50814"/>
    <w:rsid w:val="00E51DFF"/>
    <w:rsid w:val="00E51FBE"/>
    <w:rsid w:val="00E5341D"/>
    <w:rsid w:val="00E541F7"/>
    <w:rsid w:val="00E548F8"/>
    <w:rsid w:val="00E555E0"/>
    <w:rsid w:val="00E60E30"/>
    <w:rsid w:val="00E61C2C"/>
    <w:rsid w:val="00E61D95"/>
    <w:rsid w:val="00E630AD"/>
    <w:rsid w:val="00E63854"/>
    <w:rsid w:val="00E6715E"/>
    <w:rsid w:val="00E70B90"/>
    <w:rsid w:val="00E71DC4"/>
    <w:rsid w:val="00E72A51"/>
    <w:rsid w:val="00E734D7"/>
    <w:rsid w:val="00E76722"/>
    <w:rsid w:val="00E8010F"/>
    <w:rsid w:val="00E80E48"/>
    <w:rsid w:val="00E83131"/>
    <w:rsid w:val="00E9164C"/>
    <w:rsid w:val="00E9167C"/>
    <w:rsid w:val="00E926F4"/>
    <w:rsid w:val="00E92B63"/>
    <w:rsid w:val="00E93B18"/>
    <w:rsid w:val="00E9407A"/>
    <w:rsid w:val="00E96235"/>
    <w:rsid w:val="00EA15CC"/>
    <w:rsid w:val="00EA2FB1"/>
    <w:rsid w:val="00EA6F8F"/>
    <w:rsid w:val="00EB01F5"/>
    <w:rsid w:val="00EB286C"/>
    <w:rsid w:val="00EB530D"/>
    <w:rsid w:val="00EB59BF"/>
    <w:rsid w:val="00EB644A"/>
    <w:rsid w:val="00EB6A10"/>
    <w:rsid w:val="00EB7DCE"/>
    <w:rsid w:val="00EC1028"/>
    <w:rsid w:val="00EC1B77"/>
    <w:rsid w:val="00EC29DA"/>
    <w:rsid w:val="00EC4F54"/>
    <w:rsid w:val="00EC5465"/>
    <w:rsid w:val="00ED0346"/>
    <w:rsid w:val="00ED0CE4"/>
    <w:rsid w:val="00ED0D0F"/>
    <w:rsid w:val="00ED109D"/>
    <w:rsid w:val="00ED1C5F"/>
    <w:rsid w:val="00ED1F7C"/>
    <w:rsid w:val="00ED4832"/>
    <w:rsid w:val="00ED525A"/>
    <w:rsid w:val="00ED52A2"/>
    <w:rsid w:val="00ED52CA"/>
    <w:rsid w:val="00ED5697"/>
    <w:rsid w:val="00EE0C41"/>
    <w:rsid w:val="00EE3FD0"/>
    <w:rsid w:val="00EE5EF0"/>
    <w:rsid w:val="00EE6957"/>
    <w:rsid w:val="00EF19A7"/>
    <w:rsid w:val="00EF2AC6"/>
    <w:rsid w:val="00EF47B6"/>
    <w:rsid w:val="00EF74B2"/>
    <w:rsid w:val="00F00575"/>
    <w:rsid w:val="00F007E0"/>
    <w:rsid w:val="00F00832"/>
    <w:rsid w:val="00F033E1"/>
    <w:rsid w:val="00F0409C"/>
    <w:rsid w:val="00F065F8"/>
    <w:rsid w:val="00F07E44"/>
    <w:rsid w:val="00F12165"/>
    <w:rsid w:val="00F12587"/>
    <w:rsid w:val="00F12998"/>
    <w:rsid w:val="00F12D26"/>
    <w:rsid w:val="00F1407B"/>
    <w:rsid w:val="00F16404"/>
    <w:rsid w:val="00F16A39"/>
    <w:rsid w:val="00F1774C"/>
    <w:rsid w:val="00F21DA5"/>
    <w:rsid w:val="00F269F1"/>
    <w:rsid w:val="00F35AB7"/>
    <w:rsid w:val="00F3736E"/>
    <w:rsid w:val="00F403F7"/>
    <w:rsid w:val="00F40EF1"/>
    <w:rsid w:val="00F41756"/>
    <w:rsid w:val="00F417EA"/>
    <w:rsid w:val="00F41EE8"/>
    <w:rsid w:val="00F4572C"/>
    <w:rsid w:val="00F46260"/>
    <w:rsid w:val="00F4732D"/>
    <w:rsid w:val="00F47743"/>
    <w:rsid w:val="00F538DF"/>
    <w:rsid w:val="00F54BE1"/>
    <w:rsid w:val="00F62DAB"/>
    <w:rsid w:val="00F643F7"/>
    <w:rsid w:val="00F64D8C"/>
    <w:rsid w:val="00F670B6"/>
    <w:rsid w:val="00F70357"/>
    <w:rsid w:val="00F72500"/>
    <w:rsid w:val="00F74011"/>
    <w:rsid w:val="00F74E09"/>
    <w:rsid w:val="00F755DF"/>
    <w:rsid w:val="00F75903"/>
    <w:rsid w:val="00F75916"/>
    <w:rsid w:val="00F776A9"/>
    <w:rsid w:val="00F803F2"/>
    <w:rsid w:val="00F80788"/>
    <w:rsid w:val="00F82B14"/>
    <w:rsid w:val="00F82B28"/>
    <w:rsid w:val="00F82F73"/>
    <w:rsid w:val="00F83454"/>
    <w:rsid w:val="00F834A4"/>
    <w:rsid w:val="00F84612"/>
    <w:rsid w:val="00F85B5F"/>
    <w:rsid w:val="00F93564"/>
    <w:rsid w:val="00F95A24"/>
    <w:rsid w:val="00F96965"/>
    <w:rsid w:val="00F96EB5"/>
    <w:rsid w:val="00F96F6C"/>
    <w:rsid w:val="00FA1652"/>
    <w:rsid w:val="00FA46F7"/>
    <w:rsid w:val="00FA5ED5"/>
    <w:rsid w:val="00FA7EB9"/>
    <w:rsid w:val="00FB179B"/>
    <w:rsid w:val="00FB293D"/>
    <w:rsid w:val="00FB3256"/>
    <w:rsid w:val="00FB5875"/>
    <w:rsid w:val="00FB6047"/>
    <w:rsid w:val="00FC01D0"/>
    <w:rsid w:val="00FC1AFD"/>
    <w:rsid w:val="00FC5E9D"/>
    <w:rsid w:val="00FD045F"/>
    <w:rsid w:val="00FD239F"/>
    <w:rsid w:val="00FD4E26"/>
    <w:rsid w:val="00FD6B6B"/>
    <w:rsid w:val="00FD6D87"/>
    <w:rsid w:val="00FD7086"/>
    <w:rsid w:val="00FE63CB"/>
    <w:rsid w:val="00FE6BED"/>
    <w:rsid w:val="00FF18AC"/>
    <w:rsid w:val="00FF36CC"/>
    <w:rsid w:val="00FF5713"/>
    <w:rsid w:val="00FF7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E64633"/>
  <w15:chartTrackingRefBased/>
  <w15:docId w15:val="{02F449EB-00FF-496D-B080-7B6A433D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F8078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F8078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F80788"/>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45F"/>
    <w:rPr>
      <w:color w:val="808080"/>
    </w:rPr>
  </w:style>
  <w:style w:type="character" w:customStyle="1" w:styleId="Heading1Char">
    <w:name w:val="Heading 1 Char"/>
    <w:basedOn w:val="DefaultParagraphFont"/>
    <w:link w:val="Heading1"/>
    <w:uiPriority w:val="9"/>
    <w:rsid w:val="00F80788"/>
    <w:rPr>
      <w:b/>
      <w:bCs/>
      <w:noProof/>
      <w:kern w:val="44"/>
      <w:sz w:val="44"/>
      <w:szCs w:val="44"/>
    </w:rPr>
  </w:style>
  <w:style w:type="character" w:customStyle="1" w:styleId="Heading2Char">
    <w:name w:val="Heading 2 Char"/>
    <w:basedOn w:val="DefaultParagraphFont"/>
    <w:link w:val="Heading2"/>
    <w:uiPriority w:val="9"/>
    <w:rsid w:val="00F80788"/>
    <w:rPr>
      <w:rFonts w:asciiTheme="majorHAnsi" w:eastAsiaTheme="majorEastAsia" w:hAnsiTheme="majorHAnsi" w:cstheme="majorBidi"/>
      <w:b/>
      <w:bCs/>
      <w:noProof/>
      <w:sz w:val="32"/>
      <w:szCs w:val="32"/>
    </w:rPr>
  </w:style>
  <w:style w:type="character" w:customStyle="1" w:styleId="Heading3Char">
    <w:name w:val="Heading 3 Char"/>
    <w:basedOn w:val="DefaultParagraphFont"/>
    <w:link w:val="Heading3"/>
    <w:uiPriority w:val="9"/>
    <w:rsid w:val="00F80788"/>
    <w:rPr>
      <w:b/>
      <w:bCs/>
      <w:noProof/>
      <w:sz w:val="32"/>
      <w:szCs w:val="32"/>
    </w:rPr>
  </w:style>
  <w:style w:type="paragraph" w:styleId="EndnoteText">
    <w:name w:val="endnote text"/>
    <w:basedOn w:val="Normal"/>
    <w:link w:val="EndnoteTextChar"/>
    <w:uiPriority w:val="99"/>
    <w:semiHidden/>
    <w:unhideWhenUsed/>
    <w:rsid w:val="00F00832"/>
    <w:pPr>
      <w:snapToGrid w:val="0"/>
      <w:jc w:val="left"/>
    </w:pPr>
    <w:rPr>
      <w:rFonts w:ascii="Times New Roman" w:eastAsia="SimSun" w:hAnsi="Times New Roman" w:cs="Times New Roman"/>
      <w:kern w:val="0"/>
      <w:sz w:val="20"/>
      <w:szCs w:val="20"/>
      <w:lang w:val="x-none" w:eastAsia="x-none"/>
    </w:rPr>
  </w:style>
  <w:style w:type="character" w:customStyle="1" w:styleId="EndnoteTextChar">
    <w:name w:val="Endnote Text Char"/>
    <w:basedOn w:val="DefaultParagraphFont"/>
    <w:link w:val="EndnoteText"/>
    <w:uiPriority w:val="99"/>
    <w:semiHidden/>
    <w:rsid w:val="00F00832"/>
    <w:rPr>
      <w:rFonts w:ascii="Times New Roman" w:eastAsia="SimSun" w:hAnsi="Times New Roman" w:cs="Times New Roman"/>
      <w:kern w:val="0"/>
      <w:sz w:val="20"/>
      <w:szCs w:val="20"/>
      <w:lang w:val="x-none" w:eastAsia="x-none"/>
    </w:rPr>
  </w:style>
  <w:style w:type="character" w:styleId="EndnoteReference">
    <w:name w:val="endnote reference"/>
    <w:uiPriority w:val="99"/>
    <w:semiHidden/>
    <w:unhideWhenUsed/>
    <w:rsid w:val="00F00832"/>
    <w:rPr>
      <w:vertAlign w:val="superscript"/>
    </w:rPr>
  </w:style>
  <w:style w:type="paragraph" w:styleId="FootnoteText">
    <w:name w:val="footnote text"/>
    <w:basedOn w:val="Normal"/>
    <w:link w:val="FootnoteTextChar"/>
    <w:uiPriority w:val="99"/>
    <w:unhideWhenUsed/>
    <w:rsid w:val="00F00832"/>
    <w:pPr>
      <w:snapToGrid w:val="0"/>
      <w:jc w:val="left"/>
    </w:pPr>
    <w:rPr>
      <w:rFonts w:ascii="Calibri" w:eastAsia="SimSun" w:hAnsi="Calibri" w:cs="Times New Roman"/>
      <w:kern w:val="0"/>
      <w:sz w:val="18"/>
      <w:szCs w:val="18"/>
      <w:lang w:val="x-none" w:eastAsia="x-none"/>
    </w:rPr>
  </w:style>
  <w:style w:type="character" w:customStyle="1" w:styleId="FootnoteTextChar">
    <w:name w:val="Footnote Text Char"/>
    <w:basedOn w:val="DefaultParagraphFont"/>
    <w:link w:val="FootnoteText"/>
    <w:uiPriority w:val="99"/>
    <w:rsid w:val="00F00832"/>
    <w:rPr>
      <w:rFonts w:ascii="Calibri" w:eastAsia="SimSun" w:hAnsi="Calibri" w:cs="Times New Roman"/>
      <w:kern w:val="0"/>
      <w:sz w:val="18"/>
      <w:szCs w:val="18"/>
      <w:lang w:val="x-none" w:eastAsia="x-none"/>
    </w:rPr>
  </w:style>
  <w:style w:type="paragraph" w:styleId="CommentText">
    <w:name w:val="annotation text"/>
    <w:basedOn w:val="Normal"/>
    <w:link w:val="CommentTextChar"/>
    <w:uiPriority w:val="99"/>
    <w:unhideWhenUsed/>
    <w:rsid w:val="00F00832"/>
    <w:rPr>
      <w:rFonts w:ascii="Calibri" w:eastAsia="SimSun" w:hAnsi="Calibri" w:cs="Times New Roman"/>
      <w:kern w:val="0"/>
      <w:sz w:val="20"/>
      <w:szCs w:val="20"/>
      <w:lang w:val="x-none" w:eastAsia="x-none"/>
    </w:rPr>
  </w:style>
  <w:style w:type="character" w:customStyle="1" w:styleId="CommentTextChar">
    <w:name w:val="Comment Text Char"/>
    <w:basedOn w:val="DefaultParagraphFont"/>
    <w:link w:val="CommentText"/>
    <w:uiPriority w:val="99"/>
    <w:rsid w:val="00F00832"/>
    <w:rPr>
      <w:rFonts w:ascii="Calibri" w:eastAsia="SimSun" w:hAnsi="Calibri" w:cs="Times New Roman"/>
      <w:kern w:val="0"/>
      <w:sz w:val="20"/>
      <w:szCs w:val="20"/>
      <w:lang w:val="x-none" w:eastAsia="x-none"/>
    </w:rPr>
  </w:style>
  <w:style w:type="paragraph" w:styleId="Header">
    <w:name w:val="header"/>
    <w:basedOn w:val="Normal"/>
    <w:link w:val="HeaderChar"/>
    <w:uiPriority w:val="99"/>
    <w:unhideWhenUsed/>
    <w:rsid w:val="00063350"/>
    <w:pPr>
      <w:pBdr>
        <w:bottom w:val="single" w:sz="6" w:space="1" w:color="auto"/>
      </w:pBdr>
      <w:tabs>
        <w:tab w:val="center" w:pos="4153"/>
        <w:tab w:val="right" w:pos="8306"/>
      </w:tabs>
      <w:snapToGrid w:val="0"/>
      <w:jc w:val="center"/>
    </w:pPr>
    <w:rPr>
      <w:rFonts w:ascii="Calibri" w:eastAsia="SimSun" w:hAnsi="Calibri" w:cs="Times New Roman"/>
      <w:kern w:val="0"/>
      <w:sz w:val="18"/>
      <w:szCs w:val="18"/>
      <w:lang w:val="x-none" w:eastAsia="x-none"/>
    </w:rPr>
  </w:style>
  <w:style w:type="character" w:customStyle="1" w:styleId="HeaderChar">
    <w:name w:val="Header Char"/>
    <w:basedOn w:val="DefaultParagraphFont"/>
    <w:link w:val="Header"/>
    <w:uiPriority w:val="99"/>
    <w:rsid w:val="00063350"/>
    <w:rPr>
      <w:rFonts w:ascii="Calibri" w:eastAsia="SimSun" w:hAnsi="Calibri" w:cs="Times New Roman"/>
      <w:kern w:val="0"/>
      <w:sz w:val="18"/>
      <w:szCs w:val="18"/>
      <w:lang w:val="x-none" w:eastAsia="x-none"/>
    </w:rPr>
  </w:style>
  <w:style w:type="paragraph" w:styleId="Footer">
    <w:name w:val="footer"/>
    <w:basedOn w:val="Normal"/>
    <w:link w:val="FooterChar"/>
    <w:uiPriority w:val="99"/>
    <w:unhideWhenUsed/>
    <w:rsid w:val="00063350"/>
    <w:pPr>
      <w:tabs>
        <w:tab w:val="center" w:pos="4153"/>
        <w:tab w:val="right" w:pos="8306"/>
      </w:tabs>
      <w:snapToGrid w:val="0"/>
      <w:jc w:val="left"/>
    </w:pPr>
    <w:rPr>
      <w:rFonts w:ascii="Calibri" w:eastAsia="SimSun" w:hAnsi="Calibri" w:cs="Times New Roman"/>
      <w:kern w:val="0"/>
      <w:sz w:val="18"/>
      <w:szCs w:val="18"/>
      <w:lang w:val="x-none" w:eastAsia="x-none"/>
    </w:rPr>
  </w:style>
  <w:style w:type="character" w:customStyle="1" w:styleId="FooterChar">
    <w:name w:val="Footer Char"/>
    <w:basedOn w:val="DefaultParagraphFont"/>
    <w:link w:val="Footer"/>
    <w:uiPriority w:val="99"/>
    <w:rsid w:val="00063350"/>
    <w:rPr>
      <w:rFonts w:ascii="Calibri" w:eastAsia="SimSun" w:hAnsi="Calibri" w:cs="Times New Roman"/>
      <w:kern w:val="0"/>
      <w:sz w:val="18"/>
      <w:szCs w:val="18"/>
      <w:lang w:val="x-none" w:eastAsia="x-none"/>
    </w:rPr>
  </w:style>
  <w:style w:type="character" w:styleId="Hyperlink">
    <w:name w:val="Hyperlink"/>
    <w:basedOn w:val="DefaultParagraphFont"/>
    <w:uiPriority w:val="99"/>
    <w:unhideWhenUsed/>
    <w:rsid w:val="006B27A3"/>
    <w:rPr>
      <w:color w:val="0000FF" w:themeColor="hyperlink"/>
      <w:u w:val="single"/>
    </w:rPr>
  </w:style>
  <w:style w:type="character" w:customStyle="1" w:styleId="1">
    <w:name w:val="未处理的提及1"/>
    <w:basedOn w:val="DefaultParagraphFont"/>
    <w:uiPriority w:val="99"/>
    <w:semiHidden/>
    <w:unhideWhenUsed/>
    <w:rsid w:val="006B27A3"/>
    <w:rPr>
      <w:color w:val="808080"/>
      <w:shd w:val="clear" w:color="auto" w:fill="E6E6E6"/>
    </w:rPr>
  </w:style>
  <w:style w:type="paragraph" w:styleId="BalloonText">
    <w:name w:val="Balloon Text"/>
    <w:basedOn w:val="Normal"/>
    <w:link w:val="BalloonTextChar"/>
    <w:uiPriority w:val="99"/>
    <w:semiHidden/>
    <w:unhideWhenUsed/>
    <w:rsid w:val="00B019A4"/>
    <w:rPr>
      <w:sz w:val="18"/>
      <w:szCs w:val="18"/>
    </w:rPr>
  </w:style>
  <w:style w:type="character" w:customStyle="1" w:styleId="BalloonTextChar">
    <w:name w:val="Balloon Text Char"/>
    <w:basedOn w:val="DefaultParagraphFont"/>
    <w:link w:val="BalloonText"/>
    <w:uiPriority w:val="99"/>
    <w:semiHidden/>
    <w:rsid w:val="00B019A4"/>
    <w:rPr>
      <w:noProof/>
      <w:sz w:val="18"/>
      <w:szCs w:val="18"/>
    </w:rPr>
  </w:style>
  <w:style w:type="paragraph" w:styleId="Revision">
    <w:name w:val="Revision"/>
    <w:hidden/>
    <w:uiPriority w:val="99"/>
    <w:semiHidden/>
    <w:rsid w:val="00CF6C28"/>
    <w:rPr>
      <w:noProof/>
    </w:rPr>
  </w:style>
  <w:style w:type="paragraph" w:styleId="ListParagraph">
    <w:name w:val="List Paragraph"/>
    <w:basedOn w:val="Normal"/>
    <w:uiPriority w:val="34"/>
    <w:qFormat/>
    <w:rsid w:val="00574C46"/>
    <w:pPr>
      <w:ind w:firstLineChars="200" w:firstLine="420"/>
    </w:pPr>
  </w:style>
  <w:style w:type="character" w:styleId="CommentReference">
    <w:name w:val="annotation reference"/>
    <w:basedOn w:val="DefaultParagraphFont"/>
    <w:uiPriority w:val="99"/>
    <w:semiHidden/>
    <w:unhideWhenUsed/>
    <w:rsid w:val="001C398E"/>
    <w:rPr>
      <w:sz w:val="21"/>
      <w:szCs w:val="21"/>
    </w:rPr>
  </w:style>
  <w:style w:type="paragraph" w:styleId="CommentSubject">
    <w:name w:val="annotation subject"/>
    <w:basedOn w:val="CommentText"/>
    <w:next w:val="CommentText"/>
    <w:link w:val="CommentSubjectChar"/>
    <w:uiPriority w:val="99"/>
    <w:semiHidden/>
    <w:unhideWhenUsed/>
    <w:rsid w:val="001C398E"/>
    <w:pPr>
      <w:jc w:val="left"/>
    </w:pPr>
    <w:rPr>
      <w:rFonts w:asciiTheme="minorHAnsi" w:eastAsiaTheme="minorEastAsia" w:hAnsiTheme="minorHAnsi" w:cstheme="minorBidi"/>
      <w:b/>
      <w:bCs/>
      <w:noProof/>
      <w:kern w:val="2"/>
      <w:sz w:val="21"/>
      <w:szCs w:val="22"/>
      <w:lang w:val="en-US" w:eastAsia="zh-CN"/>
    </w:rPr>
  </w:style>
  <w:style w:type="character" w:customStyle="1" w:styleId="CommentSubjectChar">
    <w:name w:val="Comment Subject Char"/>
    <w:basedOn w:val="CommentTextChar"/>
    <w:link w:val="CommentSubject"/>
    <w:uiPriority w:val="99"/>
    <w:semiHidden/>
    <w:rsid w:val="001C398E"/>
    <w:rPr>
      <w:rFonts w:ascii="Calibri" w:eastAsia="SimSun" w:hAnsi="Calibri" w:cs="Times New Roman"/>
      <w:b/>
      <w:bCs/>
      <w:noProof/>
      <w:kern w:val="0"/>
      <w:sz w:val="20"/>
      <w:szCs w:val="20"/>
      <w:lang w:val="x-none" w:eastAsia="x-none"/>
    </w:rPr>
  </w:style>
  <w:style w:type="table" w:styleId="TableGrid">
    <w:name w:val="Table Grid"/>
    <w:basedOn w:val="TableNormal"/>
    <w:uiPriority w:val="59"/>
    <w:rsid w:val="009C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C787B"/>
  </w:style>
  <w:style w:type="paragraph" w:styleId="NoSpacing">
    <w:name w:val="No Spacing"/>
    <w:uiPriority w:val="1"/>
    <w:qFormat/>
    <w:rsid w:val="00A974D2"/>
    <w:pPr>
      <w:widowControl w:val="0"/>
      <w:jc w:val="both"/>
    </w:pPr>
  </w:style>
  <w:style w:type="character" w:customStyle="1" w:styleId="2">
    <w:name w:val="未处理的提及2"/>
    <w:basedOn w:val="DefaultParagraphFont"/>
    <w:uiPriority w:val="99"/>
    <w:semiHidden/>
    <w:unhideWhenUsed/>
    <w:rsid w:val="000C73C3"/>
    <w:rPr>
      <w:color w:val="808080"/>
      <w:shd w:val="clear" w:color="auto" w:fill="E6E6E6"/>
    </w:rPr>
  </w:style>
  <w:style w:type="character" w:styleId="FootnoteReference">
    <w:name w:val="footnote reference"/>
    <w:basedOn w:val="DefaultParagraphFont"/>
    <w:uiPriority w:val="99"/>
    <w:semiHidden/>
    <w:unhideWhenUsed/>
    <w:rsid w:val="006F5D8F"/>
    <w:rPr>
      <w:vertAlign w:val="superscript"/>
    </w:rPr>
  </w:style>
  <w:style w:type="character" w:customStyle="1" w:styleId="3">
    <w:name w:val="未处理的提及3"/>
    <w:basedOn w:val="DefaultParagraphFont"/>
    <w:uiPriority w:val="99"/>
    <w:semiHidden/>
    <w:unhideWhenUsed/>
    <w:rsid w:val="0050658F"/>
    <w:rPr>
      <w:color w:val="808080"/>
      <w:shd w:val="clear" w:color="auto" w:fill="E6E6E6"/>
    </w:rPr>
  </w:style>
  <w:style w:type="character" w:customStyle="1" w:styleId="4">
    <w:name w:val="未处理的提及4"/>
    <w:basedOn w:val="DefaultParagraphFont"/>
    <w:uiPriority w:val="99"/>
    <w:semiHidden/>
    <w:unhideWhenUsed/>
    <w:rsid w:val="00711BAB"/>
    <w:rPr>
      <w:color w:val="808080"/>
      <w:shd w:val="clear" w:color="auto" w:fill="E6E6E6"/>
    </w:rPr>
  </w:style>
  <w:style w:type="character" w:styleId="FollowedHyperlink">
    <w:name w:val="FollowedHyperlink"/>
    <w:basedOn w:val="DefaultParagraphFont"/>
    <w:uiPriority w:val="99"/>
    <w:semiHidden/>
    <w:unhideWhenUsed/>
    <w:rsid w:val="00EC1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1161">
      <w:bodyDiv w:val="1"/>
      <w:marLeft w:val="0"/>
      <w:marRight w:val="0"/>
      <w:marTop w:val="0"/>
      <w:marBottom w:val="0"/>
      <w:divBdr>
        <w:top w:val="none" w:sz="0" w:space="0" w:color="auto"/>
        <w:left w:val="none" w:sz="0" w:space="0" w:color="auto"/>
        <w:bottom w:val="none" w:sz="0" w:space="0" w:color="auto"/>
        <w:right w:val="none" w:sz="0" w:space="0" w:color="auto"/>
      </w:divBdr>
    </w:div>
    <w:div w:id="184488256">
      <w:bodyDiv w:val="1"/>
      <w:marLeft w:val="0"/>
      <w:marRight w:val="0"/>
      <w:marTop w:val="0"/>
      <w:marBottom w:val="0"/>
      <w:divBdr>
        <w:top w:val="none" w:sz="0" w:space="0" w:color="auto"/>
        <w:left w:val="none" w:sz="0" w:space="0" w:color="auto"/>
        <w:bottom w:val="none" w:sz="0" w:space="0" w:color="auto"/>
        <w:right w:val="none" w:sz="0" w:space="0" w:color="auto"/>
      </w:divBdr>
    </w:div>
    <w:div w:id="508298963">
      <w:bodyDiv w:val="1"/>
      <w:marLeft w:val="0"/>
      <w:marRight w:val="0"/>
      <w:marTop w:val="0"/>
      <w:marBottom w:val="0"/>
      <w:divBdr>
        <w:top w:val="none" w:sz="0" w:space="0" w:color="auto"/>
        <w:left w:val="none" w:sz="0" w:space="0" w:color="auto"/>
        <w:bottom w:val="none" w:sz="0" w:space="0" w:color="auto"/>
        <w:right w:val="none" w:sz="0" w:space="0" w:color="auto"/>
      </w:divBdr>
    </w:div>
    <w:div w:id="738675801">
      <w:bodyDiv w:val="1"/>
      <w:marLeft w:val="0"/>
      <w:marRight w:val="0"/>
      <w:marTop w:val="0"/>
      <w:marBottom w:val="0"/>
      <w:divBdr>
        <w:top w:val="none" w:sz="0" w:space="0" w:color="auto"/>
        <w:left w:val="none" w:sz="0" w:space="0" w:color="auto"/>
        <w:bottom w:val="none" w:sz="0" w:space="0" w:color="auto"/>
        <w:right w:val="none" w:sz="0" w:space="0" w:color="auto"/>
      </w:divBdr>
    </w:div>
    <w:div w:id="740057309">
      <w:bodyDiv w:val="1"/>
      <w:marLeft w:val="0"/>
      <w:marRight w:val="0"/>
      <w:marTop w:val="0"/>
      <w:marBottom w:val="0"/>
      <w:divBdr>
        <w:top w:val="none" w:sz="0" w:space="0" w:color="auto"/>
        <w:left w:val="none" w:sz="0" w:space="0" w:color="auto"/>
        <w:bottom w:val="none" w:sz="0" w:space="0" w:color="auto"/>
        <w:right w:val="none" w:sz="0" w:space="0" w:color="auto"/>
      </w:divBdr>
    </w:div>
    <w:div w:id="1086153398">
      <w:bodyDiv w:val="1"/>
      <w:marLeft w:val="0"/>
      <w:marRight w:val="0"/>
      <w:marTop w:val="0"/>
      <w:marBottom w:val="0"/>
      <w:divBdr>
        <w:top w:val="none" w:sz="0" w:space="0" w:color="auto"/>
        <w:left w:val="none" w:sz="0" w:space="0" w:color="auto"/>
        <w:bottom w:val="none" w:sz="0" w:space="0" w:color="auto"/>
        <w:right w:val="none" w:sz="0" w:space="0" w:color="auto"/>
      </w:divBdr>
    </w:div>
    <w:div w:id="1317415343">
      <w:bodyDiv w:val="1"/>
      <w:marLeft w:val="0"/>
      <w:marRight w:val="0"/>
      <w:marTop w:val="0"/>
      <w:marBottom w:val="0"/>
      <w:divBdr>
        <w:top w:val="none" w:sz="0" w:space="0" w:color="auto"/>
        <w:left w:val="none" w:sz="0" w:space="0" w:color="auto"/>
        <w:bottom w:val="none" w:sz="0" w:space="0" w:color="auto"/>
        <w:right w:val="none" w:sz="0" w:space="0" w:color="auto"/>
      </w:divBdr>
    </w:div>
    <w:div w:id="1413427431">
      <w:bodyDiv w:val="1"/>
      <w:marLeft w:val="0"/>
      <w:marRight w:val="0"/>
      <w:marTop w:val="0"/>
      <w:marBottom w:val="0"/>
      <w:divBdr>
        <w:top w:val="none" w:sz="0" w:space="0" w:color="auto"/>
        <w:left w:val="none" w:sz="0" w:space="0" w:color="auto"/>
        <w:bottom w:val="none" w:sz="0" w:space="0" w:color="auto"/>
        <w:right w:val="none" w:sz="0" w:space="0" w:color="auto"/>
      </w:divBdr>
    </w:div>
    <w:div w:id="1453791375">
      <w:bodyDiv w:val="1"/>
      <w:marLeft w:val="0"/>
      <w:marRight w:val="0"/>
      <w:marTop w:val="0"/>
      <w:marBottom w:val="0"/>
      <w:divBdr>
        <w:top w:val="none" w:sz="0" w:space="0" w:color="auto"/>
        <w:left w:val="none" w:sz="0" w:space="0" w:color="auto"/>
        <w:bottom w:val="none" w:sz="0" w:space="0" w:color="auto"/>
        <w:right w:val="none" w:sz="0" w:space="0" w:color="auto"/>
      </w:divBdr>
    </w:div>
    <w:div w:id="1457869334">
      <w:bodyDiv w:val="1"/>
      <w:marLeft w:val="0"/>
      <w:marRight w:val="0"/>
      <w:marTop w:val="0"/>
      <w:marBottom w:val="0"/>
      <w:divBdr>
        <w:top w:val="none" w:sz="0" w:space="0" w:color="auto"/>
        <w:left w:val="none" w:sz="0" w:space="0" w:color="auto"/>
        <w:bottom w:val="none" w:sz="0" w:space="0" w:color="auto"/>
        <w:right w:val="none" w:sz="0" w:space="0" w:color="auto"/>
      </w:divBdr>
    </w:div>
    <w:div w:id="1463696826">
      <w:bodyDiv w:val="1"/>
      <w:marLeft w:val="0"/>
      <w:marRight w:val="0"/>
      <w:marTop w:val="0"/>
      <w:marBottom w:val="0"/>
      <w:divBdr>
        <w:top w:val="none" w:sz="0" w:space="0" w:color="auto"/>
        <w:left w:val="none" w:sz="0" w:space="0" w:color="auto"/>
        <w:bottom w:val="none" w:sz="0" w:space="0" w:color="auto"/>
        <w:right w:val="none" w:sz="0" w:space="0" w:color="auto"/>
      </w:divBdr>
    </w:div>
    <w:div w:id="1492520187">
      <w:bodyDiv w:val="1"/>
      <w:marLeft w:val="0"/>
      <w:marRight w:val="0"/>
      <w:marTop w:val="0"/>
      <w:marBottom w:val="0"/>
      <w:divBdr>
        <w:top w:val="none" w:sz="0" w:space="0" w:color="auto"/>
        <w:left w:val="none" w:sz="0" w:space="0" w:color="auto"/>
        <w:bottom w:val="none" w:sz="0" w:space="0" w:color="auto"/>
        <w:right w:val="none" w:sz="0" w:space="0" w:color="auto"/>
      </w:divBdr>
    </w:div>
    <w:div w:id="1531140585">
      <w:bodyDiv w:val="1"/>
      <w:marLeft w:val="0"/>
      <w:marRight w:val="0"/>
      <w:marTop w:val="0"/>
      <w:marBottom w:val="0"/>
      <w:divBdr>
        <w:top w:val="none" w:sz="0" w:space="0" w:color="auto"/>
        <w:left w:val="none" w:sz="0" w:space="0" w:color="auto"/>
        <w:bottom w:val="none" w:sz="0" w:space="0" w:color="auto"/>
        <w:right w:val="none" w:sz="0" w:space="0" w:color="auto"/>
      </w:divBdr>
    </w:div>
    <w:div w:id="1580020498">
      <w:bodyDiv w:val="1"/>
      <w:marLeft w:val="0"/>
      <w:marRight w:val="0"/>
      <w:marTop w:val="0"/>
      <w:marBottom w:val="0"/>
      <w:divBdr>
        <w:top w:val="none" w:sz="0" w:space="0" w:color="auto"/>
        <w:left w:val="none" w:sz="0" w:space="0" w:color="auto"/>
        <w:bottom w:val="none" w:sz="0" w:space="0" w:color="auto"/>
        <w:right w:val="none" w:sz="0" w:space="0" w:color="auto"/>
      </w:divBdr>
    </w:div>
    <w:div w:id="1617061922">
      <w:bodyDiv w:val="1"/>
      <w:marLeft w:val="0"/>
      <w:marRight w:val="0"/>
      <w:marTop w:val="0"/>
      <w:marBottom w:val="0"/>
      <w:divBdr>
        <w:top w:val="none" w:sz="0" w:space="0" w:color="auto"/>
        <w:left w:val="none" w:sz="0" w:space="0" w:color="auto"/>
        <w:bottom w:val="none" w:sz="0" w:space="0" w:color="auto"/>
        <w:right w:val="none" w:sz="0" w:space="0" w:color="auto"/>
      </w:divBdr>
    </w:div>
    <w:div w:id="1643344199">
      <w:bodyDiv w:val="1"/>
      <w:marLeft w:val="0"/>
      <w:marRight w:val="0"/>
      <w:marTop w:val="0"/>
      <w:marBottom w:val="0"/>
      <w:divBdr>
        <w:top w:val="none" w:sz="0" w:space="0" w:color="auto"/>
        <w:left w:val="none" w:sz="0" w:space="0" w:color="auto"/>
        <w:bottom w:val="none" w:sz="0" w:space="0" w:color="auto"/>
        <w:right w:val="none" w:sz="0" w:space="0" w:color="auto"/>
      </w:divBdr>
    </w:div>
    <w:div w:id="1750998864">
      <w:bodyDiv w:val="1"/>
      <w:marLeft w:val="0"/>
      <w:marRight w:val="0"/>
      <w:marTop w:val="0"/>
      <w:marBottom w:val="0"/>
      <w:divBdr>
        <w:top w:val="none" w:sz="0" w:space="0" w:color="auto"/>
        <w:left w:val="none" w:sz="0" w:space="0" w:color="auto"/>
        <w:bottom w:val="none" w:sz="0" w:space="0" w:color="auto"/>
        <w:right w:val="none" w:sz="0" w:space="0" w:color="auto"/>
      </w:divBdr>
    </w:div>
    <w:div w:id="1803376480">
      <w:bodyDiv w:val="1"/>
      <w:marLeft w:val="0"/>
      <w:marRight w:val="0"/>
      <w:marTop w:val="0"/>
      <w:marBottom w:val="0"/>
      <w:divBdr>
        <w:top w:val="none" w:sz="0" w:space="0" w:color="auto"/>
        <w:left w:val="none" w:sz="0" w:space="0" w:color="auto"/>
        <w:bottom w:val="none" w:sz="0" w:space="0" w:color="auto"/>
        <w:right w:val="none" w:sz="0" w:space="0" w:color="auto"/>
      </w:divBdr>
    </w:div>
    <w:div w:id="1859270667">
      <w:bodyDiv w:val="1"/>
      <w:marLeft w:val="0"/>
      <w:marRight w:val="0"/>
      <w:marTop w:val="0"/>
      <w:marBottom w:val="0"/>
      <w:divBdr>
        <w:top w:val="none" w:sz="0" w:space="0" w:color="auto"/>
        <w:left w:val="none" w:sz="0" w:space="0" w:color="auto"/>
        <w:bottom w:val="none" w:sz="0" w:space="0" w:color="auto"/>
        <w:right w:val="none" w:sz="0" w:space="0" w:color="auto"/>
      </w:divBdr>
    </w:div>
    <w:div w:id="2009400220">
      <w:bodyDiv w:val="1"/>
      <w:marLeft w:val="0"/>
      <w:marRight w:val="0"/>
      <w:marTop w:val="0"/>
      <w:marBottom w:val="0"/>
      <w:divBdr>
        <w:top w:val="none" w:sz="0" w:space="0" w:color="auto"/>
        <w:left w:val="none" w:sz="0" w:space="0" w:color="auto"/>
        <w:bottom w:val="none" w:sz="0" w:space="0" w:color="auto"/>
        <w:right w:val="none" w:sz="0" w:space="0" w:color="auto"/>
      </w:divBdr>
    </w:div>
    <w:div w:id="21348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pc.people.com.cn/GB/64162/71380/71387/71591/4854975.htm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7-30T01:52:43.819"/>
    </inkml:context>
    <inkml:brush xml:id="br0">
      <inkml:brushProperty name="width" value="0.06667" units="cm"/>
      <inkml:brushProperty name="height" value="0.06667" units="cm"/>
    </inkml:brush>
  </inkml:definitions>
  <inkml:trace contextRef="#ctx0" brushRef="#br0">14278 12122 256,'0'0'128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3EA94-E1BA-4B58-94D2-874FA30C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9272</Words>
  <Characters>52854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Michael</dc:creator>
  <cp:keywords/>
  <dc:description/>
  <cp:lastModifiedBy>Cole, Michael</cp:lastModifiedBy>
  <cp:revision>2</cp:revision>
  <cp:lastPrinted>2018-05-21T15:17:00Z</cp:lastPrinted>
  <dcterms:created xsi:type="dcterms:W3CDTF">2018-07-11T15:29:00Z</dcterms:created>
  <dcterms:modified xsi:type="dcterms:W3CDTF">2018-07-11T15:29:00Z</dcterms:modified>
</cp:coreProperties>
</file>