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1C" w:rsidRPr="00317C81" w:rsidRDefault="00EB4BF0" w:rsidP="00011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Population Pharmacokinetics </w:t>
      </w:r>
      <w:r w:rsidR="00DC09E5">
        <w:rPr>
          <w:rFonts w:ascii="Times New Roman" w:hAnsi="Times New Roman" w:cs="Times New Roman"/>
          <w:b/>
          <w:sz w:val="24"/>
        </w:rPr>
        <w:t xml:space="preserve">(PK) </w:t>
      </w:r>
      <w:r>
        <w:rPr>
          <w:rFonts w:ascii="Times New Roman" w:hAnsi="Times New Roman" w:cs="Times New Roman"/>
          <w:b/>
          <w:sz w:val="24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24"/>
        </w:rPr>
        <w:t>Dolutegravir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DC09E5">
        <w:rPr>
          <w:rFonts w:ascii="Times New Roman" w:hAnsi="Times New Roman" w:cs="Times New Roman"/>
          <w:b/>
          <w:sz w:val="24"/>
        </w:rPr>
        <w:t xml:space="preserve">(DTG) </w:t>
      </w:r>
      <w:r>
        <w:rPr>
          <w:rFonts w:ascii="Times New Roman" w:hAnsi="Times New Roman" w:cs="Times New Roman"/>
          <w:b/>
          <w:sz w:val="24"/>
        </w:rPr>
        <w:t>Alone and Following Treatment Switch</w:t>
      </w:r>
    </w:p>
    <w:p w:rsidR="00B10ADF" w:rsidRPr="00011591" w:rsidRDefault="00B10ADF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3BF8" w:rsidRDefault="00B53BF8" w:rsidP="00B53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7C81">
        <w:rPr>
          <w:rFonts w:ascii="Times New Roman" w:hAnsi="Times New Roman" w:cs="Times New Roman"/>
          <w:b/>
          <w:sz w:val="24"/>
        </w:rPr>
        <w:t>Authors:</w:t>
      </w:r>
      <w:r>
        <w:rPr>
          <w:rFonts w:ascii="Times New Roman" w:hAnsi="Times New Roman" w:cs="Times New Roman"/>
          <w:sz w:val="24"/>
        </w:rPr>
        <w:t xml:space="preserve"> Laura Dickinson</w:t>
      </w:r>
      <w:r w:rsidRPr="00317C81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r w:rsidR="00EB4BF0">
        <w:rPr>
          <w:rFonts w:ascii="Times New Roman" w:hAnsi="Times New Roman" w:cs="Times New Roman"/>
          <w:sz w:val="24"/>
        </w:rPr>
        <w:t>Margherita Bracchi</w:t>
      </w:r>
      <w:r w:rsidR="00EB4BF0" w:rsidRPr="00EB4BF0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</w:t>
      </w:r>
      <w:r w:rsidR="00EB4BF0">
        <w:rPr>
          <w:rFonts w:ascii="Times New Roman" w:hAnsi="Times New Roman" w:cs="Times New Roman"/>
          <w:sz w:val="24"/>
        </w:rPr>
        <w:t>Emilie Elliot</w:t>
      </w:r>
      <w:r w:rsidR="00EB4BF0" w:rsidRPr="00EB4BF0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</w:t>
      </w:r>
      <w:r w:rsidR="00EB4BF0">
        <w:rPr>
          <w:rFonts w:ascii="Times New Roman" w:hAnsi="Times New Roman" w:cs="Times New Roman"/>
          <w:sz w:val="24"/>
        </w:rPr>
        <w:t>Laura Else</w:t>
      </w:r>
      <w:r w:rsidR="00EB4BF0" w:rsidRPr="00EB4BF0">
        <w:rPr>
          <w:rFonts w:ascii="Times New Roman" w:hAnsi="Times New Roman" w:cs="Times New Roman"/>
          <w:sz w:val="24"/>
          <w:vertAlign w:val="superscript"/>
        </w:rPr>
        <w:t>1</w:t>
      </w:r>
      <w:r w:rsidR="00EB4BF0">
        <w:rPr>
          <w:rFonts w:ascii="Times New Roman" w:hAnsi="Times New Roman" w:cs="Times New Roman"/>
          <w:sz w:val="24"/>
        </w:rPr>
        <w:t xml:space="preserve">, </w:t>
      </w:r>
      <w:r w:rsidR="005D3891">
        <w:rPr>
          <w:rFonts w:ascii="Times New Roman" w:hAnsi="Times New Roman" w:cs="Times New Roman"/>
          <w:sz w:val="24"/>
        </w:rPr>
        <w:t>Saye Khoo</w:t>
      </w:r>
      <w:r w:rsidR="005D3891">
        <w:rPr>
          <w:rFonts w:ascii="Times New Roman" w:hAnsi="Times New Roman" w:cs="Times New Roman"/>
          <w:sz w:val="24"/>
          <w:vertAlign w:val="superscript"/>
        </w:rPr>
        <w:t>1</w:t>
      </w:r>
      <w:r w:rsidR="005D3891">
        <w:rPr>
          <w:rFonts w:ascii="Times New Roman" w:hAnsi="Times New Roman" w:cs="Times New Roman"/>
          <w:sz w:val="24"/>
        </w:rPr>
        <w:t>,</w:t>
      </w:r>
      <w:r w:rsidR="00545CD8">
        <w:rPr>
          <w:rFonts w:ascii="Times New Roman" w:hAnsi="Times New Roman" w:cs="Times New Roman"/>
          <w:sz w:val="24"/>
        </w:rPr>
        <w:t xml:space="preserve"> David Back</w:t>
      </w:r>
      <w:r w:rsidR="00545CD8" w:rsidRPr="00317C81">
        <w:rPr>
          <w:rFonts w:ascii="Times New Roman" w:hAnsi="Times New Roman" w:cs="Times New Roman"/>
          <w:sz w:val="24"/>
          <w:vertAlign w:val="superscript"/>
        </w:rPr>
        <w:t>1</w:t>
      </w:r>
      <w:r w:rsidR="00545CD8">
        <w:rPr>
          <w:rFonts w:ascii="Times New Roman" w:hAnsi="Times New Roman" w:cs="Times New Roman"/>
          <w:sz w:val="24"/>
        </w:rPr>
        <w:t>,</w:t>
      </w:r>
      <w:r w:rsidR="005D3891">
        <w:rPr>
          <w:rFonts w:ascii="Times New Roman" w:hAnsi="Times New Roman" w:cs="Times New Roman"/>
          <w:sz w:val="24"/>
        </w:rPr>
        <w:t xml:space="preserve"> </w:t>
      </w:r>
      <w:r w:rsidR="00BC618C">
        <w:rPr>
          <w:rFonts w:ascii="Times New Roman" w:hAnsi="Times New Roman" w:cs="Times New Roman"/>
          <w:sz w:val="24"/>
        </w:rPr>
        <w:t>Mark Nelson</w:t>
      </w:r>
      <w:r w:rsidR="00BC618C" w:rsidRPr="00BC618C">
        <w:rPr>
          <w:rFonts w:ascii="Times New Roman" w:hAnsi="Times New Roman" w:cs="Times New Roman"/>
          <w:sz w:val="24"/>
          <w:vertAlign w:val="superscript"/>
        </w:rPr>
        <w:t>2</w:t>
      </w:r>
      <w:r w:rsidR="00BC618C">
        <w:rPr>
          <w:rFonts w:ascii="Times New Roman" w:hAnsi="Times New Roman" w:cs="Times New Roman"/>
          <w:sz w:val="24"/>
        </w:rPr>
        <w:t xml:space="preserve">, </w:t>
      </w:r>
      <w:r w:rsidR="00EB4BF0">
        <w:rPr>
          <w:rFonts w:ascii="Times New Roman" w:hAnsi="Times New Roman" w:cs="Times New Roman"/>
          <w:sz w:val="24"/>
        </w:rPr>
        <w:t>Marta Boffito</w:t>
      </w:r>
      <w:r w:rsidR="00EB4BF0" w:rsidRPr="00EB4BF0">
        <w:rPr>
          <w:rFonts w:ascii="Times New Roman" w:hAnsi="Times New Roman" w:cs="Times New Roman"/>
          <w:sz w:val="24"/>
          <w:vertAlign w:val="superscript"/>
        </w:rPr>
        <w:t>2</w:t>
      </w:r>
    </w:p>
    <w:p w:rsidR="00B53BF8" w:rsidRDefault="00B53BF8" w:rsidP="00B53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3BF8" w:rsidRDefault="00B53BF8" w:rsidP="00B53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 Department Molecular &amp; Clinical Pharmacology, University of Liverpool, Liverpool, UK</w:t>
      </w:r>
    </w:p>
    <w:p w:rsidR="00B53BF8" w:rsidRDefault="00EB4BF0" w:rsidP="00B53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4BF0">
        <w:rPr>
          <w:rFonts w:ascii="Times New Roman" w:hAnsi="Times New Roman" w:cs="Times New Roman"/>
          <w:sz w:val="24"/>
          <w:vertAlign w:val="superscript"/>
        </w:rPr>
        <w:t>2</w:t>
      </w:r>
      <w:r w:rsidR="00B53BF8">
        <w:rPr>
          <w:rFonts w:ascii="Times New Roman" w:hAnsi="Times New Roman" w:cs="Times New Roman"/>
          <w:sz w:val="24"/>
        </w:rPr>
        <w:t xml:space="preserve"> </w:t>
      </w:r>
      <w:r w:rsidR="00DC2527">
        <w:rPr>
          <w:rFonts w:ascii="Times New Roman" w:hAnsi="Times New Roman" w:cs="Times New Roman"/>
          <w:sz w:val="24"/>
        </w:rPr>
        <w:t>St Stephen’s Centre, Chelsea &amp; Westminster Foundation Trust, London, UK</w:t>
      </w:r>
    </w:p>
    <w:p w:rsidR="00011591" w:rsidRPr="00011591" w:rsidRDefault="00011591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1591" w:rsidRPr="00011591" w:rsidRDefault="00B10ADF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Background</w:t>
      </w:r>
      <w:r w:rsidR="004151D3" w:rsidRPr="004151D3">
        <w:rPr>
          <w:rFonts w:ascii="Times New Roman" w:hAnsi="Times New Roman" w:cs="Times New Roman"/>
          <w:b/>
          <w:sz w:val="24"/>
        </w:rPr>
        <w:t>:</w:t>
      </w:r>
      <w:r w:rsidR="006E08CA">
        <w:rPr>
          <w:rFonts w:ascii="Times New Roman" w:hAnsi="Times New Roman" w:cs="Times New Roman"/>
          <w:sz w:val="24"/>
        </w:rPr>
        <w:t xml:space="preserve"> </w:t>
      </w:r>
      <w:r w:rsidR="00FD1F63">
        <w:rPr>
          <w:rFonts w:ascii="Times New Roman" w:hAnsi="Times New Roman" w:cs="Times New Roman"/>
          <w:sz w:val="24"/>
        </w:rPr>
        <w:t xml:space="preserve">The </w:t>
      </w:r>
      <w:r w:rsidR="00285A7C">
        <w:rPr>
          <w:rFonts w:ascii="Times New Roman" w:hAnsi="Times New Roman" w:cs="Times New Roman"/>
          <w:sz w:val="24"/>
        </w:rPr>
        <w:t>integrase inhibitor</w:t>
      </w:r>
      <w:r w:rsidR="00FD1F63">
        <w:rPr>
          <w:rFonts w:ascii="Times New Roman" w:hAnsi="Times New Roman" w:cs="Times New Roman"/>
          <w:sz w:val="24"/>
        </w:rPr>
        <w:t xml:space="preserve"> DTG</w:t>
      </w:r>
      <w:r w:rsidR="00EE19FA">
        <w:rPr>
          <w:rFonts w:ascii="Times New Roman" w:hAnsi="Times New Roman" w:cs="Times New Roman"/>
          <w:sz w:val="24"/>
        </w:rPr>
        <w:t xml:space="preserve"> is a preferred </w:t>
      </w:r>
      <w:r w:rsidR="00C86294">
        <w:rPr>
          <w:rFonts w:ascii="Times New Roman" w:hAnsi="Times New Roman" w:cs="Times New Roman"/>
          <w:sz w:val="24"/>
        </w:rPr>
        <w:t>antiretroviral</w:t>
      </w:r>
      <w:r w:rsidR="00EE19FA">
        <w:rPr>
          <w:rFonts w:ascii="Times New Roman" w:hAnsi="Times New Roman" w:cs="Times New Roman"/>
          <w:sz w:val="24"/>
        </w:rPr>
        <w:t xml:space="preserve"> </w:t>
      </w:r>
      <w:r w:rsidR="00FC5F43">
        <w:rPr>
          <w:rFonts w:ascii="Times New Roman" w:hAnsi="Times New Roman" w:cs="Times New Roman"/>
          <w:sz w:val="24"/>
        </w:rPr>
        <w:t>in many treatment guidelines</w:t>
      </w:r>
      <w:r w:rsidR="00DC09E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B09FD">
        <w:rPr>
          <w:rFonts w:ascii="Times New Roman" w:hAnsi="Times New Roman" w:cs="Times New Roman"/>
          <w:sz w:val="24"/>
        </w:rPr>
        <w:t>Efavirenz</w:t>
      </w:r>
      <w:proofErr w:type="spellEnd"/>
      <w:r w:rsidR="00AB09FD">
        <w:rPr>
          <w:rFonts w:ascii="Times New Roman" w:hAnsi="Times New Roman" w:cs="Times New Roman"/>
          <w:sz w:val="24"/>
        </w:rPr>
        <w:t xml:space="preserve"> (EFV) induces DTG UGT1A1</w:t>
      </w:r>
      <w:r w:rsidR="00E13711">
        <w:rPr>
          <w:rFonts w:ascii="Times New Roman" w:hAnsi="Times New Roman" w:cs="Times New Roman"/>
          <w:sz w:val="24"/>
        </w:rPr>
        <w:t xml:space="preserve"> and CYP3A4</w:t>
      </w:r>
      <w:r w:rsidR="00AB09FD">
        <w:rPr>
          <w:rFonts w:ascii="Times New Roman" w:hAnsi="Times New Roman" w:cs="Times New Roman"/>
          <w:sz w:val="24"/>
        </w:rPr>
        <w:t>-dependent metabolism but dose adjustments are not recommended following treatment switch</w:t>
      </w:r>
      <w:r w:rsidR="00C86294">
        <w:rPr>
          <w:rFonts w:ascii="Times New Roman" w:hAnsi="Times New Roman" w:cs="Times New Roman"/>
          <w:sz w:val="24"/>
        </w:rPr>
        <w:t xml:space="preserve"> with steady-state DTG reached WK4 post-switch</w:t>
      </w:r>
      <w:r w:rsidR="00AB09FD">
        <w:rPr>
          <w:rFonts w:ascii="Times New Roman" w:hAnsi="Times New Roman" w:cs="Times New Roman"/>
          <w:sz w:val="24"/>
        </w:rPr>
        <w:t>.</w:t>
      </w:r>
      <w:r w:rsidR="00E13711" w:rsidRPr="00E13711">
        <w:rPr>
          <w:rFonts w:ascii="Times New Roman" w:hAnsi="Times New Roman" w:cs="Times New Roman"/>
          <w:sz w:val="24"/>
          <w:vertAlign w:val="superscript"/>
        </w:rPr>
        <w:t>1</w:t>
      </w:r>
      <w:proofErr w:type="gramStart"/>
      <w:r w:rsidR="00E13711" w:rsidRPr="00E13711">
        <w:rPr>
          <w:rFonts w:ascii="Times New Roman" w:hAnsi="Times New Roman" w:cs="Times New Roman"/>
          <w:sz w:val="24"/>
          <w:vertAlign w:val="superscript"/>
        </w:rPr>
        <w:t>,2</w:t>
      </w:r>
      <w:proofErr w:type="gramEnd"/>
      <w:r w:rsidR="00AB09FD">
        <w:rPr>
          <w:rFonts w:ascii="Times New Roman" w:hAnsi="Times New Roman" w:cs="Times New Roman"/>
          <w:sz w:val="24"/>
        </w:rPr>
        <w:t xml:space="preserve"> </w:t>
      </w:r>
      <w:r w:rsidR="00DC09E5">
        <w:rPr>
          <w:rFonts w:ascii="Times New Roman" w:hAnsi="Times New Roman" w:cs="Times New Roman"/>
          <w:sz w:val="24"/>
        </w:rPr>
        <w:t xml:space="preserve">Population PK analysis was performed to describe DTG PK and investigate changes in DTG after switching from an EFV-based regimen.  </w:t>
      </w:r>
      <w:r w:rsidR="00285A7C">
        <w:rPr>
          <w:rFonts w:ascii="Times New Roman" w:hAnsi="Times New Roman" w:cs="Times New Roman"/>
          <w:sz w:val="24"/>
        </w:rPr>
        <w:t xml:space="preserve"> </w:t>
      </w:r>
    </w:p>
    <w:p w:rsidR="00011591" w:rsidRPr="00011591" w:rsidRDefault="00011591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1591" w:rsidRDefault="00B10ADF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Materials &amp; </w:t>
      </w:r>
      <w:r w:rsidR="004151D3" w:rsidRPr="004151D3">
        <w:rPr>
          <w:rFonts w:ascii="Times New Roman" w:hAnsi="Times New Roman" w:cs="Times New Roman"/>
          <w:b/>
          <w:sz w:val="24"/>
        </w:rPr>
        <w:t>Methods:</w:t>
      </w:r>
      <w:r w:rsidR="004151D3">
        <w:rPr>
          <w:rFonts w:ascii="Times New Roman" w:hAnsi="Times New Roman" w:cs="Times New Roman"/>
          <w:sz w:val="24"/>
        </w:rPr>
        <w:t xml:space="preserve"> </w:t>
      </w:r>
      <w:r w:rsidR="00285A7C">
        <w:rPr>
          <w:rFonts w:ascii="Times New Roman" w:hAnsi="Times New Roman" w:cs="Times New Roman"/>
          <w:sz w:val="24"/>
        </w:rPr>
        <w:t xml:space="preserve">Model development </w:t>
      </w:r>
      <w:r w:rsidR="00FC5F43">
        <w:rPr>
          <w:rFonts w:ascii="Times New Roman" w:hAnsi="Times New Roman" w:cs="Times New Roman"/>
          <w:sz w:val="24"/>
        </w:rPr>
        <w:t xml:space="preserve">(NONMEM v 7.3) </w:t>
      </w:r>
      <w:r w:rsidR="00285A7C">
        <w:rPr>
          <w:rFonts w:ascii="Times New Roman" w:hAnsi="Times New Roman" w:cs="Times New Roman"/>
          <w:sz w:val="24"/>
        </w:rPr>
        <w:t xml:space="preserve">combined </w:t>
      </w:r>
      <w:r w:rsidR="00070F34">
        <w:rPr>
          <w:rFonts w:ascii="Times New Roman" w:hAnsi="Times New Roman" w:cs="Times New Roman"/>
          <w:sz w:val="24"/>
        </w:rPr>
        <w:t xml:space="preserve">DTG </w:t>
      </w:r>
      <w:r w:rsidR="00285A7C">
        <w:rPr>
          <w:rFonts w:ascii="Times New Roman" w:hAnsi="Times New Roman" w:cs="Times New Roman"/>
          <w:sz w:val="24"/>
        </w:rPr>
        <w:t xml:space="preserve">concentration-time data </w:t>
      </w:r>
      <w:r w:rsidR="00545CD8">
        <w:rPr>
          <w:rFonts w:ascii="Times New Roman" w:hAnsi="Times New Roman" w:cs="Times New Roman"/>
          <w:sz w:val="24"/>
        </w:rPr>
        <w:t>(50</w:t>
      </w:r>
      <w:r w:rsidR="00070F34">
        <w:rPr>
          <w:rFonts w:ascii="Times New Roman" w:hAnsi="Times New Roman" w:cs="Times New Roman"/>
          <w:sz w:val="24"/>
        </w:rPr>
        <w:t xml:space="preserve">mg once daily) </w:t>
      </w:r>
      <w:r w:rsidR="00285A7C">
        <w:rPr>
          <w:rFonts w:ascii="Times New Roman" w:hAnsi="Times New Roman" w:cs="Times New Roman"/>
          <w:sz w:val="24"/>
        </w:rPr>
        <w:t xml:space="preserve">from </w:t>
      </w:r>
      <w:r w:rsidR="000D1FFE">
        <w:rPr>
          <w:rFonts w:ascii="Times New Roman" w:hAnsi="Times New Roman" w:cs="Times New Roman"/>
          <w:sz w:val="24"/>
        </w:rPr>
        <w:t xml:space="preserve">2 studies. </w:t>
      </w:r>
      <w:r w:rsidR="00FC5F43">
        <w:rPr>
          <w:rFonts w:ascii="Times New Roman" w:hAnsi="Times New Roman" w:cs="Times New Roman"/>
          <w:sz w:val="24"/>
        </w:rPr>
        <w:t>Study 1 was</w:t>
      </w:r>
      <w:r w:rsidR="000D1FFE">
        <w:rPr>
          <w:rFonts w:ascii="Times New Roman" w:hAnsi="Times New Roman" w:cs="Times New Roman"/>
          <w:sz w:val="24"/>
        </w:rPr>
        <w:t xml:space="preserve"> in </w:t>
      </w:r>
      <w:r w:rsidR="00070F34">
        <w:rPr>
          <w:rFonts w:ascii="Times New Roman" w:hAnsi="Times New Roman" w:cs="Times New Roman"/>
          <w:sz w:val="24"/>
        </w:rPr>
        <w:t xml:space="preserve">healthy volunteers </w:t>
      </w:r>
      <w:r w:rsidR="006C047E">
        <w:rPr>
          <w:rFonts w:ascii="Times New Roman" w:hAnsi="Times New Roman" w:cs="Times New Roman"/>
          <w:sz w:val="24"/>
        </w:rPr>
        <w:t xml:space="preserve">administered DTG </w:t>
      </w:r>
      <w:r w:rsidR="006C047E" w:rsidRPr="00A71765">
        <w:rPr>
          <w:rFonts w:ascii="Times New Roman" w:hAnsi="Times New Roman" w:cs="Times New Roman"/>
          <w:sz w:val="24"/>
          <w:szCs w:val="24"/>
        </w:rPr>
        <w:t xml:space="preserve">for 10 days </w:t>
      </w:r>
      <w:r w:rsidR="00FC5F43">
        <w:rPr>
          <w:rFonts w:ascii="Times New Roman" w:hAnsi="Times New Roman" w:cs="Times New Roman"/>
          <w:sz w:val="24"/>
          <w:szCs w:val="24"/>
        </w:rPr>
        <w:t>with</w:t>
      </w:r>
      <w:r w:rsidR="006C047E" w:rsidRPr="00A71765">
        <w:rPr>
          <w:rFonts w:ascii="Times New Roman" w:hAnsi="Times New Roman" w:cs="Times New Roman"/>
          <w:sz w:val="24"/>
          <w:szCs w:val="24"/>
        </w:rPr>
        <w:t xml:space="preserve"> s</w:t>
      </w:r>
      <w:r w:rsidR="006C047E">
        <w:rPr>
          <w:rFonts w:ascii="Times New Roman" w:hAnsi="Times New Roman" w:cs="Times New Roman"/>
          <w:sz w:val="24"/>
          <w:szCs w:val="24"/>
        </w:rPr>
        <w:t xml:space="preserve">erial </w:t>
      </w:r>
      <w:r w:rsidR="00FC5F43">
        <w:rPr>
          <w:rFonts w:ascii="Times New Roman" w:hAnsi="Times New Roman" w:cs="Times New Roman"/>
          <w:sz w:val="24"/>
          <w:szCs w:val="24"/>
        </w:rPr>
        <w:t xml:space="preserve">blood </w:t>
      </w:r>
      <w:r w:rsidR="006C047E">
        <w:rPr>
          <w:rFonts w:ascii="Times New Roman" w:hAnsi="Times New Roman" w:cs="Times New Roman"/>
          <w:sz w:val="24"/>
          <w:szCs w:val="24"/>
        </w:rPr>
        <w:t xml:space="preserve">sampling performed </w:t>
      </w:r>
      <w:r w:rsidR="00FC5F43">
        <w:rPr>
          <w:rFonts w:ascii="Times New Roman" w:hAnsi="Times New Roman" w:cs="Times New Roman"/>
          <w:sz w:val="24"/>
          <w:szCs w:val="24"/>
        </w:rPr>
        <w:t xml:space="preserve">for </w:t>
      </w:r>
      <w:r w:rsidR="006C047E" w:rsidRPr="00A71765">
        <w:rPr>
          <w:rFonts w:ascii="Times New Roman" w:hAnsi="Times New Roman" w:cs="Times New Roman"/>
          <w:sz w:val="24"/>
          <w:szCs w:val="24"/>
        </w:rPr>
        <w:t>216h following the final dose</w:t>
      </w:r>
      <w:r w:rsidR="008878AC">
        <w:rPr>
          <w:rFonts w:ascii="Times New Roman" w:hAnsi="Times New Roman" w:cs="Times New Roman"/>
          <w:sz w:val="24"/>
          <w:szCs w:val="24"/>
        </w:rPr>
        <w:t>.</w:t>
      </w:r>
      <w:r w:rsidR="00E137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C5F43">
        <w:rPr>
          <w:rFonts w:ascii="Times New Roman" w:hAnsi="Times New Roman" w:cs="Times New Roman"/>
          <w:sz w:val="24"/>
          <w:szCs w:val="24"/>
        </w:rPr>
        <w:t xml:space="preserve"> Study 2 was</w:t>
      </w:r>
      <w:r w:rsidR="006C047E">
        <w:rPr>
          <w:rFonts w:ascii="Times New Roman" w:hAnsi="Times New Roman" w:cs="Times New Roman"/>
          <w:sz w:val="24"/>
          <w:szCs w:val="24"/>
        </w:rPr>
        <w:t xml:space="preserve"> in HIV</w:t>
      </w:r>
      <w:r w:rsidR="008E4368">
        <w:rPr>
          <w:rFonts w:ascii="Times New Roman" w:hAnsi="Times New Roman" w:cs="Times New Roman"/>
          <w:sz w:val="24"/>
          <w:szCs w:val="24"/>
        </w:rPr>
        <w:t xml:space="preserve">-infected, </w:t>
      </w:r>
      <w:proofErr w:type="spellStart"/>
      <w:r w:rsidR="008E4368">
        <w:rPr>
          <w:rFonts w:ascii="Times New Roman" w:hAnsi="Times New Roman" w:cs="Times New Roman"/>
          <w:sz w:val="24"/>
          <w:szCs w:val="24"/>
        </w:rPr>
        <w:t>virologically</w:t>
      </w:r>
      <w:proofErr w:type="spellEnd"/>
      <w:r w:rsidR="008E4368">
        <w:rPr>
          <w:rFonts w:ascii="Times New Roman" w:hAnsi="Times New Roman" w:cs="Times New Roman"/>
          <w:sz w:val="24"/>
          <w:szCs w:val="24"/>
        </w:rPr>
        <w:t xml:space="preserve"> suppressed</w:t>
      </w:r>
      <w:r w:rsidR="006C047E">
        <w:rPr>
          <w:rFonts w:ascii="Times New Roman" w:hAnsi="Times New Roman" w:cs="Times New Roman"/>
          <w:sz w:val="24"/>
          <w:szCs w:val="24"/>
        </w:rPr>
        <w:t xml:space="preserve"> patients switched from EFV to DTG with random single samples drawn at WK1, 2, 3 and 4 post-switch</w:t>
      </w:r>
      <w:r w:rsidR="008878AC">
        <w:rPr>
          <w:rFonts w:ascii="Times New Roman" w:hAnsi="Times New Roman" w:cs="Times New Roman"/>
          <w:sz w:val="24"/>
          <w:szCs w:val="24"/>
        </w:rPr>
        <w:t xml:space="preserve"> (samples between 1-25.75h post-dose)</w:t>
      </w:r>
      <w:r w:rsidR="006C047E">
        <w:rPr>
          <w:rFonts w:ascii="Times New Roman" w:hAnsi="Times New Roman" w:cs="Times New Roman"/>
          <w:sz w:val="24"/>
          <w:szCs w:val="24"/>
        </w:rPr>
        <w:t>.</w:t>
      </w:r>
      <w:r w:rsidR="006C047E">
        <w:rPr>
          <w:rFonts w:ascii="Times New Roman" w:hAnsi="Times New Roman" w:cs="Times New Roman"/>
          <w:sz w:val="24"/>
        </w:rPr>
        <w:t xml:space="preserve"> The impact of </w:t>
      </w:r>
      <w:r w:rsidR="00107039">
        <w:rPr>
          <w:rFonts w:ascii="Times New Roman" w:hAnsi="Times New Roman" w:cs="Times New Roman"/>
          <w:sz w:val="24"/>
        </w:rPr>
        <w:t xml:space="preserve">residual </w:t>
      </w:r>
      <w:r w:rsidR="006C047E">
        <w:rPr>
          <w:rFonts w:ascii="Times New Roman" w:hAnsi="Times New Roman" w:cs="Times New Roman"/>
          <w:sz w:val="24"/>
        </w:rPr>
        <w:t xml:space="preserve">EFV </w:t>
      </w:r>
      <w:r w:rsidR="00107039">
        <w:rPr>
          <w:rFonts w:ascii="Times New Roman" w:hAnsi="Times New Roman" w:cs="Times New Roman"/>
          <w:sz w:val="24"/>
        </w:rPr>
        <w:t xml:space="preserve">on DTG apparent oral clearance (CL/F) after switching </w:t>
      </w:r>
      <w:r w:rsidR="006C047E">
        <w:rPr>
          <w:rFonts w:ascii="Times New Roman" w:hAnsi="Times New Roman" w:cs="Times New Roman"/>
          <w:sz w:val="24"/>
        </w:rPr>
        <w:t xml:space="preserve">compared to </w:t>
      </w:r>
      <w:r w:rsidR="00107039">
        <w:rPr>
          <w:rFonts w:ascii="Times New Roman" w:hAnsi="Times New Roman" w:cs="Times New Roman"/>
          <w:sz w:val="24"/>
        </w:rPr>
        <w:t xml:space="preserve">DTG alone was determined. Covariates including weight, age, BMI, sex, ethnicity, HIV status and food consumption within 3h of drug intake were also assessed and the model evaluated by </w:t>
      </w:r>
      <w:r w:rsidR="00E45D41">
        <w:rPr>
          <w:rFonts w:ascii="Times New Roman" w:hAnsi="Times New Roman" w:cs="Times New Roman"/>
          <w:sz w:val="24"/>
        </w:rPr>
        <w:t xml:space="preserve">simulation and </w:t>
      </w:r>
      <w:r w:rsidR="00107039">
        <w:rPr>
          <w:rFonts w:ascii="Times New Roman" w:hAnsi="Times New Roman" w:cs="Times New Roman"/>
          <w:sz w:val="24"/>
        </w:rPr>
        <w:t xml:space="preserve">visual predictive check.  </w:t>
      </w:r>
      <w:r w:rsidR="006C047E">
        <w:rPr>
          <w:rFonts w:ascii="Times New Roman" w:hAnsi="Times New Roman" w:cs="Times New Roman"/>
          <w:sz w:val="24"/>
        </w:rPr>
        <w:t xml:space="preserve"> </w:t>
      </w:r>
    </w:p>
    <w:p w:rsidR="00011591" w:rsidRPr="00011591" w:rsidRDefault="00011591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1591" w:rsidRDefault="004151D3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51D3">
        <w:rPr>
          <w:rFonts w:ascii="Times New Roman" w:hAnsi="Times New Roman" w:cs="Times New Roman"/>
          <w:b/>
          <w:sz w:val="24"/>
        </w:rPr>
        <w:t>Results:</w:t>
      </w:r>
      <w:r>
        <w:rPr>
          <w:rFonts w:ascii="Times New Roman" w:hAnsi="Times New Roman" w:cs="Times New Roman"/>
          <w:sz w:val="24"/>
        </w:rPr>
        <w:t xml:space="preserve"> </w:t>
      </w:r>
      <w:r w:rsidR="000D1FFE">
        <w:rPr>
          <w:rFonts w:ascii="Times New Roman" w:hAnsi="Times New Roman" w:cs="Times New Roman"/>
          <w:sz w:val="24"/>
        </w:rPr>
        <w:t xml:space="preserve">Fifty-six individuals were included </w:t>
      </w:r>
      <w:r w:rsidR="00DC09E5">
        <w:rPr>
          <w:rFonts w:ascii="Times New Roman" w:hAnsi="Times New Roman" w:cs="Times New Roman"/>
          <w:sz w:val="24"/>
        </w:rPr>
        <w:t>(</w:t>
      </w:r>
      <w:r w:rsidR="00A972D3">
        <w:rPr>
          <w:rFonts w:ascii="Times New Roman" w:hAnsi="Times New Roman" w:cs="Times New Roman"/>
          <w:sz w:val="24"/>
        </w:rPr>
        <w:t>n=14 female,</w:t>
      </w:r>
      <w:r w:rsidR="000D1FFE">
        <w:rPr>
          <w:rFonts w:ascii="Times New Roman" w:hAnsi="Times New Roman" w:cs="Times New Roman"/>
          <w:sz w:val="24"/>
        </w:rPr>
        <w:t xml:space="preserve"> n=35 Caucasian;</w:t>
      </w:r>
      <w:r w:rsidR="00DC09E5">
        <w:rPr>
          <w:rFonts w:ascii="Times New Roman" w:hAnsi="Times New Roman" w:cs="Times New Roman"/>
          <w:sz w:val="24"/>
        </w:rPr>
        <w:t xml:space="preserve"> n=17 healthy</w:t>
      </w:r>
      <w:r w:rsidR="00A972D3">
        <w:rPr>
          <w:rFonts w:ascii="Times New Roman" w:hAnsi="Times New Roman" w:cs="Times New Roman"/>
          <w:sz w:val="24"/>
        </w:rPr>
        <w:t xml:space="preserve">, n=39 </w:t>
      </w:r>
      <w:r w:rsidR="00DC09E5">
        <w:rPr>
          <w:rFonts w:ascii="Times New Roman" w:hAnsi="Times New Roman" w:cs="Times New Roman"/>
          <w:sz w:val="24"/>
        </w:rPr>
        <w:t>HIV)</w:t>
      </w:r>
      <w:r w:rsidR="00146BD3">
        <w:rPr>
          <w:rFonts w:ascii="Times New Roman" w:hAnsi="Times New Roman" w:cs="Times New Roman"/>
          <w:sz w:val="24"/>
        </w:rPr>
        <w:t xml:space="preserve">. DTG </w:t>
      </w:r>
      <w:r w:rsidR="00353D99">
        <w:rPr>
          <w:rFonts w:ascii="Times New Roman" w:hAnsi="Times New Roman" w:cs="Times New Roman"/>
          <w:sz w:val="24"/>
        </w:rPr>
        <w:t>up to</w:t>
      </w:r>
      <w:r w:rsidR="00146BD3">
        <w:rPr>
          <w:rFonts w:ascii="Times New Roman" w:hAnsi="Times New Roman" w:cs="Times New Roman"/>
          <w:sz w:val="24"/>
        </w:rPr>
        <w:t xml:space="preserve"> 216</w:t>
      </w:r>
      <w:r w:rsidR="00A972D3">
        <w:rPr>
          <w:rFonts w:ascii="Times New Roman" w:hAnsi="Times New Roman" w:cs="Times New Roman"/>
          <w:sz w:val="24"/>
        </w:rPr>
        <w:t>h was described by a 2-compartment model</w:t>
      </w:r>
      <w:r w:rsidR="00A05D88">
        <w:rPr>
          <w:rFonts w:ascii="Times New Roman" w:hAnsi="Times New Roman" w:cs="Times New Roman"/>
          <w:sz w:val="24"/>
        </w:rPr>
        <w:t xml:space="preserve"> parameterised by CL/F </w:t>
      </w:r>
      <w:r w:rsidR="00E45D41">
        <w:rPr>
          <w:rFonts w:ascii="Times New Roman" w:hAnsi="Times New Roman" w:cs="Times New Roman"/>
          <w:sz w:val="24"/>
        </w:rPr>
        <w:t xml:space="preserve">[estimate (RSE%): </w:t>
      </w:r>
      <w:r w:rsidR="00A05D88">
        <w:rPr>
          <w:rFonts w:ascii="Times New Roman" w:hAnsi="Times New Roman" w:cs="Times New Roman"/>
          <w:sz w:val="24"/>
        </w:rPr>
        <w:t>0.85L/h</w:t>
      </w:r>
      <w:r w:rsidR="00E45D41">
        <w:rPr>
          <w:rFonts w:ascii="Times New Roman" w:hAnsi="Times New Roman" w:cs="Times New Roman"/>
          <w:sz w:val="24"/>
        </w:rPr>
        <w:t xml:space="preserve"> (</w:t>
      </w:r>
      <w:r w:rsidR="00545CD8">
        <w:rPr>
          <w:rFonts w:ascii="Times New Roman" w:hAnsi="Times New Roman" w:cs="Times New Roman"/>
          <w:sz w:val="24"/>
        </w:rPr>
        <w:t>5%</w:t>
      </w:r>
      <w:r w:rsidR="00E45D41">
        <w:rPr>
          <w:rFonts w:ascii="Times New Roman" w:hAnsi="Times New Roman" w:cs="Times New Roman"/>
          <w:sz w:val="24"/>
        </w:rPr>
        <w:t xml:space="preserve">)], central volume of distribution </w:t>
      </w:r>
      <w:r w:rsidR="00545CD8">
        <w:rPr>
          <w:rFonts w:ascii="Times New Roman" w:hAnsi="Times New Roman" w:cs="Times New Roman"/>
          <w:sz w:val="24"/>
        </w:rPr>
        <w:t>[</w:t>
      </w:r>
      <w:proofErr w:type="spellStart"/>
      <w:r w:rsidR="00E45D41">
        <w:rPr>
          <w:rFonts w:ascii="Times New Roman" w:hAnsi="Times New Roman" w:cs="Times New Roman"/>
          <w:sz w:val="24"/>
        </w:rPr>
        <w:t>Vc</w:t>
      </w:r>
      <w:proofErr w:type="spellEnd"/>
      <w:r w:rsidR="00E45D41">
        <w:rPr>
          <w:rFonts w:ascii="Times New Roman" w:hAnsi="Times New Roman" w:cs="Times New Roman"/>
          <w:sz w:val="24"/>
        </w:rPr>
        <w:t>/F:</w:t>
      </w:r>
      <w:r w:rsidR="00545CD8">
        <w:rPr>
          <w:rFonts w:ascii="Times New Roman" w:hAnsi="Times New Roman" w:cs="Times New Roman"/>
          <w:sz w:val="24"/>
        </w:rPr>
        <w:t xml:space="preserve"> 17L (7%)]</w:t>
      </w:r>
      <w:r w:rsidR="00E45D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5D41">
        <w:rPr>
          <w:rFonts w:ascii="Times New Roman" w:hAnsi="Times New Roman" w:cs="Times New Roman"/>
          <w:sz w:val="24"/>
        </w:rPr>
        <w:t>intercompartmental</w:t>
      </w:r>
      <w:proofErr w:type="spellEnd"/>
      <w:r w:rsidR="00E45D41">
        <w:rPr>
          <w:rFonts w:ascii="Times New Roman" w:hAnsi="Times New Roman" w:cs="Times New Roman"/>
          <w:sz w:val="24"/>
        </w:rPr>
        <w:t xml:space="preserve"> clearance </w:t>
      </w:r>
      <w:r w:rsidR="00545CD8">
        <w:rPr>
          <w:rFonts w:ascii="Times New Roman" w:hAnsi="Times New Roman" w:cs="Times New Roman"/>
          <w:sz w:val="24"/>
        </w:rPr>
        <w:t>[</w:t>
      </w:r>
      <w:r w:rsidR="00E45D41">
        <w:rPr>
          <w:rFonts w:ascii="Times New Roman" w:hAnsi="Times New Roman" w:cs="Times New Roman"/>
          <w:sz w:val="24"/>
        </w:rPr>
        <w:t>Q/F:</w:t>
      </w:r>
      <w:r w:rsidR="00545CD8">
        <w:rPr>
          <w:rFonts w:ascii="Times New Roman" w:hAnsi="Times New Roman" w:cs="Times New Roman"/>
          <w:sz w:val="24"/>
        </w:rPr>
        <w:t xml:space="preserve"> 0.0082L/h (20%)]</w:t>
      </w:r>
      <w:r w:rsidR="00DC09E5">
        <w:rPr>
          <w:rFonts w:ascii="Times New Roman" w:hAnsi="Times New Roman" w:cs="Times New Roman"/>
          <w:sz w:val="24"/>
        </w:rPr>
        <w:t xml:space="preserve"> and</w:t>
      </w:r>
      <w:r w:rsidR="00E45D41">
        <w:rPr>
          <w:rFonts w:ascii="Times New Roman" w:hAnsi="Times New Roman" w:cs="Times New Roman"/>
          <w:sz w:val="24"/>
        </w:rPr>
        <w:t xml:space="preserve"> peripheral volume of distribution </w:t>
      </w:r>
      <w:r w:rsidR="00545CD8">
        <w:rPr>
          <w:rFonts w:ascii="Times New Roman" w:hAnsi="Times New Roman" w:cs="Times New Roman"/>
          <w:sz w:val="24"/>
        </w:rPr>
        <w:t>[</w:t>
      </w:r>
      <w:proofErr w:type="spellStart"/>
      <w:r w:rsidR="00E45D41">
        <w:rPr>
          <w:rFonts w:ascii="Times New Roman" w:hAnsi="Times New Roman" w:cs="Times New Roman"/>
          <w:sz w:val="24"/>
        </w:rPr>
        <w:t>Vp</w:t>
      </w:r>
      <w:proofErr w:type="spellEnd"/>
      <w:r w:rsidR="00E45D41">
        <w:rPr>
          <w:rFonts w:ascii="Times New Roman" w:hAnsi="Times New Roman" w:cs="Times New Roman"/>
          <w:sz w:val="24"/>
        </w:rPr>
        <w:t>/F</w:t>
      </w:r>
      <w:r w:rsidR="00545CD8">
        <w:rPr>
          <w:rFonts w:ascii="Times New Roman" w:hAnsi="Times New Roman" w:cs="Times New Roman"/>
          <w:sz w:val="24"/>
        </w:rPr>
        <w:t>: 0.73L (8%)]</w:t>
      </w:r>
      <w:r w:rsidR="00E45D41">
        <w:rPr>
          <w:rFonts w:ascii="Times New Roman" w:hAnsi="Times New Roman" w:cs="Times New Roman"/>
          <w:sz w:val="24"/>
        </w:rPr>
        <w:t xml:space="preserve"> </w:t>
      </w:r>
      <w:r w:rsidR="00A972D3">
        <w:rPr>
          <w:rFonts w:ascii="Times New Roman" w:hAnsi="Times New Roman" w:cs="Times New Roman"/>
          <w:sz w:val="24"/>
        </w:rPr>
        <w:t>with absorption rate constant</w:t>
      </w:r>
      <w:r w:rsidR="00E45D41">
        <w:rPr>
          <w:rFonts w:ascii="Times New Roman" w:hAnsi="Times New Roman" w:cs="Times New Roman"/>
          <w:sz w:val="24"/>
        </w:rPr>
        <w:t xml:space="preserve"> fixed to </w:t>
      </w:r>
      <w:r w:rsidR="00A972D3">
        <w:rPr>
          <w:rFonts w:ascii="Times New Roman" w:hAnsi="Times New Roman" w:cs="Times New Roman"/>
          <w:sz w:val="24"/>
        </w:rPr>
        <w:t>2.24h</w:t>
      </w:r>
      <w:r w:rsidR="00E526D3">
        <w:rPr>
          <w:rFonts w:ascii="Times New Roman" w:hAnsi="Times New Roman" w:cs="Times New Roman"/>
          <w:sz w:val="24"/>
          <w:vertAlign w:val="superscript"/>
        </w:rPr>
        <w:t>-</w:t>
      </w:r>
      <w:r w:rsidR="00A05D88">
        <w:rPr>
          <w:rFonts w:ascii="Times New Roman" w:hAnsi="Times New Roman" w:cs="Times New Roman"/>
          <w:sz w:val="24"/>
          <w:vertAlign w:val="superscript"/>
        </w:rPr>
        <w:t>1</w:t>
      </w:r>
      <w:r w:rsidR="00A972D3">
        <w:rPr>
          <w:rFonts w:ascii="Times New Roman" w:hAnsi="Times New Roman" w:cs="Times New Roman"/>
          <w:sz w:val="24"/>
        </w:rPr>
        <w:t>.</w:t>
      </w:r>
      <w:r w:rsidR="00E13711">
        <w:rPr>
          <w:rFonts w:ascii="Times New Roman" w:hAnsi="Times New Roman" w:cs="Times New Roman"/>
          <w:sz w:val="24"/>
          <w:vertAlign w:val="superscript"/>
        </w:rPr>
        <w:t>4</w:t>
      </w:r>
      <w:r w:rsidR="00A972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D41">
        <w:rPr>
          <w:rFonts w:ascii="Times New Roman" w:hAnsi="Times New Roman" w:cs="Times New Roman"/>
          <w:sz w:val="24"/>
        </w:rPr>
        <w:t>Interindivdual</w:t>
      </w:r>
      <w:proofErr w:type="spellEnd"/>
      <w:r w:rsidR="00E45D41">
        <w:rPr>
          <w:rFonts w:ascii="Times New Roman" w:hAnsi="Times New Roman" w:cs="Times New Roman"/>
          <w:sz w:val="24"/>
        </w:rPr>
        <w:t xml:space="preserve"> variability was </w:t>
      </w:r>
      <w:r w:rsidR="00545CD8">
        <w:rPr>
          <w:rFonts w:ascii="Times New Roman" w:hAnsi="Times New Roman" w:cs="Times New Roman"/>
          <w:sz w:val="24"/>
        </w:rPr>
        <w:t>17% (41%)</w:t>
      </w:r>
      <w:r w:rsidR="00E45D41">
        <w:rPr>
          <w:rFonts w:ascii="Times New Roman" w:hAnsi="Times New Roman" w:cs="Times New Roman"/>
          <w:sz w:val="24"/>
        </w:rPr>
        <w:t xml:space="preserve"> and </w:t>
      </w:r>
      <w:r w:rsidR="00545CD8">
        <w:rPr>
          <w:rFonts w:ascii="Times New Roman" w:hAnsi="Times New Roman" w:cs="Times New Roman"/>
          <w:sz w:val="24"/>
        </w:rPr>
        <w:t>16% (39%)</w:t>
      </w:r>
      <w:r w:rsidR="00E45D41">
        <w:rPr>
          <w:rFonts w:ascii="Times New Roman" w:hAnsi="Times New Roman" w:cs="Times New Roman"/>
          <w:sz w:val="24"/>
        </w:rPr>
        <w:t xml:space="preserve"> for CL/F and </w:t>
      </w:r>
      <w:proofErr w:type="spellStart"/>
      <w:r w:rsidR="00E45D41">
        <w:rPr>
          <w:rFonts w:ascii="Times New Roman" w:hAnsi="Times New Roman" w:cs="Times New Roman"/>
          <w:sz w:val="24"/>
        </w:rPr>
        <w:t>Vc</w:t>
      </w:r>
      <w:proofErr w:type="spellEnd"/>
      <w:r w:rsidR="00E45D41">
        <w:rPr>
          <w:rFonts w:ascii="Times New Roman" w:hAnsi="Times New Roman" w:cs="Times New Roman"/>
          <w:sz w:val="24"/>
        </w:rPr>
        <w:t xml:space="preserve">/F, respectively. </w:t>
      </w:r>
      <w:r w:rsidR="006C047E">
        <w:rPr>
          <w:rFonts w:ascii="Times New Roman" w:hAnsi="Times New Roman" w:cs="Times New Roman"/>
          <w:sz w:val="24"/>
        </w:rPr>
        <w:t>Following multivariate analysis weight was the only significant covariate</w:t>
      </w:r>
      <w:r w:rsidR="0041076F">
        <w:rPr>
          <w:rFonts w:ascii="Times New Roman" w:hAnsi="Times New Roman" w:cs="Times New Roman"/>
          <w:sz w:val="24"/>
        </w:rPr>
        <w:t xml:space="preserve"> to remain in the model</w:t>
      </w:r>
      <w:r w:rsidR="006C047E">
        <w:rPr>
          <w:rFonts w:ascii="Times New Roman" w:hAnsi="Times New Roman" w:cs="Times New Roman"/>
          <w:sz w:val="24"/>
        </w:rPr>
        <w:t xml:space="preserve">. </w:t>
      </w:r>
      <w:r w:rsidR="00E526D3">
        <w:rPr>
          <w:rFonts w:ascii="Times New Roman" w:hAnsi="Times New Roman" w:cs="Times New Roman"/>
          <w:sz w:val="24"/>
        </w:rPr>
        <w:t xml:space="preserve">DTG CL/F was increased by </w:t>
      </w:r>
      <w:r w:rsidR="00194CC8">
        <w:rPr>
          <w:rFonts w:ascii="Times New Roman" w:hAnsi="Times New Roman" w:cs="Times New Roman"/>
          <w:sz w:val="24"/>
        </w:rPr>
        <w:t>34</w:t>
      </w:r>
      <w:r w:rsidR="006022E2">
        <w:rPr>
          <w:rFonts w:ascii="Times New Roman" w:hAnsi="Times New Roman" w:cs="Times New Roman"/>
          <w:sz w:val="24"/>
        </w:rPr>
        <w:t>%</w:t>
      </w:r>
      <w:r w:rsidR="00194CC8">
        <w:rPr>
          <w:rFonts w:ascii="Times New Roman" w:hAnsi="Times New Roman" w:cs="Times New Roman"/>
          <w:sz w:val="24"/>
        </w:rPr>
        <w:t>, 60</w:t>
      </w:r>
      <w:r w:rsidR="006022E2">
        <w:rPr>
          <w:rFonts w:ascii="Times New Roman" w:hAnsi="Times New Roman" w:cs="Times New Roman"/>
          <w:sz w:val="24"/>
        </w:rPr>
        <w:t>%</w:t>
      </w:r>
      <w:r w:rsidR="00194CC8">
        <w:rPr>
          <w:rFonts w:ascii="Times New Roman" w:hAnsi="Times New Roman" w:cs="Times New Roman"/>
          <w:sz w:val="24"/>
        </w:rPr>
        <w:t>, 13</w:t>
      </w:r>
      <w:r w:rsidR="006022E2">
        <w:rPr>
          <w:rFonts w:ascii="Times New Roman" w:hAnsi="Times New Roman" w:cs="Times New Roman"/>
          <w:sz w:val="24"/>
        </w:rPr>
        <w:t>%</w:t>
      </w:r>
      <w:r w:rsidR="00194CC8">
        <w:rPr>
          <w:rFonts w:ascii="Times New Roman" w:hAnsi="Times New Roman" w:cs="Times New Roman"/>
          <w:sz w:val="24"/>
        </w:rPr>
        <w:t xml:space="preserve"> and 11% at WK1, 2, 3 and 4</w:t>
      </w:r>
      <w:r w:rsidR="00194CC8" w:rsidRPr="00194CC8">
        <w:rPr>
          <w:rFonts w:ascii="Times New Roman" w:hAnsi="Times New Roman" w:cs="Times New Roman"/>
          <w:sz w:val="24"/>
        </w:rPr>
        <w:t xml:space="preserve"> </w:t>
      </w:r>
      <w:r w:rsidR="00194CC8">
        <w:rPr>
          <w:rFonts w:ascii="Times New Roman" w:hAnsi="Times New Roman" w:cs="Times New Roman"/>
          <w:sz w:val="24"/>
        </w:rPr>
        <w:t>following switch, respectively</w:t>
      </w:r>
      <w:r w:rsidR="00A05D88">
        <w:rPr>
          <w:rFonts w:ascii="Times New Roman" w:hAnsi="Times New Roman" w:cs="Times New Roman"/>
          <w:sz w:val="24"/>
        </w:rPr>
        <w:t xml:space="preserve"> compared to DTG alone</w:t>
      </w:r>
      <w:r w:rsidR="00194CC8">
        <w:rPr>
          <w:rFonts w:ascii="Times New Roman" w:hAnsi="Times New Roman" w:cs="Times New Roman"/>
          <w:sz w:val="24"/>
        </w:rPr>
        <w:t>.</w:t>
      </w:r>
      <w:r w:rsidR="006C047E">
        <w:rPr>
          <w:rFonts w:ascii="Times New Roman" w:hAnsi="Times New Roman" w:cs="Times New Roman"/>
          <w:sz w:val="24"/>
        </w:rPr>
        <w:t xml:space="preserve"> </w:t>
      </w:r>
      <w:r w:rsidR="00A05D88">
        <w:rPr>
          <w:rFonts w:ascii="Times New Roman" w:hAnsi="Times New Roman" w:cs="Times New Roman"/>
          <w:sz w:val="24"/>
        </w:rPr>
        <w:t>Based on 100 simulations DTG AUC</w:t>
      </w:r>
      <w:r w:rsidR="00A05D88" w:rsidRPr="00545CD8">
        <w:rPr>
          <w:rFonts w:ascii="Times New Roman" w:hAnsi="Times New Roman" w:cs="Times New Roman"/>
          <w:sz w:val="24"/>
          <w:vertAlign w:val="subscript"/>
        </w:rPr>
        <w:t>0-24</w:t>
      </w:r>
      <w:r w:rsidR="00545CD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45CD8">
        <w:rPr>
          <w:rFonts w:ascii="Times New Roman" w:hAnsi="Times New Roman" w:cs="Times New Roman"/>
          <w:sz w:val="24"/>
        </w:rPr>
        <w:t>C</w:t>
      </w:r>
      <w:r w:rsidR="00545CD8" w:rsidRPr="00545CD8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="00A05D88">
        <w:rPr>
          <w:rFonts w:ascii="Times New Roman" w:hAnsi="Times New Roman" w:cs="Times New Roman"/>
          <w:sz w:val="24"/>
        </w:rPr>
        <w:t xml:space="preserve"> and trough (C</w:t>
      </w:r>
      <w:r w:rsidR="00A05D88" w:rsidRPr="00545CD8">
        <w:rPr>
          <w:rFonts w:ascii="Times New Roman" w:hAnsi="Times New Roman" w:cs="Times New Roman"/>
          <w:sz w:val="24"/>
          <w:vertAlign w:val="subscript"/>
        </w:rPr>
        <w:t>24</w:t>
      </w:r>
      <w:r w:rsidR="00A05D88">
        <w:rPr>
          <w:rFonts w:ascii="Times New Roman" w:hAnsi="Times New Roman" w:cs="Times New Roman"/>
          <w:sz w:val="24"/>
        </w:rPr>
        <w:t xml:space="preserve">) at WK1, 2, 3, 4 post-switch were significantly lower than DTG alone (Table 1), however </w:t>
      </w:r>
      <w:r w:rsidR="0041076F">
        <w:rPr>
          <w:rFonts w:ascii="Times New Roman" w:hAnsi="Times New Roman" w:cs="Times New Roman"/>
          <w:sz w:val="24"/>
        </w:rPr>
        <w:t xml:space="preserve">all </w:t>
      </w:r>
      <w:r w:rsidR="00A05D88">
        <w:rPr>
          <w:rFonts w:ascii="Times New Roman" w:hAnsi="Times New Roman" w:cs="Times New Roman"/>
          <w:sz w:val="24"/>
        </w:rPr>
        <w:t>simulated C</w:t>
      </w:r>
      <w:r w:rsidR="00A05D88" w:rsidRPr="002A4E7A">
        <w:rPr>
          <w:rFonts w:ascii="Times New Roman" w:hAnsi="Times New Roman" w:cs="Times New Roman"/>
          <w:sz w:val="24"/>
          <w:vertAlign w:val="subscript"/>
        </w:rPr>
        <w:t>24</w:t>
      </w:r>
      <w:r w:rsidR="00A05D88">
        <w:rPr>
          <w:rFonts w:ascii="Times New Roman" w:hAnsi="Times New Roman" w:cs="Times New Roman"/>
          <w:sz w:val="24"/>
        </w:rPr>
        <w:t xml:space="preserve"> were above the protein-adjusted IC</w:t>
      </w:r>
      <w:r w:rsidR="00A05D88" w:rsidRPr="00545CD8">
        <w:rPr>
          <w:rFonts w:ascii="Times New Roman" w:hAnsi="Times New Roman" w:cs="Times New Roman"/>
          <w:sz w:val="24"/>
          <w:vertAlign w:val="subscript"/>
        </w:rPr>
        <w:t>90</w:t>
      </w:r>
      <w:r w:rsidR="00A05D88">
        <w:rPr>
          <w:rFonts w:ascii="Times New Roman" w:hAnsi="Times New Roman" w:cs="Times New Roman"/>
          <w:sz w:val="24"/>
        </w:rPr>
        <w:t xml:space="preserve"> of 0.0</w:t>
      </w:r>
      <w:r w:rsidR="006022E2">
        <w:rPr>
          <w:rFonts w:ascii="Times New Roman" w:hAnsi="Times New Roman" w:cs="Times New Roman"/>
          <w:sz w:val="24"/>
        </w:rPr>
        <w:t>64mg/L post-switch [median (range) 0.81</w:t>
      </w:r>
      <w:r w:rsidR="00A05D88">
        <w:rPr>
          <w:rFonts w:ascii="Times New Roman" w:hAnsi="Times New Roman" w:cs="Times New Roman"/>
          <w:sz w:val="24"/>
        </w:rPr>
        <w:t>mg/L (0.25-1.75)].</w:t>
      </w:r>
      <w:r w:rsidR="000D1FFE">
        <w:rPr>
          <w:rFonts w:ascii="Times New Roman" w:hAnsi="Times New Roman" w:cs="Times New Roman"/>
          <w:sz w:val="24"/>
        </w:rPr>
        <w:t xml:space="preserve"> </w:t>
      </w:r>
    </w:p>
    <w:p w:rsidR="0041076F" w:rsidRDefault="0041076F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076F" w:rsidRPr="00AB09FD" w:rsidRDefault="0041076F" w:rsidP="004107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Table 1 </w:t>
      </w:r>
      <w:r w:rsidRPr="00AB09FD">
        <w:rPr>
          <w:rFonts w:ascii="Times New Roman" w:hAnsi="Times New Roman" w:cs="Times New Roman"/>
          <w:color w:val="000000"/>
          <w:sz w:val="24"/>
          <w:szCs w:val="24"/>
        </w:rPr>
        <w:t>Changes in DTG PK parameters following switch from an EFV-based regimen expressed as geometric mean ratio (GMR; 90% CI)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determined from simulations using the final model parameters (n=100).</w:t>
      </w:r>
    </w:p>
    <w:p w:rsidR="0041076F" w:rsidRPr="00AB09FD" w:rsidRDefault="0041076F" w:rsidP="004107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59"/>
        <w:gridCol w:w="1759"/>
        <w:gridCol w:w="1759"/>
        <w:gridCol w:w="1759"/>
      </w:tblGrid>
      <w:tr w:rsidR="0041076F" w:rsidTr="00607C96">
        <w:tc>
          <w:tcPr>
            <w:tcW w:w="1980" w:type="dxa"/>
          </w:tcPr>
          <w:p w:rsidR="0041076F" w:rsidRDefault="0041076F" w:rsidP="00607C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7036" w:type="dxa"/>
            <w:gridSpan w:val="4"/>
          </w:tcPr>
          <w:p w:rsidR="0041076F" w:rsidRDefault="0041076F" w:rsidP="00607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GMR (90% CI)</w:t>
            </w:r>
            <w:r w:rsidRPr="00FA4EB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41076F" w:rsidTr="00607C96">
        <w:tc>
          <w:tcPr>
            <w:tcW w:w="1980" w:type="dxa"/>
          </w:tcPr>
          <w:p w:rsidR="0041076F" w:rsidRPr="00FA4EB0" w:rsidRDefault="0041076F" w:rsidP="00607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41076F" w:rsidRDefault="0041076F" w:rsidP="00607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WK1</w:t>
            </w:r>
          </w:p>
        </w:tc>
        <w:tc>
          <w:tcPr>
            <w:tcW w:w="1759" w:type="dxa"/>
          </w:tcPr>
          <w:p w:rsidR="0041076F" w:rsidRDefault="0041076F" w:rsidP="00607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WK2</w:t>
            </w:r>
          </w:p>
        </w:tc>
        <w:tc>
          <w:tcPr>
            <w:tcW w:w="1759" w:type="dxa"/>
          </w:tcPr>
          <w:p w:rsidR="0041076F" w:rsidRDefault="0041076F" w:rsidP="00607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WK3</w:t>
            </w:r>
          </w:p>
        </w:tc>
        <w:tc>
          <w:tcPr>
            <w:tcW w:w="1759" w:type="dxa"/>
          </w:tcPr>
          <w:p w:rsidR="0041076F" w:rsidRDefault="0041076F" w:rsidP="00607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WK4</w:t>
            </w:r>
          </w:p>
        </w:tc>
      </w:tr>
      <w:tr w:rsidR="0041076F" w:rsidRPr="00FA4EB0" w:rsidTr="00607C96">
        <w:tc>
          <w:tcPr>
            <w:tcW w:w="1980" w:type="dxa"/>
          </w:tcPr>
          <w:p w:rsidR="0041076F" w:rsidRPr="00FA4EB0" w:rsidRDefault="0041076F" w:rsidP="00607C96">
            <w:pPr>
              <w:jc w:val="both"/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AUC</w:t>
            </w:r>
            <w:r w:rsidRPr="00FA4EB0">
              <w:rPr>
                <w:rFonts w:ascii="Times New Roman" w:hAnsi="Times New Roman" w:cs="Times New Roman"/>
                <w:vertAlign w:val="subscript"/>
              </w:rPr>
              <w:t>0-24</w:t>
            </w:r>
            <w:r w:rsidRPr="00FA4E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A4EB0">
              <w:rPr>
                <w:rFonts w:ascii="Times New Roman" w:hAnsi="Times New Roman" w:cs="Times New Roman"/>
              </w:rPr>
              <w:t>mg.h</w:t>
            </w:r>
            <w:proofErr w:type="spellEnd"/>
            <w:r w:rsidRPr="00FA4EB0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0.73 (0.69-0.76)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 (0.58-0.64)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(0.83-0.91)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(0.84-0.92)</w:t>
            </w:r>
          </w:p>
        </w:tc>
      </w:tr>
      <w:tr w:rsidR="0041076F" w:rsidRPr="00FA4EB0" w:rsidTr="00607C96">
        <w:tc>
          <w:tcPr>
            <w:tcW w:w="1980" w:type="dxa"/>
          </w:tcPr>
          <w:p w:rsidR="0041076F" w:rsidRPr="00FA4EB0" w:rsidRDefault="0041076F" w:rsidP="00607C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4EB0">
              <w:rPr>
                <w:rFonts w:ascii="Times New Roman" w:hAnsi="Times New Roman" w:cs="Times New Roman"/>
              </w:rPr>
              <w:t>C</w:t>
            </w:r>
            <w:r w:rsidRPr="00FA4EB0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FA4EB0">
              <w:rPr>
                <w:rFonts w:ascii="Times New Roman" w:hAnsi="Times New Roman" w:cs="Times New Roman"/>
              </w:rPr>
              <w:t xml:space="preserve"> (mg/L)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(0.80-0.88)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 (0.74-0.82)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(0.88-0.96)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(0.88-0.97)</w:t>
            </w:r>
          </w:p>
        </w:tc>
      </w:tr>
      <w:tr w:rsidR="0041076F" w:rsidRPr="00FA4EB0" w:rsidTr="00607C96">
        <w:tc>
          <w:tcPr>
            <w:tcW w:w="1980" w:type="dxa"/>
          </w:tcPr>
          <w:p w:rsidR="0041076F" w:rsidRPr="00FA4EB0" w:rsidRDefault="0041076F" w:rsidP="00607C96">
            <w:pPr>
              <w:jc w:val="both"/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C</w:t>
            </w:r>
            <w:r w:rsidRPr="00FA4EB0">
              <w:rPr>
                <w:rFonts w:ascii="Times New Roman" w:hAnsi="Times New Roman" w:cs="Times New Roman"/>
                <w:vertAlign w:val="subscript"/>
              </w:rPr>
              <w:t>24</w:t>
            </w:r>
            <w:r w:rsidRPr="00FA4EB0">
              <w:rPr>
                <w:rFonts w:ascii="Times New Roman" w:hAnsi="Times New Roman" w:cs="Times New Roman"/>
              </w:rPr>
              <w:t xml:space="preserve"> (mg/L)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 (0.53-0.61)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 (0.37-0.42)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 (0.74-0.84)</w:t>
            </w:r>
          </w:p>
        </w:tc>
        <w:tc>
          <w:tcPr>
            <w:tcW w:w="1759" w:type="dxa"/>
          </w:tcPr>
          <w:p w:rsidR="0041076F" w:rsidRPr="00FA4EB0" w:rsidRDefault="0041076F" w:rsidP="0060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 (0.76-0.86)</w:t>
            </w:r>
          </w:p>
        </w:tc>
      </w:tr>
    </w:tbl>
    <w:p w:rsidR="0041076F" w:rsidRPr="00FA4EB0" w:rsidRDefault="0041076F" w:rsidP="004107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EB0">
        <w:rPr>
          <w:rFonts w:ascii="Times New Roman" w:hAnsi="Times New Roman" w:cs="Times New Roman"/>
          <w:vertAlign w:val="superscript"/>
        </w:rPr>
        <w:t>*</w:t>
      </w:r>
      <w:r w:rsidRPr="00FA4EB0">
        <w:rPr>
          <w:rFonts w:ascii="Times New Roman" w:hAnsi="Times New Roman" w:cs="Times New Roman"/>
        </w:rPr>
        <w:t xml:space="preserve"> DTG alone as reference</w:t>
      </w:r>
    </w:p>
    <w:p w:rsidR="0041076F" w:rsidRDefault="0041076F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076F" w:rsidRDefault="0041076F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1591" w:rsidRDefault="004151D3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51D3">
        <w:rPr>
          <w:rFonts w:ascii="Times New Roman" w:hAnsi="Times New Roman" w:cs="Times New Roman"/>
          <w:b/>
          <w:sz w:val="24"/>
        </w:rPr>
        <w:lastRenderedPageBreak/>
        <w:t>Conclusions:</w:t>
      </w:r>
      <w:r>
        <w:rPr>
          <w:rFonts w:ascii="Times New Roman" w:hAnsi="Times New Roman" w:cs="Times New Roman"/>
          <w:sz w:val="24"/>
        </w:rPr>
        <w:t xml:space="preserve"> </w:t>
      </w:r>
      <w:r w:rsidR="00353D99">
        <w:rPr>
          <w:rFonts w:ascii="Times New Roman" w:hAnsi="Times New Roman" w:cs="Times New Roman"/>
          <w:sz w:val="24"/>
        </w:rPr>
        <w:t xml:space="preserve">Population PK parameters were </w:t>
      </w:r>
      <w:r w:rsidR="00497E56">
        <w:rPr>
          <w:rFonts w:ascii="Times New Roman" w:hAnsi="Times New Roman" w:cs="Times New Roman"/>
          <w:sz w:val="24"/>
        </w:rPr>
        <w:t>comparable</w:t>
      </w:r>
      <w:r w:rsidR="00353D99">
        <w:rPr>
          <w:rFonts w:ascii="Times New Roman" w:hAnsi="Times New Roman" w:cs="Times New Roman"/>
          <w:sz w:val="24"/>
        </w:rPr>
        <w:t xml:space="preserve"> </w:t>
      </w:r>
      <w:r w:rsidR="00497E56">
        <w:rPr>
          <w:rFonts w:ascii="Times New Roman" w:hAnsi="Times New Roman" w:cs="Times New Roman"/>
          <w:sz w:val="24"/>
        </w:rPr>
        <w:t>to</w:t>
      </w:r>
      <w:r w:rsidR="00353D99">
        <w:rPr>
          <w:rFonts w:ascii="Times New Roman" w:hAnsi="Times New Roman" w:cs="Times New Roman"/>
          <w:sz w:val="24"/>
        </w:rPr>
        <w:t xml:space="preserve"> previous reports</w:t>
      </w:r>
      <w:r w:rsidR="00E13711">
        <w:rPr>
          <w:rFonts w:ascii="Times New Roman" w:hAnsi="Times New Roman" w:cs="Times New Roman"/>
          <w:sz w:val="24"/>
          <w:vertAlign w:val="superscript"/>
        </w:rPr>
        <w:t>4</w:t>
      </w:r>
      <w:r w:rsidR="002A7A3E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A7A3E" w:rsidRPr="002A7A3E">
        <w:rPr>
          <w:rFonts w:ascii="Times New Roman" w:hAnsi="Times New Roman" w:cs="Times New Roman"/>
          <w:sz w:val="24"/>
        </w:rPr>
        <w:t>with between-study differences attributable to EFV</w:t>
      </w:r>
      <w:r w:rsidR="00C86294" w:rsidRPr="002A7A3E">
        <w:rPr>
          <w:rFonts w:ascii="Times New Roman" w:hAnsi="Times New Roman" w:cs="Times New Roman"/>
          <w:sz w:val="24"/>
        </w:rPr>
        <w:t>.</w:t>
      </w:r>
      <w:r w:rsidR="002A7A3E">
        <w:rPr>
          <w:rFonts w:ascii="Times New Roman" w:hAnsi="Times New Roman" w:cs="Times New Roman"/>
          <w:sz w:val="24"/>
        </w:rPr>
        <w:t xml:space="preserve"> </w:t>
      </w:r>
      <w:r w:rsidR="00353D99">
        <w:rPr>
          <w:rFonts w:ascii="Times New Roman" w:hAnsi="Times New Roman" w:cs="Times New Roman"/>
          <w:sz w:val="24"/>
        </w:rPr>
        <w:t xml:space="preserve">Simulated </w:t>
      </w:r>
      <w:r w:rsidR="00497E56">
        <w:rPr>
          <w:rFonts w:ascii="Times New Roman" w:hAnsi="Times New Roman" w:cs="Times New Roman"/>
          <w:sz w:val="24"/>
        </w:rPr>
        <w:t xml:space="preserve">DTG </w:t>
      </w:r>
      <w:r w:rsidR="0055481F">
        <w:rPr>
          <w:rFonts w:ascii="Times New Roman" w:hAnsi="Times New Roman" w:cs="Times New Roman"/>
          <w:sz w:val="24"/>
        </w:rPr>
        <w:t>PK parameters</w:t>
      </w:r>
      <w:r w:rsidR="00353D99">
        <w:rPr>
          <w:rFonts w:ascii="Times New Roman" w:hAnsi="Times New Roman" w:cs="Times New Roman"/>
          <w:sz w:val="24"/>
        </w:rPr>
        <w:t xml:space="preserve"> were reduced following </w:t>
      </w:r>
      <w:r w:rsidR="00497E56">
        <w:rPr>
          <w:rFonts w:ascii="Times New Roman" w:hAnsi="Times New Roman" w:cs="Times New Roman"/>
          <w:sz w:val="24"/>
        </w:rPr>
        <w:t>switch</w:t>
      </w:r>
      <w:r w:rsidR="002A7A3E">
        <w:rPr>
          <w:rFonts w:ascii="Times New Roman" w:hAnsi="Times New Roman" w:cs="Times New Roman"/>
          <w:sz w:val="24"/>
        </w:rPr>
        <w:t xml:space="preserve"> </w:t>
      </w:r>
      <w:r w:rsidR="008E4368">
        <w:rPr>
          <w:rFonts w:ascii="Times New Roman" w:hAnsi="Times New Roman" w:cs="Times New Roman"/>
          <w:sz w:val="24"/>
        </w:rPr>
        <w:t>even at WK3/WK4 (~20%</w:t>
      </w:r>
      <w:r w:rsidR="0055481F">
        <w:rPr>
          <w:rFonts w:ascii="Times New Roman" w:hAnsi="Times New Roman" w:cs="Times New Roman"/>
          <w:sz w:val="24"/>
        </w:rPr>
        <w:t xml:space="preserve"> for C</w:t>
      </w:r>
      <w:r w:rsidR="0055481F" w:rsidRPr="0055481F">
        <w:rPr>
          <w:rFonts w:ascii="Times New Roman" w:hAnsi="Times New Roman" w:cs="Times New Roman"/>
          <w:sz w:val="24"/>
          <w:vertAlign w:val="subscript"/>
        </w:rPr>
        <w:t>24</w:t>
      </w:r>
      <w:r w:rsidR="008E4368">
        <w:rPr>
          <w:rFonts w:ascii="Times New Roman" w:hAnsi="Times New Roman" w:cs="Times New Roman"/>
          <w:sz w:val="24"/>
        </w:rPr>
        <w:t xml:space="preserve">), potentially highlighting </w:t>
      </w:r>
      <w:r w:rsidR="00E62BE6">
        <w:rPr>
          <w:rFonts w:ascii="Times New Roman" w:hAnsi="Times New Roman" w:cs="Times New Roman"/>
          <w:sz w:val="24"/>
        </w:rPr>
        <w:t xml:space="preserve">important PK </w:t>
      </w:r>
      <w:r w:rsidR="008E4368">
        <w:rPr>
          <w:rFonts w:ascii="Times New Roman" w:hAnsi="Times New Roman" w:cs="Times New Roman"/>
          <w:sz w:val="24"/>
        </w:rPr>
        <w:t xml:space="preserve">differences between healthy &amp; HIV-infected individuals. </w:t>
      </w:r>
      <w:r w:rsidR="00A2363F">
        <w:rPr>
          <w:rFonts w:ascii="Times New Roman" w:hAnsi="Times New Roman" w:cs="Times New Roman"/>
          <w:sz w:val="24"/>
        </w:rPr>
        <w:t>However</w:t>
      </w:r>
      <w:r w:rsidR="008E4368" w:rsidRPr="008878AC">
        <w:rPr>
          <w:rFonts w:ascii="Times New Roman" w:hAnsi="Times New Roman" w:cs="Times New Roman"/>
          <w:sz w:val="24"/>
        </w:rPr>
        <w:t>,</w:t>
      </w:r>
      <w:r w:rsidR="00353D99" w:rsidRPr="008878AC">
        <w:rPr>
          <w:rFonts w:ascii="Times New Roman" w:hAnsi="Times New Roman" w:cs="Times New Roman"/>
          <w:sz w:val="24"/>
        </w:rPr>
        <w:t xml:space="preserve"> </w:t>
      </w:r>
      <w:r w:rsidR="00497E56" w:rsidRPr="008878AC">
        <w:rPr>
          <w:rFonts w:ascii="Times New Roman" w:hAnsi="Times New Roman" w:cs="Times New Roman"/>
          <w:sz w:val="24"/>
        </w:rPr>
        <w:t>consistent with recent data</w:t>
      </w:r>
      <w:r w:rsidR="00E13711" w:rsidRPr="008878AC">
        <w:rPr>
          <w:rFonts w:ascii="Times New Roman" w:hAnsi="Times New Roman" w:cs="Times New Roman"/>
          <w:sz w:val="24"/>
          <w:vertAlign w:val="superscript"/>
        </w:rPr>
        <w:t>1</w:t>
      </w:r>
      <w:r w:rsidR="00497E56" w:rsidRPr="008878AC">
        <w:rPr>
          <w:rFonts w:ascii="Times New Roman" w:hAnsi="Times New Roman" w:cs="Times New Roman"/>
          <w:sz w:val="24"/>
        </w:rPr>
        <w:t xml:space="preserve"> </w:t>
      </w:r>
      <w:r w:rsidR="008E4368" w:rsidRPr="008878AC">
        <w:rPr>
          <w:rFonts w:ascii="Times New Roman" w:hAnsi="Times New Roman" w:cs="Times New Roman"/>
          <w:sz w:val="24"/>
        </w:rPr>
        <w:t xml:space="preserve">concentrations </w:t>
      </w:r>
      <w:r w:rsidR="00353D99" w:rsidRPr="008878AC">
        <w:rPr>
          <w:rFonts w:ascii="Times New Roman" w:hAnsi="Times New Roman" w:cs="Times New Roman"/>
          <w:sz w:val="24"/>
        </w:rPr>
        <w:t xml:space="preserve">remained </w:t>
      </w:r>
      <w:r w:rsidR="00FE3EBB" w:rsidRPr="008878AC">
        <w:rPr>
          <w:rFonts w:ascii="Times New Roman" w:hAnsi="Times New Roman" w:cs="Times New Roman"/>
          <w:sz w:val="24"/>
        </w:rPr>
        <w:t xml:space="preserve">above the </w:t>
      </w:r>
      <w:r w:rsidR="008878AC" w:rsidRPr="008878AC">
        <w:rPr>
          <w:rFonts w:ascii="Times New Roman" w:hAnsi="Times New Roman" w:cs="Times New Roman"/>
          <w:sz w:val="24"/>
        </w:rPr>
        <w:t>protein-adjusted</w:t>
      </w:r>
      <w:r w:rsidR="00FE3EBB" w:rsidRPr="008878AC">
        <w:rPr>
          <w:rFonts w:ascii="Times New Roman" w:hAnsi="Times New Roman" w:cs="Times New Roman"/>
          <w:sz w:val="24"/>
        </w:rPr>
        <w:t xml:space="preserve"> IC</w:t>
      </w:r>
      <w:r w:rsidR="00FE3EBB" w:rsidRPr="008878AC">
        <w:rPr>
          <w:rFonts w:ascii="Times New Roman" w:hAnsi="Times New Roman" w:cs="Times New Roman"/>
          <w:sz w:val="24"/>
          <w:vertAlign w:val="subscript"/>
        </w:rPr>
        <w:t>90</w:t>
      </w:r>
      <w:r w:rsidR="006022E2" w:rsidRPr="008878AC">
        <w:rPr>
          <w:rFonts w:ascii="Times New Roman" w:hAnsi="Times New Roman" w:cs="Times New Roman"/>
          <w:sz w:val="24"/>
        </w:rPr>
        <w:t xml:space="preserve"> </w:t>
      </w:r>
      <w:r w:rsidR="00FE3EBB" w:rsidRPr="008878AC">
        <w:rPr>
          <w:rFonts w:ascii="Times New Roman" w:hAnsi="Times New Roman" w:cs="Times New Roman"/>
          <w:sz w:val="24"/>
        </w:rPr>
        <w:t>post</w:t>
      </w:r>
      <w:r w:rsidR="008878AC" w:rsidRPr="008878AC">
        <w:rPr>
          <w:rFonts w:ascii="Times New Roman" w:hAnsi="Times New Roman" w:cs="Times New Roman"/>
          <w:sz w:val="24"/>
        </w:rPr>
        <w:t>-</w:t>
      </w:r>
      <w:r w:rsidR="00FE3EBB" w:rsidRPr="008878AC">
        <w:rPr>
          <w:rFonts w:ascii="Times New Roman" w:hAnsi="Times New Roman" w:cs="Times New Roman"/>
          <w:sz w:val="24"/>
        </w:rPr>
        <w:t>switch</w:t>
      </w:r>
      <w:r w:rsidR="00E62BE6" w:rsidRPr="008878AC">
        <w:rPr>
          <w:rFonts w:ascii="Times New Roman" w:hAnsi="Times New Roman" w:cs="Times New Roman"/>
          <w:sz w:val="24"/>
        </w:rPr>
        <w:t>,</w:t>
      </w:r>
      <w:r w:rsidR="006022E2" w:rsidRPr="008878AC">
        <w:rPr>
          <w:rFonts w:ascii="Times New Roman" w:hAnsi="Times New Roman" w:cs="Times New Roman"/>
          <w:sz w:val="24"/>
        </w:rPr>
        <w:t xml:space="preserve"> supporting findings that dose adjustments </w:t>
      </w:r>
      <w:r w:rsidR="008E4368" w:rsidRPr="008878AC">
        <w:rPr>
          <w:rFonts w:ascii="Times New Roman" w:hAnsi="Times New Roman" w:cs="Times New Roman"/>
          <w:sz w:val="24"/>
        </w:rPr>
        <w:t xml:space="preserve">may </w:t>
      </w:r>
      <w:r w:rsidR="006022E2" w:rsidRPr="008878AC">
        <w:rPr>
          <w:rFonts w:ascii="Times New Roman" w:hAnsi="Times New Roman" w:cs="Times New Roman"/>
          <w:sz w:val="24"/>
        </w:rPr>
        <w:t>not</w:t>
      </w:r>
      <w:r w:rsidR="008E4368" w:rsidRPr="008878AC">
        <w:rPr>
          <w:rFonts w:ascii="Times New Roman" w:hAnsi="Times New Roman" w:cs="Times New Roman"/>
          <w:sz w:val="24"/>
        </w:rPr>
        <w:t xml:space="preserve"> be</w:t>
      </w:r>
      <w:r w:rsidR="006022E2" w:rsidRPr="008878AC">
        <w:rPr>
          <w:rFonts w:ascii="Times New Roman" w:hAnsi="Times New Roman" w:cs="Times New Roman"/>
          <w:sz w:val="24"/>
        </w:rPr>
        <w:t xml:space="preserve"> required</w:t>
      </w:r>
      <w:r w:rsidR="00E62BE6" w:rsidRPr="008878AC">
        <w:rPr>
          <w:rFonts w:ascii="Times New Roman" w:hAnsi="Times New Roman" w:cs="Times New Roman"/>
          <w:sz w:val="24"/>
        </w:rPr>
        <w:t xml:space="preserve"> </w:t>
      </w:r>
      <w:r w:rsidR="00A2363F">
        <w:rPr>
          <w:rFonts w:ascii="Times New Roman" w:hAnsi="Times New Roman" w:cs="Times New Roman"/>
          <w:sz w:val="24"/>
        </w:rPr>
        <w:t>in the described patient population</w:t>
      </w:r>
      <w:r w:rsidR="00353D99" w:rsidRPr="008878AC">
        <w:rPr>
          <w:rFonts w:ascii="Times New Roman" w:hAnsi="Times New Roman" w:cs="Times New Roman"/>
          <w:sz w:val="24"/>
        </w:rPr>
        <w:t>.</w:t>
      </w:r>
      <w:r w:rsidR="00353D99">
        <w:rPr>
          <w:rFonts w:ascii="Times New Roman" w:hAnsi="Times New Roman" w:cs="Times New Roman"/>
          <w:sz w:val="24"/>
        </w:rPr>
        <w:t xml:space="preserve"> </w:t>
      </w:r>
    </w:p>
    <w:p w:rsidR="005D3891" w:rsidRDefault="005D3891" w:rsidP="000115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3891" w:rsidRDefault="00EB4BF0" w:rsidP="005D3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Words</w:t>
      </w:r>
      <w:r w:rsidR="001E4F0F" w:rsidRPr="00317C81">
        <w:rPr>
          <w:rFonts w:ascii="Times New Roman" w:hAnsi="Times New Roman" w:cs="Times New Roman"/>
          <w:b/>
          <w:sz w:val="24"/>
        </w:rPr>
        <w:t xml:space="preserve"> </w:t>
      </w:r>
      <w:r w:rsidR="0041076F">
        <w:rPr>
          <w:rFonts w:ascii="Times New Roman" w:hAnsi="Times New Roman" w:cs="Times New Roman"/>
          <w:b/>
          <w:sz w:val="24"/>
        </w:rPr>
        <w:t>3</w:t>
      </w:r>
      <w:r w:rsidR="00A2363F">
        <w:rPr>
          <w:rFonts w:ascii="Times New Roman" w:hAnsi="Times New Roman" w:cs="Times New Roman"/>
          <w:b/>
          <w:sz w:val="24"/>
        </w:rPr>
        <w:t>85</w:t>
      </w:r>
      <w:bookmarkStart w:id="0" w:name="_GoBack"/>
      <w:bookmarkEnd w:id="0"/>
      <w:r w:rsidR="0041076F">
        <w:rPr>
          <w:rFonts w:ascii="Times New Roman" w:hAnsi="Times New Roman" w:cs="Times New Roman"/>
          <w:b/>
          <w:sz w:val="24"/>
        </w:rPr>
        <w:t xml:space="preserve"> </w:t>
      </w:r>
      <w:r w:rsidR="005D3891" w:rsidRPr="00317C81">
        <w:rPr>
          <w:rFonts w:ascii="Times New Roman" w:hAnsi="Times New Roman" w:cs="Times New Roman"/>
          <w:b/>
          <w:sz w:val="24"/>
        </w:rPr>
        <w:t>(max</w:t>
      </w:r>
      <w:r w:rsidR="005D389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400</w:t>
      </w:r>
      <w:r w:rsidR="005D3891" w:rsidRPr="00317C81">
        <w:rPr>
          <w:rFonts w:ascii="Times New Roman" w:hAnsi="Times New Roman" w:cs="Times New Roman"/>
          <w:b/>
          <w:sz w:val="24"/>
        </w:rPr>
        <w:t>)</w:t>
      </w:r>
    </w:p>
    <w:p w:rsidR="00EB4BF0" w:rsidRPr="00317C81" w:rsidRDefault="00EB4BF0" w:rsidP="005D3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151D3" w:rsidRPr="00EB4BF0" w:rsidRDefault="00EB4BF0" w:rsidP="00011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4BF0">
        <w:rPr>
          <w:rFonts w:ascii="Times New Roman" w:hAnsi="Times New Roman" w:cs="Times New Roman"/>
          <w:b/>
          <w:sz w:val="24"/>
        </w:rPr>
        <w:t>References</w:t>
      </w:r>
    </w:p>
    <w:p w:rsidR="0041076F" w:rsidRDefault="0041076F" w:rsidP="0041076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vertAlign w:val="superscript"/>
        </w:rPr>
        <w:t>1</w:t>
      </w:r>
      <w:r>
        <w:rPr>
          <w:b w:val="0"/>
          <w:color w:val="000000"/>
          <w:sz w:val="24"/>
          <w:szCs w:val="24"/>
        </w:rPr>
        <w:t xml:space="preserve"> Wet </w:t>
      </w:r>
      <w:r w:rsidRPr="00497E56">
        <w:rPr>
          <w:b w:val="0"/>
          <w:i/>
          <w:color w:val="000000"/>
          <w:sz w:val="24"/>
          <w:szCs w:val="24"/>
        </w:rPr>
        <w:t>et al</w:t>
      </w:r>
      <w:r>
        <w:rPr>
          <w:b w:val="0"/>
          <w:color w:val="000000"/>
          <w:sz w:val="24"/>
          <w:szCs w:val="24"/>
        </w:rPr>
        <w:t xml:space="preserve">. </w:t>
      </w:r>
      <w:r w:rsidRPr="00497E56">
        <w:rPr>
          <w:b w:val="0"/>
          <w:i/>
          <w:color w:val="000000"/>
          <w:sz w:val="24"/>
          <w:szCs w:val="24"/>
        </w:rPr>
        <w:t>17</w:t>
      </w:r>
      <w:r w:rsidRPr="00497E56">
        <w:rPr>
          <w:b w:val="0"/>
          <w:i/>
          <w:color w:val="000000"/>
          <w:sz w:val="24"/>
          <w:szCs w:val="24"/>
          <w:vertAlign w:val="superscript"/>
        </w:rPr>
        <w:t>th</w:t>
      </w:r>
      <w:r w:rsidRPr="00497E56">
        <w:rPr>
          <w:b w:val="0"/>
          <w:i/>
          <w:color w:val="000000"/>
          <w:sz w:val="24"/>
          <w:szCs w:val="24"/>
        </w:rPr>
        <w:t xml:space="preserve"> International Workshop on Clinical Pharmacology of HIV &amp; Hepatitis Therapy</w:t>
      </w:r>
      <w:r>
        <w:rPr>
          <w:b w:val="0"/>
          <w:color w:val="000000"/>
          <w:sz w:val="24"/>
          <w:szCs w:val="24"/>
        </w:rPr>
        <w:t xml:space="preserve"> 2016. Washington, DC, USA. Abstract O_23</w:t>
      </w:r>
    </w:p>
    <w:p w:rsidR="0041076F" w:rsidRDefault="0041076F" w:rsidP="0041076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41076F">
        <w:rPr>
          <w:b w:val="0"/>
          <w:color w:val="000000"/>
          <w:sz w:val="24"/>
          <w:szCs w:val="24"/>
          <w:vertAlign w:val="superscript"/>
        </w:rPr>
        <w:t>2</w:t>
      </w:r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Generaux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 w:rsidRPr="0041076F">
        <w:rPr>
          <w:b w:val="0"/>
          <w:i/>
          <w:color w:val="000000"/>
          <w:sz w:val="24"/>
          <w:szCs w:val="24"/>
        </w:rPr>
        <w:t>et al</w:t>
      </w:r>
      <w:r>
        <w:rPr>
          <w:b w:val="0"/>
          <w:color w:val="000000"/>
          <w:sz w:val="24"/>
          <w:szCs w:val="24"/>
        </w:rPr>
        <w:t xml:space="preserve">. </w:t>
      </w:r>
      <w:r w:rsidRPr="00497E56">
        <w:rPr>
          <w:b w:val="0"/>
          <w:i/>
          <w:color w:val="000000"/>
          <w:sz w:val="24"/>
          <w:szCs w:val="24"/>
        </w:rPr>
        <w:t>1</w:t>
      </w:r>
      <w:r>
        <w:rPr>
          <w:b w:val="0"/>
          <w:i/>
          <w:color w:val="000000"/>
          <w:sz w:val="24"/>
          <w:szCs w:val="24"/>
        </w:rPr>
        <w:t>5</w:t>
      </w:r>
      <w:r w:rsidRPr="00497E56">
        <w:rPr>
          <w:b w:val="0"/>
          <w:i/>
          <w:color w:val="000000"/>
          <w:sz w:val="24"/>
          <w:szCs w:val="24"/>
          <w:vertAlign w:val="superscript"/>
        </w:rPr>
        <w:t>th</w:t>
      </w:r>
      <w:r w:rsidRPr="00497E56">
        <w:rPr>
          <w:b w:val="0"/>
          <w:i/>
          <w:color w:val="000000"/>
          <w:sz w:val="24"/>
          <w:szCs w:val="24"/>
        </w:rPr>
        <w:t xml:space="preserve"> International Workshop on Clinical Pharmacology of HIV &amp; Hepatitis Therapy</w:t>
      </w:r>
      <w:r>
        <w:rPr>
          <w:b w:val="0"/>
          <w:color w:val="000000"/>
          <w:sz w:val="24"/>
          <w:szCs w:val="24"/>
        </w:rPr>
        <w:t xml:space="preserve"> 2014. Washington, DC, USA. Abstract P_36</w:t>
      </w:r>
    </w:p>
    <w:p w:rsidR="00DA32D8" w:rsidRPr="00A95500" w:rsidRDefault="0041076F" w:rsidP="00497E56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3</w:t>
      </w:r>
      <w:r w:rsidR="004151D3" w:rsidRPr="00DA32D8">
        <w:rPr>
          <w:b w:val="0"/>
          <w:sz w:val="24"/>
          <w:szCs w:val="24"/>
        </w:rPr>
        <w:t xml:space="preserve"> </w:t>
      </w:r>
      <w:r w:rsidR="002A4E7A">
        <w:rPr>
          <w:b w:val="0"/>
          <w:sz w:val="24"/>
          <w:szCs w:val="24"/>
        </w:rPr>
        <w:t xml:space="preserve">Elliot </w:t>
      </w:r>
      <w:r w:rsidR="002A4E7A" w:rsidRPr="00497E56">
        <w:rPr>
          <w:b w:val="0"/>
          <w:i/>
          <w:sz w:val="24"/>
          <w:szCs w:val="24"/>
        </w:rPr>
        <w:t>et al</w:t>
      </w:r>
      <w:r w:rsidR="002A4E7A">
        <w:rPr>
          <w:b w:val="0"/>
          <w:sz w:val="24"/>
          <w:szCs w:val="24"/>
        </w:rPr>
        <w:t xml:space="preserve">. </w:t>
      </w:r>
      <w:r w:rsidR="002A4E7A" w:rsidRPr="00497E56">
        <w:rPr>
          <w:b w:val="0"/>
          <w:i/>
          <w:sz w:val="24"/>
          <w:szCs w:val="24"/>
        </w:rPr>
        <w:t xml:space="preserve">J </w:t>
      </w:r>
      <w:proofErr w:type="spellStart"/>
      <w:r w:rsidR="002A4E7A" w:rsidRPr="00497E56">
        <w:rPr>
          <w:b w:val="0"/>
          <w:i/>
          <w:sz w:val="24"/>
          <w:szCs w:val="24"/>
        </w:rPr>
        <w:t>Antimicrob</w:t>
      </w:r>
      <w:proofErr w:type="spellEnd"/>
      <w:r w:rsidR="002A4E7A" w:rsidRPr="00497E56">
        <w:rPr>
          <w:b w:val="0"/>
          <w:i/>
          <w:sz w:val="24"/>
          <w:szCs w:val="24"/>
        </w:rPr>
        <w:t xml:space="preserve"> </w:t>
      </w:r>
      <w:proofErr w:type="spellStart"/>
      <w:r w:rsidR="002A4E7A" w:rsidRPr="00497E56">
        <w:rPr>
          <w:b w:val="0"/>
          <w:i/>
          <w:sz w:val="24"/>
          <w:szCs w:val="24"/>
        </w:rPr>
        <w:t>Chemother</w:t>
      </w:r>
      <w:proofErr w:type="spellEnd"/>
      <w:r w:rsidR="002A4E7A">
        <w:rPr>
          <w:b w:val="0"/>
          <w:sz w:val="24"/>
          <w:szCs w:val="24"/>
        </w:rPr>
        <w:t xml:space="preserve"> 2016; 71 (</w:t>
      </w:r>
      <w:r w:rsidR="00497E56" w:rsidRPr="00497E56">
        <w:rPr>
          <w:sz w:val="24"/>
          <w:szCs w:val="24"/>
        </w:rPr>
        <w:t>4</w:t>
      </w:r>
      <w:r w:rsidR="002A4E7A">
        <w:rPr>
          <w:b w:val="0"/>
          <w:sz w:val="24"/>
          <w:szCs w:val="24"/>
        </w:rPr>
        <w:t>): 1031-36</w:t>
      </w:r>
    </w:p>
    <w:p w:rsidR="00DA32D8" w:rsidRDefault="0041076F" w:rsidP="00497E56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vertAlign w:val="superscript"/>
        </w:rPr>
        <w:t>4</w:t>
      </w:r>
      <w:r w:rsidR="00DA32D8" w:rsidRPr="00A95500">
        <w:rPr>
          <w:b w:val="0"/>
          <w:color w:val="000000"/>
          <w:sz w:val="24"/>
          <w:szCs w:val="24"/>
        </w:rPr>
        <w:t xml:space="preserve"> Zhang </w:t>
      </w:r>
      <w:r w:rsidR="00DA32D8" w:rsidRPr="00A95500">
        <w:rPr>
          <w:b w:val="0"/>
          <w:i/>
          <w:color w:val="000000"/>
          <w:sz w:val="24"/>
          <w:szCs w:val="24"/>
        </w:rPr>
        <w:t>et al</w:t>
      </w:r>
      <w:r w:rsidR="00DA32D8" w:rsidRPr="00A95500">
        <w:rPr>
          <w:b w:val="0"/>
          <w:color w:val="000000"/>
          <w:sz w:val="24"/>
          <w:szCs w:val="24"/>
        </w:rPr>
        <w:t xml:space="preserve">. </w:t>
      </w:r>
      <w:r w:rsidR="00DA32D8" w:rsidRPr="00A95500">
        <w:rPr>
          <w:b w:val="0"/>
          <w:i/>
          <w:color w:val="000000"/>
          <w:sz w:val="24"/>
          <w:szCs w:val="24"/>
        </w:rPr>
        <w:t>Br J Clin Pharmacol</w:t>
      </w:r>
      <w:r w:rsidR="00DA32D8" w:rsidRPr="00A95500">
        <w:rPr>
          <w:b w:val="0"/>
          <w:color w:val="000000"/>
          <w:sz w:val="24"/>
          <w:szCs w:val="24"/>
        </w:rPr>
        <w:t xml:space="preserve"> 201</w:t>
      </w:r>
      <w:r w:rsidR="002A4E7A">
        <w:rPr>
          <w:b w:val="0"/>
          <w:color w:val="000000"/>
          <w:sz w:val="24"/>
          <w:szCs w:val="24"/>
        </w:rPr>
        <w:t>5</w:t>
      </w:r>
      <w:r w:rsidR="00DA32D8" w:rsidRPr="00A95500">
        <w:rPr>
          <w:b w:val="0"/>
          <w:color w:val="000000"/>
          <w:sz w:val="24"/>
          <w:szCs w:val="24"/>
        </w:rPr>
        <w:t xml:space="preserve">; </w:t>
      </w:r>
      <w:r w:rsidR="002A4E7A">
        <w:rPr>
          <w:b w:val="0"/>
          <w:color w:val="000000"/>
          <w:sz w:val="24"/>
          <w:szCs w:val="24"/>
        </w:rPr>
        <w:t>80</w:t>
      </w:r>
      <w:r w:rsidR="005D3891" w:rsidRPr="00A95500">
        <w:rPr>
          <w:b w:val="0"/>
          <w:color w:val="000000"/>
          <w:sz w:val="24"/>
          <w:szCs w:val="24"/>
        </w:rPr>
        <w:t xml:space="preserve"> (</w:t>
      </w:r>
      <w:r w:rsidR="002A4E7A">
        <w:rPr>
          <w:color w:val="000000"/>
          <w:sz w:val="24"/>
          <w:szCs w:val="24"/>
        </w:rPr>
        <w:t>3</w:t>
      </w:r>
      <w:r w:rsidR="005D3891" w:rsidRPr="00A95500">
        <w:rPr>
          <w:b w:val="0"/>
          <w:color w:val="000000"/>
          <w:sz w:val="24"/>
          <w:szCs w:val="24"/>
        </w:rPr>
        <w:t xml:space="preserve">): </w:t>
      </w:r>
      <w:r w:rsidR="002A4E7A">
        <w:rPr>
          <w:b w:val="0"/>
          <w:color w:val="000000"/>
          <w:sz w:val="24"/>
          <w:szCs w:val="24"/>
        </w:rPr>
        <w:t>502</w:t>
      </w:r>
      <w:r w:rsidR="005D3891" w:rsidRPr="00A95500">
        <w:rPr>
          <w:b w:val="0"/>
          <w:color w:val="000000"/>
          <w:sz w:val="24"/>
          <w:szCs w:val="24"/>
        </w:rPr>
        <w:t>-</w:t>
      </w:r>
      <w:r w:rsidR="002A4E7A">
        <w:rPr>
          <w:b w:val="0"/>
          <w:color w:val="000000"/>
          <w:sz w:val="24"/>
          <w:szCs w:val="24"/>
        </w:rPr>
        <w:t>14</w:t>
      </w:r>
    </w:p>
    <w:p w:rsidR="00FA4EB0" w:rsidRDefault="00FA4EB0" w:rsidP="001E4F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A4EB0" w:rsidSect="00F2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08"/>
    <w:rsid w:val="00011591"/>
    <w:rsid w:val="00030EDD"/>
    <w:rsid w:val="00033E5D"/>
    <w:rsid w:val="00047663"/>
    <w:rsid w:val="00051672"/>
    <w:rsid w:val="00070F34"/>
    <w:rsid w:val="00077CB6"/>
    <w:rsid w:val="00077EBC"/>
    <w:rsid w:val="00097312"/>
    <w:rsid w:val="000B3C9D"/>
    <w:rsid w:val="000D1FFE"/>
    <w:rsid w:val="000E7B1D"/>
    <w:rsid w:val="00107039"/>
    <w:rsid w:val="00107E31"/>
    <w:rsid w:val="001229DF"/>
    <w:rsid w:val="0012423B"/>
    <w:rsid w:val="0014448F"/>
    <w:rsid w:val="00146BD3"/>
    <w:rsid w:val="0015351D"/>
    <w:rsid w:val="001555A4"/>
    <w:rsid w:val="00194CC8"/>
    <w:rsid w:val="001A2619"/>
    <w:rsid w:val="001E4F0F"/>
    <w:rsid w:val="001F3E9D"/>
    <w:rsid w:val="0020000F"/>
    <w:rsid w:val="00202B91"/>
    <w:rsid w:val="002237D3"/>
    <w:rsid w:val="00240E3C"/>
    <w:rsid w:val="00285A7C"/>
    <w:rsid w:val="00290380"/>
    <w:rsid w:val="002A4E7A"/>
    <w:rsid w:val="002A7A3E"/>
    <w:rsid w:val="002D3585"/>
    <w:rsid w:val="002D556F"/>
    <w:rsid w:val="002E6F31"/>
    <w:rsid w:val="003076AC"/>
    <w:rsid w:val="00317C81"/>
    <w:rsid w:val="003257E4"/>
    <w:rsid w:val="00353D99"/>
    <w:rsid w:val="003649C7"/>
    <w:rsid w:val="00373433"/>
    <w:rsid w:val="003A6A09"/>
    <w:rsid w:val="003B19FD"/>
    <w:rsid w:val="003B268A"/>
    <w:rsid w:val="003F0C0D"/>
    <w:rsid w:val="0041076F"/>
    <w:rsid w:val="00413222"/>
    <w:rsid w:val="004151D3"/>
    <w:rsid w:val="00420CA7"/>
    <w:rsid w:val="00497E56"/>
    <w:rsid w:val="004B2628"/>
    <w:rsid w:val="004B598F"/>
    <w:rsid w:val="004D2A16"/>
    <w:rsid w:val="004F1918"/>
    <w:rsid w:val="004F4258"/>
    <w:rsid w:val="00545CD8"/>
    <w:rsid w:val="0055481F"/>
    <w:rsid w:val="00596CFB"/>
    <w:rsid w:val="005A0EAB"/>
    <w:rsid w:val="005C1E56"/>
    <w:rsid w:val="005D1DF0"/>
    <w:rsid w:val="005D3891"/>
    <w:rsid w:val="006022E2"/>
    <w:rsid w:val="00636D04"/>
    <w:rsid w:val="00682CD8"/>
    <w:rsid w:val="0069061B"/>
    <w:rsid w:val="006B1B5F"/>
    <w:rsid w:val="006C047E"/>
    <w:rsid w:val="006E08CA"/>
    <w:rsid w:val="00701EA5"/>
    <w:rsid w:val="00702779"/>
    <w:rsid w:val="007375E8"/>
    <w:rsid w:val="00777A05"/>
    <w:rsid w:val="00794CBD"/>
    <w:rsid w:val="00797B31"/>
    <w:rsid w:val="007C2627"/>
    <w:rsid w:val="007F321D"/>
    <w:rsid w:val="008377BB"/>
    <w:rsid w:val="00844289"/>
    <w:rsid w:val="008878AC"/>
    <w:rsid w:val="008E1DF4"/>
    <w:rsid w:val="008E4368"/>
    <w:rsid w:val="008E7289"/>
    <w:rsid w:val="00935402"/>
    <w:rsid w:val="0098282C"/>
    <w:rsid w:val="00A05D88"/>
    <w:rsid w:val="00A2363F"/>
    <w:rsid w:val="00A23A24"/>
    <w:rsid w:val="00A4011A"/>
    <w:rsid w:val="00A828D5"/>
    <w:rsid w:val="00A95500"/>
    <w:rsid w:val="00A972D3"/>
    <w:rsid w:val="00AA4F28"/>
    <w:rsid w:val="00AB09FD"/>
    <w:rsid w:val="00AB3F7E"/>
    <w:rsid w:val="00AC0365"/>
    <w:rsid w:val="00AC4E4A"/>
    <w:rsid w:val="00AF4A6B"/>
    <w:rsid w:val="00B10ADF"/>
    <w:rsid w:val="00B329EA"/>
    <w:rsid w:val="00B41D08"/>
    <w:rsid w:val="00B442C3"/>
    <w:rsid w:val="00B46193"/>
    <w:rsid w:val="00B4620A"/>
    <w:rsid w:val="00B52479"/>
    <w:rsid w:val="00B53BF8"/>
    <w:rsid w:val="00B57C30"/>
    <w:rsid w:val="00B6457A"/>
    <w:rsid w:val="00B77A1A"/>
    <w:rsid w:val="00B86837"/>
    <w:rsid w:val="00BC618C"/>
    <w:rsid w:val="00BD371D"/>
    <w:rsid w:val="00BD7BC0"/>
    <w:rsid w:val="00C37574"/>
    <w:rsid w:val="00C61CDD"/>
    <w:rsid w:val="00C86294"/>
    <w:rsid w:val="00CB3D10"/>
    <w:rsid w:val="00CD23E9"/>
    <w:rsid w:val="00CE6BAA"/>
    <w:rsid w:val="00CF1F7D"/>
    <w:rsid w:val="00CF3464"/>
    <w:rsid w:val="00D61521"/>
    <w:rsid w:val="00D62127"/>
    <w:rsid w:val="00D71137"/>
    <w:rsid w:val="00D96E56"/>
    <w:rsid w:val="00DA26F7"/>
    <w:rsid w:val="00DA32D8"/>
    <w:rsid w:val="00DC09E5"/>
    <w:rsid w:val="00DC2527"/>
    <w:rsid w:val="00DC692A"/>
    <w:rsid w:val="00DC7BC5"/>
    <w:rsid w:val="00E06C6C"/>
    <w:rsid w:val="00E13711"/>
    <w:rsid w:val="00E14716"/>
    <w:rsid w:val="00E45D41"/>
    <w:rsid w:val="00E526D3"/>
    <w:rsid w:val="00E62BE6"/>
    <w:rsid w:val="00E670B2"/>
    <w:rsid w:val="00EB0D53"/>
    <w:rsid w:val="00EB4BF0"/>
    <w:rsid w:val="00ED4B55"/>
    <w:rsid w:val="00EE19FA"/>
    <w:rsid w:val="00EE1BDA"/>
    <w:rsid w:val="00F004D8"/>
    <w:rsid w:val="00F2591C"/>
    <w:rsid w:val="00F33CD1"/>
    <w:rsid w:val="00F52E18"/>
    <w:rsid w:val="00F76AA7"/>
    <w:rsid w:val="00F9153C"/>
    <w:rsid w:val="00FA240D"/>
    <w:rsid w:val="00FA4EB0"/>
    <w:rsid w:val="00FA79BE"/>
    <w:rsid w:val="00FB0457"/>
    <w:rsid w:val="00FB401A"/>
    <w:rsid w:val="00FC5F43"/>
    <w:rsid w:val="00FD1F63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6F49EF-1D81-4887-AE94-867FC90F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32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F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0553-751B-41DA-878F-7488859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laurad</dc:creator>
  <cp:lastModifiedBy>Dickinson, Laura</cp:lastModifiedBy>
  <cp:revision>2</cp:revision>
  <cp:lastPrinted>2014-06-26T14:50:00Z</cp:lastPrinted>
  <dcterms:created xsi:type="dcterms:W3CDTF">2016-07-08T12:40:00Z</dcterms:created>
  <dcterms:modified xsi:type="dcterms:W3CDTF">2016-07-08T12:40:00Z</dcterms:modified>
</cp:coreProperties>
</file>