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2A012" w14:textId="52FAA52A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iCs/>
          <w:color w:val="000000"/>
          <w:sz w:val="30"/>
          <w:szCs w:val="30"/>
        </w:rPr>
      </w:pPr>
      <w:r w:rsidRPr="00221A2E">
        <w:rPr>
          <w:iCs/>
          <w:color w:val="000000"/>
          <w:sz w:val="48"/>
          <w:szCs w:val="48"/>
        </w:rPr>
        <w:t>Patterns of infant mortality in rural</w:t>
      </w:r>
      <w:r w:rsidR="00221A2E">
        <w:rPr>
          <w:iCs/>
          <w:color w:val="000000"/>
          <w:sz w:val="48"/>
          <w:szCs w:val="48"/>
        </w:rPr>
        <w:t xml:space="preserve"> </w:t>
      </w:r>
      <w:r w:rsidRPr="00221A2E">
        <w:rPr>
          <w:iCs/>
          <w:color w:val="000000"/>
          <w:sz w:val="48"/>
          <w:szCs w:val="48"/>
        </w:rPr>
        <w:t>England and Wales, 1850–1910</w:t>
      </w:r>
      <w:r w:rsidRPr="00221A2E">
        <w:rPr>
          <w:iCs/>
          <w:color w:val="000000"/>
          <w:sz w:val="30"/>
          <w:szCs w:val="30"/>
        </w:rPr>
        <w:t>†</w:t>
      </w:r>
    </w:p>
    <w:p w14:paraId="5FE9EE17" w14:textId="77777777" w:rsidR="00221A2E" w:rsidRDefault="00221A2E" w:rsidP="00175367">
      <w:pPr>
        <w:autoSpaceDE w:val="0"/>
        <w:autoSpaceDN w:val="0"/>
        <w:adjustRightInd w:val="0"/>
        <w:spacing w:after="0" w:line="240" w:lineRule="auto"/>
      </w:pPr>
    </w:p>
    <w:p w14:paraId="0AAD40E0" w14:textId="6D0B272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rFonts w:eastAsia="MS Gothic"/>
        </w:rPr>
      </w:pPr>
      <w:r w:rsidRPr="005E37B5">
        <w:t xml:space="preserve">By </w:t>
      </w:r>
      <w:r w:rsidR="00221A2E" w:rsidRPr="005E37B5">
        <w:t>Paul Atkinson, Brian Francis, Ian Gregory,</w:t>
      </w:r>
      <w:r w:rsidR="00221A2E">
        <w:t xml:space="preserve"> a</w:t>
      </w:r>
      <w:r w:rsidR="00221A2E" w:rsidRPr="005E37B5">
        <w:t>nd Catherine Porter</w:t>
      </w:r>
      <w:r w:rsidRPr="005E37B5">
        <w:rPr>
          <w:rFonts w:ascii="Cambria Math" w:eastAsia="MS Gothic" w:hAnsi="Cambria Math" w:cs="Cambria Math"/>
        </w:rPr>
        <w:t>∗</w:t>
      </w:r>
    </w:p>
    <w:p w14:paraId="1E938105" w14:textId="77777777" w:rsidR="00E92800" w:rsidRPr="005E37B5" w:rsidRDefault="00E92800" w:rsidP="00175367">
      <w:pPr>
        <w:autoSpaceDE w:val="0"/>
        <w:autoSpaceDN w:val="0"/>
        <w:adjustRightInd w:val="0"/>
        <w:spacing w:after="0" w:line="240" w:lineRule="auto"/>
        <w:rPr>
          <w:rFonts w:eastAsia="MTSY"/>
        </w:rPr>
      </w:pPr>
    </w:p>
    <w:p w14:paraId="3BC1B40D" w14:textId="4B7D332B" w:rsidR="00175367" w:rsidRDefault="007B0584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7B0584">
        <w:rPr>
          <w:color w:val="000000"/>
          <w:u w:val="single"/>
        </w:rPr>
        <w:t>Abstract</w:t>
      </w:r>
      <w:r>
        <w:rPr>
          <w:color w:val="000000"/>
        </w:rPr>
        <w:t xml:space="preserve">: </w:t>
      </w:r>
      <w:r w:rsidR="00175367" w:rsidRPr="00221A2E">
        <w:rPr>
          <w:color w:val="000000"/>
        </w:rPr>
        <w:t>The study of nineteenth-century infant mortality in Britain has neglected the rural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dimension to a surprising degree. This article</w:t>
      </w:r>
      <w:r w:rsidR="00E31A20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maps the change in infant mortality rate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(IMR) between the 1850s and the 1900s at registration district (RD) level. Latent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 xml:space="preserve">trajectory analysis, a longitudinal </w:t>
      </w:r>
      <w:proofErr w:type="gramStart"/>
      <w:r w:rsidR="00175367" w:rsidRPr="00221A2E">
        <w:rPr>
          <w:color w:val="000000"/>
        </w:rPr>
        <w:t>model based</w:t>
      </w:r>
      <w:proofErr w:type="gramEnd"/>
      <w:r w:rsidR="00175367" w:rsidRPr="00221A2E">
        <w:rPr>
          <w:color w:val="000000"/>
        </w:rPr>
        <w:t xml:space="preserve"> clustering method, is used to identify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the clusters into which rural RDs fell, based on their IMR trajectories. Relationships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between IMR and population density, fertility, female tuberculosis mortality, female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illiteracy, male agricultural wages, and distance from London are examined in a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longitudinal study. The tuberculosis (maternal health), illiteracy (education), and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distance variables had the most effect. IMR responded most strongly to improving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health and education in the east, less in the central area, and least in the north and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west. The eastern zone’s higher-than-average mid-century infant mortality therefore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declined faster than the national average. A central and southern zone had slightly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lower IMRs in mid-century but did not keep up with the rate of decline in the east.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The peripheral north and west had the lowest mid-century rates but their decline was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overtaken by the other zones. The interpretation of these findings and their relevance</w:t>
      </w:r>
      <w:r w:rsidR="00221A2E" w:rsidRPr="00221A2E">
        <w:rPr>
          <w:color w:val="000000"/>
        </w:rPr>
        <w:t xml:space="preserve"> </w:t>
      </w:r>
      <w:r w:rsidR="00175367" w:rsidRPr="00221A2E">
        <w:rPr>
          <w:color w:val="000000"/>
        </w:rPr>
        <w:t>to the wider study of infant mortality are discussed.</w:t>
      </w:r>
    </w:p>
    <w:p w14:paraId="4F82BB2D" w14:textId="1D20D768" w:rsidR="003F61E2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0FF48202" w14:textId="322C364F" w:rsidR="007B0584" w:rsidRDefault="007B0584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652C3549" w14:textId="77777777" w:rsidR="007B0584" w:rsidRPr="00221A2E" w:rsidRDefault="007B0584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094BF4C4" w14:textId="2EFAA7D5" w:rsid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E215A6">
        <w:rPr>
          <w:color w:val="000000"/>
          <w:sz w:val="22"/>
          <w:szCs w:val="22"/>
        </w:rPr>
        <w:t>While nineteenth-century infant mortality in Britain has been extensively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studied, the rural dimension has been neglected to a surprising degree.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Strongly influenced by Woods et al.’s demonstration that urban change was the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main influence on the national infant mortality rate (IMR),</w:t>
      </w:r>
      <w:r w:rsidR="00F05ED1" w:rsidRP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most work has focussed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on the urban dimension.</w:t>
      </w:r>
      <w:r w:rsidRPr="00E215A6">
        <w:rPr>
          <w:color w:val="000000"/>
          <w:sz w:val="22"/>
          <w:szCs w:val="22"/>
          <w:vertAlign w:val="superscript"/>
        </w:rPr>
        <w:t>1</w:t>
      </w:r>
      <w:r w:rsidRPr="00E215A6">
        <w:rPr>
          <w:color w:val="000000"/>
          <w:sz w:val="22"/>
          <w:szCs w:val="22"/>
        </w:rPr>
        <w:t xml:space="preserve"> The emphasis has been on the ‘urban penalty’, imposed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chiefly by sanitation that was inadequate for dense populations, and visible above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all in infant mortality from diarrhoea.</w:t>
      </w:r>
      <w:r w:rsidRPr="00E215A6">
        <w:rPr>
          <w:color w:val="000000"/>
          <w:sz w:val="22"/>
          <w:szCs w:val="22"/>
          <w:vertAlign w:val="superscript"/>
        </w:rPr>
        <w:t>2</w:t>
      </w:r>
      <w:r w:rsidRPr="00E215A6">
        <w:rPr>
          <w:color w:val="000000"/>
          <w:sz w:val="22"/>
          <w:szCs w:val="22"/>
        </w:rPr>
        <w:t xml:space="preserve"> The idea that infant mortality was lower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in rural areas was implicit in discussion of an ‘urban penalty’, and some studies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have quantified this difference.</w:t>
      </w:r>
      <w:r w:rsidRPr="00E215A6">
        <w:rPr>
          <w:color w:val="000000"/>
          <w:sz w:val="22"/>
          <w:szCs w:val="22"/>
          <w:vertAlign w:val="superscript"/>
        </w:rPr>
        <w:t>3</w:t>
      </w:r>
      <w:r w:rsidRPr="00E215A6">
        <w:rPr>
          <w:color w:val="000000"/>
          <w:sz w:val="22"/>
          <w:szCs w:val="22"/>
        </w:rPr>
        <w:t xml:space="preserve"> Williams and Galley also examined the evidence</w:t>
      </w:r>
      <w:r w:rsidR="00E215A6">
        <w:rPr>
          <w:color w:val="000000"/>
          <w:sz w:val="22"/>
          <w:szCs w:val="22"/>
        </w:rPr>
        <w:t xml:space="preserve"> </w:t>
      </w:r>
      <w:r w:rsidRPr="00E215A6">
        <w:rPr>
          <w:color w:val="000000"/>
          <w:sz w:val="22"/>
          <w:szCs w:val="22"/>
        </w:rPr>
        <w:t>that diarrhoea-related infant deaths were a much smaller proportion of the total in</w:t>
      </w:r>
      <w:r w:rsidR="00E215A6">
        <w:rPr>
          <w:color w:val="000000"/>
          <w:sz w:val="22"/>
          <w:szCs w:val="22"/>
        </w:rPr>
        <w:t xml:space="preserve"> </w:t>
      </w:r>
    </w:p>
    <w:p w14:paraId="61056F8B" w14:textId="77777777" w:rsidR="00E215A6" w:rsidRDefault="00E215A6" w:rsidP="00175367">
      <w:pPr>
        <w:autoSpaceDE w:val="0"/>
        <w:autoSpaceDN w:val="0"/>
        <w:adjustRightInd w:val="0"/>
        <w:spacing w:after="0" w:line="240" w:lineRule="auto"/>
        <w:rPr>
          <w:rFonts w:ascii="Cambria Math" w:eastAsia="MS Gothic" w:hAnsi="Cambria Math" w:cs="Cambria Math"/>
          <w:color w:val="000000"/>
          <w:sz w:val="20"/>
          <w:szCs w:val="20"/>
        </w:rPr>
      </w:pPr>
    </w:p>
    <w:p w14:paraId="7ED62712" w14:textId="71D4BC62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rFonts w:ascii="Cambria Math" w:eastAsia="MS Gothic" w:hAnsi="Cambria Math" w:cs="Cambria Math"/>
          <w:color w:val="000000"/>
          <w:sz w:val="20"/>
          <w:szCs w:val="20"/>
        </w:rPr>
        <w:t>∗</w:t>
      </w:r>
      <w:r w:rsidRPr="00221A2E">
        <w:rPr>
          <w:color w:val="000000"/>
          <w:sz w:val="20"/>
          <w:szCs w:val="20"/>
        </w:rPr>
        <w:t>Author’s Affiliation: Lancaster University.</w:t>
      </w:r>
    </w:p>
    <w:p w14:paraId="10DFB731" w14:textId="77777777" w:rsidR="007B0584" w:rsidRDefault="007B0584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</w:p>
    <w:p w14:paraId="64DB3F16" w14:textId="56A19BB8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i/>
          <w:iCs/>
          <w:color w:val="000000"/>
          <w:sz w:val="20"/>
          <w:szCs w:val="20"/>
        </w:rPr>
        <w:t>†</w:t>
      </w:r>
      <w:r w:rsidRPr="00221A2E">
        <w:rPr>
          <w:color w:val="000000"/>
          <w:sz w:val="20"/>
          <w:szCs w:val="20"/>
        </w:rPr>
        <w:t>The research leading to these results has received funding from the European Research Council (ERC)</w:t>
      </w:r>
      <w:r w:rsidR="00221A2E">
        <w:rPr>
          <w:color w:val="000000"/>
          <w:sz w:val="20"/>
          <w:szCs w:val="20"/>
        </w:rPr>
        <w:t xml:space="preserve"> </w:t>
      </w:r>
      <w:r w:rsidRPr="00221A2E">
        <w:rPr>
          <w:color w:val="000000"/>
          <w:sz w:val="20"/>
          <w:szCs w:val="20"/>
        </w:rPr>
        <w:t>under the European Union’s Seventh Framework Programme (FP7/2007-2013)/ERC grant ‘Spatial humanities:</w:t>
      </w:r>
      <w:r w:rsidR="00221A2E">
        <w:rPr>
          <w:color w:val="000000"/>
          <w:sz w:val="20"/>
          <w:szCs w:val="20"/>
        </w:rPr>
        <w:t xml:space="preserve"> </w:t>
      </w:r>
      <w:r w:rsidRPr="00221A2E">
        <w:rPr>
          <w:color w:val="000000"/>
          <w:sz w:val="20"/>
          <w:szCs w:val="20"/>
        </w:rPr>
        <w:t>texts, GIS, places’ (agreement no. 283850). We wish to thank participants in seminars at the Local Population</w:t>
      </w:r>
      <w:r w:rsidR="00221A2E">
        <w:rPr>
          <w:color w:val="000000"/>
          <w:sz w:val="20"/>
          <w:szCs w:val="20"/>
        </w:rPr>
        <w:t xml:space="preserve"> </w:t>
      </w:r>
      <w:r w:rsidRPr="00221A2E">
        <w:rPr>
          <w:color w:val="000000"/>
          <w:sz w:val="20"/>
          <w:szCs w:val="20"/>
        </w:rPr>
        <w:t>Studies Society and the British Society for Population Studies, the International Union for the Scientific Study</w:t>
      </w:r>
      <w:r w:rsidR="00221A2E">
        <w:rPr>
          <w:color w:val="000000"/>
          <w:sz w:val="20"/>
          <w:szCs w:val="20"/>
        </w:rPr>
        <w:t xml:space="preserve"> </w:t>
      </w:r>
      <w:r w:rsidRPr="00221A2E">
        <w:rPr>
          <w:color w:val="000000"/>
          <w:sz w:val="20"/>
          <w:szCs w:val="20"/>
        </w:rPr>
        <w:t>of Population seminar on Spatial Analysis in Historical Demography, and three anonymous referees, for their</w:t>
      </w:r>
      <w:r w:rsidR="00221A2E">
        <w:rPr>
          <w:color w:val="000000"/>
          <w:sz w:val="20"/>
          <w:szCs w:val="20"/>
        </w:rPr>
        <w:t xml:space="preserve"> </w:t>
      </w:r>
      <w:r w:rsidRPr="00221A2E">
        <w:rPr>
          <w:color w:val="000000"/>
          <w:sz w:val="20"/>
          <w:szCs w:val="20"/>
        </w:rPr>
        <w:t>helpful advice and comments.</w:t>
      </w:r>
    </w:p>
    <w:p w14:paraId="4E232A7D" w14:textId="77777777" w:rsidR="00221A2E" w:rsidRPr="00221A2E" w:rsidRDefault="00221A2E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A1020CF" w14:textId="7DA0521F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color w:val="000000"/>
          <w:sz w:val="20"/>
          <w:szCs w:val="20"/>
        </w:rPr>
        <w:t>1 Woods and</w:t>
      </w:r>
      <w:r w:rsidR="00F05ED1">
        <w:rPr>
          <w:color w:val="000000"/>
          <w:sz w:val="20"/>
          <w:szCs w:val="20"/>
        </w:rPr>
        <w:t xml:space="preserve"> </w:t>
      </w:r>
      <w:r w:rsidRPr="00221A2E">
        <w:rPr>
          <w:color w:val="000000"/>
          <w:sz w:val="20"/>
          <w:szCs w:val="20"/>
        </w:rPr>
        <w:t>Woodward, ‘Mortality, poverty and the environment</w:t>
      </w:r>
      <w:proofErr w:type="gramStart"/>
      <w:r w:rsidRPr="00221A2E">
        <w:rPr>
          <w:color w:val="000000"/>
          <w:sz w:val="20"/>
          <w:szCs w:val="20"/>
        </w:rPr>
        <w:t>’;</w:t>
      </w:r>
      <w:proofErr w:type="spellStart"/>
      <w:r w:rsidRPr="00221A2E">
        <w:rPr>
          <w:color w:val="000000"/>
          <w:sz w:val="20"/>
          <w:szCs w:val="20"/>
        </w:rPr>
        <w:t>Woods</w:t>
      </w:r>
      <w:proofErr w:type="gramEnd"/>
      <w:r w:rsidRPr="00221A2E">
        <w:rPr>
          <w:color w:val="000000"/>
          <w:sz w:val="20"/>
          <w:szCs w:val="20"/>
        </w:rPr>
        <w:t>,Watterson</w:t>
      </w:r>
      <w:proofErr w:type="spellEnd"/>
      <w:r w:rsidRPr="00221A2E">
        <w:rPr>
          <w:color w:val="000000"/>
          <w:sz w:val="20"/>
          <w:szCs w:val="20"/>
        </w:rPr>
        <w:t>, and</w:t>
      </w:r>
      <w:r w:rsidR="00F05ED1">
        <w:rPr>
          <w:color w:val="000000"/>
          <w:sz w:val="20"/>
          <w:szCs w:val="20"/>
        </w:rPr>
        <w:t xml:space="preserve"> </w:t>
      </w:r>
      <w:r w:rsidRPr="00221A2E">
        <w:rPr>
          <w:color w:val="000000"/>
          <w:sz w:val="20"/>
          <w:szCs w:val="20"/>
        </w:rPr>
        <w:t>Woodward, ‘Causes</w:t>
      </w:r>
    </w:p>
    <w:p w14:paraId="67C77BAA" w14:textId="77777777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color w:val="000000"/>
          <w:sz w:val="20"/>
          <w:szCs w:val="20"/>
        </w:rPr>
        <w:t xml:space="preserve">of rapid infant mortality decline part 1’; </w:t>
      </w:r>
      <w:proofErr w:type="spellStart"/>
      <w:r w:rsidRPr="00221A2E">
        <w:rPr>
          <w:color w:val="000000"/>
          <w:sz w:val="20"/>
          <w:szCs w:val="20"/>
        </w:rPr>
        <w:t>eisdem</w:t>
      </w:r>
      <w:proofErr w:type="spellEnd"/>
      <w:r w:rsidRPr="00221A2E">
        <w:rPr>
          <w:color w:val="000000"/>
          <w:sz w:val="20"/>
          <w:szCs w:val="20"/>
        </w:rPr>
        <w:t>, ‘Causes of rapid infant mortality decline part 2’.</w:t>
      </w:r>
    </w:p>
    <w:p w14:paraId="6AE01A1F" w14:textId="77777777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color w:val="000000"/>
          <w:sz w:val="20"/>
          <w:szCs w:val="20"/>
        </w:rPr>
        <w:t xml:space="preserve">2 </w:t>
      </w:r>
      <w:proofErr w:type="spellStart"/>
      <w:r w:rsidRPr="00221A2E">
        <w:rPr>
          <w:color w:val="000000"/>
          <w:sz w:val="20"/>
          <w:szCs w:val="20"/>
        </w:rPr>
        <w:t>Szreter</w:t>
      </w:r>
      <w:proofErr w:type="spellEnd"/>
      <w:r w:rsidRPr="00221A2E">
        <w:rPr>
          <w:color w:val="000000"/>
          <w:sz w:val="20"/>
          <w:szCs w:val="20"/>
        </w:rPr>
        <w:t xml:space="preserve"> and Hardy, ‘Urban fertility and mortality patterns’, pp. 631–2; Millward and Bell, ‘Infant mortality’,</w:t>
      </w:r>
    </w:p>
    <w:p w14:paraId="325710A6" w14:textId="77777777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color w:val="000000"/>
          <w:sz w:val="20"/>
          <w:szCs w:val="20"/>
        </w:rPr>
        <w:t>p. 699.</w:t>
      </w:r>
    </w:p>
    <w:p w14:paraId="51266DAC" w14:textId="77777777" w:rsidR="00175367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color w:val="000000"/>
          <w:sz w:val="20"/>
          <w:szCs w:val="20"/>
        </w:rPr>
        <w:t>3 Millward and Bell, ‘Infant mortality’; Lee, ‘Regional inequalities’; Williams and Galley, ‘Urban–rural</w:t>
      </w:r>
    </w:p>
    <w:p w14:paraId="4A4A3042" w14:textId="61AEA6E6" w:rsidR="00E31A20" w:rsidRPr="00221A2E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21A2E">
        <w:rPr>
          <w:color w:val="000000"/>
          <w:sz w:val="20"/>
          <w:szCs w:val="20"/>
        </w:rPr>
        <w:t>differentials’.</w:t>
      </w:r>
    </w:p>
    <w:p w14:paraId="0445BB45" w14:textId="77777777" w:rsidR="00E31A20" w:rsidRPr="005E37B5" w:rsidRDefault="00E31A20">
      <w:pPr>
        <w:rPr>
          <w:color w:val="000000"/>
          <w:sz w:val="16"/>
          <w:szCs w:val="16"/>
        </w:rPr>
      </w:pPr>
      <w:r w:rsidRPr="005E37B5">
        <w:rPr>
          <w:color w:val="000000"/>
          <w:sz w:val="16"/>
          <w:szCs w:val="16"/>
        </w:rPr>
        <w:br w:type="page"/>
      </w:r>
    </w:p>
    <w:p w14:paraId="34DB6BFC" w14:textId="2DAFC8AC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lastRenderedPageBreak/>
        <w:t>rural areas.</w:t>
      </w:r>
      <w:r w:rsidRPr="005E37B5">
        <w:rPr>
          <w:color w:val="000000"/>
          <w:sz w:val="15"/>
          <w:szCs w:val="15"/>
        </w:rPr>
        <w:t xml:space="preserve">4 </w:t>
      </w:r>
      <w:r w:rsidRPr="005E37B5">
        <w:rPr>
          <w:color w:val="000000"/>
          <w:sz w:val="22"/>
          <w:szCs w:val="22"/>
        </w:rPr>
        <w:t>Most work, unfortunately, has treated the rural as an undifferentiated</w:t>
      </w:r>
    </w:p>
    <w:p w14:paraId="60CA76EA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whole and very little has been published about variation in IMR between rural</w:t>
      </w:r>
    </w:p>
    <w:p w14:paraId="5240DD1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places.</w:t>
      </w:r>
      <w:r w:rsidRPr="005E37B5">
        <w:rPr>
          <w:color w:val="000000"/>
          <w:sz w:val="15"/>
          <w:szCs w:val="15"/>
        </w:rPr>
        <w:t xml:space="preserve">5 </w:t>
      </w:r>
      <w:r w:rsidRPr="005E37B5">
        <w:rPr>
          <w:color w:val="000000"/>
          <w:sz w:val="22"/>
          <w:szCs w:val="22"/>
        </w:rPr>
        <w:t>This is surprising because the evolution of rural IMR in the second half of</w:t>
      </w:r>
    </w:p>
    <w:p w14:paraId="1D6E1B9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nineteenth century shows striking and unexpected patterns which offer insight</w:t>
      </w:r>
    </w:p>
    <w:p w14:paraId="242522BC" w14:textId="65537C8B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into infant mortality more generally.</w:t>
      </w:r>
    </w:p>
    <w:p w14:paraId="4EDDE079" w14:textId="77777777" w:rsidR="003F61E2" w:rsidRPr="005E37B5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3FB24696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Recent developments in rural history have greatly expanded our understanding</w:t>
      </w:r>
    </w:p>
    <w:p w14:paraId="354ABC7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factors closely bound up with infant mortality such as living standards, family</w:t>
      </w:r>
    </w:p>
    <w:p w14:paraId="0F2DD2A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formation, and gender roles.</w:t>
      </w:r>
      <w:r w:rsidRPr="005E37B5">
        <w:rPr>
          <w:color w:val="000000"/>
          <w:sz w:val="15"/>
          <w:szCs w:val="15"/>
        </w:rPr>
        <w:t xml:space="preserve">6 </w:t>
      </w:r>
      <w:r w:rsidRPr="005E37B5">
        <w:rPr>
          <w:color w:val="000000"/>
          <w:sz w:val="22"/>
          <w:szCs w:val="22"/>
        </w:rPr>
        <w:t xml:space="preserve">This rural literature has not yet added to </w:t>
      </w:r>
      <w:proofErr w:type="gramStart"/>
      <w:r w:rsidRPr="005E37B5">
        <w:rPr>
          <w:color w:val="000000"/>
          <w:sz w:val="22"/>
          <w:szCs w:val="22"/>
        </w:rPr>
        <w:t>our</w:t>
      </w:r>
      <w:proofErr w:type="gramEnd"/>
    </w:p>
    <w:p w14:paraId="6BF69F2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knowledge of infant mortality in a quantitative way, however. One of the greatest</w:t>
      </w:r>
    </w:p>
    <w:p w14:paraId="6F43FF7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strengths of Reay’s account of </w:t>
      </w:r>
      <w:r w:rsidRPr="005E37B5">
        <w:rPr>
          <w:i/>
          <w:iCs/>
          <w:color w:val="000000"/>
          <w:sz w:val="22"/>
          <w:szCs w:val="22"/>
        </w:rPr>
        <w:t xml:space="preserve">Rural </w:t>
      </w:r>
      <w:proofErr w:type="spellStart"/>
      <w:r w:rsidRPr="005E37B5">
        <w:rPr>
          <w:i/>
          <w:iCs/>
          <w:color w:val="000000"/>
          <w:sz w:val="22"/>
          <w:szCs w:val="22"/>
        </w:rPr>
        <w:t>Englands</w:t>
      </w:r>
      <w:proofErr w:type="spellEnd"/>
      <w:r w:rsidRPr="005E37B5">
        <w:rPr>
          <w:i/>
          <w:iCs/>
          <w:color w:val="000000"/>
          <w:sz w:val="22"/>
          <w:szCs w:val="22"/>
        </w:rPr>
        <w:t xml:space="preserve"> </w:t>
      </w:r>
      <w:r w:rsidRPr="005E37B5">
        <w:rPr>
          <w:color w:val="000000"/>
          <w:sz w:val="22"/>
          <w:szCs w:val="22"/>
        </w:rPr>
        <w:t>is his emphasis on diversity: in relation</w:t>
      </w:r>
    </w:p>
    <w:p w14:paraId="1EAB8A7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to IMR he notes Woods’s lack of sufficient attention to inter-rural contrasts, citing</w:t>
      </w:r>
    </w:p>
    <w:p w14:paraId="35EBA6D0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isolated examples from primary and secondary sources.</w:t>
      </w:r>
      <w:r w:rsidRPr="005E37B5">
        <w:rPr>
          <w:color w:val="000000"/>
          <w:sz w:val="15"/>
          <w:szCs w:val="15"/>
        </w:rPr>
        <w:t xml:space="preserve">7 </w:t>
      </w:r>
      <w:r w:rsidRPr="005E37B5">
        <w:rPr>
          <w:color w:val="000000"/>
          <w:sz w:val="22"/>
          <w:szCs w:val="22"/>
        </w:rPr>
        <w:t>These allow him to argue</w:t>
      </w:r>
    </w:p>
    <w:p w14:paraId="2C6B3A27" w14:textId="28C73FBC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that local peaks in IMR could result from rural manufacturing industries or</w:t>
      </w:r>
      <w:r w:rsidR="00E215A6">
        <w:rPr>
          <w:color w:val="000000"/>
          <w:sz w:val="22"/>
          <w:szCs w:val="22"/>
        </w:rPr>
        <w:t xml:space="preserve"> </w:t>
      </w:r>
      <w:r w:rsidRPr="005E37B5">
        <w:rPr>
          <w:color w:val="000000"/>
          <w:sz w:val="22"/>
          <w:szCs w:val="22"/>
        </w:rPr>
        <w:t>mining,</w:t>
      </w:r>
    </w:p>
    <w:p w14:paraId="28A2B3AD" w14:textId="30F96517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5E37B5">
        <w:rPr>
          <w:color w:val="000000"/>
          <w:sz w:val="22"/>
          <w:szCs w:val="22"/>
        </w:rPr>
        <w:t>but could also be found in ‘traditional rural hamlets’.</w:t>
      </w:r>
      <w:r w:rsidRPr="005E37B5">
        <w:rPr>
          <w:color w:val="000000"/>
          <w:sz w:val="15"/>
          <w:szCs w:val="15"/>
        </w:rPr>
        <w:t>8</w:t>
      </w:r>
    </w:p>
    <w:p w14:paraId="6AA7E2BE" w14:textId="77777777" w:rsidR="003F61E2" w:rsidRPr="005E37B5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</w:p>
    <w:p w14:paraId="04D3AE98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present study sets out to provide a more quantitative description for the</w:t>
      </w:r>
    </w:p>
    <w:p w14:paraId="47DDC048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use of future scholars. Section I presents new analyses of the spatial patterns of</w:t>
      </w:r>
    </w:p>
    <w:p w14:paraId="21265370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IMR and its evolution in rural England and Wales from the 1850s to the 1900s.</w:t>
      </w:r>
    </w:p>
    <w:p w14:paraId="565BBBE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This includes the use of latent trajectory analysis to pick out clusters of registration</w:t>
      </w:r>
    </w:p>
    <w:p w14:paraId="1843E94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districts (RDs) with similar IMR experience. Section II discusses possible factors</w:t>
      </w:r>
    </w:p>
    <w:p w14:paraId="00582AC6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affecting these rural patterns, while section III presents the results of a longitudinal</w:t>
      </w:r>
    </w:p>
    <w:p w14:paraId="516D9E55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analysis, using a mixed-effects model to look at change in RDs over time. Section</w:t>
      </w:r>
    </w:p>
    <w:p w14:paraId="756009C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IV uses the clusters of RDs to examine spatial patterns in the influences affecting</w:t>
      </w:r>
    </w:p>
    <w:p w14:paraId="0063286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IMR. Section V concludes.</w:t>
      </w:r>
    </w:p>
    <w:p w14:paraId="6CDE3FBA" w14:textId="2DB85F12" w:rsidR="003F61E2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1523EF89" w14:textId="77777777" w:rsidR="003F61E2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7711B17C" w14:textId="45B2867D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5E37B5">
        <w:rPr>
          <w:color w:val="000000"/>
        </w:rPr>
        <w:t>I</w:t>
      </w:r>
    </w:p>
    <w:p w14:paraId="15D02957" w14:textId="77777777" w:rsidR="003F61E2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CD2D97B" w14:textId="253FA601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first maps of later nineteenth-century IMR at RD level for Victorian England</w:t>
      </w:r>
    </w:p>
    <w:p w14:paraId="3FEE407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and Wales were published by Woods and Shelton: their discussion concentrated</w:t>
      </w:r>
    </w:p>
    <w:p w14:paraId="322AF32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on towns, but also noted rural zones in eastern England and west Cornwall with</w:t>
      </w:r>
    </w:p>
    <w:p w14:paraId="34BF4A0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an IMR over 160 and a contrasting rural zone with an IMR below 100 (when</w:t>
      </w:r>
    </w:p>
    <w:p w14:paraId="2986E79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mean was about 150), mostly in remote districts.</w:t>
      </w:r>
      <w:r w:rsidRPr="005E37B5">
        <w:rPr>
          <w:color w:val="000000"/>
          <w:sz w:val="15"/>
          <w:szCs w:val="15"/>
        </w:rPr>
        <w:t xml:space="preserve">9 </w:t>
      </w:r>
      <w:r w:rsidRPr="005E37B5">
        <w:rPr>
          <w:color w:val="000000"/>
          <w:sz w:val="22"/>
          <w:szCs w:val="22"/>
        </w:rPr>
        <w:t>Following Wrigley et al.,</w:t>
      </w:r>
    </w:p>
    <w:p w14:paraId="376FAD40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Woods and Shelton felt that these lowest IMRs could have existed for centuries</w:t>
      </w:r>
    </w:p>
    <w:p w14:paraId="525653D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and might represent the best that a pre-industrial population could achieve in</w:t>
      </w:r>
    </w:p>
    <w:p w14:paraId="54DAD53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England.</w:t>
      </w:r>
      <w:r w:rsidRPr="005E37B5">
        <w:rPr>
          <w:color w:val="000000"/>
          <w:sz w:val="15"/>
          <w:szCs w:val="15"/>
        </w:rPr>
        <w:t xml:space="preserve">10 </w:t>
      </w:r>
      <w:r w:rsidRPr="005E37B5">
        <w:rPr>
          <w:color w:val="000000"/>
          <w:sz w:val="22"/>
          <w:szCs w:val="22"/>
        </w:rPr>
        <w:t>Gregory used the Great Britain Historical Geographical Information</w:t>
      </w:r>
    </w:p>
    <w:p w14:paraId="6A3279B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System (GBHGIS) to explore rural patterns in more detail, showing that patterns</w:t>
      </w:r>
    </w:p>
    <w:p w14:paraId="2D74606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infant mortality decline in different parts of the country were more complex</w:t>
      </w:r>
    </w:p>
    <w:p w14:paraId="64A36A7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than had previously been described.</w:t>
      </w:r>
      <w:r w:rsidRPr="005E37B5">
        <w:rPr>
          <w:color w:val="000000"/>
          <w:sz w:val="15"/>
          <w:szCs w:val="15"/>
        </w:rPr>
        <w:t xml:space="preserve">11 </w:t>
      </w:r>
      <w:r w:rsidRPr="005E37B5">
        <w:rPr>
          <w:color w:val="000000"/>
          <w:sz w:val="22"/>
          <w:szCs w:val="22"/>
        </w:rPr>
        <w:t>Here we extend Gregory’s approach, again</w:t>
      </w:r>
    </w:p>
    <w:p w14:paraId="6C376A22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using the GBHGIS data to show </w:t>
      </w:r>
      <w:r w:rsidRPr="007B0584">
        <w:rPr>
          <w:color w:val="000000"/>
          <w:sz w:val="20"/>
          <w:szCs w:val="20"/>
        </w:rPr>
        <w:t>the</w:t>
      </w:r>
      <w:r w:rsidRPr="005E37B5">
        <w:rPr>
          <w:color w:val="000000"/>
          <w:sz w:val="22"/>
          <w:szCs w:val="22"/>
        </w:rPr>
        <w:t xml:space="preserve"> evolution of the IMR at RD level.</w:t>
      </w:r>
    </w:p>
    <w:p w14:paraId="2D96D57F" w14:textId="77777777" w:rsidR="003F61E2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0"/>
          <w:szCs w:val="10"/>
        </w:rPr>
      </w:pPr>
    </w:p>
    <w:p w14:paraId="4240097A" w14:textId="77777777" w:rsidR="003F61E2" w:rsidRDefault="003F61E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0"/>
          <w:szCs w:val="10"/>
        </w:rPr>
      </w:pPr>
    </w:p>
    <w:p w14:paraId="24EF8893" w14:textId="0E893EEF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4 Williams and Galley, ‘Urban–rural differentials’, pp. 412–16.</w:t>
      </w:r>
    </w:p>
    <w:p w14:paraId="14572A60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 xml:space="preserve">5 Woods and Hinde, ‘Mortality in Victorian </w:t>
      </w:r>
      <w:proofErr w:type="spellStart"/>
      <w:r w:rsidRPr="007B0584">
        <w:rPr>
          <w:color w:val="000000"/>
          <w:sz w:val="20"/>
          <w:szCs w:val="20"/>
        </w:rPr>
        <w:t>England</w:t>
      </w:r>
      <w:proofErr w:type="gramStart"/>
      <w:r w:rsidRPr="007B0584">
        <w:rPr>
          <w:color w:val="000000"/>
          <w:sz w:val="20"/>
          <w:szCs w:val="20"/>
        </w:rPr>
        <w:t>’;Woods</w:t>
      </w:r>
      <w:proofErr w:type="spellEnd"/>
      <w:proofErr w:type="gramEnd"/>
      <w:r w:rsidRPr="007B0584">
        <w:rPr>
          <w:color w:val="000000"/>
          <w:sz w:val="20"/>
          <w:szCs w:val="20"/>
        </w:rPr>
        <w:t xml:space="preserve"> and Shelton, </w:t>
      </w:r>
      <w:r w:rsidRPr="007B0584">
        <w:rPr>
          <w:i/>
          <w:iCs/>
          <w:color w:val="000000"/>
          <w:sz w:val="20"/>
          <w:szCs w:val="20"/>
        </w:rPr>
        <w:t>Atlas of Victorian mortality</w:t>
      </w:r>
      <w:r w:rsidRPr="007B0584">
        <w:rPr>
          <w:color w:val="000000"/>
          <w:sz w:val="20"/>
          <w:szCs w:val="20"/>
        </w:rPr>
        <w:t>; Sneddon,</w:t>
      </w:r>
    </w:p>
    <w:p w14:paraId="6F01567A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‘Double penalty?’; Gregory, ‘Different places’.</w:t>
      </w:r>
    </w:p>
    <w:p w14:paraId="215F699A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 xml:space="preserve">6 See particularly Snell, </w:t>
      </w:r>
      <w:r w:rsidRPr="007B0584">
        <w:rPr>
          <w:i/>
          <w:iCs/>
          <w:color w:val="000000"/>
          <w:sz w:val="20"/>
          <w:szCs w:val="20"/>
        </w:rPr>
        <w:t>Annals of the labouring poor</w:t>
      </w:r>
      <w:r w:rsidRPr="007B0584">
        <w:rPr>
          <w:color w:val="000000"/>
          <w:sz w:val="20"/>
          <w:szCs w:val="20"/>
        </w:rPr>
        <w:t xml:space="preserve">; Howkins, </w:t>
      </w:r>
      <w:r w:rsidRPr="007B0584">
        <w:rPr>
          <w:i/>
          <w:iCs/>
          <w:color w:val="000000"/>
          <w:sz w:val="20"/>
          <w:szCs w:val="20"/>
        </w:rPr>
        <w:t>Reshaping rural England</w:t>
      </w:r>
      <w:r w:rsidRPr="007B0584">
        <w:rPr>
          <w:color w:val="000000"/>
          <w:sz w:val="20"/>
          <w:szCs w:val="20"/>
        </w:rPr>
        <w:t xml:space="preserve">; Short, ed., </w:t>
      </w:r>
      <w:r w:rsidRPr="007B0584">
        <w:rPr>
          <w:i/>
          <w:iCs/>
          <w:color w:val="000000"/>
          <w:sz w:val="20"/>
          <w:szCs w:val="20"/>
        </w:rPr>
        <w:t>English rural</w:t>
      </w:r>
    </w:p>
    <w:p w14:paraId="64630658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i/>
          <w:iCs/>
          <w:color w:val="000000"/>
          <w:sz w:val="20"/>
          <w:szCs w:val="20"/>
        </w:rPr>
        <w:t>community</w:t>
      </w:r>
      <w:r w:rsidRPr="007B0584">
        <w:rPr>
          <w:color w:val="000000"/>
          <w:sz w:val="20"/>
          <w:szCs w:val="20"/>
        </w:rPr>
        <w:t xml:space="preserve">; Verdon, </w:t>
      </w:r>
      <w:r w:rsidRPr="007B0584">
        <w:rPr>
          <w:i/>
          <w:iCs/>
          <w:color w:val="000000"/>
          <w:sz w:val="20"/>
          <w:szCs w:val="20"/>
        </w:rPr>
        <w:t>Rural women workers</w:t>
      </w:r>
      <w:r w:rsidRPr="007B0584">
        <w:rPr>
          <w:color w:val="000000"/>
          <w:sz w:val="20"/>
          <w:szCs w:val="20"/>
        </w:rPr>
        <w:t xml:space="preserve">; Reay, </w:t>
      </w:r>
      <w:r w:rsidRPr="007B0584">
        <w:rPr>
          <w:i/>
          <w:iCs/>
          <w:color w:val="000000"/>
          <w:sz w:val="20"/>
          <w:szCs w:val="20"/>
        </w:rPr>
        <w:t xml:space="preserve">Rural </w:t>
      </w:r>
      <w:proofErr w:type="spellStart"/>
      <w:r w:rsidRPr="007B0584">
        <w:rPr>
          <w:i/>
          <w:iCs/>
          <w:color w:val="000000"/>
          <w:sz w:val="20"/>
          <w:szCs w:val="20"/>
        </w:rPr>
        <w:t>Englands</w:t>
      </w:r>
      <w:proofErr w:type="spellEnd"/>
      <w:r w:rsidRPr="007B0584">
        <w:rPr>
          <w:color w:val="000000"/>
          <w:sz w:val="20"/>
          <w:szCs w:val="20"/>
        </w:rPr>
        <w:t>.</w:t>
      </w:r>
    </w:p>
    <w:p w14:paraId="45F75029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 xml:space="preserve">7 Reay, </w:t>
      </w:r>
      <w:r w:rsidRPr="007B0584">
        <w:rPr>
          <w:i/>
          <w:iCs/>
          <w:color w:val="000000"/>
          <w:sz w:val="20"/>
          <w:szCs w:val="20"/>
        </w:rPr>
        <w:t xml:space="preserve">Rural </w:t>
      </w:r>
      <w:proofErr w:type="spellStart"/>
      <w:r w:rsidRPr="007B0584">
        <w:rPr>
          <w:i/>
          <w:iCs/>
          <w:color w:val="000000"/>
          <w:sz w:val="20"/>
          <w:szCs w:val="20"/>
        </w:rPr>
        <w:t>Englands</w:t>
      </w:r>
      <w:proofErr w:type="spellEnd"/>
      <w:r w:rsidRPr="007B0584">
        <w:rPr>
          <w:color w:val="000000"/>
          <w:sz w:val="20"/>
          <w:szCs w:val="20"/>
        </w:rPr>
        <w:t>, pp. 105–7.</w:t>
      </w:r>
    </w:p>
    <w:p w14:paraId="3BCB07D7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8 Ibid., p. 106.</w:t>
      </w:r>
    </w:p>
    <w:p w14:paraId="76F89FDD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 xml:space="preserve">9 Woods and Shelton, </w:t>
      </w:r>
      <w:r w:rsidRPr="007B0584">
        <w:rPr>
          <w:i/>
          <w:iCs/>
          <w:color w:val="000000"/>
          <w:sz w:val="20"/>
          <w:szCs w:val="20"/>
        </w:rPr>
        <w:t>Atlas of Victorian mortality</w:t>
      </w:r>
      <w:r w:rsidRPr="007B0584">
        <w:rPr>
          <w:color w:val="000000"/>
          <w:sz w:val="20"/>
          <w:szCs w:val="20"/>
        </w:rPr>
        <w:t>, pp. 47–53.</w:t>
      </w:r>
    </w:p>
    <w:p w14:paraId="3B19DC8B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 xml:space="preserve">10 Wrigley, Davies, </w:t>
      </w:r>
      <w:proofErr w:type="spellStart"/>
      <w:r w:rsidRPr="007B0584">
        <w:rPr>
          <w:color w:val="000000"/>
          <w:sz w:val="20"/>
          <w:szCs w:val="20"/>
        </w:rPr>
        <w:t>Oeppen</w:t>
      </w:r>
      <w:proofErr w:type="spellEnd"/>
      <w:r w:rsidRPr="007B0584">
        <w:rPr>
          <w:color w:val="000000"/>
          <w:sz w:val="20"/>
          <w:szCs w:val="20"/>
        </w:rPr>
        <w:t xml:space="preserve">, and Schofield, </w:t>
      </w:r>
      <w:r w:rsidRPr="007B0584">
        <w:rPr>
          <w:i/>
          <w:iCs/>
          <w:color w:val="000000"/>
          <w:sz w:val="20"/>
          <w:szCs w:val="20"/>
        </w:rPr>
        <w:t>English population history</w:t>
      </w:r>
      <w:r w:rsidRPr="007B0584">
        <w:rPr>
          <w:color w:val="000000"/>
          <w:sz w:val="20"/>
          <w:szCs w:val="20"/>
        </w:rPr>
        <w:t xml:space="preserve">, especially </w:t>
      </w:r>
      <w:proofErr w:type="spellStart"/>
      <w:r w:rsidRPr="007B0584">
        <w:rPr>
          <w:color w:val="000000"/>
          <w:sz w:val="20"/>
          <w:szCs w:val="20"/>
        </w:rPr>
        <w:t>ch.</w:t>
      </w:r>
      <w:proofErr w:type="spellEnd"/>
      <w:r w:rsidRPr="007B0584">
        <w:rPr>
          <w:color w:val="000000"/>
          <w:sz w:val="20"/>
          <w:szCs w:val="20"/>
        </w:rPr>
        <w:t xml:space="preserve"> 6.</w:t>
      </w:r>
    </w:p>
    <w:p w14:paraId="6A2E92B1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11 Gregory, ‘Different places’; Gregory, Bennett, Gilham, and Southall, ‘Great Britain historical GIS’, pp. 37–49;</w:t>
      </w:r>
    </w:p>
    <w:p w14:paraId="3AD92380" w14:textId="49AEFFF7" w:rsidR="00E31A20" w:rsidRPr="005E37B5" w:rsidRDefault="00175367" w:rsidP="007B0584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7B0584">
        <w:rPr>
          <w:color w:val="000000"/>
          <w:sz w:val="20"/>
          <w:szCs w:val="20"/>
        </w:rPr>
        <w:t>Southall, Gilbert, and Gregory, ‘Census statistics’.</w:t>
      </w:r>
      <w:r w:rsidR="00E31A20" w:rsidRPr="005E37B5">
        <w:rPr>
          <w:color w:val="000000"/>
          <w:sz w:val="22"/>
          <w:szCs w:val="22"/>
        </w:rPr>
        <w:br w:type="page"/>
      </w:r>
    </w:p>
    <w:p w14:paraId="635A73E3" w14:textId="022E0742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selection of RDs is a compromise between the greater definition offered</w:t>
      </w:r>
    </w:p>
    <w:p w14:paraId="201CAFCC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by registration sub-districts and the availability of data for our different variables</w:t>
      </w:r>
    </w:p>
    <w:p w14:paraId="0790E0E8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over the chosen period. Decades were chosen because this, too, made more data</w:t>
      </w:r>
    </w:p>
    <w:p w14:paraId="5C10D5C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available, allowing the use of cause of death as one of our independent variables.</w:t>
      </w:r>
    </w:p>
    <w:p w14:paraId="0CE7428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(The Registrar-General’s data series on deaths by cause at RD level is only available</w:t>
      </w:r>
    </w:p>
    <w:p w14:paraId="1EEF6D0A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in his Decennial Supplements.</w:t>
      </w:r>
      <w:r w:rsidRPr="005E37B5">
        <w:rPr>
          <w:color w:val="000000"/>
          <w:sz w:val="15"/>
          <w:szCs w:val="15"/>
        </w:rPr>
        <w:t>12</w:t>
      </w:r>
      <w:r w:rsidRPr="005E37B5">
        <w:rPr>
          <w:color w:val="000000"/>
          <w:sz w:val="22"/>
          <w:szCs w:val="22"/>
        </w:rPr>
        <w:t>) Our study considers ‘rural’ RDs only. To select</w:t>
      </w:r>
    </w:p>
    <w:p w14:paraId="6236DD1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these objectively, following Gregory, we ranked all RDs by population density into</w:t>
      </w:r>
    </w:p>
    <w:p w14:paraId="6DCDA27C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eight classes, whose boundaries were created using nested means of the populations</w:t>
      </w:r>
    </w:p>
    <w:p w14:paraId="04DF600B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all RDs in all six decades.</w:t>
      </w:r>
      <w:r w:rsidRPr="005E37B5">
        <w:rPr>
          <w:color w:val="000000"/>
          <w:sz w:val="15"/>
          <w:szCs w:val="15"/>
        </w:rPr>
        <w:t xml:space="preserve">13 </w:t>
      </w:r>
      <w:r w:rsidRPr="005E37B5">
        <w:rPr>
          <w:color w:val="000000"/>
          <w:sz w:val="22"/>
          <w:szCs w:val="22"/>
        </w:rPr>
        <w:t>The two lowest classes form our rural RDs, and</w:t>
      </w:r>
    </w:p>
    <w:p w14:paraId="0874362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have a population density below 183 persons per square kilometre. To be included</w:t>
      </w:r>
    </w:p>
    <w:p w14:paraId="6D4F2E5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in the study, an RD had to remain below this threshold throughout the period.</w:t>
      </w:r>
    </w:p>
    <w:p w14:paraId="11B0CEB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(We also excluded 14 RDs for which there were missing data and 23 affected by</w:t>
      </w:r>
    </w:p>
    <w:p w14:paraId="46F61A1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mergers and divisions.) Our study therefore covered 363 RDs, containing 47 per</w:t>
      </w:r>
    </w:p>
    <w:p w14:paraId="6A54C51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cent of the English and Welsh population in 1861, and 22 per cent in 1911.</w:t>
      </w:r>
    </w:p>
    <w:p w14:paraId="622C91A3" w14:textId="77777777" w:rsidR="007B0584" w:rsidRDefault="007B058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511AF008" w14:textId="4C57DFAB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Although ‘there is no agreed area which can be seen as “rural”’, our proportion</w:t>
      </w:r>
    </w:p>
    <w:p w14:paraId="11773E7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the population treated as rural accords quite closely with the views of other,</w:t>
      </w:r>
    </w:p>
    <w:p w14:paraId="26A45A16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including contemporary, scholars, and with contemporary labelling of places</w:t>
      </w:r>
    </w:p>
    <w:p w14:paraId="0A20C55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as towns and as urban or rural districts.</w:t>
      </w:r>
      <w:r w:rsidRPr="005E37B5">
        <w:rPr>
          <w:color w:val="000000"/>
          <w:sz w:val="15"/>
          <w:szCs w:val="15"/>
        </w:rPr>
        <w:t xml:space="preserve">14 </w:t>
      </w:r>
      <w:r w:rsidRPr="005E37B5">
        <w:rPr>
          <w:color w:val="000000"/>
          <w:sz w:val="22"/>
          <w:szCs w:val="22"/>
        </w:rPr>
        <w:t>For comparison, using an arbitrary</w:t>
      </w:r>
    </w:p>
    <w:p w14:paraId="263ED7F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population density of 100 persons per square kilometre, the key paper by Woods</w:t>
      </w:r>
    </w:p>
    <w:p w14:paraId="53F1191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et al. produced a comparable set of 320 rural RDs.</w:t>
      </w:r>
      <w:r w:rsidRPr="005E37B5">
        <w:rPr>
          <w:color w:val="000000"/>
          <w:sz w:val="15"/>
          <w:szCs w:val="15"/>
        </w:rPr>
        <w:t xml:space="preserve">15 </w:t>
      </w:r>
      <w:r w:rsidRPr="005E37B5">
        <w:rPr>
          <w:color w:val="000000"/>
          <w:sz w:val="22"/>
          <w:szCs w:val="22"/>
        </w:rPr>
        <w:t xml:space="preserve">We are confident that </w:t>
      </w:r>
      <w:proofErr w:type="gramStart"/>
      <w:r w:rsidRPr="005E37B5">
        <w:rPr>
          <w:color w:val="000000"/>
          <w:sz w:val="22"/>
          <w:szCs w:val="22"/>
        </w:rPr>
        <w:t>our</w:t>
      </w:r>
      <w:proofErr w:type="gramEnd"/>
    </w:p>
    <w:p w14:paraId="635D78A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set of rural places would be recognized as such by contemporaries and by other</w:t>
      </w:r>
    </w:p>
    <w:p w14:paraId="13EB6A7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scholars. We note that analysis at RD level does not fully escape the problem of</w:t>
      </w:r>
    </w:p>
    <w:p w14:paraId="495FA34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non-homogeneity of our areal units. All rural RDs contained at least one town:</w:t>
      </w:r>
    </w:p>
    <w:p w14:paraId="7508C5E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larger examples include Lincoln and Aberystwyth. Where the urban proportion</w:t>
      </w:r>
    </w:p>
    <w:p w14:paraId="6C9CC4D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a rural RD’s population grew, urban factors will have played a growing part in</w:t>
      </w:r>
    </w:p>
    <w:p w14:paraId="5539816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RD’s IMR performance. For a study of a whole country, however, the RD is a</w:t>
      </w:r>
    </w:p>
    <w:p w14:paraId="1A25C63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good compromise between accuracy and data availability: not all the covariates of</w:t>
      </w:r>
    </w:p>
    <w:p w14:paraId="36316972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interest </w:t>
      </w:r>
      <w:proofErr w:type="gramStart"/>
      <w:r w:rsidRPr="005E37B5">
        <w:rPr>
          <w:color w:val="000000"/>
          <w:sz w:val="22"/>
          <w:szCs w:val="22"/>
        </w:rPr>
        <w:t>are</w:t>
      </w:r>
      <w:proofErr w:type="gramEnd"/>
      <w:r w:rsidRPr="005E37B5">
        <w:rPr>
          <w:color w:val="000000"/>
          <w:sz w:val="22"/>
          <w:szCs w:val="22"/>
        </w:rPr>
        <w:t xml:space="preserve"> available for areas smaller than </w:t>
      </w:r>
      <w:proofErr w:type="spellStart"/>
      <w:r w:rsidRPr="005E37B5">
        <w:rPr>
          <w:color w:val="000000"/>
          <w:sz w:val="22"/>
          <w:szCs w:val="22"/>
        </w:rPr>
        <w:t>RDs.</w:t>
      </w:r>
      <w:proofErr w:type="spellEnd"/>
    </w:p>
    <w:p w14:paraId="307871D9" w14:textId="77777777" w:rsidR="007B0584" w:rsidRDefault="007B058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20A708DE" w14:textId="62DC1758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To set the scene for the discussion that follows, figure 1 presents the change in</w:t>
      </w:r>
    </w:p>
    <w:p w14:paraId="430BE6F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IMR for each rural RD between the 1850s and the 1900s. In the broadest terms,</w:t>
      </w:r>
    </w:p>
    <w:p w14:paraId="3AA7918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IMR fell fastest to the south of a line from the Humber to the Severn, but the</w:t>
      </w:r>
    </w:p>
    <w:p w14:paraId="4986CA0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picture is more nuanced than this. The biggest improvements are, unsurprisingly,</w:t>
      </w:r>
    </w:p>
    <w:p w14:paraId="53021EA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to be seen in areas that had a relatively high IMR in the 1850s, simply because</w:t>
      </w:r>
    </w:p>
    <w:p w14:paraId="135FB768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they had more room for improvement: these include the Fenland districts noted</w:t>
      </w:r>
    </w:p>
    <w:p w14:paraId="5A0BBB1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by Woods and Shelton but also extend south and west through Cambridgeshire</w:t>
      </w:r>
    </w:p>
    <w:p w14:paraId="0F16396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and parts of Bedfordshire, Buckinghamshire, and Northamptonshire. In the Fens,</w:t>
      </w:r>
    </w:p>
    <w:p w14:paraId="62A5E808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typical IMRs fell from the 180s to the 100s: in these other places from the 160s to</w:t>
      </w:r>
    </w:p>
    <w:p w14:paraId="11C36828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80s. The Fenlands were characterized in mid-century by the rapid reclamation</w:t>
      </w:r>
    </w:p>
    <w:p w14:paraId="107F739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land for arable cultivation such as vegetables; this called for large amounts of</w:t>
      </w:r>
    </w:p>
    <w:p w14:paraId="04813B86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female labour of a particularly intense type. We believe this may have been an</w:t>
      </w:r>
    </w:p>
    <w:p w14:paraId="2E3BEF4B" w14:textId="77777777" w:rsidR="007B0584" w:rsidRDefault="007B058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CD53FD8" w14:textId="599E7002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 xml:space="preserve">12 We acknowledge the work of David </w:t>
      </w:r>
      <w:proofErr w:type="spellStart"/>
      <w:r w:rsidRPr="007B0584">
        <w:rPr>
          <w:color w:val="000000"/>
          <w:sz w:val="20"/>
          <w:szCs w:val="20"/>
        </w:rPr>
        <w:t>Gatley</w:t>
      </w:r>
      <w:proofErr w:type="spellEnd"/>
      <w:r w:rsidRPr="007B0584">
        <w:rPr>
          <w:color w:val="000000"/>
          <w:sz w:val="20"/>
          <w:szCs w:val="20"/>
        </w:rPr>
        <w:t xml:space="preserve"> in transcribing this material into the GBHGIS; see </w:t>
      </w:r>
      <w:proofErr w:type="spellStart"/>
      <w:r w:rsidRPr="007B0584">
        <w:rPr>
          <w:color w:val="000000"/>
          <w:sz w:val="20"/>
          <w:szCs w:val="20"/>
        </w:rPr>
        <w:t>Gatley</w:t>
      </w:r>
      <w:proofErr w:type="spellEnd"/>
      <w:r w:rsidRPr="007B0584">
        <w:rPr>
          <w:color w:val="000000"/>
          <w:sz w:val="20"/>
          <w:szCs w:val="20"/>
        </w:rPr>
        <w:t>,</w:t>
      </w:r>
    </w:p>
    <w:p w14:paraId="4BFF3C33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‘Computerising the 1861 census’.</w:t>
      </w:r>
    </w:p>
    <w:p w14:paraId="19B55EC0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13 Population densities are calculated from the GBHGIS using totals at the end of each decade. The mean</w:t>
      </w:r>
    </w:p>
    <w:p w14:paraId="5E00A6A4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population density of all districts at every date was taken as the middle subdivision to create two classes. The</w:t>
      </w:r>
    </w:p>
    <w:p w14:paraId="5A05D8F0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averages of those above the mean and those below the mean were then used to subdivide these further, creating</w:t>
      </w:r>
    </w:p>
    <w:p w14:paraId="2D605697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four classes, and this was repeated again to create eight; Gregory, ‘Different places’, p. 778.</w:t>
      </w:r>
    </w:p>
    <w:p w14:paraId="63E6ABCE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14 Short, ‘Rural demography’, p. 1236.</w:t>
      </w:r>
    </w:p>
    <w:p w14:paraId="2359EC95" w14:textId="77777777" w:rsidR="00175367" w:rsidRPr="007B058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B0584">
        <w:rPr>
          <w:color w:val="000000"/>
          <w:sz w:val="20"/>
          <w:szCs w:val="20"/>
        </w:rPr>
        <w:t>15 Woods et al., ‘Causes of rapid infant mortality decline, part 2’, p. 127.</w:t>
      </w:r>
    </w:p>
    <w:p w14:paraId="5B4E6E04" w14:textId="77777777" w:rsidR="00900C32" w:rsidRPr="005E37B5" w:rsidRDefault="00900C32">
      <w:pPr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br w:type="page"/>
      </w:r>
    </w:p>
    <w:p w14:paraId="0D794F74" w14:textId="4DA052A9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Figure 1. </w:t>
      </w:r>
      <w:r w:rsidRPr="005E37B5">
        <w:rPr>
          <w:i/>
          <w:iCs/>
          <w:color w:val="000000"/>
          <w:sz w:val="22"/>
          <w:szCs w:val="22"/>
        </w:rPr>
        <w:t>Per cent change in IMR, 1850s–1900s (rural RDs: quintiles)</w:t>
      </w:r>
    </w:p>
    <w:p w14:paraId="1A8FEB2C" w14:textId="71B86C32" w:rsidR="0065587C" w:rsidRDefault="0065587C" w:rsidP="00175367">
      <w:pPr>
        <w:autoSpaceDE w:val="0"/>
        <w:autoSpaceDN w:val="0"/>
        <w:adjustRightInd w:val="0"/>
        <w:spacing w:after="0" w:line="240" w:lineRule="auto"/>
        <w:rPr>
          <w:rFonts w:ascii="Plantin-Italic" w:hAnsi="Plantin-Italic" w:cs="Plantin-Italic"/>
          <w:i/>
          <w:iCs/>
          <w:color w:val="000000"/>
          <w:sz w:val="22"/>
          <w:szCs w:val="22"/>
        </w:rPr>
      </w:pPr>
      <w:r w:rsidRPr="0065587C">
        <w:rPr>
          <w:rFonts w:ascii="Plantin-Italic" w:hAnsi="Plantin-Italic" w:cs="Plantin-Italic"/>
          <w:i/>
          <w:iCs/>
          <w:noProof/>
          <w:color w:val="000000"/>
          <w:sz w:val="22"/>
          <w:szCs w:val="22"/>
        </w:rPr>
        <w:drawing>
          <wp:inline distT="0" distB="0" distL="0" distR="0" wp14:anchorId="36AED846" wp14:editId="7A87AC8C">
            <wp:extent cx="5562600" cy="6403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6" cy="640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D895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4"/>
          <w:szCs w:val="14"/>
        </w:rPr>
      </w:pPr>
      <w:r w:rsidRPr="005E37B5">
        <w:rPr>
          <w:i/>
          <w:iCs/>
          <w:color w:val="000000"/>
          <w:sz w:val="14"/>
          <w:szCs w:val="14"/>
        </w:rPr>
        <w:t xml:space="preserve">Notes: </w:t>
      </w:r>
      <w:r w:rsidRPr="005E37B5">
        <w:rPr>
          <w:color w:val="000000"/>
          <w:sz w:val="14"/>
          <w:szCs w:val="14"/>
        </w:rPr>
        <w:t xml:space="preserve">Greatest reduction: –60.5, greatest increase: </w:t>
      </w:r>
      <w:r w:rsidRPr="005E37B5">
        <w:rPr>
          <w:rFonts w:eastAsia="MTSY"/>
          <w:color w:val="000000"/>
          <w:sz w:val="14"/>
          <w:szCs w:val="14"/>
        </w:rPr>
        <w:t>+</w:t>
      </w:r>
      <w:r w:rsidRPr="005E37B5">
        <w:rPr>
          <w:color w:val="000000"/>
          <w:sz w:val="14"/>
          <w:szCs w:val="14"/>
        </w:rPr>
        <w:t xml:space="preserve">61.6, mean change: –14.2, standard deviation: 18.2, N </w:t>
      </w:r>
      <w:r w:rsidRPr="005E37B5">
        <w:rPr>
          <w:rFonts w:eastAsia="MTSY"/>
          <w:color w:val="000000"/>
          <w:sz w:val="14"/>
          <w:szCs w:val="14"/>
        </w:rPr>
        <w:t xml:space="preserve">= </w:t>
      </w:r>
      <w:r w:rsidRPr="005E37B5">
        <w:rPr>
          <w:color w:val="000000"/>
          <w:sz w:val="14"/>
          <w:szCs w:val="14"/>
        </w:rPr>
        <w:t>363.</w:t>
      </w:r>
    </w:p>
    <w:p w14:paraId="03266B8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4"/>
          <w:szCs w:val="14"/>
        </w:rPr>
      </w:pPr>
      <w:r w:rsidRPr="005E37B5">
        <w:rPr>
          <w:color w:val="000000"/>
          <w:sz w:val="14"/>
          <w:szCs w:val="14"/>
        </w:rPr>
        <w:t>Unshaded RDs are not rural, or data for them are unavailable</w:t>
      </w:r>
    </w:p>
    <w:p w14:paraId="73F7D1A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4"/>
          <w:szCs w:val="14"/>
        </w:rPr>
      </w:pPr>
      <w:r w:rsidRPr="005E37B5">
        <w:rPr>
          <w:i/>
          <w:iCs/>
          <w:color w:val="000000"/>
          <w:sz w:val="14"/>
          <w:szCs w:val="14"/>
        </w:rPr>
        <w:t xml:space="preserve">Source: </w:t>
      </w:r>
      <w:r w:rsidRPr="005E37B5">
        <w:rPr>
          <w:color w:val="000000"/>
          <w:sz w:val="14"/>
          <w:szCs w:val="14"/>
        </w:rPr>
        <w:t>Derived from GBHGIS.</w:t>
      </w:r>
    </w:p>
    <w:p w14:paraId="3B7ECF72" w14:textId="77777777" w:rsidR="00D87D80" w:rsidRPr="005E37B5" w:rsidRDefault="00D87D80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053268E1" w14:textId="6D38EA3B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obstacle to adequate child care, resulting in higher infant mortality.</w:t>
      </w:r>
      <w:r w:rsidRPr="005E37B5">
        <w:rPr>
          <w:color w:val="000000"/>
          <w:sz w:val="15"/>
          <w:szCs w:val="15"/>
        </w:rPr>
        <w:t xml:space="preserve">16 </w:t>
      </w:r>
      <w:r w:rsidRPr="005E37B5">
        <w:rPr>
          <w:color w:val="000000"/>
          <w:sz w:val="22"/>
          <w:szCs w:val="22"/>
        </w:rPr>
        <w:t>Elsewhere in</w:t>
      </w:r>
    </w:p>
    <w:p w14:paraId="79EE25B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south and east, women were increasingly excluded from the agricultural labour</w:t>
      </w:r>
    </w:p>
    <w:p w14:paraId="402A2DE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market, which was dominated by male wage-labour on arable farms. While this</w:t>
      </w:r>
    </w:p>
    <w:p w14:paraId="2D30E9E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avoided the problem of child care, it left them with a particularly low status within</w:t>
      </w:r>
    </w:p>
    <w:p w14:paraId="48898EEB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their households. We believe this limited their access to resources, resulting in</w:t>
      </w:r>
    </w:p>
    <w:p w14:paraId="603CA4F6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poorer diets, with adverse consequences for maternal health and infant mortality.</w:t>
      </w:r>
    </w:p>
    <w:p w14:paraId="108F4993" w14:textId="7012861A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By contrast, hardly anywhere north of York, in Wales, or in Devon or</w:t>
      </w:r>
      <w:r w:rsidR="007B0584">
        <w:rPr>
          <w:color w:val="000000"/>
          <w:sz w:val="22"/>
          <w:szCs w:val="22"/>
        </w:rPr>
        <w:t xml:space="preserve"> </w:t>
      </w:r>
      <w:r w:rsidRPr="005E37B5">
        <w:rPr>
          <w:color w:val="000000"/>
          <w:sz w:val="22"/>
          <w:szCs w:val="22"/>
        </w:rPr>
        <w:t>Cornwall (places whose 1850s IMRs were typically in the 100s or 110s) achieved</w:t>
      </w:r>
      <w:r w:rsidR="007B0584">
        <w:rPr>
          <w:color w:val="000000"/>
          <w:sz w:val="22"/>
          <w:szCs w:val="22"/>
        </w:rPr>
        <w:t xml:space="preserve"> </w:t>
      </w:r>
      <w:r w:rsidRPr="005E37B5">
        <w:rPr>
          <w:color w:val="000000"/>
          <w:sz w:val="22"/>
          <w:szCs w:val="22"/>
        </w:rPr>
        <w:t>improvements of more than 30 deaths per thousand. If this was the whole story we</w:t>
      </w:r>
    </w:p>
    <w:p w14:paraId="11AF7F1F" w14:textId="77777777" w:rsidR="007B0584" w:rsidRPr="005E37B5" w:rsidRDefault="007B058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62DB5E41" w14:textId="74762F52" w:rsidR="005247FA" w:rsidRPr="005E37B5" w:rsidRDefault="00175367" w:rsidP="008D50E4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7B0584">
        <w:rPr>
          <w:color w:val="000000"/>
          <w:sz w:val="20"/>
          <w:szCs w:val="20"/>
        </w:rPr>
        <w:t>16 Sneddon, ‘Double penalty?’, p. 95.</w:t>
      </w:r>
      <w:r w:rsidR="005247FA" w:rsidRPr="005E37B5">
        <w:rPr>
          <w:color w:val="000000"/>
          <w:sz w:val="22"/>
          <w:szCs w:val="22"/>
        </w:rPr>
        <w:br w:type="page"/>
      </w:r>
    </w:p>
    <w:p w14:paraId="3A602AA2" w14:textId="15CFE044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could conclude with Wrigley et al. that they had long ago achieved the best that</w:t>
      </w:r>
    </w:p>
    <w:p w14:paraId="165058C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could be done in pre-industrial circumstances. The question would then be why</w:t>
      </w:r>
    </w:p>
    <w:p w14:paraId="236B830C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these districts did not advance further after the 1850s once others to the south</w:t>
      </w:r>
    </w:p>
    <w:p w14:paraId="6E8F1D4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began to do so. In this northern and western zone, pastoral agriculture played a</w:t>
      </w:r>
    </w:p>
    <w:p w14:paraId="0363164C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much larger role. This preserved an eighteenth-century and older ‘family economy’</w:t>
      </w:r>
    </w:p>
    <w:p w14:paraId="0B5B0B7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longer than it lasted in the more capitalized farming of the arable zone, as Reay’s</w:t>
      </w:r>
    </w:p>
    <w:p w14:paraId="3ED4CF38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5E37B5">
        <w:rPr>
          <w:color w:val="000000"/>
          <w:sz w:val="22"/>
          <w:szCs w:val="22"/>
        </w:rPr>
        <w:t>calculations of the ‘family labour’ share of the agricultural workforce confirm.</w:t>
      </w:r>
      <w:r w:rsidRPr="005E37B5">
        <w:rPr>
          <w:color w:val="000000"/>
          <w:sz w:val="15"/>
          <w:szCs w:val="15"/>
        </w:rPr>
        <w:t>17</w:t>
      </w:r>
    </w:p>
    <w:p w14:paraId="051E6725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Snell saw this family economy as creating a more equal sexual division of labour</w:t>
      </w:r>
    </w:p>
    <w:p w14:paraId="7A67BB1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because it included more access to commons, more owner-occupiers and small</w:t>
      </w:r>
    </w:p>
    <w:p w14:paraId="7880B06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tenants, and less dependence on wage labour away from home:</w:t>
      </w:r>
      <w:r w:rsidRPr="005E37B5">
        <w:rPr>
          <w:color w:val="000000"/>
          <w:sz w:val="15"/>
          <w:szCs w:val="15"/>
        </w:rPr>
        <w:t xml:space="preserve">18 </w:t>
      </w:r>
      <w:r w:rsidRPr="005E37B5">
        <w:rPr>
          <w:color w:val="000000"/>
          <w:sz w:val="22"/>
          <w:szCs w:val="22"/>
        </w:rPr>
        <w:t>Verdon’s studies</w:t>
      </w:r>
    </w:p>
    <w:p w14:paraId="7BFD2E6B" w14:textId="750259FE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farm</w:t>
      </w:r>
      <w:r w:rsidR="008D50E4">
        <w:rPr>
          <w:color w:val="000000"/>
          <w:sz w:val="22"/>
          <w:szCs w:val="22"/>
        </w:rPr>
        <w:t xml:space="preserve"> </w:t>
      </w:r>
      <w:r w:rsidRPr="005E37B5">
        <w:rPr>
          <w:color w:val="000000"/>
          <w:sz w:val="22"/>
          <w:szCs w:val="22"/>
        </w:rPr>
        <w:t>records tell the same story.</w:t>
      </w:r>
      <w:r w:rsidRPr="005E37B5">
        <w:rPr>
          <w:color w:val="000000"/>
          <w:sz w:val="15"/>
          <w:szCs w:val="15"/>
        </w:rPr>
        <w:t xml:space="preserve">19 </w:t>
      </w:r>
      <w:r w:rsidRPr="005E37B5">
        <w:rPr>
          <w:color w:val="000000"/>
          <w:sz w:val="22"/>
          <w:szCs w:val="22"/>
        </w:rPr>
        <w:t>It is our view that this resulted in better female</w:t>
      </w:r>
    </w:p>
    <w:p w14:paraId="3AEAC392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diets and maternal health than experienced in the lowland zone, resulting in the</w:t>
      </w:r>
    </w:p>
    <w:p w14:paraId="5B5D85E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relatively low mid-century IMRs. There is a problematic subset of these remote</w:t>
      </w:r>
    </w:p>
    <w:p w14:paraId="2DE64B1B" w14:textId="76435331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RDs, where IMR </w:t>
      </w:r>
      <w:r w:rsidRPr="005E37B5">
        <w:rPr>
          <w:i/>
          <w:iCs/>
          <w:color w:val="000000"/>
          <w:sz w:val="22"/>
          <w:szCs w:val="22"/>
        </w:rPr>
        <w:t xml:space="preserve">increased </w:t>
      </w:r>
      <w:r w:rsidRPr="005E37B5">
        <w:rPr>
          <w:color w:val="000000"/>
          <w:sz w:val="22"/>
          <w:szCs w:val="22"/>
        </w:rPr>
        <w:t>between the 1850s and the 1900s. Places in north</w:t>
      </w:r>
      <w:r w:rsidR="008D50E4">
        <w:rPr>
          <w:color w:val="000000"/>
          <w:sz w:val="22"/>
          <w:szCs w:val="22"/>
        </w:rPr>
        <w:t xml:space="preserve"> </w:t>
      </w:r>
      <w:r w:rsidRPr="005E37B5">
        <w:rPr>
          <w:color w:val="000000"/>
          <w:sz w:val="22"/>
          <w:szCs w:val="22"/>
        </w:rPr>
        <w:t>Wales</w:t>
      </w:r>
    </w:p>
    <w:p w14:paraId="76DC0506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such as Ffestiniog and </w:t>
      </w:r>
      <w:proofErr w:type="spellStart"/>
      <w:r w:rsidRPr="005E37B5">
        <w:rPr>
          <w:color w:val="000000"/>
          <w:sz w:val="22"/>
          <w:szCs w:val="22"/>
        </w:rPr>
        <w:t>Corwen</w:t>
      </w:r>
      <w:proofErr w:type="spellEnd"/>
      <w:r w:rsidRPr="005E37B5">
        <w:rPr>
          <w:color w:val="000000"/>
          <w:sz w:val="22"/>
          <w:szCs w:val="22"/>
        </w:rPr>
        <w:t>, where the IMR was in the low 100s and rose by</w:t>
      </w:r>
    </w:p>
    <w:p w14:paraId="71B9BC8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proofErr w:type="gramStart"/>
      <w:r w:rsidRPr="005E37B5">
        <w:rPr>
          <w:color w:val="000000"/>
          <w:sz w:val="22"/>
          <w:szCs w:val="22"/>
        </w:rPr>
        <w:t>12 or more points,</w:t>
      </w:r>
      <w:proofErr w:type="gramEnd"/>
      <w:r w:rsidRPr="005E37B5">
        <w:rPr>
          <w:color w:val="000000"/>
          <w:sz w:val="22"/>
          <w:szCs w:val="22"/>
        </w:rPr>
        <w:t xml:space="preserve"> are typical of this group. Forming a significant exception to the</w:t>
      </w:r>
    </w:p>
    <w:p w14:paraId="7D83535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simple north–south divide just proposed, 21 RDs in Hampshire, Surrey, Sussex,</w:t>
      </w:r>
    </w:p>
    <w:p w14:paraId="32216D5A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and Kent improved by less than 30; these had more in common with the north and</w:t>
      </w:r>
    </w:p>
    <w:p w14:paraId="476CDE73" w14:textId="0FDB6AA0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west than with their Home Counties neighbours.</w:t>
      </w:r>
    </w:p>
    <w:p w14:paraId="6F963E49" w14:textId="77777777" w:rsidR="008D50E4" w:rsidRPr="005E37B5" w:rsidRDefault="008D50E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369EC9EE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It is also informative to use a statistical method to group the RDs whose IMR</w:t>
      </w:r>
    </w:p>
    <w:p w14:paraId="04B5755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trajectories were most similar. We used latent trajectory analysis, a longitudinal</w:t>
      </w:r>
    </w:p>
    <w:p w14:paraId="4064830C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model based clustering method, to do this.</w:t>
      </w:r>
      <w:r w:rsidRPr="005E37B5">
        <w:rPr>
          <w:color w:val="000000"/>
          <w:sz w:val="15"/>
          <w:szCs w:val="15"/>
        </w:rPr>
        <w:t xml:space="preserve">20 </w:t>
      </w:r>
      <w:r w:rsidRPr="005E37B5">
        <w:rPr>
          <w:color w:val="000000"/>
          <w:sz w:val="22"/>
          <w:szCs w:val="22"/>
        </w:rPr>
        <w:t>The number of clusters selected is</w:t>
      </w:r>
    </w:p>
    <w:p w14:paraId="6B042C6A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 trade-off between the Bayesian information criterion (BIC, a measure of the</w:t>
      </w:r>
    </w:p>
    <w:p w14:paraId="1A28BC2C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heterogeneity of the cluster, which declines as more clusters are used) and ease of</w:t>
      </w:r>
    </w:p>
    <w:p w14:paraId="27C7998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visualization. Our data show a strong decrease in BIC up to six classes, then slower</w:t>
      </w:r>
    </w:p>
    <w:p w14:paraId="2F5AD7EB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decline; we accordingly chose a seven-class model. Figure 2 shows the mean IMR</w:t>
      </w:r>
    </w:p>
    <w:p w14:paraId="4B1A2B76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trajectory of each of these clusters, and figure 3 shows the locations of the RDs of</w:t>
      </w:r>
    </w:p>
    <w:p w14:paraId="46022695" w14:textId="71E05F44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each cluster.</w:t>
      </w:r>
    </w:p>
    <w:p w14:paraId="47B3B182" w14:textId="77777777" w:rsidR="008D50E4" w:rsidRPr="005E37B5" w:rsidRDefault="008D50E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5B8EFE5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To a striking degree, the RDs which we clustered for their statistical similarity</w:t>
      </w:r>
    </w:p>
    <w:p w14:paraId="17C126A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also cluster spatially; rural England </w:t>
      </w:r>
      <w:proofErr w:type="spellStart"/>
      <w:r w:rsidRPr="005E37B5">
        <w:rPr>
          <w:color w:val="000000"/>
          <w:sz w:val="22"/>
          <w:szCs w:val="22"/>
        </w:rPr>
        <w:t>andWales</w:t>
      </w:r>
      <w:proofErr w:type="spellEnd"/>
      <w:r w:rsidRPr="005E37B5">
        <w:rPr>
          <w:color w:val="000000"/>
          <w:sz w:val="22"/>
          <w:szCs w:val="22"/>
        </w:rPr>
        <w:t xml:space="preserve"> had identifiable IMR zones. Further</w:t>
      </w:r>
    </w:p>
    <w:p w14:paraId="67F3B71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discussion of the significance of these clusters is postponed to section IV, where</w:t>
      </w:r>
    </w:p>
    <w:p w14:paraId="0BC3EDF0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IMR and its covariates are considered together.</w:t>
      </w:r>
    </w:p>
    <w:p w14:paraId="470CB966" w14:textId="77777777" w:rsidR="008D50E4" w:rsidRDefault="008D50E4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6BE257DD" w14:textId="77777777" w:rsidR="008D50E4" w:rsidRDefault="008D50E4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768BB7F9" w14:textId="60605D26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5E37B5">
        <w:rPr>
          <w:color w:val="000000"/>
        </w:rPr>
        <w:t>II</w:t>
      </w:r>
    </w:p>
    <w:p w14:paraId="579DEB7F" w14:textId="77777777" w:rsidR="008D50E4" w:rsidRDefault="008D50E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691DB69A" w14:textId="4E316288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In identifying possible covariates of IMR, our study design builds on </w:t>
      </w:r>
      <w:proofErr w:type="spellStart"/>
      <w:r w:rsidRPr="005E37B5">
        <w:rPr>
          <w:color w:val="000000"/>
          <w:sz w:val="22"/>
          <w:szCs w:val="22"/>
        </w:rPr>
        <w:t>earliermodels</w:t>
      </w:r>
      <w:proofErr w:type="spellEnd"/>
      <w:r w:rsidRPr="005E37B5">
        <w:rPr>
          <w:color w:val="000000"/>
          <w:sz w:val="22"/>
          <w:szCs w:val="22"/>
        </w:rPr>
        <w:t>.</w:t>
      </w:r>
    </w:p>
    <w:p w14:paraId="33F3288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Woods, Watterson, and Woodward discussed the influence of population density,</w:t>
      </w:r>
    </w:p>
    <w:p w14:paraId="1267BE0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fertility, and female literacy and concluded that all three were relevant for towns</w:t>
      </w:r>
    </w:p>
    <w:p w14:paraId="30F208B5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5E37B5">
        <w:rPr>
          <w:color w:val="000000"/>
          <w:sz w:val="22"/>
          <w:szCs w:val="22"/>
        </w:rPr>
        <w:t>and for the national aggregate; they did not report separate results for rural areas.</w:t>
      </w:r>
      <w:r w:rsidRPr="005E37B5">
        <w:rPr>
          <w:color w:val="000000"/>
          <w:sz w:val="15"/>
          <w:szCs w:val="15"/>
        </w:rPr>
        <w:t>21</w:t>
      </w:r>
    </w:p>
    <w:p w14:paraId="5044CC6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Williams and Galley drew attention to the advantages of separating the influences</w:t>
      </w:r>
    </w:p>
    <w:p w14:paraId="7A61DA7D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on IMR into maternal, home, and the wider ‘public environment’.</w:t>
      </w:r>
      <w:r w:rsidRPr="005E37B5">
        <w:rPr>
          <w:color w:val="000000"/>
          <w:sz w:val="15"/>
          <w:szCs w:val="15"/>
        </w:rPr>
        <w:t xml:space="preserve">22 </w:t>
      </w:r>
      <w:r w:rsidRPr="005E37B5">
        <w:rPr>
          <w:color w:val="000000"/>
          <w:sz w:val="22"/>
          <w:szCs w:val="22"/>
        </w:rPr>
        <w:t>Our design</w:t>
      </w:r>
    </w:p>
    <w:p w14:paraId="1707D62A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is particularly influenced by Millward and Bell, who looked at fertility, maternal</w:t>
      </w:r>
    </w:p>
    <w:p w14:paraId="08F59CCD" w14:textId="77777777" w:rsidR="008D50E4" w:rsidRDefault="008D50E4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0"/>
          <w:szCs w:val="10"/>
        </w:rPr>
      </w:pPr>
    </w:p>
    <w:p w14:paraId="22AFBA57" w14:textId="6551AA0D" w:rsidR="00175367" w:rsidRPr="008D50E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D50E4">
        <w:rPr>
          <w:color w:val="000000"/>
          <w:sz w:val="20"/>
          <w:szCs w:val="20"/>
        </w:rPr>
        <w:t xml:space="preserve">17 Reay, </w:t>
      </w:r>
      <w:r w:rsidRPr="008D50E4">
        <w:rPr>
          <w:i/>
          <w:iCs/>
          <w:color w:val="000000"/>
          <w:sz w:val="20"/>
          <w:szCs w:val="20"/>
        </w:rPr>
        <w:t xml:space="preserve">Rural </w:t>
      </w:r>
      <w:proofErr w:type="spellStart"/>
      <w:r w:rsidRPr="008D50E4">
        <w:rPr>
          <w:i/>
          <w:iCs/>
          <w:color w:val="000000"/>
          <w:sz w:val="20"/>
          <w:szCs w:val="20"/>
        </w:rPr>
        <w:t>Englands</w:t>
      </w:r>
      <w:proofErr w:type="spellEnd"/>
      <w:r w:rsidRPr="008D50E4">
        <w:rPr>
          <w:color w:val="000000"/>
          <w:sz w:val="20"/>
          <w:szCs w:val="20"/>
        </w:rPr>
        <w:t>, p. 24.</w:t>
      </w:r>
    </w:p>
    <w:p w14:paraId="4A8C4E1B" w14:textId="77777777" w:rsidR="00175367" w:rsidRPr="008D50E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D50E4">
        <w:rPr>
          <w:color w:val="000000"/>
          <w:sz w:val="20"/>
          <w:szCs w:val="20"/>
        </w:rPr>
        <w:t xml:space="preserve">18 Snell, </w:t>
      </w:r>
      <w:r w:rsidRPr="008D50E4">
        <w:rPr>
          <w:i/>
          <w:iCs/>
          <w:color w:val="000000"/>
          <w:sz w:val="20"/>
          <w:szCs w:val="20"/>
        </w:rPr>
        <w:t>Annals of the labouring poor</w:t>
      </w:r>
      <w:r w:rsidRPr="008D50E4">
        <w:rPr>
          <w:color w:val="000000"/>
          <w:sz w:val="20"/>
          <w:szCs w:val="20"/>
        </w:rPr>
        <w:t>, p. 62.</w:t>
      </w:r>
    </w:p>
    <w:p w14:paraId="039D4BFC" w14:textId="77777777" w:rsidR="00175367" w:rsidRPr="008D50E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D50E4">
        <w:rPr>
          <w:color w:val="000000"/>
          <w:sz w:val="20"/>
          <w:szCs w:val="20"/>
        </w:rPr>
        <w:t xml:space="preserve">19 Verdon, </w:t>
      </w:r>
      <w:r w:rsidRPr="008D50E4">
        <w:rPr>
          <w:i/>
          <w:iCs/>
          <w:color w:val="000000"/>
          <w:sz w:val="20"/>
          <w:szCs w:val="20"/>
        </w:rPr>
        <w:t>Rural women workers</w:t>
      </w:r>
      <w:r w:rsidRPr="008D50E4">
        <w:rPr>
          <w:color w:val="000000"/>
          <w:sz w:val="20"/>
          <w:szCs w:val="20"/>
        </w:rPr>
        <w:t>, p. 123.</w:t>
      </w:r>
    </w:p>
    <w:p w14:paraId="4478C4C9" w14:textId="77777777" w:rsidR="00175367" w:rsidRPr="008D50E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D50E4">
        <w:rPr>
          <w:color w:val="000000"/>
          <w:sz w:val="20"/>
          <w:szCs w:val="20"/>
        </w:rPr>
        <w:t>20 Nagin, ‘</w:t>
      </w:r>
      <w:proofErr w:type="spellStart"/>
      <w:r w:rsidRPr="008D50E4">
        <w:rPr>
          <w:color w:val="000000"/>
          <w:sz w:val="20"/>
          <w:szCs w:val="20"/>
        </w:rPr>
        <w:t>Analyzing</w:t>
      </w:r>
      <w:proofErr w:type="spellEnd"/>
      <w:r w:rsidRPr="008D50E4">
        <w:rPr>
          <w:color w:val="000000"/>
          <w:sz w:val="20"/>
          <w:szCs w:val="20"/>
        </w:rPr>
        <w:t xml:space="preserve"> developmental trajectories’.</w:t>
      </w:r>
    </w:p>
    <w:p w14:paraId="68221C5F" w14:textId="77777777" w:rsidR="00175367" w:rsidRPr="008D50E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D50E4">
        <w:rPr>
          <w:color w:val="000000"/>
          <w:sz w:val="20"/>
          <w:szCs w:val="20"/>
        </w:rPr>
        <w:t>21 Woods et al., ‘Causes of rapid infant mortality decline, part 2’, pp. 127–9.</w:t>
      </w:r>
    </w:p>
    <w:p w14:paraId="7FA7620B" w14:textId="77777777" w:rsidR="00175367" w:rsidRPr="008D50E4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D50E4">
        <w:rPr>
          <w:color w:val="000000"/>
          <w:sz w:val="20"/>
          <w:szCs w:val="20"/>
        </w:rPr>
        <w:t>22 Williams and Galley, ‘Urban–rural differentials’, p. 417.</w:t>
      </w:r>
    </w:p>
    <w:p w14:paraId="015CFCF2" w14:textId="77777777" w:rsidR="005247FA" w:rsidRPr="008D50E4" w:rsidRDefault="005247FA">
      <w:pPr>
        <w:rPr>
          <w:color w:val="000000"/>
          <w:sz w:val="20"/>
          <w:szCs w:val="20"/>
        </w:rPr>
      </w:pPr>
      <w:r w:rsidRPr="008D50E4">
        <w:rPr>
          <w:color w:val="000000"/>
          <w:sz w:val="20"/>
          <w:szCs w:val="20"/>
        </w:rPr>
        <w:br w:type="page"/>
      </w:r>
    </w:p>
    <w:p w14:paraId="1FC597FB" w14:textId="14BBBD61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Figure 2. </w:t>
      </w:r>
      <w:r w:rsidRPr="005E37B5">
        <w:rPr>
          <w:i/>
          <w:iCs/>
          <w:color w:val="000000"/>
          <w:sz w:val="22"/>
          <w:szCs w:val="22"/>
        </w:rPr>
        <w:t>Clusters of RDs with similar IMR performance: results of latent trajectory</w:t>
      </w:r>
    </w:p>
    <w:p w14:paraId="7A6445BB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5E37B5">
        <w:rPr>
          <w:i/>
          <w:iCs/>
          <w:color w:val="000000"/>
          <w:sz w:val="22"/>
          <w:szCs w:val="22"/>
        </w:rPr>
        <w:t>analysis</w:t>
      </w:r>
    </w:p>
    <w:p w14:paraId="7D2A3EA9" w14:textId="6F2FBBAA" w:rsidR="005247FA" w:rsidRDefault="005247FA" w:rsidP="00175367">
      <w:pPr>
        <w:autoSpaceDE w:val="0"/>
        <w:autoSpaceDN w:val="0"/>
        <w:adjustRightInd w:val="0"/>
        <w:spacing w:after="0" w:line="240" w:lineRule="auto"/>
        <w:rPr>
          <w:rFonts w:ascii="Plantin-Italic" w:hAnsi="Plantin-Italic" w:cs="Plantin-Italic"/>
          <w:i/>
          <w:iCs/>
          <w:color w:val="000000"/>
          <w:sz w:val="14"/>
          <w:szCs w:val="14"/>
        </w:rPr>
      </w:pPr>
      <w:r w:rsidRPr="005247FA">
        <w:rPr>
          <w:rFonts w:ascii="Plantin-Italic" w:hAnsi="Plantin-Italic" w:cs="Plantin-Italic"/>
          <w:i/>
          <w:iCs/>
          <w:noProof/>
          <w:color w:val="000000"/>
          <w:sz w:val="14"/>
          <w:szCs w:val="14"/>
        </w:rPr>
        <w:drawing>
          <wp:inline distT="0" distB="0" distL="0" distR="0" wp14:anchorId="66A02FE9" wp14:editId="417FC40B">
            <wp:extent cx="3992880" cy="2985689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26" cy="30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7A93" w14:textId="77777777" w:rsidR="002739D9" w:rsidRDefault="002739D9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4"/>
          <w:szCs w:val="14"/>
        </w:rPr>
      </w:pPr>
    </w:p>
    <w:p w14:paraId="73D4170F" w14:textId="6AB5A69B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i/>
          <w:iCs/>
          <w:color w:val="000000"/>
          <w:sz w:val="20"/>
          <w:szCs w:val="20"/>
        </w:rPr>
        <w:t xml:space="preserve">Source: </w:t>
      </w:r>
      <w:r w:rsidRPr="002739D9">
        <w:rPr>
          <w:color w:val="000000"/>
          <w:sz w:val="20"/>
          <w:szCs w:val="20"/>
        </w:rPr>
        <w:t>As for fig. 1.</w:t>
      </w:r>
    </w:p>
    <w:p w14:paraId="4D498311" w14:textId="77777777" w:rsidR="002739D9" w:rsidRDefault="002739D9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2A858BAB" w14:textId="13FC3352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health, and the factors that influenced these.</w:t>
      </w:r>
      <w:r w:rsidRPr="005E37B5">
        <w:rPr>
          <w:color w:val="000000"/>
          <w:sz w:val="15"/>
          <w:szCs w:val="15"/>
        </w:rPr>
        <w:t xml:space="preserve">23 </w:t>
      </w:r>
      <w:r w:rsidRPr="005E37B5">
        <w:rPr>
          <w:color w:val="000000"/>
          <w:sz w:val="22"/>
          <w:szCs w:val="22"/>
        </w:rPr>
        <w:t>None of these studies examined</w:t>
      </w:r>
    </w:p>
    <w:p w14:paraId="604BE44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differences between rural areas of different kinds. Since population density,</w:t>
      </w:r>
    </w:p>
    <w:p w14:paraId="5A816ABB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then, has normally been discussed in examinations of IMR, it forms our first</w:t>
      </w:r>
    </w:p>
    <w:p w14:paraId="31E87A3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covariate. Previous studies suggest it was a key influence in towns and cities: we</w:t>
      </w:r>
    </w:p>
    <w:p w14:paraId="3EA4D07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test here whether density mattered below the threshold represented by rural levels</w:t>
      </w:r>
    </w:p>
    <w:p w14:paraId="53DD57B1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population.</w:t>
      </w:r>
      <w:r w:rsidRPr="005E37B5">
        <w:rPr>
          <w:color w:val="000000"/>
          <w:sz w:val="15"/>
          <w:szCs w:val="15"/>
        </w:rPr>
        <w:t xml:space="preserve">24 </w:t>
      </w:r>
      <w:r w:rsidRPr="005E37B5">
        <w:rPr>
          <w:color w:val="000000"/>
          <w:sz w:val="22"/>
          <w:szCs w:val="22"/>
        </w:rPr>
        <w:t>Our data are decennial averages of population density taken from</w:t>
      </w:r>
    </w:p>
    <w:p w14:paraId="6D79F691" w14:textId="0B612975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 GBHGIS.</w:t>
      </w:r>
    </w:p>
    <w:p w14:paraId="29803091" w14:textId="77777777" w:rsidR="002739D9" w:rsidRPr="005E37B5" w:rsidRDefault="002739D9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AF50DA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Scholars are agreed that the impact of fertility on infant mortality was both</w:t>
      </w:r>
    </w:p>
    <w:p w14:paraId="261914E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important and complex,</w:t>
      </w:r>
      <w:r w:rsidRPr="005E37B5">
        <w:rPr>
          <w:color w:val="000000"/>
          <w:sz w:val="15"/>
          <w:szCs w:val="15"/>
        </w:rPr>
        <w:t xml:space="preserve">25 </w:t>
      </w:r>
      <w:r w:rsidRPr="005E37B5">
        <w:rPr>
          <w:color w:val="000000"/>
          <w:sz w:val="22"/>
          <w:szCs w:val="22"/>
        </w:rPr>
        <w:t>and we include a measure of fertility as our second</w:t>
      </w:r>
    </w:p>
    <w:p w14:paraId="2B4306E2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covariate. In addition to its indirect effect via improving maternal health, falling</w:t>
      </w:r>
    </w:p>
    <w:p w14:paraId="456BCB57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fertility reduced infant mortality directly by allowing each infant a bigger share of</w:t>
      </w:r>
    </w:p>
    <w:p w14:paraId="5364AE22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household food and more time for maternal care, and by reducing the number of</w:t>
      </w:r>
    </w:p>
    <w:p w14:paraId="58792CE9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siblings, each susceptible to contracting and passing on infectious disease.</w:t>
      </w:r>
      <w:r w:rsidRPr="005E37B5">
        <w:rPr>
          <w:color w:val="000000"/>
          <w:sz w:val="15"/>
          <w:szCs w:val="15"/>
        </w:rPr>
        <w:t xml:space="preserve">26 </w:t>
      </w:r>
      <w:r w:rsidRPr="005E37B5">
        <w:rPr>
          <w:color w:val="000000"/>
          <w:sz w:val="22"/>
          <w:szCs w:val="22"/>
        </w:rPr>
        <w:t>The</w:t>
      </w:r>
    </w:p>
    <w:p w14:paraId="3BBCC95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example of fertility is a reminder of the endogeneity of the variables discussed</w:t>
      </w:r>
    </w:p>
    <w:p w14:paraId="54845775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here: it is also reported that falling infant mortality could be associated with higher</w:t>
      </w:r>
    </w:p>
    <w:p w14:paraId="741C0954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fertility, when improving maternal health led to fewer complications of childbirth</w:t>
      </w:r>
    </w:p>
    <w:p w14:paraId="729ED5F2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and so to higher continuing fertility among existing mothers.</w:t>
      </w:r>
      <w:r w:rsidRPr="005E37B5">
        <w:rPr>
          <w:color w:val="000000"/>
          <w:sz w:val="15"/>
          <w:szCs w:val="15"/>
        </w:rPr>
        <w:t xml:space="preserve">27 </w:t>
      </w:r>
      <w:r w:rsidRPr="005E37B5">
        <w:rPr>
          <w:color w:val="000000"/>
          <w:sz w:val="22"/>
          <w:szCs w:val="22"/>
        </w:rPr>
        <w:t>In the absence of</w:t>
      </w:r>
    </w:p>
    <w:p w14:paraId="52829D9F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contemporary records of fertility, we follow Woods in relying on </w:t>
      </w:r>
      <w:proofErr w:type="spellStart"/>
      <w:r w:rsidRPr="005E37B5">
        <w:rPr>
          <w:color w:val="000000"/>
          <w:sz w:val="22"/>
          <w:szCs w:val="22"/>
        </w:rPr>
        <w:t>Coale’s</w:t>
      </w:r>
      <w:proofErr w:type="spellEnd"/>
      <w:r w:rsidRPr="005E37B5">
        <w:rPr>
          <w:color w:val="000000"/>
          <w:sz w:val="22"/>
          <w:szCs w:val="22"/>
        </w:rPr>
        <w:t xml:space="preserve"> indices</w:t>
      </w:r>
    </w:p>
    <w:p w14:paraId="77E5CE93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of marital fertility I</w:t>
      </w:r>
      <w:r w:rsidRPr="005E37B5">
        <w:rPr>
          <w:color w:val="000000"/>
          <w:sz w:val="15"/>
          <w:szCs w:val="15"/>
        </w:rPr>
        <w:t xml:space="preserve">g </w:t>
      </w:r>
      <w:r w:rsidRPr="005E37B5">
        <w:rPr>
          <w:color w:val="000000"/>
          <w:sz w:val="22"/>
          <w:szCs w:val="22"/>
        </w:rPr>
        <w:t xml:space="preserve">and proportion marrying </w:t>
      </w:r>
      <w:proofErr w:type="spellStart"/>
      <w:r w:rsidRPr="005E37B5">
        <w:rPr>
          <w:color w:val="000000"/>
          <w:sz w:val="22"/>
          <w:szCs w:val="22"/>
        </w:rPr>
        <w:t>I</w:t>
      </w:r>
      <w:r w:rsidRPr="005E37B5">
        <w:rPr>
          <w:color w:val="000000"/>
          <w:sz w:val="15"/>
          <w:szCs w:val="15"/>
        </w:rPr>
        <w:t>m</w:t>
      </w:r>
      <w:proofErr w:type="spellEnd"/>
      <w:r w:rsidRPr="005E37B5">
        <w:rPr>
          <w:color w:val="000000"/>
          <w:sz w:val="22"/>
          <w:szCs w:val="22"/>
        </w:rPr>
        <w:t>, which have the attraction that</w:t>
      </w:r>
    </w:p>
    <w:p w14:paraId="4632DA3C" w14:textId="77777777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>they can be calculated from census data.</w:t>
      </w:r>
      <w:r w:rsidRPr="005E37B5">
        <w:rPr>
          <w:color w:val="000000"/>
          <w:sz w:val="15"/>
          <w:szCs w:val="15"/>
        </w:rPr>
        <w:t xml:space="preserve">28 </w:t>
      </w:r>
      <w:r w:rsidRPr="005E37B5">
        <w:rPr>
          <w:color w:val="000000"/>
          <w:sz w:val="22"/>
          <w:szCs w:val="22"/>
        </w:rPr>
        <w:t>Our fertility indices are taken from</w:t>
      </w:r>
    </w:p>
    <w:p w14:paraId="1F42CA35" w14:textId="77777777" w:rsidR="002739D9" w:rsidRDefault="002739D9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0"/>
          <w:szCs w:val="10"/>
        </w:rPr>
      </w:pPr>
    </w:p>
    <w:p w14:paraId="27EAFAF4" w14:textId="35D3F3F5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>23 Millward and Bell, ‘Infant mortality’, pp. 705–6.</w:t>
      </w:r>
    </w:p>
    <w:p w14:paraId="7CAA1D3B" w14:textId="77777777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 xml:space="preserve">24 Woods et al., ‘Causes of rapid </w:t>
      </w:r>
      <w:proofErr w:type="spellStart"/>
      <w:r w:rsidRPr="002739D9">
        <w:rPr>
          <w:color w:val="000000"/>
          <w:sz w:val="20"/>
          <w:szCs w:val="20"/>
        </w:rPr>
        <w:t>infantmortality</w:t>
      </w:r>
      <w:proofErr w:type="spellEnd"/>
      <w:r w:rsidRPr="002739D9">
        <w:rPr>
          <w:color w:val="000000"/>
          <w:sz w:val="20"/>
          <w:szCs w:val="20"/>
        </w:rPr>
        <w:t xml:space="preserve"> decline, part 2</w:t>
      </w:r>
      <w:proofErr w:type="gramStart"/>
      <w:r w:rsidRPr="002739D9">
        <w:rPr>
          <w:color w:val="000000"/>
          <w:sz w:val="20"/>
          <w:szCs w:val="20"/>
        </w:rPr>
        <w:t>’;Williams</w:t>
      </w:r>
      <w:proofErr w:type="gramEnd"/>
      <w:r w:rsidRPr="002739D9">
        <w:rPr>
          <w:color w:val="000000"/>
          <w:sz w:val="20"/>
          <w:szCs w:val="20"/>
        </w:rPr>
        <w:t xml:space="preserve"> </w:t>
      </w:r>
      <w:proofErr w:type="spellStart"/>
      <w:r w:rsidRPr="002739D9">
        <w:rPr>
          <w:color w:val="000000"/>
          <w:sz w:val="20"/>
          <w:szCs w:val="20"/>
        </w:rPr>
        <w:t>andGalley</w:t>
      </w:r>
      <w:proofErr w:type="spellEnd"/>
      <w:r w:rsidRPr="002739D9">
        <w:rPr>
          <w:color w:val="000000"/>
          <w:sz w:val="20"/>
          <w:szCs w:val="20"/>
        </w:rPr>
        <w:t>, ‘Urban–rural differentials’;</w:t>
      </w:r>
    </w:p>
    <w:p w14:paraId="25306249" w14:textId="77777777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>Lee, ‘Regional inequalities’.</w:t>
      </w:r>
    </w:p>
    <w:p w14:paraId="4C375C1E" w14:textId="77777777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 xml:space="preserve">25 </w:t>
      </w:r>
      <w:proofErr w:type="spellStart"/>
      <w:r w:rsidRPr="002739D9">
        <w:rPr>
          <w:color w:val="000000"/>
          <w:sz w:val="20"/>
          <w:szCs w:val="20"/>
        </w:rPr>
        <w:t>Reher</w:t>
      </w:r>
      <w:proofErr w:type="spellEnd"/>
      <w:r w:rsidRPr="002739D9">
        <w:rPr>
          <w:color w:val="000000"/>
          <w:sz w:val="20"/>
          <w:szCs w:val="20"/>
        </w:rPr>
        <w:t>, ‘Back to the basics’; Woods et al, ‘Causes of rapid infant mortality decline, part 2’, pp. 121–6.</w:t>
      </w:r>
    </w:p>
    <w:p w14:paraId="02D5BD53" w14:textId="77777777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 xml:space="preserve">26 Millward and Bell, ‘Infant mortality’, pp. 709–10; </w:t>
      </w:r>
      <w:proofErr w:type="spellStart"/>
      <w:r w:rsidRPr="002739D9">
        <w:rPr>
          <w:color w:val="000000"/>
          <w:sz w:val="20"/>
          <w:szCs w:val="20"/>
        </w:rPr>
        <w:t>Reves</w:t>
      </w:r>
      <w:proofErr w:type="spellEnd"/>
      <w:r w:rsidRPr="002739D9">
        <w:rPr>
          <w:color w:val="000000"/>
          <w:sz w:val="20"/>
          <w:szCs w:val="20"/>
        </w:rPr>
        <w:t>, ‘Declining fertility’, p. 124.</w:t>
      </w:r>
    </w:p>
    <w:p w14:paraId="5CCCC522" w14:textId="77777777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>27 Millward and Bell, ‘Infant mortality’, p. 722.</w:t>
      </w:r>
    </w:p>
    <w:p w14:paraId="36B39B19" w14:textId="77777777" w:rsidR="00175367" w:rsidRPr="002739D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 xml:space="preserve">28 Woods, </w:t>
      </w:r>
      <w:r w:rsidRPr="002739D9">
        <w:rPr>
          <w:i/>
          <w:iCs/>
          <w:color w:val="000000"/>
          <w:sz w:val="20"/>
          <w:szCs w:val="20"/>
        </w:rPr>
        <w:t>Demography of Victorian England and Wales</w:t>
      </w:r>
      <w:r w:rsidRPr="002739D9">
        <w:rPr>
          <w:color w:val="000000"/>
          <w:sz w:val="20"/>
          <w:szCs w:val="20"/>
        </w:rPr>
        <w:t xml:space="preserve">, pp. 8–9; </w:t>
      </w:r>
      <w:proofErr w:type="spellStart"/>
      <w:r w:rsidRPr="002739D9">
        <w:rPr>
          <w:color w:val="000000"/>
          <w:sz w:val="20"/>
          <w:szCs w:val="20"/>
        </w:rPr>
        <w:t>Coale</w:t>
      </w:r>
      <w:proofErr w:type="spellEnd"/>
      <w:r w:rsidRPr="002739D9">
        <w:rPr>
          <w:color w:val="000000"/>
          <w:sz w:val="20"/>
          <w:szCs w:val="20"/>
        </w:rPr>
        <w:t xml:space="preserve"> and Treadway, ‘Summary of the changing</w:t>
      </w:r>
    </w:p>
    <w:p w14:paraId="16C3355F" w14:textId="36BED3CC" w:rsidR="002739D9" w:rsidRPr="002739D9" w:rsidRDefault="00175367" w:rsidP="002739D9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2739D9">
        <w:rPr>
          <w:color w:val="000000"/>
          <w:sz w:val="20"/>
          <w:szCs w:val="20"/>
        </w:rPr>
        <w:t>distribution’, pp. 33–5.</w:t>
      </w:r>
      <w:r w:rsidR="002739D9" w:rsidRPr="002739D9">
        <w:rPr>
          <w:color w:val="000000"/>
          <w:sz w:val="20"/>
          <w:szCs w:val="20"/>
        </w:rPr>
        <w:br w:type="page"/>
      </w:r>
    </w:p>
    <w:p w14:paraId="4C25C79F" w14:textId="605422AD" w:rsidR="00175367" w:rsidRPr="005E37B5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5E37B5">
        <w:rPr>
          <w:color w:val="000000"/>
          <w:sz w:val="22"/>
          <w:szCs w:val="22"/>
        </w:rPr>
        <w:t xml:space="preserve">Figure 3. </w:t>
      </w:r>
      <w:r w:rsidRPr="005E37B5">
        <w:rPr>
          <w:i/>
          <w:iCs/>
          <w:color w:val="000000"/>
          <w:sz w:val="22"/>
          <w:szCs w:val="22"/>
        </w:rPr>
        <w:t>Locations of RDs in the different clusters</w:t>
      </w:r>
    </w:p>
    <w:p w14:paraId="59D165A6" w14:textId="22AF2199" w:rsidR="00816B9E" w:rsidRDefault="00816B9E" w:rsidP="00175367">
      <w:pPr>
        <w:autoSpaceDE w:val="0"/>
        <w:autoSpaceDN w:val="0"/>
        <w:adjustRightInd w:val="0"/>
        <w:spacing w:after="0" w:line="240" w:lineRule="auto"/>
        <w:rPr>
          <w:rFonts w:ascii="Plantin-Italic" w:hAnsi="Plantin-Italic" w:cs="Plantin-Italic"/>
          <w:i/>
          <w:iCs/>
          <w:color w:val="000000"/>
          <w:sz w:val="22"/>
          <w:szCs w:val="22"/>
        </w:rPr>
      </w:pPr>
      <w:r w:rsidRPr="00816B9E">
        <w:rPr>
          <w:rFonts w:ascii="Plantin-Italic" w:hAnsi="Plantin-Italic" w:cs="Plantin-Italic"/>
          <w:i/>
          <w:iCs/>
          <w:noProof/>
          <w:color w:val="000000"/>
          <w:sz w:val="22"/>
          <w:szCs w:val="22"/>
        </w:rPr>
        <w:drawing>
          <wp:inline distT="0" distB="0" distL="0" distR="0" wp14:anchorId="106538E9" wp14:editId="603831FD">
            <wp:extent cx="4924199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96" cy="61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C4089" w14:textId="77777777" w:rsidR="00DD6442" w:rsidRDefault="00DD6442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</w:p>
    <w:p w14:paraId="6067F467" w14:textId="5BC723FB" w:rsidR="00175367" w:rsidRPr="00DD644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D6442">
        <w:rPr>
          <w:i/>
          <w:iCs/>
          <w:color w:val="000000"/>
          <w:sz w:val="20"/>
          <w:szCs w:val="20"/>
        </w:rPr>
        <w:t xml:space="preserve">Note: </w:t>
      </w:r>
      <w:r w:rsidRPr="00DD6442">
        <w:rPr>
          <w:color w:val="000000"/>
          <w:sz w:val="20"/>
          <w:szCs w:val="20"/>
        </w:rPr>
        <w:t>Unshaded RDs are not rural, or data for them are unavailable.</w:t>
      </w:r>
    </w:p>
    <w:p w14:paraId="0F1804DD" w14:textId="77777777" w:rsidR="00175367" w:rsidRPr="00DD644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D6442">
        <w:rPr>
          <w:i/>
          <w:iCs/>
          <w:color w:val="000000"/>
          <w:sz w:val="20"/>
          <w:szCs w:val="20"/>
        </w:rPr>
        <w:t xml:space="preserve">Source: </w:t>
      </w:r>
      <w:r w:rsidRPr="00DD6442">
        <w:rPr>
          <w:color w:val="000000"/>
          <w:sz w:val="20"/>
          <w:szCs w:val="20"/>
        </w:rPr>
        <w:t>As for fig. 1.</w:t>
      </w:r>
    </w:p>
    <w:p w14:paraId="7D212FBF" w14:textId="77777777" w:rsidR="00DD6442" w:rsidRDefault="00DD644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277F45EA" w14:textId="2E047C4C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Friedlander and Okun, who calculated them by RD for each census from 1851</w:t>
      </w:r>
    </w:p>
    <w:p w14:paraId="58A9DB4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to 1911; we use the 1851 data for our 1850s time point, and so on.</w:t>
      </w:r>
      <w:r w:rsidRPr="008A0371">
        <w:rPr>
          <w:color w:val="000000"/>
          <w:sz w:val="15"/>
          <w:szCs w:val="15"/>
        </w:rPr>
        <w:t xml:space="preserve">29 </w:t>
      </w:r>
      <w:r w:rsidRPr="008A0371">
        <w:rPr>
          <w:color w:val="000000"/>
          <w:sz w:val="22"/>
          <w:szCs w:val="22"/>
        </w:rPr>
        <w:t>Following</w:t>
      </w:r>
    </w:p>
    <w:p w14:paraId="074D1DC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Woods, we have relied on the low ratio of illegitimate births in the later nineteenth</w:t>
      </w:r>
    </w:p>
    <w:p w14:paraId="347B90D1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century to make the simplifying assumption that the product of I</w:t>
      </w:r>
      <w:r w:rsidRPr="008A0371">
        <w:rPr>
          <w:color w:val="000000"/>
          <w:sz w:val="15"/>
          <w:szCs w:val="15"/>
        </w:rPr>
        <w:t xml:space="preserve">g </w:t>
      </w:r>
      <w:r w:rsidRPr="008A0371">
        <w:rPr>
          <w:color w:val="000000"/>
          <w:sz w:val="22"/>
          <w:szCs w:val="22"/>
        </w:rPr>
        <w:t xml:space="preserve">and </w:t>
      </w:r>
      <w:proofErr w:type="spellStart"/>
      <w:r w:rsidRPr="008A0371">
        <w:rPr>
          <w:color w:val="000000"/>
          <w:sz w:val="22"/>
          <w:szCs w:val="22"/>
        </w:rPr>
        <w:t>I</w:t>
      </w:r>
      <w:r w:rsidRPr="008A0371">
        <w:rPr>
          <w:color w:val="000000"/>
          <w:sz w:val="15"/>
          <w:szCs w:val="15"/>
        </w:rPr>
        <w:t>m</w:t>
      </w:r>
      <w:proofErr w:type="spellEnd"/>
      <w:r w:rsidRPr="008A0371">
        <w:rPr>
          <w:color w:val="000000"/>
          <w:sz w:val="15"/>
          <w:szCs w:val="15"/>
        </w:rPr>
        <w:t xml:space="preserve"> </w:t>
      </w:r>
      <w:r w:rsidRPr="008A0371">
        <w:rPr>
          <w:color w:val="000000"/>
          <w:sz w:val="22"/>
          <w:szCs w:val="22"/>
        </w:rPr>
        <w:t>provides</w:t>
      </w:r>
    </w:p>
    <w:p w14:paraId="036F66A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us with </w:t>
      </w:r>
      <w:proofErr w:type="spellStart"/>
      <w:r w:rsidRPr="008A0371">
        <w:rPr>
          <w:color w:val="000000"/>
          <w:sz w:val="22"/>
          <w:szCs w:val="22"/>
        </w:rPr>
        <w:t>Coale’s</w:t>
      </w:r>
      <w:proofErr w:type="spellEnd"/>
      <w:r w:rsidRPr="008A0371">
        <w:rPr>
          <w:color w:val="000000"/>
          <w:sz w:val="22"/>
          <w:szCs w:val="22"/>
        </w:rPr>
        <w:t xml:space="preserve"> index of overall fertility I</w:t>
      </w:r>
      <w:r w:rsidRPr="008A0371">
        <w:rPr>
          <w:color w:val="000000"/>
          <w:sz w:val="15"/>
          <w:szCs w:val="15"/>
        </w:rPr>
        <w:t>f</w:t>
      </w:r>
      <w:r w:rsidRPr="008A0371">
        <w:rPr>
          <w:color w:val="000000"/>
          <w:sz w:val="22"/>
          <w:szCs w:val="22"/>
        </w:rPr>
        <w:t>.</w:t>
      </w:r>
      <w:r w:rsidRPr="008A0371">
        <w:rPr>
          <w:color w:val="000000"/>
          <w:sz w:val="15"/>
          <w:szCs w:val="15"/>
        </w:rPr>
        <w:t xml:space="preserve">30 </w:t>
      </w:r>
      <w:r w:rsidRPr="008A0371">
        <w:rPr>
          <w:color w:val="000000"/>
          <w:sz w:val="22"/>
          <w:szCs w:val="22"/>
        </w:rPr>
        <w:t>(Inspection of the Registrar-General’s</w:t>
      </w:r>
    </w:p>
    <w:p w14:paraId="63C1445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reports provided reassurance that there were not marked regional differences in</w:t>
      </w:r>
    </w:p>
    <w:p w14:paraId="7758460F" w14:textId="77777777" w:rsidR="00DD6442" w:rsidRDefault="00DD644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0"/>
          <w:szCs w:val="10"/>
        </w:rPr>
      </w:pPr>
    </w:p>
    <w:p w14:paraId="0867C89A" w14:textId="28E514B6" w:rsidR="00175367" w:rsidRPr="00DD644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D6442">
        <w:rPr>
          <w:color w:val="000000"/>
          <w:sz w:val="20"/>
          <w:szCs w:val="20"/>
        </w:rPr>
        <w:t>29 Friedlander and Okun, ‘Pretransition marital fertility’, pp. 8–14; Friedlander and Okun, ‘Demographic</w:t>
      </w:r>
    </w:p>
    <w:p w14:paraId="10876D40" w14:textId="77777777" w:rsidR="00175367" w:rsidRPr="00DD644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D6442">
        <w:rPr>
          <w:color w:val="000000"/>
          <w:sz w:val="20"/>
          <w:szCs w:val="20"/>
        </w:rPr>
        <w:t>processes’.</w:t>
      </w:r>
    </w:p>
    <w:p w14:paraId="3676F7A8" w14:textId="77777777" w:rsidR="00175367" w:rsidRPr="00DD644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D6442">
        <w:rPr>
          <w:color w:val="000000"/>
          <w:sz w:val="20"/>
          <w:szCs w:val="20"/>
        </w:rPr>
        <w:t xml:space="preserve">30 Woods, </w:t>
      </w:r>
      <w:r w:rsidRPr="00DD6442">
        <w:rPr>
          <w:i/>
          <w:iCs/>
          <w:color w:val="000000"/>
          <w:sz w:val="20"/>
          <w:szCs w:val="20"/>
        </w:rPr>
        <w:t>Demography of Victorian England and Wales</w:t>
      </w:r>
      <w:r w:rsidRPr="00DD6442">
        <w:rPr>
          <w:color w:val="000000"/>
          <w:sz w:val="20"/>
          <w:szCs w:val="20"/>
        </w:rPr>
        <w:t>, p. 9.</w:t>
      </w:r>
    </w:p>
    <w:p w14:paraId="203EEBB4" w14:textId="77777777" w:rsidR="00DD6442" w:rsidRDefault="00DD6442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0F73F0FD" w14:textId="66E2A774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illegitimacy ratios. For example, in 1862, the ratio in </w:t>
      </w:r>
      <w:proofErr w:type="spellStart"/>
      <w:r w:rsidRPr="008A0371">
        <w:rPr>
          <w:color w:val="000000"/>
          <w:sz w:val="22"/>
          <w:szCs w:val="22"/>
        </w:rPr>
        <w:t>Malling</w:t>
      </w:r>
      <w:proofErr w:type="spellEnd"/>
      <w:r w:rsidRPr="008A0371">
        <w:rPr>
          <w:color w:val="000000"/>
          <w:sz w:val="22"/>
          <w:szCs w:val="22"/>
        </w:rPr>
        <w:t>, Kent, was 8.2</w:t>
      </w:r>
    </w:p>
    <w:p w14:paraId="6DF0C41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per cent: in 1882 it was 6.6 per cent. In the same two years, ratios in Alnwick,</w:t>
      </w:r>
    </w:p>
    <w:p w14:paraId="489FB0A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proofErr w:type="gramStart"/>
      <w:r w:rsidRPr="008A0371">
        <w:rPr>
          <w:color w:val="000000"/>
          <w:sz w:val="22"/>
          <w:szCs w:val="22"/>
        </w:rPr>
        <w:t>Northumberland,</w:t>
      </w:r>
      <w:proofErr w:type="gramEnd"/>
      <w:r w:rsidRPr="008A0371">
        <w:rPr>
          <w:color w:val="000000"/>
          <w:sz w:val="22"/>
          <w:szCs w:val="22"/>
        </w:rPr>
        <w:t xml:space="preserve"> were 8.8 per cent and 4 per cent.) These RD-level decennial</w:t>
      </w:r>
    </w:p>
    <w:p w14:paraId="31499C5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estimates of the index of overall fertility provide our fertility measure.</w:t>
      </w:r>
    </w:p>
    <w:p w14:paraId="6FFE7D21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We then turn to maternal health. Millward and Bell suggest that for infants under</w:t>
      </w:r>
    </w:p>
    <w:p w14:paraId="1113538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age of one year, influences mediated through the mother affected mortality</w:t>
      </w:r>
    </w:p>
    <w:p w14:paraId="2D7905BE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most.</w:t>
      </w:r>
      <w:r w:rsidRPr="008A0371">
        <w:rPr>
          <w:color w:val="000000"/>
          <w:sz w:val="15"/>
          <w:szCs w:val="15"/>
        </w:rPr>
        <w:t xml:space="preserve">31 </w:t>
      </w:r>
      <w:r w:rsidRPr="008A0371">
        <w:rPr>
          <w:color w:val="000000"/>
          <w:sz w:val="22"/>
          <w:szCs w:val="22"/>
        </w:rPr>
        <w:t>Millward and Bell’s model emphasizes the impact of maternal health on</w:t>
      </w:r>
    </w:p>
    <w:p w14:paraId="16DE025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infant via routes such as birth weight, immune system, and the quality and</w:t>
      </w:r>
    </w:p>
    <w:p w14:paraId="5E0DC0C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duration of breastfeeding, which can be summed up in the statement ‘what makes</w:t>
      </w:r>
    </w:p>
    <w:p w14:paraId="50A8F94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mothers ill </w:t>
      </w:r>
      <w:proofErr w:type="gramStart"/>
      <w:r w:rsidRPr="008A0371">
        <w:rPr>
          <w:color w:val="000000"/>
          <w:sz w:val="22"/>
          <w:szCs w:val="22"/>
        </w:rPr>
        <w:t>makes</w:t>
      </w:r>
      <w:proofErr w:type="gramEnd"/>
      <w:r w:rsidRPr="008A0371">
        <w:rPr>
          <w:color w:val="000000"/>
          <w:sz w:val="22"/>
          <w:szCs w:val="22"/>
        </w:rPr>
        <w:t xml:space="preserve"> babies ill’. Millward and Bell make a persuasive case that the</w:t>
      </w:r>
    </w:p>
    <w:p w14:paraId="7D6F8C47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tuberculosis mortality of females of child-bearing age is a good, and measurable,</w:t>
      </w:r>
    </w:p>
    <w:p w14:paraId="3B65732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proxy for maternal health.</w:t>
      </w:r>
      <w:r w:rsidRPr="008A0371">
        <w:rPr>
          <w:color w:val="000000"/>
          <w:sz w:val="15"/>
          <w:szCs w:val="15"/>
        </w:rPr>
        <w:t xml:space="preserve">32 </w:t>
      </w:r>
      <w:r w:rsidRPr="008A0371">
        <w:rPr>
          <w:color w:val="000000"/>
          <w:sz w:val="22"/>
          <w:szCs w:val="22"/>
        </w:rPr>
        <w:t>They also show that tuberculosis mortality does not</w:t>
      </w:r>
    </w:p>
    <w:p w14:paraId="3E00A16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proxy the quality of the household environment so closely, making it a ‘purer’</w:t>
      </w:r>
    </w:p>
    <w:p w14:paraId="393D93C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indicator of maternal health alone, and that the key influence on it is rising real</w:t>
      </w:r>
    </w:p>
    <w:p w14:paraId="0A5B60E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household incomes. Indeed, their conclusion is that rising real incomes and falling</w:t>
      </w:r>
    </w:p>
    <w:p w14:paraId="6EA18AC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fertility rates explain much of the pattern of IMR decline.</w:t>
      </w:r>
      <w:r w:rsidRPr="008A0371">
        <w:rPr>
          <w:color w:val="000000"/>
          <w:sz w:val="15"/>
          <w:szCs w:val="15"/>
        </w:rPr>
        <w:t xml:space="preserve">33 </w:t>
      </w:r>
      <w:r w:rsidRPr="008A0371">
        <w:rPr>
          <w:color w:val="000000"/>
          <w:sz w:val="22"/>
          <w:szCs w:val="22"/>
        </w:rPr>
        <w:t>Here we reproduce</w:t>
      </w:r>
    </w:p>
    <w:p w14:paraId="4656071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their approach to the measurement of female tuberculosis mortality to see whether</w:t>
      </w:r>
    </w:p>
    <w:p w14:paraId="6D5A5DC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it is as good a predictor of IMR across all 363 rural places as it was for their mixed</w:t>
      </w:r>
    </w:p>
    <w:p w14:paraId="3ECDBC5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sample of 36 locations.</w:t>
      </w:r>
    </w:p>
    <w:p w14:paraId="2528D49C" w14:textId="77777777" w:rsidR="00354C81" w:rsidRDefault="00354C8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5BF5667" w14:textId="2D07F403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Registrar-General provided the age–sex breakdown we require for the</w:t>
      </w:r>
    </w:p>
    <w:p w14:paraId="4862B6D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1850s, 1860s, and 1900s; for the three intervening decades he reported tuberculosis</w:t>
      </w:r>
    </w:p>
    <w:p w14:paraId="0E0D0EAE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deaths of females (and males) undifferentiated by age, and deaths by age band</w:t>
      </w:r>
    </w:p>
    <w:p w14:paraId="25F8E202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undifferentiated by sex. Following Millward and Bell’s approach, we interpolated</w:t>
      </w:r>
    </w:p>
    <w:p w14:paraId="5803346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values for the 1870s, 1880s, and 1890s by two alternative methods and averaged the</w:t>
      </w:r>
    </w:p>
    <w:p w14:paraId="0DFF214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result: the first method assumes that shares of female tuberculosis deaths accounted</w:t>
      </w:r>
    </w:p>
    <w:p w14:paraId="0FAD497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for by the 15–44 age band fell smoothly between the known data points of the 1860s</w:t>
      </w:r>
    </w:p>
    <w:p w14:paraId="05E7059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and 1900s, and it then applies these shares to each place’s total female tuberculosis</w:t>
      </w:r>
    </w:p>
    <w:p w14:paraId="0ACE124E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deaths. The second method assumes that shares of age 15–44 tuberculosis deaths</w:t>
      </w:r>
    </w:p>
    <w:p w14:paraId="1EA0E067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accounted for by females fell smoothly between these two dates, and applies these</w:t>
      </w:r>
    </w:p>
    <w:p w14:paraId="1CCD8D6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shares to each place’s total deaths at ages 15–44.</w:t>
      </w:r>
      <w:r w:rsidRPr="008A0371">
        <w:rPr>
          <w:color w:val="000000"/>
          <w:sz w:val="15"/>
          <w:szCs w:val="15"/>
        </w:rPr>
        <w:t xml:space="preserve">34 </w:t>
      </w:r>
      <w:r w:rsidRPr="008A0371">
        <w:rPr>
          <w:color w:val="000000"/>
          <w:sz w:val="22"/>
          <w:szCs w:val="22"/>
        </w:rPr>
        <w:t>We then use an average of the</w:t>
      </w:r>
    </w:p>
    <w:p w14:paraId="14B5CAC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two results as our estimate of female tuberculosis mortality at ages 15–44. The need</w:t>
      </w:r>
    </w:p>
    <w:p w14:paraId="1D304C5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to interpolate data is of course a weakness, but the approach taken by Millward</w:t>
      </w:r>
    </w:p>
    <w:p w14:paraId="60EE8E75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and Bell, which assumes only that a RD behaves consistently with itself over time</w:t>
      </w:r>
    </w:p>
    <w:p w14:paraId="3ADC1651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(rather than assuming, say, that all RDs experienced some aggregate trend), is the</w:t>
      </w:r>
    </w:p>
    <w:p w14:paraId="2850E5E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best way to use the available data for a spatial analysis: it avoids introducing any</w:t>
      </w:r>
    </w:p>
    <w:p w14:paraId="4290F63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spatial artefacts. The two methods had results within 20 per cent of each other in</w:t>
      </w:r>
    </w:p>
    <w:p w14:paraId="4E43266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five-sixths of our </w:t>
      </w:r>
      <w:proofErr w:type="spellStart"/>
      <w:r w:rsidRPr="008A0371">
        <w:rPr>
          <w:color w:val="000000"/>
          <w:sz w:val="22"/>
          <w:szCs w:val="22"/>
        </w:rPr>
        <w:t>RDs.</w:t>
      </w:r>
      <w:proofErr w:type="spellEnd"/>
    </w:p>
    <w:p w14:paraId="50731312" w14:textId="77777777" w:rsidR="00354C81" w:rsidRDefault="00354C8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0125FA25" w14:textId="2A711D05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Cronje analyses TB trends and their possible causes by county, using the</w:t>
      </w:r>
    </w:p>
    <w:p w14:paraId="28FA090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8A0371">
        <w:rPr>
          <w:color w:val="000000"/>
          <w:sz w:val="22"/>
          <w:szCs w:val="22"/>
        </w:rPr>
        <w:t>Registrar-General’s classification of counties as ‘mainly urban’ and ‘mainly rural’.</w:t>
      </w:r>
      <w:r w:rsidRPr="008A0371">
        <w:rPr>
          <w:color w:val="000000"/>
          <w:sz w:val="15"/>
          <w:szCs w:val="15"/>
        </w:rPr>
        <w:t>35</w:t>
      </w:r>
    </w:p>
    <w:p w14:paraId="1B3A06A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She reports that in the mainly rural counties, female (all-ages) death rates fell</w:t>
      </w:r>
    </w:p>
    <w:p w14:paraId="1C1CF15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from 2.7 per thousand in the 1850s to 0.9 in the 1900s. For females, rural</w:t>
      </w:r>
    </w:p>
    <w:p w14:paraId="1D647F0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tuberculosis death rates were at all times little better than urban ones (in one</w:t>
      </w:r>
    </w:p>
    <w:p w14:paraId="336AD407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decade actually slightly worse): a distinct contrast with the male picture, where</w:t>
      </w:r>
    </w:p>
    <w:p w14:paraId="2796351B" w14:textId="77777777" w:rsidR="00354C81" w:rsidRDefault="00354C8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3A5CA86" w14:textId="77777777" w:rsidR="00354C81" w:rsidRDefault="00354C8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454D883" w14:textId="48800DFF" w:rsidR="00175367" w:rsidRPr="00354C8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354C81">
        <w:rPr>
          <w:color w:val="000000"/>
          <w:sz w:val="20"/>
          <w:szCs w:val="20"/>
        </w:rPr>
        <w:t>31 Millward and Bell, ‘Infant mortality’, pp. 705–9.</w:t>
      </w:r>
    </w:p>
    <w:p w14:paraId="6602F21E" w14:textId="77777777" w:rsidR="00175367" w:rsidRPr="00354C8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354C81">
        <w:rPr>
          <w:color w:val="000000"/>
          <w:sz w:val="20"/>
          <w:szCs w:val="20"/>
        </w:rPr>
        <w:t>32 Ibid., pp. 714–16.</w:t>
      </w:r>
    </w:p>
    <w:p w14:paraId="1A0F46E6" w14:textId="77777777" w:rsidR="00175367" w:rsidRPr="00354C8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354C81">
        <w:rPr>
          <w:color w:val="000000"/>
          <w:sz w:val="20"/>
          <w:szCs w:val="20"/>
        </w:rPr>
        <w:t>33 Ibid., p. 728.</w:t>
      </w:r>
    </w:p>
    <w:p w14:paraId="571FA731" w14:textId="77777777" w:rsidR="00175367" w:rsidRPr="00354C8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354C81">
        <w:rPr>
          <w:color w:val="000000"/>
          <w:sz w:val="20"/>
          <w:szCs w:val="20"/>
        </w:rPr>
        <w:t>34 Ibid., p. 713.</w:t>
      </w:r>
    </w:p>
    <w:p w14:paraId="745DE122" w14:textId="77777777" w:rsidR="00175367" w:rsidRPr="00354C8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354C81">
        <w:rPr>
          <w:color w:val="000000"/>
          <w:sz w:val="20"/>
          <w:szCs w:val="20"/>
        </w:rPr>
        <w:t>35 Cronje, ‘Tuberculosis and mortality decline’, pp. 89–97.</w:t>
      </w:r>
    </w:p>
    <w:p w14:paraId="74617A2C" w14:textId="77777777" w:rsidR="00E937FF" w:rsidRPr="008A0371" w:rsidRDefault="00E937FF">
      <w:pPr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br w:type="page"/>
      </w:r>
    </w:p>
    <w:p w14:paraId="786E5D1B" w14:textId="4BE391E9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 rural advantage was clear. She suggests this pattern resulted from unhealthier</w:t>
      </w:r>
    </w:p>
    <w:p w14:paraId="3CF6CD72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urban male lifestyles (especially their greater exposure to infection in workplaces</w:t>
      </w:r>
    </w:p>
    <w:p w14:paraId="633452F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and places of entertainment).</w:t>
      </w:r>
      <w:r w:rsidRPr="008A0371">
        <w:rPr>
          <w:color w:val="000000"/>
          <w:sz w:val="15"/>
          <w:szCs w:val="15"/>
        </w:rPr>
        <w:t xml:space="preserve">36 </w:t>
      </w:r>
      <w:r w:rsidRPr="008A0371">
        <w:rPr>
          <w:color w:val="000000"/>
          <w:sz w:val="22"/>
          <w:szCs w:val="22"/>
        </w:rPr>
        <w:t>Cronje notes that rural tuberculosis death rates are</w:t>
      </w:r>
    </w:p>
    <w:p w14:paraId="695FFC0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inflated to some degree by the phenomenon of young adults travelling to urban</w:t>
      </w:r>
    </w:p>
    <w:p w14:paraId="2253EBF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areas to find work, especially females to domestic service, developing tuberculosis,</w:t>
      </w:r>
    </w:p>
    <w:p w14:paraId="0890134A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and returning to their rural family homes to be nursed and die. She estimates that</w:t>
      </w:r>
    </w:p>
    <w:p w14:paraId="1A40A5F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this increased rural female tuberculosis mortality in the 15–34 age group by 11–15</w:t>
      </w:r>
    </w:p>
    <w:p w14:paraId="3D2BFBC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8A0371">
        <w:rPr>
          <w:color w:val="000000"/>
          <w:sz w:val="22"/>
          <w:szCs w:val="22"/>
        </w:rPr>
        <w:t>per cent.</w:t>
      </w:r>
      <w:r w:rsidRPr="008A0371">
        <w:rPr>
          <w:color w:val="000000"/>
          <w:sz w:val="15"/>
          <w:szCs w:val="15"/>
        </w:rPr>
        <w:t>37</w:t>
      </w:r>
    </w:p>
    <w:p w14:paraId="4A3B5752" w14:textId="77777777" w:rsidR="008B77C8" w:rsidRDefault="008B77C8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5B65DABA" w14:textId="0E50BBA5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Figure 4 shows the spatial pattern of the decline in tuberculosis mortality among</w:t>
      </w:r>
    </w:p>
    <w:p w14:paraId="6D84F39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females of fertile age (15–44). Clearly the spatial distribution of this mortality</w:t>
      </w:r>
    </w:p>
    <w:p w14:paraId="20813EB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decline was even more complex than Cronje’s county-level data showed. Slower</w:t>
      </w:r>
    </w:p>
    <w:p w14:paraId="194FFD7A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improvement can be discerned in the north and west than in the south: it was</w:t>
      </w:r>
    </w:p>
    <w:p w14:paraId="2CBBE2A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particularly slow in rural Northumberland, south and west Wales, Devon and</w:t>
      </w:r>
    </w:p>
    <w:p w14:paraId="3EF1DB8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Cornwall, much of Lincolnshire, and east Yorkshire. A typical example of the best</w:t>
      </w:r>
    </w:p>
    <w:p w14:paraId="5F7FCE37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quintile is Newmarket’s improvement from 5.8 deaths per thousand to 1.6. At</w:t>
      </w:r>
    </w:p>
    <w:p w14:paraId="4516FDB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opposite end of the distribution, Carmarthen typifies the slow improvers with</w:t>
      </w:r>
    </w:p>
    <w:p w14:paraId="1E0FC78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values of 4.4 in the 1850s and 3.2 in the 1900s.</w:t>
      </w:r>
    </w:p>
    <w:p w14:paraId="31CBFB52" w14:textId="77777777" w:rsidR="008B77C8" w:rsidRDefault="008B77C8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5E670193" w14:textId="6191CF56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Millward and Bell’s ‘mother as medium’ model is solely about the impact of</w:t>
      </w:r>
    </w:p>
    <w:p w14:paraId="30B45BB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maternal health. It is possible to extend this model to capture some of the impact</w:t>
      </w:r>
    </w:p>
    <w:p w14:paraId="122E4F6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of mothers’ education. Literature on recent infant mortality in less developed</w:t>
      </w:r>
    </w:p>
    <w:p w14:paraId="15A7C09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countries </w:t>
      </w:r>
      <w:proofErr w:type="gramStart"/>
      <w:r w:rsidRPr="008A0371">
        <w:rPr>
          <w:color w:val="000000"/>
          <w:sz w:val="22"/>
          <w:szCs w:val="22"/>
        </w:rPr>
        <w:t>is</w:t>
      </w:r>
      <w:proofErr w:type="gramEnd"/>
      <w:r w:rsidRPr="008A0371">
        <w:rPr>
          <w:color w:val="000000"/>
          <w:sz w:val="22"/>
          <w:szCs w:val="22"/>
        </w:rPr>
        <w:t xml:space="preserve"> relevant here. Caldwell and McDonald, for example, show that ‘age</w:t>
      </w:r>
    </w:p>
    <w:p w14:paraId="5F94027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and sex differentiations in power, decision-making and benefits within the larger</w:t>
      </w:r>
    </w:p>
    <w:p w14:paraId="4C30B15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family are reduced when schooling . . . [means] . . . women and children are</w:t>
      </w:r>
    </w:p>
    <w:p w14:paraId="030FD2A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allocated higher priorities in terms of care and allocation of food and in which</w:t>
      </w:r>
    </w:p>
    <w:p w14:paraId="11107901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parents can make decisions about health and child care without reference to </w:t>
      </w:r>
      <w:proofErr w:type="gramStart"/>
      <w:r w:rsidRPr="008A0371">
        <w:rPr>
          <w:color w:val="000000"/>
          <w:sz w:val="22"/>
          <w:szCs w:val="22"/>
        </w:rPr>
        <w:t>their</w:t>
      </w:r>
      <w:proofErr w:type="gramEnd"/>
    </w:p>
    <w:p w14:paraId="3FFEE14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elders’.</w:t>
      </w:r>
      <w:r w:rsidRPr="008A0371">
        <w:rPr>
          <w:color w:val="000000"/>
          <w:sz w:val="15"/>
          <w:szCs w:val="15"/>
        </w:rPr>
        <w:t xml:space="preserve">38 </w:t>
      </w:r>
      <w:r w:rsidRPr="008A0371">
        <w:rPr>
          <w:color w:val="000000"/>
          <w:sz w:val="22"/>
          <w:szCs w:val="22"/>
        </w:rPr>
        <w:t>Despite its gendered curriculum, nineteenth-century education, thanks</w:t>
      </w:r>
    </w:p>
    <w:p w14:paraId="301516F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to equal access for boys and girls, raised female status within households and</w:t>
      </w:r>
    </w:p>
    <w:p w14:paraId="341EE815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communities.</w:t>
      </w:r>
    </w:p>
    <w:p w14:paraId="252099F7" w14:textId="77777777" w:rsidR="008B77C8" w:rsidRDefault="008B77C8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20BA4C1E" w14:textId="797553E6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Millward and Bell did not attempt to measure the effects of maternal education.</w:t>
      </w:r>
    </w:p>
    <w:p w14:paraId="2606D04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It is, however, possible to draw on research by </w:t>
      </w:r>
      <w:proofErr w:type="spellStart"/>
      <w:r w:rsidRPr="008A0371">
        <w:rPr>
          <w:color w:val="000000"/>
          <w:sz w:val="22"/>
          <w:szCs w:val="22"/>
        </w:rPr>
        <w:t>Horrell</w:t>
      </w:r>
      <w:proofErr w:type="spellEnd"/>
      <w:r w:rsidRPr="008A0371">
        <w:rPr>
          <w:color w:val="000000"/>
          <w:sz w:val="22"/>
          <w:szCs w:val="22"/>
        </w:rPr>
        <w:t xml:space="preserve"> and Oxley, Humphries,</w:t>
      </w:r>
    </w:p>
    <w:p w14:paraId="6E6FE75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and others into female status within the household to generate some testable</w:t>
      </w:r>
    </w:p>
    <w:p w14:paraId="5609CD8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hypotheses.</w:t>
      </w:r>
      <w:r w:rsidRPr="008A0371">
        <w:rPr>
          <w:color w:val="000000"/>
          <w:sz w:val="15"/>
          <w:szCs w:val="15"/>
        </w:rPr>
        <w:t xml:space="preserve">39 </w:t>
      </w:r>
      <w:r w:rsidRPr="008A0371">
        <w:rPr>
          <w:color w:val="000000"/>
          <w:sz w:val="22"/>
          <w:szCs w:val="22"/>
        </w:rPr>
        <w:t>This work cautions against simplistic accounts of the effects of</w:t>
      </w:r>
    </w:p>
    <w:p w14:paraId="511E18B2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income on social conditions which ignore its changing distribution within the</w:t>
      </w:r>
    </w:p>
    <w:p w14:paraId="0AA6330B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household. These researchers showed that a disadvantaged status for women could</w:t>
      </w:r>
    </w:p>
    <w:p w14:paraId="2500E05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produce excess female mortality or shorter stature; our hypothesis is that it also</w:t>
      </w:r>
    </w:p>
    <w:p w14:paraId="2DAA93E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affected the infant. Education made itself felt in mothers’ ability to secure more</w:t>
      </w:r>
    </w:p>
    <w:p w14:paraId="03F84D1A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resources for feeding and child care, and could have given access to improved child</w:t>
      </w:r>
    </w:p>
    <w:p w14:paraId="67B2858E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care knowledge, though sources for the reception of contemporary texts on this are</w:t>
      </w:r>
    </w:p>
    <w:p w14:paraId="46BA91B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scarce. If Millward and Bell’s case is that what makes mothers ill makes babies ill,</w:t>
      </w:r>
    </w:p>
    <w:p w14:paraId="7E761B35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we wish to add that what makes mothers vulnerable makes babies vulnerable.</w:t>
      </w:r>
    </w:p>
    <w:p w14:paraId="3CCCD410" w14:textId="77777777" w:rsidR="008B77C8" w:rsidRDefault="008B77C8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13FEC3C2" w14:textId="6EBF527F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Education is proxied here, as it was by Woods et al., using female illiteracy,</w:t>
      </w:r>
    </w:p>
    <w:p w14:paraId="2FA8949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captured from the Registrar-General’s reports of proportions of brides making a</w:t>
      </w:r>
    </w:p>
    <w:p w14:paraId="41970C1B" w14:textId="77777777" w:rsidR="008B77C8" w:rsidRDefault="008B77C8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C0B7455" w14:textId="77777777" w:rsidR="008B77C8" w:rsidRDefault="008B77C8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1581CCB" w14:textId="5AB85115" w:rsidR="00175367" w:rsidRPr="008B77C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B77C8">
        <w:rPr>
          <w:color w:val="000000"/>
          <w:sz w:val="20"/>
          <w:szCs w:val="20"/>
        </w:rPr>
        <w:t>36 Ibid., pp. 93–4.</w:t>
      </w:r>
    </w:p>
    <w:p w14:paraId="5C5598B2" w14:textId="77777777" w:rsidR="00175367" w:rsidRPr="008B77C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B77C8">
        <w:rPr>
          <w:color w:val="000000"/>
          <w:sz w:val="20"/>
          <w:szCs w:val="20"/>
        </w:rPr>
        <w:t>37 Ibid., p. 95.</w:t>
      </w:r>
    </w:p>
    <w:p w14:paraId="5ACFD5BB" w14:textId="77777777" w:rsidR="00175367" w:rsidRPr="008B77C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B77C8">
        <w:rPr>
          <w:color w:val="000000"/>
          <w:sz w:val="20"/>
          <w:szCs w:val="20"/>
        </w:rPr>
        <w:t xml:space="preserve">38 Caldwell </w:t>
      </w:r>
      <w:proofErr w:type="spellStart"/>
      <w:r w:rsidRPr="008B77C8">
        <w:rPr>
          <w:color w:val="000000"/>
          <w:sz w:val="20"/>
          <w:szCs w:val="20"/>
        </w:rPr>
        <w:t>andMcDonald</w:t>
      </w:r>
      <w:proofErr w:type="spellEnd"/>
      <w:r w:rsidRPr="008B77C8">
        <w:rPr>
          <w:color w:val="000000"/>
          <w:sz w:val="20"/>
          <w:szCs w:val="20"/>
        </w:rPr>
        <w:t>, ‘Influence of maternal education’, p. 251; see also, for example, Jain, ‘Determinants</w:t>
      </w:r>
    </w:p>
    <w:p w14:paraId="72474471" w14:textId="77777777" w:rsidR="00175367" w:rsidRPr="008B77C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B77C8">
        <w:rPr>
          <w:color w:val="000000"/>
          <w:sz w:val="20"/>
          <w:szCs w:val="20"/>
        </w:rPr>
        <w:t>of regional variations’.</w:t>
      </w:r>
    </w:p>
    <w:p w14:paraId="33199744" w14:textId="77777777" w:rsidR="00175367" w:rsidRPr="008B77C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B77C8">
        <w:rPr>
          <w:color w:val="000000"/>
          <w:sz w:val="20"/>
          <w:szCs w:val="20"/>
        </w:rPr>
        <w:t xml:space="preserve">39 </w:t>
      </w:r>
      <w:proofErr w:type="spellStart"/>
      <w:r w:rsidRPr="008B77C8">
        <w:rPr>
          <w:color w:val="000000"/>
          <w:sz w:val="20"/>
          <w:szCs w:val="20"/>
        </w:rPr>
        <w:t>Horrell</w:t>
      </w:r>
      <w:proofErr w:type="spellEnd"/>
      <w:r w:rsidRPr="008B77C8">
        <w:rPr>
          <w:color w:val="000000"/>
          <w:sz w:val="20"/>
          <w:szCs w:val="20"/>
        </w:rPr>
        <w:t xml:space="preserve"> and Oxley, ‘Bringing home the bacon?’; </w:t>
      </w:r>
      <w:proofErr w:type="spellStart"/>
      <w:r w:rsidRPr="008B77C8">
        <w:rPr>
          <w:color w:val="000000"/>
          <w:sz w:val="20"/>
          <w:szCs w:val="20"/>
        </w:rPr>
        <w:t>Horrell</w:t>
      </w:r>
      <w:proofErr w:type="spellEnd"/>
      <w:r w:rsidRPr="008B77C8">
        <w:rPr>
          <w:color w:val="000000"/>
          <w:sz w:val="20"/>
          <w:szCs w:val="20"/>
        </w:rPr>
        <w:t xml:space="preserve"> and Oxley, ‘Bargaining for basics?’; Humphries,</w:t>
      </w:r>
    </w:p>
    <w:p w14:paraId="7CEA8454" w14:textId="2E65417B" w:rsidR="00E937FF" w:rsidRPr="005B1F8A" w:rsidRDefault="00175367" w:rsidP="005B1F8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8B77C8">
        <w:rPr>
          <w:color w:val="000000"/>
          <w:sz w:val="20"/>
          <w:szCs w:val="20"/>
        </w:rPr>
        <w:t xml:space="preserve">‘“Bread and a pennyworth of treacle”’; </w:t>
      </w:r>
      <w:proofErr w:type="spellStart"/>
      <w:r w:rsidRPr="008B77C8">
        <w:rPr>
          <w:color w:val="000000"/>
          <w:sz w:val="20"/>
          <w:szCs w:val="20"/>
        </w:rPr>
        <w:t>McNay</w:t>
      </w:r>
      <w:proofErr w:type="spellEnd"/>
      <w:r w:rsidRPr="008B77C8">
        <w:rPr>
          <w:color w:val="000000"/>
          <w:sz w:val="20"/>
          <w:szCs w:val="20"/>
        </w:rPr>
        <w:t xml:space="preserve">, Humphries, and </w:t>
      </w:r>
      <w:proofErr w:type="spellStart"/>
      <w:r w:rsidRPr="008B77C8">
        <w:rPr>
          <w:color w:val="000000"/>
          <w:sz w:val="20"/>
          <w:szCs w:val="20"/>
        </w:rPr>
        <w:t>Klasen</w:t>
      </w:r>
      <w:proofErr w:type="spellEnd"/>
      <w:r w:rsidRPr="008B77C8">
        <w:rPr>
          <w:color w:val="000000"/>
          <w:sz w:val="20"/>
          <w:szCs w:val="20"/>
        </w:rPr>
        <w:t>, ‘Excess female mortality’.</w:t>
      </w:r>
      <w:r w:rsidR="00E937FF" w:rsidRPr="008A0371">
        <w:rPr>
          <w:color w:val="000000"/>
          <w:sz w:val="22"/>
          <w:szCs w:val="22"/>
        </w:rPr>
        <w:br w:type="page"/>
      </w:r>
    </w:p>
    <w:p w14:paraId="4F6F8D10" w14:textId="60A6DFF4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Figure 4. </w:t>
      </w:r>
      <w:r w:rsidRPr="008A0371">
        <w:rPr>
          <w:i/>
          <w:iCs/>
          <w:color w:val="000000"/>
          <w:sz w:val="22"/>
          <w:szCs w:val="22"/>
        </w:rPr>
        <w:t>Per cent change in female mortality from tuberculosis at ages 15–44, per</w:t>
      </w:r>
    </w:p>
    <w:p w14:paraId="05838E89" w14:textId="5A98E4B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i/>
          <w:iCs/>
          <w:color w:val="000000"/>
          <w:sz w:val="22"/>
          <w:szCs w:val="22"/>
        </w:rPr>
        <w:t>thousand living, 1850s to 1900s (rural RDs: quintiles)</w:t>
      </w:r>
    </w:p>
    <w:p w14:paraId="368B2EB3" w14:textId="2AEB7E24" w:rsidR="00E937FF" w:rsidRPr="008A0371" w:rsidRDefault="00E937FF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i/>
          <w:iCs/>
          <w:noProof/>
          <w:color w:val="000000"/>
          <w:sz w:val="22"/>
          <w:szCs w:val="22"/>
        </w:rPr>
        <w:drawing>
          <wp:inline distT="0" distB="0" distL="0" distR="0" wp14:anchorId="4DA09E02" wp14:editId="31AB3CB1">
            <wp:extent cx="4838700" cy="58735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85" cy="587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2429" w14:textId="77777777" w:rsidR="005B1F8A" w:rsidRDefault="005B1F8A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</w:p>
    <w:p w14:paraId="22FFCA94" w14:textId="4091BEB6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i/>
          <w:iCs/>
          <w:color w:val="000000"/>
          <w:sz w:val="20"/>
          <w:szCs w:val="20"/>
        </w:rPr>
        <w:t xml:space="preserve">Notes: </w:t>
      </w:r>
      <w:r w:rsidRPr="005B1F8A">
        <w:rPr>
          <w:color w:val="000000"/>
          <w:sz w:val="20"/>
          <w:szCs w:val="20"/>
        </w:rPr>
        <w:t xml:space="preserve">Greatest reduction: –91.1, greatest increase: </w:t>
      </w:r>
      <w:r w:rsidRPr="005B1F8A">
        <w:rPr>
          <w:rFonts w:eastAsia="MTSY"/>
          <w:color w:val="000000"/>
          <w:sz w:val="20"/>
          <w:szCs w:val="20"/>
        </w:rPr>
        <w:t>+</w:t>
      </w:r>
      <w:r w:rsidRPr="005B1F8A">
        <w:rPr>
          <w:color w:val="000000"/>
          <w:sz w:val="20"/>
          <w:szCs w:val="20"/>
        </w:rPr>
        <w:t xml:space="preserve">21.1, mean change: –62.5, standard deviation: 16.0, N </w:t>
      </w:r>
      <w:r w:rsidRPr="005B1F8A">
        <w:rPr>
          <w:rFonts w:eastAsia="MTSY"/>
          <w:color w:val="000000"/>
          <w:sz w:val="20"/>
          <w:szCs w:val="20"/>
        </w:rPr>
        <w:t xml:space="preserve">= </w:t>
      </w:r>
      <w:r w:rsidRPr="005B1F8A">
        <w:rPr>
          <w:color w:val="000000"/>
          <w:sz w:val="20"/>
          <w:szCs w:val="20"/>
        </w:rPr>
        <w:t>328.</w:t>
      </w:r>
    </w:p>
    <w:p w14:paraId="4A0B5B11" w14:textId="77777777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color w:val="000000"/>
          <w:sz w:val="20"/>
          <w:szCs w:val="20"/>
        </w:rPr>
        <w:t>Unshaded RDs are not rural, or data for them are unavailable.</w:t>
      </w:r>
    </w:p>
    <w:p w14:paraId="30B18A12" w14:textId="77777777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i/>
          <w:iCs/>
          <w:color w:val="000000"/>
          <w:sz w:val="20"/>
          <w:szCs w:val="20"/>
        </w:rPr>
        <w:t xml:space="preserve">Source: </w:t>
      </w:r>
      <w:r w:rsidRPr="005B1F8A">
        <w:rPr>
          <w:color w:val="000000"/>
          <w:sz w:val="20"/>
          <w:szCs w:val="20"/>
        </w:rPr>
        <w:t>As for fig. 1.</w:t>
      </w:r>
    </w:p>
    <w:p w14:paraId="4B674DDC" w14:textId="77777777" w:rsidR="005B1F8A" w:rsidRDefault="005B1F8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260AA7C9" w14:textId="7ACDFCC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cross in the marriage register rather than signing it.</w:t>
      </w:r>
      <w:r w:rsidRPr="008A0371">
        <w:rPr>
          <w:color w:val="000000"/>
          <w:sz w:val="15"/>
          <w:szCs w:val="15"/>
        </w:rPr>
        <w:t xml:space="preserve">40 </w:t>
      </w:r>
      <w:r w:rsidRPr="008A0371">
        <w:rPr>
          <w:color w:val="000000"/>
          <w:sz w:val="22"/>
          <w:szCs w:val="22"/>
        </w:rPr>
        <w:t>Most of the illiteracy data</w:t>
      </w:r>
    </w:p>
    <w:p w14:paraId="01D39C4B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used here were taken from Friedlander and Okun’s dataset, picking mid-decade</w:t>
      </w:r>
    </w:p>
    <w:p w14:paraId="2E1FADA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data points of 1856, 1866, and 1876.</w:t>
      </w:r>
      <w:r w:rsidRPr="008A0371">
        <w:rPr>
          <w:color w:val="000000"/>
          <w:sz w:val="15"/>
          <w:szCs w:val="15"/>
        </w:rPr>
        <w:t xml:space="preserve">41 </w:t>
      </w:r>
      <w:r w:rsidRPr="008A0371">
        <w:rPr>
          <w:color w:val="000000"/>
          <w:sz w:val="22"/>
          <w:szCs w:val="22"/>
        </w:rPr>
        <w:t>To extend their series, we produced an</w:t>
      </w:r>
    </w:p>
    <w:p w14:paraId="1055D9A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1880s data point using the last instance when the Registrar-General reported on</w:t>
      </w:r>
    </w:p>
    <w:p w14:paraId="488BC16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literacy of spouses, in 1884.</w:t>
      </w:r>
      <w:r w:rsidRPr="008A0371">
        <w:rPr>
          <w:color w:val="000000"/>
          <w:sz w:val="15"/>
          <w:szCs w:val="15"/>
        </w:rPr>
        <w:t xml:space="preserve">42 </w:t>
      </w:r>
      <w:r w:rsidRPr="008A0371">
        <w:rPr>
          <w:color w:val="000000"/>
          <w:sz w:val="22"/>
          <w:szCs w:val="22"/>
        </w:rPr>
        <w:t>While there are issues about the validity of this</w:t>
      </w:r>
    </w:p>
    <w:p w14:paraId="01EF19AC" w14:textId="77777777" w:rsidR="005B1F8A" w:rsidRDefault="005B1F8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34881956" w14:textId="79CB28F4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color w:val="000000"/>
          <w:sz w:val="20"/>
          <w:szCs w:val="20"/>
        </w:rPr>
        <w:t>40 Woods et al., ‘Causes of rapid infant mortality decline, part 2’, p. 127.</w:t>
      </w:r>
    </w:p>
    <w:p w14:paraId="6440CE8F" w14:textId="77777777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color w:val="000000"/>
          <w:sz w:val="20"/>
          <w:szCs w:val="20"/>
        </w:rPr>
        <w:t>41 Friedlander and Okun, ‘Demographic processes’.</w:t>
      </w:r>
    </w:p>
    <w:p w14:paraId="25412762" w14:textId="77777777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color w:val="000000"/>
          <w:sz w:val="20"/>
          <w:szCs w:val="20"/>
        </w:rPr>
        <w:t xml:space="preserve">42 </w:t>
      </w:r>
      <w:r w:rsidRPr="005B1F8A">
        <w:rPr>
          <w:i/>
          <w:iCs/>
          <w:color w:val="000000"/>
          <w:sz w:val="20"/>
          <w:szCs w:val="20"/>
        </w:rPr>
        <w:t xml:space="preserve">Forty-Seventh Annual Report of the Registrar General </w:t>
      </w:r>
      <w:r w:rsidRPr="005B1F8A">
        <w:rPr>
          <w:color w:val="000000"/>
          <w:sz w:val="20"/>
          <w:szCs w:val="20"/>
        </w:rPr>
        <w:t>(P.P. 1886, XVII), pp. 2–25.</w:t>
      </w:r>
    </w:p>
    <w:p w14:paraId="5E1AD302" w14:textId="77777777" w:rsidR="005B1F8A" w:rsidRDefault="005B1F8A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54AABEEB" w14:textId="4CB886DE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Figure 5. </w:t>
      </w:r>
      <w:r w:rsidRPr="008A0371">
        <w:rPr>
          <w:i/>
          <w:iCs/>
          <w:color w:val="000000"/>
          <w:sz w:val="22"/>
          <w:szCs w:val="22"/>
        </w:rPr>
        <w:t>Change in percentage of brides signing with a mark, 1850s–80s (rural RDs:</w:t>
      </w:r>
    </w:p>
    <w:p w14:paraId="356B3050" w14:textId="742D463B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i/>
          <w:iCs/>
          <w:color w:val="000000"/>
          <w:sz w:val="22"/>
          <w:szCs w:val="22"/>
        </w:rPr>
        <w:t>quintiles)</w:t>
      </w:r>
    </w:p>
    <w:p w14:paraId="07EC305C" w14:textId="6752A27F" w:rsidR="00FD43B3" w:rsidRPr="008A0371" w:rsidRDefault="00FD43B3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i/>
          <w:iCs/>
          <w:noProof/>
          <w:color w:val="000000"/>
          <w:sz w:val="22"/>
          <w:szCs w:val="22"/>
        </w:rPr>
        <w:drawing>
          <wp:inline distT="0" distB="0" distL="0" distR="0" wp14:anchorId="1EFB212F" wp14:editId="4E7B5BA0">
            <wp:extent cx="4998720" cy="608829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38" cy="609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EB19" w14:textId="77777777" w:rsidR="005B1F8A" w:rsidRDefault="005B1F8A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</w:p>
    <w:p w14:paraId="6C2938F6" w14:textId="60DC201D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i/>
          <w:iCs/>
          <w:color w:val="000000"/>
          <w:sz w:val="20"/>
          <w:szCs w:val="20"/>
        </w:rPr>
        <w:t xml:space="preserve">Notes: </w:t>
      </w:r>
      <w:r w:rsidRPr="005B1F8A">
        <w:rPr>
          <w:color w:val="000000"/>
          <w:sz w:val="20"/>
          <w:szCs w:val="20"/>
        </w:rPr>
        <w:t xml:space="preserve">Greatest reduction: –98.0, greatest increase: </w:t>
      </w:r>
      <w:r w:rsidRPr="005B1F8A">
        <w:rPr>
          <w:rFonts w:eastAsia="MTSY"/>
          <w:color w:val="000000"/>
          <w:sz w:val="20"/>
          <w:szCs w:val="20"/>
        </w:rPr>
        <w:t>+</w:t>
      </w:r>
      <w:r w:rsidRPr="005B1F8A">
        <w:rPr>
          <w:color w:val="000000"/>
          <w:sz w:val="20"/>
          <w:szCs w:val="20"/>
        </w:rPr>
        <w:t xml:space="preserve">130.8, mean change: –63.7, standard deviation: 32.2, N </w:t>
      </w:r>
      <w:r w:rsidRPr="005B1F8A">
        <w:rPr>
          <w:rFonts w:eastAsia="MTSY"/>
          <w:color w:val="000000"/>
          <w:sz w:val="20"/>
          <w:szCs w:val="20"/>
        </w:rPr>
        <w:t xml:space="preserve">= </w:t>
      </w:r>
      <w:r w:rsidRPr="005B1F8A">
        <w:rPr>
          <w:color w:val="000000"/>
          <w:sz w:val="20"/>
          <w:szCs w:val="20"/>
        </w:rPr>
        <w:t>356.</w:t>
      </w:r>
    </w:p>
    <w:p w14:paraId="047B35A6" w14:textId="77777777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color w:val="000000"/>
          <w:sz w:val="20"/>
          <w:szCs w:val="20"/>
        </w:rPr>
        <w:t>Unshaded RDs are not rural, or data for them are unavailable.</w:t>
      </w:r>
    </w:p>
    <w:p w14:paraId="1152D067" w14:textId="1F0BE39C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i/>
          <w:iCs/>
          <w:color w:val="000000"/>
          <w:sz w:val="20"/>
          <w:szCs w:val="20"/>
        </w:rPr>
        <w:t xml:space="preserve">Sources: </w:t>
      </w:r>
      <w:r w:rsidRPr="005B1F8A">
        <w:rPr>
          <w:color w:val="000000"/>
          <w:sz w:val="20"/>
          <w:szCs w:val="20"/>
        </w:rPr>
        <w:t xml:space="preserve">Friedlander and Okun, ‘Demographic processes’; </w:t>
      </w:r>
      <w:r w:rsidRPr="005B1F8A">
        <w:rPr>
          <w:i/>
          <w:iCs/>
          <w:color w:val="000000"/>
          <w:sz w:val="20"/>
          <w:szCs w:val="20"/>
        </w:rPr>
        <w:t xml:space="preserve">Forty-Seventh Annual Report of the Registrar General </w:t>
      </w:r>
      <w:r w:rsidRPr="005B1F8A">
        <w:rPr>
          <w:color w:val="000000"/>
          <w:sz w:val="20"/>
          <w:szCs w:val="20"/>
        </w:rPr>
        <w:t>(P.P. 1886, XVII),</w:t>
      </w:r>
      <w:r w:rsidR="005B1F8A">
        <w:rPr>
          <w:color w:val="000000"/>
          <w:sz w:val="20"/>
          <w:szCs w:val="20"/>
        </w:rPr>
        <w:t xml:space="preserve"> </w:t>
      </w:r>
      <w:r w:rsidRPr="005B1F8A">
        <w:rPr>
          <w:color w:val="000000"/>
          <w:sz w:val="20"/>
          <w:szCs w:val="20"/>
        </w:rPr>
        <w:t>pp. 2–25.</w:t>
      </w:r>
    </w:p>
    <w:p w14:paraId="262787A1" w14:textId="77777777" w:rsidR="005B1F8A" w:rsidRPr="005B1F8A" w:rsidRDefault="005B1F8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3111A7A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measure of literacy,</w:t>
      </w:r>
      <w:r w:rsidRPr="008A0371">
        <w:rPr>
          <w:color w:val="000000"/>
          <w:sz w:val="15"/>
          <w:szCs w:val="15"/>
        </w:rPr>
        <w:t xml:space="preserve">43 </w:t>
      </w:r>
      <w:r w:rsidRPr="008A0371">
        <w:rPr>
          <w:color w:val="000000"/>
          <w:sz w:val="22"/>
          <w:szCs w:val="22"/>
        </w:rPr>
        <w:t>using it has the merit of producing findings comparable</w:t>
      </w:r>
    </w:p>
    <w:p w14:paraId="0D59A04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to Woods et al.’s results, which only reported on urban places and a national</w:t>
      </w:r>
    </w:p>
    <w:p w14:paraId="4266081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8A0371">
        <w:rPr>
          <w:color w:val="000000"/>
          <w:sz w:val="22"/>
          <w:szCs w:val="22"/>
        </w:rPr>
        <w:t>aggregate.</w:t>
      </w:r>
      <w:r w:rsidRPr="008A0371">
        <w:rPr>
          <w:color w:val="000000"/>
          <w:sz w:val="15"/>
          <w:szCs w:val="15"/>
        </w:rPr>
        <w:t>44</w:t>
      </w:r>
    </w:p>
    <w:p w14:paraId="5F50A3A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Figure 5 shows the spatial distribution of the decline in female illiteracy. Places</w:t>
      </w:r>
    </w:p>
    <w:p w14:paraId="33A34D4E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in the best quintile combined high starting points with a rapid fall. </w:t>
      </w:r>
      <w:proofErr w:type="spellStart"/>
      <w:r w:rsidRPr="008A0371">
        <w:rPr>
          <w:color w:val="000000"/>
          <w:sz w:val="22"/>
          <w:szCs w:val="22"/>
        </w:rPr>
        <w:t>Blything</w:t>
      </w:r>
      <w:proofErr w:type="spellEnd"/>
      <w:r w:rsidRPr="008A0371">
        <w:rPr>
          <w:color w:val="000000"/>
          <w:sz w:val="22"/>
          <w:szCs w:val="22"/>
        </w:rPr>
        <w:t>, in</w:t>
      </w:r>
    </w:p>
    <w:p w14:paraId="1AD98B0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proofErr w:type="gramStart"/>
      <w:r w:rsidRPr="008A0371">
        <w:rPr>
          <w:color w:val="000000"/>
          <w:sz w:val="22"/>
          <w:szCs w:val="22"/>
        </w:rPr>
        <w:t>Suffolk,</w:t>
      </w:r>
      <w:proofErr w:type="gramEnd"/>
      <w:r w:rsidRPr="008A0371">
        <w:rPr>
          <w:color w:val="000000"/>
          <w:sz w:val="22"/>
          <w:szCs w:val="22"/>
        </w:rPr>
        <w:t xml:space="preserve"> typifies these, with a reduction in illiteracy from 67 per cent to 12 per cent.</w:t>
      </w:r>
    </w:p>
    <w:p w14:paraId="5BE43CFE" w14:textId="77777777" w:rsidR="005B1F8A" w:rsidRDefault="005B1F8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6B7F971" w14:textId="392F051F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color w:val="000000"/>
          <w:sz w:val="20"/>
          <w:szCs w:val="20"/>
        </w:rPr>
        <w:t>43 Schofield, ‘Dimensions of illiteracy’, pp. 440–1.</w:t>
      </w:r>
    </w:p>
    <w:p w14:paraId="7AE932B9" w14:textId="77777777" w:rsidR="00175367" w:rsidRPr="005B1F8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5B1F8A">
        <w:rPr>
          <w:color w:val="000000"/>
          <w:sz w:val="20"/>
          <w:szCs w:val="20"/>
        </w:rPr>
        <w:t>44 Woods et al., ‘Causes of rapid infant mortality decline, part 2’, pp. 127–9.</w:t>
      </w:r>
    </w:p>
    <w:p w14:paraId="4D086AD9" w14:textId="77777777" w:rsidR="005B1F8A" w:rsidRDefault="005B1F8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C885631" w14:textId="00AD37C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In the</w:t>
      </w:r>
      <w:r w:rsidR="005B1F8A">
        <w:rPr>
          <w:color w:val="000000"/>
          <w:sz w:val="22"/>
          <w:szCs w:val="22"/>
        </w:rPr>
        <w:t xml:space="preserve"> </w:t>
      </w:r>
      <w:r w:rsidRPr="008A0371">
        <w:rPr>
          <w:color w:val="000000"/>
          <w:sz w:val="22"/>
          <w:szCs w:val="22"/>
        </w:rPr>
        <w:t>worst quintile, the starting point could be either high or low. In south and</w:t>
      </w:r>
      <w:r w:rsidR="005B1F8A">
        <w:rPr>
          <w:color w:val="000000"/>
          <w:sz w:val="22"/>
          <w:szCs w:val="22"/>
        </w:rPr>
        <w:t xml:space="preserve"> </w:t>
      </w:r>
      <w:r w:rsidRPr="008A0371">
        <w:rPr>
          <w:color w:val="000000"/>
          <w:sz w:val="22"/>
          <w:szCs w:val="22"/>
        </w:rPr>
        <w:t>west</w:t>
      </w:r>
    </w:p>
    <w:p w14:paraId="155F975B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Wales illiteracy began high and remained so; Newcastle Emlyn is a representative</w:t>
      </w:r>
    </w:p>
    <w:p w14:paraId="0F3E33C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example, with rates of 40 per cent and then 35 per cent. Other places in the worst</w:t>
      </w:r>
    </w:p>
    <w:p w14:paraId="6055628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quintile had lower starting points, as in Launceston (Cornwall), where illiteracy</w:t>
      </w:r>
    </w:p>
    <w:p w14:paraId="46B2FF2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actually rose from 10 to 13 per cent, or in Ely where it fell from 20 to 14 per cent.</w:t>
      </w:r>
    </w:p>
    <w:p w14:paraId="5BF3A15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This variety of starting levels is a warning that mapping the difference between two</w:t>
      </w:r>
    </w:p>
    <w:p w14:paraId="2C821B9E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snapshots in time does not tell the whole story; the longitudinal regression analysis,</w:t>
      </w:r>
    </w:p>
    <w:p w14:paraId="166A440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of course, captures all the time points.</w:t>
      </w:r>
    </w:p>
    <w:p w14:paraId="4F29F8C2" w14:textId="77777777" w:rsidR="0028457F" w:rsidRDefault="0028457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05C0B343" w14:textId="55704593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next covariate to consider is income. A link between rising real income</w:t>
      </w:r>
    </w:p>
    <w:p w14:paraId="4CA9C85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and falling IMR is intuitively likely, though we have already noted that the</w:t>
      </w:r>
    </w:p>
    <w:p w14:paraId="28777185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distribution of income within the household might be more important than</w:t>
      </w:r>
    </w:p>
    <w:p w14:paraId="094AD2D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its level. Measurement of household income has proved elusive. Woods et al.</w:t>
      </w:r>
    </w:p>
    <w:p w14:paraId="16871537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used the amount of employment in domestic service as a proxy but found </w:t>
      </w:r>
      <w:proofErr w:type="gramStart"/>
      <w:r w:rsidRPr="008A0371">
        <w:rPr>
          <w:color w:val="000000"/>
          <w:sz w:val="22"/>
          <w:szCs w:val="22"/>
        </w:rPr>
        <w:t>their</w:t>
      </w:r>
      <w:proofErr w:type="gramEnd"/>
    </w:p>
    <w:p w14:paraId="57459EAB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results unconvincing.</w:t>
      </w:r>
      <w:r w:rsidRPr="008A0371">
        <w:rPr>
          <w:color w:val="000000"/>
          <w:sz w:val="15"/>
          <w:szCs w:val="15"/>
        </w:rPr>
        <w:t xml:space="preserve">45 </w:t>
      </w:r>
      <w:r w:rsidRPr="008A0371">
        <w:rPr>
          <w:color w:val="000000"/>
          <w:sz w:val="22"/>
          <w:szCs w:val="22"/>
        </w:rPr>
        <w:t>Millward and Bell’s estimation of income was thorough</w:t>
      </w:r>
    </w:p>
    <w:p w14:paraId="24E4EF1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but the availability of data confined them to 36 mainly urban sites: they showed</w:t>
      </w:r>
    </w:p>
    <w:p w14:paraId="7DB557E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importance of rising income for better maternal health.</w:t>
      </w:r>
      <w:r w:rsidRPr="008A0371">
        <w:rPr>
          <w:color w:val="000000"/>
          <w:sz w:val="15"/>
          <w:szCs w:val="15"/>
        </w:rPr>
        <w:t xml:space="preserve">46 </w:t>
      </w:r>
      <w:r w:rsidRPr="008A0371">
        <w:rPr>
          <w:color w:val="000000"/>
          <w:sz w:val="22"/>
          <w:szCs w:val="22"/>
        </w:rPr>
        <w:t>We tried to test the</w:t>
      </w:r>
    </w:p>
    <w:p w14:paraId="30FA90F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impact of income across all rural </w:t>
      </w:r>
      <w:proofErr w:type="spellStart"/>
      <w:r w:rsidRPr="008A0371">
        <w:rPr>
          <w:color w:val="000000"/>
          <w:sz w:val="22"/>
          <w:szCs w:val="22"/>
        </w:rPr>
        <w:t>RDs.</w:t>
      </w:r>
      <w:proofErr w:type="spellEnd"/>
      <w:r w:rsidRPr="008A0371">
        <w:rPr>
          <w:color w:val="000000"/>
          <w:sz w:val="22"/>
          <w:szCs w:val="22"/>
        </w:rPr>
        <w:t xml:space="preserve"> In the absence of RD-level datasets for</w:t>
      </w:r>
    </w:p>
    <w:p w14:paraId="17971471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nineteenth-century incomes, we used Hunt’s series of wage rates by county for</w:t>
      </w:r>
    </w:p>
    <w:p w14:paraId="19F7F0F2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agricultural labourers, and deflated these by Crafts and </w:t>
      </w:r>
      <w:proofErr w:type="spellStart"/>
      <w:r w:rsidRPr="008A0371">
        <w:rPr>
          <w:color w:val="000000"/>
          <w:sz w:val="22"/>
          <w:szCs w:val="22"/>
        </w:rPr>
        <w:t>Mills’s</w:t>
      </w:r>
      <w:proofErr w:type="spellEnd"/>
      <w:r w:rsidRPr="008A0371">
        <w:rPr>
          <w:color w:val="000000"/>
          <w:sz w:val="22"/>
          <w:szCs w:val="22"/>
        </w:rPr>
        <w:t xml:space="preserve"> cost of living index</w:t>
      </w:r>
    </w:p>
    <w:p w14:paraId="57E328B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to produce real wage levels.</w:t>
      </w:r>
      <w:r w:rsidRPr="008A0371">
        <w:rPr>
          <w:color w:val="000000"/>
          <w:sz w:val="15"/>
          <w:szCs w:val="15"/>
        </w:rPr>
        <w:t xml:space="preserve">47 </w:t>
      </w:r>
      <w:r w:rsidRPr="008A0371">
        <w:rPr>
          <w:color w:val="000000"/>
          <w:sz w:val="22"/>
          <w:szCs w:val="22"/>
        </w:rPr>
        <w:t>The model assumes that the wage rate in each RD</w:t>
      </w:r>
    </w:p>
    <w:p w14:paraId="409EB6A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was the prevailing one for its county. While clearly an approximation, these are</w:t>
      </w:r>
    </w:p>
    <w:p w14:paraId="23D2C06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best income data available and for such a potentially important variable it was</w:t>
      </w:r>
    </w:p>
    <w:p w14:paraId="672CC433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judged necessary to include it. We used all of Hunt’s data, fitting his rates for</w:t>
      </w:r>
    </w:p>
    <w:p w14:paraId="3B6FD7FB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1867/70, 1898, and 1907 into our relevant decades and interpolating values for</w:t>
      </w:r>
    </w:p>
    <w:p w14:paraId="4CBD90E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1870s and 1880s by assuming constant rates of change for each RD (as with</w:t>
      </w:r>
    </w:p>
    <w:p w14:paraId="1F6CA3CB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tuberculosis mortality). Figure 6 shows the spatial distribution of the rise in real</w:t>
      </w:r>
    </w:p>
    <w:p w14:paraId="25D46D3A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agricultural wages.</w:t>
      </w:r>
    </w:p>
    <w:p w14:paraId="61CB820A" w14:textId="77777777" w:rsidR="0028457F" w:rsidRDefault="0028457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616F12AD" w14:textId="18391AF2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Since the wage data, unlike those for tuberculosis and illiteracy, were available</w:t>
      </w:r>
    </w:p>
    <w:p w14:paraId="7D2C510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only at county level, the map shows less detail. At mid-century, the south-east</w:t>
      </w:r>
    </w:p>
    <w:p w14:paraId="282EA0F7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had an overstocked labour market with low (often very low) wages, while higher</w:t>
      </w:r>
    </w:p>
    <w:p w14:paraId="1FE1E89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agricultural wages were earned in northern districts where farms had to compete</w:t>
      </w:r>
    </w:p>
    <w:p w14:paraId="38A4BFE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for labour with nearby industry.</w:t>
      </w:r>
      <w:r w:rsidRPr="008A0371">
        <w:rPr>
          <w:color w:val="000000"/>
          <w:sz w:val="15"/>
          <w:szCs w:val="15"/>
        </w:rPr>
        <w:t xml:space="preserve">48 </w:t>
      </w:r>
      <w:r w:rsidRPr="008A0371">
        <w:rPr>
          <w:color w:val="000000"/>
          <w:sz w:val="22"/>
          <w:szCs w:val="22"/>
        </w:rPr>
        <w:t>Hunt’s data show that, whether or not there</w:t>
      </w:r>
    </w:p>
    <w:p w14:paraId="23639D1F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was a ‘Great Depression’ in British agriculture in the last quarter of the nineteenth</w:t>
      </w:r>
    </w:p>
    <w:p w14:paraId="3F8F86A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century, labourers everywhere were able to secure gradually rising incomes (at least</w:t>
      </w:r>
    </w:p>
    <w:p w14:paraId="002E8194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in the long term).</w:t>
      </w:r>
      <w:r w:rsidRPr="008A0371">
        <w:rPr>
          <w:color w:val="000000"/>
          <w:sz w:val="15"/>
          <w:szCs w:val="15"/>
        </w:rPr>
        <w:t xml:space="preserve">49 </w:t>
      </w:r>
      <w:r w:rsidRPr="008A0371">
        <w:rPr>
          <w:color w:val="000000"/>
          <w:sz w:val="22"/>
          <w:szCs w:val="22"/>
        </w:rPr>
        <w:t>No county shows a real decrease: the south and east do least</w:t>
      </w:r>
    </w:p>
    <w:p w14:paraId="132DBF5E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well, generally achieving small gains on a low base (for example, in Norfolk rising</w:t>
      </w:r>
    </w:p>
    <w:p w14:paraId="5D134041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from 12s. 7d. per week to 14s. 9½d.).</w:t>
      </w:r>
      <w:r w:rsidRPr="008A0371">
        <w:rPr>
          <w:color w:val="000000"/>
          <w:sz w:val="15"/>
          <w:szCs w:val="15"/>
        </w:rPr>
        <w:t xml:space="preserve">50 </w:t>
      </w:r>
      <w:r w:rsidRPr="008A0371">
        <w:rPr>
          <w:color w:val="000000"/>
          <w:sz w:val="22"/>
          <w:szCs w:val="22"/>
        </w:rPr>
        <w:t>The remotest parts of the north-west show</w:t>
      </w:r>
    </w:p>
    <w:p w14:paraId="4694F448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a similarly small gain but on a much higher base, as in Westmoreland (16s. to 18s.</w:t>
      </w:r>
    </w:p>
    <w:p w14:paraId="5B6C4512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5d.). The greatest progress in wages was enjoyed by </w:t>
      </w:r>
      <w:proofErr w:type="gramStart"/>
      <w:r w:rsidRPr="008A0371">
        <w:rPr>
          <w:color w:val="000000"/>
          <w:sz w:val="22"/>
          <w:szCs w:val="22"/>
        </w:rPr>
        <w:t>a western and west midlands</w:t>
      </w:r>
      <w:proofErr w:type="gramEnd"/>
    </w:p>
    <w:p w14:paraId="7E78D3DF" w14:textId="77777777" w:rsidR="00FA1201" w:rsidRDefault="00FA120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3A2B85A" w14:textId="20C9F2EB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A1201">
        <w:rPr>
          <w:color w:val="000000"/>
          <w:sz w:val="20"/>
          <w:szCs w:val="20"/>
        </w:rPr>
        <w:t>45 Ibid., pp. 126–9, especially n. 78.</w:t>
      </w:r>
    </w:p>
    <w:p w14:paraId="7487355A" w14:textId="77777777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A1201">
        <w:rPr>
          <w:color w:val="000000"/>
          <w:sz w:val="20"/>
          <w:szCs w:val="20"/>
        </w:rPr>
        <w:t>46 Millward and Bell, ‘Infant mortality’, pp. 718–19.</w:t>
      </w:r>
    </w:p>
    <w:p w14:paraId="0216A3AD" w14:textId="77777777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FA1201">
        <w:rPr>
          <w:color w:val="000000"/>
          <w:sz w:val="20"/>
          <w:szCs w:val="20"/>
        </w:rPr>
        <w:t xml:space="preserve">47 Hunt, </w:t>
      </w:r>
      <w:r w:rsidRPr="00FA1201">
        <w:rPr>
          <w:i/>
          <w:iCs/>
          <w:color w:val="000000"/>
          <w:sz w:val="20"/>
          <w:szCs w:val="20"/>
        </w:rPr>
        <w:t>Regional wage variations</w:t>
      </w:r>
      <w:r w:rsidRPr="00FA1201">
        <w:rPr>
          <w:color w:val="000000"/>
          <w:sz w:val="20"/>
          <w:szCs w:val="20"/>
        </w:rPr>
        <w:t xml:space="preserve">, pp. 61–3. Hunt’s main sources were Bowley, </w:t>
      </w:r>
      <w:r w:rsidRPr="00FA1201">
        <w:rPr>
          <w:i/>
          <w:iCs/>
          <w:color w:val="000000"/>
          <w:sz w:val="20"/>
          <w:szCs w:val="20"/>
        </w:rPr>
        <w:t>Wages in the UK in the nineteenth</w:t>
      </w:r>
    </w:p>
    <w:p w14:paraId="3991DF91" w14:textId="77777777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A1201">
        <w:rPr>
          <w:i/>
          <w:iCs/>
          <w:color w:val="000000"/>
          <w:sz w:val="20"/>
          <w:szCs w:val="20"/>
        </w:rPr>
        <w:t xml:space="preserve">century </w:t>
      </w:r>
      <w:r w:rsidRPr="00FA1201">
        <w:rPr>
          <w:color w:val="000000"/>
          <w:sz w:val="20"/>
          <w:szCs w:val="20"/>
        </w:rPr>
        <w:t xml:space="preserve">(Cambridge, 1900), </w:t>
      </w:r>
      <w:proofErr w:type="spellStart"/>
      <w:r w:rsidRPr="00FA1201">
        <w:rPr>
          <w:color w:val="000000"/>
          <w:sz w:val="20"/>
          <w:szCs w:val="20"/>
        </w:rPr>
        <w:t>endtable</w:t>
      </w:r>
      <w:proofErr w:type="spellEnd"/>
      <w:r w:rsidRPr="00FA1201">
        <w:rPr>
          <w:color w:val="000000"/>
          <w:sz w:val="20"/>
          <w:szCs w:val="20"/>
        </w:rPr>
        <w:t xml:space="preserve">; </w:t>
      </w:r>
      <w:r w:rsidRPr="00FA1201">
        <w:rPr>
          <w:i/>
          <w:iCs/>
          <w:color w:val="000000"/>
          <w:sz w:val="20"/>
          <w:szCs w:val="20"/>
        </w:rPr>
        <w:t xml:space="preserve">Reports </w:t>
      </w:r>
      <w:proofErr w:type="spellStart"/>
      <w:r w:rsidRPr="00FA1201">
        <w:rPr>
          <w:i/>
          <w:iCs/>
          <w:color w:val="000000"/>
          <w:sz w:val="20"/>
          <w:szCs w:val="20"/>
        </w:rPr>
        <w:t>onWages</w:t>
      </w:r>
      <w:proofErr w:type="spellEnd"/>
      <w:r w:rsidRPr="00FA1201">
        <w:rPr>
          <w:i/>
          <w:iCs/>
          <w:color w:val="000000"/>
          <w:sz w:val="20"/>
          <w:szCs w:val="20"/>
        </w:rPr>
        <w:t xml:space="preserve"> and Earnings of Agricultural Labourers </w:t>
      </w:r>
      <w:r w:rsidRPr="00FA1201">
        <w:rPr>
          <w:color w:val="000000"/>
          <w:sz w:val="20"/>
          <w:szCs w:val="20"/>
        </w:rPr>
        <w:t>(P.P. 1900, LXXXII),</w:t>
      </w:r>
    </w:p>
    <w:p w14:paraId="2C3A8E9A" w14:textId="77777777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A1201">
        <w:rPr>
          <w:color w:val="000000"/>
          <w:sz w:val="20"/>
          <w:szCs w:val="20"/>
        </w:rPr>
        <w:t xml:space="preserve">and </w:t>
      </w:r>
      <w:r w:rsidRPr="00FA1201">
        <w:rPr>
          <w:i/>
          <w:iCs/>
          <w:color w:val="000000"/>
          <w:sz w:val="20"/>
          <w:szCs w:val="20"/>
        </w:rPr>
        <w:t xml:space="preserve">Earnings and Hours Enquiry. V. Agriculture </w:t>
      </w:r>
      <w:r w:rsidRPr="00FA1201">
        <w:rPr>
          <w:color w:val="000000"/>
          <w:sz w:val="20"/>
          <w:szCs w:val="20"/>
        </w:rPr>
        <w:t>(P.P. 1910, LXXXIV); Crafts and Mills, ‘Trends in real wages’.</w:t>
      </w:r>
    </w:p>
    <w:p w14:paraId="5D7D7B04" w14:textId="77777777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A1201">
        <w:rPr>
          <w:color w:val="000000"/>
          <w:sz w:val="20"/>
          <w:szCs w:val="20"/>
        </w:rPr>
        <w:t>48 Thompson, ‘Anatomy of English agriculture’, pp. 235–9.</w:t>
      </w:r>
    </w:p>
    <w:p w14:paraId="31E536D3" w14:textId="77777777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A1201">
        <w:rPr>
          <w:color w:val="000000"/>
          <w:sz w:val="20"/>
          <w:szCs w:val="20"/>
        </w:rPr>
        <w:t xml:space="preserve">49 Hunt, </w:t>
      </w:r>
      <w:r w:rsidRPr="00FA1201">
        <w:rPr>
          <w:i/>
          <w:iCs/>
          <w:color w:val="000000"/>
          <w:sz w:val="20"/>
          <w:szCs w:val="20"/>
        </w:rPr>
        <w:t>Regional wage variations</w:t>
      </w:r>
      <w:r w:rsidRPr="00FA1201">
        <w:rPr>
          <w:color w:val="000000"/>
          <w:sz w:val="20"/>
          <w:szCs w:val="20"/>
        </w:rPr>
        <w:t>, pp. 61–3.</w:t>
      </w:r>
    </w:p>
    <w:p w14:paraId="4175057C" w14:textId="77777777" w:rsidR="00175367" w:rsidRPr="00FA120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A1201">
        <w:rPr>
          <w:color w:val="000000"/>
          <w:sz w:val="20"/>
          <w:szCs w:val="20"/>
        </w:rPr>
        <w:t>50 The examples of wages in this paragraph are deflated to 1900 prices.</w:t>
      </w:r>
    </w:p>
    <w:p w14:paraId="0F0DF11E" w14:textId="77777777" w:rsidR="007A422A" w:rsidRPr="008A0371" w:rsidRDefault="007A422A">
      <w:pPr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br w:type="page"/>
      </w:r>
    </w:p>
    <w:p w14:paraId="6CAC828B" w14:textId="07241A34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Figure 6. </w:t>
      </w:r>
      <w:r w:rsidRPr="008A0371">
        <w:rPr>
          <w:i/>
          <w:iCs/>
          <w:color w:val="000000"/>
          <w:sz w:val="22"/>
          <w:szCs w:val="22"/>
        </w:rPr>
        <w:t>Change in real agricultural wage (£ per week), 1860s–1900s (rural RDs:</w:t>
      </w:r>
    </w:p>
    <w:p w14:paraId="3118F62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i/>
          <w:iCs/>
          <w:color w:val="000000"/>
          <w:sz w:val="22"/>
          <w:szCs w:val="22"/>
        </w:rPr>
        <w:t>quintiles)</w:t>
      </w:r>
    </w:p>
    <w:p w14:paraId="6D1DCF95" w14:textId="2521CEDC" w:rsidR="007A422A" w:rsidRPr="008A0371" w:rsidRDefault="007A422A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4"/>
          <w:szCs w:val="14"/>
        </w:rPr>
      </w:pPr>
      <w:r w:rsidRPr="008A0371">
        <w:rPr>
          <w:i/>
          <w:iCs/>
          <w:noProof/>
          <w:color w:val="000000"/>
          <w:sz w:val="14"/>
          <w:szCs w:val="14"/>
        </w:rPr>
        <w:drawing>
          <wp:inline distT="0" distB="0" distL="0" distR="0" wp14:anchorId="6BAE36C0" wp14:editId="4A94123E">
            <wp:extent cx="5731510" cy="6794222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7AA1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</w:p>
    <w:p w14:paraId="25A6E532" w14:textId="3046CC5B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i/>
          <w:iCs/>
          <w:color w:val="000000"/>
          <w:sz w:val="20"/>
          <w:szCs w:val="20"/>
        </w:rPr>
        <w:t xml:space="preserve">Notes: </w:t>
      </w:r>
      <w:r w:rsidRPr="00D0765A">
        <w:rPr>
          <w:color w:val="000000"/>
          <w:sz w:val="20"/>
          <w:szCs w:val="20"/>
        </w:rPr>
        <w:t xml:space="preserve">The classes shown are quintiles. Minimum: </w:t>
      </w:r>
      <w:r w:rsidRPr="00D0765A">
        <w:rPr>
          <w:rFonts w:eastAsia="MTSY"/>
          <w:color w:val="000000"/>
          <w:sz w:val="20"/>
          <w:szCs w:val="20"/>
        </w:rPr>
        <w:t>+</w:t>
      </w:r>
      <w:r w:rsidRPr="00D0765A">
        <w:rPr>
          <w:color w:val="000000"/>
          <w:sz w:val="20"/>
          <w:szCs w:val="20"/>
        </w:rPr>
        <w:t xml:space="preserve">0.11, maximum: </w:t>
      </w:r>
      <w:r w:rsidRPr="00D0765A">
        <w:rPr>
          <w:rFonts w:eastAsia="MTSY"/>
          <w:color w:val="000000"/>
          <w:sz w:val="20"/>
          <w:szCs w:val="20"/>
        </w:rPr>
        <w:t>+</w:t>
      </w:r>
      <w:r w:rsidRPr="00D0765A">
        <w:rPr>
          <w:color w:val="000000"/>
          <w:sz w:val="20"/>
          <w:szCs w:val="20"/>
        </w:rPr>
        <w:t xml:space="preserve">0.38, mean: </w:t>
      </w:r>
      <w:r w:rsidRPr="00D0765A">
        <w:rPr>
          <w:rFonts w:eastAsia="MTSY"/>
          <w:color w:val="000000"/>
          <w:sz w:val="20"/>
          <w:szCs w:val="20"/>
        </w:rPr>
        <w:t>+</w:t>
      </w:r>
      <w:r w:rsidRPr="00D0765A">
        <w:rPr>
          <w:color w:val="000000"/>
          <w:sz w:val="20"/>
          <w:szCs w:val="20"/>
        </w:rPr>
        <w:t xml:space="preserve">0.24, standard deviation: 0.07, N </w:t>
      </w:r>
      <w:r w:rsidRPr="00D0765A">
        <w:rPr>
          <w:rFonts w:eastAsia="MTSY"/>
          <w:color w:val="000000"/>
          <w:sz w:val="20"/>
          <w:szCs w:val="20"/>
        </w:rPr>
        <w:t xml:space="preserve">= </w:t>
      </w:r>
      <w:r w:rsidRPr="00D0765A">
        <w:rPr>
          <w:color w:val="000000"/>
          <w:sz w:val="20"/>
          <w:szCs w:val="20"/>
        </w:rPr>
        <w:t>346.</w:t>
      </w:r>
    </w:p>
    <w:p w14:paraId="0EB37227" w14:textId="77777777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color w:val="000000"/>
          <w:sz w:val="20"/>
          <w:szCs w:val="20"/>
        </w:rPr>
        <w:t>Unshaded RDs are not rural, or data for them are unavailable.</w:t>
      </w:r>
    </w:p>
    <w:p w14:paraId="152F047C" w14:textId="77777777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i/>
          <w:iCs/>
          <w:color w:val="000000"/>
          <w:sz w:val="20"/>
          <w:szCs w:val="20"/>
        </w:rPr>
        <w:t xml:space="preserve">Source: </w:t>
      </w:r>
      <w:r w:rsidRPr="00D0765A">
        <w:rPr>
          <w:color w:val="000000"/>
          <w:sz w:val="20"/>
          <w:szCs w:val="20"/>
        </w:rPr>
        <w:t xml:space="preserve">Hunt, </w:t>
      </w:r>
      <w:r w:rsidRPr="00D0765A">
        <w:rPr>
          <w:i/>
          <w:iCs/>
          <w:color w:val="000000"/>
          <w:sz w:val="20"/>
          <w:szCs w:val="20"/>
        </w:rPr>
        <w:t>Regional wage variations</w:t>
      </w:r>
      <w:r w:rsidRPr="00D0765A">
        <w:rPr>
          <w:color w:val="000000"/>
          <w:sz w:val="20"/>
          <w:szCs w:val="20"/>
        </w:rPr>
        <w:t>, pp. 62–3.</w:t>
      </w:r>
    </w:p>
    <w:p w14:paraId="37134BA2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47CBB302" w14:textId="3DDF357A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group where wages began very low: Devon is typical with a progression from 10s.</w:t>
      </w:r>
    </w:p>
    <w:p w14:paraId="6C9F22C6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9½d. to 17s. 2½d.</w:t>
      </w:r>
    </w:p>
    <w:p w14:paraId="6A7BCB65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3005F7F9" w14:textId="7A49562C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Population density, fertility, female tuberculosis mortality, female illiteracy, and</w:t>
      </w:r>
    </w:p>
    <w:p w14:paraId="7006D09D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(male) agricultural wages thus form our within-subjects variables. We also used</w:t>
      </w:r>
    </w:p>
    <w:p w14:paraId="507E09F9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two between-subjects variables to model time-invariant factors. The first of these</w:t>
      </w:r>
    </w:p>
    <w:p w14:paraId="0E5187E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is an RD’s peripherality, defined as the distance in kilometres from London of</w:t>
      </w:r>
    </w:p>
    <w:p w14:paraId="68D65DDC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its centroid. This is readily calculated using GIS software such as ArcGIS from</w:t>
      </w:r>
    </w:p>
    <w:p w14:paraId="02DBB7B0" w14:textId="77777777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>the geographical data about RDs in the GBHGIS. Gregory drew attention in</w:t>
      </w:r>
    </w:p>
    <w:p w14:paraId="1468782E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FED536C" w14:textId="06D7373C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8A0371">
        <w:rPr>
          <w:color w:val="000000"/>
          <w:sz w:val="22"/>
          <w:szCs w:val="22"/>
        </w:rPr>
        <w:t xml:space="preserve">Table 1. </w:t>
      </w:r>
      <w:r w:rsidRPr="008A0371">
        <w:rPr>
          <w:i/>
          <w:iCs/>
          <w:color w:val="000000"/>
          <w:sz w:val="22"/>
          <w:szCs w:val="22"/>
        </w:rPr>
        <w:t>Data availability for covariates of infant mortality</w:t>
      </w:r>
    </w:p>
    <w:p w14:paraId="096EA6F5" w14:textId="77777777" w:rsidR="00D0765A" w:rsidRPr="008A0371" w:rsidRDefault="00D0765A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</w:p>
    <w:p w14:paraId="4EA64667" w14:textId="145B8186" w:rsidR="00175367" w:rsidRPr="008A0371" w:rsidRDefault="00175367" w:rsidP="00ED1B09">
      <w:pPr>
        <w:autoSpaceDE w:val="0"/>
        <w:autoSpaceDN w:val="0"/>
        <w:adjustRightInd w:val="0"/>
        <w:spacing w:after="0" w:line="240" w:lineRule="auto"/>
        <w:ind w:left="720" w:firstLine="720"/>
        <w:rPr>
          <w:i/>
          <w:iCs/>
          <w:color w:val="000000"/>
          <w:sz w:val="16"/>
          <w:szCs w:val="16"/>
        </w:rPr>
      </w:pPr>
      <w:r w:rsidRPr="008A0371">
        <w:rPr>
          <w:i/>
          <w:iCs/>
          <w:color w:val="000000"/>
          <w:sz w:val="16"/>
          <w:szCs w:val="16"/>
        </w:rPr>
        <w:t xml:space="preserve">1850s </w:t>
      </w:r>
      <w:r w:rsidR="00ED1B09" w:rsidRPr="008A0371">
        <w:rPr>
          <w:i/>
          <w:iCs/>
          <w:color w:val="000000"/>
          <w:sz w:val="16"/>
          <w:szCs w:val="16"/>
        </w:rPr>
        <w:tab/>
      </w:r>
      <w:r w:rsidRPr="008A0371">
        <w:rPr>
          <w:i/>
          <w:iCs/>
          <w:color w:val="000000"/>
          <w:sz w:val="16"/>
          <w:szCs w:val="16"/>
        </w:rPr>
        <w:t xml:space="preserve">1860s </w:t>
      </w:r>
      <w:r w:rsidR="00ED1B09" w:rsidRPr="008A0371">
        <w:rPr>
          <w:i/>
          <w:iCs/>
          <w:color w:val="000000"/>
          <w:sz w:val="16"/>
          <w:szCs w:val="16"/>
        </w:rPr>
        <w:tab/>
      </w:r>
      <w:r w:rsidRPr="008A0371">
        <w:rPr>
          <w:i/>
          <w:iCs/>
          <w:color w:val="000000"/>
          <w:sz w:val="16"/>
          <w:szCs w:val="16"/>
        </w:rPr>
        <w:t xml:space="preserve">1870s </w:t>
      </w:r>
      <w:r w:rsidR="00ED1B09" w:rsidRPr="008A0371">
        <w:rPr>
          <w:i/>
          <w:iCs/>
          <w:color w:val="000000"/>
          <w:sz w:val="16"/>
          <w:szCs w:val="16"/>
        </w:rPr>
        <w:tab/>
      </w:r>
      <w:r w:rsidRPr="008A0371">
        <w:rPr>
          <w:i/>
          <w:iCs/>
          <w:color w:val="000000"/>
          <w:sz w:val="16"/>
          <w:szCs w:val="16"/>
        </w:rPr>
        <w:t>1880s</w:t>
      </w:r>
      <w:r w:rsidR="00ED1B09" w:rsidRPr="008A0371">
        <w:rPr>
          <w:i/>
          <w:iCs/>
          <w:color w:val="000000"/>
          <w:sz w:val="16"/>
          <w:szCs w:val="16"/>
        </w:rPr>
        <w:tab/>
      </w:r>
      <w:r w:rsidRPr="008A0371">
        <w:rPr>
          <w:i/>
          <w:iCs/>
          <w:color w:val="000000"/>
          <w:sz w:val="16"/>
          <w:szCs w:val="16"/>
        </w:rPr>
        <w:t xml:space="preserve"> 1890s</w:t>
      </w:r>
      <w:r w:rsidR="00ED1B09" w:rsidRPr="008A0371">
        <w:rPr>
          <w:i/>
          <w:iCs/>
          <w:color w:val="000000"/>
          <w:sz w:val="16"/>
          <w:szCs w:val="16"/>
        </w:rPr>
        <w:tab/>
      </w:r>
      <w:r w:rsidRPr="008A0371">
        <w:rPr>
          <w:i/>
          <w:iCs/>
          <w:color w:val="000000"/>
          <w:sz w:val="16"/>
          <w:szCs w:val="16"/>
        </w:rPr>
        <w:t xml:space="preserve"> 1900s</w:t>
      </w:r>
    </w:p>
    <w:p w14:paraId="439C1F99" w14:textId="77777777" w:rsidR="00D0765A" w:rsidRDefault="00D0765A" w:rsidP="00ED1B09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</w:p>
    <w:p w14:paraId="62F57614" w14:textId="7507B448" w:rsidR="00175367" w:rsidRPr="008A0371" w:rsidRDefault="00175367" w:rsidP="00ED1B09">
      <w:pPr>
        <w:autoSpaceDE w:val="0"/>
        <w:autoSpaceDN w:val="0"/>
        <w:adjustRightInd w:val="0"/>
        <w:spacing w:after="0" w:line="240" w:lineRule="auto"/>
        <w:rPr>
          <w:rFonts w:eastAsia="MTSY"/>
          <w:color w:val="000000"/>
          <w:sz w:val="16"/>
          <w:szCs w:val="16"/>
        </w:rPr>
      </w:pPr>
      <w:r w:rsidRPr="008A0371">
        <w:rPr>
          <w:color w:val="000000"/>
          <w:sz w:val="16"/>
          <w:szCs w:val="16"/>
        </w:rPr>
        <w:t>Population density</w:t>
      </w:r>
      <w:r w:rsidR="00ED1B09" w:rsidRPr="008A0371">
        <w:rPr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>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</w:p>
    <w:p w14:paraId="41C03760" w14:textId="7BBC7DC5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rFonts w:eastAsia="MTSY"/>
          <w:color w:val="000000"/>
          <w:sz w:val="16"/>
          <w:szCs w:val="16"/>
        </w:rPr>
      </w:pPr>
      <w:r w:rsidRPr="008A0371">
        <w:rPr>
          <w:color w:val="000000"/>
          <w:sz w:val="16"/>
          <w:szCs w:val="16"/>
        </w:rPr>
        <w:t>Fertility</w:t>
      </w:r>
      <w:r w:rsidR="00ED1B09" w:rsidRPr="008A0371">
        <w:rPr>
          <w:color w:val="000000"/>
          <w:sz w:val="16"/>
          <w:szCs w:val="16"/>
        </w:rPr>
        <w:tab/>
      </w:r>
      <w:r w:rsidR="00ED1B09" w:rsidRPr="008A0371">
        <w:rPr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>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</w:p>
    <w:p w14:paraId="0D8FDAC8" w14:textId="0BF53C76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rFonts w:eastAsia="MTSY"/>
          <w:color w:val="000000"/>
          <w:sz w:val="16"/>
          <w:szCs w:val="16"/>
        </w:rPr>
      </w:pPr>
      <w:r w:rsidRPr="008A0371">
        <w:rPr>
          <w:color w:val="000000"/>
          <w:sz w:val="16"/>
          <w:szCs w:val="16"/>
        </w:rPr>
        <w:t>Female TB</w:t>
      </w:r>
      <w:r w:rsidR="00ED1B09" w:rsidRPr="008A0371">
        <w:rPr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>√</w:t>
      </w:r>
      <w:r w:rsidR="00ED1B09" w:rsidRPr="008A0371">
        <w:rPr>
          <w:rFonts w:eastAsia="MTSY"/>
          <w:color w:val="000000"/>
          <w:sz w:val="16"/>
          <w:szCs w:val="16"/>
        </w:rPr>
        <w:tab/>
        <w:t xml:space="preserve"> </w:t>
      </w:r>
      <w:r w:rsidRPr="008A0371">
        <w:rPr>
          <w:rFonts w:eastAsia="MTSY"/>
          <w:color w:val="000000"/>
          <w:sz w:val="16"/>
          <w:szCs w:val="16"/>
        </w:rPr>
        <w:t>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</w:p>
    <w:p w14:paraId="4E85D574" w14:textId="678148E5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rFonts w:eastAsia="MTSY"/>
          <w:color w:val="000000"/>
          <w:sz w:val="16"/>
          <w:szCs w:val="16"/>
        </w:rPr>
      </w:pPr>
      <w:r w:rsidRPr="008A0371">
        <w:rPr>
          <w:color w:val="000000"/>
          <w:sz w:val="16"/>
          <w:szCs w:val="16"/>
        </w:rPr>
        <w:t>Female illiteracy</w:t>
      </w:r>
      <w:r w:rsidR="00ED1B09" w:rsidRPr="008A0371">
        <w:rPr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>√</w:t>
      </w:r>
      <w:r w:rsidR="00ED1B09" w:rsidRPr="008A0371">
        <w:rPr>
          <w:rFonts w:eastAsia="MTSY"/>
          <w:color w:val="000000"/>
          <w:sz w:val="16"/>
          <w:szCs w:val="16"/>
        </w:rPr>
        <w:tab/>
        <w:t xml:space="preserve"> </w:t>
      </w:r>
      <w:r w:rsidRPr="008A0371">
        <w:rPr>
          <w:rFonts w:eastAsia="MTSY"/>
          <w:color w:val="000000"/>
          <w:sz w:val="16"/>
          <w:szCs w:val="16"/>
        </w:rPr>
        <w:t>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</w:p>
    <w:p w14:paraId="5524F9BF" w14:textId="14421095" w:rsidR="00175367" w:rsidRPr="008A0371" w:rsidRDefault="00175367" w:rsidP="00175367">
      <w:pPr>
        <w:autoSpaceDE w:val="0"/>
        <w:autoSpaceDN w:val="0"/>
        <w:adjustRightInd w:val="0"/>
        <w:spacing w:after="0" w:line="240" w:lineRule="auto"/>
        <w:rPr>
          <w:rFonts w:eastAsia="MTSY"/>
          <w:color w:val="000000"/>
          <w:sz w:val="16"/>
          <w:szCs w:val="16"/>
        </w:rPr>
      </w:pPr>
      <w:r w:rsidRPr="008A0371">
        <w:rPr>
          <w:color w:val="000000"/>
          <w:sz w:val="16"/>
          <w:szCs w:val="16"/>
        </w:rPr>
        <w:t>Agricultural wage</w:t>
      </w:r>
      <w:r w:rsidR="00ED1B09" w:rsidRPr="008A0371">
        <w:rPr>
          <w:color w:val="000000"/>
          <w:sz w:val="16"/>
          <w:szCs w:val="16"/>
        </w:rPr>
        <w:tab/>
      </w:r>
      <w:r w:rsidR="00ED1B09" w:rsidRPr="008A0371">
        <w:rPr>
          <w:color w:val="000000"/>
          <w:sz w:val="16"/>
          <w:szCs w:val="16"/>
        </w:rPr>
        <w:tab/>
        <w:t xml:space="preserve"> </w:t>
      </w:r>
      <w:r w:rsidRPr="008A0371">
        <w:rPr>
          <w:rFonts w:eastAsia="MTSY"/>
          <w:color w:val="000000"/>
          <w:sz w:val="16"/>
          <w:szCs w:val="16"/>
        </w:rPr>
        <w:t xml:space="preserve">√ </w:t>
      </w:r>
      <w:r w:rsidR="00ED1B09" w:rsidRPr="008A0371">
        <w:rPr>
          <w:rFonts w:eastAsia="MTSY"/>
          <w:color w:val="000000"/>
          <w:sz w:val="16"/>
          <w:szCs w:val="16"/>
        </w:rPr>
        <w:tab/>
        <w:t xml:space="preserve"> </w:t>
      </w:r>
      <w:r w:rsidRPr="008A0371">
        <w:rPr>
          <w:rFonts w:eastAsia="MTSY"/>
          <w:color w:val="000000"/>
          <w:sz w:val="16"/>
          <w:szCs w:val="16"/>
        </w:rPr>
        <w:t>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  <w:r w:rsidR="00ED1B09" w:rsidRPr="008A0371">
        <w:rPr>
          <w:rFonts w:eastAsia="MTSY"/>
          <w:color w:val="000000"/>
          <w:sz w:val="16"/>
          <w:szCs w:val="16"/>
        </w:rPr>
        <w:tab/>
      </w:r>
      <w:r w:rsidRPr="008A0371">
        <w:rPr>
          <w:rFonts w:eastAsia="MTSY"/>
          <w:color w:val="000000"/>
          <w:sz w:val="16"/>
          <w:szCs w:val="16"/>
        </w:rPr>
        <w:t xml:space="preserve"> √</w:t>
      </w:r>
    </w:p>
    <w:p w14:paraId="40292264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rFonts w:ascii="MTSY" w:eastAsia="MTSY" w:hAnsi="Plantin-Italic" w:cs="MTSY"/>
          <w:color w:val="000000"/>
          <w:sz w:val="16"/>
          <w:szCs w:val="16"/>
        </w:rPr>
      </w:pPr>
    </w:p>
    <w:p w14:paraId="068E011D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earlier work to a possible relationship between increasing peripherality and slower</w:t>
      </w:r>
    </w:p>
    <w:p w14:paraId="10CD5828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B124B8">
        <w:rPr>
          <w:color w:val="000000"/>
          <w:sz w:val="22"/>
          <w:szCs w:val="22"/>
        </w:rPr>
        <w:t>improvement in IMR.</w:t>
      </w:r>
      <w:r w:rsidRPr="00B124B8">
        <w:rPr>
          <w:color w:val="000000"/>
          <w:sz w:val="15"/>
          <w:szCs w:val="15"/>
        </w:rPr>
        <w:t>51</w:t>
      </w:r>
    </w:p>
    <w:p w14:paraId="2FD01086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30BBA6DC" w14:textId="05191F3D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Our final variable is average elevation of the RD above sea level. Historical</w:t>
      </w:r>
    </w:p>
    <w:p w14:paraId="29FD25D5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geographers divide England and Wales into a ‘highland’ north and west with</w:t>
      </w:r>
    </w:p>
    <w:p w14:paraId="6FA12309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B124B8">
        <w:rPr>
          <w:color w:val="000000"/>
          <w:sz w:val="22"/>
          <w:szCs w:val="22"/>
        </w:rPr>
        <w:t>predominantly pastoral agriculture and a lowland south and east, mainly arable.</w:t>
      </w:r>
      <w:r w:rsidRPr="00B124B8">
        <w:rPr>
          <w:color w:val="000000"/>
          <w:sz w:val="15"/>
          <w:szCs w:val="15"/>
        </w:rPr>
        <w:t>52</w:t>
      </w:r>
    </w:p>
    <w:p w14:paraId="13C9F520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Including average elevation of each RD allows a more fine-grained analysis. We</w:t>
      </w:r>
    </w:p>
    <w:p w14:paraId="45CD92FC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included average elevation to investigate whether it could be used as a proxy for</w:t>
      </w:r>
    </w:p>
    <w:p w14:paraId="7A8C9686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type of agriculture. Digital elevation model (DEM) data were downloaded from the</w:t>
      </w:r>
    </w:p>
    <w:p w14:paraId="7E778FBB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Consultative Group for International Agricultural Research, which provides digital</w:t>
      </w:r>
    </w:p>
    <w:p w14:paraId="4BD1FF48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elevation at 90-metre intervals globally.</w:t>
      </w:r>
      <w:r w:rsidRPr="00B124B8">
        <w:rPr>
          <w:color w:val="000000"/>
          <w:sz w:val="15"/>
          <w:szCs w:val="15"/>
        </w:rPr>
        <w:t xml:space="preserve">53 </w:t>
      </w:r>
      <w:r w:rsidRPr="00B124B8">
        <w:rPr>
          <w:color w:val="000000"/>
          <w:sz w:val="22"/>
          <w:szCs w:val="22"/>
        </w:rPr>
        <w:t>From the elevation points contained in</w:t>
      </w:r>
    </w:p>
    <w:p w14:paraId="523B3ADB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each RD, the average elevation was calculated in ArcGIS. This variable failed to</w:t>
      </w:r>
    </w:p>
    <w:p w14:paraId="454DCB42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give statistically significant results. Either the unknown rural influences on IMR</w:t>
      </w:r>
    </w:p>
    <w:p w14:paraId="547B8BCD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did not correlate well with average elevation at RD level, or they correlate well</w:t>
      </w:r>
    </w:p>
    <w:p w14:paraId="22AF15BC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enough with the other variables used here for elevation not to have an important</w:t>
      </w:r>
    </w:p>
    <w:p w14:paraId="7D487CCD" w14:textId="1FA64DA5" w:rsidR="007132D1" w:rsidRPr="00D0765A" w:rsidRDefault="00175367" w:rsidP="00D0765A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independent effect.</w:t>
      </w:r>
    </w:p>
    <w:p w14:paraId="6B5EF69D" w14:textId="77777777" w:rsidR="00D0765A" w:rsidRPr="00B124B8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35FB9C3D" w14:textId="2B692F4E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B124B8">
        <w:rPr>
          <w:color w:val="000000"/>
        </w:rPr>
        <w:t>III</w:t>
      </w:r>
    </w:p>
    <w:p w14:paraId="53001008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10A58E21" w14:textId="3527CD69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We use a mixed-effects longitudinal model in which RDs are the subjects (cases)</w:t>
      </w:r>
    </w:p>
    <w:p w14:paraId="3A4A43C8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and decades are the time points. Such a design provides the time perspective that</w:t>
      </w:r>
    </w:p>
    <w:p w14:paraId="4E17278C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Woods acknowledged to be lacking in his own impressive snapshot studies of single</w:t>
      </w:r>
    </w:p>
    <w:p w14:paraId="6955022B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periods.</w:t>
      </w:r>
      <w:r w:rsidRPr="00B124B8">
        <w:rPr>
          <w:color w:val="000000"/>
          <w:sz w:val="15"/>
          <w:szCs w:val="15"/>
        </w:rPr>
        <w:t xml:space="preserve">54 </w:t>
      </w:r>
      <w:r w:rsidRPr="00B124B8">
        <w:rPr>
          <w:color w:val="000000"/>
          <w:sz w:val="22"/>
          <w:szCs w:val="22"/>
        </w:rPr>
        <w:t>We aimed for the simplest credible model specification; refinements</w:t>
      </w:r>
    </w:p>
    <w:p w14:paraId="7D41236E" w14:textId="4473E969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to it could improve the fit. There were two levels: level one was the within</w:t>
      </w:r>
      <w:r w:rsidR="00D0765A">
        <w:rPr>
          <w:color w:val="000000"/>
          <w:sz w:val="22"/>
          <w:szCs w:val="22"/>
        </w:rPr>
        <w:t>-</w:t>
      </w:r>
      <w:r w:rsidRPr="00B124B8">
        <w:rPr>
          <w:color w:val="000000"/>
          <w:sz w:val="22"/>
          <w:szCs w:val="22"/>
        </w:rPr>
        <w:t>subject</w:t>
      </w:r>
    </w:p>
    <w:p w14:paraId="46F91DCF" w14:textId="2DCE2734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effects (variations within an RD over time) and level two was the between</w:t>
      </w:r>
      <w:r w:rsidR="00D0765A">
        <w:rPr>
          <w:color w:val="000000"/>
          <w:sz w:val="22"/>
          <w:szCs w:val="22"/>
        </w:rPr>
        <w:t>-</w:t>
      </w:r>
      <w:r w:rsidRPr="00B124B8">
        <w:rPr>
          <w:color w:val="000000"/>
          <w:sz w:val="22"/>
          <w:szCs w:val="22"/>
        </w:rPr>
        <w:t>subjects</w:t>
      </w:r>
    </w:p>
    <w:p w14:paraId="5DF968F0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(time-invariant) effects. As we found no gain in model accuracy by</w:t>
      </w:r>
    </w:p>
    <w:p w14:paraId="443B97C1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specifying a more complex level-one covariance structure, the model takes the</w:t>
      </w:r>
    </w:p>
    <w:p w14:paraId="3D39956A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covariance of level-one effects as unstructured. We did not model any cross-level</w:t>
      </w:r>
    </w:p>
    <w:p w14:paraId="6525D63A" w14:textId="3886CA69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interactions.</w:t>
      </w:r>
    </w:p>
    <w:p w14:paraId="260FF883" w14:textId="77777777" w:rsidR="00D0765A" w:rsidRPr="00B124B8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7985D49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Table 1 shows the availability of data by decade. This shows that it is not possible</w:t>
      </w:r>
    </w:p>
    <w:p w14:paraId="2B3FC124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to run the model with all the data for all six decades. Confining analysis to the period</w:t>
      </w:r>
    </w:p>
    <w:p w14:paraId="47E1533A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1860s–80s when all the data are available is not attractive as it excludes a period</w:t>
      </w:r>
    </w:p>
    <w:p w14:paraId="2A42A70C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 xml:space="preserve">of the most rapid decline in IMR after 1890. Another option, extrapolation of </w:t>
      </w:r>
      <w:proofErr w:type="gramStart"/>
      <w:r w:rsidRPr="00B124B8">
        <w:rPr>
          <w:color w:val="000000"/>
          <w:sz w:val="22"/>
          <w:szCs w:val="22"/>
        </w:rPr>
        <w:t>our</w:t>
      </w:r>
      <w:proofErr w:type="gramEnd"/>
    </w:p>
    <w:p w14:paraId="5A0F3C11" w14:textId="4DBD6F50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>data series for illiteracy and wages, would lack rigour.</w:t>
      </w:r>
      <w:r w:rsidR="00D0765A">
        <w:rPr>
          <w:color w:val="000000"/>
          <w:sz w:val="22"/>
          <w:szCs w:val="22"/>
        </w:rPr>
        <w:t xml:space="preserve"> </w:t>
      </w:r>
      <w:proofErr w:type="gramStart"/>
      <w:r w:rsidRPr="00B124B8">
        <w:rPr>
          <w:color w:val="000000"/>
          <w:sz w:val="22"/>
          <w:szCs w:val="22"/>
        </w:rPr>
        <w:t>We</w:t>
      </w:r>
      <w:proofErr w:type="gramEnd"/>
      <w:r w:rsidRPr="00B124B8">
        <w:rPr>
          <w:color w:val="000000"/>
          <w:sz w:val="22"/>
          <w:szCs w:val="22"/>
        </w:rPr>
        <w:t xml:space="preserve"> therefore undertook three</w:t>
      </w:r>
    </w:p>
    <w:p w14:paraId="5186137C" w14:textId="77777777" w:rsidR="00D0765A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58047AC" w14:textId="4EA2AAFA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color w:val="000000"/>
          <w:sz w:val="20"/>
          <w:szCs w:val="20"/>
        </w:rPr>
        <w:t>51 Gregory, ‘Different places’, pp. 780–4.</w:t>
      </w:r>
    </w:p>
    <w:p w14:paraId="754A4FBF" w14:textId="77777777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color w:val="000000"/>
          <w:sz w:val="20"/>
          <w:szCs w:val="20"/>
        </w:rPr>
        <w:t>52 Holderness, ‘Farming regions’, p. 363.</w:t>
      </w:r>
    </w:p>
    <w:p w14:paraId="3EE2506B" w14:textId="77777777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color w:val="000000"/>
          <w:sz w:val="20"/>
          <w:szCs w:val="20"/>
        </w:rPr>
        <w:t>53 Consultative Group on International Agricultural Research Consortium for Spatial Information, ‘SRTM90m</w:t>
      </w:r>
    </w:p>
    <w:p w14:paraId="0B33E06E" w14:textId="77777777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color w:val="000000"/>
          <w:sz w:val="20"/>
          <w:szCs w:val="20"/>
        </w:rPr>
        <w:t>digital elevation data’, http://srtm.csi.cgiar.org/ (accessed on 20 Oct. 2015).</w:t>
      </w:r>
    </w:p>
    <w:p w14:paraId="6035A158" w14:textId="77777777" w:rsidR="00175367" w:rsidRPr="00D0765A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0765A">
        <w:rPr>
          <w:color w:val="000000"/>
          <w:sz w:val="20"/>
          <w:szCs w:val="20"/>
        </w:rPr>
        <w:t>54 Woods et al., ‘Causes of rapid infant mortality decline, part 2’, p. 129.</w:t>
      </w:r>
    </w:p>
    <w:p w14:paraId="12065AD3" w14:textId="60E8D0E3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 xml:space="preserve">Table 2. </w:t>
      </w:r>
      <w:r w:rsidRPr="00B124B8">
        <w:rPr>
          <w:i/>
          <w:iCs/>
          <w:color w:val="000000"/>
          <w:sz w:val="22"/>
          <w:szCs w:val="22"/>
        </w:rPr>
        <w:t>Estimates of effects on IMR: population density, fertility, and maternal</w:t>
      </w:r>
    </w:p>
    <w:p w14:paraId="18D71238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B124B8">
        <w:rPr>
          <w:i/>
          <w:iCs/>
          <w:color w:val="000000"/>
          <w:sz w:val="22"/>
          <w:szCs w:val="22"/>
        </w:rPr>
        <w:t>health, 1850s–1900s</w:t>
      </w:r>
    </w:p>
    <w:p w14:paraId="6E5E4D5F" w14:textId="77777777" w:rsidR="009F463C" w:rsidRDefault="009F463C" w:rsidP="00175367">
      <w:pPr>
        <w:autoSpaceDE w:val="0"/>
        <w:autoSpaceDN w:val="0"/>
        <w:adjustRightInd w:val="0"/>
        <w:spacing w:after="0" w:line="240" w:lineRule="auto"/>
        <w:rPr>
          <w:rFonts w:ascii="Plantin-Italic" w:hAnsi="Plantin-Italic" w:cs="Plantin-Italic"/>
          <w:i/>
          <w:iCs/>
          <w:color w:val="000000"/>
          <w:sz w:val="16"/>
          <w:szCs w:val="16"/>
        </w:rPr>
      </w:pPr>
    </w:p>
    <w:p w14:paraId="0DE29F5A" w14:textId="2634B73F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6"/>
          <w:szCs w:val="16"/>
        </w:rPr>
      </w:pPr>
      <w:r w:rsidRPr="00B124B8">
        <w:rPr>
          <w:i/>
          <w:iCs/>
          <w:color w:val="000000"/>
          <w:sz w:val="16"/>
          <w:szCs w:val="16"/>
        </w:rPr>
        <w:t xml:space="preserve">(a)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(b)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(c)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(d)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(f)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(g)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>(h)</w:t>
      </w:r>
    </w:p>
    <w:p w14:paraId="111F51F4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6"/>
          <w:szCs w:val="16"/>
        </w:rPr>
      </w:pPr>
    </w:p>
    <w:p w14:paraId="4A07EB3A" w14:textId="7C7AE139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6"/>
          <w:szCs w:val="16"/>
        </w:rPr>
      </w:pPr>
      <w:r w:rsidRPr="00B124B8">
        <w:rPr>
          <w:i/>
          <w:iCs/>
          <w:color w:val="000000"/>
          <w:sz w:val="16"/>
          <w:szCs w:val="16"/>
        </w:rPr>
        <w:t xml:space="preserve">Parameter Estimate Std. </w:t>
      </w:r>
      <w:proofErr w:type="gramStart"/>
      <w:r w:rsidRPr="00B124B8">
        <w:rPr>
          <w:i/>
          <w:iCs/>
          <w:color w:val="000000"/>
          <w:sz w:val="16"/>
          <w:szCs w:val="16"/>
        </w:rPr>
        <w:t>error</w:t>
      </w:r>
      <w:proofErr w:type="gramEnd"/>
      <w:r w:rsidRPr="00B124B8">
        <w:rPr>
          <w:i/>
          <w:iCs/>
          <w:color w:val="000000"/>
          <w:sz w:val="16"/>
          <w:szCs w:val="16"/>
        </w:rPr>
        <w:t xml:space="preserve"> Sig.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Change in variable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>Effect on IMR (b</w:t>
      </w:r>
      <w:r w:rsidRPr="00B124B8">
        <w:rPr>
          <w:rFonts w:ascii="Cambria Math" w:eastAsia="MS Gothic" w:hAnsi="Cambria Math" w:cs="Cambria Math"/>
          <w:color w:val="000000"/>
          <w:sz w:val="16"/>
          <w:szCs w:val="16"/>
        </w:rPr>
        <w:t>∗</w:t>
      </w:r>
      <w:r w:rsidRPr="00B124B8">
        <w:rPr>
          <w:i/>
          <w:iCs/>
          <w:color w:val="000000"/>
          <w:sz w:val="16"/>
          <w:szCs w:val="16"/>
        </w:rPr>
        <w:t xml:space="preserve">f) </w:t>
      </w:r>
      <w:r w:rsidR="009F463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>% of total change in IMR</w:t>
      </w:r>
    </w:p>
    <w:p w14:paraId="6077B73F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</w:p>
    <w:p w14:paraId="2CD7FE5E" w14:textId="112C02E5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r w:rsidRPr="00B124B8">
        <w:rPr>
          <w:color w:val="000000"/>
          <w:sz w:val="16"/>
          <w:szCs w:val="16"/>
        </w:rPr>
        <w:t xml:space="preserve">Intercept </w:t>
      </w:r>
      <w:r w:rsidR="009F463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89.77 </w:t>
      </w:r>
      <w:r w:rsidR="009F463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4.52 </w:t>
      </w:r>
      <w:r w:rsidR="009F463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0.000</w:t>
      </w:r>
    </w:p>
    <w:p w14:paraId="75461E02" w14:textId="11C00DAE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proofErr w:type="spellStart"/>
      <w:r w:rsidRPr="00B124B8">
        <w:rPr>
          <w:color w:val="000000"/>
          <w:sz w:val="16"/>
          <w:szCs w:val="16"/>
        </w:rPr>
        <w:t>Popden</w:t>
      </w:r>
      <w:proofErr w:type="spellEnd"/>
      <w:r w:rsidRPr="00B124B8">
        <w:rPr>
          <w:color w:val="000000"/>
          <w:sz w:val="16"/>
          <w:szCs w:val="16"/>
        </w:rPr>
        <w:t xml:space="preserve"> </w:t>
      </w:r>
      <w:proofErr w:type="gramStart"/>
      <w:r w:rsidR="009F463C" w:rsidRPr="00B124B8">
        <w:rPr>
          <w:color w:val="000000"/>
          <w:sz w:val="16"/>
          <w:szCs w:val="16"/>
        </w:rPr>
        <w:tab/>
      </w:r>
      <w:r w:rsidR="004D0236" w:rsidRP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>0.12</w:t>
      </w:r>
      <w:proofErr w:type="gramEnd"/>
      <w:r w:rsidRPr="00B124B8">
        <w:rPr>
          <w:color w:val="000000"/>
          <w:sz w:val="16"/>
          <w:szCs w:val="16"/>
        </w:rPr>
        <w:t xml:space="preserve"> </w:t>
      </w:r>
      <w:r w:rsidR="009F463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0.02 </w:t>
      </w:r>
      <w:r w:rsidR="009F463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r w:rsidR="009F463C" w:rsidRPr="00B124B8">
        <w:rPr>
          <w:color w:val="000000"/>
          <w:sz w:val="16"/>
          <w:szCs w:val="16"/>
        </w:rPr>
        <w:tab/>
      </w:r>
      <w:r w:rsidR="001142AC" w:rsidRP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 xml:space="preserve">7.34 </w:t>
      </w:r>
      <w:r w:rsidR="009F463C" w:rsidRPr="00B124B8">
        <w:rPr>
          <w:color w:val="000000"/>
          <w:sz w:val="16"/>
          <w:szCs w:val="16"/>
        </w:rPr>
        <w:tab/>
      </w:r>
      <w:r w:rsidR="009F463C" w:rsidRPr="00B124B8">
        <w:rPr>
          <w:color w:val="000000"/>
          <w:sz w:val="16"/>
          <w:szCs w:val="16"/>
        </w:rPr>
        <w:tab/>
      </w:r>
      <w:r w:rsidR="001142AC" w:rsidRP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 xml:space="preserve">0.89 </w:t>
      </w:r>
      <w:r w:rsidR="009F463C" w:rsidRPr="00B124B8">
        <w:rPr>
          <w:color w:val="000000"/>
          <w:sz w:val="16"/>
          <w:szCs w:val="16"/>
        </w:rPr>
        <w:tab/>
      </w:r>
      <w:r w:rsidR="009F463C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>2.6</w:t>
      </w:r>
    </w:p>
    <w:p w14:paraId="1DFA25F8" w14:textId="24BEF96E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proofErr w:type="spellStart"/>
      <w:r w:rsidRPr="00B124B8">
        <w:rPr>
          <w:color w:val="000000"/>
          <w:sz w:val="16"/>
          <w:szCs w:val="16"/>
        </w:rPr>
        <w:t>Fertil</w:t>
      </w:r>
      <w:proofErr w:type="spellEnd"/>
      <w:r w:rsidRPr="00B124B8">
        <w:rPr>
          <w:color w:val="000000"/>
          <w:sz w:val="16"/>
          <w:szCs w:val="16"/>
        </w:rPr>
        <w:t xml:space="preserve"> </w:t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26.46 </w:t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6.72 </w:t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0.06 </w:t>
      </w:r>
      <w:r w:rsidR="00630E83" w:rsidRPr="00B124B8">
        <w:rPr>
          <w:color w:val="000000"/>
          <w:sz w:val="16"/>
          <w:szCs w:val="16"/>
        </w:rPr>
        <w:tab/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1.71 </w:t>
      </w:r>
      <w:r w:rsidR="00630E83" w:rsidRPr="00B124B8">
        <w:rPr>
          <w:color w:val="000000"/>
          <w:sz w:val="16"/>
          <w:szCs w:val="16"/>
        </w:rPr>
        <w:tab/>
      </w:r>
      <w:proofErr w:type="gramStart"/>
      <w:r w:rsidR="00630E83" w:rsidRPr="00B124B8">
        <w:rPr>
          <w:color w:val="000000"/>
          <w:sz w:val="16"/>
          <w:szCs w:val="16"/>
        </w:rPr>
        <w:tab/>
        <w:t xml:space="preserve">  </w:t>
      </w:r>
      <w:r w:rsidRPr="00B124B8">
        <w:rPr>
          <w:color w:val="000000"/>
          <w:sz w:val="16"/>
          <w:szCs w:val="16"/>
        </w:rPr>
        <w:t>5.0</w:t>
      </w:r>
      <w:proofErr w:type="gramEnd"/>
    </w:p>
    <w:p w14:paraId="208F5CA9" w14:textId="26A26D80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proofErr w:type="spellStart"/>
      <w:r w:rsidRPr="00B124B8">
        <w:rPr>
          <w:color w:val="000000"/>
          <w:sz w:val="16"/>
          <w:szCs w:val="16"/>
        </w:rPr>
        <w:t>femTB</w:t>
      </w:r>
      <w:proofErr w:type="spellEnd"/>
      <w:r w:rsidRPr="00B124B8">
        <w:rPr>
          <w:color w:val="000000"/>
          <w:sz w:val="16"/>
          <w:szCs w:val="16"/>
        </w:rPr>
        <w:t xml:space="preserve"> </w:t>
      </w:r>
      <w:proofErr w:type="gramStart"/>
      <w:r w:rsidR="00630E83" w:rsidRPr="00B124B8">
        <w:rPr>
          <w:color w:val="000000"/>
          <w:sz w:val="16"/>
          <w:szCs w:val="16"/>
        </w:rPr>
        <w:tab/>
      </w:r>
      <w:r w:rsidR="004D0236" w:rsidRP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>3.02</w:t>
      </w:r>
      <w:proofErr w:type="gramEnd"/>
      <w:r w:rsidRPr="00B124B8">
        <w:rPr>
          <w:color w:val="000000"/>
          <w:sz w:val="16"/>
          <w:szCs w:val="16"/>
        </w:rPr>
        <w:t xml:space="preserve"> </w:t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0.46 </w:t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3.01 </w:t>
      </w:r>
      <w:r w:rsidR="00630E83" w:rsidRPr="00B124B8">
        <w:rPr>
          <w:color w:val="000000"/>
          <w:sz w:val="16"/>
          <w:szCs w:val="16"/>
        </w:rPr>
        <w:tab/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9.08 </w:t>
      </w:r>
      <w:r w:rsidR="00630E83" w:rsidRPr="00B124B8">
        <w:rPr>
          <w:color w:val="000000"/>
          <w:sz w:val="16"/>
          <w:szCs w:val="16"/>
        </w:rPr>
        <w:tab/>
      </w:r>
      <w:r w:rsidR="00630E8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26.4</w:t>
      </w:r>
    </w:p>
    <w:p w14:paraId="36E27066" w14:textId="3005E221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r w:rsidRPr="00B124B8">
        <w:rPr>
          <w:color w:val="000000"/>
          <w:sz w:val="16"/>
          <w:szCs w:val="16"/>
        </w:rPr>
        <w:t xml:space="preserve">Decade </w:t>
      </w:r>
      <w:r w:rsidR="001142AC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4.22 </w:t>
      </w:r>
      <w:r w:rsidR="001142A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0.40 </w:t>
      </w:r>
      <w:r w:rsidR="001142A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proofErr w:type="gramStart"/>
      <w:r w:rsidR="001142AC" w:rsidRPr="00B124B8">
        <w:rPr>
          <w:color w:val="000000"/>
          <w:sz w:val="16"/>
          <w:szCs w:val="16"/>
        </w:rPr>
        <w:tab/>
        <w:t xml:space="preserve">  </w:t>
      </w:r>
      <w:r w:rsidRPr="00B124B8">
        <w:rPr>
          <w:color w:val="000000"/>
          <w:sz w:val="16"/>
          <w:szCs w:val="16"/>
        </w:rPr>
        <w:t>5.00</w:t>
      </w:r>
      <w:proofErr w:type="gramEnd"/>
      <w:r w:rsidRPr="00B124B8">
        <w:rPr>
          <w:color w:val="000000"/>
          <w:sz w:val="16"/>
          <w:szCs w:val="16"/>
        </w:rPr>
        <w:t xml:space="preserve"> </w:t>
      </w:r>
      <w:r w:rsidR="001142AC" w:rsidRPr="00B124B8">
        <w:rPr>
          <w:color w:val="000000"/>
          <w:sz w:val="16"/>
          <w:szCs w:val="16"/>
        </w:rPr>
        <w:tab/>
      </w:r>
      <w:r w:rsidR="001142AC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21.11 </w:t>
      </w:r>
      <w:r w:rsidR="001142AC" w:rsidRPr="00B124B8">
        <w:rPr>
          <w:color w:val="000000"/>
          <w:sz w:val="16"/>
          <w:szCs w:val="16"/>
        </w:rPr>
        <w:tab/>
      </w:r>
      <w:r w:rsidR="001142A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61.3</w:t>
      </w:r>
    </w:p>
    <w:p w14:paraId="27FECAF4" w14:textId="59B5F111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r w:rsidRPr="00B124B8">
        <w:rPr>
          <w:color w:val="000000"/>
          <w:sz w:val="16"/>
          <w:szCs w:val="16"/>
        </w:rPr>
        <w:t xml:space="preserve">Distance </w:t>
      </w:r>
      <w:proofErr w:type="gramStart"/>
      <w:r w:rsidR="004D0236" w:rsidRPr="00B124B8">
        <w:rPr>
          <w:color w:val="000000"/>
          <w:sz w:val="16"/>
          <w:szCs w:val="16"/>
        </w:rPr>
        <w:tab/>
        <w:t xml:space="preserve">  </w:t>
      </w:r>
      <w:r w:rsidRPr="00B124B8">
        <w:rPr>
          <w:color w:val="000000"/>
          <w:sz w:val="16"/>
          <w:szCs w:val="16"/>
        </w:rPr>
        <w:t>0.07</w:t>
      </w:r>
      <w:proofErr w:type="gramEnd"/>
      <w:r w:rsidRPr="00B124B8">
        <w:rPr>
          <w:color w:val="000000"/>
          <w:sz w:val="16"/>
          <w:szCs w:val="16"/>
        </w:rPr>
        <w:t xml:space="preserve"> </w:t>
      </w:r>
      <w:r w:rsidR="004D0236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0.01 </w:t>
      </w:r>
      <w:r w:rsidR="004D0236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0.000</w:t>
      </w:r>
    </w:p>
    <w:p w14:paraId="33EDFBB5" w14:textId="4BDE231F" w:rsidR="00B36D8C" w:rsidRDefault="00B36D8C" w:rsidP="00175367">
      <w:pPr>
        <w:autoSpaceDE w:val="0"/>
        <w:autoSpaceDN w:val="0"/>
        <w:adjustRightInd w:val="0"/>
        <w:spacing w:after="0" w:line="240" w:lineRule="auto"/>
        <w:rPr>
          <w:rFonts w:ascii="Plantin" w:hAnsi="Plantin" w:cs="Plantin"/>
          <w:color w:val="000000"/>
          <w:sz w:val="16"/>
          <w:szCs w:val="16"/>
        </w:rPr>
      </w:pPr>
    </w:p>
    <w:p w14:paraId="23F64A55" w14:textId="1B5169C2" w:rsidR="00B36D8C" w:rsidRDefault="00B36D8C" w:rsidP="00175367">
      <w:pPr>
        <w:autoSpaceDE w:val="0"/>
        <w:autoSpaceDN w:val="0"/>
        <w:adjustRightInd w:val="0"/>
        <w:spacing w:after="0" w:line="240" w:lineRule="auto"/>
        <w:rPr>
          <w:rFonts w:ascii="Plantin" w:hAnsi="Plantin" w:cs="Plantin"/>
          <w:color w:val="000000"/>
          <w:sz w:val="16"/>
          <w:szCs w:val="16"/>
        </w:rPr>
      </w:pPr>
    </w:p>
    <w:p w14:paraId="1D52EBC7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rFonts w:ascii="Plantin" w:hAnsi="Plantin" w:cs="Plantin"/>
          <w:color w:val="000000"/>
          <w:sz w:val="16"/>
          <w:szCs w:val="16"/>
        </w:rPr>
      </w:pPr>
    </w:p>
    <w:p w14:paraId="74BCBA92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B124B8">
        <w:rPr>
          <w:color w:val="000000"/>
          <w:sz w:val="22"/>
          <w:szCs w:val="22"/>
        </w:rPr>
        <w:t xml:space="preserve">Table 3. </w:t>
      </w:r>
      <w:r w:rsidRPr="00B124B8">
        <w:rPr>
          <w:i/>
          <w:iCs/>
          <w:color w:val="000000"/>
          <w:sz w:val="22"/>
          <w:szCs w:val="22"/>
        </w:rPr>
        <w:t>Estimates of effects on IMR: population density, fertility, maternal health,</w:t>
      </w:r>
    </w:p>
    <w:p w14:paraId="074E5B45" w14:textId="77777777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B124B8">
        <w:rPr>
          <w:i/>
          <w:iCs/>
          <w:color w:val="000000"/>
          <w:sz w:val="22"/>
          <w:szCs w:val="22"/>
        </w:rPr>
        <w:t>and female illiteracy, 1850s–80s</w:t>
      </w:r>
    </w:p>
    <w:p w14:paraId="05BFE7C5" w14:textId="77777777" w:rsidR="00B36D8C" w:rsidRPr="00B124B8" w:rsidRDefault="00B36D8C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6"/>
          <w:szCs w:val="16"/>
        </w:rPr>
      </w:pPr>
    </w:p>
    <w:p w14:paraId="64100CA7" w14:textId="7F14F2D9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6"/>
          <w:szCs w:val="16"/>
        </w:rPr>
      </w:pPr>
      <w:r w:rsidRPr="00B124B8">
        <w:rPr>
          <w:i/>
          <w:iCs/>
          <w:color w:val="000000"/>
          <w:sz w:val="16"/>
          <w:szCs w:val="16"/>
        </w:rPr>
        <w:t xml:space="preserve">(a)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(b)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(c)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(d)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(f)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(g)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>(h)</w:t>
      </w:r>
    </w:p>
    <w:p w14:paraId="32803B97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6"/>
          <w:szCs w:val="16"/>
        </w:rPr>
      </w:pPr>
    </w:p>
    <w:p w14:paraId="56C25169" w14:textId="29E78905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6"/>
          <w:szCs w:val="16"/>
        </w:rPr>
      </w:pPr>
      <w:r w:rsidRPr="00B124B8">
        <w:rPr>
          <w:i/>
          <w:iCs/>
          <w:color w:val="000000"/>
          <w:sz w:val="16"/>
          <w:szCs w:val="16"/>
        </w:rPr>
        <w:t xml:space="preserve">Parameter </w:t>
      </w:r>
      <w:r w:rsid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Estimate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Std. </w:t>
      </w:r>
      <w:proofErr w:type="gramStart"/>
      <w:r w:rsidRPr="00B124B8">
        <w:rPr>
          <w:i/>
          <w:iCs/>
          <w:color w:val="000000"/>
          <w:sz w:val="16"/>
          <w:szCs w:val="16"/>
        </w:rPr>
        <w:t>error</w:t>
      </w:r>
      <w:proofErr w:type="gramEnd"/>
      <w:r w:rsidRPr="00B124B8">
        <w:rPr>
          <w:i/>
          <w:iCs/>
          <w:color w:val="000000"/>
          <w:sz w:val="16"/>
          <w:szCs w:val="16"/>
        </w:rPr>
        <w:t xml:space="preserve">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Sig.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 xml:space="preserve">Change in variable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>Effect on IMR (b</w:t>
      </w:r>
      <w:r w:rsidRPr="00B124B8">
        <w:rPr>
          <w:rFonts w:ascii="Cambria Math" w:eastAsia="MS Gothic" w:hAnsi="Cambria Math" w:cs="Cambria Math"/>
          <w:color w:val="000000"/>
          <w:sz w:val="16"/>
          <w:szCs w:val="16"/>
        </w:rPr>
        <w:t>∗</w:t>
      </w:r>
      <w:r w:rsidRPr="00B124B8">
        <w:rPr>
          <w:i/>
          <w:iCs/>
          <w:color w:val="000000"/>
          <w:sz w:val="16"/>
          <w:szCs w:val="16"/>
        </w:rPr>
        <w:t xml:space="preserve">f) </w:t>
      </w:r>
      <w:r w:rsidR="00B36D8C" w:rsidRPr="00B124B8">
        <w:rPr>
          <w:i/>
          <w:iCs/>
          <w:color w:val="000000"/>
          <w:sz w:val="16"/>
          <w:szCs w:val="16"/>
        </w:rPr>
        <w:tab/>
      </w:r>
      <w:r w:rsidRPr="00B124B8">
        <w:rPr>
          <w:i/>
          <w:iCs/>
          <w:color w:val="000000"/>
          <w:sz w:val="16"/>
          <w:szCs w:val="16"/>
        </w:rPr>
        <w:t>% of total change in IMR</w:t>
      </w:r>
    </w:p>
    <w:p w14:paraId="6EF78CF5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</w:p>
    <w:p w14:paraId="77BA14D0" w14:textId="6BBDE498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r w:rsidRPr="00B124B8">
        <w:rPr>
          <w:color w:val="000000"/>
          <w:sz w:val="16"/>
          <w:szCs w:val="16"/>
        </w:rPr>
        <w:t xml:space="preserve">Intercept </w:t>
      </w:r>
      <w:r w:rsidR="00B36D8C" w:rsidRPr="00B124B8">
        <w:rPr>
          <w:color w:val="000000"/>
          <w:sz w:val="16"/>
          <w:szCs w:val="16"/>
        </w:rPr>
        <w:tab/>
      </w:r>
      <w:r w:rsid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86.59 </w:t>
      </w:r>
      <w:r w:rsidR="00B36D8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5.38 </w:t>
      </w:r>
      <w:r w:rsidR="00B36D8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0.000</w:t>
      </w:r>
    </w:p>
    <w:p w14:paraId="38BD7071" w14:textId="1676C600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proofErr w:type="spellStart"/>
      <w:r w:rsidRPr="00B124B8">
        <w:rPr>
          <w:color w:val="000000"/>
          <w:sz w:val="16"/>
          <w:szCs w:val="16"/>
        </w:rPr>
        <w:t>Popden</w:t>
      </w:r>
      <w:proofErr w:type="spellEnd"/>
      <w:r w:rsidRPr="00B124B8">
        <w:rPr>
          <w:color w:val="000000"/>
          <w:sz w:val="16"/>
          <w:szCs w:val="16"/>
        </w:rPr>
        <w:t xml:space="preserve"> </w:t>
      </w:r>
      <w:r w:rsidR="00B36D8C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 xml:space="preserve"> </w:t>
      </w:r>
      <w:proofErr w:type="gramStart"/>
      <w:r w:rsid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 xml:space="preserve"> </w:t>
      </w:r>
      <w:r w:rsidR="00B124B8">
        <w:rPr>
          <w:color w:val="000000"/>
          <w:sz w:val="16"/>
          <w:szCs w:val="16"/>
        </w:rPr>
        <w:t xml:space="preserve"> </w:t>
      </w:r>
      <w:r w:rsidRPr="00B124B8">
        <w:rPr>
          <w:color w:val="000000"/>
          <w:sz w:val="16"/>
          <w:szCs w:val="16"/>
        </w:rPr>
        <w:t>0.17</w:t>
      </w:r>
      <w:proofErr w:type="gramEnd"/>
      <w:r w:rsidRPr="00B124B8">
        <w:rPr>
          <w:color w:val="000000"/>
          <w:sz w:val="16"/>
          <w:szCs w:val="16"/>
        </w:rPr>
        <w:t xml:space="preserve"> </w:t>
      </w:r>
      <w:r w:rsidR="00B36D8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0.02 </w:t>
      </w:r>
      <w:r w:rsidR="00B36D8C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r w:rsidR="00B36D8C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 xml:space="preserve">    </w:t>
      </w:r>
      <w:r w:rsidRPr="00B124B8">
        <w:rPr>
          <w:color w:val="000000"/>
          <w:sz w:val="16"/>
          <w:szCs w:val="16"/>
        </w:rPr>
        <w:t xml:space="preserve">2.48 </w:t>
      </w:r>
      <w:r w:rsidR="00B36D8C" w:rsidRPr="00B124B8">
        <w:rPr>
          <w:color w:val="000000"/>
          <w:sz w:val="16"/>
          <w:szCs w:val="16"/>
        </w:rPr>
        <w:tab/>
      </w:r>
      <w:r w:rsidR="00B36D8C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 xml:space="preserve">0.43 </w:t>
      </w:r>
      <w:r w:rsidR="00B36D8C" w:rsidRPr="00B124B8">
        <w:rPr>
          <w:color w:val="000000"/>
          <w:sz w:val="16"/>
          <w:szCs w:val="16"/>
        </w:rPr>
        <w:tab/>
      </w:r>
      <w:r w:rsidR="00B36D8C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>2.2</w:t>
      </w:r>
    </w:p>
    <w:p w14:paraId="568F62B6" w14:textId="6596A18C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proofErr w:type="spellStart"/>
      <w:r w:rsidRPr="00B124B8">
        <w:rPr>
          <w:color w:val="000000"/>
          <w:sz w:val="16"/>
          <w:szCs w:val="16"/>
        </w:rPr>
        <w:t>Fertil</w:t>
      </w:r>
      <w:proofErr w:type="spellEnd"/>
      <w:r w:rsidRPr="00B124B8">
        <w:rPr>
          <w:color w:val="000000"/>
          <w:sz w:val="16"/>
          <w:szCs w:val="16"/>
        </w:rPr>
        <w:t xml:space="preserve"> </w:t>
      </w:r>
      <w:proofErr w:type="gramStart"/>
      <w:r w:rsidR="005B5011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 xml:space="preserve">  </w:t>
      </w:r>
      <w:r w:rsidR="00B124B8">
        <w:rPr>
          <w:color w:val="000000"/>
          <w:sz w:val="16"/>
          <w:szCs w:val="16"/>
        </w:rPr>
        <w:tab/>
      </w:r>
      <w:proofErr w:type="gramEnd"/>
      <w:r w:rsid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 xml:space="preserve">2.16 </w:t>
      </w:r>
      <w:r w:rsidR="005B5011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9.74 </w:t>
      </w:r>
      <w:r w:rsidR="005B5011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0.824</w:t>
      </w:r>
    </w:p>
    <w:p w14:paraId="55CABAC8" w14:textId="5320032F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proofErr w:type="spellStart"/>
      <w:r w:rsidRPr="00B124B8">
        <w:rPr>
          <w:color w:val="000000"/>
          <w:sz w:val="16"/>
          <w:szCs w:val="16"/>
        </w:rPr>
        <w:t>femTB</w:t>
      </w:r>
      <w:proofErr w:type="spellEnd"/>
      <w:r w:rsidRPr="00B124B8">
        <w:rPr>
          <w:color w:val="000000"/>
          <w:sz w:val="16"/>
          <w:szCs w:val="16"/>
        </w:rPr>
        <w:t xml:space="preserve"> </w:t>
      </w:r>
      <w:proofErr w:type="gramStart"/>
      <w:r w:rsidR="005B5011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 xml:space="preserve">  </w:t>
      </w:r>
      <w:r w:rsidR="00B124B8">
        <w:rPr>
          <w:color w:val="000000"/>
          <w:sz w:val="16"/>
          <w:szCs w:val="16"/>
        </w:rPr>
        <w:tab/>
      </w:r>
      <w:proofErr w:type="gramEnd"/>
      <w:r w:rsid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 xml:space="preserve">4.11 </w:t>
      </w:r>
      <w:r w:rsidR="005B5011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0.46 </w:t>
      </w:r>
      <w:r w:rsidR="005B5011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r w:rsidR="005B5011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 xml:space="preserve">  </w:t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1.81 </w:t>
      </w:r>
      <w:r w:rsidR="005B5011" w:rsidRPr="00B124B8">
        <w:rPr>
          <w:color w:val="000000"/>
          <w:sz w:val="16"/>
          <w:szCs w:val="16"/>
        </w:rPr>
        <w:tab/>
      </w:r>
      <w:r w:rsidR="005B5011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7.44 </w:t>
      </w:r>
      <w:r w:rsidR="005B5011" w:rsidRPr="00B124B8">
        <w:rPr>
          <w:color w:val="000000"/>
          <w:sz w:val="16"/>
          <w:szCs w:val="16"/>
        </w:rPr>
        <w:tab/>
      </w:r>
      <w:r w:rsidR="005B5011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37.2</w:t>
      </w:r>
    </w:p>
    <w:p w14:paraId="5D6C5C40" w14:textId="1232AD51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proofErr w:type="spellStart"/>
      <w:r w:rsidRPr="00B124B8">
        <w:rPr>
          <w:color w:val="000000"/>
          <w:sz w:val="16"/>
          <w:szCs w:val="16"/>
        </w:rPr>
        <w:t>Femillit</w:t>
      </w:r>
      <w:proofErr w:type="spellEnd"/>
      <w:r w:rsidRPr="00B124B8">
        <w:rPr>
          <w:color w:val="000000"/>
          <w:sz w:val="16"/>
          <w:szCs w:val="16"/>
        </w:rPr>
        <w:t xml:space="preserve"> </w:t>
      </w:r>
      <w:proofErr w:type="gramStart"/>
      <w:r w:rsidR="00FD1463" w:rsidRPr="00B124B8">
        <w:rPr>
          <w:color w:val="000000"/>
          <w:sz w:val="16"/>
          <w:szCs w:val="16"/>
        </w:rPr>
        <w:tab/>
        <w:t xml:space="preserve">  </w:t>
      </w:r>
      <w:r w:rsidR="00B124B8">
        <w:rPr>
          <w:color w:val="000000"/>
          <w:sz w:val="16"/>
          <w:szCs w:val="16"/>
        </w:rPr>
        <w:tab/>
      </w:r>
      <w:proofErr w:type="gramEnd"/>
      <w:r w:rsid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 xml:space="preserve">0.13 </w:t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0.03 </w:t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26.77 </w:t>
      </w:r>
      <w:r w:rsidR="00FD1463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3.41 </w:t>
      </w:r>
      <w:r w:rsidR="00FD1463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17.0</w:t>
      </w:r>
    </w:p>
    <w:p w14:paraId="211BFC09" w14:textId="31D9092C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r w:rsidRPr="00B124B8">
        <w:rPr>
          <w:color w:val="000000"/>
          <w:sz w:val="16"/>
          <w:szCs w:val="16"/>
        </w:rPr>
        <w:t xml:space="preserve">Decade </w:t>
      </w:r>
      <w:r w:rsidR="00FD1463" w:rsidRPr="00B124B8">
        <w:rPr>
          <w:color w:val="000000"/>
          <w:sz w:val="16"/>
          <w:szCs w:val="16"/>
        </w:rPr>
        <w:tab/>
      </w:r>
      <w:r w:rsid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3.28 </w:t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0.52 </w:t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0.000 </w:t>
      </w:r>
      <w:r w:rsidR="00FD1463" w:rsidRPr="00B124B8">
        <w:rPr>
          <w:color w:val="000000"/>
          <w:sz w:val="16"/>
          <w:szCs w:val="16"/>
        </w:rPr>
        <w:tab/>
        <w:t xml:space="preserve">    </w:t>
      </w:r>
      <w:r w:rsidRPr="00B124B8">
        <w:rPr>
          <w:color w:val="000000"/>
          <w:sz w:val="16"/>
          <w:szCs w:val="16"/>
        </w:rPr>
        <w:t xml:space="preserve">3.00 </w:t>
      </w:r>
      <w:r w:rsidR="00FD1463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rFonts w:eastAsia="MS Gothic"/>
          <w:color w:val="000000"/>
          <w:sz w:val="16"/>
          <w:szCs w:val="16"/>
        </w:rPr>
        <w:t>−</w:t>
      </w:r>
      <w:r w:rsidRPr="00B124B8">
        <w:rPr>
          <w:color w:val="000000"/>
          <w:sz w:val="16"/>
          <w:szCs w:val="16"/>
        </w:rPr>
        <w:t xml:space="preserve">9.85 </w:t>
      </w:r>
      <w:r w:rsidR="00FD1463" w:rsidRPr="00B124B8">
        <w:rPr>
          <w:color w:val="000000"/>
          <w:sz w:val="16"/>
          <w:szCs w:val="16"/>
        </w:rPr>
        <w:tab/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49.2</w:t>
      </w:r>
    </w:p>
    <w:p w14:paraId="49A0B79E" w14:textId="4055ACF5" w:rsidR="00175367" w:rsidRPr="00B124B8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  <w:r w:rsidRPr="00B124B8">
        <w:rPr>
          <w:color w:val="000000"/>
          <w:sz w:val="16"/>
          <w:szCs w:val="16"/>
        </w:rPr>
        <w:t xml:space="preserve">Distance </w:t>
      </w:r>
      <w:proofErr w:type="gramStart"/>
      <w:r w:rsidR="00FD1463" w:rsidRPr="00B124B8">
        <w:rPr>
          <w:color w:val="000000"/>
          <w:sz w:val="16"/>
          <w:szCs w:val="16"/>
        </w:rPr>
        <w:tab/>
        <w:t xml:space="preserve">  </w:t>
      </w:r>
      <w:r w:rsidR="00B124B8">
        <w:rPr>
          <w:color w:val="000000"/>
          <w:sz w:val="16"/>
          <w:szCs w:val="16"/>
        </w:rPr>
        <w:tab/>
      </w:r>
      <w:proofErr w:type="gramEnd"/>
      <w:r w:rsidR="00B124B8">
        <w:rPr>
          <w:color w:val="000000"/>
          <w:sz w:val="16"/>
          <w:szCs w:val="16"/>
        </w:rPr>
        <w:t xml:space="preserve">  </w:t>
      </w:r>
      <w:r w:rsidRPr="00B124B8">
        <w:rPr>
          <w:color w:val="000000"/>
          <w:sz w:val="16"/>
          <w:szCs w:val="16"/>
        </w:rPr>
        <w:t xml:space="preserve">0.05 </w:t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 xml:space="preserve">0.01 </w:t>
      </w:r>
      <w:r w:rsidR="00FD1463" w:rsidRPr="00B124B8">
        <w:rPr>
          <w:color w:val="000000"/>
          <w:sz w:val="16"/>
          <w:szCs w:val="16"/>
        </w:rPr>
        <w:tab/>
      </w:r>
      <w:r w:rsidRPr="00B124B8">
        <w:rPr>
          <w:color w:val="000000"/>
          <w:sz w:val="16"/>
          <w:szCs w:val="16"/>
        </w:rPr>
        <w:t>0.000</w:t>
      </w:r>
    </w:p>
    <w:p w14:paraId="32BEDF37" w14:textId="77777777" w:rsidR="00FD1463" w:rsidRDefault="00FD1463" w:rsidP="00175367">
      <w:pPr>
        <w:autoSpaceDE w:val="0"/>
        <w:autoSpaceDN w:val="0"/>
        <w:adjustRightInd w:val="0"/>
        <w:spacing w:after="0" w:line="240" w:lineRule="auto"/>
        <w:rPr>
          <w:rFonts w:ascii="Plantin" w:hAnsi="Plantin" w:cs="Plantin"/>
          <w:color w:val="000000"/>
          <w:sz w:val="16"/>
          <w:szCs w:val="16"/>
        </w:rPr>
      </w:pPr>
    </w:p>
    <w:p w14:paraId="4C305509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5E9CE91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35B0F3C7" w14:textId="753B1036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model runs to capture all the data in stages: the first three variables for the 1850s–</w:t>
      </w:r>
    </w:p>
    <w:p w14:paraId="6084E8C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1900s; then adding illiteracy and looking at the 1850s–80s; and finally replacing</w:t>
      </w:r>
    </w:p>
    <w:p w14:paraId="65E382DE" w14:textId="1DF21322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illiteracy with wages and looking at the 1860s–1900s.</w:t>
      </w:r>
    </w:p>
    <w:p w14:paraId="6AD4CABA" w14:textId="77777777" w:rsidR="00D0765A" w:rsidRPr="00DE28E9" w:rsidRDefault="00D0765A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642077A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results we present in tables 2 and 3 show the estimates of effects on IMR</w:t>
      </w:r>
    </w:p>
    <w:p w14:paraId="4C9B4F4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per unit change in each covariate (column </w:t>
      </w:r>
      <w:r w:rsidRPr="00DE28E9">
        <w:rPr>
          <w:i/>
          <w:iCs/>
          <w:color w:val="000000"/>
          <w:sz w:val="22"/>
          <w:szCs w:val="22"/>
        </w:rPr>
        <w:t>b</w:t>
      </w:r>
      <w:r w:rsidRPr="00DE28E9">
        <w:rPr>
          <w:color w:val="000000"/>
          <w:sz w:val="22"/>
          <w:szCs w:val="22"/>
        </w:rPr>
        <w:t>), along with standard errors and</w:t>
      </w:r>
    </w:p>
    <w:p w14:paraId="7D3D628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significance levels (columns c and d), calculated in SPSS. Following the approach</w:t>
      </w:r>
    </w:p>
    <w:p w14:paraId="36F9F26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taken </w:t>
      </w:r>
      <w:proofErr w:type="spellStart"/>
      <w:r w:rsidRPr="00DE28E9">
        <w:rPr>
          <w:color w:val="000000"/>
          <w:sz w:val="22"/>
          <w:szCs w:val="22"/>
        </w:rPr>
        <w:t>byMillward</w:t>
      </w:r>
      <w:proofErr w:type="spellEnd"/>
      <w:r w:rsidRPr="00DE28E9">
        <w:rPr>
          <w:color w:val="000000"/>
          <w:sz w:val="22"/>
          <w:szCs w:val="22"/>
        </w:rPr>
        <w:t xml:space="preserve"> and Bell, we multiply the coefficient (b) by the aggregate change</w:t>
      </w:r>
    </w:p>
    <w:p w14:paraId="2DD4D14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 each covariate (f) for our rural RDs to show the change in IMR which it</w:t>
      </w:r>
    </w:p>
    <w:p w14:paraId="586C65C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contributed (g). Finally we divide this result by the total change in IMR over</w:t>
      </w:r>
    </w:p>
    <w:p w14:paraId="518A7CB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period in question to show what proportion was due to each covariate (h). We</w:t>
      </w:r>
    </w:p>
    <w:p w14:paraId="48DF02A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now review the results of each model run in turn. In each case the ‘Decade’ row</w:t>
      </w:r>
    </w:p>
    <w:p w14:paraId="2E764EF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captures the change in IMR that the model cannot attribute to one of the other</w:t>
      </w:r>
    </w:p>
    <w:p w14:paraId="0BBF077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variables and by default is linked to the passage of time.</w:t>
      </w:r>
    </w:p>
    <w:p w14:paraId="5117058F" w14:textId="77777777" w:rsidR="00E1411F" w:rsidRDefault="00E1411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3A8EDFA9" w14:textId="0715241C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Table 2 shows the estimated effects of population density, fertility, and maternal</w:t>
      </w:r>
    </w:p>
    <w:p w14:paraId="1627386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health on infant mortality. The figures in column g are divided by the total change</w:t>
      </w:r>
    </w:p>
    <w:p w14:paraId="79AB915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 the aggregate IMR for our rural districts between the 1850s and 1900s of –34.44</w:t>
      </w:r>
    </w:p>
    <w:p w14:paraId="45F4CE1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to give the percentages in column h, the proportion of change in IMR associated</w:t>
      </w:r>
    </w:p>
    <w:p w14:paraId="5B92330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with each covariate. We first note that the effect of change in population density</w:t>
      </w:r>
    </w:p>
    <w:p w14:paraId="12BC46A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over time is not only very small but also has an unexpected sign (–2.6 per cent). For</w:t>
      </w:r>
    </w:p>
    <w:p w14:paraId="5BEEFD2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practical purposes it can be ruled out as an influence on change in IMR over time,</w:t>
      </w:r>
    </w:p>
    <w:p w14:paraId="7A71EF5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at least for areas remaining rural, which are the subject of this study. Ecological</w:t>
      </w:r>
    </w:p>
    <w:p w14:paraId="7FF7F5A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studies (of variations between places at one point in time) have previously found</w:t>
      </w:r>
    </w:p>
    <w:p w14:paraId="66991802" w14:textId="7B3D3269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 important role for population density;</w:t>
      </w:r>
      <w:r w:rsidRPr="00DE28E9">
        <w:rPr>
          <w:color w:val="000000"/>
          <w:sz w:val="15"/>
          <w:szCs w:val="15"/>
        </w:rPr>
        <w:t xml:space="preserve">55 </w:t>
      </w:r>
      <w:r w:rsidRPr="00DE28E9">
        <w:rPr>
          <w:color w:val="000000"/>
          <w:sz w:val="22"/>
          <w:szCs w:val="22"/>
        </w:rPr>
        <w:t>however, Williams and Galley caution</w:t>
      </w:r>
    </w:p>
    <w:p w14:paraId="75C3E2D2" w14:textId="77777777" w:rsidR="00E1411F" w:rsidRPr="00DE28E9" w:rsidRDefault="00E1411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1A3AF20D" w14:textId="77777777" w:rsidR="00175367" w:rsidRPr="00E1411F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1411F">
        <w:rPr>
          <w:color w:val="000000"/>
          <w:sz w:val="20"/>
          <w:szCs w:val="20"/>
        </w:rPr>
        <w:t>55 Ibid., pp. 127–8.</w:t>
      </w:r>
    </w:p>
    <w:p w14:paraId="684D384B" w14:textId="77777777" w:rsidR="003F3EA4" w:rsidRPr="00DE28E9" w:rsidRDefault="003F3EA4">
      <w:pPr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br w:type="page"/>
      </w:r>
    </w:p>
    <w:p w14:paraId="3E848DDD" w14:textId="4DEBC0B8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against imagining that the factors influencing these spatial variations must also be</w:t>
      </w:r>
    </w:p>
    <w:p w14:paraId="7E432D39" w14:textId="25A680B2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DE28E9">
        <w:rPr>
          <w:color w:val="000000"/>
          <w:sz w:val="22"/>
          <w:szCs w:val="22"/>
        </w:rPr>
        <w:t>the ones governing temporal change.</w:t>
      </w:r>
      <w:r w:rsidRPr="00DE28E9">
        <w:rPr>
          <w:color w:val="000000"/>
          <w:sz w:val="15"/>
          <w:szCs w:val="15"/>
        </w:rPr>
        <w:t>56</w:t>
      </w:r>
    </w:p>
    <w:p w14:paraId="7FA3F56A" w14:textId="77777777" w:rsidR="00E1411F" w:rsidRPr="00DE28E9" w:rsidRDefault="00E1411F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</w:p>
    <w:p w14:paraId="722AF10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It is likely that, beyond a certain threshold, rising population density would</w:t>
      </w:r>
    </w:p>
    <w:p w14:paraId="746D3CD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indeed raise IMR (above all, by exposing infants to greater risk of diarrhoeal</w:t>
      </w:r>
    </w:p>
    <w:p w14:paraId="1DC3A68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disease) unless the quality of sanitation kept up with population growth. </w:t>
      </w:r>
      <w:proofErr w:type="gramStart"/>
      <w:r w:rsidRPr="00DE28E9">
        <w:rPr>
          <w:color w:val="000000"/>
          <w:sz w:val="22"/>
          <w:szCs w:val="22"/>
        </w:rPr>
        <w:t>Our</w:t>
      </w:r>
      <w:proofErr w:type="gramEnd"/>
    </w:p>
    <w:p w14:paraId="75D73E5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findings suggest, however, that this threshold was higher than the one we used to</w:t>
      </w:r>
    </w:p>
    <w:p w14:paraId="5D8042A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define rural, 183 persons per square kilometre. This is consistent with Williams</w:t>
      </w:r>
    </w:p>
    <w:p w14:paraId="1C8A355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and Galley’s demonstration that infant mortality to diarrhoeal disease was very</w:t>
      </w:r>
    </w:p>
    <w:p w14:paraId="7D2C622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much lower in rural than urban RDs.</w:t>
      </w:r>
      <w:r w:rsidRPr="00DE28E9">
        <w:rPr>
          <w:color w:val="000000"/>
          <w:sz w:val="15"/>
          <w:szCs w:val="15"/>
        </w:rPr>
        <w:t xml:space="preserve">57 </w:t>
      </w:r>
      <w:r w:rsidRPr="00DE28E9">
        <w:rPr>
          <w:color w:val="000000"/>
          <w:sz w:val="22"/>
          <w:szCs w:val="22"/>
        </w:rPr>
        <w:t>Rural sanitation was often as bad as urban,</w:t>
      </w:r>
    </w:p>
    <w:p w14:paraId="2ABE6A6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or worse.</w:t>
      </w:r>
      <w:r w:rsidRPr="00DE28E9">
        <w:rPr>
          <w:color w:val="000000"/>
          <w:sz w:val="15"/>
          <w:szCs w:val="15"/>
        </w:rPr>
        <w:t xml:space="preserve">58 </w:t>
      </w:r>
      <w:r w:rsidRPr="00DE28E9">
        <w:rPr>
          <w:color w:val="000000"/>
          <w:sz w:val="22"/>
          <w:szCs w:val="22"/>
        </w:rPr>
        <w:t>Yet our findings support Williams and Galley’s conclusion that, at</w:t>
      </w:r>
    </w:p>
    <w:p w14:paraId="6605C5F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rural population densities, bad sanitation did not translate into high mortality</w:t>
      </w:r>
    </w:p>
    <w:p w14:paraId="068883E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from diarrhoeal disease. Focusing on rural areas suggests that RD-level population</w:t>
      </w:r>
    </w:p>
    <w:p w14:paraId="3E39E3D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density is an imprecise measure for the real cause of urban harm, crowding at</w:t>
      </w:r>
    </w:p>
    <w:p w14:paraId="4DE70A5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street and neighbourhood level, which raised the proportion of infants living in</w:t>
      </w:r>
    </w:p>
    <w:p w14:paraId="3384BE3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dangerous proximity to human waste.</w:t>
      </w:r>
    </w:p>
    <w:p w14:paraId="03EEE651" w14:textId="77777777" w:rsidR="00D671C7" w:rsidRDefault="00D671C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06831610" w14:textId="352FC03E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Turning to the effects of fertility, we find that the impact on IMR of its change</w:t>
      </w:r>
    </w:p>
    <w:p w14:paraId="6DF2068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over time was, again, small (5 per cent). This is another interesting result, given</w:t>
      </w:r>
    </w:p>
    <w:p w14:paraId="78F0608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significance of fertility in ecological studies of IMR determinants, such as that</w:t>
      </w:r>
    </w:p>
    <w:p w14:paraId="38B3D09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of Woods et al.</w:t>
      </w:r>
      <w:r w:rsidRPr="00DE28E9">
        <w:rPr>
          <w:color w:val="000000"/>
          <w:sz w:val="15"/>
          <w:szCs w:val="15"/>
        </w:rPr>
        <w:t xml:space="preserve">59 </w:t>
      </w:r>
      <w:r w:rsidRPr="00DE28E9">
        <w:rPr>
          <w:color w:val="000000"/>
          <w:sz w:val="22"/>
          <w:szCs w:val="22"/>
        </w:rPr>
        <w:t>Again, a predictor of IMR variation between places does not</w:t>
      </w:r>
    </w:p>
    <w:p w14:paraId="6557127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appear to be a strong predictor of change in one location over time. Fertility’s</w:t>
      </w:r>
    </w:p>
    <w:p w14:paraId="586B591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raw coefficient is quite large (26.5) but it needs to be recalled that </w:t>
      </w:r>
      <w:proofErr w:type="spellStart"/>
      <w:r w:rsidRPr="00DE28E9">
        <w:rPr>
          <w:color w:val="000000"/>
          <w:sz w:val="22"/>
          <w:szCs w:val="22"/>
        </w:rPr>
        <w:t>Coale’s</w:t>
      </w:r>
      <w:proofErr w:type="spellEnd"/>
      <w:r w:rsidRPr="00DE28E9">
        <w:rPr>
          <w:color w:val="000000"/>
          <w:sz w:val="22"/>
          <w:szCs w:val="22"/>
        </w:rPr>
        <w:t xml:space="preserve"> I</w:t>
      </w:r>
      <w:r w:rsidRPr="00DE28E9">
        <w:rPr>
          <w:color w:val="000000"/>
          <w:sz w:val="15"/>
          <w:szCs w:val="15"/>
        </w:rPr>
        <w:t xml:space="preserve">f </w:t>
      </w:r>
      <w:r w:rsidRPr="00DE28E9">
        <w:rPr>
          <w:color w:val="000000"/>
          <w:sz w:val="22"/>
          <w:szCs w:val="22"/>
        </w:rPr>
        <w:t>is</w:t>
      </w:r>
    </w:p>
    <w:p w14:paraId="29465BC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 index of observed fertility divided by his estimate of ‘natural’ fertility, so its</w:t>
      </w:r>
    </w:p>
    <w:p w14:paraId="0B3B4AD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values run from zero to one. Thus the impact of any plausible change in fertility</w:t>
      </w:r>
    </w:p>
    <w:p w14:paraId="7CB1FAE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DE28E9">
        <w:rPr>
          <w:color w:val="000000"/>
          <w:sz w:val="22"/>
          <w:szCs w:val="22"/>
        </w:rPr>
        <w:t>is not so large as this coefficient implies. For the 363 rural RDs in the study, I</w:t>
      </w:r>
      <w:r w:rsidRPr="00DE28E9">
        <w:rPr>
          <w:color w:val="000000"/>
          <w:sz w:val="15"/>
          <w:szCs w:val="15"/>
        </w:rPr>
        <w:t>f</w:t>
      </w:r>
    </w:p>
    <w:p w14:paraId="52F28A7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was 0.364 in the 1850s, actually increased marginally in the 1860s and 1870s, was</w:t>
      </w:r>
    </w:p>
    <w:p w14:paraId="3DB6D37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still above its 1850s value in the 1880s, and declined by only 22 per cent from its</w:t>
      </w:r>
    </w:p>
    <w:p w14:paraId="29DB6D1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1870s peak to its 1900s value of 0.299, a reduction rounded in table 2 to 0.06. The</w:t>
      </w:r>
    </w:p>
    <w:p w14:paraId="61F43A8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message of table 2 is that the impact of fertility change in rural areas was so small</w:t>
      </w:r>
    </w:p>
    <w:p w14:paraId="7175677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because not only did IMR respond rather weakly to fertility change, but also the</w:t>
      </w:r>
    </w:p>
    <w:p w14:paraId="400E283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fertility change occurring was rather small. It should be noted here that </w:t>
      </w:r>
      <w:proofErr w:type="spellStart"/>
      <w:r w:rsidRPr="00DE28E9">
        <w:rPr>
          <w:color w:val="000000"/>
          <w:sz w:val="22"/>
          <w:szCs w:val="22"/>
        </w:rPr>
        <w:t>Szreter</w:t>
      </w:r>
      <w:proofErr w:type="spellEnd"/>
      <w:r w:rsidRPr="00DE28E9">
        <w:rPr>
          <w:color w:val="000000"/>
          <w:sz w:val="22"/>
          <w:szCs w:val="22"/>
        </w:rPr>
        <w:t xml:space="preserve"> has</w:t>
      </w:r>
    </w:p>
    <w:p w14:paraId="7A2917B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identified multiple fertility declines and shown that the reduction in many types</w:t>
      </w:r>
    </w:p>
    <w:p w14:paraId="1580F7D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DE28E9">
        <w:rPr>
          <w:color w:val="000000"/>
          <w:sz w:val="22"/>
          <w:szCs w:val="22"/>
        </w:rPr>
        <w:t>of urban setting, especially textile towns, will have been faster and begun earlier.</w:t>
      </w:r>
      <w:r w:rsidRPr="00DE28E9">
        <w:rPr>
          <w:color w:val="000000"/>
          <w:sz w:val="15"/>
          <w:szCs w:val="15"/>
        </w:rPr>
        <w:t>60</w:t>
      </w:r>
    </w:p>
    <w:p w14:paraId="0FAFE97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These urban–rural fertility differences contributed to urban–rural differences in</w:t>
      </w:r>
    </w:p>
    <w:p w14:paraId="6A9C3A3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behaviour of IMR.</w:t>
      </w:r>
    </w:p>
    <w:p w14:paraId="3088440D" w14:textId="77777777" w:rsidR="00D671C7" w:rsidRDefault="00D671C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067254D5" w14:textId="7F06521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About a quarter (26.4 per cent) of changing IMR was associated with female</w:t>
      </w:r>
    </w:p>
    <w:p w14:paraId="6B2D24BA" w14:textId="76A77EC3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tuberculosis mortality during the fertile period, a proxy</w:t>
      </w:r>
      <w:r w:rsidR="00D671C7">
        <w:rPr>
          <w:color w:val="000000"/>
          <w:sz w:val="22"/>
          <w:szCs w:val="22"/>
        </w:rPr>
        <w:t xml:space="preserve"> </w:t>
      </w:r>
      <w:r w:rsidRPr="00DE28E9">
        <w:rPr>
          <w:color w:val="000000"/>
          <w:sz w:val="22"/>
          <w:szCs w:val="22"/>
        </w:rPr>
        <w:t>measure of maternal health.</w:t>
      </w:r>
    </w:p>
    <w:p w14:paraId="3DE6D9F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This striking result provides strong support for Millward and Bell, confirming</w:t>
      </w:r>
    </w:p>
    <w:p w14:paraId="5C45F12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their results with a much larger study, and showing that these held good in rural</w:t>
      </w:r>
    </w:p>
    <w:p w14:paraId="0241B6D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places (which provided only about a sixth of their data). Millward and Bell argued</w:t>
      </w:r>
    </w:p>
    <w:p w14:paraId="2E0F529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that improving maternal health could account for almost half of the IMR decline</w:t>
      </w:r>
    </w:p>
    <w:p w14:paraId="1CE0E69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between the 1870s and the 1900s; our findings are consistent with a change of this</w:t>
      </w:r>
    </w:p>
    <w:p w14:paraId="7B46D72F" w14:textId="77777777" w:rsidR="00D671C7" w:rsidRDefault="00D671C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AFC11DD" w14:textId="6B717949" w:rsidR="00175367" w:rsidRPr="00D671C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671C7">
        <w:rPr>
          <w:color w:val="000000"/>
          <w:sz w:val="20"/>
          <w:szCs w:val="20"/>
        </w:rPr>
        <w:t>56 Williams and Galley, ‘Urban–rural differentials’, p. 417.</w:t>
      </w:r>
    </w:p>
    <w:p w14:paraId="33463CA7" w14:textId="77777777" w:rsidR="00175367" w:rsidRPr="00D671C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671C7">
        <w:rPr>
          <w:color w:val="000000"/>
          <w:sz w:val="20"/>
          <w:szCs w:val="20"/>
        </w:rPr>
        <w:t>57 Ibid., pp. 419–20.</w:t>
      </w:r>
    </w:p>
    <w:p w14:paraId="2891A5C4" w14:textId="77777777" w:rsidR="00175367" w:rsidRPr="00D671C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671C7">
        <w:rPr>
          <w:color w:val="000000"/>
          <w:sz w:val="20"/>
          <w:szCs w:val="20"/>
        </w:rPr>
        <w:t xml:space="preserve">58 Waddington, ‘“It might not be a nuisance”’, p. 192; Reay, </w:t>
      </w:r>
      <w:r w:rsidRPr="00D671C7">
        <w:rPr>
          <w:i/>
          <w:iCs/>
          <w:color w:val="000000"/>
          <w:sz w:val="20"/>
          <w:szCs w:val="20"/>
        </w:rPr>
        <w:t xml:space="preserve">Rural </w:t>
      </w:r>
      <w:proofErr w:type="spellStart"/>
      <w:r w:rsidRPr="00D671C7">
        <w:rPr>
          <w:i/>
          <w:iCs/>
          <w:color w:val="000000"/>
          <w:sz w:val="20"/>
          <w:szCs w:val="20"/>
        </w:rPr>
        <w:t>Englands</w:t>
      </w:r>
      <w:proofErr w:type="spellEnd"/>
      <w:r w:rsidRPr="00D671C7">
        <w:rPr>
          <w:color w:val="000000"/>
          <w:sz w:val="20"/>
          <w:szCs w:val="20"/>
        </w:rPr>
        <w:t>, p. 106.</w:t>
      </w:r>
    </w:p>
    <w:p w14:paraId="76911489" w14:textId="77777777" w:rsidR="00175367" w:rsidRPr="00D671C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671C7">
        <w:rPr>
          <w:color w:val="000000"/>
          <w:sz w:val="20"/>
          <w:szCs w:val="20"/>
        </w:rPr>
        <w:t>59 Woods et al., ‘Causes of rapid infant mortality decline, part 2’, pp. 121–6.</w:t>
      </w:r>
    </w:p>
    <w:p w14:paraId="36CDBEC9" w14:textId="77777777" w:rsidR="00175367" w:rsidRPr="00D671C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671C7">
        <w:rPr>
          <w:color w:val="000000"/>
          <w:sz w:val="20"/>
          <w:szCs w:val="20"/>
        </w:rPr>
        <w:t xml:space="preserve">60 </w:t>
      </w:r>
      <w:proofErr w:type="spellStart"/>
      <w:r w:rsidRPr="00D671C7">
        <w:rPr>
          <w:color w:val="000000"/>
          <w:sz w:val="20"/>
          <w:szCs w:val="20"/>
        </w:rPr>
        <w:t>Szreter</w:t>
      </w:r>
      <w:proofErr w:type="spellEnd"/>
      <w:r w:rsidRPr="00D671C7">
        <w:rPr>
          <w:color w:val="000000"/>
          <w:sz w:val="20"/>
          <w:szCs w:val="20"/>
        </w:rPr>
        <w:t xml:space="preserve">, </w:t>
      </w:r>
      <w:r w:rsidRPr="00D671C7">
        <w:rPr>
          <w:i/>
          <w:iCs/>
          <w:color w:val="000000"/>
          <w:sz w:val="20"/>
          <w:szCs w:val="20"/>
        </w:rPr>
        <w:t>Fertility, class and gender</w:t>
      </w:r>
      <w:r w:rsidRPr="00D671C7">
        <w:rPr>
          <w:color w:val="000000"/>
          <w:sz w:val="20"/>
          <w:szCs w:val="20"/>
        </w:rPr>
        <w:t xml:space="preserve">, </w:t>
      </w:r>
      <w:proofErr w:type="spellStart"/>
      <w:r w:rsidRPr="00D671C7">
        <w:rPr>
          <w:color w:val="000000"/>
          <w:sz w:val="20"/>
          <w:szCs w:val="20"/>
        </w:rPr>
        <w:t>ch.</w:t>
      </w:r>
      <w:proofErr w:type="spellEnd"/>
      <w:r w:rsidRPr="00D671C7">
        <w:rPr>
          <w:color w:val="000000"/>
          <w:sz w:val="20"/>
          <w:szCs w:val="20"/>
        </w:rPr>
        <w:t xml:space="preserve"> 7.</w:t>
      </w:r>
    </w:p>
    <w:p w14:paraId="3A9CF254" w14:textId="77777777" w:rsidR="003F3EA4" w:rsidRPr="00D671C7" w:rsidRDefault="003F3EA4">
      <w:pPr>
        <w:rPr>
          <w:color w:val="000000"/>
          <w:sz w:val="20"/>
          <w:szCs w:val="20"/>
        </w:rPr>
      </w:pPr>
      <w:r w:rsidRPr="00D671C7">
        <w:rPr>
          <w:color w:val="000000"/>
          <w:sz w:val="20"/>
          <w:szCs w:val="20"/>
        </w:rPr>
        <w:br w:type="page"/>
      </w:r>
    </w:p>
    <w:p w14:paraId="3A1E130C" w14:textId="75759333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magnitude, the difference between our estimates and theirs explained in part by</w:t>
      </w:r>
    </w:p>
    <w:p w14:paraId="2ECD922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DE28E9">
        <w:rPr>
          <w:color w:val="000000"/>
          <w:sz w:val="22"/>
          <w:szCs w:val="22"/>
        </w:rPr>
        <w:t>the use of different sets of places as well as a different period.</w:t>
      </w:r>
      <w:r w:rsidRPr="00DE28E9">
        <w:rPr>
          <w:color w:val="000000"/>
          <w:sz w:val="15"/>
          <w:szCs w:val="15"/>
        </w:rPr>
        <w:t>61</w:t>
      </w:r>
    </w:p>
    <w:p w14:paraId="1F6C66A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We now consider the contribution of falling female illiteracy levels to IMR</w:t>
      </w:r>
    </w:p>
    <w:p w14:paraId="1CAB5DB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decline, using this as a proxy measure of female education. The restricted</w:t>
      </w:r>
    </w:p>
    <w:p w14:paraId="753682F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availability of literacy data, noted above, compels us to run the model for a shorter</w:t>
      </w:r>
    </w:p>
    <w:p w14:paraId="474BA0B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period, the 1850s to the 1880s. Table 3 shows the results. The change in aggregate</w:t>
      </w:r>
    </w:p>
    <w:p w14:paraId="3B60611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IMR used to calculate column h is –20.02 for this period.</w:t>
      </w:r>
    </w:p>
    <w:p w14:paraId="1ED043A0" w14:textId="77777777" w:rsidR="00F722F2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B7AAC4A" w14:textId="57DEF0FF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estimated effects of population density and tuberculosis are fairly robust,</w:t>
      </w:r>
    </w:p>
    <w:p w14:paraId="2C307E6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and in addition we now see that about a sixth of changing IMR (17 per cent) was</w:t>
      </w:r>
    </w:p>
    <w:p w14:paraId="5B6E286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associated with changes in female literacy. This is the first study of which we are</w:t>
      </w:r>
    </w:p>
    <w:p w14:paraId="2C11FD3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aware that has been able to give a weight to the effect of improving education.</w:t>
      </w:r>
    </w:p>
    <w:p w14:paraId="492B3CF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Adding maternal education to maternal health allows us to account for about half</w:t>
      </w:r>
    </w:p>
    <w:p w14:paraId="1ACE5C0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of all change in IMR over time within an RD. Adding female literacy to the model</w:t>
      </w:r>
    </w:p>
    <w:p w14:paraId="79ACFD8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causes fertility to cease to be statistically significant. This suggests, as Woods et al.</w:t>
      </w:r>
    </w:p>
    <w:p w14:paraId="7C885DA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and much of the literature on modern, less developed countries have also thought,</w:t>
      </w:r>
    </w:p>
    <w:p w14:paraId="167E59B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that fertility is mediating the effect of literacy on IMR. In other words, literate</w:t>
      </w:r>
    </w:p>
    <w:p w14:paraId="084581C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women with their higher status achieved greater agency and were more successful</w:t>
      </w:r>
    </w:p>
    <w:p w14:paraId="6D915CA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 securing their fertility goals, in this case family limitation.</w:t>
      </w:r>
    </w:p>
    <w:p w14:paraId="5B849E12" w14:textId="77777777" w:rsidR="00F722F2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C9C61EF" w14:textId="09B0F681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 third model run (not reported here) was necessary to investigate our final level</w:t>
      </w:r>
      <w:r w:rsidR="00F722F2">
        <w:rPr>
          <w:color w:val="000000"/>
          <w:sz w:val="22"/>
          <w:szCs w:val="22"/>
        </w:rPr>
        <w:t xml:space="preserve"> </w:t>
      </w:r>
      <w:r w:rsidRPr="00DE28E9">
        <w:rPr>
          <w:color w:val="000000"/>
          <w:sz w:val="22"/>
          <w:szCs w:val="22"/>
        </w:rPr>
        <w:t>one</w:t>
      </w:r>
    </w:p>
    <w:p w14:paraId="166603F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variable, agricultural wages. The coefficient produced showed IMR tending</w:t>
      </w:r>
    </w:p>
    <w:p w14:paraId="62B3C59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to rise with labourers’ wages. No plausible causal mechanism would link the two</w:t>
      </w:r>
    </w:p>
    <w:p w14:paraId="25B12DE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directly in this way; we conclude that some underlying factor(s) contributed to both</w:t>
      </w:r>
    </w:p>
    <w:p w14:paraId="193A6876" w14:textId="64ED5DCC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rising wages and rising IMR.</w:t>
      </w:r>
      <w:r w:rsidR="00F722F2">
        <w:rPr>
          <w:color w:val="000000"/>
          <w:sz w:val="22"/>
          <w:szCs w:val="22"/>
        </w:rPr>
        <w:t xml:space="preserve"> </w:t>
      </w:r>
      <w:r w:rsidRPr="00DE28E9">
        <w:rPr>
          <w:color w:val="000000"/>
          <w:sz w:val="22"/>
          <w:szCs w:val="22"/>
        </w:rPr>
        <w:t>We also investigated the possible impact of improving</w:t>
      </w:r>
    </w:p>
    <w:p w14:paraId="70C6282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communications with a model run which included a measure of the density of</w:t>
      </w:r>
    </w:p>
    <w:p w14:paraId="7CFFE76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railway coverage each decade; the results were unconvincing.</w:t>
      </w:r>
    </w:p>
    <w:p w14:paraId="4B55FAA5" w14:textId="77777777" w:rsidR="00F722F2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005CC538" w14:textId="01343806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We tested inter-relationships between these time-dependent variables.</w:t>
      </w:r>
    </w:p>
    <w:p w14:paraId="0206996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Population density had a significant but small effect on female tuberculosis,</w:t>
      </w:r>
    </w:p>
    <w:p w14:paraId="52372C9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explaining 5 per cent of its decrease. The effect of fertility on female tuberculosis</w:t>
      </w:r>
    </w:p>
    <w:p w14:paraId="29B6FCA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was significant at the 0.1 level but not the 0.01 level: its magnitude would account</w:t>
      </w:r>
    </w:p>
    <w:p w14:paraId="6C07821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for 24 per cent of the reduction in female tuberculosis; thus fertility probably</w:t>
      </w:r>
    </w:p>
    <w:p w14:paraId="771663A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affected IMR indirectly by this route, as well as directly. The effect of falling</w:t>
      </w:r>
    </w:p>
    <w:p w14:paraId="30F9D99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tuberculosis on fertility was significant, and would have caused it to rise if other</w:t>
      </w:r>
    </w:p>
    <w:p w14:paraId="7C1DE45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factors affecting fertility had not outweighed this. Literacy did not have a significant</w:t>
      </w:r>
    </w:p>
    <w:p w14:paraId="21CE30C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effect on tuberculosis, or on fertility.</w:t>
      </w:r>
    </w:p>
    <w:p w14:paraId="35120020" w14:textId="77777777" w:rsidR="00F722F2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E3130DB" w14:textId="3C7D7C30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remaining variable to report is distance from London, which achieved high</w:t>
      </w:r>
    </w:p>
    <w:p w14:paraId="402C2C1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significance in every model run. The ‘distance’ coefficient in the model is the</w:t>
      </w:r>
    </w:p>
    <w:p w14:paraId="79A4ED0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contribution of distance to change in IMR over the period after taking account</w:t>
      </w:r>
    </w:p>
    <w:p w14:paraId="47265B5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of the effects of the other covariates. Taking the value from table 2, its effect size</w:t>
      </w:r>
    </w:p>
    <w:p w14:paraId="258A25B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was an increase in IMR of seven deaths per thousand births for each </w:t>
      </w:r>
      <w:proofErr w:type="gramStart"/>
      <w:r w:rsidRPr="00DE28E9">
        <w:rPr>
          <w:color w:val="000000"/>
          <w:sz w:val="22"/>
          <w:szCs w:val="22"/>
        </w:rPr>
        <w:t>hundred</w:t>
      </w:r>
      <w:proofErr w:type="gramEnd"/>
    </w:p>
    <w:p w14:paraId="3FD6B26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kilometres from London. We examined whether the distance effect applied only to</w:t>
      </w:r>
    </w:p>
    <w:p w14:paraId="2A87051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most peripheral places, turning distance into a category variable by splitting</w:t>
      </w:r>
    </w:p>
    <w:p w14:paraId="18DB1DD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distance from London into 50-kilometre bands. IMR increased with distance from</w:t>
      </w:r>
    </w:p>
    <w:p w14:paraId="2915B7A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London from one band to the next at all distances over 100 kilometres, a finding</w:t>
      </w:r>
    </w:p>
    <w:p w14:paraId="41341C2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DE28E9">
        <w:rPr>
          <w:color w:val="000000"/>
          <w:sz w:val="22"/>
          <w:szCs w:val="22"/>
        </w:rPr>
        <w:t>consistent with Gregory’s 2008 results.</w:t>
      </w:r>
      <w:r w:rsidRPr="00DE28E9">
        <w:rPr>
          <w:color w:val="000000"/>
          <w:sz w:val="15"/>
          <w:szCs w:val="15"/>
        </w:rPr>
        <w:t>62</w:t>
      </w:r>
    </w:p>
    <w:p w14:paraId="31EA00D8" w14:textId="77777777" w:rsidR="00F722F2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0728AF68" w14:textId="62DC20FA" w:rsidR="00175367" w:rsidRPr="00F722F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722F2">
        <w:rPr>
          <w:color w:val="000000"/>
          <w:sz w:val="20"/>
          <w:szCs w:val="20"/>
        </w:rPr>
        <w:t>61 Millward and Bell, ‘Infant mortality’, tab. A1, p. 729.</w:t>
      </w:r>
    </w:p>
    <w:p w14:paraId="3EDDD4D7" w14:textId="77777777" w:rsidR="00175367" w:rsidRPr="00F722F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722F2">
        <w:rPr>
          <w:color w:val="000000"/>
          <w:sz w:val="20"/>
          <w:szCs w:val="20"/>
        </w:rPr>
        <w:t>62 Gregory, ‘Different places’, pp. 781–4.</w:t>
      </w:r>
    </w:p>
    <w:p w14:paraId="2D1298C4" w14:textId="77777777" w:rsidR="003F3EA4" w:rsidRPr="00DE28E9" w:rsidRDefault="003F3EA4">
      <w:pPr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br w:type="page"/>
      </w:r>
    </w:p>
    <w:p w14:paraId="0C6C3EBB" w14:textId="32096273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Figure 7. </w:t>
      </w:r>
      <w:r w:rsidRPr="00DE28E9">
        <w:rPr>
          <w:i/>
          <w:iCs/>
          <w:color w:val="000000"/>
          <w:sz w:val="22"/>
          <w:szCs w:val="22"/>
        </w:rPr>
        <w:t>Change in IMR, female tuberculosis, and female illiteracy by cluster, 1850s–</w:t>
      </w:r>
    </w:p>
    <w:p w14:paraId="2FAF39A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DE28E9">
        <w:rPr>
          <w:i/>
          <w:iCs/>
          <w:color w:val="000000"/>
          <w:sz w:val="22"/>
          <w:szCs w:val="22"/>
        </w:rPr>
        <w:t>1900s</w:t>
      </w:r>
    </w:p>
    <w:p w14:paraId="4025ED47" w14:textId="2BD6A922" w:rsidR="003F3EA4" w:rsidRPr="00DE28E9" w:rsidRDefault="0049436B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4"/>
          <w:szCs w:val="14"/>
        </w:rPr>
      </w:pPr>
      <w:r w:rsidRPr="00DE28E9">
        <w:rPr>
          <w:i/>
          <w:iCs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3358C" wp14:editId="2A74C092">
                <wp:simplePos x="0" y="0"/>
                <wp:positionH relativeFrom="column">
                  <wp:posOffset>3886200</wp:posOffset>
                </wp:positionH>
                <wp:positionV relativeFrom="paragraph">
                  <wp:posOffset>3063240</wp:posOffset>
                </wp:positionV>
                <wp:extent cx="137160" cy="144780"/>
                <wp:effectExtent l="0" t="0" r="1524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0B364" id="Rectangle 12" o:spid="_x0000_s1026" style="position:absolute;margin-left:306pt;margin-top:241.2pt;width:10.8pt;height:1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0C7352" w:rsidRPr="00DE28E9">
        <w:rPr>
          <w:i/>
          <w:iCs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F2C480" wp14:editId="7325BBF1">
                <wp:simplePos x="0" y="0"/>
                <wp:positionH relativeFrom="column">
                  <wp:posOffset>4053840</wp:posOffset>
                </wp:positionH>
                <wp:positionV relativeFrom="paragraph">
                  <wp:posOffset>3230880</wp:posOffset>
                </wp:positionV>
                <wp:extent cx="434340" cy="152400"/>
                <wp:effectExtent l="0" t="0" r="2286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23F78" id="Rectangle 11" o:spid="_x0000_s1026" style="position:absolute;margin-left:319.2pt;margin-top:254.4pt;width:34.2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" fillcolor="white [3212]" strokecolor="white [3212]" strokeweight="2pt"/>
            </w:pict>
          </mc:Fallback>
        </mc:AlternateContent>
      </w:r>
      <w:r w:rsidR="001C4D2D" w:rsidRPr="00DE28E9">
        <w:rPr>
          <w:i/>
          <w:iCs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ADE4E" wp14:editId="2570891D">
                <wp:simplePos x="0" y="0"/>
                <wp:positionH relativeFrom="column">
                  <wp:posOffset>4457700</wp:posOffset>
                </wp:positionH>
                <wp:positionV relativeFrom="paragraph">
                  <wp:posOffset>1943100</wp:posOffset>
                </wp:positionV>
                <wp:extent cx="769620" cy="1043940"/>
                <wp:effectExtent l="0" t="0" r="1143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043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8F7B3" id="Rectangle 10" o:spid="_x0000_s1026" style="position:absolute;margin-left:351pt;margin-top:153pt;width:60.6pt;height:8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" fillcolor="white [3212]" strokecolor="white [3212]" strokeweight="2pt"/>
            </w:pict>
          </mc:Fallback>
        </mc:AlternateContent>
      </w:r>
      <w:r w:rsidR="001C4D2D" w:rsidRPr="00DE28E9">
        <w:rPr>
          <w:i/>
          <w:iCs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D2ECC" wp14:editId="276A2203">
                <wp:simplePos x="0" y="0"/>
                <wp:positionH relativeFrom="column">
                  <wp:posOffset>4907280</wp:posOffset>
                </wp:positionH>
                <wp:positionV relativeFrom="paragraph">
                  <wp:posOffset>289560</wp:posOffset>
                </wp:positionV>
                <wp:extent cx="824230" cy="1341120"/>
                <wp:effectExtent l="0" t="0" r="1397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D5452" id="Rectangle 9" o:spid="_x0000_s1026" style="position:absolute;margin-left:386.4pt;margin-top:22.8pt;width:64.9pt;height:10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" fillcolor="white [3212]" strokecolor="white [3212]" strokeweight="2pt"/>
            </w:pict>
          </mc:Fallback>
        </mc:AlternateContent>
      </w:r>
      <w:r w:rsidR="003F3EA4" w:rsidRPr="00DE28E9">
        <w:rPr>
          <w:i/>
          <w:iCs/>
          <w:noProof/>
          <w:color w:val="000000"/>
          <w:sz w:val="14"/>
          <w:szCs w:val="14"/>
        </w:rPr>
        <w:drawing>
          <wp:inline distT="0" distB="0" distL="0" distR="0" wp14:anchorId="0A2EDBD1" wp14:editId="0CD3BA1C">
            <wp:extent cx="5731510" cy="33991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1AC6" w14:textId="3D7B5984" w:rsidR="00175367" w:rsidRPr="00F722F2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F722F2">
        <w:rPr>
          <w:i/>
          <w:iCs/>
          <w:color w:val="000000"/>
          <w:sz w:val="20"/>
          <w:szCs w:val="20"/>
        </w:rPr>
        <w:t xml:space="preserve">Sources: </w:t>
      </w:r>
      <w:r w:rsidRPr="00F722F2">
        <w:rPr>
          <w:color w:val="000000"/>
          <w:sz w:val="20"/>
          <w:szCs w:val="20"/>
        </w:rPr>
        <w:t xml:space="preserve">Derived from GHBGIS; Friedlander and Okun, ‘Demographic processes’; and </w:t>
      </w:r>
      <w:r w:rsidRPr="00F722F2">
        <w:rPr>
          <w:i/>
          <w:iCs/>
          <w:color w:val="000000"/>
          <w:sz w:val="20"/>
          <w:szCs w:val="20"/>
        </w:rPr>
        <w:t>Forty-Seventh Annual Report of the Registrar</w:t>
      </w:r>
    </w:p>
    <w:p w14:paraId="596701BC" w14:textId="77777777" w:rsidR="00175367" w:rsidRPr="00F722F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722F2">
        <w:rPr>
          <w:i/>
          <w:iCs/>
          <w:color w:val="000000"/>
          <w:sz w:val="20"/>
          <w:szCs w:val="20"/>
        </w:rPr>
        <w:t xml:space="preserve">General </w:t>
      </w:r>
      <w:r w:rsidRPr="00F722F2">
        <w:rPr>
          <w:color w:val="000000"/>
          <w:sz w:val="20"/>
          <w:szCs w:val="20"/>
        </w:rPr>
        <w:t>(P.P. 1886, XVII), pp. 2–25.</w:t>
      </w:r>
    </w:p>
    <w:p w14:paraId="7F4577D5" w14:textId="77777777" w:rsidR="002163E7" w:rsidRPr="00DE28E9" w:rsidRDefault="002163E7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5FBA6109" w14:textId="6018BB24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DE28E9">
        <w:rPr>
          <w:color w:val="000000"/>
        </w:rPr>
        <w:t>IV</w:t>
      </w:r>
    </w:p>
    <w:p w14:paraId="2FD04A51" w14:textId="77777777" w:rsidR="00F722F2" w:rsidRPr="00DE28E9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0C298B0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We noted in section I that rural England and Wales had identifiable IMR clusters.</w:t>
      </w:r>
    </w:p>
    <w:p w14:paraId="30C6A56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It is now possible to discuss how IMR interacted at the cluster level with the</w:t>
      </w:r>
    </w:p>
    <w:p w14:paraId="4FC4BD9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covariates discussed here. Figure 7 shows the movements in IMR along with the</w:t>
      </w:r>
    </w:p>
    <w:p w14:paraId="49AAC4F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two covariates found to be most important in the previous discussion, female</w:t>
      </w:r>
    </w:p>
    <w:p w14:paraId="37521F07" w14:textId="64BFD107" w:rsidR="00175367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tuberculosis (health) and female illiteracy (education).</w:t>
      </w:r>
    </w:p>
    <w:p w14:paraId="2DC2DDF3" w14:textId="77777777" w:rsidR="00F722F2" w:rsidRPr="00DE28E9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647D225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Figure 7 illustrates the strong relationship between these three variables which</w:t>
      </w:r>
    </w:p>
    <w:p w14:paraId="2F9B326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has just been demonstrated. More than this, though, it allows us to see some</w:t>
      </w:r>
    </w:p>
    <w:p w14:paraId="6FEA831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variation between clusters in the strength of this relationship. In the clusters we</w:t>
      </w:r>
    </w:p>
    <w:p w14:paraId="12B4277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label ‘Mercia’ and ‘Fenland’, IMR reduced by somewhat more than improvements</w:t>
      </w:r>
    </w:p>
    <w:p w14:paraId="245A712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 health and education predicted. We have already seen, and figure 2 shows,</w:t>
      </w:r>
    </w:p>
    <w:p w14:paraId="3CB46B4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that the IMR reduction could be so great here because the starting figure was so</w:t>
      </w:r>
    </w:p>
    <w:p w14:paraId="7083F81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DE28E9">
        <w:rPr>
          <w:color w:val="000000"/>
          <w:sz w:val="22"/>
          <w:szCs w:val="22"/>
        </w:rPr>
        <w:t>high: the ‘Fenland penalty’ discussed by Sneddon and by Hinde and Fairhurst.</w:t>
      </w:r>
      <w:r w:rsidRPr="00DE28E9">
        <w:rPr>
          <w:color w:val="000000"/>
          <w:sz w:val="15"/>
          <w:szCs w:val="15"/>
        </w:rPr>
        <w:t>63</w:t>
      </w:r>
    </w:p>
    <w:p w14:paraId="11D0F21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This penalty gradually dissipated, not lasting long beyond the 1870s in Sneddon’s</w:t>
      </w:r>
    </w:p>
    <w:p w14:paraId="17E3C8C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view.</w:t>
      </w:r>
      <w:r w:rsidRPr="00DE28E9">
        <w:rPr>
          <w:color w:val="000000"/>
          <w:sz w:val="15"/>
          <w:szCs w:val="15"/>
        </w:rPr>
        <w:t xml:space="preserve">64 </w:t>
      </w:r>
      <w:r w:rsidRPr="00DE28E9">
        <w:rPr>
          <w:color w:val="000000"/>
          <w:sz w:val="22"/>
          <w:szCs w:val="22"/>
        </w:rPr>
        <w:t>Reay points out that the link between a marshy place (or a recently drained</w:t>
      </w:r>
    </w:p>
    <w:p w14:paraId="189B2AA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one with labour-intensive agriculture) and high IMR applied wherever such places</w:t>
      </w:r>
    </w:p>
    <w:p w14:paraId="13C01BC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were found in south-east England, not only the Fens;</w:t>
      </w:r>
      <w:r w:rsidRPr="00DE28E9">
        <w:rPr>
          <w:color w:val="000000"/>
          <w:sz w:val="15"/>
          <w:szCs w:val="15"/>
        </w:rPr>
        <w:t xml:space="preserve">65 </w:t>
      </w:r>
      <w:r w:rsidRPr="00DE28E9">
        <w:rPr>
          <w:color w:val="000000"/>
          <w:sz w:val="22"/>
          <w:szCs w:val="22"/>
        </w:rPr>
        <w:t xml:space="preserve">on the strength of </w:t>
      </w:r>
      <w:proofErr w:type="gramStart"/>
      <w:r w:rsidRPr="00DE28E9">
        <w:rPr>
          <w:color w:val="000000"/>
          <w:sz w:val="22"/>
          <w:szCs w:val="22"/>
        </w:rPr>
        <w:t>our</w:t>
      </w:r>
      <w:proofErr w:type="gramEnd"/>
    </w:p>
    <w:p w14:paraId="4BF5F28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analysis we suggest it occurred in low-lying parts of East Yorkshire too. The special</w:t>
      </w:r>
    </w:p>
    <w:p w14:paraId="356664C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factors at work at the start of our period, according to Hinde and Fairhurst, were</w:t>
      </w:r>
    </w:p>
    <w:p w14:paraId="343545E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 combination of damp environment plus two transitory factors: the intensive</w:t>
      </w:r>
    </w:p>
    <w:p w14:paraId="12378C7D" w14:textId="77777777" w:rsidR="00F722F2" w:rsidRDefault="00F722F2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AC7119E" w14:textId="3CE75869" w:rsidR="00175367" w:rsidRPr="00F722F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722F2">
        <w:rPr>
          <w:color w:val="000000"/>
          <w:sz w:val="20"/>
          <w:szCs w:val="20"/>
        </w:rPr>
        <w:t>63 Sneddon, ‘Double penalty?’; Hinde and Fairhurst, ‘Infant mortality’.</w:t>
      </w:r>
    </w:p>
    <w:p w14:paraId="41FBD9C7" w14:textId="77777777" w:rsidR="00175367" w:rsidRPr="00F722F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722F2">
        <w:rPr>
          <w:color w:val="000000"/>
          <w:sz w:val="20"/>
          <w:szCs w:val="20"/>
        </w:rPr>
        <w:t>64 Sneddon, ‘Double penalty?’, p. 86.</w:t>
      </w:r>
    </w:p>
    <w:p w14:paraId="75DE7909" w14:textId="77777777" w:rsidR="00175367" w:rsidRPr="00F722F2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F722F2">
        <w:rPr>
          <w:color w:val="000000"/>
          <w:sz w:val="20"/>
          <w:szCs w:val="20"/>
        </w:rPr>
        <w:t xml:space="preserve">65 Reay, </w:t>
      </w:r>
      <w:r w:rsidRPr="00F722F2">
        <w:rPr>
          <w:i/>
          <w:iCs/>
          <w:color w:val="000000"/>
          <w:sz w:val="20"/>
          <w:szCs w:val="20"/>
        </w:rPr>
        <w:t xml:space="preserve">Rural </w:t>
      </w:r>
      <w:proofErr w:type="spellStart"/>
      <w:r w:rsidRPr="00F722F2">
        <w:rPr>
          <w:i/>
          <w:iCs/>
          <w:color w:val="000000"/>
          <w:sz w:val="20"/>
          <w:szCs w:val="20"/>
        </w:rPr>
        <w:t>Englands</w:t>
      </w:r>
      <w:proofErr w:type="spellEnd"/>
      <w:r w:rsidRPr="00F722F2">
        <w:rPr>
          <w:color w:val="000000"/>
          <w:sz w:val="20"/>
          <w:szCs w:val="20"/>
        </w:rPr>
        <w:t>, pp. 108–9.</w:t>
      </w:r>
    </w:p>
    <w:p w14:paraId="223DD097" w14:textId="77777777" w:rsidR="002163E7" w:rsidRPr="00DE28E9" w:rsidRDefault="002163E7">
      <w:pPr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br w:type="page"/>
      </w:r>
    </w:p>
    <w:p w14:paraId="6D5FD0AD" w14:textId="271315F3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Figure 8. </w:t>
      </w:r>
      <w:r w:rsidRPr="00DE28E9">
        <w:rPr>
          <w:i/>
          <w:iCs/>
          <w:color w:val="000000"/>
          <w:sz w:val="22"/>
          <w:szCs w:val="22"/>
        </w:rPr>
        <w:t>Relative change in IMR and its covariates in Mercia and Upland: 1850s–</w:t>
      </w:r>
    </w:p>
    <w:p w14:paraId="0FD5639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DE28E9">
        <w:rPr>
          <w:i/>
          <w:iCs/>
          <w:color w:val="000000"/>
          <w:sz w:val="22"/>
          <w:szCs w:val="22"/>
        </w:rPr>
        <w:t>1900s</w:t>
      </w:r>
    </w:p>
    <w:p w14:paraId="6A994162" w14:textId="6A46F40A" w:rsidR="002163E7" w:rsidRPr="00DE28E9" w:rsidRDefault="00E36F2E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14"/>
          <w:szCs w:val="14"/>
        </w:rPr>
      </w:pPr>
      <w:r w:rsidRPr="00DE28E9">
        <w:rPr>
          <w:i/>
          <w:iCs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D0F9B" wp14:editId="5AD6CE62">
                <wp:simplePos x="0" y="0"/>
                <wp:positionH relativeFrom="column">
                  <wp:posOffset>4724400</wp:posOffset>
                </wp:positionH>
                <wp:positionV relativeFrom="paragraph">
                  <wp:posOffset>899160</wp:posOffset>
                </wp:positionV>
                <wp:extent cx="220980" cy="335280"/>
                <wp:effectExtent l="0" t="0" r="2667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A32CA" id="Rectangle 15" o:spid="_x0000_s1026" style="position:absolute;margin-left:372pt;margin-top:70.8pt;width:17.4pt;height:2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" fillcolor="white [3212]" strokecolor="white [3212]" strokeweight="2pt"/>
            </w:pict>
          </mc:Fallback>
        </mc:AlternateContent>
      </w:r>
      <w:r w:rsidRPr="00DE28E9">
        <w:rPr>
          <w:i/>
          <w:iCs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FA4B7" wp14:editId="13D3DB36">
                <wp:simplePos x="0" y="0"/>
                <wp:positionH relativeFrom="column">
                  <wp:posOffset>4038600</wp:posOffset>
                </wp:positionH>
                <wp:positionV relativeFrom="paragraph">
                  <wp:posOffset>1341120</wp:posOffset>
                </wp:positionV>
                <wp:extent cx="883920" cy="762000"/>
                <wp:effectExtent l="0" t="0" r="1143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21D21" id="Rectangle 14" o:spid="_x0000_s1026" style="position:absolute;margin-left:318pt;margin-top:105.6pt;width:69.6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2163E7" w:rsidRPr="00DE28E9">
        <w:rPr>
          <w:i/>
          <w:iCs/>
          <w:noProof/>
          <w:color w:val="000000"/>
          <w:sz w:val="14"/>
          <w:szCs w:val="14"/>
        </w:rPr>
        <w:drawing>
          <wp:inline distT="0" distB="0" distL="0" distR="0" wp14:anchorId="5FDB7D69" wp14:editId="3AFBE507">
            <wp:extent cx="4902424" cy="20726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418" cy="20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D972" w14:textId="3877E502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i/>
          <w:iCs/>
          <w:color w:val="000000"/>
          <w:sz w:val="20"/>
          <w:szCs w:val="20"/>
        </w:rPr>
        <w:t xml:space="preserve">Note: </w:t>
      </w:r>
      <w:r w:rsidRPr="00ED32C1">
        <w:rPr>
          <w:color w:val="000000"/>
          <w:sz w:val="20"/>
          <w:szCs w:val="20"/>
        </w:rPr>
        <w:t xml:space="preserve">All variables indexed so that 1850s </w:t>
      </w:r>
      <w:r w:rsidRPr="00ED32C1">
        <w:rPr>
          <w:rFonts w:eastAsia="MTSY"/>
          <w:color w:val="000000"/>
          <w:sz w:val="20"/>
          <w:szCs w:val="20"/>
        </w:rPr>
        <w:t xml:space="preserve">= </w:t>
      </w:r>
      <w:r w:rsidRPr="00ED32C1">
        <w:rPr>
          <w:color w:val="000000"/>
          <w:sz w:val="20"/>
          <w:szCs w:val="20"/>
        </w:rPr>
        <w:t>100.</w:t>
      </w:r>
    </w:p>
    <w:p w14:paraId="79F7921F" w14:textId="0F6FA5BA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i/>
          <w:iCs/>
          <w:color w:val="000000"/>
          <w:sz w:val="20"/>
          <w:szCs w:val="20"/>
        </w:rPr>
        <w:t xml:space="preserve">Source: </w:t>
      </w:r>
      <w:r w:rsidRPr="00ED32C1">
        <w:rPr>
          <w:color w:val="000000"/>
          <w:sz w:val="20"/>
          <w:szCs w:val="20"/>
        </w:rPr>
        <w:t>As for fig. 7.</w:t>
      </w:r>
    </w:p>
    <w:p w14:paraId="493597AD" w14:textId="77777777" w:rsidR="000676CE" w:rsidRPr="00DE28E9" w:rsidRDefault="000676CE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4"/>
          <w:szCs w:val="14"/>
        </w:rPr>
      </w:pPr>
    </w:p>
    <w:p w14:paraId="29ADB9C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agricultural employment of women in circumstances where they could not make</w:t>
      </w:r>
    </w:p>
    <w:p w14:paraId="08BDE82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adequate provision for the care of their infants, and a statistical artefact whereby</w:t>
      </w:r>
    </w:p>
    <w:p w14:paraId="787F211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in-migration of young women with infants inflated the number of infant deaths but</w:t>
      </w:r>
    </w:p>
    <w:p w14:paraId="402546C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not the denominator of IMR, the number of births in the area.</w:t>
      </w:r>
      <w:r w:rsidRPr="00DE28E9">
        <w:rPr>
          <w:color w:val="000000"/>
          <w:sz w:val="15"/>
          <w:szCs w:val="15"/>
        </w:rPr>
        <w:t xml:space="preserve">66 </w:t>
      </w:r>
      <w:r w:rsidRPr="00DE28E9">
        <w:rPr>
          <w:color w:val="000000"/>
          <w:sz w:val="22"/>
          <w:szCs w:val="22"/>
        </w:rPr>
        <w:t>This migration,</w:t>
      </w:r>
    </w:p>
    <w:p w14:paraId="7119D90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Sneddon added, could have created worse overcrowding within households than</w:t>
      </w:r>
    </w:p>
    <w:p w14:paraId="07A8928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 other rural areas.</w:t>
      </w:r>
      <w:r w:rsidRPr="00DE28E9">
        <w:rPr>
          <w:color w:val="000000"/>
          <w:sz w:val="15"/>
          <w:szCs w:val="15"/>
        </w:rPr>
        <w:t xml:space="preserve">67 </w:t>
      </w:r>
      <w:r w:rsidRPr="00DE28E9">
        <w:rPr>
          <w:color w:val="000000"/>
          <w:sz w:val="22"/>
          <w:szCs w:val="22"/>
        </w:rPr>
        <w:t>The evolution of Fenland agriculture after the 1870s to less</w:t>
      </w:r>
    </w:p>
    <w:p w14:paraId="69091D2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distinctive forms produced a strong improvement in IMR by diminishing the two</w:t>
      </w:r>
    </w:p>
    <w:p w14:paraId="1DAF52A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transitory factors just noted.</w:t>
      </w:r>
    </w:p>
    <w:p w14:paraId="3DDF7F7E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6A02BE70" w14:textId="70490F5E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three clusters of Wessex, Severn, and Trent occupied the middle of the</w:t>
      </w:r>
    </w:p>
    <w:p w14:paraId="0650AC8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IMR distribution in the 1850s. The other characteristic they shared was an IMR</w:t>
      </w:r>
    </w:p>
    <w:p w14:paraId="5FF66DD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performance closest to that predicted by maternal health and education. This</w:t>
      </w:r>
    </w:p>
    <w:p w14:paraId="0BE1761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broad region of central and southern England was the area where the rural IMR</w:t>
      </w:r>
    </w:p>
    <w:p w14:paraId="637B98F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trajectory was closest to that of rural England and Wales as a whole. It is time to</w:t>
      </w:r>
    </w:p>
    <w:p w14:paraId="17A8CC7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supersede the binary comparison of north and west versus south and east with a</w:t>
      </w:r>
    </w:p>
    <w:p w14:paraId="41B8F80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threefold scheme, in which rural IMR, and its responsiveness to maternal health</w:t>
      </w:r>
    </w:p>
    <w:p w14:paraId="700FF59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and education, performed best in the east, moderately in the centre, and worst</w:t>
      </w:r>
    </w:p>
    <w:p w14:paraId="2F4E766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 the north and west. Within the central zone itself, figures 2 and 3 show that</w:t>
      </w:r>
    </w:p>
    <w:p w14:paraId="70213CA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there was a rising south–north IMR gradient, persistent over time, with the RDs of</w:t>
      </w:r>
    </w:p>
    <w:p w14:paraId="4621FBA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Wessex averaging IMRs about 10 per thousand </w:t>
      </w:r>
      <w:proofErr w:type="gramStart"/>
      <w:r w:rsidRPr="00DE28E9">
        <w:rPr>
          <w:color w:val="000000"/>
          <w:sz w:val="22"/>
          <w:szCs w:val="22"/>
        </w:rPr>
        <w:t>lower</w:t>
      </w:r>
      <w:proofErr w:type="gramEnd"/>
      <w:r w:rsidRPr="00DE28E9">
        <w:rPr>
          <w:color w:val="000000"/>
          <w:sz w:val="22"/>
          <w:szCs w:val="22"/>
        </w:rPr>
        <w:t xml:space="preserve"> than Severn, which in turn</w:t>
      </w:r>
    </w:p>
    <w:p w14:paraId="20C0666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came about 15 per thousand below Trent. One component of this gradient was the</w:t>
      </w:r>
    </w:p>
    <w:p w14:paraId="102629E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distance-from-London effect; the consistently good performance of Dorset, north</w:t>
      </w:r>
    </w:p>
    <w:p w14:paraId="02D5F143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2321851E" w14:textId="422AE668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Hampshire, and much of Wiltshire was another.</w:t>
      </w:r>
    </w:p>
    <w:p w14:paraId="57FC845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final two clusters, Heath &amp; Moor and Upland, represent the opposite end</w:t>
      </w:r>
    </w:p>
    <w:p w14:paraId="0D6E29DE" w14:textId="649543C5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of the scale from</w:t>
      </w:r>
      <w:r w:rsidR="00ED32C1">
        <w:rPr>
          <w:color w:val="000000"/>
          <w:sz w:val="22"/>
          <w:szCs w:val="22"/>
        </w:rPr>
        <w:t xml:space="preserve"> </w:t>
      </w:r>
      <w:r w:rsidRPr="00DE28E9">
        <w:rPr>
          <w:color w:val="000000"/>
          <w:sz w:val="22"/>
          <w:szCs w:val="22"/>
        </w:rPr>
        <w:t>Mercia and Fenland, since their IMR performance was the worst,</w:t>
      </w:r>
    </w:p>
    <w:p w14:paraId="5648F3D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and also worse than the development of their health and education status predicted,</w:t>
      </w:r>
    </w:p>
    <w:p w14:paraId="47BEDF1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as figure 8 shows by contrasting the trajectories of Mercia and Upland. Situated</w:t>
      </w:r>
    </w:p>
    <w:p w14:paraId="00821FE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very largely in the pastoral zone, </w:t>
      </w:r>
      <w:proofErr w:type="spellStart"/>
      <w:r w:rsidRPr="00DE28E9">
        <w:rPr>
          <w:color w:val="000000"/>
          <w:sz w:val="22"/>
          <w:szCs w:val="22"/>
        </w:rPr>
        <w:t>inWales</w:t>
      </w:r>
      <w:proofErr w:type="spellEnd"/>
      <w:r w:rsidRPr="00DE28E9">
        <w:rPr>
          <w:color w:val="000000"/>
          <w:sz w:val="22"/>
          <w:szCs w:val="22"/>
        </w:rPr>
        <w:t>, the far north of England, and Devon, the</w:t>
      </w:r>
    </w:p>
    <w:p w14:paraId="1B0D7AA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final two clusters began with the best IMRs. Heath &amp; Moor’s stagnated, but ended</w:t>
      </w:r>
    </w:p>
    <w:p w14:paraId="6F279EA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up still quite near the bottom of the IMR distribution: Upland’s deteriorated and</w:t>
      </w:r>
    </w:p>
    <w:p w14:paraId="6550484F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DFD67C8" w14:textId="688C3168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66 Hinde and Fairhurst, ‘Infant mortality’, pp. 65–6.</w:t>
      </w:r>
    </w:p>
    <w:p w14:paraId="5D834B6E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67 Sneddon, ‘Double penalty?’, p. 96.</w:t>
      </w:r>
    </w:p>
    <w:p w14:paraId="705A75A6" w14:textId="77777777" w:rsidR="000676CE" w:rsidRPr="00DE28E9" w:rsidRDefault="000676CE">
      <w:pPr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br w:type="page"/>
      </w:r>
    </w:p>
    <w:p w14:paraId="7EAA800E" w14:textId="2808B026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finished at the top (figure 2). One reason for these two clusters’ relatively small</w:t>
      </w:r>
    </w:p>
    <w:p w14:paraId="6DFF99E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improvement in tuberculosis mortality (figures 7 and 8) may be that they started</w:t>
      </w:r>
    </w:p>
    <w:p w14:paraId="01BF7C9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period closer to the lowest achievable level than the other clusters.</w:t>
      </w:r>
    </w:p>
    <w:p w14:paraId="271F0FA9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2A1BB90C" w14:textId="53F2DD42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It appears that the relative advantage enjoyed by Upland and Heath &amp; Moor in</w:t>
      </w:r>
    </w:p>
    <w:p w14:paraId="0496D56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mid-nineteenth century was linked to their pastoral agriculture. This preserved</w:t>
      </w:r>
    </w:p>
    <w:p w14:paraId="2986C62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 eighteenth-century and older ‘family economy’ longer than it lasted in the more</w:t>
      </w:r>
    </w:p>
    <w:p w14:paraId="326CEDA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capitalized farming of the arable zone, as Reay’s calculations of the ‘family labour’</w:t>
      </w:r>
    </w:p>
    <w:p w14:paraId="17E5386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share of the agricultural workforce confirm.</w:t>
      </w:r>
      <w:r w:rsidRPr="00DE28E9">
        <w:rPr>
          <w:color w:val="000000"/>
          <w:sz w:val="15"/>
          <w:szCs w:val="15"/>
        </w:rPr>
        <w:t xml:space="preserve">68 </w:t>
      </w:r>
      <w:r w:rsidRPr="00DE28E9">
        <w:rPr>
          <w:color w:val="000000"/>
          <w:sz w:val="22"/>
          <w:szCs w:val="22"/>
        </w:rPr>
        <w:t>Snell saw this family economy as</w:t>
      </w:r>
    </w:p>
    <w:p w14:paraId="4FB22F2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creating a more equal sexual division of labour because it included more access</w:t>
      </w:r>
    </w:p>
    <w:p w14:paraId="01C87DB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to commons, more owner-occupiers and small tenants, and less dependence on</w:t>
      </w:r>
    </w:p>
    <w:p w14:paraId="038B509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wage labour away from home:</w:t>
      </w:r>
      <w:r w:rsidRPr="00DE28E9">
        <w:rPr>
          <w:color w:val="000000"/>
          <w:sz w:val="15"/>
          <w:szCs w:val="15"/>
        </w:rPr>
        <w:t xml:space="preserve">69 </w:t>
      </w:r>
      <w:r w:rsidRPr="00DE28E9">
        <w:rPr>
          <w:color w:val="000000"/>
          <w:sz w:val="22"/>
          <w:szCs w:val="22"/>
        </w:rPr>
        <w:t>Verdon’s studies of farm records tell the same</w:t>
      </w:r>
    </w:p>
    <w:p w14:paraId="12A051E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story.</w:t>
      </w:r>
      <w:r w:rsidRPr="00DE28E9">
        <w:rPr>
          <w:color w:val="000000"/>
          <w:sz w:val="15"/>
          <w:szCs w:val="15"/>
        </w:rPr>
        <w:t xml:space="preserve">70 </w:t>
      </w:r>
      <w:r w:rsidRPr="00DE28E9">
        <w:rPr>
          <w:color w:val="000000"/>
          <w:sz w:val="22"/>
          <w:szCs w:val="22"/>
        </w:rPr>
        <w:t>Our examination of maternal health and education suggests that this social</w:t>
      </w:r>
    </w:p>
    <w:p w14:paraId="2B73FF7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structure gave mothers higher status and safeguarded their infants better.</w:t>
      </w:r>
    </w:p>
    <w:p w14:paraId="749D0311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1C1BD43B" w14:textId="6DA88256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This leaves the challenge of why these northern and western zones did so</w:t>
      </w:r>
    </w:p>
    <w:p w14:paraId="72A99769" w14:textId="752D1BD0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poorly after</w:t>
      </w:r>
      <w:r w:rsidR="00ED32C1">
        <w:rPr>
          <w:color w:val="000000"/>
          <w:sz w:val="22"/>
          <w:szCs w:val="22"/>
        </w:rPr>
        <w:t xml:space="preserve"> </w:t>
      </w:r>
      <w:r w:rsidRPr="00DE28E9">
        <w:rPr>
          <w:color w:val="000000"/>
          <w:sz w:val="22"/>
          <w:szCs w:val="22"/>
        </w:rPr>
        <w:t>mid-century.</w:t>
      </w:r>
      <w:r w:rsidR="00ED32C1">
        <w:rPr>
          <w:color w:val="000000"/>
          <w:sz w:val="22"/>
          <w:szCs w:val="22"/>
        </w:rPr>
        <w:t xml:space="preserve"> </w:t>
      </w:r>
      <w:proofErr w:type="gramStart"/>
      <w:r w:rsidRPr="00DE28E9">
        <w:rPr>
          <w:color w:val="000000"/>
          <w:sz w:val="22"/>
          <w:szCs w:val="22"/>
        </w:rPr>
        <w:t>Distance</w:t>
      </w:r>
      <w:proofErr w:type="gramEnd"/>
      <w:r w:rsidRPr="00DE28E9">
        <w:rPr>
          <w:color w:val="000000"/>
          <w:sz w:val="22"/>
          <w:szCs w:val="22"/>
        </w:rPr>
        <w:t xml:space="preserve"> from London was relevant. Rural out-migration,</w:t>
      </w:r>
    </w:p>
    <w:p w14:paraId="6F2293A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generally heaviest in the most peripheral places,</w:t>
      </w:r>
      <w:r w:rsidRPr="00DE28E9">
        <w:rPr>
          <w:color w:val="000000"/>
          <w:sz w:val="15"/>
          <w:szCs w:val="15"/>
        </w:rPr>
        <w:t xml:space="preserve">71 </w:t>
      </w:r>
      <w:r w:rsidRPr="00DE28E9">
        <w:rPr>
          <w:color w:val="000000"/>
          <w:sz w:val="22"/>
          <w:szCs w:val="22"/>
        </w:rPr>
        <w:t>will have exerted upward pressure</w:t>
      </w:r>
    </w:p>
    <w:p w14:paraId="1C86B97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on infant mortality there, as out-migrants (male and female) were better off,</w:t>
      </w:r>
    </w:p>
    <w:p w14:paraId="77850D2C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better educated, and better informed than stayers,</w:t>
      </w:r>
      <w:r w:rsidRPr="00DE28E9">
        <w:rPr>
          <w:color w:val="000000"/>
          <w:sz w:val="15"/>
          <w:szCs w:val="15"/>
        </w:rPr>
        <w:t xml:space="preserve">72 </w:t>
      </w:r>
      <w:r w:rsidRPr="00DE28E9">
        <w:rPr>
          <w:color w:val="000000"/>
          <w:sz w:val="22"/>
          <w:szCs w:val="22"/>
        </w:rPr>
        <w:t>and must therefore have been</w:t>
      </w:r>
    </w:p>
    <w:p w14:paraId="46574B1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healthier too. Nineteenth-century developments in the cultures of domesticity and</w:t>
      </w:r>
    </w:p>
    <w:p w14:paraId="1DE99AB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respectability could also have played a part.</w:t>
      </w:r>
      <w:r w:rsidRPr="00DE28E9">
        <w:rPr>
          <w:color w:val="000000"/>
          <w:sz w:val="15"/>
          <w:szCs w:val="15"/>
        </w:rPr>
        <w:t xml:space="preserve">73 </w:t>
      </w:r>
      <w:r w:rsidRPr="00DE28E9">
        <w:rPr>
          <w:color w:val="000000"/>
          <w:sz w:val="22"/>
          <w:szCs w:val="22"/>
        </w:rPr>
        <w:t>These changes reduced women’s</w:t>
      </w:r>
    </w:p>
    <w:p w14:paraId="25E1FA2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access to the labour market, with results for infant welfare which have been</w:t>
      </w:r>
    </w:p>
    <w:p w14:paraId="6946C4E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controversial,</w:t>
      </w:r>
      <w:r w:rsidRPr="00DE28E9">
        <w:rPr>
          <w:color w:val="000000"/>
          <w:sz w:val="15"/>
          <w:szCs w:val="15"/>
        </w:rPr>
        <w:t xml:space="preserve">74 </w:t>
      </w:r>
      <w:r w:rsidRPr="00DE28E9">
        <w:rPr>
          <w:color w:val="000000"/>
          <w:sz w:val="22"/>
          <w:szCs w:val="22"/>
        </w:rPr>
        <w:t>but within the household they improved mothers’ status, with</w:t>
      </w:r>
    </w:p>
    <w:p w14:paraId="5AFC626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unequivocally positive outcomes for infants. We speculate that there was a spatial</w:t>
      </w:r>
    </w:p>
    <w:p w14:paraId="1F57E1C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gradient to these changes, diffusing from socially fluid urban settings, especially</w:t>
      </w:r>
    </w:p>
    <w:p w14:paraId="097CAF3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London to the most peripheral rural areas, the delay causing infant mortality</w:t>
      </w:r>
    </w:p>
    <w:p w14:paraId="0F5B6FE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decline to fall behind there.</w:t>
      </w:r>
    </w:p>
    <w:p w14:paraId="5D425B52" w14:textId="5E90E136" w:rsidR="000676CE" w:rsidRDefault="000676CE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771CCF1F" w14:textId="77777777" w:rsidR="00ED32C1" w:rsidRPr="00DE28E9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41DFF7D6" w14:textId="596044F5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DE28E9">
        <w:rPr>
          <w:color w:val="000000"/>
        </w:rPr>
        <w:t>V</w:t>
      </w:r>
    </w:p>
    <w:p w14:paraId="4A5D4037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48339233" w14:textId="2742D7CB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This first longitudinal analysis of rural IMR has incorporated features of earlier</w:t>
      </w:r>
    </w:p>
    <w:p w14:paraId="7D7C96F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work, such as Woods et al.’s choice of fertility and literacy measures and Millward</w:t>
      </w:r>
    </w:p>
    <w:p w14:paraId="2FB8D69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and Bell’s use of female tuberculosis mortality to proxy maternal health.</w:t>
      </w:r>
      <w:r w:rsidRPr="00DE28E9">
        <w:rPr>
          <w:color w:val="000000"/>
          <w:sz w:val="15"/>
          <w:szCs w:val="15"/>
        </w:rPr>
        <w:t xml:space="preserve">75 </w:t>
      </w:r>
      <w:r w:rsidRPr="00DE28E9">
        <w:rPr>
          <w:color w:val="000000"/>
          <w:sz w:val="22"/>
          <w:szCs w:val="22"/>
        </w:rPr>
        <w:t>By</w:t>
      </w:r>
    </w:p>
    <w:p w14:paraId="610DAD6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replicating these elements of their models we allow some comparisons with </w:t>
      </w:r>
      <w:proofErr w:type="gramStart"/>
      <w:r w:rsidRPr="00DE28E9">
        <w:rPr>
          <w:color w:val="000000"/>
          <w:sz w:val="22"/>
          <w:szCs w:val="22"/>
        </w:rPr>
        <w:t>their</w:t>
      </w:r>
      <w:proofErr w:type="gramEnd"/>
    </w:p>
    <w:p w14:paraId="64C34CD8" w14:textId="76756408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findings. While</w:t>
      </w:r>
      <w:r w:rsidR="00ED32C1">
        <w:rPr>
          <w:color w:val="000000"/>
          <w:sz w:val="22"/>
          <w:szCs w:val="22"/>
        </w:rPr>
        <w:t xml:space="preserve"> </w:t>
      </w:r>
      <w:r w:rsidRPr="00DE28E9">
        <w:rPr>
          <w:color w:val="000000"/>
          <w:sz w:val="22"/>
          <w:szCs w:val="22"/>
        </w:rPr>
        <w:t>Woods et al. showed that fertility was a significant predictor of IMR</w:t>
      </w:r>
    </w:p>
    <w:p w14:paraId="3367EC4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between places at one point in time, we found it a poor predictor of change over</w:t>
      </w:r>
    </w:p>
    <w:p w14:paraId="34E082F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time in one place. On the other hand we confirmed and extended the findings that</w:t>
      </w:r>
    </w:p>
    <w:p w14:paraId="240DEEEA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maternal health and literacy were important predictors of IMR change.</w:t>
      </w:r>
    </w:p>
    <w:p w14:paraId="504FF702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45935A07" w14:textId="108B6FE2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This work has demonstrated the feasibility of using the data in the GBHGIS for</w:t>
      </w:r>
    </w:p>
    <w:p w14:paraId="40F1A24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longitudinal statistical analysis. This resource is just as valuable to scholars studying</w:t>
      </w:r>
    </w:p>
    <w:p w14:paraId="642D40B1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0EB2835" w14:textId="660B8D01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68 Reay, </w:t>
      </w:r>
      <w:r w:rsidRPr="00ED32C1">
        <w:rPr>
          <w:i/>
          <w:iCs/>
          <w:color w:val="000000"/>
          <w:sz w:val="20"/>
          <w:szCs w:val="20"/>
        </w:rPr>
        <w:t xml:space="preserve">Rural </w:t>
      </w:r>
      <w:proofErr w:type="spellStart"/>
      <w:r w:rsidRPr="00ED32C1">
        <w:rPr>
          <w:i/>
          <w:iCs/>
          <w:color w:val="000000"/>
          <w:sz w:val="20"/>
          <w:szCs w:val="20"/>
        </w:rPr>
        <w:t>Englands</w:t>
      </w:r>
      <w:proofErr w:type="spellEnd"/>
      <w:r w:rsidRPr="00ED32C1">
        <w:rPr>
          <w:color w:val="000000"/>
          <w:sz w:val="20"/>
          <w:szCs w:val="20"/>
        </w:rPr>
        <w:t>, p. 24.</w:t>
      </w:r>
    </w:p>
    <w:p w14:paraId="28722563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69 Snell, </w:t>
      </w:r>
      <w:r w:rsidRPr="00ED32C1">
        <w:rPr>
          <w:i/>
          <w:iCs/>
          <w:color w:val="000000"/>
          <w:sz w:val="20"/>
          <w:szCs w:val="20"/>
        </w:rPr>
        <w:t>Annals of the labouring poor</w:t>
      </w:r>
      <w:r w:rsidRPr="00ED32C1">
        <w:rPr>
          <w:color w:val="000000"/>
          <w:sz w:val="20"/>
          <w:szCs w:val="20"/>
        </w:rPr>
        <w:t>, p. 62.</w:t>
      </w:r>
    </w:p>
    <w:p w14:paraId="3E112048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70 Verdon, </w:t>
      </w:r>
      <w:r w:rsidRPr="00ED32C1">
        <w:rPr>
          <w:i/>
          <w:iCs/>
          <w:color w:val="000000"/>
          <w:sz w:val="20"/>
          <w:szCs w:val="20"/>
        </w:rPr>
        <w:t>Rural women workers</w:t>
      </w:r>
      <w:r w:rsidRPr="00ED32C1">
        <w:rPr>
          <w:color w:val="000000"/>
          <w:sz w:val="20"/>
          <w:szCs w:val="20"/>
        </w:rPr>
        <w:t>, p. 123.</w:t>
      </w:r>
    </w:p>
    <w:p w14:paraId="3210316A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71 Lawton, ‘Rural depopulation’, p. 243; Hunt, </w:t>
      </w:r>
      <w:r w:rsidRPr="00ED32C1">
        <w:rPr>
          <w:i/>
          <w:iCs/>
          <w:color w:val="000000"/>
          <w:sz w:val="20"/>
          <w:szCs w:val="20"/>
        </w:rPr>
        <w:t>Regional wage variations</w:t>
      </w:r>
      <w:r w:rsidRPr="00ED32C1">
        <w:rPr>
          <w:color w:val="000000"/>
          <w:sz w:val="20"/>
          <w:szCs w:val="20"/>
        </w:rPr>
        <w:t xml:space="preserve">, pp. 247–51; Baines, </w:t>
      </w:r>
      <w:r w:rsidRPr="00ED32C1">
        <w:rPr>
          <w:i/>
          <w:iCs/>
          <w:color w:val="000000"/>
          <w:sz w:val="20"/>
          <w:szCs w:val="20"/>
        </w:rPr>
        <w:t>Migration in a</w:t>
      </w:r>
    </w:p>
    <w:p w14:paraId="32447F62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i/>
          <w:iCs/>
          <w:color w:val="000000"/>
          <w:sz w:val="20"/>
          <w:szCs w:val="20"/>
        </w:rPr>
        <w:t>mature economy</w:t>
      </w:r>
      <w:r w:rsidRPr="00ED32C1">
        <w:rPr>
          <w:color w:val="000000"/>
          <w:sz w:val="20"/>
          <w:szCs w:val="20"/>
        </w:rPr>
        <w:t>, pp. 283–98.</w:t>
      </w:r>
    </w:p>
    <w:p w14:paraId="08D79E35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72 Short, ‘Rural demography’, pp. 1285–7.</w:t>
      </w:r>
    </w:p>
    <w:p w14:paraId="52DD154B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73 Verdon, </w:t>
      </w:r>
      <w:r w:rsidRPr="00ED32C1">
        <w:rPr>
          <w:i/>
          <w:iCs/>
          <w:color w:val="000000"/>
          <w:sz w:val="20"/>
          <w:szCs w:val="20"/>
        </w:rPr>
        <w:t>Rural women workers</w:t>
      </w:r>
      <w:r w:rsidRPr="00ED32C1">
        <w:rPr>
          <w:color w:val="000000"/>
          <w:sz w:val="20"/>
          <w:szCs w:val="20"/>
        </w:rPr>
        <w:t>, p. 199.</w:t>
      </w:r>
    </w:p>
    <w:p w14:paraId="0686C760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74 </w:t>
      </w:r>
      <w:proofErr w:type="spellStart"/>
      <w:r w:rsidRPr="00ED32C1">
        <w:rPr>
          <w:color w:val="000000"/>
          <w:sz w:val="20"/>
          <w:szCs w:val="20"/>
        </w:rPr>
        <w:t>Dyhouse</w:t>
      </w:r>
      <w:proofErr w:type="spellEnd"/>
      <w:r w:rsidRPr="00ED32C1">
        <w:rPr>
          <w:color w:val="000000"/>
          <w:sz w:val="20"/>
          <w:szCs w:val="20"/>
        </w:rPr>
        <w:t>, ‘Working class mothers’, pp. 251–7; Garrett and Reid, ‘Satanic mills’.</w:t>
      </w:r>
    </w:p>
    <w:p w14:paraId="7B9B5B47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75 Woods et al., ‘Causes of rapid infant mortality decline, part 2’, p. </w:t>
      </w:r>
      <w:proofErr w:type="gramStart"/>
      <w:r w:rsidRPr="00ED32C1">
        <w:rPr>
          <w:color w:val="000000"/>
          <w:sz w:val="20"/>
          <w:szCs w:val="20"/>
        </w:rPr>
        <w:t>127;Woods</w:t>
      </w:r>
      <w:proofErr w:type="gramEnd"/>
      <w:r w:rsidRPr="00ED32C1">
        <w:rPr>
          <w:color w:val="000000"/>
          <w:sz w:val="20"/>
          <w:szCs w:val="20"/>
        </w:rPr>
        <w:t xml:space="preserve">, </w:t>
      </w:r>
      <w:r w:rsidRPr="00ED32C1">
        <w:rPr>
          <w:i/>
          <w:iCs/>
          <w:color w:val="000000"/>
          <w:sz w:val="20"/>
          <w:szCs w:val="20"/>
        </w:rPr>
        <w:t>Demography of Victorian England</w:t>
      </w:r>
    </w:p>
    <w:p w14:paraId="4B5C29AB" w14:textId="3717C4A1" w:rsidR="000676CE" w:rsidRPr="00ED32C1" w:rsidRDefault="00175367" w:rsidP="00ED32C1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i/>
          <w:iCs/>
          <w:color w:val="000000"/>
          <w:sz w:val="20"/>
          <w:szCs w:val="20"/>
        </w:rPr>
        <w:t>and Wales</w:t>
      </w:r>
      <w:r w:rsidRPr="00ED32C1">
        <w:rPr>
          <w:color w:val="000000"/>
          <w:sz w:val="20"/>
          <w:szCs w:val="20"/>
        </w:rPr>
        <w:t>, p. 9; Millward and Bell, ‘Infant mortality’, pp. 714–16.</w:t>
      </w:r>
      <w:r w:rsidR="000676CE" w:rsidRPr="00DE28E9">
        <w:rPr>
          <w:color w:val="000000"/>
          <w:sz w:val="22"/>
          <w:szCs w:val="22"/>
        </w:rPr>
        <w:br w:type="page"/>
      </w:r>
    </w:p>
    <w:p w14:paraId="0E8578A5" w14:textId="55B63D58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small geographical areas as to those looking at the national picture. Our findings</w:t>
      </w:r>
    </w:p>
    <w:p w14:paraId="31720E2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suggest fruitful areas for further work. These include the contributions of the status</w:t>
      </w:r>
    </w:p>
    <w:p w14:paraId="7F96FC6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of women and migration. We lack direct evidence on how out-migration affected</w:t>
      </w:r>
    </w:p>
    <w:p w14:paraId="5E5E321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health of rural areas. Local studies of different kinds have the most to tell us</w:t>
      </w:r>
    </w:p>
    <w:p w14:paraId="5EB4969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about the varying social and political conditions that shaped women’s status and,</w:t>
      </w:r>
    </w:p>
    <w:p w14:paraId="5100F5F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with it, fertility and infant mortality. As well as benefiting from the demographic</w:t>
      </w:r>
    </w:p>
    <w:p w14:paraId="2CE8F4E6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material in the GBHGIS and the new wealth of raw census resources available</w:t>
      </w:r>
    </w:p>
    <w:p w14:paraId="0007F22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through I-CeM,</w:t>
      </w:r>
      <w:r w:rsidRPr="00DE28E9">
        <w:rPr>
          <w:color w:val="000000"/>
          <w:sz w:val="15"/>
          <w:szCs w:val="15"/>
        </w:rPr>
        <w:t xml:space="preserve">76 </w:t>
      </w:r>
      <w:r w:rsidRPr="00DE28E9">
        <w:rPr>
          <w:color w:val="000000"/>
          <w:sz w:val="22"/>
          <w:szCs w:val="22"/>
        </w:rPr>
        <w:t>local studies could use the forthcoming ‘Atlas of fertility decline</w:t>
      </w:r>
    </w:p>
    <w:p w14:paraId="4BE25AE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 xml:space="preserve">in England and Wales’ and the quantitative parish-level data in the </w:t>
      </w:r>
      <w:r w:rsidRPr="00DE28E9">
        <w:rPr>
          <w:i/>
          <w:iCs/>
          <w:color w:val="000000"/>
          <w:sz w:val="22"/>
          <w:szCs w:val="22"/>
        </w:rPr>
        <w:t>Agricultural</w:t>
      </w:r>
    </w:p>
    <w:p w14:paraId="45C700E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15"/>
          <w:szCs w:val="15"/>
        </w:rPr>
      </w:pPr>
      <w:r w:rsidRPr="00DE28E9">
        <w:rPr>
          <w:i/>
          <w:iCs/>
          <w:color w:val="000000"/>
          <w:sz w:val="22"/>
          <w:szCs w:val="22"/>
        </w:rPr>
        <w:t>Returns</w:t>
      </w:r>
      <w:r w:rsidRPr="00DE28E9">
        <w:rPr>
          <w:color w:val="000000"/>
          <w:sz w:val="22"/>
          <w:szCs w:val="22"/>
        </w:rPr>
        <w:t>.</w:t>
      </w:r>
      <w:r w:rsidRPr="00DE28E9">
        <w:rPr>
          <w:color w:val="000000"/>
          <w:sz w:val="15"/>
          <w:szCs w:val="15"/>
        </w:rPr>
        <w:t>77</w:t>
      </w:r>
    </w:p>
    <w:p w14:paraId="7F6B4DE4" w14:textId="77777777" w:rsidR="00ED32C1" w:rsidRDefault="00ED32C1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</w:p>
    <w:p w14:paraId="7E79837D" w14:textId="25DF37C5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Infant mortality varied systematically across rural England and Wales in the</w:t>
      </w:r>
    </w:p>
    <w:p w14:paraId="16B644C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later nineteenth century. Its most important covariates over time were maternal</w:t>
      </w:r>
    </w:p>
    <w:p w14:paraId="69785AC8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health, which was responsible for about a quarter of IMR change, and maternal</w:t>
      </w:r>
    </w:p>
    <w:p w14:paraId="493F8D1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education, which contributed a further sixth. Overall, using all the leading variables</w:t>
      </w:r>
    </w:p>
    <w:p w14:paraId="26155EF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suggested by earlier work, we account for only half of the change in IMR over time.</w:t>
      </w:r>
    </w:p>
    <w:p w14:paraId="1CE7E904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remaining influences are more resistant to quantitative study, but our findings</w:t>
      </w:r>
    </w:p>
    <w:p w14:paraId="07E31167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about the importance of peripherality offer clues. The speed of improvement in</w:t>
      </w:r>
    </w:p>
    <w:p w14:paraId="2D1F52D1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IMR reduced with distance from London at all ranges of more than about 100</w:t>
      </w:r>
    </w:p>
    <w:p w14:paraId="25B8F0D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kilometres. IMR responded most strongly to improving health and education in</w:t>
      </w:r>
    </w:p>
    <w:p w14:paraId="42FB7A69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east, less in the central area, and least in the north and west. The eastern zone’s</w:t>
      </w:r>
    </w:p>
    <w:p w14:paraId="4493EAF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higher-than-average mid-century infant mortality therefore declined faster than the</w:t>
      </w:r>
    </w:p>
    <w:p w14:paraId="79AA7B0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national average, due to the erosion of earlier disadvantages created by the opening</w:t>
      </w:r>
    </w:p>
    <w:p w14:paraId="1C3F495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up of labour-intensive agriculture on reclaimed wetland. A central and southern</w:t>
      </w:r>
    </w:p>
    <w:p w14:paraId="42EE2BB5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zone had slightly lower IMRs than the eastern zone in mid-century but did not</w:t>
      </w:r>
    </w:p>
    <w:p w14:paraId="460F9E10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keep up with the rate of decline in the east. The peripheral north and west, where</w:t>
      </w:r>
    </w:p>
    <w:p w14:paraId="602FA773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the longer survival of the family economy gave women a stronger position in the</w:t>
      </w:r>
    </w:p>
    <w:p w14:paraId="1F37C63D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proofErr w:type="gramStart"/>
      <w:r w:rsidRPr="00DE28E9">
        <w:rPr>
          <w:color w:val="000000"/>
          <w:sz w:val="22"/>
          <w:szCs w:val="22"/>
        </w:rPr>
        <w:t>household,</w:t>
      </w:r>
      <w:proofErr w:type="gramEnd"/>
      <w:r w:rsidRPr="00DE28E9">
        <w:rPr>
          <w:color w:val="000000"/>
          <w:sz w:val="22"/>
          <w:szCs w:val="22"/>
        </w:rPr>
        <w:t xml:space="preserve"> had the lowest mid-century rates. Thereafter, the diffusion of cultural</w:t>
      </w:r>
    </w:p>
    <w:p w14:paraId="39BCD55F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and social change from centre to periphery eroded this advantage as the status of</w:t>
      </w:r>
    </w:p>
    <w:p w14:paraId="1C5274BB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2"/>
          <w:szCs w:val="22"/>
        </w:rPr>
      </w:pPr>
      <w:r w:rsidRPr="00DE28E9">
        <w:rPr>
          <w:color w:val="000000"/>
          <w:sz w:val="22"/>
          <w:szCs w:val="22"/>
        </w:rPr>
        <w:t>mothers elsewhere caught up with that in the north and west.</w:t>
      </w:r>
    </w:p>
    <w:p w14:paraId="3FC46FD4" w14:textId="77777777" w:rsidR="000676CE" w:rsidRPr="00DE28E9" w:rsidRDefault="000676CE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</w:p>
    <w:p w14:paraId="2254EDE5" w14:textId="58EAB8E8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DE28E9">
        <w:rPr>
          <w:i/>
          <w:iCs/>
          <w:color w:val="000000"/>
          <w:sz w:val="20"/>
          <w:szCs w:val="20"/>
        </w:rPr>
        <w:t>Date submitted 6 November 2015</w:t>
      </w:r>
    </w:p>
    <w:p w14:paraId="2F373A5E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DE28E9">
        <w:rPr>
          <w:i/>
          <w:iCs/>
          <w:color w:val="000000"/>
          <w:sz w:val="20"/>
          <w:szCs w:val="20"/>
        </w:rPr>
        <w:t>Revised version submitted 1 September 2016</w:t>
      </w:r>
    </w:p>
    <w:p w14:paraId="74C6E942" w14:textId="77777777" w:rsidR="00175367" w:rsidRPr="00DE28E9" w:rsidRDefault="00175367" w:rsidP="00175367">
      <w:pPr>
        <w:autoSpaceDE w:val="0"/>
        <w:autoSpaceDN w:val="0"/>
        <w:adjustRightInd w:val="0"/>
        <w:spacing w:after="0" w:line="240" w:lineRule="auto"/>
        <w:rPr>
          <w:i/>
          <w:iCs/>
          <w:color w:val="000000"/>
          <w:sz w:val="20"/>
          <w:szCs w:val="20"/>
        </w:rPr>
      </w:pPr>
      <w:r w:rsidRPr="00DE28E9">
        <w:rPr>
          <w:i/>
          <w:iCs/>
          <w:color w:val="000000"/>
          <w:sz w:val="20"/>
          <w:szCs w:val="20"/>
        </w:rPr>
        <w:t>Accepted 12 September 2016</w:t>
      </w:r>
    </w:p>
    <w:p w14:paraId="789DCDBD" w14:textId="77777777" w:rsidR="000676CE" w:rsidRPr="00DE28E9" w:rsidRDefault="000676CE" w:rsidP="00175367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16"/>
          <w:szCs w:val="16"/>
        </w:rPr>
      </w:pPr>
    </w:p>
    <w:p w14:paraId="5F5158EF" w14:textId="01972CDF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76 </w:t>
      </w:r>
      <w:proofErr w:type="spellStart"/>
      <w:r w:rsidRPr="00ED32C1">
        <w:rPr>
          <w:color w:val="000000"/>
          <w:sz w:val="20"/>
          <w:szCs w:val="20"/>
        </w:rPr>
        <w:t>Sch</w:t>
      </w:r>
      <w:r w:rsidR="000676CE" w:rsidRPr="00ED32C1">
        <w:rPr>
          <w:color w:val="000000"/>
          <w:sz w:val="20"/>
          <w:szCs w:val="20"/>
        </w:rPr>
        <w:t>ü</w:t>
      </w:r>
      <w:r w:rsidRPr="00ED32C1">
        <w:rPr>
          <w:color w:val="000000"/>
          <w:sz w:val="20"/>
          <w:szCs w:val="20"/>
        </w:rPr>
        <w:t>rer</w:t>
      </w:r>
      <w:proofErr w:type="spellEnd"/>
      <w:r w:rsidRPr="00ED32C1">
        <w:rPr>
          <w:color w:val="000000"/>
          <w:sz w:val="20"/>
          <w:szCs w:val="20"/>
        </w:rPr>
        <w:t xml:space="preserve"> and Higgs, ‘Integrated census microdata’.</w:t>
      </w:r>
    </w:p>
    <w:p w14:paraId="4ECDAFA0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77 University of Cambridge Dept. of Geography, ‘An atlas of fertility </w:t>
      </w:r>
      <w:proofErr w:type="gramStart"/>
      <w:r w:rsidRPr="00ED32C1">
        <w:rPr>
          <w:color w:val="000000"/>
          <w:sz w:val="20"/>
          <w:szCs w:val="20"/>
        </w:rPr>
        <w:t>decline</w:t>
      </w:r>
      <w:proofErr w:type="gramEnd"/>
      <w:r w:rsidRPr="00ED32C1">
        <w:rPr>
          <w:color w:val="000000"/>
          <w:sz w:val="20"/>
          <w:szCs w:val="20"/>
        </w:rPr>
        <w:t xml:space="preserve"> in England and Wales’,</w:t>
      </w:r>
    </w:p>
    <w:p w14:paraId="43D76F0E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http://www.geog.cam.ac.uk/research/projects/victorianfertilitydecline/ (accessed on 6 Nov. 2015).</w:t>
      </w:r>
    </w:p>
    <w:p w14:paraId="5F4F0A51" w14:textId="77777777" w:rsidR="000676CE" w:rsidRPr="00DE28E9" w:rsidRDefault="000676CE">
      <w:pPr>
        <w:rPr>
          <w:b/>
          <w:color w:val="000000"/>
          <w:sz w:val="16"/>
          <w:szCs w:val="16"/>
        </w:rPr>
      </w:pPr>
      <w:r w:rsidRPr="00DE28E9">
        <w:rPr>
          <w:b/>
          <w:color w:val="000000"/>
          <w:sz w:val="16"/>
          <w:szCs w:val="16"/>
        </w:rPr>
        <w:br w:type="page"/>
      </w:r>
    </w:p>
    <w:p w14:paraId="0BCEEE24" w14:textId="085FD3DA" w:rsidR="000676CE" w:rsidRPr="00ED32C1" w:rsidRDefault="000676CE" w:rsidP="000676CE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0"/>
          <w:szCs w:val="20"/>
        </w:rPr>
      </w:pPr>
      <w:r w:rsidRPr="00ED32C1">
        <w:rPr>
          <w:b/>
          <w:color w:val="000000"/>
          <w:sz w:val="20"/>
          <w:szCs w:val="20"/>
        </w:rPr>
        <w:t>Footnote references</w:t>
      </w:r>
    </w:p>
    <w:p w14:paraId="3D87CE5A" w14:textId="44C58806" w:rsidR="000676CE" w:rsidRPr="00ED32C1" w:rsidRDefault="000676CE" w:rsidP="000676CE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Baines, D., </w:t>
      </w:r>
      <w:r w:rsidRPr="00ED32C1">
        <w:rPr>
          <w:i/>
          <w:iCs/>
          <w:color w:val="000000"/>
          <w:sz w:val="20"/>
          <w:szCs w:val="20"/>
        </w:rPr>
        <w:t>Migration in a mature economy: emigration and internal migration in England and Wales, 1861–1900</w:t>
      </w:r>
      <w:r w:rsidR="00ED32C1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(Cambridge, 1985).</w:t>
      </w:r>
    </w:p>
    <w:p w14:paraId="228925CC" w14:textId="06112D3C" w:rsidR="000676CE" w:rsidRPr="00ED32C1" w:rsidRDefault="000676CE" w:rsidP="000676CE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Caldwell, J. and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McDonald, P., ‘Influence of maternal education on infant and child mortality: levels and causes’,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Health Policy Education</w:t>
      </w:r>
      <w:r w:rsidRPr="00ED32C1">
        <w:rPr>
          <w:color w:val="000000"/>
          <w:sz w:val="20"/>
          <w:szCs w:val="20"/>
        </w:rPr>
        <w:t>, 2 (1982), pp. 251–67.</w:t>
      </w:r>
    </w:p>
    <w:p w14:paraId="1F4D9533" w14:textId="28A66645" w:rsidR="000676CE" w:rsidRPr="00ED32C1" w:rsidRDefault="000676CE" w:rsidP="000676CE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Coale</w:t>
      </w:r>
      <w:proofErr w:type="spellEnd"/>
      <w:r w:rsidRPr="00ED32C1">
        <w:rPr>
          <w:color w:val="000000"/>
          <w:sz w:val="20"/>
          <w:szCs w:val="20"/>
        </w:rPr>
        <w:t>, A. and Treadway, R., ‘A summary of the changing distribution of overall fertility, marital fertility, and the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proportion married in the provinces of Europe’, in A. </w:t>
      </w:r>
      <w:proofErr w:type="spellStart"/>
      <w:r w:rsidRPr="00ED32C1">
        <w:rPr>
          <w:color w:val="000000"/>
          <w:sz w:val="20"/>
          <w:szCs w:val="20"/>
        </w:rPr>
        <w:t>Coale</w:t>
      </w:r>
      <w:proofErr w:type="spellEnd"/>
      <w:r w:rsidRPr="00ED32C1">
        <w:rPr>
          <w:color w:val="000000"/>
          <w:sz w:val="20"/>
          <w:szCs w:val="20"/>
        </w:rPr>
        <w:t xml:space="preserve"> and S. Watkins, </w:t>
      </w:r>
      <w:r w:rsidRPr="00ED32C1">
        <w:rPr>
          <w:i/>
          <w:iCs/>
          <w:color w:val="000000"/>
          <w:sz w:val="20"/>
          <w:szCs w:val="20"/>
        </w:rPr>
        <w:t>The decline of fertility in Europe</w:t>
      </w:r>
      <w:r w:rsidR="00ED32C1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(Princeton, NJ, 1986), pp. 31–79.</w:t>
      </w:r>
    </w:p>
    <w:p w14:paraId="7DD8FC9B" w14:textId="3DD34871" w:rsidR="000676CE" w:rsidRPr="00ED32C1" w:rsidRDefault="000676CE" w:rsidP="000676CE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Crafts, N. and Mills, T., ‘Trends in real wages in Britain, 1750–1913’, </w:t>
      </w:r>
      <w:r w:rsidRPr="00ED32C1">
        <w:rPr>
          <w:i/>
          <w:iCs/>
          <w:color w:val="000000"/>
          <w:sz w:val="20"/>
          <w:szCs w:val="20"/>
        </w:rPr>
        <w:t>Explorations in Economic History</w:t>
      </w:r>
      <w:r w:rsidRPr="00ED32C1">
        <w:rPr>
          <w:color w:val="000000"/>
          <w:sz w:val="20"/>
          <w:szCs w:val="20"/>
        </w:rPr>
        <w:t>, 31 (1994),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pp. 176–94.</w:t>
      </w:r>
    </w:p>
    <w:p w14:paraId="16D89202" w14:textId="3C9977C5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proofErr w:type="gramStart"/>
      <w:r w:rsidRPr="00ED32C1">
        <w:rPr>
          <w:color w:val="000000"/>
          <w:sz w:val="20"/>
          <w:szCs w:val="20"/>
        </w:rPr>
        <w:t>Cronje,G</w:t>
      </w:r>
      <w:proofErr w:type="spellEnd"/>
      <w:r w:rsidRPr="00ED32C1">
        <w:rPr>
          <w:color w:val="000000"/>
          <w:sz w:val="20"/>
          <w:szCs w:val="20"/>
        </w:rPr>
        <w:t>.</w:t>
      </w:r>
      <w:proofErr w:type="gramEnd"/>
      <w:r w:rsidRPr="00ED32C1">
        <w:rPr>
          <w:color w:val="000000"/>
          <w:sz w:val="20"/>
          <w:szCs w:val="20"/>
        </w:rPr>
        <w:t>, ‘Tuberculosis and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mortality decline in England and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Wales, 1851–1910’, in R.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Woods and </w:t>
      </w:r>
      <w:proofErr w:type="spellStart"/>
      <w:r w:rsidRPr="00ED32C1">
        <w:rPr>
          <w:color w:val="000000"/>
          <w:sz w:val="20"/>
          <w:szCs w:val="20"/>
        </w:rPr>
        <w:t>J.Woodward</w:t>
      </w:r>
      <w:proofErr w:type="spellEnd"/>
      <w:r w:rsidRPr="00ED32C1">
        <w:rPr>
          <w:color w:val="000000"/>
          <w:sz w:val="20"/>
          <w:szCs w:val="20"/>
        </w:rPr>
        <w:t>,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eds., </w:t>
      </w:r>
      <w:r w:rsidRPr="00ED32C1">
        <w:rPr>
          <w:i/>
          <w:iCs/>
          <w:color w:val="000000"/>
          <w:sz w:val="20"/>
          <w:szCs w:val="20"/>
        </w:rPr>
        <w:t xml:space="preserve">Urban disease and mortality in nineteenth-century England </w:t>
      </w:r>
      <w:r w:rsidRPr="00ED32C1">
        <w:rPr>
          <w:color w:val="000000"/>
          <w:sz w:val="20"/>
          <w:szCs w:val="20"/>
        </w:rPr>
        <w:t>(1984), pp. 79–101.</w:t>
      </w:r>
    </w:p>
    <w:p w14:paraId="22FD8C63" w14:textId="6C8A29BF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Dyhouse</w:t>
      </w:r>
      <w:proofErr w:type="spellEnd"/>
      <w:r w:rsidRPr="00ED32C1">
        <w:rPr>
          <w:color w:val="000000"/>
          <w:sz w:val="20"/>
          <w:szCs w:val="20"/>
        </w:rPr>
        <w:t xml:space="preserve">, C., ‘Working class mothers and infant mortality in England, 1895–1914’, </w:t>
      </w:r>
      <w:r w:rsidRPr="00ED32C1">
        <w:rPr>
          <w:i/>
          <w:iCs/>
          <w:color w:val="000000"/>
          <w:sz w:val="20"/>
          <w:szCs w:val="20"/>
        </w:rPr>
        <w:t>Journal of Social History</w:t>
      </w:r>
      <w:r w:rsidRPr="00ED32C1">
        <w:rPr>
          <w:color w:val="000000"/>
          <w:sz w:val="20"/>
          <w:szCs w:val="20"/>
        </w:rPr>
        <w:t>, 12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(1978), pp. 248–67.</w:t>
      </w:r>
    </w:p>
    <w:p w14:paraId="29A99D4A" w14:textId="73DE0628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Friedlander, D. and Okun, B. S., ‘Pretransition marital fertility variation over time: was there deliberate control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in England?’, </w:t>
      </w:r>
      <w:r w:rsidRPr="00ED32C1">
        <w:rPr>
          <w:i/>
          <w:iCs/>
          <w:color w:val="000000"/>
          <w:sz w:val="20"/>
          <w:szCs w:val="20"/>
        </w:rPr>
        <w:t>Journal of Family History</w:t>
      </w:r>
      <w:r w:rsidRPr="00ED32C1">
        <w:rPr>
          <w:color w:val="000000"/>
          <w:sz w:val="20"/>
          <w:szCs w:val="20"/>
        </w:rPr>
        <w:t>, 20 (1995), pp. 139–58.</w:t>
      </w:r>
    </w:p>
    <w:p w14:paraId="2B8B8368" w14:textId="6D3D7EC6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Friedlander, D. and Okun, B. S., ‘Demographic processes in England and Wales, 1851–1911: data and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model estimates’ [computer file]. Colchester, Essex: UK Data Archive [distributor]. SN: 5587 (2007),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http://dx.doi.org/10.5255/UKDA-SN-5587-1 (accessed on 3 Feb. 2015).</w:t>
      </w:r>
    </w:p>
    <w:p w14:paraId="15402C78" w14:textId="7AFE2464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Garrett, E. and Reid, A., ‘Satanic mills, pleasant lands: spatial variation in women’s work, fertility and infant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mortality as viewed from the 1911 census’, </w:t>
      </w:r>
      <w:r w:rsidRPr="00ED32C1">
        <w:rPr>
          <w:i/>
          <w:iCs/>
          <w:color w:val="000000"/>
          <w:sz w:val="20"/>
          <w:szCs w:val="20"/>
        </w:rPr>
        <w:t>Historical Research</w:t>
      </w:r>
      <w:r w:rsidRPr="00ED32C1">
        <w:rPr>
          <w:color w:val="000000"/>
          <w:sz w:val="20"/>
          <w:szCs w:val="20"/>
        </w:rPr>
        <w:t>, 67 (1994), pp. 156–77.</w:t>
      </w:r>
    </w:p>
    <w:p w14:paraId="69216B49" w14:textId="2822D68E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Gatley</w:t>
      </w:r>
      <w:proofErr w:type="spellEnd"/>
      <w:r w:rsidRPr="00ED32C1">
        <w:rPr>
          <w:color w:val="000000"/>
          <w:sz w:val="20"/>
          <w:szCs w:val="20"/>
        </w:rPr>
        <w:t xml:space="preserve">, D., ‘Computerising the 1861 census abstracts and vital registration statistics’, </w:t>
      </w:r>
      <w:r w:rsidRPr="00ED32C1">
        <w:rPr>
          <w:i/>
          <w:iCs/>
          <w:color w:val="000000"/>
          <w:sz w:val="20"/>
          <w:szCs w:val="20"/>
        </w:rPr>
        <w:t>Local Population Studies</w:t>
      </w:r>
      <w:r w:rsidRPr="00ED32C1">
        <w:rPr>
          <w:color w:val="000000"/>
          <w:sz w:val="20"/>
          <w:szCs w:val="20"/>
        </w:rPr>
        <w:t>, 58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(1997), pp. 37–47.</w:t>
      </w:r>
    </w:p>
    <w:p w14:paraId="07A09878" w14:textId="36001CE1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Gregory, I., ‘Different places, different stories: infant mortality decline in England and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Wales, 1851–1911’, </w:t>
      </w:r>
      <w:r w:rsidRPr="00ED32C1">
        <w:rPr>
          <w:i/>
          <w:iCs/>
          <w:color w:val="000000"/>
          <w:sz w:val="20"/>
          <w:szCs w:val="20"/>
        </w:rPr>
        <w:t>Annals</w:t>
      </w:r>
      <w:r w:rsidR="00ED32C1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of the Association of American Geographers</w:t>
      </w:r>
      <w:r w:rsidRPr="00ED32C1">
        <w:rPr>
          <w:color w:val="000000"/>
          <w:sz w:val="20"/>
          <w:szCs w:val="20"/>
        </w:rPr>
        <w:t>, 98 (2008), pp. 773–94.</w:t>
      </w:r>
    </w:p>
    <w:p w14:paraId="767BE65B" w14:textId="441BFF84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Gregory, I., Bennett, C., Gilham V. L., and Southall, H., ‘The Great Britain Historical GIS: from maps to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changing human geography’, </w:t>
      </w:r>
      <w:r w:rsidRPr="00ED32C1">
        <w:rPr>
          <w:i/>
          <w:iCs/>
          <w:color w:val="000000"/>
          <w:sz w:val="20"/>
          <w:szCs w:val="20"/>
        </w:rPr>
        <w:t>Cartographic Journal</w:t>
      </w:r>
      <w:r w:rsidRPr="00ED32C1">
        <w:rPr>
          <w:color w:val="000000"/>
          <w:sz w:val="20"/>
          <w:szCs w:val="20"/>
        </w:rPr>
        <w:t>, 39 (2002), pp. 37–49.</w:t>
      </w:r>
    </w:p>
    <w:p w14:paraId="034ABACF" w14:textId="31BA2D7C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Hinde, P. R. A. and Fairhurst, V., ‘Why was infant mortality so high in eastern England in the mid nineteenth</w:t>
      </w:r>
      <w:r w:rsidR="00ED32C1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century?’, </w:t>
      </w:r>
      <w:r w:rsidRPr="00ED32C1">
        <w:rPr>
          <w:i/>
          <w:iCs/>
          <w:color w:val="000000"/>
          <w:sz w:val="20"/>
          <w:szCs w:val="20"/>
        </w:rPr>
        <w:t>Local Population Studies</w:t>
      </w:r>
      <w:r w:rsidRPr="00ED32C1">
        <w:rPr>
          <w:color w:val="000000"/>
          <w:sz w:val="20"/>
          <w:szCs w:val="20"/>
        </w:rPr>
        <w:t>, 94 (2015), pp. 48–66.</w:t>
      </w:r>
    </w:p>
    <w:p w14:paraId="00CC2434" w14:textId="449C2DFD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Holderness, B. A., ‘Farming regions: introduction’, in E. J. T. Collins, ed., The agrarian history of England and</w:t>
      </w:r>
      <w:r w:rsidR="008215D3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Wales</w:t>
      </w:r>
      <w:r w:rsidRPr="00ED32C1">
        <w:rPr>
          <w:i/>
          <w:iCs/>
          <w:color w:val="000000"/>
          <w:sz w:val="20"/>
          <w:szCs w:val="20"/>
        </w:rPr>
        <w:t xml:space="preserve">, VII: </w:t>
      </w:r>
      <w:r w:rsidRPr="00ED32C1">
        <w:rPr>
          <w:color w:val="000000"/>
          <w:sz w:val="20"/>
          <w:szCs w:val="20"/>
        </w:rPr>
        <w:t>1850–1914 (Cambridge, 2000), pp. 361–6.</w:t>
      </w:r>
    </w:p>
    <w:p w14:paraId="2F78EDAF" w14:textId="427659AB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Horrell</w:t>
      </w:r>
      <w:proofErr w:type="spellEnd"/>
      <w:r w:rsidRPr="00ED32C1">
        <w:rPr>
          <w:color w:val="000000"/>
          <w:sz w:val="20"/>
          <w:szCs w:val="20"/>
        </w:rPr>
        <w:t>, S. and Oxley, D., ‘Bringing home the bacon? Regional nutrition, stature, and gender in the industrial</w:t>
      </w:r>
      <w:r w:rsidR="008215D3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revolution’, </w:t>
      </w:r>
      <w:r w:rsidRPr="00ED32C1">
        <w:rPr>
          <w:i/>
          <w:iCs/>
          <w:color w:val="000000"/>
          <w:sz w:val="20"/>
          <w:szCs w:val="20"/>
        </w:rPr>
        <w:t>Economic History Review</w:t>
      </w:r>
      <w:r w:rsidRPr="00ED32C1">
        <w:rPr>
          <w:color w:val="000000"/>
          <w:sz w:val="20"/>
          <w:szCs w:val="20"/>
        </w:rPr>
        <w:t>, 65 (2012), pp. 1354–79.</w:t>
      </w:r>
    </w:p>
    <w:p w14:paraId="5868096D" w14:textId="0B5906F5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Horrell</w:t>
      </w:r>
      <w:proofErr w:type="spellEnd"/>
      <w:r w:rsidRPr="00ED32C1">
        <w:rPr>
          <w:color w:val="000000"/>
          <w:sz w:val="20"/>
          <w:szCs w:val="20"/>
        </w:rPr>
        <w:t>, S. and Oxley, D., ‘Bargaining for basics? Inferring decision making in nineteenth-century British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households from expenditure, diet, stature, and death’, </w:t>
      </w:r>
      <w:r w:rsidRPr="00ED32C1">
        <w:rPr>
          <w:i/>
          <w:iCs/>
          <w:color w:val="000000"/>
          <w:sz w:val="20"/>
          <w:szCs w:val="20"/>
        </w:rPr>
        <w:t>European Review of Economic History</w:t>
      </w:r>
      <w:r w:rsidRPr="00ED32C1">
        <w:rPr>
          <w:color w:val="000000"/>
          <w:sz w:val="20"/>
          <w:szCs w:val="20"/>
        </w:rPr>
        <w:t>, 17 (2013), pp.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147–70.</w:t>
      </w:r>
    </w:p>
    <w:p w14:paraId="2A3E823A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Howkins, A., </w:t>
      </w:r>
      <w:r w:rsidRPr="00ED32C1">
        <w:rPr>
          <w:i/>
          <w:iCs/>
          <w:color w:val="000000"/>
          <w:sz w:val="20"/>
          <w:szCs w:val="20"/>
        </w:rPr>
        <w:t xml:space="preserve">Reshaping rural England: a social history, 1850–1925 </w:t>
      </w:r>
      <w:r w:rsidRPr="00ED32C1">
        <w:rPr>
          <w:color w:val="000000"/>
          <w:sz w:val="20"/>
          <w:szCs w:val="20"/>
        </w:rPr>
        <w:t>(1991).</w:t>
      </w:r>
    </w:p>
    <w:p w14:paraId="6F00C4B1" w14:textId="6F086E02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Humphries, J., ‘“Bread and a pennyworth of treacle”: excess female mortality in England in the 1840s’, </w:t>
      </w:r>
      <w:r w:rsidRPr="00ED32C1">
        <w:rPr>
          <w:i/>
          <w:iCs/>
          <w:color w:val="000000"/>
          <w:sz w:val="20"/>
          <w:szCs w:val="20"/>
        </w:rPr>
        <w:t>Cambridge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Journal of Economics</w:t>
      </w:r>
      <w:r w:rsidRPr="00ED32C1">
        <w:rPr>
          <w:color w:val="000000"/>
          <w:sz w:val="20"/>
          <w:szCs w:val="20"/>
        </w:rPr>
        <w:t>, 15 (1991), pp. 451–73.</w:t>
      </w:r>
    </w:p>
    <w:p w14:paraId="0B86A71A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Hunt, E. H., </w:t>
      </w:r>
      <w:r w:rsidRPr="00ED32C1">
        <w:rPr>
          <w:i/>
          <w:iCs/>
          <w:color w:val="000000"/>
          <w:sz w:val="20"/>
          <w:szCs w:val="20"/>
        </w:rPr>
        <w:t xml:space="preserve">Regional wage variations in Britain, 1850–1914 </w:t>
      </w:r>
      <w:r w:rsidRPr="00ED32C1">
        <w:rPr>
          <w:color w:val="000000"/>
          <w:sz w:val="20"/>
          <w:szCs w:val="20"/>
        </w:rPr>
        <w:t>(Oxford, 1973).</w:t>
      </w:r>
    </w:p>
    <w:p w14:paraId="74501779" w14:textId="5DAC1E0A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Jain, A. K., ‘Determinants of regional variations in infant mortality in rural India’, </w:t>
      </w:r>
      <w:r w:rsidRPr="00ED32C1">
        <w:rPr>
          <w:i/>
          <w:iCs/>
          <w:color w:val="000000"/>
          <w:sz w:val="20"/>
          <w:szCs w:val="20"/>
        </w:rPr>
        <w:t>Population Studies</w:t>
      </w:r>
      <w:r w:rsidRPr="00ED32C1">
        <w:rPr>
          <w:color w:val="000000"/>
          <w:sz w:val="20"/>
          <w:szCs w:val="20"/>
        </w:rPr>
        <w:t>, 39 (1985),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pp. 407–24.</w:t>
      </w:r>
    </w:p>
    <w:p w14:paraId="32429485" w14:textId="124D65B1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Lawton, R., ‘Rural depopulation in nineteenth-century England’, in R. W. Steel and R. Lawton, eds., </w:t>
      </w:r>
      <w:r w:rsidRPr="00ED32C1">
        <w:rPr>
          <w:i/>
          <w:iCs/>
          <w:color w:val="000000"/>
          <w:sz w:val="20"/>
          <w:szCs w:val="20"/>
        </w:rPr>
        <w:t>Liverpool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 xml:space="preserve">essays in geography </w:t>
      </w:r>
      <w:r w:rsidRPr="00ED32C1">
        <w:rPr>
          <w:color w:val="000000"/>
          <w:sz w:val="20"/>
          <w:szCs w:val="20"/>
        </w:rPr>
        <w:t>(1967), pp. 227–55.</w:t>
      </w:r>
    </w:p>
    <w:p w14:paraId="5CD110BA" w14:textId="27BA0B8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Lee, C., ‘Regional inequalities in infant mortality in Britain, 1861–1971: patterns and hypotheses’, </w:t>
      </w:r>
      <w:r w:rsidRPr="00ED32C1">
        <w:rPr>
          <w:i/>
          <w:iCs/>
          <w:color w:val="000000"/>
          <w:sz w:val="20"/>
          <w:szCs w:val="20"/>
        </w:rPr>
        <w:t>Population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Studies</w:t>
      </w:r>
      <w:r w:rsidRPr="00ED32C1">
        <w:rPr>
          <w:color w:val="000000"/>
          <w:sz w:val="20"/>
          <w:szCs w:val="20"/>
        </w:rPr>
        <w:t>, 45, (1991), pp. 55–65.</w:t>
      </w:r>
    </w:p>
    <w:p w14:paraId="31A04149" w14:textId="1D1AD0C5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McNay</w:t>
      </w:r>
      <w:proofErr w:type="spellEnd"/>
      <w:r w:rsidRPr="00ED32C1">
        <w:rPr>
          <w:color w:val="000000"/>
          <w:sz w:val="20"/>
          <w:szCs w:val="20"/>
        </w:rPr>
        <w:t xml:space="preserve">, K., Humphries, J., and </w:t>
      </w:r>
      <w:proofErr w:type="spellStart"/>
      <w:r w:rsidRPr="00ED32C1">
        <w:rPr>
          <w:color w:val="000000"/>
          <w:sz w:val="20"/>
          <w:szCs w:val="20"/>
        </w:rPr>
        <w:t>Klasen</w:t>
      </w:r>
      <w:proofErr w:type="spellEnd"/>
      <w:r w:rsidRPr="00ED32C1">
        <w:rPr>
          <w:color w:val="000000"/>
          <w:sz w:val="20"/>
          <w:szCs w:val="20"/>
        </w:rPr>
        <w:t>, S., ‘Excess female mortality in nineteenth-century England and Wales: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a regional analysis’, </w:t>
      </w:r>
      <w:r w:rsidRPr="00ED32C1">
        <w:rPr>
          <w:i/>
          <w:iCs/>
          <w:color w:val="000000"/>
          <w:sz w:val="20"/>
          <w:szCs w:val="20"/>
        </w:rPr>
        <w:t>Social Science History</w:t>
      </w:r>
      <w:r w:rsidRPr="00ED32C1">
        <w:rPr>
          <w:color w:val="000000"/>
          <w:sz w:val="20"/>
          <w:szCs w:val="20"/>
        </w:rPr>
        <w:t>, 29 (2005), pp. 649–81.</w:t>
      </w:r>
    </w:p>
    <w:p w14:paraId="3FA7F050" w14:textId="16CE3643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Millward, R. and Bell, F., ‘Infant mortality in Victorian Britain: the mother as medium’, </w:t>
      </w:r>
      <w:r w:rsidRPr="00ED32C1">
        <w:rPr>
          <w:i/>
          <w:iCs/>
          <w:color w:val="000000"/>
          <w:sz w:val="20"/>
          <w:szCs w:val="20"/>
        </w:rPr>
        <w:t>Economic History Review</w:t>
      </w:r>
      <w:r w:rsidRPr="00ED32C1">
        <w:rPr>
          <w:color w:val="000000"/>
          <w:sz w:val="20"/>
          <w:szCs w:val="20"/>
        </w:rPr>
        <w:t>,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LIV (2001), pp. 699–733.</w:t>
      </w:r>
    </w:p>
    <w:p w14:paraId="27024040" w14:textId="42BECD09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Nagin, D. S., ‘</w:t>
      </w:r>
      <w:proofErr w:type="spellStart"/>
      <w:r w:rsidRPr="00ED32C1">
        <w:rPr>
          <w:color w:val="000000"/>
          <w:sz w:val="20"/>
          <w:szCs w:val="20"/>
        </w:rPr>
        <w:t>Analyzing</w:t>
      </w:r>
      <w:proofErr w:type="spellEnd"/>
      <w:r w:rsidRPr="00ED32C1">
        <w:rPr>
          <w:color w:val="000000"/>
          <w:sz w:val="20"/>
          <w:szCs w:val="20"/>
        </w:rPr>
        <w:t xml:space="preserve"> developmental trajectories: a semi-parametric, group-based approach’, </w:t>
      </w:r>
      <w:r w:rsidRPr="00ED32C1">
        <w:rPr>
          <w:i/>
          <w:iCs/>
          <w:color w:val="000000"/>
          <w:sz w:val="20"/>
          <w:szCs w:val="20"/>
        </w:rPr>
        <w:t>Psychological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Methods</w:t>
      </w:r>
      <w:r w:rsidRPr="00ED32C1">
        <w:rPr>
          <w:color w:val="000000"/>
          <w:sz w:val="20"/>
          <w:szCs w:val="20"/>
        </w:rPr>
        <w:t>, 4 (1999), pp. 139–77.</w:t>
      </w:r>
    </w:p>
    <w:p w14:paraId="1C67A88D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Reay, B., </w:t>
      </w:r>
      <w:r w:rsidRPr="00ED32C1">
        <w:rPr>
          <w:i/>
          <w:iCs/>
          <w:color w:val="000000"/>
          <w:sz w:val="20"/>
          <w:szCs w:val="20"/>
        </w:rPr>
        <w:t xml:space="preserve">Rural </w:t>
      </w:r>
      <w:proofErr w:type="spellStart"/>
      <w:r w:rsidRPr="00ED32C1">
        <w:rPr>
          <w:i/>
          <w:iCs/>
          <w:color w:val="000000"/>
          <w:sz w:val="20"/>
          <w:szCs w:val="20"/>
        </w:rPr>
        <w:t>Englands</w:t>
      </w:r>
      <w:proofErr w:type="spellEnd"/>
      <w:r w:rsidRPr="00ED32C1">
        <w:rPr>
          <w:i/>
          <w:iCs/>
          <w:color w:val="000000"/>
          <w:sz w:val="20"/>
          <w:szCs w:val="20"/>
        </w:rPr>
        <w:t xml:space="preserve">: labouring lives in the nineteenth century </w:t>
      </w:r>
      <w:r w:rsidRPr="00ED32C1">
        <w:rPr>
          <w:color w:val="000000"/>
          <w:sz w:val="20"/>
          <w:szCs w:val="20"/>
        </w:rPr>
        <w:t>(Basingstoke, 2004).</w:t>
      </w:r>
    </w:p>
    <w:p w14:paraId="28CA6B66" w14:textId="4512D543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Reher</w:t>
      </w:r>
      <w:proofErr w:type="spellEnd"/>
      <w:r w:rsidRPr="00ED32C1">
        <w:rPr>
          <w:color w:val="000000"/>
          <w:sz w:val="20"/>
          <w:szCs w:val="20"/>
        </w:rPr>
        <w:t xml:space="preserve">, D., ‘Back to the basics: mortality and fertility interactions during the demographic transition’, </w:t>
      </w:r>
      <w:r w:rsidRPr="00ED32C1">
        <w:rPr>
          <w:i/>
          <w:iCs/>
          <w:color w:val="000000"/>
          <w:sz w:val="20"/>
          <w:szCs w:val="20"/>
        </w:rPr>
        <w:t>Continuity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and Change</w:t>
      </w:r>
      <w:r w:rsidRPr="00ED32C1">
        <w:rPr>
          <w:color w:val="000000"/>
          <w:sz w:val="20"/>
          <w:szCs w:val="20"/>
        </w:rPr>
        <w:t>, 14 (1999), pp. 9–31.</w:t>
      </w:r>
    </w:p>
    <w:p w14:paraId="4680000A" w14:textId="7A04A33F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Reves</w:t>
      </w:r>
      <w:proofErr w:type="spellEnd"/>
      <w:r w:rsidRPr="00ED32C1">
        <w:rPr>
          <w:color w:val="000000"/>
          <w:sz w:val="20"/>
          <w:szCs w:val="20"/>
        </w:rPr>
        <w:t xml:space="preserve">, R., ‘Declining fertility in England </w:t>
      </w:r>
      <w:proofErr w:type="spellStart"/>
      <w:r w:rsidRPr="00ED32C1">
        <w:rPr>
          <w:color w:val="000000"/>
          <w:sz w:val="20"/>
          <w:szCs w:val="20"/>
        </w:rPr>
        <w:t>andWales</w:t>
      </w:r>
      <w:proofErr w:type="spellEnd"/>
      <w:r w:rsidRPr="00ED32C1">
        <w:rPr>
          <w:color w:val="000000"/>
          <w:sz w:val="20"/>
          <w:szCs w:val="20"/>
        </w:rPr>
        <w:t xml:space="preserve"> as a major cause of the twentieth century decline in mortality: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the role of changing family size and age structure in infectious disease mortality in infancy’, </w:t>
      </w:r>
      <w:r w:rsidRPr="00ED32C1">
        <w:rPr>
          <w:i/>
          <w:iCs/>
          <w:color w:val="000000"/>
          <w:sz w:val="20"/>
          <w:szCs w:val="20"/>
        </w:rPr>
        <w:t>American Journal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of Epidemiology</w:t>
      </w:r>
      <w:r w:rsidRPr="00ED32C1">
        <w:rPr>
          <w:color w:val="000000"/>
          <w:sz w:val="20"/>
          <w:szCs w:val="20"/>
        </w:rPr>
        <w:t>, 122 (1985), pp. 112–26.</w:t>
      </w:r>
    </w:p>
    <w:p w14:paraId="378E51D4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Schofield, R. S., ‘Dimensions of illiteracy, 1750–1850’, </w:t>
      </w:r>
      <w:r w:rsidRPr="00ED32C1">
        <w:rPr>
          <w:i/>
          <w:iCs/>
          <w:color w:val="000000"/>
          <w:sz w:val="20"/>
          <w:szCs w:val="20"/>
        </w:rPr>
        <w:t>Explorations in Economic History</w:t>
      </w:r>
      <w:r w:rsidRPr="00ED32C1">
        <w:rPr>
          <w:color w:val="000000"/>
          <w:sz w:val="20"/>
          <w:szCs w:val="20"/>
        </w:rPr>
        <w:t>, 10 (1973), pp. 437–54.</w:t>
      </w:r>
    </w:p>
    <w:p w14:paraId="3C2E8E48" w14:textId="4F70B90F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Sch</w:t>
      </w:r>
      <w:r w:rsidR="001873B6">
        <w:rPr>
          <w:color w:val="000000"/>
          <w:sz w:val="20"/>
          <w:szCs w:val="20"/>
        </w:rPr>
        <w:t>ü</w:t>
      </w:r>
      <w:r w:rsidRPr="00ED32C1">
        <w:rPr>
          <w:color w:val="000000"/>
          <w:sz w:val="20"/>
          <w:szCs w:val="20"/>
        </w:rPr>
        <w:t>rer</w:t>
      </w:r>
      <w:proofErr w:type="spellEnd"/>
      <w:r w:rsidRPr="00ED32C1">
        <w:rPr>
          <w:color w:val="000000"/>
          <w:sz w:val="20"/>
          <w:szCs w:val="20"/>
        </w:rPr>
        <w:t>, K. and Higgs, E., ‘Integrated census microdata (I-</w:t>
      </w:r>
      <w:proofErr w:type="spellStart"/>
      <w:r w:rsidRPr="00ED32C1">
        <w:rPr>
          <w:color w:val="000000"/>
          <w:sz w:val="20"/>
          <w:szCs w:val="20"/>
        </w:rPr>
        <w:t>CeM</w:t>
      </w:r>
      <w:proofErr w:type="spellEnd"/>
      <w:r w:rsidRPr="00ED32C1">
        <w:rPr>
          <w:color w:val="000000"/>
          <w:sz w:val="20"/>
          <w:szCs w:val="20"/>
        </w:rPr>
        <w:t>); 1851–1911’ [computer file]. Colchester, Essex: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UK Data Archive [distributor]. SN: 7481 (2014), http://dx.doi.org/10.5255/UKDA-SN-7481-1 (accessed 10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June 2015)</w:t>
      </w:r>
    </w:p>
    <w:p w14:paraId="611539D8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Short, B., ed., </w:t>
      </w:r>
      <w:r w:rsidRPr="00ED32C1">
        <w:rPr>
          <w:i/>
          <w:iCs/>
          <w:color w:val="000000"/>
          <w:sz w:val="20"/>
          <w:szCs w:val="20"/>
        </w:rPr>
        <w:t xml:space="preserve">The English rural community: image and analysis </w:t>
      </w:r>
      <w:r w:rsidRPr="00ED32C1">
        <w:rPr>
          <w:color w:val="000000"/>
          <w:sz w:val="20"/>
          <w:szCs w:val="20"/>
        </w:rPr>
        <w:t>(Cambridge, 1992).</w:t>
      </w:r>
    </w:p>
    <w:p w14:paraId="1F04854F" w14:textId="4E9C5BD2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Short, B., ‘Rural demography, 1850–1914’, in E. J. T. Collins, ed., The agrarian history of England and Wales</w:t>
      </w:r>
      <w:r w:rsidRPr="00ED32C1">
        <w:rPr>
          <w:i/>
          <w:iCs/>
          <w:color w:val="000000"/>
          <w:sz w:val="20"/>
          <w:szCs w:val="20"/>
        </w:rPr>
        <w:t>,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 xml:space="preserve">VII: </w:t>
      </w:r>
      <w:r w:rsidRPr="00ED32C1">
        <w:rPr>
          <w:color w:val="000000"/>
          <w:sz w:val="20"/>
          <w:szCs w:val="20"/>
        </w:rPr>
        <w:t>1850–1914 (Cambridge, 2000), pp. 1232–96.</w:t>
      </w:r>
    </w:p>
    <w:p w14:paraId="071C9226" w14:textId="1D71E7D5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Sneddon, S., ‘A double penalty? Infant mortality in the Lincolnshire Fens, 1870–1900’, in E. Garrett, C. Galley,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N. Shelton, and R. Woods, eds., </w:t>
      </w:r>
      <w:r w:rsidRPr="00ED32C1">
        <w:rPr>
          <w:i/>
          <w:iCs/>
          <w:color w:val="000000"/>
          <w:sz w:val="20"/>
          <w:szCs w:val="20"/>
        </w:rPr>
        <w:t xml:space="preserve">Infant mortality: a continuing social problem </w:t>
      </w:r>
      <w:r w:rsidRPr="00ED32C1">
        <w:rPr>
          <w:color w:val="000000"/>
          <w:sz w:val="20"/>
          <w:szCs w:val="20"/>
        </w:rPr>
        <w:t>(Aldershot, 2006), pp. 79–98.</w:t>
      </w:r>
    </w:p>
    <w:p w14:paraId="6E1F6443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Snell, K., </w:t>
      </w:r>
      <w:r w:rsidRPr="00ED32C1">
        <w:rPr>
          <w:i/>
          <w:iCs/>
          <w:color w:val="000000"/>
          <w:sz w:val="20"/>
          <w:szCs w:val="20"/>
        </w:rPr>
        <w:t xml:space="preserve">Annals of the labouring poor: social change and agrarian England, 1660–1900 </w:t>
      </w:r>
      <w:r w:rsidRPr="00ED32C1">
        <w:rPr>
          <w:color w:val="000000"/>
          <w:sz w:val="20"/>
          <w:szCs w:val="20"/>
        </w:rPr>
        <w:t>(Cambridge, 1985).</w:t>
      </w:r>
    </w:p>
    <w:p w14:paraId="455661D7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Southall, H., Gilbert, D., and Gregory, I., ‘Great Britain historical database: census statistics,</w:t>
      </w:r>
    </w:p>
    <w:p w14:paraId="1DF4468E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demography, 1841–1931’ [data collection] UK Data Service [distributor]. SN: 3707 (1998),</w:t>
      </w:r>
    </w:p>
    <w:p w14:paraId="3F437A12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http://dx.doi.org/10.5255/UKDA-SN-3707-1 (accessed on 13 Sept. 2016)</w:t>
      </w:r>
    </w:p>
    <w:p w14:paraId="1AAEDF21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Szreter</w:t>
      </w:r>
      <w:proofErr w:type="spellEnd"/>
      <w:r w:rsidRPr="00ED32C1">
        <w:rPr>
          <w:color w:val="000000"/>
          <w:sz w:val="20"/>
          <w:szCs w:val="20"/>
        </w:rPr>
        <w:t xml:space="preserve">, S., </w:t>
      </w:r>
      <w:r w:rsidRPr="00ED32C1">
        <w:rPr>
          <w:i/>
          <w:iCs/>
          <w:color w:val="000000"/>
          <w:sz w:val="20"/>
          <w:szCs w:val="20"/>
        </w:rPr>
        <w:t xml:space="preserve">Fertility, class and gender in Britain, 1860–1940 </w:t>
      </w:r>
      <w:r w:rsidRPr="00ED32C1">
        <w:rPr>
          <w:color w:val="000000"/>
          <w:sz w:val="20"/>
          <w:szCs w:val="20"/>
        </w:rPr>
        <w:t>(Cambridge, 1996).</w:t>
      </w:r>
    </w:p>
    <w:p w14:paraId="645D4828" w14:textId="2AE7102D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proofErr w:type="spellStart"/>
      <w:r w:rsidRPr="00ED32C1">
        <w:rPr>
          <w:color w:val="000000"/>
          <w:sz w:val="20"/>
          <w:szCs w:val="20"/>
        </w:rPr>
        <w:t>Szreter</w:t>
      </w:r>
      <w:proofErr w:type="spellEnd"/>
      <w:r w:rsidRPr="00ED32C1">
        <w:rPr>
          <w:color w:val="000000"/>
          <w:sz w:val="20"/>
          <w:szCs w:val="20"/>
        </w:rPr>
        <w:t xml:space="preserve">, S. and Hardy, A., ‘Urban fertility and mortality patterns’, in M. </w:t>
      </w:r>
      <w:proofErr w:type="spellStart"/>
      <w:r w:rsidRPr="00ED32C1">
        <w:rPr>
          <w:color w:val="000000"/>
          <w:sz w:val="20"/>
          <w:szCs w:val="20"/>
        </w:rPr>
        <w:t>Daunton</w:t>
      </w:r>
      <w:proofErr w:type="spellEnd"/>
      <w:r w:rsidRPr="00ED32C1">
        <w:rPr>
          <w:color w:val="000000"/>
          <w:sz w:val="20"/>
          <w:szCs w:val="20"/>
        </w:rPr>
        <w:t xml:space="preserve">, ed., </w:t>
      </w:r>
      <w:r w:rsidRPr="00ED32C1">
        <w:rPr>
          <w:i/>
          <w:iCs/>
          <w:color w:val="000000"/>
          <w:sz w:val="20"/>
          <w:szCs w:val="20"/>
        </w:rPr>
        <w:t>The Cambridge urban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 xml:space="preserve">history of Britain </w:t>
      </w:r>
      <w:r w:rsidRPr="00ED32C1">
        <w:rPr>
          <w:color w:val="000000"/>
          <w:sz w:val="20"/>
          <w:szCs w:val="20"/>
        </w:rPr>
        <w:t>(Cambridge, 2000), pp. 629–672.</w:t>
      </w:r>
    </w:p>
    <w:p w14:paraId="256554C4" w14:textId="58A55579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Thompson, F. M. L., ‘An anatomy of English agriculture, 1870–1914’, in B. A. Holderness, and M. E. Turner</w:t>
      </w:r>
      <w:r w:rsidR="001873B6">
        <w:rPr>
          <w:color w:val="000000"/>
          <w:sz w:val="20"/>
          <w:szCs w:val="20"/>
        </w:rPr>
        <w:t xml:space="preserve">, </w:t>
      </w:r>
      <w:r w:rsidRPr="00ED32C1">
        <w:rPr>
          <w:color w:val="000000"/>
          <w:sz w:val="20"/>
          <w:szCs w:val="20"/>
        </w:rPr>
        <w:t xml:space="preserve">eds., </w:t>
      </w:r>
      <w:r w:rsidRPr="00ED32C1">
        <w:rPr>
          <w:i/>
          <w:iCs/>
          <w:color w:val="000000"/>
          <w:sz w:val="20"/>
          <w:szCs w:val="20"/>
        </w:rPr>
        <w:t xml:space="preserve">Land, labour, and agriculture, 1700–1920: essays for Gordon </w:t>
      </w:r>
      <w:proofErr w:type="spellStart"/>
      <w:r w:rsidRPr="00ED32C1">
        <w:rPr>
          <w:i/>
          <w:iCs/>
          <w:color w:val="000000"/>
          <w:sz w:val="20"/>
          <w:szCs w:val="20"/>
        </w:rPr>
        <w:t>Mingay</w:t>
      </w:r>
      <w:proofErr w:type="spellEnd"/>
      <w:r w:rsidRPr="00ED32C1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(1991), pp. 211–40.</w:t>
      </w:r>
    </w:p>
    <w:p w14:paraId="3B71A1EB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Verdon, N., </w:t>
      </w:r>
      <w:r w:rsidRPr="00ED32C1">
        <w:rPr>
          <w:i/>
          <w:iCs/>
          <w:color w:val="000000"/>
          <w:sz w:val="20"/>
          <w:szCs w:val="20"/>
        </w:rPr>
        <w:t xml:space="preserve">Rural women workers in nineteenth-century England: gender, work and wages </w:t>
      </w:r>
      <w:r w:rsidRPr="00ED32C1">
        <w:rPr>
          <w:color w:val="000000"/>
          <w:sz w:val="20"/>
          <w:szCs w:val="20"/>
        </w:rPr>
        <w:t>(Woodbridge, 2002).</w:t>
      </w:r>
    </w:p>
    <w:p w14:paraId="4D565D17" w14:textId="245EC2DA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Waddington, K., ‘“It might not be a nuisance in a country cottage”: sanitary conditions and images of health in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Victorian rural Wales’, </w:t>
      </w:r>
      <w:r w:rsidRPr="00ED32C1">
        <w:rPr>
          <w:i/>
          <w:iCs/>
          <w:color w:val="000000"/>
          <w:sz w:val="20"/>
          <w:szCs w:val="20"/>
        </w:rPr>
        <w:t>Rural History</w:t>
      </w:r>
      <w:r w:rsidRPr="00ED32C1">
        <w:rPr>
          <w:color w:val="000000"/>
          <w:sz w:val="20"/>
          <w:szCs w:val="20"/>
        </w:rPr>
        <w:t>, 23 (2012), pp. 185–204.</w:t>
      </w:r>
    </w:p>
    <w:p w14:paraId="3AAE861A" w14:textId="79A03FDC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Williams, N. and Galley, C., ‘Urban–rural differentials in infant mortality in Victorian England’, </w:t>
      </w:r>
      <w:r w:rsidRPr="00ED32C1">
        <w:rPr>
          <w:i/>
          <w:iCs/>
          <w:color w:val="000000"/>
          <w:sz w:val="20"/>
          <w:szCs w:val="20"/>
        </w:rPr>
        <w:t>Population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Studies</w:t>
      </w:r>
      <w:r w:rsidRPr="00ED32C1">
        <w:rPr>
          <w:color w:val="000000"/>
          <w:sz w:val="20"/>
          <w:szCs w:val="20"/>
        </w:rPr>
        <w:t>, 49 (1995), pp. 401–20.</w:t>
      </w:r>
    </w:p>
    <w:p w14:paraId="545B700E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Woods, R., </w:t>
      </w:r>
      <w:r w:rsidRPr="00ED32C1">
        <w:rPr>
          <w:i/>
          <w:iCs/>
          <w:color w:val="000000"/>
          <w:sz w:val="20"/>
          <w:szCs w:val="20"/>
        </w:rPr>
        <w:t xml:space="preserve">The demography of Victorian England and Wales </w:t>
      </w:r>
      <w:r w:rsidRPr="00ED32C1">
        <w:rPr>
          <w:color w:val="000000"/>
          <w:sz w:val="20"/>
          <w:szCs w:val="20"/>
        </w:rPr>
        <w:t>(Cambridge, 2000).</w:t>
      </w:r>
    </w:p>
    <w:p w14:paraId="77F08E24" w14:textId="18C45096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Woods, R. and Hinde, P. R. A., ‘Mortality in Victorian England: models and patterns’, </w:t>
      </w:r>
      <w:r w:rsidRPr="00ED32C1">
        <w:rPr>
          <w:i/>
          <w:iCs/>
          <w:color w:val="000000"/>
          <w:sz w:val="20"/>
          <w:szCs w:val="20"/>
        </w:rPr>
        <w:t>Journal of Interdisciplinary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>History</w:t>
      </w:r>
      <w:r w:rsidRPr="00ED32C1">
        <w:rPr>
          <w:color w:val="000000"/>
          <w:sz w:val="20"/>
          <w:szCs w:val="20"/>
        </w:rPr>
        <w:t>, 18 (1987), pp. 27–54.</w:t>
      </w:r>
    </w:p>
    <w:p w14:paraId="6289FD87" w14:textId="7777777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Woods, R. and Shelton, N., </w:t>
      </w:r>
      <w:r w:rsidRPr="00ED32C1">
        <w:rPr>
          <w:i/>
          <w:iCs/>
          <w:color w:val="000000"/>
          <w:sz w:val="20"/>
          <w:szCs w:val="20"/>
        </w:rPr>
        <w:t xml:space="preserve">An atlas of Victorian mortality </w:t>
      </w:r>
      <w:r w:rsidRPr="00ED32C1">
        <w:rPr>
          <w:color w:val="000000"/>
          <w:sz w:val="20"/>
          <w:szCs w:val="20"/>
        </w:rPr>
        <w:t>(Liverpool, 1997).</w:t>
      </w:r>
    </w:p>
    <w:p w14:paraId="61AA48FE" w14:textId="4247345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Woods, R., Watterson, P., and Woodward, J., ‘The causes of rapid infant mortality decline in England and Wales,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1861–1921, part 1’, </w:t>
      </w:r>
      <w:r w:rsidRPr="00ED32C1">
        <w:rPr>
          <w:i/>
          <w:iCs/>
          <w:color w:val="000000"/>
          <w:sz w:val="20"/>
          <w:szCs w:val="20"/>
        </w:rPr>
        <w:t>Population Studies</w:t>
      </w:r>
      <w:r w:rsidRPr="00ED32C1">
        <w:rPr>
          <w:color w:val="000000"/>
          <w:sz w:val="20"/>
          <w:szCs w:val="20"/>
        </w:rPr>
        <w:t>, 42 (1988), pp. 343–66.</w:t>
      </w:r>
    </w:p>
    <w:p w14:paraId="2E39F9C1" w14:textId="347FFB32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Woods, R., Watterson, P., and Woodward, J., ‘The causes of rapid infant mortality decline in England and Wales,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 xml:space="preserve">1861–1921, part 2’, </w:t>
      </w:r>
      <w:r w:rsidRPr="00ED32C1">
        <w:rPr>
          <w:i/>
          <w:iCs/>
          <w:color w:val="000000"/>
          <w:sz w:val="20"/>
          <w:szCs w:val="20"/>
        </w:rPr>
        <w:t>Population Studies</w:t>
      </w:r>
      <w:r w:rsidRPr="00ED32C1">
        <w:rPr>
          <w:color w:val="000000"/>
          <w:sz w:val="20"/>
          <w:szCs w:val="20"/>
        </w:rPr>
        <w:t>, 43 (1989), pp. 113–32.</w:t>
      </w:r>
    </w:p>
    <w:p w14:paraId="08B3D9D2" w14:textId="7026A4B7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>Woods, R. and Woodward, J., ‘Mortality, poverty and the environment’, in R. Woods and J. Woodward, eds.,</w:t>
      </w:r>
      <w:r w:rsidR="001873B6">
        <w:rPr>
          <w:color w:val="000000"/>
          <w:sz w:val="20"/>
          <w:szCs w:val="20"/>
        </w:rPr>
        <w:t xml:space="preserve"> </w:t>
      </w:r>
      <w:r w:rsidRPr="00ED32C1">
        <w:rPr>
          <w:i/>
          <w:iCs/>
          <w:color w:val="000000"/>
          <w:sz w:val="20"/>
          <w:szCs w:val="20"/>
        </w:rPr>
        <w:t xml:space="preserve">Urban disease and mortality in nineteenth-century England </w:t>
      </w:r>
      <w:r w:rsidRPr="00ED32C1">
        <w:rPr>
          <w:color w:val="000000"/>
          <w:sz w:val="20"/>
          <w:szCs w:val="20"/>
        </w:rPr>
        <w:t>(1984), pp. 19–36.</w:t>
      </w:r>
    </w:p>
    <w:p w14:paraId="0CD13312" w14:textId="66BF93FB" w:rsidR="00175367" w:rsidRPr="00ED32C1" w:rsidRDefault="00175367" w:rsidP="00175367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ED32C1">
        <w:rPr>
          <w:color w:val="000000"/>
          <w:sz w:val="20"/>
          <w:szCs w:val="20"/>
        </w:rPr>
        <w:t xml:space="preserve">Wrigley, E. A., Davies, R. S., </w:t>
      </w:r>
      <w:proofErr w:type="spellStart"/>
      <w:r w:rsidRPr="00ED32C1">
        <w:rPr>
          <w:color w:val="000000"/>
          <w:sz w:val="20"/>
          <w:szCs w:val="20"/>
        </w:rPr>
        <w:t>Oeppen</w:t>
      </w:r>
      <w:proofErr w:type="spellEnd"/>
      <w:r w:rsidRPr="00ED32C1">
        <w:rPr>
          <w:color w:val="000000"/>
          <w:sz w:val="20"/>
          <w:szCs w:val="20"/>
        </w:rPr>
        <w:t xml:space="preserve">, J. E., and Schofield, R. S., </w:t>
      </w:r>
      <w:r w:rsidRPr="00ED32C1">
        <w:rPr>
          <w:i/>
          <w:iCs/>
          <w:color w:val="000000"/>
          <w:sz w:val="20"/>
          <w:szCs w:val="20"/>
        </w:rPr>
        <w:t>English population history from family reconstitution</w:t>
      </w:r>
      <w:r w:rsidR="001873B6">
        <w:rPr>
          <w:i/>
          <w:iCs/>
          <w:color w:val="000000"/>
          <w:sz w:val="20"/>
          <w:szCs w:val="20"/>
        </w:rPr>
        <w:t xml:space="preserve"> </w:t>
      </w:r>
      <w:r w:rsidRPr="00ED32C1">
        <w:rPr>
          <w:color w:val="000000"/>
          <w:sz w:val="20"/>
          <w:szCs w:val="20"/>
        </w:rPr>
        <w:t>(Cambridge, 1997).</w:t>
      </w:r>
    </w:p>
    <w:p w14:paraId="5D1CC620" w14:textId="77777777" w:rsidR="00250F8A" w:rsidRPr="00ED32C1" w:rsidRDefault="00250F8A" w:rsidP="00175367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0"/>
          <w:szCs w:val="20"/>
        </w:rPr>
      </w:pPr>
    </w:p>
    <w:p w14:paraId="50A0DF14" w14:textId="4540AC3F" w:rsidR="00175367" w:rsidRPr="001873B6" w:rsidRDefault="00175367" w:rsidP="00175367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0"/>
          <w:szCs w:val="20"/>
        </w:rPr>
      </w:pPr>
      <w:bookmarkStart w:id="0" w:name="_GoBack"/>
      <w:r w:rsidRPr="001873B6">
        <w:rPr>
          <w:b/>
          <w:color w:val="000000"/>
          <w:sz w:val="20"/>
          <w:szCs w:val="20"/>
        </w:rPr>
        <w:t>Official publication</w:t>
      </w:r>
    </w:p>
    <w:p w14:paraId="6BBA85C1" w14:textId="469ADC2E" w:rsidR="00F2638F" w:rsidRPr="001873B6" w:rsidRDefault="00175367" w:rsidP="00175367">
      <w:pPr>
        <w:rPr>
          <w:sz w:val="20"/>
          <w:szCs w:val="20"/>
        </w:rPr>
      </w:pPr>
      <w:r w:rsidRPr="001873B6">
        <w:rPr>
          <w:i/>
          <w:iCs/>
          <w:color w:val="000000"/>
          <w:sz w:val="20"/>
          <w:szCs w:val="20"/>
        </w:rPr>
        <w:t xml:space="preserve">Forty-Seventh Annual Report of the Registrar General </w:t>
      </w:r>
      <w:r w:rsidRPr="001873B6">
        <w:rPr>
          <w:color w:val="000000"/>
          <w:sz w:val="20"/>
          <w:szCs w:val="20"/>
        </w:rPr>
        <w:t>(P.P. 1886, XVII)</w:t>
      </w:r>
      <w:bookmarkEnd w:id="0"/>
    </w:p>
    <w:sectPr w:rsidR="00F2638F" w:rsidRPr="001873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TSY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antin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lanti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5367"/>
    <w:rsid w:val="00001117"/>
    <w:rsid w:val="0005275E"/>
    <w:rsid w:val="000676CE"/>
    <w:rsid w:val="000C7352"/>
    <w:rsid w:val="001142AC"/>
    <w:rsid w:val="00175367"/>
    <w:rsid w:val="001873B6"/>
    <w:rsid w:val="001C4D2D"/>
    <w:rsid w:val="002163E7"/>
    <w:rsid w:val="00221A2E"/>
    <w:rsid w:val="00250F8A"/>
    <w:rsid w:val="002739D9"/>
    <w:rsid w:val="0028457F"/>
    <w:rsid w:val="002E1000"/>
    <w:rsid w:val="00354C81"/>
    <w:rsid w:val="003E11FD"/>
    <w:rsid w:val="003F3EA4"/>
    <w:rsid w:val="003F61E2"/>
    <w:rsid w:val="0049436B"/>
    <w:rsid w:val="004D0236"/>
    <w:rsid w:val="005247FA"/>
    <w:rsid w:val="005B1F8A"/>
    <w:rsid w:val="005B2CC8"/>
    <w:rsid w:val="005B5011"/>
    <w:rsid w:val="005E37B5"/>
    <w:rsid w:val="00630E83"/>
    <w:rsid w:val="0065587C"/>
    <w:rsid w:val="006A0338"/>
    <w:rsid w:val="007132D1"/>
    <w:rsid w:val="007A422A"/>
    <w:rsid w:val="007B0584"/>
    <w:rsid w:val="00816B9E"/>
    <w:rsid w:val="008215D3"/>
    <w:rsid w:val="008864C3"/>
    <w:rsid w:val="008A0371"/>
    <w:rsid w:val="008B77C8"/>
    <w:rsid w:val="008D50E4"/>
    <w:rsid w:val="00900C32"/>
    <w:rsid w:val="009F463C"/>
    <w:rsid w:val="00A138DD"/>
    <w:rsid w:val="00A549AA"/>
    <w:rsid w:val="00B124B8"/>
    <w:rsid w:val="00B36D8C"/>
    <w:rsid w:val="00B76472"/>
    <w:rsid w:val="00B924EA"/>
    <w:rsid w:val="00C5402B"/>
    <w:rsid w:val="00D0765A"/>
    <w:rsid w:val="00D51E3F"/>
    <w:rsid w:val="00D671C7"/>
    <w:rsid w:val="00D87D80"/>
    <w:rsid w:val="00DD6442"/>
    <w:rsid w:val="00DE28E9"/>
    <w:rsid w:val="00E1411F"/>
    <w:rsid w:val="00E215A6"/>
    <w:rsid w:val="00E31A20"/>
    <w:rsid w:val="00E36A02"/>
    <w:rsid w:val="00E36F2E"/>
    <w:rsid w:val="00E57808"/>
    <w:rsid w:val="00E92800"/>
    <w:rsid w:val="00E937FF"/>
    <w:rsid w:val="00ED1B09"/>
    <w:rsid w:val="00ED32C1"/>
    <w:rsid w:val="00F05ED1"/>
    <w:rsid w:val="00F2638F"/>
    <w:rsid w:val="00F722F2"/>
    <w:rsid w:val="00FA1201"/>
    <w:rsid w:val="00FD1463"/>
    <w:rsid w:val="00FD43B3"/>
    <w:rsid w:val="00FE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1C835"/>
  <w15:chartTrackingRefBased/>
  <w15:docId w15:val="{3B32295C-D20A-47D3-9014-47FA44E4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bCs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g"/><Relationship Id="rId5" Type="http://schemas.openxmlformats.org/officeDocument/2006/relationships/image" Target="media/image2.emf"/><Relationship Id="rId10" Type="http://schemas.openxmlformats.org/officeDocument/2006/relationships/image" Target="media/image7.jp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23</Pages>
  <Words>9385</Words>
  <Characters>53501</Characters>
  <Application>Microsoft Office Word</Application>
  <DocSecurity>0</DocSecurity>
  <Lines>445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Atkinson</dc:creator>
  <cp:keywords/>
  <dc:description/>
  <cp:lastModifiedBy>Paul Atkinson</cp:lastModifiedBy>
  <cp:revision>47</cp:revision>
  <dcterms:created xsi:type="dcterms:W3CDTF">2018-07-18T14:26:00Z</dcterms:created>
  <dcterms:modified xsi:type="dcterms:W3CDTF">2018-07-18T15:43:00Z</dcterms:modified>
</cp:coreProperties>
</file>