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65D58" w14:textId="58497BC5" w:rsidR="00C91C91" w:rsidRDefault="00C91C91" w:rsidP="00FE1663">
      <w:pPr>
        <w:spacing w:after="120"/>
        <w:rPr>
          <w:b/>
          <w:szCs w:val="24"/>
        </w:rPr>
      </w:pPr>
      <w:bookmarkStart w:id="0" w:name="_GoBack"/>
      <w:bookmarkEnd w:id="0"/>
      <w:r>
        <w:rPr>
          <w:b/>
          <w:szCs w:val="24"/>
        </w:rPr>
        <w:t xml:space="preserve">Cost-effectiveness of </w:t>
      </w:r>
      <w:r w:rsidRPr="00C91C91">
        <w:rPr>
          <w:b/>
          <w:szCs w:val="24"/>
        </w:rPr>
        <w:t>PoNDER health visitor training for mothers at lower risk</w:t>
      </w:r>
      <w:r>
        <w:rPr>
          <w:b/>
          <w:szCs w:val="24"/>
        </w:rPr>
        <w:t xml:space="preserve"> of depression: findings on </w:t>
      </w:r>
      <w:r w:rsidRPr="00C91C91">
        <w:rPr>
          <w:b/>
          <w:szCs w:val="24"/>
        </w:rPr>
        <w:t>prevention of postnatal depression from a cluster-randomised controlled trial</w:t>
      </w:r>
      <w:r w:rsidRPr="00C91C91" w:rsidDel="00C91C91">
        <w:rPr>
          <w:b/>
          <w:szCs w:val="24"/>
        </w:rPr>
        <w:t xml:space="preserve"> </w:t>
      </w:r>
    </w:p>
    <w:p w14:paraId="2C2AE980" w14:textId="53243768" w:rsidR="00495C37" w:rsidRDefault="00495C37" w:rsidP="12C71B30">
      <w:pPr>
        <w:spacing w:after="120"/>
        <w:rPr>
          <w:b/>
          <w:szCs w:val="24"/>
        </w:rPr>
      </w:pPr>
    </w:p>
    <w:p w14:paraId="2682837B" w14:textId="666119C8" w:rsidR="00377C06" w:rsidRDefault="12C71B30">
      <w:r>
        <w:t>Catherine Henderson, Simon Dixon, Annette Bauer, Martin Knapp, C. Jane Morrell, Pauline Slade, Stephen J. Walters, Traolach Brugha</w:t>
      </w:r>
    </w:p>
    <w:p w14:paraId="3626ECE4" w14:textId="77777777" w:rsidR="00495C37" w:rsidRDefault="00495C37">
      <w:pPr>
        <w:rPr>
          <w:szCs w:val="24"/>
        </w:rPr>
      </w:pPr>
    </w:p>
    <w:p w14:paraId="785B5C33" w14:textId="4C5C25B9" w:rsidR="008E1C97" w:rsidRDefault="00377C06" w:rsidP="00CB2E89">
      <w:pPr>
        <w:spacing w:line="240" w:lineRule="auto"/>
        <w:rPr>
          <w:szCs w:val="24"/>
        </w:rPr>
      </w:pPr>
      <w:r>
        <w:rPr>
          <w:szCs w:val="24"/>
        </w:rPr>
        <w:t>Catherine Henderson</w:t>
      </w:r>
      <w:r w:rsidR="00D75822">
        <w:rPr>
          <w:szCs w:val="24"/>
        </w:rPr>
        <w:t>,</w:t>
      </w:r>
      <w:r w:rsidR="00350BBF">
        <w:rPr>
          <w:rStyle w:val="FootnoteReference"/>
          <w:szCs w:val="24"/>
        </w:rPr>
        <w:footnoteReference w:id="2"/>
      </w:r>
      <w:r w:rsidR="00D75822">
        <w:rPr>
          <w:szCs w:val="24"/>
        </w:rPr>
        <w:t xml:space="preserve"> </w:t>
      </w:r>
      <w:r>
        <w:rPr>
          <w:szCs w:val="24"/>
        </w:rPr>
        <w:t xml:space="preserve">M.Sc., </w:t>
      </w:r>
      <w:r w:rsidR="00433C77" w:rsidRPr="00433C77">
        <w:rPr>
          <w:szCs w:val="24"/>
        </w:rPr>
        <w:t>Personal Social Services Unit, London School of Economics and Political Science</w:t>
      </w:r>
      <w:r w:rsidR="008E1C97">
        <w:rPr>
          <w:szCs w:val="24"/>
        </w:rPr>
        <w:t xml:space="preserve">, </w:t>
      </w:r>
      <w:hyperlink r:id="rId8" w:history="1">
        <w:r w:rsidR="008E1C97" w:rsidRPr="00085694">
          <w:rPr>
            <w:rStyle w:val="Hyperlink"/>
            <w:szCs w:val="24"/>
          </w:rPr>
          <w:t>c.henderson@lse.ac.uk</w:t>
        </w:r>
      </w:hyperlink>
    </w:p>
    <w:p w14:paraId="2491503B" w14:textId="7DB95F34" w:rsidR="008E1C97" w:rsidRDefault="008E1C97" w:rsidP="00CB2E89">
      <w:pPr>
        <w:spacing w:line="240" w:lineRule="auto"/>
        <w:rPr>
          <w:szCs w:val="24"/>
        </w:rPr>
      </w:pPr>
    </w:p>
    <w:p w14:paraId="707647D6" w14:textId="5519C5F0" w:rsidR="00433C77" w:rsidRDefault="00433C77" w:rsidP="00CB2E89">
      <w:pPr>
        <w:spacing w:line="240" w:lineRule="auto"/>
        <w:rPr>
          <w:szCs w:val="24"/>
        </w:rPr>
      </w:pPr>
      <w:r>
        <w:rPr>
          <w:szCs w:val="24"/>
        </w:rPr>
        <w:t xml:space="preserve">Simon Dixon, PhD, </w:t>
      </w:r>
      <w:r w:rsidR="00C8648D" w:rsidRPr="00C8648D">
        <w:rPr>
          <w:szCs w:val="24"/>
        </w:rPr>
        <w:t>School of Health and Related Research</w:t>
      </w:r>
      <w:r w:rsidR="00C8648D">
        <w:rPr>
          <w:szCs w:val="24"/>
        </w:rPr>
        <w:t xml:space="preserve">, </w:t>
      </w:r>
      <w:r w:rsidR="00C8648D" w:rsidRPr="00C8648D">
        <w:rPr>
          <w:szCs w:val="24"/>
        </w:rPr>
        <w:t>University of Sheffield</w:t>
      </w:r>
      <w:r w:rsidR="00C8648D">
        <w:rPr>
          <w:szCs w:val="24"/>
        </w:rPr>
        <w:t xml:space="preserve">, </w:t>
      </w:r>
      <w:hyperlink r:id="rId9" w:history="1">
        <w:r w:rsidR="008E1C97" w:rsidRPr="00085694">
          <w:rPr>
            <w:rStyle w:val="Hyperlink"/>
            <w:szCs w:val="24"/>
          </w:rPr>
          <w:t>s.dixon@sheffield.ac.uk</w:t>
        </w:r>
      </w:hyperlink>
    </w:p>
    <w:p w14:paraId="434DC270" w14:textId="77777777" w:rsidR="00433C77" w:rsidRDefault="00433C77" w:rsidP="00CB2E89">
      <w:pPr>
        <w:spacing w:line="240" w:lineRule="auto"/>
        <w:rPr>
          <w:szCs w:val="24"/>
        </w:rPr>
      </w:pPr>
    </w:p>
    <w:p w14:paraId="5EA7636D" w14:textId="73BB0EA3" w:rsidR="00433C77" w:rsidRDefault="00433C77" w:rsidP="00CB2E89">
      <w:pPr>
        <w:spacing w:line="240" w:lineRule="auto"/>
        <w:rPr>
          <w:szCs w:val="24"/>
        </w:rPr>
      </w:pPr>
      <w:r>
        <w:rPr>
          <w:szCs w:val="24"/>
        </w:rPr>
        <w:t xml:space="preserve">Annette Bauer, M.Sc., </w:t>
      </w:r>
      <w:r w:rsidRPr="00433C77">
        <w:rPr>
          <w:szCs w:val="24"/>
        </w:rPr>
        <w:t>Personal Social Services Unit, London School of Economics and Political Science</w:t>
      </w:r>
      <w:r>
        <w:rPr>
          <w:szCs w:val="24"/>
        </w:rPr>
        <w:t xml:space="preserve">, </w:t>
      </w:r>
      <w:hyperlink r:id="rId10" w:history="1">
        <w:r w:rsidR="008E1C97" w:rsidRPr="00085694">
          <w:rPr>
            <w:rStyle w:val="Hyperlink"/>
            <w:szCs w:val="24"/>
          </w:rPr>
          <w:t>a.bauer@lse.ac.uk</w:t>
        </w:r>
      </w:hyperlink>
    </w:p>
    <w:p w14:paraId="58272500" w14:textId="77777777" w:rsidR="00433C77" w:rsidRDefault="00433C77" w:rsidP="00CB2E89">
      <w:pPr>
        <w:spacing w:line="240" w:lineRule="auto"/>
        <w:rPr>
          <w:szCs w:val="24"/>
        </w:rPr>
      </w:pPr>
    </w:p>
    <w:p w14:paraId="3CD1C214" w14:textId="3DE3D375" w:rsidR="00433C77" w:rsidRDefault="00433C77" w:rsidP="00CB2E89">
      <w:pPr>
        <w:spacing w:line="240" w:lineRule="auto"/>
        <w:rPr>
          <w:szCs w:val="24"/>
        </w:rPr>
      </w:pPr>
      <w:r>
        <w:rPr>
          <w:szCs w:val="24"/>
        </w:rPr>
        <w:t xml:space="preserve">Martin Knapp, PhD, </w:t>
      </w:r>
      <w:r w:rsidRPr="00433C77">
        <w:rPr>
          <w:szCs w:val="24"/>
        </w:rPr>
        <w:t>Personal Social Services Unit, London School of Economics and Political Science</w:t>
      </w:r>
      <w:r>
        <w:rPr>
          <w:szCs w:val="24"/>
        </w:rPr>
        <w:t xml:space="preserve">, </w:t>
      </w:r>
      <w:hyperlink r:id="rId11" w:history="1">
        <w:r w:rsidR="008E1C97" w:rsidRPr="00085694">
          <w:rPr>
            <w:rStyle w:val="Hyperlink"/>
            <w:szCs w:val="24"/>
          </w:rPr>
          <w:t>m.knapp@lse.ac.uk</w:t>
        </w:r>
      </w:hyperlink>
    </w:p>
    <w:p w14:paraId="569E284F" w14:textId="0C7D4521" w:rsidR="00433C77" w:rsidRDefault="00433C77" w:rsidP="00CB2E89">
      <w:pPr>
        <w:spacing w:line="240" w:lineRule="auto"/>
        <w:rPr>
          <w:szCs w:val="24"/>
        </w:rPr>
      </w:pPr>
    </w:p>
    <w:p w14:paraId="53413450" w14:textId="51715EF4" w:rsidR="00433C77" w:rsidRPr="00433C77" w:rsidRDefault="00433C77" w:rsidP="00CB2E89">
      <w:pPr>
        <w:spacing w:line="240" w:lineRule="auto"/>
        <w:rPr>
          <w:szCs w:val="24"/>
        </w:rPr>
      </w:pPr>
      <w:r>
        <w:rPr>
          <w:szCs w:val="24"/>
        </w:rPr>
        <w:t>C.</w:t>
      </w:r>
      <w:r w:rsidR="00051197">
        <w:rPr>
          <w:szCs w:val="24"/>
        </w:rPr>
        <w:t xml:space="preserve"> </w:t>
      </w:r>
      <w:r>
        <w:rPr>
          <w:szCs w:val="24"/>
        </w:rPr>
        <w:t xml:space="preserve">Jane Morrell, PhD, </w:t>
      </w:r>
      <w:r w:rsidRPr="006C2A60">
        <w:rPr>
          <w:szCs w:val="24"/>
        </w:rPr>
        <w:t>School of Health Sciences, University of Nottingham</w:t>
      </w:r>
    </w:p>
    <w:p w14:paraId="69719CE5" w14:textId="7940BF99" w:rsidR="00474493" w:rsidRDefault="003F0D95" w:rsidP="00CB2E89">
      <w:pPr>
        <w:spacing w:line="240" w:lineRule="auto"/>
      </w:pPr>
      <w:hyperlink r:id="rId12" w:history="1">
        <w:r w:rsidR="00474493" w:rsidRPr="0092787E">
          <w:rPr>
            <w:rStyle w:val="Hyperlink"/>
          </w:rPr>
          <w:t>jane.morrell57@gmail.com</w:t>
        </w:r>
      </w:hyperlink>
    </w:p>
    <w:p w14:paraId="10377EFA" w14:textId="77777777" w:rsidR="00433C77" w:rsidRDefault="00433C77" w:rsidP="00CB2E89">
      <w:pPr>
        <w:spacing w:line="240" w:lineRule="auto"/>
        <w:rPr>
          <w:szCs w:val="24"/>
        </w:rPr>
      </w:pPr>
    </w:p>
    <w:p w14:paraId="0D21AC1F" w14:textId="1A0D3B21" w:rsidR="00E17F61" w:rsidRDefault="00E17F61" w:rsidP="00CB2E89">
      <w:pPr>
        <w:spacing w:line="240" w:lineRule="auto"/>
        <w:rPr>
          <w:szCs w:val="24"/>
        </w:rPr>
      </w:pPr>
      <w:r>
        <w:rPr>
          <w:szCs w:val="24"/>
        </w:rPr>
        <w:t>Pauline Slade</w:t>
      </w:r>
      <w:r w:rsidR="00D46448">
        <w:rPr>
          <w:szCs w:val="24"/>
        </w:rPr>
        <w:t xml:space="preserve">, PhD, </w:t>
      </w:r>
      <w:r w:rsidR="00CF12C1" w:rsidRPr="00CF12C1">
        <w:rPr>
          <w:szCs w:val="24"/>
        </w:rPr>
        <w:t>Institute of Psychology Health and Society</w:t>
      </w:r>
      <w:r w:rsidR="00CF12C1">
        <w:rPr>
          <w:szCs w:val="24"/>
        </w:rPr>
        <w:t xml:space="preserve">, </w:t>
      </w:r>
      <w:r w:rsidR="00D46448">
        <w:rPr>
          <w:szCs w:val="24"/>
        </w:rPr>
        <w:t>University of Liverpool</w:t>
      </w:r>
      <w:r w:rsidR="005C5E99">
        <w:rPr>
          <w:szCs w:val="24"/>
        </w:rPr>
        <w:t xml:space="preserve">, </w:t>
      </w:r>
      <w:hyperlink r:id="rId13" w:history="1">
        <w:r w:rsidR="005C5E99" w:rsidRPr="00085694">
          <w:rPr>
            <w:rStyle w:val="Hyperlink"/>
            <w:szCs w:val="24"/>
          </w:rPr>
          <w:t>Pauline.Slade@liverpool.ac.uk</w:t>
        </w:r>
      </w:hyperlink>
    </w:p>
    <w:p w14:paraId="04EC1193" w14:textId="77777777" w:rsidR="00E17F61" w:rsidRDefault="00E17F61" w:rsidP="00CB2E89">
      <w:pPr>
        <w:spacing w:line="240" w:lineRule="auto"/>
        <w:rPr>
          <w:szCs w:val="24"/>
        </w:rPr>
      </w:pPr>
    </w:p>
    <w:p w14:paraId="6F6AEB06" w14:textId="502381FA" w:rsidR="00E17F61" w:rsidRDefault="00E17F61" w:rsidP="00CB2E89">
      <w:pPr>
        <w:spacing w:line="240" w:lineRule="auto"/>
        <w:rPr>
          <w:szCs w:val="24"/>
        </w:rPr>
      </w:pPr>
      <w:r>
        <w:rPr>
          <w:szCs w:val="24"/>
        </w:rPr>
        <w:t>Stephen J. Walters</w:t>
      </w:r>
      <w:r w:rsidR="00A15A33">
        <w:rPr>
          <w:szCs w:val="24"/>
        </w:rPr>
        <w:t xml:space="preserve">, </w:t>
      </w:r>
      <w:r w:rsidR="008E1C97" w:rsidRPr="0030416A">
        <w:rPr>
          <w:szCs w:val="24"/>
        </w:rPr>
        <w:t>School of Health and Related Research</w:t>
      </w:r>
      <w:r w:rsidR="008E1C97">
        <w:rPr>
          <w:szCs w:val="24"/>
        </w:rPr>
        <w:t xml:space="preserve">, </w:t>
      </w:r>
      <w:r w:rsidR="008E1C97" w:rsidRPr="00C8648D">
        <w:rPr>
          <w:szCs w:val="24"/>
        </w:rPr>
        <w:t>University of Sheffield</w:t>
      </w:r>
      <w:r w:rsidR="008E1C97">
        <w:rPr>
          <w:szCs w:val="24"/>
        </w:rPr>
        <w:t xml:space="preserve">, </w:t>
      </w:r>
      <w:hyperlink r:id="rId14" w:history="1">
        <w:r w:rsidR="008E1C97" w:rsidRPr="00085694">
          <w:rPr>
            <w:rStyle w:val="Hyperlink"/>
            <w:szCs w:val="24"/>
          </w:rPr>
          <w:t>s.j.walters@sheffield.ac.uk</w:t>
        </w:r>
      </w:hyperlink>
    </w:p>
    <w:p w14:paraId="3B6218F1" w14:textId="77777777" w:rsidR="00E17F61" w:rsidRDefault="00E17F61" w:rsidP="00CB2E89">
      <w:pPr>
        <w:spacing w:line="240" w:lineRule="auto"/>
        <w:rPr>
          <w:szCs w:val="24"/>
        </w:rPr>
      </w:pPr>
    </w:p>
    <w:p w14:paraId="683FF5FE" w14:textId="65B4CBE7" w:rsidR="00AE109E" w:rsidRDefault="00E17F61" w:rsidP="00CB2E89">
      <w:pPr>
        <w:spacing w:line="240" w:lineRule="auto"/>
        <w:rPr>
          <w:szCs w:val="24"/>
        </w:rPr>
      </w:pPr>
      <w:r w:rsidRPr="00062CF7">
        <w:rPr>
          <w:szCs w:val="24"/>
        </w:rPr>
        <w:t>Traolach</w:t>
      </w:r>
      <w:r>
        <w:rPr>
          <w:szCs w:val="24"/>
        </w:rPr>
        <w:t xml:space="preserve"> Brugha</w:t>
      </w:r>
      <w:r w:rsidR="00A507C4">
        <w:rPr>
          <w:szCs w:val="24"/>
        </w:rPr>
        <w:t>, M</w:t>
      </w:r>
      <w:r w:rsidR="00AE109E">
        <w:rPr>
          <w:szCs w:val="24"/>
        </w:rPr>
        <w:t xml:space="preserve">D, </w:t>
      </w:r>
      <w:r w:rsidR="00AE109E" w:rsidRPr="00AE109E">
        <w:rPr>
          <w:szCs w:val="24"/>
        </w:rPr>
        <w:t>Department of Health Sciences</w:t>
      </w:r>
      <w:r w:rsidR="00AE109E">
        <w:rPr>
          <w:szCs w:val="24"/>
        </w:rPr>
        <w:t xml:space="preserve">, </w:t>
      </w:r>
      <w:r w:rsidR="00AE109E" w:rsidRPr="00AE109E">
        <w:rPr>
          <w:szCs w:val="24"/>
        </w:rPr>
        <w:t>University of Leicester</w:t>
      </w:r>
      <w:r w:rsidR="00AE109E">
        <w:rPr>
          <w:szCs w:val="24"/>
        </w:rPr>
        <w:t xml:space="preserve">, </w:t>
      </w:r>
      <w:hyperlink r:id="rId15" w:history="1">
        <w:r w:rsidR="00AE109E" w:rsidRPr="00085694">
          <w:rPr>
            <w:rStyle w:val="Hyperlink"/>
            <w:szCs w:val="24"/>
          </w:rPr>
          <w:t>tsb@le.ac.uk</w:t>
        </w:r>
      </w:hyperlink>
    </w:p>
    <w:p w14:paraId="2D854EC4" w14:textId="77777777" w:rsidR="00E61062" w:rsidRDefault="00E61062" w:rsidP="00CB2E89">
      <w:pPr>
        <w:spacing w:line="240" w:lineRule="auto"/>
        <w:rPr>
          <w:szCs w:val="24"/>
        </w:rPr>
      </w:pPr>
    </w:p>
    <w:p w14:paraId="073F67EC" w14:textId="38230076" w:rsidR="00377C06" w:rsidRDefault="00E61062" w:rsidP="00CB2E89">
      <w:pPr>
        <w:spacing w:line="240" w:lineRule="auto"/>
        <w:rPr>
          <w:szCs w:val="24"/>
        </w:rPr>
      </w:pPr>
      <w:r>
        <w:rPr>
          <w:szCs w:val="24"/>
        </w:rPr>
        <w:t xml:space="preserve">Word count: </w:t>
      </w:r>
      <w:r w:rsidR="00A625DE">
        <w:rPr>
          <w:szCs w:val="24"/>
        </w:rPr>
        <w:t>5142</w:t>
      </w:r>
      <w:r w:rsidR="00334819">
        <w:rPr>
          <w:szCs w:val="24"/>
        </w:rPr>
        <w:t xml:space="preserve"> excluding abstract, tables/figures, references, </w:t>
      </w:r>
      <w:r w:rsidR="00650523">
        <w:rPr>
          <w:szCs w:val="24"/>
        </w:rPr>
        <w:t>financial support</w:t>
      </w:r>
      <w:r w:rsidR="00334819">
        <w:rPr>
          <w:szCs w:val="24"/>
        </w:rPr>
        <w:t xml:space="preserve"> and declaration of interests. </w:t>
      </w:r>
      <w:r w:rsidR="00377C06">
        <w:rPr>
          <w:szCs w:val="24"/>
        </w:rPr>
        <w:br w:type="page"/>
      </w:r>
    </w:p>
    <w:p w14:paraId="5228956C" w14:textId="77777777" w:rsidR="00FE1663" w:rsidRPr="00E51082" w:rsidRDefault="00FE1663" w:rsidP="00FE1663">
      <w:pPr>
        <w:spacing w:after="120"/>
        <w:rPr>
          <w:b/>
          <w:szCs w:val="24"/>
        </w:rPr>
      </w:pPr>
      <w:r w:rsidRPr="00E51082">
        <w:rPr>
          <w:b/>
          <w:szCs w:val="24"/>
        </w:rPr>
        <w:lastRenderedPageBreak/>
        <w:t>Background</w:t>
      </w:r>
    </w:p>
    <w:p w14:paraId="54D8F476" w14:textId="1CD10980" w:rsidR="00FE1663" w:rsidRPr="00C12E47" w:rsidRDefault="00FE1663" w:rsidP="00C12E47">
      <w:pPr>
        <w:pStyle w:val="BodyText2"/>
        <w:spacing w:after="120"/>
        <w:jc w:val="left"/>
        <w:rPr>
          <w:sz w:val="24"/>
          <w:szCs w:val="24"/>
        </w:rPr>
      </w:pPr>
      <w:r w:rsidRPr="00C12E47">
        <w:rPr>
          <w:sz w:val="24"/>
          <w:szCs w:val="24"/>
        </w:rPr>
        <w:t xml:space="preserve">There is evidence for cost-effectiveness of </w:t>
      </w:r>
      <w:r w:rsidR="001613C6" w:rsidRPr="00C12E47">
        <w:rPr>
          <w:sz w:val="24"/>
          <w:szCs w:val="24"/>
        </w:rPr>
        <w:t>h</w:t>
      </w:r>
      <w:r w:rsidR="00BC74D5" w:rsidRPr="00C12E47">
        <w:rPr>
          <w:sz w:val="24"/>
          <w:szCs w:val="24"/>
        </w:rPr>
        <w:t xml:space="preserve">ealth </w:t>
      </w:r>
      <w:r w:rsidR="001613C6" w:rsidRPr="00C12E47">
        <w:rPr>
          <w:sz w:val="24"/>
          <w:szCs w:val="24"/>
        </w:rPr>
        <w:t>v</w:t>
      </w:r>
      <w:r w:rsidR="00BC74D5" w:rsidRPr="00C12E47">
        <w:rPr>
          <w:sz w:val="24"/>
          <w:szCs w:val="24"/>
        </w:rPr>
        <w:t xml:space="preserve">isitor (HV) </w:t>
      </w:r>
      <w:r w:rsidRPr="00C12E47">
        <w:rPr>
          <w:sz w:val="24"/>
          <w:szCs w:val="24"/>
        </w:rPr>
        <w:t xml:space="preserve">training to </w:t>
      </w:r>
      <w:r w:rsidR="00366713" w:rsidRPr="00C12E47">
        <w:rPr>
          <w:sz w:val="24"/>
          <w:szCs w:val="24"/>
        </w:rPr>
        <w:t xml:space="preserve">assess </w:t>
      </w:r>
      <w:r w:rsidR="00EA0926" w:rsidRPr="00C12E47">
        <w:rPr>
          <w:sz w:val="24"/>
          <w:szCs w:val="24"/>
        </w:rPr>
        <w:t xml:space="preserve">postnatal </w:t>
      </w:r>
      <w:r w:rsidR="00A43851">
        <w:rPr>
          <w:sz w:val="24"/>
          <w:szCs w:val="24"/>
        </w:rPr>
        <w:t xml:space="preserve">depression (PND) </w:t>
      </w:r>
      <w:r w:rsidRPr="00C12E47">
        <w:rPr>
          <w:sz w:val="24"/>
          <w:szCs w:val="24"/>
        </w:rPr>
        <w:t>and</w:t>
      </w:r>
      <w:r w:rsidR="00A43851">
        <w:rPr>
          <w:sz w:val="24"/>
          <w:szCs w:val="24"/>
        </w:rPr>
        <w:t xml:space="preserve"> </w:t>
      </w:r>
      <w:r w:rsidRPr="00C12E47">
        <w:rPr>
          <w:sz w:val="24"/>
          <w:szCs w:val="24"/>
        </w:rPr>
        <w:t xml:space="preserve">deliver psychological approaches </w:t>
      </w:r>
      <w:r w:rsidR="0067125F" w:rsidRPr="00C12E47">
        <w:rPr>
          <w:sz w:val="24"/>
          <w:szCs w:val="24"/>
        </w:rPr>
        <w:t>to</w:t>
      </w:r>
      <w:r w:rsidRPr="00C12E47">
        <w:rPr>
          <w:sz w:val="24"/>
          <w:szCs w:val="24"/>
        </w:rPr>
        <w:t xml:space="preserve"> women at risk of depression</w:t>
      </w:r>
      <w:r w:rsidR="00366713" w:rsidRPr="00C12E47">
        <w:rPr>
          <w:sz w:val="24"/>
          <w:szCs w:val="24"/>
        </w:rPr>
        <w:t>.</w:t>
      </w:r>
      <w:r w:rsidR="00D243DA" w:rsidRPr="00C12E47">
        <w:rPr>
          <w:sz w:val="24"/>
          <w:szCs w:val="24"/>
        </w:rPr>
        <w:t xml:space="preserve"> </w:t>
      </w:r>
      <w:r w:rsidR="00990CCB" w:rsidRPr="00C12E47">
        <w:rPr>
          <w:sz w:val="24"/>
          <w:szCs w:val="24"/>
        </w:rPr>
        <w:t>W</w:t>
      </w:r>
      <w:r w:rsidR="00D243DA" w:rsidRPr="00C12E47">
        <w:rPr>
          <w:sz w:val="24"/>
          <w:szCs w:val="24"/>
        </w:rPr>
        <w:t>hether th</w:t>
      </w:r>
      <w:r w:rsidR="00990CCB" w:rsidRPr="00C12E47">
        <w:rPr>
          <w:sz w:val="24"/>
          <w:szCs w:val="24"/>
        </w:rPr>
        <w:t xml:space="preserve">is </w:t>
      </w:r>
      <w:r w:rsidR="00D243DA" w:rsidRPr="00C12E47">
        <w:rPr>
          <w:sz w:val="24"/>
          <w:szCs w:val="24"/>
        </w:rPr>
        <w:t xml:space="preserve">approach </w:t>
      </w:r>
      <w:r w:rsidR="00EE7039" w:rsidRPr="00C12E47">
        <w:rPr>
          <w:sz w:val="24"/>
          <w:szCs w:val="24"/>
        </w:rPr>
        <w:t xml:space="preserve">is </w:t>
      </w:r>
      <w:r w:rsidR="00D243DA" w:rsidRPr="00C12E47">
        <w:rPr>
          <w:sz w:val="24"/>
          <w:szCs w:val="24"/>
        </w:rPr>
        <w:t>cost-effective for lower-risk women</w:t>
      </w:r>
      <w:r w:rsidR="00990CCB" w:rsidRPr="00C12E47">
        <w:rPr>
          <w:sz w:val="24"/>
          <w:szCs w:val="24"/>
        </w:rPr>
        <w:t xml:space="preserve"> is unknown</w:t>
      </w:r>
      <w:r w:rsidR="00D243DA" w:rsidRPr="00C12E47">
        <w:rPr>
          <w:sz w:val="24"/>
          <w:szCs w:val="24"/>
        </w:rPr>
        <w:t>.</w:t>
      </w:r>
      <w:r w:rsidR="00A43851">
        <w:rPr>
          <w:sz w:val="24"/>
          <w:szCs w:val="24"/>
        </w:rPr>
        <w:t xml:space="preserve"> </w:t>
      </w:r>
      <w:r w:rsidR="002A1B9A">
        <w:rPr>
          <w:sz w:val="24"/>
          <w:szCs w:val="24"/>
        </w:rPr>
        <w:t>There is a need to know</w:t>
      </w:r>
      <w:r w:rsidR="007B3707" w:rsidRPr="00C12E47">
        <w:rPr>
          <w:sz w:val="24"/>
          <w:szCs w:val="24"/>
        </w:rPr>
        <w:t xml:space="preserve"> the </w:t>
      </w:r>
      <w:r w:rsidR="006C2A60">
        <w:rPr>
          <w:sz w:val="24"/>
          <w:szCs w:val="24"/>
        </w:rPr>
        <w:t xml:space="preserve">cost </w:t>
      </w:r>
      <w:r w:rsidR="00990CCB" w:rsidRPr="00C12E47">
        <w:rPr>
          <w:sz w:val="24"/>
          <w:szCs w:val="24"/>
        </w:rPr>
        <w:t>of</w:t>
      </w:r>
      <w:r w:rsidR="00627A2E">
        <w:rPr>
          <w:sz w:val="24"/>
          <w:szCs w:val="24"/>
        </w:rPr>
        <w:t xml:space="preserve"> </w:t>
      </w:r>
      <w:r w:rsidR="00C12E47">
        <w:rPr>
          <w:sz w:val="24"/>
          <w:szCs w:val="24"/>
        </w:rPr>
        <w:t>HV-delivered</w:t>
      </w:r>
      <w:r w:rsidR="00990CCB" w:rsidRPr="00C12E47">
        <w:rPr>
          <w:sz w:val="24"/>
          <w:szCs w:val="24"/>
        </w:rPr>
        <w:t xml:space="preserve"> </w:t>
      </w:r>
      <w:r w:rsidR="007B3707" w:rsidRPr="00C12E47">
        <w:rPr>
          <w:sz w:val="24"/>
          <w:szCs w:val="24"/>
        </w:rPr>
        <w:t>universal provision</w:t>
      </w:r>
      <w:r w:rsidR="00E01915">
        <w:rPr>
          <w:sz w:val="24"/>
          <w:szCs w:val="24"/>
        </w:rPr>
        <w:t xml:space="preserve">, and how much </w:t>
      </w:r>
      <w:r w:rsidR="00BD045B">
        <w:rPr>
          <w:sz w:val="24"/>
          <w:szCs w:val="24"/>
        </w:rPr>
        <w:t xml:space="preserve">it </w:t>
      </w:r>
      <w:r w:rsidR="00E01915">
        <w:rPr>
          <w:sz w:val="24"/>
          <w:szCs w:val="24"/>
        </w:rPr>
        <w:t xml:space="preserve">might cost </w:t>
      </w:r>
      <w:r w:rsidR="00C12E47">
        <w:rPr>
          <w:sz w:val="24"/>
          <w:szCs w:val="24"/>
        </w:rPr>
        <w:t xml:space="preserve">to </w:t>
      </w:r>
      <w:r w:rsidR="00BD045B">
        <w:rPr>
          <w:sz w:val="24"/>
          <w:szCs w:val="24"/>
        </w:rPr>
        <w:t>improve</w:t>
      </w:r>
      <w:r w:rsidR="00E01915">
        <w:rPr>
          <w:sz w:val="24"/>
          <w:szCs w:val="24"/>
        </w:rPr>
        <w:t xml:space="preserve"> </w:t>
      </w:r>
      <w:r w:rsidR="007B3707" w:rsidRPr="00C12E47">
        <w:rPr>
          <w:sz w:val="24"/>
          <w:szCs w:val="24"/>
        </w:rPr>
        <w:t>health-related quality of life</w:t>
      </w:r>
      <w:r w:rsidR="00EA0926" w:rsidRPr="00C12E47">
        <w:rPr>
          <w:sz w:val="24"/>
          <w:szCs w:val="24"/>
        </w:rPr>
        <w:t xml:space="preserve"> for postnatal women</w:t>
      </w:r>
      <w:r w:rsidRPr="00C12E47">
        <w:rPr>
          <w:sz w:val="24"/>
          <w:szCs w:val="24"/>
        </w:rPr>
        <w:t>.</w:t>
      </w:r>
      <w:r w:rsidR="00CB2E89" w:rsidRPr="00C12E47">
        <w:rPr>
          <w:sz w:val="24"/>
          <w:szCs w:val="24"/>
        </w:rPr>
        <w:t xml:space="preserve"> </w:t>
      </w:r>
      <w:r w:rsidR="00811449" w:rsidRPr="00C12E47">
        <w:rPr>
          <w:sz w:val="24"/>
          <w:szCs w:val="24"/>
        </w:rPr>
        <w:t xml:space="preserve">A sub-study of a cluster-randomised controlled trial in </w:t>
      </w:r>
      <w:r w:rsidR="00887E6D" w:rsidRPr="00C12E47">
        <w:rPr>
          <w:sz w:val="24"/>
          <w:szCs w:val="24"/>
        </w:rPr>
        <w:t xml:space="preserve">the former Trent </w:t>
      </w:r>
      <w:r w:rsidR="00811449" w:rsidRPr="00C12E47">
        <w:rPr>
          <w:sz w:val="24"/>
          <w:szCs w:val="24"/>
        </w:rPr>
        <w:t xml:space="preserve">region </w:t>
      </w:r>
      <w:r w:rsidR="00BD045B">
        <w:rPr>
          <w:sz w:val="24"/>
          <w:szCs w:val="24"/>
        </w:rPr>
        <w:t>(</w:t>
      </w:r>
      <w:r w:rsidR="00887E6D" w:rsidRPr="00C12E47">
        <w:rPr>
          <w:sz w:val="24"/>
          <w:szCs w:val="24"/>
        </w:rPr>
        <w:t>England</w:t>
      </w:r>
      <w:r w:rsidR="00BD045B">
        <w:rPr>
          <w:sz w:val="24"/>
          <w:szCs w:val="24"/>
        </w:rPr>
        <w:t>)</w:t>
      </w:r>
      <w:r w:rsidR="00887E6D" w:rsidRPr="00C12E47">
        <w:rPr>
          <w:sz w:val="24"/>
          <w:szCs w:val="24"/>
        </w:rPr>
        <w:t xml:space="preserve"> </w:t>
      </w:r>
      <w:r w:rsidR="00BD045B">
        <w:rPr>
          <w:sz w:val="24"/>
          <w:szCs w:val="24"/>
        </w:rPr>
        <w:t xml:space="preserve">previously </w:t>
      </w:r>
      <w:r w:rsidR="00811449" w:rsidRPr="00C12E47">
        <w:rPr>
          <w:sz w:val="24"/>
          <w:szCs w:val="24"/>
        </w:rPr>
        <w:t xml:space="preserve">investigated </w:t>
      </w:r>
      <w:r w:rsidRPr="00C12E47">
        <w:rPr>
          <w:sz w:val="24"/>
          <w:szCs w:val="24"/>
        </w:rPr>
        <w:t xml:space="preserve">effectiveness of </w:t>
      </w:r>
      <w:r w:rsidR="00BC74D5" w:rsidRPr="00C12E47">
        <w:rPr>
          <w:sz w:val="24"/>
          <w:szCs w:val="24"/>
        </w:rPr>
        <w:t xml:space="preserve">PoNDER </w:t>
      </w:r>
      <w:r w:rsidRPr="00C12E47">
        <w:rPr>
          <w:sz w:val="24"/>
          <w:szCs w:val="24"/>
        </w:rPr>
        <w:t xml:space="preserve">HV training in mothers </w:t>
      </w:r>
      <w:r w:rsidR="00D32ABF" w:rsidRPr="00C12E47">
        <w:rPr>
          <w:sz w:val="24"/>
          <w:szCs w:val="24"/>
        </w:rPr>
        <w:t xml:space="preserve">at lower risk </w:t>
      </w:r>
      <w:r w:rsidRPr="00C12E47">
        <w:rPr>
          <w:sz w:val="24"/>
          <w:szCs w:val="24"/>
        </w:rPr>
        <w:t>of PND.</w:t>
      </w:r>
      <w:r w:rsidR="00811449" w:rsidRPr="00C12E47">
        <w:rPr>
          <w:sz w:val="24"/>
          <w:szCs w:val="24"/>
        </w:rPr>
        <w:t xml:space="preserve"> </w:t>
      </w:r>
      <w:r w:rsidR="008A5D96" w:rsidRPr="00C12E47">
        <w:rPr>
          <w:sz w:val="24"/>
          <w:szCs w:val="24"/>
        </w:rPr>
        <w:t>We conducted a parallel</w:t>
      </w:r>
      <w:r w:rsidR="00887E6D" w:rsidRPr="00C12E47">
        <w:rPr>
          <w:sz w:val="24"/>
          <w:szCs w:val="24"/>
        </w:rPr>
        <w:t xml:space="preserve"> </w:t>
      </w:r>
      <w:r w:rsidR="008A5D96" w:rsidRPr="00C12E47">
        <w:rPr>
          <w:sz w:val="24"/>
          <w:szCs w:val="24"/>
        </w:rPr>
        <w:t xml:space="preserve">cost-effectiveness analysis at 6-months postnatal for all mothers with lower-risk status attributed to an Edinburgh Postnatal Depression Scale (EPDS) score </w:t>
      </w:r>
      <w:r w:rsidR="00BD045B">
        <w:rPr>
          <w:sz w:val="24"/>
          <w:szCs w:val="24"/>
        </w:rPr>
        <w:t>&lt;</w:t>
      </w:r>
      <w:r w:rsidR="008A5D96" w:rsidRPr="00C12E47">
        <w:rPr>
          <w:sz w:val="24"/>
          <w:szCs w:val="24"/>
        </w:rPr>
        <w:t>12 at 6</w:t>
      </w:r>
      <w:r w:rsidR="00BD045B">
        <w:rPr>
          <w:sz w:val="24"/>
          <w:szCs w:val="24"/>
        </w:rPr>
        <w:t>-</w:t>
      </w:r>
      <w:r w:rsidR="008A5D96" w:rsidRPr="00C12E47">
        <w:rPr>
          <w:sz w:val="24"/>
          <w:szCs w:val="24"/>
        </w:rPr>
        <w:t>weeks postnatal.</w:t>
      </w:r>
    </w:p>
    <w:p w14:paraId="22273F11" w14:textId="636B541A" w:rsidR="00FE1663" w:rsidRDefault="00FE1663" w:rsidP="00FE1663">
      <w:pPr>
        <w:spacing w:after="120"/>
        <w:rPr>
          <w:b/>
          <w:szCs w:val="24"/>
        </w:rPr>
      </w:pPr>
      <w:r w:rsidRPr="00E51082">
        <w:rPr>
          <w:b/>
          <w:szCs w:val="24"/>
        </w:rPr>
        <w:t>Method</w:t>
      </w:r>
      <w:r w:rsidR="004E47CA">
        <w:rPr>
          <w:b/>
          <w:szCs w:val="24"/>
        </w:rPr>
        <w:t>s</w:t>
      </w:r>
    </w:p>
    <w:p w14:paraId="56AB2DBD" w14:textId="71CB4689" w:rsidR="00FE1663" w:rsidRPr="00E51082" w:rsidRDefault="00416774" w:rsidP="002B4FDB">
      <w:pPr>
        <w:spacing w:after="120"/>
        <w:rPr>
          <w:szCs w:val="24"/>
        </w:rPr>
      </w:pPr>
      <w:r>
        <w:t xml:space="preserve">Intervention </w:t>
      </w:r>
      <w:r>
        <w:rPr>
          <w:szCs w:val="24"/>
        </w:rPr>
        <w:t xml:space="preserve">HVs were trained in assessment and </w:t>
      </w:r>
      <w:r w:rsidR="00775E83">
        <w:rPr>
          <w:szCs w:val="24"/>
        </w:rPr>
        <w:t>cognitive behavioural or person-centred</w:t>
      </w:r>
      <w:r>
        <w:rPr>
          <w:szCs w:val="24"/>
        </w:rPr>
        <w:t xml:space="preserve"> </w:t>
      </w:r>
      <w:r w:rsidR="00775E83">
        <w:rPr>
          <w:szCs w:val="24"/>
        </w:rPr>
        <w:t xml:space="preserve">psychological support techniques to </w:t>
      </w:r>
      <w:r w:rsidR="00775E83">
        <w:t>prevent</w:t>
      </w:r>
      <w:r>
        <w:t xml:space="preserve"> depression.</w:t>
      </w:r>
      <w:r w:rsidR="00775E83">
        <w:t xml:space="preserve"> </w:t>
      </w:r>
      <w:r w:rsidR="008A5D96">
        <w:rPr>
          <w:szCs w:val="24"/>
        </w:rPr>
        <w:t xml:space="preserve">Outcomes examined: </w:t>
      </w:r>
      <w:r w:rsidR="00C07444" w:rsidRPr="00C07444">
        <w:rPr>
          <w:szCs w:val="24"/>
        </w:rPr>
        <w:t>QALY gains over the period between 6 weeks and 6 months</w:t>
      </w:r>
      <w:r w:rsidR="008A5D96">
        <w:rPr>
          <w:szCs w:val="24"/>
        </w:rPr>
        <w:t xml:space="preserve"> derived from SF-6D</w:t>
      </w:r>
      <w:r w:rsidR="00C07444">
        <w:rPr>
          <w:szCs w:val="24"/>
        </w:rPr>
        <w:t xml:space="preserve"> (from </w:t>
      </w:r>
      <w:r w:rsidR="00C07444" w:rsidRPr="00C07444">
        <w:rPr>
          <w:szCs w:val="24"/>
        </w:rPr>
        <w:t>SF-36</w:t>
      </w:r>
      <w:r w:rsidR="00C07444">
        <w:rPr>
          <w:szCs w:val="24"/>
        </w:rPr>
        <w:t>)</w:t>
      </w:r>
      <w:r w:rsidR="008A5D96">
        <w:rPr>
          <w:szCs w:val="24"/>
        </w:rPr>
        <w:t xml:space="preserve">; </w:t>
      </w:r>
      <w:r w:rsidR="00C07444" w:rsidRPr="00C07444">
        <w:rPr>
          <w:szCs w:val="24"/>
        </w:rPr>
        <w:t>risk-of-depression</w:t>
      </w:r>
      <w:r w:rsidR="00C07444">
        <w:rPr>
          <w:szCs w:val="24"/>
        </w:rPr>
        <w:t xml:space="preserve"> </w:t>
      </w:r>
      <w:r w:rsidR="00C07444" w:rsidRPr="00CB2C98">
        <w:t xml:space="preserve">at </w:t>
      </w:r>
      <w:r w:rsidR="00C07444">
        <w:t>6 months (</w:t>
      </w:r>
      <w:r w:rsidR="00C07444" w:rsidRPr="00CB2C98">
        <w:t xml:space="preserve">dichotomising 6-month EPDS scores </w:t>
      </w:r>
      <w:r w:rsidR="00B402ED">
        <w:t xml:space="preserve">into </w:t>
      </w:r>
      <w:r w:rsidR="00C07444" w:rsidRPr="00CB2C98">
        <w:t>lower risk (</w:t>
      </w:r>
      <w:r w:rsidR="00C07444">
        <w:t>&lt;</w:t>
      </w:r>
      <w:r w:rsidR="00C07444" w:rsidRPr="00CB2C98">
        <w:t>12) and at-risk (</w:t>
      </w:r>
      <m:oMath>
        <m:r>
          <w:rPr>
            <w:rFonts w:ascii="Cambria Math" w:hAnsi="Cambria Math"/>
          </w:rPr>
          <m:t>≥</m:t>
        </m:r>
      </m:oMath>
      <w:r w:rsidR="00C07444" w:rsidRPr="00CB2C98">
        <w:t>12).</w:t>
      </w:r>
      <w:r w:rsidR="00B402ED">
        <w:t xml:space="preserve"> </w:t>
      </w:r>
    </w:p>
    <w:p w14:paraId="00069F34" w14:textId="2604FF88" w:rsidR="00FE1663" w:rsidRPr="00E51082" w:rsidRDefault="00D64C89" w:rsidP="00FE1663">
      <w:pPr>
        <w:spacing w:after="120"/>
        <w:rPr>
          <w:b/>
          <w:szCs w:val="24"/>
        </w:rPr>
      </w:pPr>
      <w:r w:rsidRPr="00E51082">
        <w:rPr>
          <w:b/>
          <w:szCs w:val="24"/>
        </w:rPr>
        <w:t>Results</w:t>
      </w:r>
    </w:p>
    <w:p w14:paraId="191644D1" w14:textId="70C7FC78" w:rsidR="00FE1663" w:rsidRPr="00C62F5E" w:rsidRDefault="00FE1663" w:rsidP="00FE1663">
      <w:pPr>
        <w:pStyle w:val="BodyText2"/>
        <w:spacing w:after="120"/>
        <w:jc w:val="left"/>
        <w:rPr>
          <w:color w:val="FF0000"/>
          <w:sz w:val="24"/>
          <w:szCs w:val="24"/>
        </w:rPr>
      </w:pPr>
      <w:r w:rsidRPr="00E51082">
        <w:rPr>
          <w:sz w:val="24"/>
          <w:szCs w:val="24"/>
        </w:rPr>
        <w:t xml:space="preserve">In </w:t>
      </w:r>
      <w:r w:rsidR="00D32ABF" w:rsidRPr="00E51082">
        <w:rPr>
          <w:sz w:val="24"/>
          <w:szCs w:val="24"/>
        </w:rPr>
        <w:t>lower</w:t>
      </w:r>
      <w:r w:rsidR="00C12743" w:rsidRPr="00E51082">
        <w:rPr>
          <w:sz w:val="24"/>
          <w:szCs w:val="24"/>
        </w:rPr>
        <w:t>-</w:t>
      </w:r>
      <w:r w:rsidR="00D32ABF" w:rsidRPr="00E51082">
        <w:rPr>
          <w:sz w:val="24"/>
          <w:szCs w:val="24"/>
        </w:rPr>
        <w:t>risk women</w:t>
      </w:r>
      <w:r w:rsidRPr="00E51082">
        <w:rPr>
          <w:sz w:val="24"/>
          <w:szCs w:val="24"/>
        </w:rPr>
        <w:t xml:space="preserve">, 1474 intervention </w:t>
      </w:r>
      <w:r w:rsidR="007B497A" w:rsidRPr="00E51082">
        <w:rPr>
          <w:sz w:val="24"/>
          <w:szCs w:val="24"/>
        </w:rPr>
        <w:t xml:space="preserve">(63 clusters) </w:t>
      </w:r>
      <w:r w:rsidRPr="00E51082">
        <w:rPr>
          <w:sz w:val="24"/>
          <w:szCs w:val="24"/>
        </w:rPr>
        <w:t xml:space="preserve">and 767 control participants </w:t>
      </w:r>
      <w:r w:rsidR="007B497A" w:rsidRPr="00E51082">
        <w:rPr>
          <w:sz w:val="24"/>
          <w:szCs w:val="24"/>
        </w:rPr>
        <w:t xml:space="preserve">(37 clusters) </w:t>
      </w:r>
      <w:r w:rsidRPr="00E51082">
        <w:rPr>
          <w:sz w:val="24"/>
          <w:szCs w:val="24"/>
        </w:rPr>
        <w:t xml:space="preserve">had valid </w:t>
      </w:r>
      <w:r w:rsidR="00823DF2" w:rsidRPr="00E51082">
        <w:rPr>
          <w:sz w:val="24"/>
          <w:szCs w:val="24"/>
        </w:rPr>
        <w:t>6</w:t>
      </w:r>
      <w:r w:rsidRPr="00E51082">
        <w:rPr>
          <w:sz w:val="24"/>
          <w:szCs w:val="24"/>
        </w:rPr>
        <w:t xml:space="preserve">-week and </w:t>
      </w:r>
      <w:r w:rsidR="00823DF2" w:rsidRPr="00E51082">
        <w:rPr>
          <w:sz w:val="24"/>
          <w:szCs w:val="24"/>
        </w:rPr>
        <w:t>6</w:t>
      </w:r>
      <w:r w:rsidRPr="00E51082">
        <w:rPr>
          <w:sz w:val="24"/>
          <w:szCs w:val="24"/>
        </w:rPr>
        <w:t xml:space="preserve">-month EPDS scores. </w:t>
      </w:r>
      <w:r w:rsidR="00E1779A" w:rsidRPr="00CC21FE">
        <w:rPr>
          <w:color w:val="000000" w:themeColor="text1"/>
          <w:sz w:val="24"/>
          <w:szCs w:val="24"/>
        </w:rPr>
        <w:t>Costs and outcomes data were available for 1459 participants. 6-month adjusted costs were £82 lower in intervention than control group</w:t>
      </w:r>
      <w:r w:rsidR="00BD045B">
        <w:rPr>
          <w:color w:val="000000" w:themeColor="text1"/>
          <w:sz w:val="24"/>
          <w:szCs w:val="24"/>
        </w:rPr>
        <w:t>s</w:t>
      </w:r>
      <w:r w:rsidR="00E1779A" w:rsidRPr="00CC21FE">
        <w:rPr>
          <w:color w:val="000000" w:themeColor="text1"/>
          <w:sz w:val="24"/>
          <w:szCs w:val="24"/>
        </w:rPr>
        <w:t xml:space="preserve">, with 0.002 additional </w:t>
      </w:r>
      <w:r w:rsidR="00BD045B">
        <w:rPr>
          <w:color w:val="000000" w:themeColor="text1"/>
          <w:sz w:val="24"/>
          <w:szCs w:val="24"/>
        </w:rPr>
        <w:t>QALY</w:t>
      </w:r>
      <w:r w:rsidR="00E1779A" w:rsidRPr="00CC21FE">
        <w:rPr>
          <w:color w:val="000000" w:themeColor="text1"/>
          <w:sz w:val="24"/>
          <w:szCs w:val="24"/>
        </w:rPr>
        <w:t xml:space="preserve"> gained. </w:t>
      </w:r>
      <w:r w:rsidR="00BD045B">
        <w:rPr>
          <w:color w:val="000000" w:themeColor="text1"/>
          <w:sz w:val="24"/>
          <w:szCs w:val="24"/>
        </w:rPr>
        <w:t>P</w:t>
      </w:r>
      <w:r w:rsidR="00E1779A" w:rsidRPr="00CC21FE">
        <w:rPr>
          <w:color w:val="000000" w:themeColor="text1"/>
          <w:sz w:val="24"/>
          <w:szCs w:val="24"/>
        </w:rPr>
        <w:t xml:space="preserve">robability of cost-effectiveness at £20,000 was very high (99%). </w:t>
      </w:r>
    </w:p>
    <w:p w14:paraId="065ABEE0" w14:textId="2EFC4901" w:rsidR="00FE1663" w:rsidRPr="00E51082" w:rsidRDefault="00D64C89" w:rsidP="00FE1663">
      <w:pPr>
        <w:spacing w:after="120"/>
        <w:rPr>
          <w:b/>
          <w:szCs w:val="24"/>
        </w:rPr>
      </w:pPr>
      <w:r w:rsidRPr="00E51082">
        <w:rPr>
          <w:b/>
          <w:szCs w:val="24"/>
        </w:rPr>
        <w:t>Conclusions</w:t>
      </w:r>
    </w:p>
    <w:p w14:paraId="109FB1F0" w14:textId="1E5DDDEC" w:rsidR="00CC21FE" w:rsidRDefault="00BC74D5" w:rsidP="00FE1663">
      <w:pPr>
        <w:spacing w:after="120"/>
        <w:rPr>
          <w:szCs w:val="24"/>
        </w:rPr>
      </w:pPr>
      <w:r w:rsidRPr="00E51082">
        <w:rPr>
          <w:szCs w:val="24"/>
        </w:rPr>
        <w:t>PoNDER HV</w:t>
      </w:r>
      <w:r w:rsidR="0001457D" w:rsidRPr="00E51082">
        <w:rPr>
          <w:szCs w:val="24"/>
        </w:rPr>
        <w:t xml:space="preserve"> </w:t>
      </w:r>
      <w:r w:rsidR="00FE1663" w:rsidRPr="00E51082">
        <w:rPr>
          <w:szCs w:val="24"/>
        </w:rPr>
        <w:t>training was</w:t>
      </w:r>
      <w:r w:rsidR="00342478" w:rsidRPr="00E51082">
        <w:rPr>
          <w:szCs w:val="24"/>
        </w:rPr>
        <w:t xml:space="preserve"> </w:t>
      </w:r>
      <w:r w:rsidR="00FE1663" w:rsidRPr="00E51082">
        <w:rPr>
          <w:szCs w:val="24"/>
        </w:rPr>
        <w:t xml:space="preserve">highly cost-effective in </w:t>
      </w:r>
      <w:r w:rsidR="00992C7E" w:rsidRPr="00E51082">
        <w:rPr>
          <w:szCs w:val="24"/>
        </w:rPr>
        <w:t xml:space="preserve">preventing symptoms of postnatal depression in </w:t>
      </w:r>
      <w:r w:rsidR="00FE1663" w:rsidRPr="00E51082">
        <w:rPr>
          <w:szCs w:val="24"/>
        </w:rPr>
        <w:t xml:space="preserve">a population of </w:t>
      </w:r>
      <w:r w:rsidR="00992C7E" w:rsidRPr="00E51082">
        <w:rPr>
          <w:szCs w:val="24"/>
        </w:rPr>
        <w:t>lower</w:t>
      </w:r>
      <w:r w:rsidR="00C11FE8" w:rsidRPr="00E51082">
        <w:rPr>
          <w:szCs w:val="24"/>
        </w:rPr>
        <w:t>-</w:t>
      </w:r>
      <w:r w:rsidR="00992C7E" w:rsidRPr="00E51082">
        <w:rPr>
          <w:szCs w:val="24"/>
        </w:rPr>
        <w:t>risk women</w:t>
      </w:r>
      <w:r w:rsidR="00342478" w:rsidRPr="00E51082">
        <w:rPr>
          <w:szCs w:val="24"/>
        </w:rPr>
        <w:t xml:space="preserve"> and</w:t>
      </w:r>
      <w:r w:rsidR="005E2273" w:rsidRPr="00E51082">
        <w:rPr>
          <w:szCs w:val="24"/>
        </w:rPr>
        <w:t xml:space="preserve"> cost-reducing over </w:t>
      </w:r>
      <w:r w:rsidR="00823DF2" w:rsidRPr="00E51082">
        <w:rPr>
          <w:szCs w:val="24"/>
        </w:rPr>
        <w:t>6</w:t>
      </w:r>
      <w:r w:rsidRPr="00E51082">
        <w:rPr>
          <w:szCs w:val="24"/>
        </w:rPr>
        <w:t xml:space="preserve"> </w:t>
      </w:r>
      <w:r w:rsidR="005E2273" w:rsidRPr="00E51082">
        <w:rPr>
          <w:szCs w:val="24"/>
        </w:rPr>
        <w:t>months</w:t>
      </w:r>
      <w:r w:rsidR="00FE1663" w:rsidRPr="00E51082">
        <w:rPr>
          <w:szCs w:val="24"/>
        </w:rPr>
        <w:t xml:space="preserve">. </w:t>
      </w:r>
    </w:p>
    <w:p w14:paraId="597A005B" w14:textId="5A2CEB42" w:rsidR="00CC21FE" w:rsidRPr="008D6C26" w:rsidRDefault="00CC21FE" w:rsidP="002B4FDB">
      <w:pPr>
        <w:spacing w:line="240" w:lineRule="auto"/>
        <w:rPr>
          <w:szCs w:val="24"/>
          <w:lang w:eastAsia="en-US"/>
        </w:rPr>
      </w:pPr>
      <w:r w:rsidRPr="002B4FDB">
        <w:rPr>
          <w:szCs w:val="24"/>
        </w:rPr>
        <w:t xml:space="preserve">Clinical trial registration number: </w:t>
      </w:r>
      <w:r w:rsidRPr="008D6C26">
        <w:rPr>
          <w:szCs w:val="24"/>
          <w:lang w:eastAsia="en-US"/>
        </w:rPr>
        <w:t>ISRCTN92195776</w:t>
      </w:r>
    </w:p>
    <w:p w14:paraId="361DB5F2" w14:textId="12176CCC" w:rsidR="00CC21FE" w:rsidRDefault="008D6C26" w:rsidP="002B4FDB">
      <w:pPr>
        <w:spacing w:line="240" w:lineRule="auto"/>
        <w:rPr>
          <w:szCs w:val="24"/>
          <w:lang w:eastAsia="en-US"/>
        </w:rPr>
      </w:pPr>
      <w:r>
        <w:rPr>
          <w:szCs w:val="24"/>
          <w:lang w:eastAsia="en-US"/>
        </w:rPr>
        <w:t xml:space="preserve">Funder: </w:t>
      </w:r>
      <w:r w:rsidR="00CC21FE" w:rsidRPr="00CC21FE">
        <w:rPr>
          <w:szCs w:val="24"/>
          <w:lang w:eastAsia="en-US"/>
        </w:rPr>
        <w:t>N</w:t>
      </w:r>
      <w:r w:rsidR="00F06C92">
        <w:rPr>
          <w:szCs w:val="24"/>
          <w:lang w:eastAsia="en-US"/>
        </w:rPr>
        <w:t>IHR</w:t>
      </w:r>
      <w:r w:rsidR="00CC21FE" w:rsidRPr="00CC21FE">
        <w:rPr>
          <w:szCs w:val="24"/>
          <w:lang w:eastAsia="en-US"/>
        </w:rPr>
        <w:t xml:space="preserve"> Health Technology Assessment, England</w:t>
      </w:r>
      <w:r>
        <w:rPr>
          <w:szCs w:val="24"/>
          <w:lang w:eastAsia="en-US"/>
        </w:rPr>
        <w:t xml:space="preserve"> funded the </w:t>
      </w:r>
      <w:r w:rsidRPr="00CC21FE">
        <w:rPr>
          <w:szCs w:val="24"/>
          <w:lang w:eastAsia="en-US"/>
        </w:rPr>
        <w:t>PoNDER trial</w:t>
      </w:r>
      <w:r>
        <w:rPr>
          <w:szCs w:val="24"/>
          <w:lang w:eastAsia="en-US"/>
        </w:rPr>
        <w:t xml:space="preserve">; the economic analysis was funded through an </w:t>
      </w:r>
      <w:r w:rsidR="00CC21FE" w:rsidRPr="00CC21FE">
        <w:rPr>
          <w:szCs w:val="24"/>
          <w:lang w:eastAsia="en-US"/>
        </w:rPr>
        <w:t>NIHR Senior Investigator award.</w:t>
      </w:r>
    </w:p>
    <w:p w14:paraId="09D3FD77" w14:textId="77777777" w:rsidR="00416774" w:rsidRDefault="00416774" w:rsidP="002B4FDB">
      <w:pPr>
        <w:spacing w:line="240" w:lineRule="auto"/>
        <w:rPr>
          <w:szCs w:val="24"/>
          <w:lang w:eastAsia="en-US"/>
        </w:rPr>
      </w:pPr>
    </w:p>
    <w:p w14:paraId="24AF759B" w14:textId="448838E2" w:rsidR="00416774" w:rsidRPr="00E51082" w:rsidRDefault="00416774" w:rsidP="002B4FDB">
      <w:pPr>
        <w:spacing w:line="240" w:lineRule="auto"/>
        <w:rPr>
          <w:szCs w:val="24"/>
        </w:rPr>
      </w:pPr>
      <w:r>
        <w:rPr>
          <w:szCs w:val="24"/>
          <w:lang w:eastAsia="en-US"/>
        </w:rPr>
        <w:t xml:space="preserve">Keywords: </w:t>
      </w:r>
      <w:r w:rsidRPr="001A79FD">
        <w:t>prevention, perinatal, depression, health visitor, cost-effectiveness</w:t>
      </w:r>
    </w:p>
    <w:p w14:paraId="48DD50F0" w14:textId="4BDE9C44" w:rsidR="00F62044" w:rsidRPr="00E51082" w:rsidRDefault="00F62044" w:rsidP="00FE1663">
      <w:pPr>
        <w:pStyle w:val="BodyText2"/>
        <w:spacing w:after="120"/>
        <w:jc w:val="left"/>
        <w:rPr>
          <w:sz w:val="24"/>
          <w:szCs w:val="24"/>
        </w:rPr>
      </w:pPr>
    </w:p>
    <w:p w14:paraId="364EE7B6" w14:textId="505D6C79" w:rsidR="00FE1663" w:rsidRPr="000B5BB6" w:rsidRDefault="003F0C37" w:rsidP="000B5BB6">
      <w:pPr>
        <w:pStyle w:val="Heading1"/>
        <w:spacing w:after="240"/>
        <w:rPr>
          <w:rFonts w:cs="Times New Roman"/>
        </w:rPr>
      </w:pPr>
      <w:r w:rsidRPr="000B5BB6">
        <w:rPr>
          <w:rFonts w:cs="Times New Roman"/>
        </w:rPr>
        <w:lastRenderedPageBreak/>
        <w:t>Introduction</w:t>
      </w:r>
    </w:p>
    <w:p w14:paraId="0C1C0A10" w14:textId="7ECE6997" w:rsidR="00521767" w:rsidRDefault="002F4FEC" w:rsidP="003F0C37">
      <w:pPr>
        <w:pStyle w:val="BodyText2"/>
        <w:spacing w:after="120"/>
        <w:jc w:val="left"/>
        <w:rPr>
          <w:sz w:val="24"/>
          <w:szCs w:val="24"/>
        </w:rPr>
      </w:pPr>
      <w:r w:rsidRPr="00E51082">
        <w:rPr>
          <w:sz w:val="24"/>
          <w:szCs w:val="24"/>
        </w:rPr>
        <w:t>O</w:t>
      </w:r>
      <w:r w:rsidR="00646B7B" w:rsidRPr="00E51082">
        <w:rPr>
          <w:sz w:val="24"/>
          <w:szCs w:val="24"/>
        </w:rPr>
        <w:t xml:space="preserve">ne in five women may experience perinatal </w:t>
      </w:r>
      <w:r w:rsidR="00C12743" w:rsidRPr="00E51082">
        <w:rPr>
          <w:sz w:val="24"/>
          <w:szCs w:val="24"/>
        </w:rPr>
        <w:t>mental illness</w:t>
      </w:r>
      <w:r w:rsidR="002C3E96" w:rsidRPr="00E51082">
        <w:rPr>
          <w:sz w:val="24"/>
          <w:szCs w:val="24"/>
        </w:rPr>
        <w:t xml:space="preserve"> </w:t>
      </w:r>
      <w:r w:rsidR="00C143A6" w:rsidRPr="00E51082">
        <w:rPr>
          <w:sz w:val="24"/>
          <w:szCs w:val="24"/>
        </w:rPr>
        <w:fldChar w:fldCharType="begin" w:fldLock="1"/>
      </w:r>
      <w:r w:rsidR="00706093">
        <w:rPr>
          <w:sz w:val="24"/>
          <w:szCs w:val="24"/>
        </w:rPr>
        <w:instrText>ADDIN CSL_CITATION {"citationItems":[{"id":"ITEM-1","itemData":{"DOI":"10.1097/01.AOG.0000183597.31630.db","ISBN":"0029-7844, 0029-7844","ISSN":"0029-7844","PMID":"16260528","abstract":"OBJECTIVE: We systematically review evidence on the prevalence and incidence of perinatal depression and compare these rates with those of depression in women at non-childbearing times. DATA SOURCES: We searched MEDLINE, CINAHL, PsycINFO, and Sociofile for English-language articles published from 1980 through March 2004, conducted hand searches of bibliographies, and consulted with experts. METHODS OF STUDY SELECTION: We included cross-sectional, cohort, and case-control studies from developed countries that assessed women for depression during pregnancy or the first year postpartum with a structured clinical interview. TABULATION, INTEGRATION, AND RESULTS: Of the 109 articles reviewed, 28 met our inclusion criteria. For major and minor depression (major depression alone), the combined point prevalence estimates from meta-analyses ranged from 6.5% to 12.9% (1.0-5.6%) at different trimesters of pregnancy and months in the first postpartum year. The combined period prevalence shows that as many as 19.2% (7.1%) of women have a depressive episode (major depressive episode) during the first 3 months postpartum; most of these episodes have onset following delivery. All estimates have wide 95% confidence intervals, showing significant uncertainty in their true levels. No conclusions could be made regarding the relative incidence of depression among pregnant and postpartum women compared with women at non-childbearing times. CONCLUSION: To better delineate periods of peak prevalence and incidence for perinatal depression and identify high risk subpopulations, we need studies with larger and more representative samples.","author":[{"dropping-particle":"","family":"Gavin","given":"Norma I.","non-dropping-particle":"","parse-names":false,"suffix":""},{"dropping-particle":"","family":"Gaynes","given":"Bradley N.","non-dropping-particle":"","parse-names":false,"suffix":""},{"dropping-particle":"","family":"Lohr","given":"Kathleen N.","non-dropping-particle":"","parse-names":false,"suffix":""},{"dropping-particle":"","family":"Meltzer-Brody","given":"Samantha","non-dropping-particle":"","parse-names":false,"suffix":""},{"dropping-particle":"","family":"Gartlehner","given":"Gerald","non-dropping-particle":"","parse-names":false,"suffix":""},{"dropping-particle":"","family":"Swinson","given":"Tammeka","non-dropping-particle":"","parse-names":false,"suffix":""}],"container-title":"Obstetrics &amp; Gynecology","id":"ITEM-1","issue":"5, Part 1","issued":{"date-parts":[["2005","11"]]},"page":"1071-1083","title":"Perinatal Depression","type":"article-journal","volume":"106"},"uris":["http://www.mendeley.com/documents/?uuid=88fdc628-b1e3-3e5e-ac24-84bb796ef9b6"]}],"mendeley":{"formattedCitation":"(Gavin &lt;i&gt;et al.&lt;/i&gt; 2005)","plainTextFormattedCitation":"(Gavin et al. 2005)","previouslyFormattedCitation":"(Gavin &lt;i&gt;et al.&lt;/i&gt; 2005)"},"properties":{"noteIndex":0},"schema":"https://github.com/citation-style-language/schema/raw/master/csl-citation.json"}</w:instrText>
      </w:r>
      <w:r w:rsidR="00C143A6" w:rsidRPr="00E51082">
        <w:rPr>
          <w:sz w:val="24"/>
          <w:szCs w:val="24"/>
        </w:rPr>
        <w:fldChar w:fldCharType="separate"/>
      </w:r>
      <w:r w:rsidR="00EC15F5" w:rsidRPr="00E51082">
        <w:rPr>
          <w:noProof/>
          <w:sz w:val="24"/>
          <w:szCs w:val="24"/>
        </w:rPr>
        <w:t xml:space="preserve">(Gavin </w:t>
      </w:r>
      <w:r w:rsidR="00EC15F5" w:rsidRPr="00E51082">
        <w:rPr>
          <w:i/>
          <w:noProof/>
          <w:sz w:val="24"/>
          <w:szCs w:val="24"/>
        </w:rPr>
        <w:t>et al.</w:t>
      </w:r>
      <w:r w:rsidR="00EC15F5" w:rsidRPr="00E51082">
        <w:rPr>
          <w:noProof/>
          <w:sz w:val="24"/>
          <w:szCs w:val="24"/>
        </w:rPr>
        <w:t xml:space="preserve"> 2005)</w:t>
      </w:r>
      <w:r w:rsidR="00C143A6" w:rsidRPr="00E51082">
        <w:rPr>
          <w:sz w:val="24"/>
          <w:szCs w:val="24"/>
        </w:rPr>
        <w:fldChar w:fldCharType="end"/>
      </w:r>
      <w:r w:rsidR="00EC15F5" w:rsidRPr="00E51082">
        <w:rPr>
          <w:sz w:val="24"/>
          <w:szCs w:val="24"/>
        </w:rPr>
        <w:t>.</w:t>
      </w:r>
      <w:r w:rsidR="00920287" w:rsidRPr="00E51082">
        <w:rPr>
          <w:sz w:val="24"/>
          <w:szCs w:val="24"/>
        </w:rPr>
        <w:t xml:space="preserve"> </w:t>
      </w:r>
      <w:r w:rsidR="00D32EB8" w:rsidRPr="00E51082">
        <w:rPr>
          <w:sz w:val="24"/>
          <w:szCs w:val="24"/>
        </w:rPr>
        <w:t>Opportunities to diagnose the</w:t>
      </w:r>
      <w:r w:rsidR="00C12743" w:rsidRPr="00E51082">
        <w:rPr>
          <w:sz w:val="24"/>
          <w:szCs w:val="24"/>
        </w:rPr>
        <w:t>se</w:t>
      </w:r>
      <w:r w:rsidR="00D32EB8" w:rsidRPr="00E51082">
        <w:rPr>
          <w:sz w:val="24"/>
          <w:szCs w:val="24"/>
        </w:rPr>
        <w:t xml:space="preserve"> condition</w:t>
      </w:r>
      <w:r w:rsidR="00C12743" w:rsidRPr="00E51082">
        <w:rPr>
          <w:sz w:val="24"/>
          <w:szCs w:val="24"/>
        </w:rPr>
        <w:t>s</w:t>
      </w:r>
      <w:r w:rsidR="00D32EB8" w:rsidRPr="00E51082">
        <w:rPr>
          <w:sz w:val="24"/>
          <w:szCs w:val="24"/>
        </w:rPr>
        <w:t xml:space="preserve"> may be missed</w:t>
      </w:r>
      <w:r w:rsidR="00A22CFB" w:rsidRPr="00E51082">
        <w:rPr>
          <w:sz w:val="24"/>
          <w:szCs w:val="24"/>
        </w:rPr>
        <w:t xml:space="preserve"> </w:t>
      </w:r>
      <w:r w:rsidR="00D32EB8" w:rsidRPr="00E51082">
        <w:rPr>
          <w:sz w:val="24"/>
          <w:szCs w:val="24"/>
        </w:rPr>
        <w:t>by</w:t>
      </w:r>
      <w:r w:rsidR="00920287" w:rsidRPr="00E51082">
        <w:rPr>
          <w:sz w:val="24"/>
          <w:szCs w:val="24"/>
        </w:rPr>
        <w:t xml:space="preserve"> primary care physicians</w:t>
      </w:r>
      <w:r w:rsidR="00EC15F5" w:rsidRPr="00E51082">
        <w:rPr>
          <w:sz w:val="24"/>
          <w:szCs w:val="24"/>
        </w:rPr>
        <w:t xml:space="preserve"> </w:t>
      </w:r>
      <w:r w:rsidR="00D32EB8" w:rsidRPr="00E51082">
        <w:rPr>
          <w:sz w:val="24"/>
          <w:szCs w:val="24"/>
        </w:rPr>
        <w:fldChar w:fldCharType="begin" w:fldLock="1"/>
      </w:r>
      <w:r w:rsidR="00706093">
        <w:rPr>
          <w:sz w:val="24"/>
          <w:szCs w:val="24"/>
        </w:rPr>
        <w:instrText>ADDIN CSL_CITATION {"citationItems":[{"id":"ITEM-1","itemData":{"DOI":"10.1192/bjp.bp.114.158832","ISBN":"0007-1250","ISSN":"14721465","PMID":"26795424","abstract":"BACKGROUND: There are limited data on detection disparities of common mental disorders in minority ethnic women. AIMS: Describe the natural history of common mental disorders in primary care in the maternal period, characterise women with, and explore ethnic disparities in, detected and potentially missed common mental disorders. METHOD: Secondary analyses of linked birth cohort and primary care data involving 8991 (39.4% White British) women in Bradford. Common mental disorders were characterised through indications in the electronic medical record. Potentially missed common mental disorders were defined as an elevated General Health Questionnaire (GHQ-28) score during pregnancy with no corresponding common mental disorder markers in the medical record. RESULTS: Estimated prevalence of pre-birth common mental disorders was 9.5%, rising to 14.0% 3 years postnatally. Up to half of cases were potentially missed. Compared with White British women, minority ethnic women were twice as likely to have potentially missed common mental disorders and half as likely to have a marker of screening for common mental disorders. CONCLUSIONS: Common mental disorder detection disparities exist for minority ethnic women in the maternal period.","author":[{"dropping-particle":"","family":"Prady","given":"Stephanie L.","non-dropping-particle":"","parse-names":false,"suffix":""},{"dropping-particle":"","family":"Pickett","given":"Kate E.","non-dropping-particle":"","parse-names":false,"suffix":""},{"dropping-particle":"","family":"Petherick","given":"Emily S.","non-dropping-particle":"","parse-names":false,"suffix":""},{"dropping-particle":"","family":"Gilbody","given":"Simon","non-dropping-particle":"","parse-names":false,"suffix":""},{"dropping-particle":"","family":"Croudace","given":"Tim","non-dropping-particle":"","parse-names":false,"suffix":""},{"dropping-particle":"","family":"Mason","given":"Dan","non-dropping-particle":"","parse-names":false,"suffix":""},{"dropping-particle":"","family":"Sheldon","given":"Trevor A.","non-dropping-particle":"","parse-names":false,"suffix":""},{"dropping-particle":"","family":"Wright","given":"John","non-dropping-particle":"","parse-names":false,"suffix":""}],"container-title":"British Journal of Psychiatry","id":"ITEM-1","issue":"5","issued":{"date-parts":[["2016"]]},"page":"453-461","title":"Evaluation of ethnic disparities in detection of depression and anxiety in primary care during the maternal period: Combined analysis of routine and cohort data","type":"article-journal","volume":"208"},"uris":["http://www.mendeley.com/documents/?uuid=2fe16bad-ba52-48ce-9068-b4a056fb29d0"]},{"id":"ITEM-2","itemData":{"DOI":"10.1093/fampra/cmw101","ISBN":"0263-2136, 0263-2136","ISSN":"14602229","PMID":"27660558","abstract":"BACKGROUND Perinatal anxiety and depression are widespread, with up to 20% of women affected during pregnancy and after birth. In the UK, management of perinatal mental health falls under the remit of general practitioners (GPs). We reviewed the literature on GPs' routine recognition, diagnosis and management of anxiety and depression in the perinatal period. METHOD A systematic search of Embase, Medline, PsycInfo, Pubmed, Scopus and Web of Science was conducted. Studies were eligible if they reported quantitative measures of GPs' or Family Physicians' assessment, recognition and management of anxiety or depression in pregnancy or post-partum. RESULTS Thirteen papers, reporting 10 studies, were identified from the United States, Australia, UK, Netherlands and Canada. All reported on depression; two included anxiety disorders. Reported awareness and ability to diagnose perinatal depression among GPs was high. GPs knew about and used screening tools in the UK but less so in US settings. Antidepressants were the first line of treatment, with various SSRIs considered safest. Counseling by GPs and referrals to specialists were common in the post-natal period, less so in pregnancy. Treatment choices were determined by resources, attitudes, knowledge and training. CONCLUSIONS Data on GPs' awareness and management of perinatal depression were sparse and unlikely to be generalizable. Future directions for research are proposed; such as exploring the management of anxiety disorders which are largely missing from the literature, and understanding more about barriers to disclosure and recognition in primary care. More standardized training could help to improve recognition and management practices.","author":[{"dropping-particle":"","family":"Ford","given":"Elizabeth","non-dropping-particle":"","parse-names":false,"suffix":""},{"dropping-particle":"","family":"Shakespeare","given":"Judy","non-dropping-particle":"","parse-names":false,"suffix":""},{"dropping-particle":"","family":"Elias","given":"Fatin","non-dropping-particle":"","parse-names":false,"suffix":""},{"dropping-particle":"","family":"Ayers","given":"Susan","non-dropping-particle":"","parse-names":false,"suffix":""}],"container-title":"Family Practice","id":"ITEM-2","issue":"1","issued":{"date-parts":[["2017"]]},"page":"11-19","title":"Recognition and management of perinatal depression and anxiety by general practitioners: A systematic review","type":"article-journal","volume":"34"},"uris":["http://www.mendeley.com/documents/?uuid=828ed0b5-ab8d-46ff-8054-3f86931b6d6e"]}],"mendeley":{"formattedCitation":"(Prady &lt;i&gt;et al.&lt;/i&gt; 2016; Ford &lt;i&gt;et al.&lt;/i&gt; 2017)","plainTextFormattedCitation":"(Prady et al. 2016; Ford et al. 2017)","previouslyFormattedCitation":"(Prady &lt;i&gt;et al.&lt;/i&gt; 2016; Ford &lt;i&gt;et al.&lt;/i&gt; 2017)"},"properties":{"noteIndex":0},"schema":"https://github.com/citation-style-language/schema/raw/master/csl-citation.json"}</w:instrText>
      </w:r>
      <w:r w:rsidR="00D32EB8" w:rsidRPr="00E51082">
        <w:rPr>
          <w:sz w:val="24"/>
          <w:szCs w:val="24"/>
        </w:rPr>
        <w:fldChar w:fldCharType="separate"/>
      </w:r>
      <w:r w:rsidR="00203256" w:rsidRPr="00E51082">
        <w:rPr>
          <w:noProof/>
          <w:sz w:val="24"/>
          <w:szCs w:val="24"/>
        </w:rPr>
        <w:t xml:space="preserve">(Prady </w:t>
      </w:r>
      <w:r w:rsidR="00203256" w:rsidRPr="00E51082">
        <w:rPr>
          <w:i/>
          <w:noProof/>
          <w:sz w:val="24"/>
          <w:szCs w:val="24"/>
        </w:rPr>
        <w:t>et al.</w:t>
      </w:r>
      <w:r w:rsidR="00203256" w:rsidRPr="00E51082">
        <w:rPr>
          <w:noProof/>
          <w:sz w:val="24"/>
          <w:szCs w:val="24"/>
        </w:rPr>
        <w:t xml:space="preserve"> 2016; Ford </w:t>
      </w:r>
      <w:r w:rsidR="00203256" w:rsidRPr="00E51082">
        <w:rPr>
          <w:i/>
          <w:noProof/>
          <w:sz w:val="24"/>
          <w:szCs w:val="24"/>
        </w:rPr>
        <w:t>et al.</w:t>
      </w:r>
      <w:r w:rsidR="00203256" w:rsidRPr="00E51082">
        <w:rPr>
          <w:noProof/>
          <w:sz w:val="24"/>
          <w:szCs w:val="24"/>
        </w:rPr>
        <w:t xml:space="preserve"> 2017)</w:t>
      </w:r>
      <w:r w:rsidR="00D32EB8" w:rsidRPr="00E51082">
        <w:rPr>
          <w:sz w:val="24"/>
          <w:szCs w:val="24"/>
        </w:rPr>
        <w:fldChar w:fldCharType="end"/>
      </w:r>
      <w:r w:rsidR="00C12743" w:rsidRPr="00E51082">
        <w:rPr>
          <w:sz w:val="24"/>
          <w:szCs w:val="24"/>
        </w:rPr>
        <w:t xml:space="preserve"> and, in particular,</w:t>
      </w:r>
      <w:r w:rsidR="00D32EB8" w:rsidRPr="00E51082">
        <w:rPr>
          <w:sz w:val="24"/>
          <w:szCs w:val="24"/>
        </w:rPr>
        <w:t xml:space="preserve"> </w:t>
      </w:r>
      <w:r w:rsidR="00920287" w:rsidRPr="00E51082">
        <w:rPr>
          <w:sz w:val="24"/>
          <w:szCs w:val="24"/>
        </w:rPr>
        <w:t xml:space="preserve"> half of </w:t>
      </w:r>
      <w:r w:rsidR="00C12743" w:rsidRPr="00E51082">
        <w:rPr>
          <w:sz w:val="24"/>
          <w:szCs w:val="24"/>
        </w:rPr>
        <w:t xml:space="preserve">all </w:t>
      </w:r>
      <w:r w:rsidR="00920287" w:rsidRPr="00E51082">
        <w:rPr>
          <w:sz w:val="24"/>
          <w:szCs w:val="24"/>
        </w:rPr>
        <w:t xml:space="preserve">cases of </w:t>
      </w:r>
      <w:r w:rsidR="0020200F" w:rsidRPr="00E51082">
        <w:rPr>
          <w:sz w:val="24"/>
          <w:szCs w:val="24"/>
        </w:rPr>
        <w:t>perina</w:t>
      </w:r>
      <w:r w:rsidR="00920287" w:rsidRPr="00E51082">
        <w:rPr>
          <w:sz w:val="24"/>
          <w:szCs w:val="24"/>
        </w:rPr>
        <w:t xml:space="preserve">tal depression </w:t>
      </w:r>
      <w:r w:rsidR="00C11FE8" w:rsidRPr="00E51082">
        <w:rPr>
          <w:sz w:val="24"/>
          <w:szCs w:val="24"/>
        </w:rPr>
        <w:t xml:space="preserve">(prevalence of one in eight women) </w:t>
      </w:r>
      <w:r w:rsidR="00920287" w:rsidRPr="00E51082">
        <w:rPr>
          <w:sz w:val="24"/>
          <w:szCs w:val="24"/>
        </w:rPr>
        <w:t>go un</w:t>
      </w:r>
      <w:r w:rsidR="0020200F" w:rsidRPr="00E51082">
        <w:rPr>
          <w:sz w:val="24"/>
          <w:szCs w:val="24"/>
        </w:rPr>
        <w:t>detected</w:t>
      </w:r>
      <w:r w:rsidR="00EC15F5" w:rsidRPr="00E51082">
        <w:rPr>
          <w:sz w:val="24"/>
          <w:szCs w:val="24"/>
        </w:rPr>
        <w:t xml:space="preserve"> </w:t>
      </w:r>
      <w:r w:rsidR="00920287" w:rsidRPr="00E51082">
        <w:rPr>
          <w:sz w:val="24"/>
          <w:szCs w:val="24"/>
        </w:rPr>
        <w:fldChar w:fldCharType="begin" w:fldLock="1"/>
      </w:r>
      <w:r w:rsidR="00706093">
        <w:rPr>
          <w:sz w:val="24"/>
          <w:szCs w:val="24"/>
        </w:rPr>
        <w:instrText>ADDIN CSL_CITATION {"citationItems":[{"id":"ITEM-1","itemData":{"DOI":"10.1016/j.jad.2015.12.005","ISBN":"0165-0327","ISSN":"15732517","PMID":"26707352","abstract":"Background Anxiety and depression are common among women during pregnancy and the year after birth. The consequences, both for the women themselves and for their children, can be considerable and last for many years. This study focuses on the economic consequences, aiming to estimate the total costs and health-related quality of life losses over the lifetime of mothers and their children. Method A pathway or decision modelling approach was employed, based on data from previous studies. Systematic and pragmatic literature reviews were conducted to identify evidence of impacts of perinatal anxiety and depression on mothers and their children. Results The present value of total lifetime costs of perinatal depression (anxiety) was ??75,728 (??34,811) per woman with condition. If prevalence estimates were applied the respective cost of perinatal anxiety and depression combined was about ??8500 per woman giving birth; for the United Kingdom, the aggregated costs were ??6.6 billion. The majority of the costs related to adverse impacts on children and almost a fifth were borne by the public sector. Limitations The method was exploratory in nature, based on a diverse range of literature and encountered important data gaps. Conclusions Findings suggest the need to allocate more resources to support women with perinatal mental illness. More research is required to understand the type of interventions that can reduce long-term negative effects for both mothers and offspring.","author":[{"dropping-particle":"","family":"Bauer","given":"Annette","non-dropping-particle":"","parse-names":false,"suffix":""},{"dropping-particle":"","family":"Knapp","given":"Martin","non-dropping-particle":"","parse-names":false,"suffix":""},{"dropping-particle":"","family":"Parsonage","given":"Michael","non-dropping-particle":"","parse-names":false,"suffix":""}],"container-title":"Journal of Affective Disorders","id":"ITEM-1","issued":{"date-parts":[["2016","3","1"]]},"page":"83-90","title":"Lifetime costs of perinatal anxiety and depression","type":"article-journal","volume":"192"},"uris":["http://www.mendeley.com/documents/?uuid=6ecdc7ee-8cb6-4b2c-9f4e-f3a6751b5abc"]},{"id":"ITEM-2","itemData":{"DOI":"10.1002/9781118509722.ch1","ISBN":"1118509722","author":[{"dropping-particle":"","family":"Gavin","given":"Norma I","non-dropping-particle":"","parse-names":false,"suffix":""},{"dropping-particle":"","family":"Meltzer-Brody","given":"Samantha","non-dropping-particle":"","parse-names":false,"suffix":""},{"dropping-particle":"","family":"Glover","given":"Vivette","non-dropping-particle":"","parse-names":false,"suffix":""},{"dropping-particle":"","family":"Gaynes","given":"Bradley N","non-dropping-particle":"","parse-names":false,"suffix":""}],"container-title":"Identifying Perinatal Depression and Anxiety: Evidence-Based Practice in Screening, Psychosocial Assessment, and Management","id":"ITEM-2","issued":{"date-parts":[["2015","4","24"]]},"page":"11-31","publisher":"John Wiley &amp; Sons, Ltd","publisher-place":"Chichester, UK","title":"Is Population</w:instrText>
      </w:r>
      <w:r w:rsidR="00706093">
        <w:rPr>
          <w:rFonts w:ascii="Cambria Math" w:hAnsi="Cambria Math" w:cs="Cambria Math"/>
          <w:sz w:val="24"/>
          <w:szCs w:val="24"/>
        </w:rPr>
        <w:instrText>‐</w:instrText>
      </w:r>
      <w:r w:rsidR="00706093">
        <w:rPr>
          <w:sz w:val="24"/>
          <w:szCs w:val="24"/>
        </w:rPr>
        <w:instrText>Based Identification of Perinatal Depression and Anxiety Desirable?","type":"chapter"},"uris":["http://www.mendeley.com/documents/?uuid=5ebc8f27-a175-3274-9a42-aa2a129e387c"]}],"mendeley":{"formattedCitation":"(Gavin &lt;i&gt;et al.&lt;/i&gt; 2015; Bauer &lt;i&gt;et al.&lt;/i&gt; 2016b)","plainTextFormattedCitation":"(Gavin et al. 2015; Bauer et al. 2016b)","previouslyFormattedCitation":"(Gavin &lt;i&gt;et al.&lt;/i&gt; 2015; Bauer &lt;i&gt;et al.&lt;/i&gt; 2016b)"},"properties":{"noteIndex":0},"schema":"https://github.com/citation-style-language/schema/raw/master/csl-citation.json"}</w:instrText>
      </w:r>
      <w:r w:rsidR="00920287" w:rsidRPr="00E51082">
        <w:rPr>
          <w:sz w:val="24"/>
          <w:szCs w:val="24"/>
        </w:rPr>
        <w:fldChar w:fldCharType="separate"/>
      </w:r>
      <w:r w:rsidR="00CE2F0A" w:rsidRPr="00CE2F0A">
        <w:rPr>
          <w:noProof/>
          <w:sz w:val="24"/>
          <w:szCs w:val="24"/>
        </w:rPr>
        <w:t xml:space="preserve">(Gavin </w:t>
      </w:r>
      <w:r w:rsidR="00CE2F0A" w:rsidRPr="00CE2F0A">
        <w:rPr>
          <w:i/>
          <w:noProof/>
          <w:sz w:val="24"/>
          <w:szCs w:val="24"/>
        </w:rPr>
        <w:t>et al.</w:t>
      </w:r>
      <w:r w:rsidR="00CE2F0A" w:rsidRPr="00CE2F0A">
        <w:rPr>
          <w:noProof/>
          <w:sz w:val="24"/>
          <w:szCs w:val="24"/>
        </w:rPr>
        <w:t xml:space="preserve"> 2015; Bauer </w:t>
      </w:r>
      <w:r w:rsidR="00CE2F0A" w:rsidRPr="00CE2F0A">
        <w:rPr>
          <w:i/>
          <w:noProof/>
          <w:sz w:val="24"/>
          <w:szCs w:val="24"/>
        </w:rPr>
        <w:t>et al.</w:t>
      </w:r>
      <w:r w:rsidR="00CE2F0A" w:rsidRPr="00CE2F0A">
        <w:rPr>
          <w:noProof/>
          <w:sz w:val="24"/>
          <w:szCs w:val="24"/>
        </w:rPr>
        <w:t xml:space="preserve"> 2016b)</w:t>
      </w:r>
      <w:r w:rsidR="00920287" w:rsidRPr="00E51082">
        <w:rPr>
          <w:sz w:val="24"/>
          <w:szCs w:val="24"/>
        </w:rPr>
        <w:fldChar w:fldCharType="end"/>
      </w:r>
      <w:r w:rsidR="00EC15F5" w:rsidRPr="00E51082">
        <w:rPr>
          <w:sz w:val="24"/>
          <w:szCs w:val="24"/>
        </w:rPr>
        <w:t>.</w:t>
      </w:r>
      <w:r w:rsidR="00F245AC" w:rsidRPr="00E51082">
        <w:rPr>
          <w:sz w:val="24"/>
          <w:szCs w:val="24"/>
        </w:rPr>
        <w:t xml:space="preserve"> </w:t>
      </w:r>
      <w:r w:rsidRPr="00E51082">
        <w:rPr>
          <w:sz w:val="24"/>
          <w:szCs w:val="24"/>
        </w:rPr>
        <w:t>C</w:t>
      </w:r>
      <w:r w:rsidR="0080341E" w:rsidRPr="00E51082">
        <w:rPr>
          <w:sz w:val="24"/>
          <w:szCs w:val="24"/>
        </w:rPr>
        <w:t xml:space="preserve">onsequences of untreated </w:t>
      </w:r>
      <w:r w:rsidR="00FB5318" w:rsidRPr="00E51082">
        <w:rPr>
          <w:sz w:val="24"/>
          <w:szCs w:val="24"/>
        </w:rPr>
        <w:t xml:space="preserve">postnatal </w:t>
      </w:r>
      <w:r w:rsidR="0080341E" w:rsidRPr="00E51082">
        <w:rPr>
          <w:sz w:val="24"/>
          <w:szCs w:val="24"/>
        </w:rPr>
        <w:t xml:space="preserve">depression </w:t>
      </w:r>
      <w:r w:rsidR="00F06C92">
        <w:rPr>
          <w:sz w:val="24"/>
          <w:szCs w:val="24"/>
        </w:rPr>
        <w:t xml:space="preserve">(PND) </w:t>
      </w:r>
      <w:r w:rsidR="0080341E" w:rsidRPr="00E51082">
        <w:rPr>
          <w:sz w:val="24"/>
          <w:szCs w:val="24"/>
        </w:rPr>
        <w:t>can be profound and long-lasting for women and families</w:t>
      </w:r>
      <w:r w:rsidR="00AB0FE7">
        <w:rPr>
          <w:sz w:val="24"/>
          <w:szCs w:val="24"/>
        </w:rPr>
        <w:t xml:space="preserve">, with risks </w:t>
      </w:r>
      <w:r w:rsidR="00AB0FE7" w:rsidRPr="00AB0FE7">
        <w:rPr>
          <w:sz w:val="24"/>
          <w:szCs w:val="24"/>
        </w:rPr>
        <w:t xml:space="preserve">of longer-term adverse effects on child development and associated costs (Bauer </w:t>
      </w:r>
      <w:r w:rsidR="00AB0FE7" w:rsidRPr="00AB0FE7">
        <w:rPr>
          <w:i/>
          <w:sz w:val="24"/>
          <w:szCs w:val="24"/>
        </w:rPr>
        <w:t>et al.</w:t>
      </w:r>
      <w:r w:rsidR="00AB0FE7" w:rsidRPr="00AB0FE7">
        <w:rPr>
          <w:sz w:val="24"/>
          <w:szCs w:val="24"/>
        </w:rPr>
        <w:t xml:space="preserve"> 2016b)</w:t>
      </w:r>
      <w:r w:rsidR="00C12743" w:rsidRPr="00E51082">
        <w:rPr>
          <w:sz w:val="24"/>
          <w:szCs w:val="24"/>
        </w:rPr>
        <w:t>, y</w:t>
      </w:r>
      <w:r w:rsidR="0080341E" w:rsidRPr="00E51082">
        <w:rPr>
          <w:sz w:val="24"/>
          <w:szCs w:val="24"/>
        </w:rPr>
        <w:t xml:space="preserve">et </w:t>
      </w:r>
      <w:r w:rsidR="00AB0A39" w:rsidRPr="00E51082">
        <w:rPr>
          <w:sz w:val="24"/>
          <w:szCs w:val="24"/>
        </w:rPr>
        <w:t xml:space="preserve">there are </w:t>
      </w:r>
      <w:r w:rsidR="0085740B" w:rsidRPr="00E51082">
        <w:rPr>
          <w:sz w:val="24"/>
          <w:szCs w:val="24"/>
        </w:rPr>
        <w:t xml:space="preserve">psychosocial treatments </w:t>
      </w:r>
      <w:r w:rsidR="00AB0A39" w:rsidRPr="00E51082">
        <w:rPr>
          <w:sz w:val="24"/>
          <w:szCs w:val="24"/>
        </w:rPr>
        <w:t xml:space="preserve">that a growing evidence base suggests </w:t>
      </w:r>
      <w:r w:rsidR="0085740B" w:rsidRPr="00E51082">
        <w:rPr>
          <w:sz w:val="24"/>
          <w:szCs w:val="24"/>
        </w:rPr>
        <w:t>are effective</w:t>
      </w:r>
      <w:r w:rsidR="00E45BE3" w:rsidRPr="00E51082">
        <w:rPr>
          <w:sz w:val="24"/>
          <w:szCs w:val="24"/>
        </w:rPr>
        <w:t xml:space="preserve"> </w:t>
      </w:r>
      <w:r w:rsidR="00846054" w:rsidRPr="00E51082">
        <w:rPr>
          <w:sz w:val="24"/>
          <w:szCs w:val="24"/>
        </w:rPr>
        <w:fldChar w:fldCharType="begin" w:fldLock="1"/>
      </w:r>
      <w:r w:rsidR="00706093">
        <w:rPr>
          <w:sz w:val="24"/>
          <w:szCs w:val="24"/>
        </w:rPr>
        <w:instrText>ADDIN CSL_CITATION {"citationItems":[{"id":"ITEM-1","itemData":{"DOI":"10.1016/j.bpobgyn.2013.08.014","ISBN":"9781843102199 (pbk.)\\r1843102196 (pbk.)","ISSN":"15321932","PMID":"24095728","abstract":"Perinatal depression is prevalent, under-diagnosed and can have serious long-term effects on the wellbeing of women, their partners and infants. In the absence of active identification strategies, most women with perinatal depression will neither seek nor receive elp. To enable early detection and timely intervention, universal screening is coming to be seen as best practice in many settings. Although the strength of recommendations and the preferred methods of identification vary in different countries (e.g. the Edinburgh Postnatal Depression Scale, brief case-finding questions), appropriate training for health professionals in wider psychosocial assessment is essential to maximise usefulness while minimising potential harms. Clear pathways of systematic follow up of all positive screening results with a diagnostic procedure and access to effective treatment are centrally important both for the clinical effectiveness of screening and for health system costs. It is also necessary to further build on the emerging evidence base for the clinical effectiveness of screening. © 2013 Elsevier Ltd. All rights reserved.","author":[{"dropping-particle":"","family":"Milgrom","given":"Jeannette","non-dropping-particle":"","parse-names":false,"suffix":""},{"dropping-particle":"","family":"Gemmill","given":"Alan W.","non-dropping-particle":"","parse-names":false,"suffix":""}],"container-title":"Best Practice and Research Clinical Obstetrics and Gynaecology","id":"ITEM-1","issue":"1","issued":{"date-parts":[["2014","1"]]},"page":"13-23","title":"Screening for perinatal depression","type":"article-journal","volume":"28"},"uris":["http://www.mendeley.com/documents/?uuid=853d387d-5b2d-3469-8ff3-0405f5b90430"]},{"id":"ITEM-2","itemData":{"DOI":"10.3310/hta20370","ISBN":"2046-4924 (Electronic) 1366-5278 (Linking)","ISSN":"20464924","PMID":"27184772","abstract":"Background: Postnatal depression (PND) is a major depressive disorder in the year following childbirth, which impacts on women, their infants and their families. A range of interventions has been developed to prevent PND. Objectives: To (1) evaluate the clinical effectiveness, cost-effectiveness, acceptability and safety of antenatal and postnatal interventions for pregnant and postnatal women to prevent PND; (2) apply rigorous methods of systematic reviewing of quantitative and qualitative studies, evidence synthesis and decision-analytic modelling to evaluate the preventive impact on women, their infants and their families; and (3) estimate cost-effectiveness. Data sources: We searched MEDLINE, EMBASE, Science Citation Index and other databases (from inception to July 2013) in December 2012, and we were updated by electronic alerts until July 2013. Review methods: Two reviewers independently screened titles and abstracts with consensus agreement. We undertook quality assessment. All universal, selective and indicated preventive interventions for pregnant women and women in the first 6 postnatal weeks were included. All outcomes were included, focusing on the Edinburgh Postnatal Depression Scale (EPDS), diagnostic instruments and infant outcomes. The quantitative evidence was synthesised using network meta-analyses (NMAs). A mathematical model was constructed to explore the cost-effectiveness of interventions contained within the NMA for EPDS values. Results: From 3072 records identified, 122 papers (86 trials) were included in the quantitative review. From 2152 records, 56 papers (44 studies) were included in the qualitative review. The results were inconclusive. The most beneficial interventions appeared to be midwifery redesigned postnatal care [as shown by the mean 12-month EPDS score difference of –1.43 (95% credible interval –4.00 to 1.36)], person-centred approach (PCA)-based and cognitive–behavioural therapy (CBT)-based intervention (universal), interpersonal psychotherapy (IPT)-based intervention and education on preparing for parenting (selective), promoting parent–infant interaction, peer support, IPT-based intervention and PCA-based and CBT-based intervention (indicated). Women valued seeing the same health worker, the involvement of partners and access to several visits from a midwife or health visitor trained in person-centred or cognitive–behavioural approaches. The most cost-effective interventions were estimated to be midwifery redesig…","author":[{"dropping-particle":"","family":"Morrell","given":"C. Jane","non-dropping-particle":"","parse-names":false,"suffix":""},{"dropping-particle":"","family":"Sutcliffe","given":"Paul","non-dropping-particle":"","parse-names":false,"suffix":""},{"dropping-particle":"","family":"Booth","given":"Andrew","non-dropping-particle":"","parse-names":false,"suffix":""},{"dropping-particle":"","family":"Stevens","given":"John","non-dropping-particle":"","parse-names":false,"suffix":""},{"dropping-particle":"","family":"Scope","given":"Alison","non-dropping-particle":"","parse-names":false,"suffix":""},{"dropping-particle":"","family":"Stevenson","given":"Matt","non-dropping-particle":"","parse-names":false,"suffix":""},{"dropping-particle":"","family":"Harvey","given":"Rebecca","non-dropping-particle":"","parse-names":false,"suffix":""},{"dropping-particle":"","family":"Bessey","given":"Alice","non-dropping-particle":"","parse-names":false,"suffix":""},{"dropping-particle":"","family":"Cantrell","given":"Anna","non-dropping-particle":"","parse-names":false,"suffix":""},{"dropping-particle":"","family":"Dennis","given":"Cindy Lee","non-dropping-particle":"","parse-names":false,"suffix":""},{"dropping-particle":"","family":"Ren","given":"Shijie","non-dropping-particle":"","parse-names":false,"suffix":""},{"dropping-particle":"","family":"Ragonesi","given":"Margherita","non-dropping-particle":"","parse-names":false,"suffix":""},{"dropping-particle":"","family":"Barkham","given":"Michael","non-dropping-particle":"","parse-names":false,"suffix":""},{"dropping-particle":"","family":"Churchill","given":"Dick","non-dropping-particle":"","parse-names":false,"suffix":""},{"dropping-particle":"","family":"Henshaw","given":"Carol","non-dropping-particle":"","parse-names":false,"suffix":""},{"dropping-particle":"","family":"Newstead","given":"Jo","non-dropping-particle":"","parse-names":false,"suffix":""},{"dropping-particle":"","family":"Slade","given":"Pauline","non-dropping-particle":"","parse-names":false,"suffix":""},{"dropping-particle":"","family":"Spiby","given":"Helen","non-dropping-particle":"","parse-names":false,"suffix":""},{"dropping-particle":"","family":"Stewart-Brown","given":"Sarah","non-dropping-particle":"","parse-names":false,"suffix":""}],"container-title":"Health Technology Assessment","id":"ITEM-2","issue":"37","issued":{"date-parts":[["2016"]]},"note":"Morrell, C Jane\nSutcliffe, Paul\nBooth, Andrew\nStevens, John\nScope, Alison\nStevenson, Matt\nHarvey, Rebecca\nBessey, Alice\nCantrell, Anna\nDennis, Cindy-Lee\nRen, Shijie\nRagonesi, Margherita\nBarkham, Michael\nChurchill, Dick\nHenshaw, Carol\nNewstead, Jo\nSlade, Pauline\nSpiby, Helen\nStewart-Brown, Sarah\neng\nEngland\nWinchester, England\n2016/05/18 06:00\nHealth Technol Assess. 2016 May;20(37):1-414. doi: 10.3310/hta20370.","page":"1-414","title":"A systematic review, evidence synthesis and meta-analysis of quantitative and qualitative studies evaluating the clinical effectiveness, the cost-effectiveness, safety and acceptability of interventions to prevent postnatal depression","type":"article-journal","volume":"20"},"uris":["http://www.mendeley.com/documents/?uuid=48eed906-9b8f-4678-8ecb-4617bd95d961"]}],"mendeley":{"formattedCitation":"(Milgrom &amp; Gemmill 2014; Morrell &lt;i&gt;et al.&lt;/i&gt; 2016)","plainTextFormattedCitation":"(Milgrom &amp; Gemmill 2014; Morrell et al. 2016)","previouslyFormattedCitation":"(Milgrom &amp; Gemmill 2014; Morrell &lt;i&gt;et al.&lt;/i&gt; 2016)"},"properties":{"noteIndex":0},"schema":"https://github.com/citation-style-language/schema/raw/master/csl-citation.json"}</w:instrText>
      </w:r>
      <w:r w:rsidR="00846054" w:rsidRPr="00E51082">
        <w:rPr>
          <w:sz w:val="24"/>
          <w:szCs w:val="24"/>
        </w:rPr>
        <w:fldChar w:fldCharType="separate"/>
      </w:r>
      <w:r w:rsidR="00EC15F5" w:rsidRPr="00E51082">
        <w:rPr>
          <w:noProof/>
          <w:sz w:val="24"/>
          <w:szCs w:val="24"/>
        </w:rPr>
        <w:t xml:space="preserve">(Milgrom &amp; Gemmill 2014; Morrell </w:t>
      </w:r>
      <w:r w:rsidR="00EC15F5" w:rsidRPr="00E51082">
        <w:rPr>
          <w:i/>
          <w:noProof/>
          <w:sz w:val="24"/>
          <w:szCs w:val="24"/>
        </w:rPr>
        <w:t>et al.</w:t>
      </w:r>
      <w:r w:rsidR="00EC15F5" w:rsidRPr="00E51082">
        <w:rPr>
          <w:noProof/>
          <w:sz w:val="24"/>
          <w:szCs w:val="24"/>
        </w:rPr>
        <w:t xml:space="preserve"> 2016)</w:t>
      </w:r>
      <w:r w:rsidR="00846054" w:rsidRPr="00E51082">
        <w:rPr>
          <w:sz w:val="24"/>
          <w:szCs w:val="24"/>
        </w:rPr>
        <w:fldChar w:fldCharType="end"/>
      </w:r>
      <w:r w:rsidR="008435C8">
        <w:rPr>
          <w:sz w:val="24"/>
          <w:szCs w:val="24"/>
        </w:rPr>
        <w:t>.</w:t>
      </w:r>
      <w:r w:rsidR="00AB0FE7">
        <w:rPr>
          <w:sz w:val="24"/>
          <w:szCs w:val="24"/>
        </w:rPr>
        <w:t xml:space="preserve"> </w:t>
      </w:r>
    </w:p>
    <w:p w14:paraId="566E118C" w14:textId="2841524C" w:rsidR="00FE1663" w:rsidRPr="00E51082" w:rsidRDefault="00FE1663" w:rsidP="00AB3604">
      <w:pPr>
        <w:pStyle w:val="BodyText2"/>
        <w:spacing w:after="120"/>
        <w:jc w:val="left"/>
        <w:rPr>
          <w:sz w:val="24"/>
          <w:szCs w:val="24"/>
        </w:rPr>
      </w:pPr>
      <w:r w:rsidRPr="00E51082">
        <w:rPr>
          <w:sz w:val="24"/>
          <w:szCs w:val="24"/>
        </w:rPr>
        <w:t xml:space="preserve">Health </w:t>
      </w:r>
      <w:r w:rsidR="00BC74D5" w:rsidRPr="00E51082">
        <w:rPr>
          <w:sz w:val="24"/>
          <w:szCs w:val="24"/>
        </w:rPr>
        <w:t>V</w:t>
      </w:r>
      <w:r w:rsidRPr="00E51082">
        <w:rPr>
          <w:sz w:val="24"/>
          <w:szCs w:val="24"/>
        </w:rPr>
        <w:t xml:space="preserve">isitors </w:t>
      </w:r>
      <w:r w:rsidR="00482653" w:rsidRPr="00E51082">
        <w:rPr>
          <w:sz w:val="24"/>
          <w:szCs w:val="24"/>
        </w:rPr>
        <w:t xml:space="preserve">(HVs) </w:t>
      </w:r>
      <w:r w:rsidRPr="00E51082">
        <w:rPr>
          <w:sz w:val="24"/>
          <w:szCs w:val="24"/>
        </w:rPr>
        <w:t xml:space="preserve">are public health nurses, based in community settings such as health centres </w:t>
      </w:r>
      <w:r w:rsidR="0001457D" w:rsidRPr="00E51082">
        <w:rPr>
          <w:sz w:val="24"/>
          <w:szCs w:val="24"/>
        </w:rPr>
        <w:t xml:space="preserve">and </w:t>
      </w:r>
      <w:r w:rsidRPr="00E51082">
        <w:rPr>
          <w:sz w:val="24"/>
          <w:szCs w:val="24"/>
        </w:rPr>
        <w:t>family centres across the United Kingdom</w:t>
      </w:r>
      <w:r w:rsidR="002F4FEC" w:rsidRPr="00E51082">
        <w:rPr>
          <w:sz w:val="24"/>
          <w:szCs w:val="24"/>
        </w:rPr>
        <w:t>,</w:t>
      </w:r>
      <w:r w:rsidRPr="00E51082">
        <w:rPr>
          <w:sz w:val="24"/>
          <w:szCs w:val="24"/>
        </w:rPr>
        <w:t xml:space="preserve"> play</w:t>
      </w:r>
      <w:r w:rsidR="002F4FEC" w:rsidRPr="00E51082">
        <w:rPr>
          <w:sz w:val="24"/>
          <w:szCs w:val="24"/>
        </w:rPr>
        <w:t>ing</w:t>
      </w:r>
      <w:r w:rsidRPr="00E51082">
        <w:rPr>
          <w:sz w:val="24"/>
          <w:szCs w:val="24"/>
        </w:rPr>
        <w:t xml:space="preserve"> important role</w:t>
      </w:r>
      <w:r w:rsidR="00C12743" w:rsidRPr="00E51082">
        <w:rPr>
          <w:sz w:val="24"/>
          <w:szCs w:val="24"/>
        </w:rPr>
        <w:t>s</w:t>
      </w:r>
      <w:r w:rsidRPr="00E51082">
        <w:rPr>
          <w:sz w:val="24"/>
          <w:szCs w:val="24"/>
        </w:rPr>
        <w:t xml:space="preserve"> in supporting women during and after pregnancy</w:t>
      </w:r>
      <w:r w:rsidR="00EC15F5" w:rsidRPr="00E51082">
        <w:rPr>
          <w:sz w:val="24"/>
          <w:szCs w:val="24"/>
        </w:rPr>
        <w:t xml:space="preserve"> </w:t>
      </w:r>
      <w:r w:rsidRPr="00E51082">
        <w:rPr>
          <w:szCs w:val="24"/>
        </w:rPr>
        <w:fldChar w:fldCharType="begin" w:fldLock="1"/>
      </w:r>
      <w:r w:rsidR="00706093">
        <w:rPr>
          <w:sz w:val="24"/>
          <w:szCs w:val="24"/>
        </w:rPr>
        <w:instrText>ADDIN CSL_CITATION {"citationItems":[{"id":"ITEM-1","itemData":{"author":[{"dropping-particle":"","family":"Health Education England","given":"","non-dropping-particle":"","parse-names":false,"suffix":""}],"id":"ITEM-1","issued":{"date-parts":[["2016"]]},"title":"Explore roles: Health visitor","type":"article"},"uris":["http://www.mendeley.com/documents/?uuid=0544b532-3bce-4ea5-af1f-75b73926f603"]},{"id":"ITEM-2","itemData":{"DOI":"10.1016/j.puhe.2007.03.016","ISBN":"0033-3506 (Print)\\n0033-3506 (Linking)","ISSN":"00333506","PMID":"17606280","abstract":"Background: Early interventions targeting health inequalities, and changing policies for mothers and pre-school children, have focused attention on existing interventions. Objectives: To collect baseline data about current roles and activities undertaken by health visitors; and to understand the relationship between existing services and recommended practice shown in research about preventive programmes. Methods: A national postal survey was used to collect data about current roles and activities undertaken by health visitors across the UK (n = 1459, 46% response rate). Results: A description is provided of activities undertaken and the types of needs addressed by health-visiting services. The established health-visiting purpose of using a caseload of infants and pre-school children as a base from which to reach out to a wider community seems to be still in place, with difficulty. The major focus of their work was on primary and secondary prevention, but included provision for identified problems. Two main patterns of service provision were identified; one 'comprehensive' and one that was more restricted. The 'restricted service,' available in most places, was mainly reactive, with child protection and social factors predominant. Even the 'comprehensive services' were far lower in intensity than programmes shown, through research, to improve family wellness. In addition, less than half of respondents thought that it was always feasible to deliver services as planned. Conclusions: The results question the premise, upon which universal provision rests, that all families receive a service offering proactive health promotion and the timely identification of additional health needs. © 2007 The Royal Institute of Public Health.","author":[{"dropping-particle":"","family":"Cowley","given":"S.","non-dropping-particle":"","parse-names":false,"suffix":""},{"dropping-particle":"","family":"Caan","given":"W.","non-dropping-particle":"","parse-names":false,"suffix":""},{"dropping-particle":"","family":"Dowling","given":"S.","non-dropping-particle":"","parse-names":false,"suffix":""},{"dropping-particle":"","family":"Weir","given":"H.","non-dropping-particle":"","parse-names":false,"suffix":""}],"container-title":"Public Health","edition":"2007/07/04","id":"ITEM-2","issue":"11","issued":{"date-parts":[["2007"]]},"language":"Eng","note":"Cowley, S\nCaan, W\nDowling, S\nWeir, H\nJournal Article\nResearch Support, Non-U.S. Gov't\nNetherlands\nPublic Health. 2007 Nov;121(11):869-79. Epub 2007 Jul 2.","page":"869-879","title":"What do health visitors do? A national survey of activities and service organisation","type":"article-journal","volume":"121"},"uris":["http://www.mendeley.com/documents/?uuid=1fd50937-7b44-4bc9-bdb6-09c15d07c6b8"]},{"id":"ITEM-3","itemData":{"abstract":"This literature review was commissioned to support the health visitor implementation plan 2011-2015. It aimed to ascertain the key components of health visitor interventions, as well as relationships between the current health visiting service and its processes, and outcomes for children and families.","author":[{"dropping-particle":"","family":"Cowley","given":"Sarah","non-dropping-particle":"","parse-names":false,"suffix":""},{"dropping-particle":"","family":"Whittaker","given":"Karen","non-dropping-particle":"","parse-names":false,"suffix":""},{"dropping-particle":"","family":"Grigulis","given":"Astrida","non-dropping-particle":"","parse-names":false,"suffix":""},{"dropping-particle":"","family":"Malone","given":"Mary","non-dropping-particle":"","parse-names":false,"suffix":""},{"dropping-particle":"","family":"Donetto","given":"Sara","non-dropping-particle":"","parse-names":false,"suffix":""},{"dropping-particle":"","family":"Wood","given":"Heather","non-dropping-particle":"","parse-names":false,"suffix":""},{"dropping-particle":"","family":"Morrow","given":"Elizabeth","non-dropping-particle":"","parse-names":false,"suffix":""},{"dropping-particle":"","family":"Maben","given":"Jill","non-dropping-particle":"","parse-names":false,"suffix":""}],"container-title":"National Nursing Research Unit, King’s College London","id":"ITEM-3","issue":"February","issued":{"date-parts":[["2013"]]},"number-of-pages":"1-175","publisher":"National Nursing Research Unit, King’s College London","publisher-place":"London","title":"Why Health Visiting? A review of the literature about key health visitor interventions, processes and outcomes for children and families","type":"report"},"uris":["http://www.mendeley.com/documents/?uuid=0dafafea-fe26-4c57-a960-2cbfba14387e"]}],"mendeley":{"formattedCitation":"(Cowley &lt;i&gt;et al.&lt;/i&gt; 2007, 2013; Health Education England 2016)","plainTextFormattedCitation":"(Cowley et al. 2007, 2013; Health Education England 2016)","previouslyFormattedCitation":"(Cowley &lt;i&gt;et al.&lt;/i&gt; 2007, 2013; Health Education England 2016)"},"properties":{"noteIndex":0},"schema":"https://github.com/citation-style-language/schema/raw/master/csl-citation.json"}</w:instrText>
      </w:r>
      <w:r w:rsidRPr="00E51082">
        <w:rPr>
          <w:szCs w:val="24"/>
        </w:rPr>
        <w:fldChar w:fldCharType="separate"/>
      </w:r>
      <w:r w:rsidR="00EC15F5" w:rsidRPr="00E51082">
        <w:rPr>
          <w:noProof/>
          <w:sz w:val="24"/>
          <w:szCs w:val="24"/>
        </w:rPr>
        <w:t xml:space="preserve">(Cowley </w:t>
      </w:r>
      <w:r w:rsidR="00EC15F5" w:rsidRPr="00E51082">
        <w:rPr>
          <w:i/>
          <w:noProof/>
          <w:sz w:val="24"/>
          <w:szCs w:val="24"/>
        </w:rPr>
        <w:t>et al.</w:t>
      </w:r>
      <w:r w:rsidR="00EC15F5" w:rsidRPr="00E51082">
        <w:rPr>
          <w:noProof/>
          <w:sz w:val="24"/>
          <w:szCs w:val="24"/>
        </w:rPr>
        <w:t xml:space="preserve"> 2007, 2013; Health Education England 2016)</w:t>
      </w:r>
      <w:r w:rsidRPr="00E51082">
        <w:rPr>
          <w:szCs w:val="24"/>
        </w:rPr>
        <w:fldChar w:fldCharType="end"/>
      </w:r>
      <w:r w:rsidR="00EC15F5" w:rsidRPr="00E51082">
        <w:rPr>
          <w:szCs w:val="24"/>
        </w:rPr>
        <w:t>.</w:t>
      </w:r>
      <w:r w:rsidRPr="00E51082">
        <w:rPr>
          <w:sz w:val="24"/>
          <w:szCs w:val="24"/>
        </w:rPr>
        <w:t xml:space="preserve"> The </w:t>
      </w:r>
      <w:r w:rsidR="00222215" w:rsidRPr="00E51082">
        <w:rPr>
          <w:sz w:val="24"/>
          <w:szCs w:val="24"/>
        </w:rPr>
        <w:t xml:space="preserve">impact </w:t>
      </w:r>
      <w:r w:rsidRPr="00E51082">
        <w:rPr>
          <w:sz w:val="24"/>
          <w:szCs w:val="24"/>
        </w:rPr>
        <w:t xml:space="preserve">of </w:t>
      </w:r>
      <w:r w:rsidR="00BC74D5" w:rsidRPr="00E51082">
        <w:rPr>
          <w:sz w:val="24"/>
          <w:szCs w:val="24"/>
        </w:rPr>
        <w:t xml:space="preserve">PoNDER </w:t>
      </w:r>
      <w:r w:rsidR="00482653" w:rsidRPr="00E51082">
        <w:rPr>
          <w:sz w:val="24"/>
          <w:szCs w:val="24"/>
        </w:rPr>
        <w:t>HV</w:t>
      </w:r>
      <w:r w:rsidR="00E77185" w:rsidRPr="00E51082">
        <w:rPr>
          <w:sz w:val="24"/>
          <w:szCs w:val="24"/>
        </w:rPr>
        <w:t xml:space="preserve"> training in assessment and </w:t>
      </w:r>
      <w:r w:rsidR="00BE10ED" w:rsidRPr="00E51082">
        <w:rPr>
          <w:sz w:val="24"/>
          <w:szCs w:val="24"/>
        </w:rPr>
        <w:t xml:space="preserve">delivery of </w:t>
      </w:r>
      <w:r w:rsidRPr="00E51082">
        <w:rPr>
          <w:sz w:val="24"/>
          <w:szCs w:val="24"/>
        </w:rPr>
        <w:t>cognitive-behavioural and p</w:t>
      </w:r>
      <w:r w:rsidR="00BC74D5" w:rsidRPr="00E51082">
        <w:rPr>
          <w:sz w:val="24"/>
          <w:szCs w:val="24"/>
        </w:rPr>
        <w:t>erson</w:t>
      </w:r>
      <w:r w:rsidRPr="00E51082">
        <w:rPr>
          <w:sz w:val="24"/>
          <w:szCs w:val="24"/>
        </w:rPr>
        <w:t xml:space="preserve">-centred approaches (CBA and PCA) in terms of </w:t>
      </w:r>
      <w:r w:rsidR="00222215" w:rsidRPr="00E51082">
        <w:rPr>
          <w:sz w:val="24"/>
          <w:szCs w:val="24"/>
        </w:rPr>
        <w:t xml:space="preserve">effectiveness and cost-effectiveness </w:t>
      </w:r>
      <w:r w:rsidRPr="00E51082">
        <w:rPr>
          <w:sz w:val="24"/>
          <w:szCs w:val="24"/>
        </w:rPr>
        <w:t xml:space="preserve">for women and children </w:t>
      </w:r>
      <w:r w:rsidR="002F4FEC" w:rsidRPr="00E51082">
        <w:rPr>
          <w:sz w:val="24"/>
          <w:szCs w:val="24"/>
        </w:rPr>
        <w:t>has been</w:t>
      </w:r>
      <w:r w:rsidRPr="00E51082">
        <w:rPr>
          <w:sz w:val="24"/>
          <w:szCs w:val="24"/>
        </w:rPr>
        <w:t xml:space="preserve"> reported</w:t>
      </w:r>
      <w:r w:rsidR="00E45BE3" w:rsidRPr="00E51082">
        <w:rPr>
          <w:sz w:val="24"/>
          <w:szCs w:val="24"/>
        </w:rPr>
        <w:t xml:space="preserve"> </w:t>
      </w:r>
      <w:r w:rsidRPr="00E51082">
        <w:rPr>
          <w:szCs w:val="24"/>
        </w:rPr>
        <w:fldChar w:fldCharType="begin" w:fldLock="1"/>
      </w:r>
      <w:r w:rsidR="00706093">
        <w:rPr>
          <w:sz w:val="24"/>
          <w:szCs w:val="24"/>
        </w:rPr>
        <w:instrText>ADDIN CSL_CITATION {"citationItems":[{"id":"ITEM-1","itemData":{"DOI":"10.1136/bmj.a3045\r338/jan15_2/a3045 [pii]","ISBN":"1756-1833 (Electronic)\r0959-535X (Linking)","PMID":"19147636","abstract":"OBJECTIVE: To evaluate benefits for postnatal women of two psychologically informed interventions by health visitors. DESIGN: Prospective cluster trial randomised by general practice, with 18 month follow-up. SETTING: 101 general practices in Trent, England. PARTICIPANTS: 2749 women allocated to intervention, 1335 to control. INTERVENTION: Health visitors (n=89 63 clusters) were trained to identify depressive symptoms at six to eight weeks postnatally using the Edinburgh postnatal depression scale (EPDS) and clinical assessment and also trained in providing psychologically informed sessions based on cognitive behavioural or person centred principles for an hour a week for eight weeks. Health visitors in the control group (n=49 38 clusters) provided usual care. MAIN OUTCOME MEASURES: Score &gt;or=12 on the Edinburgh postnatal depression scale at six months. Secondary outcomes were mean Edinburgh postnatal depression scale, clinical outcomes in routine evaluation-outcome measure (CORE-OM), state-trait anxiety inventory (STAI), SF-12, and parenting stress index short form (PSI-SF) scores at six, 12, 18 months. RESULTS: 4084 eligible women consented and 595 women had a six week EPDS score &gt;or=12. Of these, 418 had EPDS scores available at six weeks and six months. At six months, 34% women (93/271) in the intervention group and 46% (67/147) in the control group had an EPDS score &gt;or=12. The odds ratio for score &gt;or=12 at six months was 0.62 (95% confidence interval 0.40 to 0.97, P=0.036) for women in the intervention group compared with women in the control group. After adjustment for covariates, the odds ratio was 0.60 (0.38 to 0.95, P=0.028). At six months, 12.4% (234/1880) of all women in the intervention group and 16.7% (166/995) of all women in the control group had scores &gt;or=12 (0.67, 0.51 to 0.87, P=0.003). Benefit for women in the intervention group with a six week EPDS score &gt;or=12 and for all women was maintained at 12 months postnatally. There was no differential benefit for either psychological approach over the other. CONCLUSION: Training health visitors to assess women, identify symptoms of postnatal depression, and deliver psychologically informed sessions was clinically effective at six and 12 months postnatally compared with usual care. TRIAL REGISTRATION: ISRCTN92195776.","author":[{"dropping-particle":"","family":"Morrell","given":"C J","non-dropping-particle":"","parse-names":false,"suffix":""},{"dropping-particle":"","family":"Slade","given":"P","non-dropping-particle":"","parse-names":false,"suffix":""},{"dropping-particle":"","family":"Warner","given":"R","non-dropping-particle":"","parse-names":false,"suffix":""},{"dropping-particle":"","family":"Paley","given":"G","non-dropping-particle":"","parse-names":false,"suffix":""},{"dropping-particle":"","family":"Dixon","given":"S","non-dropping-particle":"","parse-names":false,"suffix":""},{"dropping-particle":"","family":"Walters","given":"S J","non-dropping-particle":"","parse-names":false,"suffix":""},{"dropping-particle":"","family":"Brugha","given":"T","non-dropping-particle":"","parse-names":false,"suffix":""},{"dropping-particle":"","family":"Barkham","given":"M","non-dropping-particle":"","parse-names":false,"suffix":""},{"dropping-particle":"","family":"Parry","given":"G J","non-dropping-particle":"","parse-names":false,"suffix":""},{"dropping-particle":"","family":"Nicholl","given":"J","non-dropping-particle":"","parse-names":false,"suffix":""}],"container-title":"BMJ","edition":"2009/01/17","id":"ITEM-1","issued":{"date-parts":[["2009"]]},"language":"eng","note":"Morrell, C Jane\nSlade, Pauline\nWarner, Rachel\nPaley, Graham\nDixon, Simon\nWalters, Stephen J\nBrugha, Traolach\nBarkham, Michael\nParry, Gareth J\nNicholl, Jon\nMulticenter Study\nRandomized Controlled Trial\nResearch Support, Non-U.S. Gov't\nEngland\nBMJ (Clinical research ed.)\nBMJ. 2009 Jan 15;338:a3045. doi: 10.1136/bmj.a3045.","page":"a3045","title":"Clinical effectiveness of health visitor training in psychologically informed approaches for depression in postnatal women: pragmatic cluster randomised trial in primary care","type":"article-journal","volume":"338"},"uris":["http://www.mendeley.com/documents/?uuid=e643afea-8a51-4220-9244-1a1265edf372"]}],"mendeley":{"formattedCitation":"(Morrell &lt;i&gt;et al.&lt;/i&gt; 2009a)","plainTextFormattedCitation":"(Morrell et al. 2009a)","previouslyFormattedCitation":"(Morrell &lt;i&gt;et al.&lt;/i&gt; 2009a)"},"properties":{"noteIndex":0},"schema":"https://github.com/citation-style-language/schema/raw/master/csl-citation.json"}</w:instrText>
      </w:r>
      <w:r w:rsidRPr="00E51082">
        <w:rPr>
          <w:szCs w:val="24"/>
        </w:rPr>
        <w:fldChar w:fldCharType="separate"/>
      </w:r>
      <w:r w:rsidR="00EC15F5" w:rsidRPr="00E51082">
        <w:rPr>
          <w:noProof/>
          <w:sz w:val="24"/>
          <w:szCs w:val="24"/>
        </w:rPr>
        <w:t xml:space="preserve">(Morrell </w:t>
      </w:r>
      <w:r w:rsidR="00EC15F5" w:rsidRPr="00E51082">
        <w:rPr>
          <w:i/>
          <w:noProof/>
          <w:sz w:val="24"/>
          <w:szCs w:val="24"/>
        </w:rPr>
        <w:t>et al.</w:t>
      </w:r>
      <w:r w:rsidR="00EC15F5" w:rsidRPr="00E51082">
        <w:rPr>
          <w:noProof/>
          <w:sz w:val="24"/>
          <w:szCs w:val="24"/>
        </w:rPr>
        <w:t xml:space="preserve"> 2009a)</w:t>
      </w:r>
      <w:r w:rsidRPr="00E51082">
        <w:rPr>
          <w:szCs w:val="24"/>
        </w:rPr>
        <w:fldChar w:fldCharType="end"/>
      </w:r>
      <w:r w:rsidR="00E45BE3" w:rsidRPr="00E51082">
        <w:rPr>
          <w:szCs w:val="24"/>
        </w:rPr>
        <w:t>.</w:t>
      </w:r>
      <w:r w:rsidR="002F4FEC" w:rsidRPr="00E51082">
        <w:rPr>
          <w:sz w:val="24"/>
          <w:szCs w:val="24"/>
        </w:rPr>
        <w:t xml:space="preserve"> </w:t>
      </w:r>
      <w:r w:rsidR="00BC74D5" w:rsidRPr="00E51082">
        <w:rPr>
          <w:sz w:val="24"/>
          <w:szCs w:val="24"/>
        </w:rPr>
        <w:t xml:space="preserve">PoNDER </w:t>
      </w:r>
      <w:r w:rsidR="00482653" w:rsidRPr="00E51082">
        <w:rPr>
          <w:sz w:val="24"/>
          <w:szCs w:val="24"/>
        </w:rPr>
        <w:t>HV</w:t>
      </w:r>
      <w:r w:rsidRPr="00E51082">
        <w:rPr>
          <w:sz w:val="24"/>
          <w:szCs w:val="24"/>
        </w:rPr>
        <w:t xml:space="preserve"> training can reduce the proportion of women at risk of developing PND</w:t>
      </w:r>
      <w:r w:rsidR="00E77185" w:rsidRPr="00E51082">
        <w:rPr>
          <w:sz w:val="24"/>
          <w:szCs w:val="24"/>
        </w:rPr>
        <w:t xml:space="preserve"> as indicated by reduction in score</w:t>
      </w:r>
      <w:r w:rsidRPr="00E51082">
        <w:rPr>
          <w:sz w:val="24"/>
          <w:szCs w:val="24"/>
        </w:rPr>
        <w:t xml:space="preserve"> on the Edinburgh Postnatal Depression Scale (EPDS)</w:t>
      </w:r>
      <w:r w:rsidR="001323B8" w:rsidRPr="00E51082">
        <w:rPr>
          <w:sz w:val="24"/>
          <w:szCs w:val="24"/>
        </w:rPr>
        <w:t xml:space="preserve"> </w:t>
      </w:r>
      <w:r w:rsidRPr="00E51082">
        <w:rPr>
          <w:szCs w:val="24"/>
        </w:rPr>
        <w:fldChar w:fldCharType="begin" w:fldLock="1"/>
      </w:r>
      <w:r w:rsidR="00706093">
        <w:rPr>
          <w:sz w:val="24"/>
          <w:szCs w:val="24"/>
        </w:rPr>
        <w:instrText>ADDIN CSL_CITATION {"citationItems":[{"id":"ITEM-1","itemData":{"DOI":"10.1192/bjp.150.6.782","ISBN":"0007-1250 (Print)\\r0007-1250 (Linking)","ISSN":"00071250","PMID":"3651732","abstract":"The developmentof a 10-item self-reportscale (EPDS)to screenfor PostnatalDepression in the community is described. After extensive pilot interviews a validation study was carried out on 84 mothers usingthe ResearchDiagnosticCriteria for depressiveillness obtained from Goldberg's StandardisedPsychiatric Interview. The EPDS was found to havesatisfactorysensitivityandspecficity,andwas alsosensitiveto changeinthe severity of depressionover time. The scalecan be completedin about 5 minutesand has a simple in the secondary prevention of Postnatal method of scoring. The use of the EPDS Depressionis discussed.","author":[{"dropping-particle":"","family":"Cox","given":"J. L.","non-dropping-particle":"","parse-names":false,"suffix":""},{"dropping-particle":"","family":"Holden","given":"J. M.","non-dropping-particle":"","parse-names":false,"suffix":""},{"dropping-particle":"","family":"Sagovsky","given":"R.","non-dropping-particle":"","parse-names":false,"suffix":""}],"container-title":"British Journal of Psychiatry","id":"ITEM-1","issue":"JUNE","issued":{"date-parts":[["1987"]]},"page":"782-786","title":"Detection of Postnatal Depression: Development of the 10-item Edinburgh Postnatal Depression scale","type":"article-journal","volume":"150"},"uris":["http://www.mendeley.com/documents/?uuid=5d95ed27-dc3e-47cf-8e05-0b0031eb9428"]}],"mendeley":{"formattedCitation":"(Cox &lt;i&gt;et al.&lt;/i&gt; 1987)","plainTextFormattedCitation":"(Cox et al. 1987)","previouslyFormattedCitation":"(Cox &lt;i&gt;et al.&lt;/i&gt; 1987)"},"properties":{"noteIndex":0},"schema":"https://github.com/citation-style-language/schema/raw/master/csl-citation.json"}</w:instrText>
      </w:r>
      <w:r w:rsidRPr="00E51082">
        <w:rPr>
          <w:szCs w:val="24"/>
        </w:rPr>
        <w:fldChar w:fldCharType="separate"/>
      </w:r>
      <w:r w:rsidR="00EC15F5" w:rsidRPr="00E51082">
        <w:rPr>
          <w:noProof/>
          <w:sz w:val="24"/>
          <w:szCs w:val="24"/>
        </w:rPr>
        <w:t xml:space="preserve">(Cox </w:t>
      </w:r>
      <w:r w:rsidR="00EC15F5" w:rsidRPr="00E51082">
        <w:rPr>
          <w:i/>
          <w:noProof/>
          <w:sz w:val="24"/>
          <w:szCs w:val="24"/>
        </w:rPr>
        <w:t>et al.</w:t>
      </w:r>
      <w:r w:rsidR="00EC15F5" w:rsidRPr="00E51082">
        <w:rPr>
          <w:noProof/>
          <w:sz w:val="24"/>
          <w:szCs w:val="24"/>
        </w:rPr>
        <w:t xml:space="preserve"> 1987)</w:t>
      </w:r>
      <w:r w:rsidRPr="00E51082">
        <w:rPr>
          <w:szCs w:val="24"/>
        </w:rPr>
        <w:fldChar w:fldCharType="end"/>
      </w:r>
      <w:r w:rsidR="00E45BE3" w:rsidRPr="00E51082">
        <w:rPr>
          <w:szCs w:val="24"/>
        </w:rPr>
        <w:t>,</w:t>
      </w:r>
      <w:r w:rsidRPr="00E51082">
        <w:rPr>
          <w:sz w:val="24"/>
          <w:szCs w:val="24"/>
        </w:rPr>
        <w:t xml:space="preserve"> a self-report measure widely used in clinical practice</w:t>
      </w:r>
      <w:r w:rsidR="00E45BE3" w:rsidRPr="00E51082">
        <w:rPr>
          <w:sz w:val="24"/>
          <w:szCs w:val="24"/>
        </w:rPr>
        <w:t xml:space="preserve"> </w:t>
      </w:r>
      <w:r w:rsidR="009B793C" w:rsidRPr="00E51082">
        <w:rPr>
          <w:szCs w:val="24"/>
        </w:rPr>
        <w:fldChar w:fldCharType="begin" w:fldLock="1"/>
      </w:r>
      <w:r w:rsidR="00706093">
        <w:rPr>
          <w:sz w:val="24"/>
          <w:szCs w:val="24"/>
        </w:rPr>
        <w:instrText>ADDIN CSL_CITATION {"citationItems":[{"id":"ITEM-1","itemData":{"DOI":"10.1111/j.1471-0528.2009.02148.x","ISBN":"1471-0528","ISSN":"14700328","PMID":"19438499","abstract":"BACKGROUND: Postnatal depression (PND) is a common mental health problem, which is associated with adverse consequences beyond the individual with depression. It is not known whether using formal methods to identify PND are clinically and cost effective in improving maternal and infant outcomes. OBJECTIVES: To evaluate the clinical and cost effectiveness of antenatal and postnatal identification of depressive symptoms. SEARCH STRATEGY: Twenty electronic databases were searched to retrieve English and non-English language articles published until February 2007. SELECTION CRITERIA: Randomised controlled trials or controlled trials comparing the use of formal methods to identify PND, with or without enhancement of care, or feedback of scores with not using formal methods to identify PND or usual care. DATA COLLECTION AND ANALYSIS: Two reviewers independently assessed studies for inclusion and extracted data. Results from the trials were combined to calculate odds ratios and 95% confidence intervals for dichotomous outcomes. MAIN RESULTS: Five studies were identified that compared formal use of a method to identify PND, with or without enhancement of care, or feedback of scores with not using a formal method or usual care. All of the studies used the Edinburgh Postnatal Depression Scale (EPDS) to identify women with PND. The results of the studies indicated beneficial effects of using the EPDS in reducing EPDS scores (OR = 0.61; 95% CI 0.48-0.76). AUTHOR'S CONCLUSIONS: Despite some apparent beneficial effects of using formal methods to identify PND, it is difficult to disentangle the effects of the screening component alone from interventions linked to a positive screen as some of the studies included enhancements of care and/or an intervention.","author":[{"dropping-particle":"","family":"Hewitt","given":"C. E.","non-dropping-particle":"","parse-names":false,"suffix":""},{"dropping-particle":"","family":"Gilbody","given":"S. M.","non-dropping-particle":"","parse-names":false,"suffix":""}],"container-title":"BJOG: An International Journal of Obstetrics and Gynaecology","id":"ITEM-1","issue":"8","issued":{"date-parts":[["2009"]]},"page":"1019-1027","title":"Is it clinically and cost effective to screen for postnatal depression: A systematic review of controlled clinical trials and economic evidence","type":"article-journal","volume":"116"},"uris":["http://www.mendeley.com/documents/?uuid=c1cec376-7ca2-4209-a0b5-a594b22f77e8"]}],"mendeley":{"formattedCitation":"(Hewitt &amp; Gilbody 2009)","plainTextFormattedCitation":"(Hewitt &amp; Gilbody 2009)","previouslyFormattedCitation":"(Hewitt &amp; Gilbody 2009)"},"properties":{"noteIndex":0},"schema":"https://github.com/citation-style-language/schema/raw/master/csl-citation.json"}</w:instrText>
      </w:r>
      <w:r w:rsidR="009B793C" w:rsidRPr="00E51082">
        <w:rPr>
          <w:szCs w:val="24"/>
        </w:rPr>
        <w:fldChar w:fldCharType="separate"/>
      </w:r>
      <w:r w:rsidR="00EC15F5" w:rsidRPr="00E51082">
        <w:rPr>
          <w:noProof/>
          <w:sz w:val="24"/>
          <w:szCs w:val="24"/>
        </w:rPr>
        <w:t>(Hewitt &amp; Gilbody 2009)</w:t>
      </w:r>
      <w:r w:rsidR="009B793C" w:rsidRPr="00E51082">
        <w:rPr>
          <w:szCs w:val="24"/>
        </w:rPr>
        <w:fldChar w:fldCharType="end"/>
      </w:r>
      <w:r w:rsidR="00E45BE3" w:rsidRPr="00E51082">
        <w:rPr>
          <w:szCs w:val="24"/>
        </w:rPr>
        <w:t>.</w:t>
      </w:r>
      <w:r w:rsidR="00AA5AFF" w:rsidRPr="00E51082">
        <w:rPr>
          <w:sz w:val="24"/>
          <w:szCs w:val="24"/>
        </w:rPr>
        <w:t xml:space="preserve"> </w:t>
      </w:r>
      <w:r w:rsidR="00EA0926" w:rsidRPr="00E51082">
        <w:rPr>
          <w:sz w:val="24"/>
          <w:szCs w:val="24"/>
        </w:rPr>
        <w:t>Scores on the 10-item EPDS range from 0 to 30</w:t>
      </w:r>
      <w:r w:rsidR="00CC56C7" w:rsidRPr="00E51082">
        <w:rPr>
          <w:sz w:val="24"/>
          <w:szCs w:val="24"/>
        </w:rPr>
        <w:t>,</w:t>
      </w:r>
      <w:r w:rsidR="00EA0926" w:rsidRPr="00E51082">
        <w:rPr>
          <w:sz w:val="24"/>
          <w:szCs w:val="24"/>
        </w:rPr>
        <w:t xml:space="preserve"> higher scores indicat</w:t>
      </w:r>
      <w:r w:rsidR="00CC56C7" w:rsidRPr="00E51082">
        <w:rPr>
          <w:sz w:val="24"/>
          <w:szCs w:val="24"/>
        </w:rPr>
        <w:t>ing</w:t>
      </w:r>
      <w:r w:rsidR="00EA0926" w:rsidRPr="00E51082">
        <w:rPr>
          <w:sz w:val="24"/>
          <w:szCs w:val="24"/>
        </w:rPr>
        <w:t xml:space="preserve"> more depressive symptoms; a</w:t>
      </w:r>
      <w:r w:rsidR="00C12743" w:rsidRPr="00E51082">
        <w:rPr>
          <w:sz w:val="24"/>
          <w:szCs w:val="24"/>
        </w:rPr>
        <w:t xml:space="preserve">t-risk women were identified as those scoring 12 or </w:t>
      </w:r>
      <w:r w:rsidR="00EA0926" w:rsidRPr="00E51082">
        <w:rPr>
          <w:sz w:val="24"/>
          <w:szCs w:val="24"/>
        </w:rPr>
        <w:t>more</w:t>
      </w:r>
      <w:r w:rsidR="00C12743" w:rsidRPr="00E51082">
        <w:rPr>
          <w:sz w:val="24"/>
          <w:szCs w:val="24"/>
        </w:rPr>
        <w:t>.</w:t>
      </w:r>
      <w:r w:rsidR="001E015D" w:rsidRPr="00E51082">
        <w:rPr>
          <w:sz w:val="24"/>
          <w:szCs w:val="24"/>
        </w:rPr>
        <w:t xml:space="preserve"> </w:t>
      </w:r>
    </w:p>
    <w:p w14:paraId="57A417F3" w14:textId="61FBF13E" w:rsidR="00FE1663" w:rsidRPr="00E51082" w:rsidRDefault="002F4FEC" w:rsidP="00AB3604">
      <w:pPr>
        <w:pStyle w:val="BodyText2"/>
        <w:spacing w:after="120"/>
        <w:jc w:val="left"/>
        <w:rPr>
          <w:sz w:val="24"/>
          <w:szCs w:val="24"/>
        </w:rPr>
      </w:pPr>
      <w:r w:rsidRPr="00E51082">
        <w:rPr>
          <w:sz w:val="24"/>
          <w:szCs w:val="24"/>
        </w:rPr>
        <w:t>F</w:t>
      </w:r>
      <w:r w:rsidR="00FE1663" w:rsidRPr="00E51082">
        <w:rPr>
          <w:sz w:val="24"/>
          <w:szCs w:val="24"/>
        </w:rPr>
        <w:t xml:space="preserve">urther analyses of mental health outcomes in the subgroup of </w:t>
      </w:r>
      <w:r w:rsidR="00D32ABF" w:rsidRPr="00E51082">
        <w:rPr>
          <w:i/>
          <w:sz w:val="24"/>
          <w:szCs w:val="24"/>
        </w:rPr>
        <w:t>lower</w:t>
      </w:r>
      <w:r w:rsidR="003F523B" w:rsidRPr="00E51082">
        <w:rPr>
          <w:i/>
          <w:sz w:val="24"/>
          <w:szCs w:val="24"/>
        </w:rPr>
        <w:t>-</w:t>
      </w:r>
      <w:r w:rsidR="00D32ABF" w:rsidRPr="00E51082">
        <w:rPr>
          <w:i/>
          <w:sz w:val="24"/>
          <w:szCs w:val="24"/>
        </w:rPr>
        <w:t>risk</w:t>
      </w:r>
      <w:r w:rsidR="00D32ABF" w:rsidRPr="00E51082">
        <w:rPr>
          <w:sz w:val="24"/>
          <w:szCs w:val="24"/>
        </w:rPr>
        <w:t xml:space="preserve"> women </w:t>
      </w:r>
      <w:r w:rsidR="00FE1663" w:rsidRPr="00E51082">
        <w:rPr>
          <w:sz w:val="24"/>
          <w:szCs w:val="24"/>
        </w:rPr>
        <w:t xml:space="preserve">(EPDS score&lt;12) </w:t>
      </w:r>
      <w:r w:rsidR="00521767" w:rsidRPr="00E51082">
        <w:rPr>
          <w:sz w:val="24"/>
          <w:szCs w:val="24"/>
        </w:rPr>
        <w:t xml:space="preserve">in the PoNDER trial </w:t>
      </w:r>
      <w:r w:rsidR="00AA1BDA" w:rsidRPr="00E51082">
        <w:rPr>
          <w:sz w:val="24"/>
          <w:szCs w:val="24"/>
        </w:rPr>
        <w:t xml:space="preserve">at </w:t>
      </w:r>
      <w:r w:rsidR="00FE1663" w:rsidRPr="00E51082">
        <w:rPr>
          <w:sz w:val="24"/>
          <w:szCs w:val="24"/>
        </w:rPr>
        <w:t xml:space="preserve">6 weeks after childbirth suggested that participants in the intervention group had </w:t>
      </w:r>
      <w:r w:rsidR="00731A5F" w:rsidRPr="00E51082">
        <w:rPr>
          <w:sz w:val="24"/>
          <w:szCs w:val="24"/>
        </w:rPr>
        <w:t xml:space="preserve">a </w:t>
      </w:r>
      <w:r w:rsidR="00FE1663" w:rsidRPr="00E51082">
        <w:rPr>
          <w:sz w:val="24"/>
          <w:szCs w:val="24"/>
        </w:rPr>
        <w:t xml:space="preserve">reduced </w:t>
      </w:r>
      <w:r w:rsidR="00974A9F" w:rsidRPr="00E51082">
        <w:rPr>
          <w:sz w:val="24"/>
          <w:szCs w:val="24"/>
        </w:rPr>
        <w:t xml:space="preserve">risk of developing PND as indicated by reduction in EPDS scores </w:t>
      </w:r>
      <w:r w:rsidR="00482653" w:rsidRPr="00E51082">
        <w:rPr>
          <w:sz w:val="24"/>
          <w:szCs w:val="24"/>
        </w:rPr>
        <w:t>6</w:t>
      </w:r>
      <w:r w:rsidR="00E45BE3" w:rsidRPr="00E51082">
        <w:rPr>
          <w:sz w:val="24"/>
          <w:szCs w:val="24"/>
        </w:rPr>
        <w:t xml:space="preserve"> months after childbirth </w:t>
      </w:r>
      <w:r w:rsidRPr="00E51082">
        <w:rPr>
          <w:sz w:val="24"/>
          <w:szCs w:val="24"/>
        </w:rPr>
        <w:fldChar w:fldCharType="begin" w:fldLock="1"/>
      </w:r>
      <w:r w:rsidR="00706093">
        <w:rPr>
          <w:sz w:val="24"/>
          <w:szCs w:val="24"/>
        </w:rPr>
        <w:instrText>ADDIN CSL_CITATION {"citationItems":[{"id":"ITEM-1","itemData":{"DOI":"10.1017/S0033291710001467","ISBN":"1469-8978","ISSN":"0033-2917","PMID":"20716383","abstract":"To test whether receiving care from a health visitor (HV) trained in identification and psychological intervention methods prevents depression 6-18 months postnatally in women who are not depressed 6 weeks postnatally.","author":[{"dropping-particle":"","family":"Brugha","given":"T. S.","non-dropping-particle":"","parse-names":false,"suffix":""},{"dropping-particle":"","family":"Morrell","given":"C. J.","non-dropping-particle":"","parse-names":false,"suffix":""},{"dropping-particle":"","family":"Slade","given":"P.","non-dropping-particle":"","parse-names":false,"suffix":""},{"dropping-particle":"","family":"Walters","given":"S. J.","non-dropping-particle":"","parse-names":false,"suffix":""}],"container-title":"Psychological Medicine","id":"ITEM-1","issue":"04","issued":{"date-parts":[["2011","4","18"]]},"note":"NULL","page":"739-748","title":"Universal prevention of depression in women postnatally: cluster randomized trial evidence in primary care","type":"article-journal","volume":"41"},"uris":["http://www.mendeley.com/documents/?uuid=79de586f-82e6-4268-b933-5615be4fd12a"]}],"mendeley":{"formattedCitation":"(Brugha &lt;i&gt;et al.&lt;/i&gt; 2011)","plainTextFormattedCitation":"(Brugha et al. 2011)","previouslyFormattedCitation":"(Brugha &lt;i&gt;et al.&lt;/i&gt; 2011)"},"properties":{"noteIndex":0},"schema":"https://github.com/citation-style-language/schema/raw/master/csl-citation.json"}</w:instrText>
      </w:r>
      <w:r w:rsidRPr="00E51082">
        <w:rPr>
          <w:sz w:val="24"/>
          <w:szCs w:val="24"/>
        </w:rPr>
        <w:fldChar w:fldCharType="separate"/>
      </w:r>
      <w:r w:rsidR="00E45BE3" w:rsidRPr="00E51082">
        <w:rPr>
          <w:noProof/>
          <w:sz w:val="24"/>
          <w:szCs w:val="24"/>
        </w:rPr>
        <w:t xml:space="preserve">(Brugha </w:t>
      </w:r>
      <w:r w:rsidR="00E45BE3" w:rsidRPr="00E51082">
        <w:rPr>
          <w:i/>
          <w:noProof/>
          <w:sz w:val="24"/>
          <w:szCs w:val="24"/>
        </w:rPr>
        <w:t>et al.</w:t>
      </w:r>
      <w:r w:rsidR="00E45BE3" w:rsidRPr="00E51082">
        <w:rPr>
          <w:noProof/>
          <w:sz w:val="24"/>
          <w:szCs w:val="24"/>
        </w:rPr>
        <w:t xml:space="preserve"> 2011)</w:t>
      </w:r>
      <w:r w:rsidRPr="00E51082">
        <w:rPr>
          <w:sz w:val="24"/>
          <w:szCs w:val="24"/>
        </w:rPr>
        <w:fldChar w:fldCharType="end"/>
      </w:r>
      <w:r w:rsidR="00E45BE3" w:rsidRPr="00E51082">
        <w:rPr>
          <w:sz w:val="24"/>
          <w:szCs w:val="24"/>
        </w:rPr>
        <w:t>.</w:t>
      </w:r>
      <w:r w:rsidRPr="00E51082">
        <w:rPr>
          <w:sz w:val="24"/>
          <w:szCs w:val="24"/>
        </w:rPr>
        <w:t xml:space="preserve"> </w:t>
      </w:r>
      <w:r w:rsidR="00814F2A">
        <w:rPr>
          <w:sz w:val="24"/>
          <w:szCs w:val="24"/>
        </w:rPr>
        <w:t>While the</w:t>
      </w:r>
      <w:r w:rsidR="0018535F">
        <w:rPr>
          <w:sz w:val="24"/>
          <w:szCs w:val="24"/>
        </w:rPr>
        <w:t xml:space="preserve"> training</w:t>
      </w:r>
      <w:r w:rsidR="00814F2A">
        <w:rPr>
          <w:sz w:val="24"/>
          <w:szCs w:val="24"/>
        </w:rPr>
        <w:t xml:space="preserve"> intervention appeared to be effective,</w:t>
      </w:r>
      <w:r w:rsidR="009A4FF6" w:rsidRPr="009A4FF6">
        <w:rPr>
          <w:sz w:val="24"/>
          <w:szCs w:val="24"/>
        </w:rPr>
        <w:t xml:space="preserve"> that analysis did not address the</w:t>
      </w:r>
      <w:r w:rsidR="00814F2A">
        <w:rPr>
          <w:sz w:val="24"/>
          <w:szCs w:val="24"/>
        </w:rPr>
        <w:t xml:space="preserve"> </w:t>
      </w:r>
      <w:r w:rsidR="007728C7" w:rsidRPr="007728C7">
        <w:rPr>
          <w:sz w:val="24"/>
          <w:szCs w:val="24"/>
        </w:rPr>
        <w:t xml:space="preserve">separate question of </w:t>
      </w:r>
      <w:r w:rsidR="00814F2A">
        <w:rPr>
          <w:sz w:val="24"/>
          <w:szCs w:val="24"/>
        </w:rPr>
        <w:t xml:space="preserve">costs </w:t>
      </w:r>
      <w:r w:rsidR="007728C7" w:rsidRPr="007728C7">
        <w:rPr>
          <w:sz w:val="24"/>
          <w:szCs w:val="24"/>
        </w:rPr>
        <w:t xml:space="preserve">and cost-effectiveness. </w:t>
      </w:r>
      <w:r w:rsidR="00FC41AA">
        <w:rPr>
          <w:sz w:val="24"/>
          <w:szCs w:val="24"/>
        </w:rPr>
        <w:t>T</w:t>
      </w:r>
      <w:r w:rsidR="00FC41AA" w:rsidRPr="00FC41AA">
        <w:rPr>
          <w:sz w:val="24"/>
          <w:szCs w:val="24"/>
        </w:rPr>
        <w:t xml:space="preserve">here is a need to know whether the additional costs associated with providing this additional care are considered worthwhile in relation to the health benefit it produces. </w:t>
      </w:r>
      <w:r w:rsidR="0069600A" w:rsidRPr="00E51082">
        <w:rPr>
          <w:sz w:val="24"/>
          <w:szCs w:val="24"/>
        </w:rPr>
        <w:t>H</w:t>
      </w:r>
      <w:r w:rsidR="003F523B" w:rsidRPr="00E51082">
        <w:rPr>
          <w:sz w:val="24"/>
          <w:szCs w:val="24"/>
        </w:rPr>
        <w:t>ere we examine</w:t>
      </w:r>
      <w:r w:rsidR="0069600A" w:rsidRPr="00E51082">
        <w:rPr>
          <w:sz w:val="24"/>
          <w:szCs w:val="24"/>
        </w:rPr>
        <w:t xml:space="preserve"> cost-effectiveness </w:t>
      </w:r>
      <w:r w:rsidR="003F523B" w:rsidRPr="00E51082">
        <w:rPr>
          <w:sz w:val="24"/>
          <w:szCs w:val="24"/>
        </w:rPr>
        <w:t xml:space="preserve">of this </w:t>
      </w:r>
      <w:r w:rsidR="00440D08" w:rsidRPr="00E51082">
        <w:rPr>
          <w:i/>
          <w:sz w:val="24"/>
          <w:szCs w:val="24"/>
        </w:rPr>
        <w:t xml:space="preserve">universal </w:t>
      </w:r>
      <w:r w:rsidR="003F523B" w:rsidRPr="00E51082">
        <w:rPr>
          <w:i/>
          <w:sz w:val="24"/>
          <w:szCs w:val="24"/>
        </w:rPr>
        <w:t>preventive approach</w:t>
      </w:r>
      <w:r w:rsidR="0069600A" w:rsidRPr="00E51082">
        <w:rPr>
          <w:sz w:val="24"/>
          <w:szCs w:val="24"/>
        </w:rPr>
        <w:t xml:space="preserve"> </w:t>
      </w:r>
      <w:r w:rsidRPr="00E51082">
        <w:rPr>
          <w:sz w:val="24"/>
          <w:szCs w:val="24"/>
        </w:rPr>
        <w:t>for lower-risk women.</w:t>
      </w:r>
    </w:p>
    <w:p w14:paraId="4BC72851" w14:textId="47622324" w:rsidR="00FE1663" w:rsidRPr="00AB2C35" w:rsidRDefault="00FE1663" w:rsidP="00AB2C35">
      <w:pPr>
        <w:pStyle w:val="Heading1"/>
      </w:pPr>
      <w:r w:rsidRPr="00AB2C35">
        <w:lastRenderedPageBreak/>
        <w:t>M</w:t>
      </w:r>
      <w:r w:rsidR="00E7711B" w:rsidRPr="00AB2C35">
        <w:t>ethod</w:t>
      </w:r>
    </w:p>
    <w:p w14:paraId="1360BCC7" w14:textId="76E4D418" w:rsidR="000C0C4A" w:rsidRDefault="00FE1663" w:rsidP="004A2733">
      <w:r w:rsidRPr="00E51082">
        <w:rPr>
          <w:szCs w:val="24"/>
        </w:rPr>
        <w:t xml:space="preserve">The </w:t>
      </w:r>
      <w:r w:rsidR="00FD7785">
        <w:rPr>
          <w:szCs w:val="24"/>
        </w:rPr>
        <w:t xml:space="preserve">main </w:t>
      </w:r>
      <w:r w:rsidR="00DF5950" w:rsidRPr="00E51082">
        <w:rPr>
          <w:szCs w:val="24"/>
        </w:rPr>
        <w:t>PoNDER</w:t>
      </w:r>
      <w:r w:rsidRPr="00E51082">
        <w:rPr>
          <w:szCs w:val="24"/>
        </w:rPr>
        <w:t xml:space="preserve"> cluster</w:t>
      </w:r>
      <w:r w:rsidR="00AA3D05" w:rsidRPr="00E51082">
        <w:rPr>
          <w:szCs w:val="24"/>
        </w:rPr>
        <w:t>-</w:t>
      </w:r>
      <w:r w:rsidRPr="00E51082">
        <w:rPr>
          <w:szCs w:val="24"/>
        </w:rPr>
        <w:t>randomised controlled trial is detail</w:t>
      </w:r>
      <w:r w:rsidR="0020202B" w:rsidRPr="00E51082">
        <w:rPr>
          <w:szCs w:val="24"/>
        </w:rPr>
        <w:t>ed</w:t>
      </w:r>
      <w:r w:rsidRPr="00E51082">
        <w:rPr>
          <w:szCs w:val="24"/>
        </w:rPr>
        <w:t xml:space="preserve"> elsewhere</w:t>
      </w:r>
      <w:r w:rsidR="00E45BE3" w:rsidRPr="00E51082">
        <w:rPr>
          <w:szCs w:val="24"/>
        </w:rPr>
        <w:t xml:space="preserve"> </w:t>
      </w:r>
      <w:r w:rsidRPr="00E51082">
        <w:rPr>
          <w:szCs w:val="24"/>
        </w:rPr>
        <w:fldChar w:fldCharType="begin" w:fldLock="1"/>
      </w:r>
      <w:r w:rsidR="00706093">
        <w:rPr>
          <w:szCs w:val="24"/>
        </w:rPr>
        <w:instrText>ADDIN CSL_CITATION {"citationItems":[{"id":"ITEM-1","itemData":{"DOI":"10.3310/hta13300","ISBN":"2046-4924 (Electronic)\r1366-5278 (Linking)","PMID":"19555590","abstract":"OBJECTIVES: To investigate outcomes for postnatal women attributed to special training for health visitors (HVs) in systematically identifying postnatal depression and delivering psychologically informed interventions, and to establish the cost-effectiveness of the intervention. DESIGN: A pragmatic randomised cluster trial with clusters allocated to experimental HV training arms or control, with an 18-month follow-up. SETTING: GP practices in the former Trent Regional Health Authority. PARTICIPANTS: Women registered with participating GP practices who became 36 weeks pregnant during the recruitment phase of the trial, had a live baby and were on a collaborating HV's caseload for 4 months postnatally. INTERVENTION: HV training in the assessment of postnatal women, combined with either cognitive behavioural approach (CBA) or person-centred approach (PCA) sessions for eligible women, plus the option of a selective serotonin reuptake inhibitor if indicated. MAIN OUTCOME MEASURES: The primary outcome was the proportion of at-risk women with a 6-month Edinburgh Postnatal Depression Scale (EPDS) score &gt; or = 12. The primary comparison was between at-risk women in the combined clusters randomised to HV training and women in practices randomised to provide HV usual care. The secondary comparison was to determine any differences between the proportions of women with a 6-month EPDS score &gt; or = 12 in the CBA and PCA groups. RESULTS: HVs in 101 clusters in 29 primary care trusts collaborated in the study. From 7649 eligible women 4084 (53.4%) consented to take part: 17.3% (595/3449) of women who returned a 6-week questionnaire had a 6-week EPDS score &gt; or = 12 and were at-risk women; 70.3% (418/595) of at-risk women had a 6-month EPDS score available. In total, 45.6% (67/147) of control group (CG) at-risk women had a 6-month EPDS score &gt; or = 12 versus 33.9% (93/271) of intervention group (IG) women (p = 0.036). A total of 32.9% (46/140) of at-risk women in the CBA group versus 35.1% (46/131) in the PCA group had a 6-month EPDS score &gt; or = 12 (p = 0.74). The CG mean 6-month EPDS score for at-risk women was 11.3 (SD 5.8) versus 9.2 (SD 5.4) for the IG (p = 0.002) and this remained statistically significant after adjusting for 6-week variables (p = 0.001). In total, 16.4% (150/914) of all women in the CG had a 6-month EPDS score &gt; or = 12 compared with 11.7% (205/1745) in the IG (p = 0.003). The CG mean 6-month EPDS score for all women was 6.4 (SD 5.2) compared with…","author":[{"dropping-particle":"","family":"Morrell","given":"C J","non-dropping-particle":"","parse-names":false,"suffix":""},{"dropping-particle":"","family":"Warner","given":"R","non-dropping-particle":"","parse-names":false,"suffix":""},{"dropping-particle":"","family":"Slade","given":"P","non-dropping-particle":"","parse-names":false,"suffix":""},{"dropping-particle":"","family":"Dixon","given":"S","non-dropping-particle":"","parse-names":false,"suffix":""},{"dropping-particle":"","family":"Walters","given":"S","non-dropping-particle":"","parse-names":false,"suffix":""},{"dropping-particle":"","family":"Paley","given":"G","non-dropping-particle":"","parse-names":false,"suffix":""},{"dropping-particle":"","family":"Brugha","given":"T","non-dropping-particle":"","parse-names":false,"suffix":""}],"container-title":"Health Technol Assess","edition":"2009/06/27","id":"ITEM-1","issue":"30","issued":{"date-parts":[["2009"]]},"language":"eng","note":"Morrell, C J\nWarner, R\nSlade, P\nDixon, S\nWalters, S\nPaley, G\nBrugha, T\nRandomized Controlled Trial\nResearch Support, Non-U.S. Gov't\nEngland\nHealth technology assessment (Winchester, England)\nHealth Technol Assess. 2009 Jun;13(30):iii-iv, xi-xiii, 1-153. doi: 10.3310/hta13300.","page":"iii-iv, xi-xiii, 1-153","title":"Psychological interventions for postnatal depression: cluster randomised trial and economic evaluation. The PoNDER trial","type":"article-journal","volume":"13"},"uris":["http://www.mendeley.com/documents/?uuid=b5e9f0ca-d9c5-4aa1-8b95-5884234a3e08"]},{"id":"ITEM-2","itemData":{"DOI":"10.1136/bmj.a3045\r338/jan15_2/a3045 [pii]","ISBN":"1756-1833 (Electronic)\r0959-535X (Linking)","PMID":"19147636","abstract":"OBJECTIVE: To evaluate benefits for postnatal women of two psychologically informed interventions by health visitors. DESIGN: Prospective cluster trial randomised by general practice, with 18 month follow-up. SETTING: 101 general practices in Trent, England. PARTICIPANTS: 2749 women allocated to intervention, 1335 to control. INTERVENTION: Health visitors (n=89 63 clusters) were trained to identify depressive symptoms at six to eight weeks postnatally using the Edinburgh postnatal depression scale (EPDS) and clinical assessment and also trained in providing psychologically informed sessions based on cognitive behavioural or person centred principles for an hour a week for eight weeks. Health visitors in the control group (n=49 38 clusters) provided usual care. MAIN OUTCOME MEASURES: Score &gt;or=12 on the Edinburgh postnatal depression scale at six months. Secondary outcomes were mean Edinburgh postnatal depression scale, clinical outcomes in routine evaluation-outcome measure (CORE-OM), state-trait anxiety inventory (STAI), SF-12, and parenting stress index short form (PSI-SF) scores at six, 12, 18 months. RESULTS: 4084 eligible women consented and 595 women had a six week EPDS score &gt;or=12. Of these, 418 had EPDS scores available at six weeks and six months. At six months, 34% women (93/271) in the intervention group and 46% (67/147) in the control group had an EPDS score &gt;or=12. The odds ratio for score &gt;or=12 at six months was 0.62 (95% confidence interval 0.40 to 0.97, P=0.036) for women in the intervention group compared with women in the control group. After adjustment for covariates, the odds ratio was 0.60 (0.38 to 0.95, P=0.028). At six months, 12.4% (234/1880) of all women in the intervention group and 16.7% (166/995) of all women in the control group had scores &gt;or=12 (0.67, 0.51 to 0.87, P=0.003). Benefit for women in the intervention group with a six week EPDS score &gt;or=12 and for all women was maintained at 12 months postnatally. There was no differential benefit for either psychological approach over the other. CONCLUSION: Training health visitors to assess women, identify symptoms of postnatal depression, and deliver psychologically informed sessions was clinically effective at six and 12 months postnatally compared with usual care. TRIAL REGISTRATION: ISRCTN92195776.","author":[{"dropping-particle":"","family":"Morrell","given":"C J","non-dropping-particle":"","parse-names":false,"suffix":""},{"dropping-particle":"","family":"Slade","given":"P","non-dropping-particle":"","parse-names":false,"suffix":""},{"dropping-particle":"","family":"Warner","given":"R","non-dropping-particle":"","parse-names":false,"suffix":""},{"dropping-particle":"","family":"Paley","given":"G","non-dropping-particle":"","parse-names":false,"suffix":""},{"dropping-particle":"","family":"Dixon","given":"S","non-dropping-particle":"","parse-names":false,"suffix":""},{"dropping-particle":"","family":"Walters","given":"S J","non-dropping-particle":"","parse-names":false,"suffix":""},{"dropping-particle":"","family":"Brugha","given":"T","non-dropping-particle":"","parse-names":false,"suffix":""},{"dropping-particle":"","family":"Barkham","given":"M","non-dropping-particle":"","parse-names":false,"suffix":""},{"dropping-particle":"","family":"Parry","given":"G J","non-dropping-particle":"","parse-names":false,"suffix":""},{"dropping-particle":"","family":"Nicholl","given":"J","non-dropping-particle":"","parse-names":false,"suffix":""}],"container-title":"BMJ","edition":"2009/01/17","id":"ITEM-2","issued":{"date-parts":[["2009"]]},"language":"eng","note":"Morrell, C Jane\nSlade, Pauline\nWarner, Rachel\nPaley, Graham\nDixon, Simon\nWalters, Stephen J\nBrugha, Traolach\nBarkham, Michael\nParry, Gareth J\nNicholl, Jon\nMulticenter Study\nRandomized Controlled Trial\nResearch Support, Non-U.S. Gov't\nEngland\nBMJ (Clinical research ed.)\nBMJ. 2009 Jan 15;338:a3045. doi: 10.1136/bmj.a3045.","page":"a3045","title":"Clinical effectiveness of health visitor training in psychologically informed approaches for depression in postnatal women: pragmatic cluster randomised trial in primary care","type":"article-journal","volume":"338"},"uris":["http://www.mendeley.com/documents/?uuid=e643afea-8a51-4220-9244-1a1265edf372"]}],"mendeley":{"formattedCitation":"(Morrell &lt;i&gt;et al.&lt;/i&gt; 2009b, 2009a)","plainTextFormattedCitation":"(Morrell et al. 2009b, 2009a)","previouslyFormattedCitation":"(Morrell &lt;i&gt;et al.&lt;/i&gt; 2009b, 2009a)"},"properties":{"noteIndex":0},"schema":"https://github.com/citation-style-language/schema/raw/master/csl-citation.json"}</w:instrText>
      </w:r>
      <w:r w:rsidRPr="00E51082">
        <w:rPr>
          <w:szCs w:val="24"/>
        </w:rPr>
        <w:fldChar w:fldCharType="separate"/>
      </w:r>
      <w:r w:rsidR="001A2E66" w:rsidRPr="001A2E66">
        <w:rPr>
          <w:noProof/>
          <w:szCs w:val="24"/>
        </w:rPr>
        <w:t xml:space="preserve">(Morrell </w:t>
      </w:r>
      <w:r w:rsidR="001A2E66" w:rsidRPr="001A2E66">
        <w:rPr>
          <w:i/>
          <w:noProof/>
          <w:szCs w:val="24"/>
        </w:rPr>
        <w:t>et al.</w:t>
      </w:r>
      <w:r w:rsidR="001A2E66" w:rsidRPr="001A2E66">
        <w:rPr>
          <w:noProof/>
          <w:szCs w:val="24"/>
        </w:rPr>
        <w:t xml:space="preserve"> 2009b, 2009a)</w:t>
      </w:r>
      <w:r w:rsidRPr="00E51082">
        <w:rPr>
          <w:szCs w:val="24"/>
        </w:rPr>
        <w:fldChar w:fldCharType="end"/>
      </w:r>
      <w:r w:rsidR="00E45BE3" w:rsidRPr="00E51082">
        <w:rPr>
          <w:szCs w:val="24"/>
        </w:rPr>
        <w:t>.</w:t>
      </w:r>
      <w:r w:rsidRPr="00E51082">
        <w:rPr>
          <w:szCs w:val="24"/>
        </w:rPr>
        <w:t xml:space="preserve"> </w:t>
      </w:r>
      <w:r w:rsidR="00EB38B2" w:rsidRPr="00E51082">
        <w:rPr>
          <w:szCs w:val="24"/>
        </w:rPr>
        <w:t>T</w:t>
      </w:r>
      <w:r w:rsidRPr="00E51082">
        <w:rPr>
          <w:szCs w:val="24"/>
        </w:rPr>
        <w:t xml:space="preserve">he trial randomised 101 general practitioner (GP) practices to either </w:t>
      </w:r>
      <w:r w:rsidR="00482653" w:rsidRPr="00E51082">
        <w:rPr>
          <w:szCs w:val="24"/>
        </w:rPr>
        <w:t xml:space="preserve">(a) </w:t>
      </w:r>
      <w:r w:rsidRPr="00E51082">
        <w:rPr>
          <w:szCs w:val="24"/>
        </w:rPr>
        <w:t xml:space="preserve">‘usual </w:t>
      </w:r>
      <w:r w:rsidR="00126A85" w:rsidRPr="00E51082">
        <w:rPr>
          <w:szCs w:val="24"/>
        </w:rPr>
        <w:t xml:space="preserve">health visitor </w:t>
      </w:r>
      <w:r w:rsidRPr="00E51082">
        <w:rPr>
          <w:szCs w:val="24"/>
        </w:rPr>
        <w:t>care’</w:t>
      </w:r>
      <w:r w:rsidR="007B497A" w:rsidRPr="00E51082">
        <w:rPr>
          <w:szCs w:val="24"/>
        </w:rPr>
        <w:t xml:space="preserve">  (n=38 clusters</w:t>
      </w:r>
      <w:r w:rsidR="00DF5A86" w:rsidRPr="00E51082">
        <w:rPr>
          <w:szCs w:val="24"/>
        </w:rPr>
        <w:t>;</w:t>
      </w:r>
      <w:r w:rsidR="007B497A" w:rsidRPr="00E51082">
        <w:rPr>
          <w:szCs w:val="24"/>
        </w:rPr>
        <w:t xml:space="preserve"> 1 cluster lost to follow-up)</w:t>
      </w:r>
      <w:r w:rsidR="00AA3D05" w:rsidRPr="00E51082">
        <w:rPr>
          <w:szCs w:val="24"/>
        </w:rPr>
        <w:t xml:space="preserve">; </w:t>
      </w:r>
      <w:r w:rsidR="00482653" w:rsidRPr="00E51082">
        <w:rPr>
          <w:szCs w:val="24"/>
        </w:rPr>
        <w:t xml:space="preserve">(b) </w:t>
      </w:r>
      <w:r w:rsidRPr="00E51082">
        <w:rPr>
          <w:szCs w:val="24"/>
        </w:rPr>
        <w:t xml:space="preserve">care by HVs trained in </w:t>
      </w:r>
      <w:r w:rsidR="00521767" w:rsidRPr="00E51082">
        <w:rPr>
          <w:szCs w:val="24"/>
        </w:rPr>
        <w:t xml:space="preserve">assessing postnatal for symptoms of </w:t>
      </w:r>
      <w:r w:rsidR="00F06C92">
        <w:rPr>
          <w:szCs w:val="24"/>
        </w:rPr>
        <w:t xml:space="preserve">PND </w:t>
      </w:r>
      <w:r w:rsidR="00521767" w:rsidRPr="00E51082">
        <w:rPr>
          <w:szCs w:val="24"/>
        </w:rPr>
        <w:t xml:space="preserve">and </w:t>
      </w:r>
      <w:r w:rsidRPr="00E51082">
        <w:rPr>
          <w:szCs w:val="24"/>
        </w:rPr>
        <w:t xml:space="preserve">a cognitive behavioural approach </w:t>
      </w:r>
      <w:r w:rsidR="00521767" w:rsidRPr="00E51082">
        <w:rPr>
          <w:szCs w:val="24"/>
        </w:rPr>
        <w:t xml:space="preserve">(CBA) </w:t>
      </w:r>
      <w:r w:rsidRPr="00E51082">
        <w:rPr>
          <w:szCs w:val="24"/>
        </w:rPr>
        <w:t xml:space="preserve">to address </w:t>
      </w:r>
      <w:r w:rsidR="00330150" w:rsidRPr="00E51082">
        <w:rPr>
          <w:szCs w:val="24"/>
        </w:rPr>
        <w:t>postnatal</w:t>
      </w:r>
      <w:r w:rsidRPr="00E51082">
        <w:rPr>
          <w:szCs w:val="24"/>
        </w:rPr>
        <w:t xml:space="preserve"> psychological problems</w:t>
      </w:r>
      <w:r w:rsidR="000D666E" w:rsidRPr="00E51082">
        <w:rPr>
          <w:szCs w:val="24"/>
        </w:rPr>
        <w:t xml:space="preserve"> (n=</w:t>
      </w:r>
      <w:r w:rsidR="00DE1259" w:rsidRPr="00E51082">
        <w:rPr>
          <w:szCs w:val="24"/>
        </w:rPr>
        <w:t>30</w:t>
      </w:r>
      <w:r w:rsidR="007B497A" w:rsidRPr="00E51082">
        <w:rPr>
          <w:szCs w:val="24"/>
        </w:rPr>
        <w:t xml:space="preserve"> clusters)</w:t>
      </w:r>
      <w:r w:rsidR="00AA3D05" w:rsidRPr="00E51082">
        <w:rPr>
          <w:szCs w:val="24"/>
        </w:rPr>
        <w:t xml:space="preserve">; </w:t>
      </w:r>
      <w:r w:rsidRPr="00E51082">
        <w:rPr>
          <w:szCs w:val="24"/>
        </w:rPr>
        <w:t xml:space="preserve">or </w:t>
      </w:r>
      <w:r w:rsidR="00482653" w:rsidRPr="00E51082">
        <w:rPr>
          <w:szCs w:val="24"/>
        </w:rPr>
        <w:t xml:space="preserve">(c) </w:t>
      </w:r>
      <w:r w:rsidRPr="00E51082">
        <w:rPr>
          <w:szCs w:val="24"/>
        </w:rPr>
        <w:t xml:space="preserve">care by HVs trained in </w:t>
      </w:r>
      <w:r w:rsidR="00521767" w:rsidRPr="00E51082">
        <w:rPr>
          <w:szCs w:val="24"/>
        </w:rPr>
        <w:t xml:space="preserve">assessing women for symptoms of </w:t>
      </w:r>
      <w:r w:rsidR="00F06C92">
        <w:rPr>
          <w:szCs w:val="24"/>
        </w:rPr>
        <w:t xml:space="preserve">PND </w:t>
      </w:r>
      <w:r w:rsidR="00521767" w:rsidRPr="00E51082">
        <w:rPr>
          <w:szCs w:val="24"/>
        </w:rPr>
        <w:t xml:space="preserve">and </w:t>
      </w:r>
      <w:r w:rsidRPr="00E51082">
        <w:rPr>
          <w:szCs w:val="24"/>
        </w:rPr>
        <w:t xml:space="preserve">a </w:t>
      </w:r>
      <w:r w:rsidRPr="00E51082">
        <w:rPr>
          <w:rStyle w:val="CommentReference"/>
          <w:sz w:val="24"/>
          <w:szCs w:val="24"/>
        </w:rPr>
        <w:t>person</w:t>
      </w:r>
      <w:r w:rsidRPr="00E51082">
        <w:rPr>
          <w:szCs w:val="24"/>
        </w:rPr>
        <w:t xml:space="preserve">-centred approach </w:t>
      </w:r>
      <w:r w:rsidR="00521767" w:rsidRPr="00E51082">
        <w:rPr>
          <w:szCs w:val="24"/>
        </w:rPr>
        <w:t xml:space="preserve">(PCA) </w:t>
      </w:r>
      <w:r w:rsidRPr="00E51082">
        <w:rPr>
          <w:szCs w:val="24"/>
        </w:rPr>
        <w:t xml:space="preserve">to address </w:t>
      </w:r>
      <w:r w:rsidR="00330150" w:rsidRPr="00E51082">
        <w:rPr>
          <w:szCs w:val="24"/>
        </w:rPr>
        <w:t>postnatal</w:t>
      </w:r>
      <w:r w:rsidRPr="00E51082">
        <w:rPr>
          <w:szCs w:val="24"/>
        </w:rPr>
        <w:t xml:space="preserve"> psychological problems</w:t>
      </w:r>
      <w:r w:rsidR="007B497A" w:rsidRPr="00E51082">
        <w:rPr>
          <w:szCs w:val="24"/>
        </w:rPr>
        <w:t xml:space="preserve"> </w:t>
      </w:r>
      <w:r w:rsidR="000D666E" w:rsidRPr="00E51082">
        <w:rPr>
          <w:szCs w:val="24"/>
        </w:rPr>
        <w:t>(n=</w:t>
      </w:r>
      <w:r w:rsidR="00DE1259" w:rsidRPr="00E51082">
        <w:rPr>
          <w:szCs w:val="24"/>
        </w:rPr>
        <w:t xml:space="preserve">32 </w:t>
      </w:r>
      <w:r w:rsidR="007B497A" w:rsidRPr="00E51082">
        <w:rPr>
          <w:szCs w:val="24"/>
        </w:rPr>
        <w:t>clusters)</w:t>
      </w:r>
      <w:r w:rsidRPr="00E51082">
        <w:rPr>
          <w:szCs w:val="24"/>
        </w:rPr>
        <w:t xml:space="preserve">. </w:t>
      </w:r>
      <w:r w:rsidR="00127E2E">
        <w:t xml:space="preserve">HVs </w:t>
      </w:r>
      <w:r w:rsidR="00127E2E" w:rsidRPr="003F239E">
        <w:t xml:space="preserve">received brief </w:t>
      </w:r>
      <w:r w:rsidR="00127E2E">
        <w:t xml:space="preserve">training derived from CBT principles </w:t>
      </w:r>
      <w:r w:rsidR="00127E2E">
        <w:fldChar w:fldCharType="begin" w:fldLock="1"/>
      </w:r>
      <w:r w:rsidR="00706093">
        <w:instrText>ADDIN CSL_CITATION {"citationItems":[{"id":"ITEM-1","itemData":{"DOI":"10.1136/BMJ.314.7085.932","ISSN":"0959-8138","PMID":"9099116","abstract":"OBJECTIVE To study the effectiveness of fluoxetine and cognitive-behavioural counselling in depressive illness in postnatal women: to compare fluoxetine and placebo, six sessions and one session of counselling, and combinations of drugs and counselling. DESIGN Randomised, controlled treatment trial, double blind in relation to drug treatment, with four treatment cells: fluoxetine or placebo plus one or six sessions of counselling. SUBJECTS 87 women satisfying criteria for depressive illness 6-8 weeks after childbirth, 61 (70%) of whom completed 12 weeks of treatment. SETTING Community based study in south Manchester. MAIN OUTCOME MEASURES Psychiatric morbidity after 1, 4, and 12 weeks, measured as mean scores and 95% confidence limits on the revised clinical interview schedule, the Edinburgh postnatal depression scale and the Hamilton depression scale. RESULTS Highly significant improvement was seen in all four treatment groups. The improvement in subjects receiving fluoxetine was significantly greater than in those receiving placebo. The improvement after six sessions of counselling was significantly greater than after a single session. Interaction between counselling and fluoxetine was not statistically significant. These differences were evident after one week, and improvement in all groups was complete after four weeks. CONCLUSIONS Both fluoxetine and cognitive-behavioural counselling given as a course of therapy are effective treatments for non-psychotic depression in postnatal women. After an initial session of counselling, additional benefit results from either fluoxetine or further counselling but there seems to be no advantage in receiving both. The choice of treatment may therefore be made by the women themselves.","author":[{"dropping-particle":"","family":"Appleby","given":"L","non-dropping-particle":"","parse-names":false,"suffix":""},{"dropping-particle":"","family":"Warner","given":"R","non-dropping-particle":"","parse-names":false,"suffix":""},{"dropping-particle":"","family":"Whitton","given":"A","non-dropping-particle":"","parse-names":false,"suffix":""},{"dropping-particle":"","family":"Faragher","given":"B","non-dropping-particle":"","parse-names":false,"suffix":""}],"container-title":"BMJ (Clinical research ed.)","id":"ITEM-1","issue":"7085","issued":{"date-parts":[["1997","3","29"]]},"page":"932-6","publisher":"British Medical Journal Publishing Group","title":"A controlled study of fluoxetine and cognitive-behavioural counselling in the treatment of postnatal depression.","type":"article-journal","volume":"314"},"uris":["http://www.mendeley.com/documents/?uuid=4771caad-8552-3880-beee-2258e44896fd"]}],"mendeley":{"formattedCitation":"(Appleby &lt;i&gt;et al.&lt;/i&gt; 1997)","plainTextFormattedCitation":"(Appleby et al. 1997)","previouslyFormattedCitation":"(Appleby &lt;i&gt;et al.&lt;/i&gt; 1997)"},"properties":{"noteIndex":0},"schema":"https://github.com/citation-style-language/schema/raw/master/csl-citation.json"}</w:instrText>
      </w:r>
      <w:r w:rsidR="00127E2E">
        <w:fldChar w:fldCharType="separate"/>
      </w:r>
      <w:r w:rsidR="00127E2E" w:rsidRPr="00B72291">
        <w:rPr>
          <w:noProof/>
        </w:rPr>
        <w:t xml:space="preserve">(Appleby </w:t>
      </w:r>
      <w:r w:rsidR="00127E2E" w:rsidRPr="00B72291">
        <w:rPr>
          <w:i/>
          <w:noProof/>
        </w:rPr>
        <w:t>et al.</w:t>
      </w:r>
      <w:r w:rsidR="00127E2E" w:rsidRPr="00B72291">
        <w:rPr>
          <w:noProof/>
        </w:rPr>
        <w:t xml:space="preserve"> 1997)</w:t>
      </w:r>
      <w:r w:rsidR="00127E2E">
        <w:fldChar w:fldCharType="end"/>
      </w:r>
      <w:r w:rsidR="00127E2E">
        <w:t xml:space="preserve"> for the CBA arm or from person-centred counselling principles </w:t>
      </w:r>
      <w:r w:rsidR="00127E2E">
        <w:fldChar w:fldCharType="begin" w:fldLock="1"/>
      </w:r>
      <w:r w:rsidR="00706093">
        <w:instrText>ADDIN CSL_CITATION {"citationItems":[{"id":"ITEM-1","itemData":{"DOI":"10.1136/BMJ.298.6668.223","ISSN":"0959-8138","PMID":"2493868","abstract":"OBJECTIVE To determine whether counselling by health visitors is helpful in managing postnatal depression. DESIGN Controlled, random order trial. SETTING Health centres in Edinburgh and Livingston. PATIENTS Sixty women identified as depressed by screening at six weeks post partum and by psychiatric interview at about 13 weeks post partum. Five women did not wish to participate, and a further five did not complete the trial. Age, social and obstetric factors, and diagnosis were similar in women who completed the trial and those who withdrew. INTERVENTION Eight weekly counselling visits by health visitors who had been given a short training in counselling for postnatal depression. END POINT Reduction of depression. MEASUREMENTS and main results--Standardised psychiatric interviews and a 10 point self report scale were used to identify depression before and after intervention. The psychiatrist was not told to which group women were allocated. After three months 18 (69%) of the 26 women in the treatment group had fully recovered compared with nine (38%) of the 24 in the control group. The difference between the groups was thus 32% (95% confidence interval 5 to 58). CONCLUSIONS Counselling by health visitors is valuable in managing non-psychotic postnatal depression.","author":[{"dropping-particle":"","family":"Holden","given":"J M","non-dropping-particle":"","parse-names":false,"suffix":""},{"dropping-particle":"","family":"Sagovsky","given":"R","non-dropping-particle":"","parse-names":false,"suffix":""},{"dropping-particle":"","family":"Cox","given":"J L","non-dropping-particle":"","parse-names":false,"suffix":""}],"container-title":"BMJ (Clinical research ed.)","id":"ITEM-1","issue":"6668","issued":{"date-parts":[["1989","1","28"]]},"page":"223-6","publisher":"British Medical Journal Publishing Group","title":"Counselling in a general practice setting: controlled study of health visitor intervention in treatment of postnatal depression.","type":"article-journal","volume":"298"},"uris":["http://www.mendeley.com/documents/?uuid=672a889b-4917-3d2b-b368-d26567c97417"]}],"mendeley":{"formattedCitation":"(Holden &lt;i&gt;et al.&lt;/i&gt; 1989)","plainTextFormattedCitation":"(Holden et al. 1989)","previouslyFormattedCitation":"(Holden &lt;i&gt;et al.&lt;/i&gt; 1989)"},"properties":{"noteIndex":0},"schema":"https://github.com/citation-style-language/schema/raw/master/csl-citation.json"}</w:instrText>
      </w:r>
      <w:r w:rsidR="00127E2E">
        <w:fldChar w:fldCharType="separate"/>
      </w:r>
      <w:r w:rsidR="00127E2E" w:rsidRPr="00B72291">
        <w:rPr>
          <w:noProof/>
        </w:rPr>
        <w:t xml:space="preserve">(Holden </w:t>
      </w:r>
      <w:r w:rsidR="00127E2E" w:rsidRPr="00B72291">
        <w:rPr>
          <w:i/>
          <w:noProof/>
        </w:rPr>
        <w:t>et al.</w:t>
      </w:r>
      <w:r w:rsidR="00127E2E" w:rsidRPr="00B72291">
        <w:rPr>
          <w:noProof/>
        </w:rPr>
        <w:t xml:space="preserve"> 1989)</w:t>
      </w:r>
      <w:r w:rsidR="00127E2E">
        <w:fldChar w:fldCharType="end"/>
      </w:r>
      <w:r w:rsidR="00127E2E">
        <w:t>, for the PCA arm</w:t>
      </w:r>
      <w:r w:rsidR="00685741">
        <w:t xml:space="preserve"> </w:t>
      </w:r>
      <w:r w:rsidR="00685741">
        <w:fldChar w:fldCharType="begin" w:fldLock="1"/>
      </w:r>
      <w:r w:rsidR="00706093">
        <w:instrText>ADDIN CSL_CITATION {"citationItems":[{"id":"ITEM-1","itemData":{"DOI":"10.1017/S1463423610000344\rS1463423610000344 [pii]","ISBN":"1477-1128 (Electronic)\r1463-4236 (Linking)","PMID":"21426611","abstract":"AIM: This paper aims to describe the training preparation for health visitors who took part in the intervention arm of a cluster randomised controlled trial and economic evaluation of training for health visitors - the POstNatal Depression Economic evaluation and Randomised (the PoNDER) trial. A secondary aim is to make available, by electronic links, the training manuals developed for and used for the cognitive behavioural approach (CBA) and the person-centred approach (PCA) training for the health visitors. The paper is of relevance to health visitors, general practitioners, nurse practitioners, midwives, clinical psychologists, mental health nurses, community psychiatric nurses, counsellors, and service commissioners. BACKGROUND: The trial clinical outcomes have been published, indicating the pragmatic effectiveness of the package of training for health visitors to identify depressive symptoms and provide a psychologically informed intervention. The training was associated with a reduction in depressive symptoms at six months postnatally among intervention group women and some evidence of a benefit for the intervention group for some of the secondary outcomes at 18 months follow-up. METHODS: The two experimental interventions examined in the PoNDER trial built upon promising work on the potential for psychological interventions to help women recover from postnatal depression as an alternative to pharmaceutical interventions and to address the limitations of previous research in the area. FINDINGS: The package of health visitor training comprised the development of clinical skills in assessing postnatal women and identifying depressive symptoms, and the delivery of a CBA or a PCA for eligible women. This was the largest trial a health visitor intervention and of postnatal depression ever conducted. We are aware of no other rigorously performed trial that has published details of an extensively tested training programme for the benefit of health-care professionals and clients.","author":[{"dropping-particle":"","family":"Morrell","given":"C J","non-dropping-particle":"","parse-names":false,"suffix":""},{"dropping-particle":"","family":"Ricketts","given":"T","non-dropping-particle":"","parse-names":false,"suffix":""},{"dropping-particle":"","family":"Tudor","given":"K","non-dropping-particle":"","parse-names":false,"suffix":""},{"dropping-particle":"","family":"Williams","given":"C","non-dropping-particle":"","parse-names":false,"suffix":""},{"dropping-particle":"","family":"Curran","given":"J","non-dropping-particle":"","parse-names":false,"suffix":""},{"dropping-particle":"","family":"Barkham","given":"M","non-dropping-particle":"","parse-names":false,"suffix":""}],"container-title":"Prim Health Care Res Dev","edition":"2011/03/24","id":"ITEM-1","issue":"1","issued":{"date-parts":[["2011"]]},"language":"eng","note":"Morrell, C Jane\nRicketts, Tom\nTudor, Keith\nWilliams, Chris\nCurran, Joe\nBarkham, Michael\nRandomized Controlled Trial\nEngland\nPrimary health care research &amp;amp; development\nPrim Health Care Res Dev. 2011 Jan;12(1):11-20. doi: 10.1017/S1463423610000344.","page":"11-20","title":"Training health visitors in cognitive behavioural and person-centred approaches for depression in postnatal women as part of a cluster randomised trial and economic evaluation in primary care: the PoNDER trial","type":"article-journal","volume":"12"},"uris":["http://www.mendeley.com/documents/?uuid=3402963a-879d-4386-aaf2-b721021624fd"]}],"mendeley":{"formattedCitation":"(Morrell &lt;i&gt;et al.&lt;/i&gt; 2011)","plainTextFormattedCitation":"(Morrell et al. 2011)","previouslyFormattedCitation":"(Morrell &lt;i&gt;et al.&lt;/i&gt; 2011)"},"properties":{"noteIndex":0},"schema":"https://github.com/citation-style-language/schema/raw/master/csl-citation.json"}</w:instrText>
      </w:r>
      <w:r w:rsidR="00685741">
        <w:fldChar w:fldCharType="separate"/>
      </w:r>
      <w:r w:rsidR="00685741" w:rsidRPr="00685741">
        <w:rPr>
          <w:noProof/>
        </w:rPr>
        <w:t xml:space="preserve">(Morrell </w:t>
      </w:r>
      <w:r w:rsidR="00685741" w:rsidRPr="00685741">
        <w:rPr>
          <w:i/>
          <w:noProof/>
        </w:rPr>
        <w:t>et al.</w:t>
      </w:r>
      <w:r w:rsidR="00685741" w:rsidRPr="00685741">
        <w:rPr>
          <w:noProof/>
        </w:rPr>
        <w:t xml:space="preserve"> 2011)</w:t>
      </w:r>
      <w:r w:rsidR="00685741">
        <w:fldChar w:fldCharType="end"/>
      </w:r>
      <w:r w:rsidR="00127E2E">
        <w:t xml:space="preserve">. </w:t>
      </w:r>
      <w:r w:rsidR="00127E2E" w:rsidRPr="004A2733">
        <w:t>The training was carried out by Masters-</w:t>
      </w:r>
      <w:r w:rsidR="00127E2E" w:rsidRPr="00167D33">
        <w:t xml:space="preserve">level trainers and was equivalent for both </w:t>
      </w:r>
      <w:r w:rsidR="00191CC1" w:rsidRPr="00167D33">
        <w:t xml:space="preserve">the CBA and PCA </w:t>
      </w:r>
      <w:r w:rsidR="00127E2E" w:rsidRPr="00167D33">
        <w:t xml:space="preserve">arms (1 day </w:t>
      </w:r>
      <w:r w:rsidR="00C3754F" w:rsidRPr="00167D33">
        <w:t xml:space="preserve">on </w:t>
      </w:r>
      <w:r w:rsidR="00127E2E" w:rsidRPr="00167D33">
        <w:t xml:space="preserve">clinical assessment skills; 5 days </w:t>
      </w:r>
      <w:r w:rsidR="00C3754F" w:rsidRPr="00167D33">
        <w:t xml:space="preserve">on </w:t>
      </w:r>
      <w:r w:rsidR="00127E2E" w:rsidRPr="00167D33">
        <w:t xml:space="preserve">psychotherapeutic approach; 4 half days </w:t>
      </w:r>
      <w:r w:rsidR="00C3754F" w:rsidRPr="00167D33">
        <w:t xml:space="preserve">of </w:t>
      </w:r>
      <w:r w:rsidR="00127E2E" w:rsidRPr="00167D33">
        <w:t xml:space="preserve">reflective practice / clinical supervision). </w:t>
      </w:r>
      <w:r w:rsidR="00C62AFD" w:rsidRPr="00167D33">
        <w:t>The training developed intervention HV</w:t>
      </w:r>
      <w:r w:rsidR="00C17A37" w:rsidRPr="00167D33">
        <w:t>s’</w:t>
      </w:r>
      <w:r w:rsidR="00C62AFD" w:rsidRPr="00167D33">
        <w:t xml:space="preserve"> skills in genuineness and listening so that HVs could talk to the woman about PND, gain her trust, develop an ongoing relationship with her, and be open to being re-contacted if the woman felt that her symptoms were not improving spontaneously. </w:t>
      </w:r>
      <w:r w:rsidR="003A7BC8" w:rsidRPr="00167D33">
        <w:t>We recognised</w:t>
      </w:r>
      <w:r w:rsidR="003A7BC8" w:rsidRPr="004A2733">
        <w:t xml:space="preserve"> that the research was undertaken in a population that could be considered to be a vulnerable group and so the trial excluded: women under 1</w:t>
      </w:r>
      <w:r w:rsidR="00C17A37" w:rsidRPr="004A2733">
        <w:t>8</w:t>
      </w:r>
      <w:r w:rsidR="003A7BC8" w:rsidRPr="004A2733">
        <w:t xml:space="preserve">; women with pre-existing </w:t>
      </w:r>
      <w:r w:rsidR="00C17A37" w:rsidRPr="004A2733">
        <w:t xml:space="preserve">severe and enduring </w:t>
      </w:r>
      <w:r w:rsidR="003A7BC8" w:rsidRPr="004A2733">
        <w:t xml:space="preserve">mental health problems. </w:t>
      </w:r>
      <w:r w:rsidRPr="004A2733">
        <w:rPr>
          <w:szCs w:val="24"/>
        </w:rPr>
        <w:t>The</w:t>
      </w:r>
      <w:r w:rsidRPr="00E51082">
        <w:rPr>
          <w:szCs w:val="24"/>
        </w:rPr>
        <w:t xml:space="preserve"> trial began April 2003 and </w:t>
      </w:r>
      <w:r w:rsidR="002F4FEC" w:rsidRPr="00E51082">
        <w:rPr>
          <w:szCs w:val="24"/>
        </w:rPr>
        <w:t>continued</w:t>
      </w:r>
      <w:r w:rsidRPr="00E51082">
        <w:rPr>
          <w:szCs w:val="24"/>
        </w:rPr>
        <w:t xml:space="preserve"> over </w:t>
      </w:r>
      <w:r w:rsidR="00BC74D5" w:rsidRPr="00E51082">
        <w:rPr>
          <w:szCs w:val="24"/>
        </w:rPr>
        <w:t xml:space="preserve">three </w:t>
      </w:r>
      <w:r w:rsidRPr="00E51082">
        <w:rPr>
          <w:szCs w:val="24"/>
        </w:rPr>
        <w:t>year</w:t>
      </w:r>
      <w:r w:rsidR="00BC74D5" w:rsidRPr="00E51082">
        <w:rPr>
          <w:szCs w:val="24"/>
        </w:rPr>
        <w:t>s</w:t>
      </w:r>
      <w:r w:rsidRPr="00E51082">
        <w:rPr>
          <w:szCs w:val="24"/>
        </w:rPr>
        <w:t xml:space="preserve">. </w:t>
      </w:r>
      <w:r w:rsidR="00005B05" w:rsidRPr="00E51082">
        <w:rPr>
          <w:szCs w:val="24"/>
        </w:rPr>
        <w:t>Baseline measurements</w:t>
      </w:r>
      <w:r w:rsidR="00AA3D05" w:rsidRPr="00E51082">
        <w:rPr>
          <w:szCs w:val="24"/>
        </w:rPr>
        <w:t>,</w:t>
      </w:r>
      <w:r w:rsidR="00005B05" w:rsidRPr="00E51082">
        <w:rPr>
          <w:szCs w:val="24"/>
        </w:rPr>
        <w:t xml:space="preserve"> including EPDS</w:t>
      </w:r>
      <w:r w:rsidR="00AA3D05" w:rsidRPr="00E51082">
        <w:rPr>
          <w:szCs w:val="24"/>
        </w:rPr>
        <w:t>,</w:t>
      </w:r>
      <w:r w:rsidR="00005B05" w:rsidRPr="00E51082">
        <w:rPr>
          <w:szCs w:val="24"/>
        </w:rPr>
        <w:t xml:space="preserve"> were taken at </w:t>
      </w:r>
      <w:r w:rsidR="00823DF2" w:rsidRPr="00E51082">
        <w:rPr>
          <w:szCs w:val="24"/>
        </w:rPr>
        <w:t>6</w:t>
      </w:r>
      <w:r w:rsidR="00005B05" w:rsidRPr="00E51082">
        <w:rPr>
          <w:szCs w:val="24"/>
        </w:rPr>
        <w:t xml:space="preserve"> weeks postnatal</w:t>
      </w:r>
      <w:r w:rsidR="00DE1259" w:rsidRPr="00E51082">
        <w:rPr>
          <w:szCs w:val="24"/>
        </w:rPr>
        <w:t>ly</w:t>
      </w:r>
      <w:r w:rsidR="00005B05" w:rsidRPr="00E51082">
        <w:rPr>
          <w:szCs w:val="24"/>
        </w:rPr>
        <w:t xml:space="preserve">. </w:t>
      </w:r>
      <w:r w:rsidRPr="00E51082">
        <w:rPr>
          <w:szCs w:val="24"/>
        </w:rPr>
        <w:t xml:space="preserve">Women completed study questionnaires at </w:t>
      </w:r>
      <w:r w:rsidR="00823DF2" w:rsidRPr="00E51082">
        <w:rPr>
          <w:szCs w:val="24"/>
        </w:rPr>
        <w:t>6</w:t>
      </w:r>
      <w:r w:rsidRPr="00E51082">
        <w:rPr>
          <w:szCs w:val="24"/>
        </w:rPr>
        <w:t>, 12 and 18 months</w:t>
      </w:r>
      <w:r w:rsidR="00BC74D5" w:rsidRPr="00E51082">
        <w:rPr>
          <w:szCs w:val="24"/>
        </w:rPr>
        <w:t xml:space="preserve"> postnatally</w:t>
      </w:r>
      <w:r w:rsidRPr="00E51082">
        <w:rPr>
          <w:szCs w:val="24"/>
        </w:rPr>
        <w:t xml:space="preserve">. In all, 4084 women consented to </w:t>
      </w:r>
      <w:r w:rsidR="005F3899" w:rsidRPr="00E51082">
        <w:rPr>
          <w:szCs w:val="24"/>
        </w:rPr>
        <w:t>part</w:t>
      </w:r>
      <w:r w:rsidR="000064A5" w:rsidRPr="00E51082">
        <w:rPr>
          <w:szCs w:val="24"/>
        </w:rPr>
        <w:t>icipate</w:t>
      </w:r>
      <w:r w:rsidRPr="00E51082">
        <w:rPr>
          <w:szCs w:val="24"/>
        </w:rPr>
        <w:t xml:space="preserve"> in the study</w:t>
      </w:r>
      <w:r w:rsidR="000064A5" w:rsidRPr="00E51082">
        <w:rPr>
          <w:szCs w:val="24"/>
        </w:rPr>
        <w:t>;</w:t>
      </w:r>
      <w:r w:rsidRPr="00E51082">
        <w:rPr>
          <w:szCs w:val="24"/>
        </w:rPr>
        <w:t xml:space="preserve"> 3449 returned baseline</w:t>
      </w:r>
      <w:r w:rsidR="00BC74D5" w:rsidRPr="00E51082">
        <w:rPr>
          <w:szCs w:val="24"/>
        </w:rPr>
        <w:t xml:space="preserve"> </w:t>
      </w:r>
      <w:r w:rsidR="00823DF2" w:rsidRPr="00E51082">
        <w:rPr>
          <w:szCs w:val="24"/>
        </w:rPr>
        <w:t>6</w:t>
      </w:r>
      <w:r w:rsidR="00BC74D5" w:rsidRPr="00E51082">
        <w:rPr>
          <w:szCs w:val="24"/>
        </w:rPr>
        <w:t>-week</w:t>
      </w:r>
      <w:r w:rsidRPr="00E51082">
        <w:rPr>
          <w:szCs w:val="24"/>
        </w:rPr>
        <w:t xml:space="preserve"> </w:t>
      </w:r>
      <w:r w:rsidR="00D412E8" w:rsidRPr="00E51082">
        <w:rPr>
          <w:szCs w:val="24"/>
        </w:rPr>
        <w:t xml:space="preserve">postal </w:t>
      </w:r>
      <w:r w:rsidRPr="00E51082">
        <w:rPr>
          <w:szCs w:val="24"/>
        </w:rPr>
        <w:t>questionnaire</w:t>
      </w:r>
      <w:r w:rsidR="002F4FEC" w:rsidRPr="00E51082">
        <w:rPr>
          <w:szCs w:val="24"/>
        </w:rPr>
        <w:t>s</w:t>
      </w:r>
      <w:r w:rsidRPr="00E51082">
        <w:rPr>
          <w:szCs w:val="24"/>
        </w:rPr>
        <w:t>, of wh</w:t>
      </w:r>
      <w:r w:rsidR="002F4FEC" w:rsidRPr="00E51082">
        <w:rPr>
          <w:szCs w:val="24"/>
        </w:rPr>
        <w:t>om</w:t>
      </w:r>
      <w:r w:rsidRPr="00E51082">
        <w:rPr>
          <w:szCs w:val="24"/>
        </w:rPr>
        <w:t xml:space="preserve"> 595 (17.3%) scored 12 or </w:t>
      </w:r>
      <w:r w:rsidR="00BC74D5" w:rsidRPr="00E51082">
        <w:rPr>
          <w:szCs w:val="24"/>
        </w:rPr>
        <w:t xml:space="preserve">more </w:t>
      </w:r>
      <w:r w:rsidRPr="00E51082">
        <w:rPr>
          <w:szCs w:val="24"/>
        </w:rPr>
        <w:t>on EPDS</w:t>
      </w:r>
      <w:r w:rsidR="00E55F8C" w:rsidRPr="00E51082">
        <w:rPr>
          <w:szCs w:val="24"/>
        </w:rPr>
        <w:t xml:space="preserve"> (‘at-risk’ women)</w:t>
      </w:r>
      <w:r w:rsidRPr="00E51082">
        <w:rPr>
          <w:szCs w:val="24"/>
        </w:rPr>
        <w:t xml:space="preserve">. </w:t>
      </w:r>
      <w:r w:rsidR="000064A5" w:rsidRPr="00E51082">
        <w:rPr>
          <w:szCs w:val="24"/>
        </w:rPr>
        <w:t>A</w:t>
      </w:r>
      <w:r w:rsidR="00E55F8C" w:rsidRPr="00E51082">
        <w:rPr>
          <w:szCs w:val="24"/>
        </w:rPr>
        <w:t>t-risk w</w:t>
      </w:r>
      <w:r w:rsidRPr="00E51082">
        <w:rPr>
          <w:szCs w:val="24"/>
        </w:rPr>
        <w:t xml:space="preserve">omen </w:t>
      </w:r>
      <w:r w:rsidR="00F53B49" w:rsidRPr="00E51082">
        <w:rPr>
          <w:szCs w:val="24"/>
        </w:rPr>
        <w:t xml:space="preserve">in </w:t>
      </w:r>
      <w:r w:rsidR="00E55F8C" w:rsidRPr="00E51082">
        <w:rPr>
          <w:szCs w:val="24"/>
        </w:rPr>
        <w:t xml:space="preserve">intervention </w:t>
      </w:r>
      <w:r w:rsidR="00F53B49" w:rsidRPr="00E51082">
        <w:rPr>
          <w:szCs w:val="24"/>
        </w:rPr>
        <w:t xml:space="preserve">groups (b) and (c) </w:t>
      </w:r>
      <w:r w:rsidRPr="00E51082">
        <w:rPr>
          <w:szCs w:val="24"/>
        </w:rPr>
        <w:t xml:space="preserve">were offered </w:t>
      </w:r>
      <w:r w:rsidR="00E55F8C" w:rsidRPr="00E51082">
        <w:rPr>
          <w:szCs w:val="24"/>
        </w:rPr>
        <w:t xml:space="preserve">up to eight weekly </w:t>
      </w:r>
      <w:r w:rsidRPr="00E51082">
        <w:rPr>
          <w:szCs w:val="24"/>
        </w:rPr>
        <w:t xml:space="preserve">psychologically informed sessions </w:t>
      </w:r>
      <w:r w:rsidR="00E55F8C" w:rsidRPr="00E51082">
        <w:rPr>
          <w:szCs w:val="24"/>
        </w:rPr>
        <w:t xml:space="preserve">with the </w:t>
      </w:r>
      <w:r w:rsidR="00A7732F" w:rsidRPr="00E51082">
        <w:rPr>
          <w:szCs w:val="24"/>
        </w:rPr>
        <w:t>HV</w:t>
      </w:r>
      <w:r w:rsidRPr="00E51082">
        <w:rPr>
          <w:szCs w:val="24"/>
        </w:rPr>
        <w:t xml:space="preserve">. </w:t>
      </w:r>
      <w:r w:rsidR="00E04931">
        <w:rPr>
          <w:szCs w:val="24"/>
        </w:rPr>
        <w:t xml:space="preserve">Brugha et al </w:t>
      </w:r>
      <w:r w:rsidR="00E04931">
        <w:fldChar w:fldCharType="begin" w:fldLock="1"/>
      </w:r>
      <w:r w:rsidR="00706093">
        <w:instrText>ADDIN CSL_CITATION {"citationItems":[{"id":"ITEM-1","itemData":{"DOI":"10.1017/S0033291710001467","ISBN":"1469-8978","ISSN":"0033-2917","PMID":"20716383","abstract":"To test whether receiving care from a health visitor (HV) trained in identification and psychological intervention methods prevents depression 6-18 months postnatally in women who are not depressed 6 weeks postnatally.","author":[{"dropping-particle":"","family":"Brugha","given":"T. S.","non-dropping-particle":"","parse-names":false,"suffix":""},{"dropping-particle":"","family":"Morrell","given":"C. J.","non-dropping-particle":"","parse-names":false,"suffix":""},{"dropping-particle":"","family":"Slade","given":"P.","non-dropping-particle":"","parse-names":false,"suffix":""},{"dropping-particle":"","family":"Walters","given":"S. J.","non-dropping-particle":"","parse-names":false,"suffix":""}],"container-title":"Psychological Medicine","id":"ITEM-1","issue":"04","issued":{"date-parts":[["2011","4","18"]]},"note":"NULL","page":"739-748","title":"Universal prevention of depression in women postnatally: cluster randomized trial evidence in primary care","type":"article-journal","volume":"41"},"suppress-author":1,"uris":["http://www.mendeley.com/documents/?uuid=79de586f-82e6-4268-b933-5615be4fd12a"]}],"mendeley":{"formattedCitation":"(2011)","plainTextFormattedCitation":"(2011)","previouslyFormattedCitation":"(2011)"},"properties":{"noteIndex":0},"schema":"https://github.com/citation-style-language/schema/raw/master/csl-citation.json"}</w:instrText>
      </w:r>
      <w:r w:rsidR="00E04931">
        <w:fldChar w:fldCharType="separate"/>
      </w:r>
      <w:r w:rsidR="00E04931" w:rsidRPr="00FD7785">
        <w:rPr>
          <w:noProof/>
        </w:rPr>
        <w:t>(2011)</w:t>
      </w:r>
      <w:r w:rsidR="00E04931">
        <w:fldChar w:fldCharType="end"/>
      </w:r>
      <w:r w:rsidR="00E04931">
        <w:rPr>
          <w:szCs w:val="24"/>
        </w:rPr>
        <w:t xml:space="preserve"> subsequently reported a</w:t>
      </w:r>
      <w:r w:rsidR="00FD7785">
        <w:rPr>
          <w:szCs w:val="24"/>
        </w:rPr>
        <w:t xml:space="preserve"> sub-study</w:t>
      </w:r>
      <w:r w:rsidR="00FC7E07">
        <w:rPr>
          <w:szCs w:val="24"/>
        </w:rPr>
        <w:t xml:space="preserve"> </w:t>
      </w:r>
      <w:r w:rsidR="00FD7785">
        <w:rPr>
          <w:szCs w:val="24"/>
        </w:rPr>
        <w:t>of the main trial</w:t>
      </w:r>
      <w:r w:rsidR="00E04931">
        <w:rPr>
          <w:szCs w:val="24"/>
        </w:rPr>
        <w:t>,</w:t>
      </w:r>
      <w:r w:rsidR="00FD7785" w:rsidRPr="00E51082">
        <w:rPr>
          <w:szCs w:val="24"/>
        </w:rPr>
        <w:t xml:space="preserve"> </w:t>
      </w:r>
      <w:r w:rsidR="00FD7785">
        <w:rPr>
          <w:szCs w:val="24"/>
        </w:rPr>
        <w:t xml:space="preserve">focused </w:t>
      </w:r>
      <w:r w:rsidR="00FD7785" w:rsidRPr="00E51082">
        <w:rPr>
          <w:szCs w:val="24"/>
        </w:rPr>
        <w:t xml:space="preserve">on lower-risk </w:t>
      </w:r>
      <w:r w:rsidR="00E04931">
        <w:rPr>
          <w:szCs w:val="24"/>
        </w:rPr>
        <w:t xml:space="preserve">participants </w:t>
      </w:r>
      <w:r w:rsidR="00FD7785" w:rsidRPr="00E51082">
        <w:rPr>
          <w:szCs w:val="24"/>
        </w:rPr>
        <w:t xml:space="preserve">who scored </w:t>
      </w:r>
      <w:r w:rsidR="00FD7785" w:rsidRPr="00E51082">
        <w:rPr>
          <w:i/>
          <w:szCs w:val="24"/>
        </w:rPr>
        <w:t>below</w:t>
      </w:r>
      <w:r w:rsidR="00FD7785" w:rsidRPr="00E51082">
        <w:rPr>
          <w:szCs w:val="24"/>
        </w:rPr>
        <w:t xml:space="preserve"> 12 on the 6-week postnatal EPDS</w:t>
      </w:r>
      <w:r w:rsidR="00FD7785">
        <w:rPr>
          <w:szCs w:val="24"/>
        </w:rPr>
        <w:t xml:space="preserve"> (‘EPDS-negative’)</w:t>
      </w:r>
      <w:r w:rsidR="00F23CA4">
        <w:rPr>
          <w:szCs w:val="24"/>
        </w:rPr>
        <w:t xml:space="preserve"> (further information</w:t>
      </w:r>
      <w:r w:rsidR="0081736D">
        <w:rPr>
          <w:szCs w:val="24"/>
        </w:rPr>
        <w:t>,</w:t>
      </w:r>
      <w:r w:rsidR="00F23CA4">
        <w:rPr>
          <w:szCs w:val="24"/>
        </w:rPr>
        <w:t xml:space="preserve"> including </w:t>
      </w:r>
      <w:r w:rsidR="00B731FD">
        <w:rPr>
          <w:szCs w:val="24"/>
        </w:rPr>
        <w:t>trial CONSORT diagram and cluster-randomisation methods</w:t>
      </w:r>
      <w:r w:rsidR="00F23CA4">
        <w:rPr>
          <w:szCs w:val="24"/>
        </w:rPr>
        <w:t xml:space="preserve"> can be found in that publication)</w:t>
      </w:r>
      <w:r w:rsidR="00487DFF">
        <w:t xml:space="preserve">. </w:t>
      </w:r>
      <w:r w:rsidR="00F23CA4">
        <w:t>The study</w:t>
      </w:r>
      <w:r w:rsidR="00FD7785">
        <w:t xml:space="preserve"> </w:t>
      </w:r>
      <w:r w:rsidR="00FC7E07">
        <w:rPr>
          <w:szCs w:val="24"/>
        </w:rPr>
        <w:t xml:space="preserve">examined effectiveness of care from HVs trained in assessment and psychological support </w:t>
      </w:r>
      <w:r w:rsidR="00E37E43">
        <w:rPr>
          <w:szCs w:val="24"/>
        </w:rPr>
        <w:t xml:space="preserve">in </w:t>
      </w:r>
      <w:r w:rsidR="00FC7E07">
        <w:t xml:space="preserve">preventing </w:t>
      </w:r>
      <w:r w:rsidR="00C17A37">
        <w:t>PND</w:t>
      </w:r>
      <w:r w:rsidR="00FC7E07">
        <w:t xml:space="preserve"> in </w:t>
      </w:r>
      <w:r w:rsidR="0081736D">
        <w:t xml:space="preserve">EPDS-negative </w:t>
      </w:r>
      <w:r w:rsidR="00FC7E07">
        <w:t xml:space="preserve">women </w:t>
      </w:r>
      <w:r w:rsidR="00E37E43">
        <w:t>6 to 18 months later.</w:t>
      </w:r>
      <w:r w:rsidR="00FD7785">
        <w:t xml:space="preserve"> </w:t>
      </w:r>
    </w:p>
    <w:p w14:paraId="0AC17ACE" w14:textId="595E8119" w:rsidR="00FE1663" w:rsidRPr="00AB2C35" w:rsidRDefault="00FE1663" w:rsidP="00AB2C35">
      <w:pPr>
        <w:pStyle w:val="Heading2"/>
      </w:pPr>
      <w:r w:rsidRPr="00AB2C35">
        <w:t xml:space="preserve">Economic </w:t>
      </w:r>
      <w:r w:rsidR="003F523B" w:rsidRPr="00AB2C35">
        <w:t>e</w:t>
      </w:r>
      <w:r w:rsidRPr="00AB2C35">
        <w:t xml:space="preserve">valuation </w:t>
      </w:r>
    </w:p>
    <w:p w14:paraId="3B90FA7E" w14:textId="43A99BF2" w:rsidR="00FE1663" w:rsidRPr="000B5BB6" w:rsidRDefault="00222923" w:rsidP="000B5BB6">
      <w:pPr>
        <w:rPr>
          <w:i/>
        </w:rPr>
      </w:pPr>
      <w:r w:rsidRPr="000B5BB6">
        <w:t xml:space="preserve">The economic evaluation </w:t>
      </w:r>
      <w:r w:rsidR="00BF6D62" w:rsidRPr="000B5BB6">
        <w:t>examine</w:t>
      </w:r>
      <w:r w:rsidR="00F60741" w:rsidRPr="000B5BB6">
        <w:t>d</w:t>
      </w:r>
      <w:r w:rsidR="00BF6D62" w:rsidRPr="000B5BB6">
        <w:t xml:space="preserve"> the cost-effectiveness of </w:t>
      </w:r>
      <w:r w:rsidR="00A7732F" w:rsidRPr="000B5BB6">
        <w:t xml:space="preserve">PoNDER </w:t>
      </w:r>
      <w:r w:rsidR="00BF6D62" w:rsidRPr="000B5BB6">
        <w:t xml:space="preserve">HV training for PND in </w:t>
      </w:r>
      <w:r w:rsidR="00905F07">
        <w:t xml:space="preserve">the population of </w:t>
      </w:r>
      <w:r w:rsidR="00482653" w:rsidRPr="000B5BB6">
        <w:t>lower-risk</w:t>
      </w:r>
      <w:r w:rsidR="00BF6D62" w:rsidRPr="000B5BB6">
        <w:t xml:space="preserve"> </w:t>
      </w:r>
      <w:r w:rsidR="00905F07">
        <w:t xml:space="preserve">(EPDS-negative) </w:t>
      </w:r>
      <w:r w:rsidR="00A7732F" w:rsidRPr="000B5BB6">
        <w:t>women</w:t>
      </w:r>
      <w:r w:rsidR="00905F07">
        <w:t xml:space="preserve"> examined in </w:t>
      </w:r>
      <w:r w:rsidR="00E3229C">
        <w:t xml:space="preserve">the </w:t>
      </w:r>
      <w:r w:rsidR="00905F07">
        <w:rPr>
          <w:szCs w:val="24"/>
        </w:rPr>
        <w:t xml:space="preserve">Brugha et al. </w:t>
      </w:r>
      <w:r w:rsidR="00905F07">
        <w:fldChar w:fldCharType="begin" w:fldLock="1"/>
      </w:r>
      <w:r w:rsidR="00706093">
        <w:instrText>ADDIN CSL_CITATION {"citationItems":[{"id":"ITEM-1","itemData":{"DOI":"10.1017/S0033291710001467","ISBN":"1469-8978","ISSN":"0033-2917","PMID":"20716383","abstract":"To test whether receiving care from a health visitor (HV) trained in identification and psychological intervention methods prevents depression 6-18 months postnatally in women who are not depressed 6 weeks postnatally.","author":[{"dropping-particle":"","family":"Brugha","given":"T. S.","non-dropping-particle":"","parse-names":false,"suffix":""},{"dropping-particle":"","family":"Morrell","given":"C. J.","non-dropping-particle":"","parse-names":false,"suffix":""},{"dropping-particle":"","family":"Slade","given":"P.","non-dropping-particle":"","parse-names":false,"suffix":""},{"dropping-particle":"","family":"Walters","given":"S. J.","non-dropping-particle":"","parse-names":false,"suffix":""}],"container-title":"Psychological Medicine","id":"ITEM-1","issue":"04","issued":{"date-parts":[["2011","4","18"]]},"note":"NULL","page":"739-748","title":"Universal prevention of depression in women postnatally: cluster randomized trial evidence in primary care","type":"article-journal","volume":"41"},"suppress-author":1,"uris":["http://www.mendeley.com/documents/?uuid=79de586f-82e6-4268-b933-5615be4fd12a"]}],"mendeley":{"formattedCitation":"(2011)","plainTextFormattedCitation":"(2011)","previouslyFormattedCitation":"(2011)"},"properties":{"noteIndex":0},"schema":"https://github.com/citation-style-language/schema/raw/master/csl-citation.json"}</w:instrText>
      </w:r>
      <w:r w:rsidR="00905F07">
        <w:fldChar w:fldCharType="separate"/>
      </w:r>
      <w:r w:rsidR="00905F07" w:rsidRPr="00FD7785">
        <w:rPr>
          <w:noProof/>
        </w:rPr>
        <w:t>(2011)</w:t>
      </w:r>
      <w:r w:rsidR="00905F07">
        <w:fldChar w:fldCharType="end"/>
      </w:r>
      <w:r w:rsidR="00E3229C">
        <w:t xml:space="preserve"> sub-study</w:t>
      </w:r>
      <w:r w:rsidR="00BF6D62" w:rsidRPr="000B5BB6">
        <w:t xml:space="preserve">. We also </w:t>
      </w:r>
      <w:r w:rsidR="00ED6652" w:rsidRPr="000B5BB6">
        <w:t>explore</w:t>
      </w:r>
      <w:r w:rsidR="003F0C37" w:rsidRPr="000B5BB6">
        <w:t>d</w:t>
      </w:r>
      <w:r w:rsidR="00ED6652" w:rsidRPr="000B5BB6">
        <w:t xml:space="preserve"> whether </w:t>
      </w:r>
      <w:r w:rsidR="00A7732F" w:rsidRPr="000B5BB6">
        <w:t xml:space="preserve">PoNDER </w:t>
      </w:r>
      <w:r w:rsidR="00ED6652" w:rsidRPr="000B5BB6">
        <w:t xml:space="preserve">training </w:t>
      </w:r>
      <w:r w:rsidR="00125A44" w:rsidRPr="000B5BB6">
        <w:t>affected</w:t>
      </w:r>
      <w:r w:rsidR="00A64F6F" w:rsidRPr="000B5BB6">
        <w:t xml:space="preserve"> the number of </w:t>
      </w:r>
      <w:r w:rsidR="00A7732F" w:rsidRPr="000B5BB6">
        <w:t xml:space="preserve">HV </w:t>
      </w:r>
      <w:r w:rsidR="00A64F6F" w:rsidRPr="000B5BB6">
        <w:t xml:space="preserve">visits </w:t>
      </w:r>
      <w:r w:rsidR="00ED6652" w:rsidRPr="000B5BB6">
        <w:t xml:space="preserve">and </w:t>
      </w:r>
      <w:r w:rsidR="00ED6652" w:rsidRPr="000B5BB6">
        <w:lastRenderedPageBreak/>
        <w:t>whether the impact was similar across women with different levels of depression risk</w:t>
      </w:r>
      <w:r w:rsidR="00ED6652" w:rsidRPr="0099049E">
        <w:t>.</w:t>
      </w:r>
      <w:r w:rsidR="000B5BB6" w:rsidRPr="0099049E">
        <w:t xml:space="preserve"> </w:t>
      </w:r>
      <w:r w:rsidR="00FE1663" w:rsidRPr="0099049E">
        <w:t xml:space="preserve">The economic evaluation </w:t>
      </w:r>
      <w:r w:rsidR="00F60741" w:rsidRPr="0099049E">
        <w:t xml:space="preserve">design </w:t>
      </w:r>
      <w:r w:rsidR="00FE1663" w:rsidRPr="0099049E">
        <w:t xml:space="preserve">followed technology appraisal guidelines by </w:t>
      </w:r>
      <w:r w:rsidR="00AA3D05" w:rsidRPr="0099049E">
        <w:t>the</w:t>
      </w:r>
      <w:r w:rsidR="00FE1663" w:rsidRPr="0099049E">
        <w:t xml:space="preserve"> National Institute for Clinical Excellence</w:t>
      </w:r>
      <w:r w:rsidR="00E45BE3" w:rsidRPr="0099049E">
        <w:t xml:space="preserve"> </w:t>
      </w:r>
      <w:r w:rsidR="008B4906" w:rsidRPr="0099049E">
        <w:fldChar w:fldCharType="begin" w:fldLock="1"/>
      </w:r>
      <w:r w:rsidR="00706093">
        <w:instrText>ADDIN CSL_CITATION {"citationItems":[{"id":"ITEM-1","itemData":{"author":[{"dropping-particle":"","family":"National Institute for Clinical Excellence","given":"","non-dropping-particle":"","parse-names":false,"suffix":""}],"id":"ITEM-1","issued":{"date-parts":[["2004"]]},"publisher":"National Institute for Clinical Excellence","publisher-place":"London","title":"Guide to The Methods of Technology Appraisal","type":"report"},"suppress-author":1,"uris":["http://www.mendeley.com/documents/?uuid=05fa952a-0abe-41be-b5d9-00a6004771b6"]}],"mendeley":{"formattedCitation":"(2004)","plainTextFormattedCitation":"(2004)","previouslyFormattedCitation":"(2004)"},"properties":{"noteIndex":0},"schema":"https://github.com/citation-style-language/schema/raw/master/csl-citation.json"}</w:instrText>
      </w:r>
      <w:r w:rsidR="008B4906" w:rsidRPr="0099049E">
        <w:fldChar w:fldCharType="separate"/>
      </w:r>
      <w:r w:rsidR="009E2CB2" w:rsidRPr="009E2CB2">
        <w:rPr>
          <w:noProof/>
        </w:rPr>
        <w:t>(2004)</w:t>
      </w:r>
      <w:r w:rsidR="008B4906" w:rsidRPr="0099049E">
        <w:fldChar w:fldCharType="end"/>
      </w:r>
      <w:r w:rsidR="008B4906" w:rsidRPr="0099049E">
        <w:t xml:space="preserve"> </w:t>
      </w:r>
      <w:r w:rsidR="00004020" w:rsidRPr="0099049E">
        <w:t>(NICE) (</w:t>
      </w:r>
      <w:r w:rsidR="00AA3D05" w:rsidRPr="0099049E">
        <w:t xml:space="preserve">now National Institute for Health and Care Excellence) </w:t>
      </w:r>
      <w:r w:rsidR="00FE1663" w:rsidRPr="0099049E">
        <w:t>and</w:t>
      </w:r>
      <w:r w:rsidR="00F60741" w:rsidRPr="0099049E">
        <w:t xml:space="preserve"> consequently </w:t>
      </w:r>
      <w:r w:rsidR="00411A17" w:rsidRPr="0099049E">
        <w:t>t</w:t>
      </w:r>
      <w:r w:rsidR="00411A17">
        <w:t>ook</w:t>
      </w:r>
      <w:r w:rsidR="00411A17" w:rsidRPr="0099049E">
        <w:t xml:space="preserve"> </w:t>
      </w:r>
      <w:r w:rsidR="00F60741" w:rsidRPr="0099049E">
        <w:t>an</w:t>
      </w:r>
      <w:r w:rsidR="00FE1663" w:rsidRPr="0099049E">
        <w:t xml:space="preserve"> NHS and social care perspective.</w:t>
      </w:r>
      <w:r w:rsidR="00FE1663" w:rsidRPr="00E51082">
        <w:t xml:space="preserve"> </w:t>
      </w:r>
    </w:p>
    <w:p w14:paraId="5EE85C11" w14:textId="2CEF548F" w:rsidR="00F510CC" w:rsidRPr="00E51082" w:rsidRDefault="00F510CC" w:rsidP="000B5BB6">
      <w:pPr>
        <w:pStyle w:val="Heading2"/>
      </w:pPr>
      <w:r w:rsidRPr="00E51082">
        <w:t>Costs</w:t>
      </w:r>
    </w:p>
    <w:p w14:paraId="2F0E0C60" w14:textId="781CF557" w:rsidR="00FE1663" w:rsidRPr="00AB2C35" w:rsidRDefault="00FE1663" w:rsidP="00AB2C35">
      <w:r w:rsidRPr="00AB2C35">
        <w:t>The following cost</w:t>
      </w:r>
      <w:r w:rsidR="003F523B" w:rsidRPr="00AB2C35">
        <w:t>s</w:t>
      </w:r>
      <w:r w:rsidRPr="00AB2C35">
        <w:t xml:space="preserve"> were included:</w:t>
      </w:r>
      <w:r w:rsidR="00125A44" w:rsidRPr="00AB2C35">
        <w:t xml:space="preserve"> </w:t>
      </w:r>
      <w:r w:rsidRPr="00AB2C35">
        <w:t>HV training and ongoing clinical supervision to deliver the intervention</w:t>
      </w:r>
      <w:r w:rsidR="00125A44" w:rsidRPr="00AB2C35">
        <w:t xml:space="preserve">; </w:t>
      </w:r>
      <w:r w:rsidRPr="00AB2C35">
        <w:t>HV contacts</w:t>
      </w:r>
      <w:r w:rsidR="00125A44" w:rsidRPr="00AB2C35">
        <w:t xml:space="preserve"> (</w:t>
      </w:r>
      <w:r w:rsidRPr="00AB2C35">
        <w:t>number, duration and purpose of visit</w:t>
      </w:r>
      <w:r w:rsidR="00D01DEF">
        <w:t xml:space="preserve"> </w:t>
      </w:r>
      <w:r w:rsidR="00125A44" w:rsidRPr="00AB2C35">
        <w:t xml:space="preserve">– </w:t>
      </w:r>
      <w:r w:rsidRPr="00AB2C35">
        <w:t xml:space="preserve">whether for </w:t>
      </w:r>
      <w:r w:rsidR="00330150" w:rsidRPr="00AB2C35">
        <w:t>postnatal</w:t>
      </w:r>
      <w:r w:rsidRPr="00AB2C35">
        <w:t xml:space="preserve"> depression, mother (excluding PND), baby or any combination of the three</w:t>
      </w:r>
      <w:r w:rsidR="00125A44" w:rsidRPr="00AB2C35">
        <w:t>); i</w:t>
      </w:r>
      <w:r w:rsidR="005941FE" w:rsidRPr="00AB2C35">
        <w:t>nfant immunisations</w:t>
      </w:r>
      <w:r w:rsidR="00125A44" w:rsidRPr="00AB2C35">
        <w:t xml:space="preserve">; </w:t>
      </w:r>
      <w:r w:rsidRPr="00AB2C35">
        <w:t>GP contacts</w:t>
      </w:r>
      <w:r w:rsidR="00125A44" w:rsidRPr="00AB2C35">
        <w:t>; p</w:t>
      </w:r>
      <w:r w:rsidRPr="00AB2C35">
        <w:t>rescriptions for all conditions</w:t>
      </w:r>
      <w:r w:rsidR="00125A44" w:rsidRPr="00AB2C35">
        <w:t>; s</w:t>
      </w:r>
      <w:r w:rsidRPr="00AB2C35">
        <w:t>ocial worker contacts</w:t>
      </w:r>
      <w:r w:rsidR="00125A44" w:rsidRPr="00AB2C35">
        <w:t>; a</w:t>
      </w:r>
      <w:r w:rsidRPr="00AB2C35">
        <w:t>dmissions to Mother and Baby psychiatric units</w:t>
      </w:r>
      <w:r w:rsidR="00125A44" w:rsidRPr="00AB2C35">
        <w:t>; o</w:t>
      </w:r>
      <w:r w:rsidRPr="00AB2C35">
        <w:t>ther mental health contacts, including counsellor, community psychiatric nurse (CPN), community mental health team (CMHT)</w:t>
      </w:r>
      <w:r w:rsidR="0069069F" w:rsidRPr="00AB2C35">
        <w:t>;</w:t>
      </w:r>
      <w:r w:rsidRPr="00AB2C35">
        <w:t xml:space="preserve"> mental health nurse (MHN)</w:t>
      </w:r>
      <w:r w:rsidR="0069069F" w:rsidRPr="00AB2C35">
        <w:t>,</w:t>
      </w:r>
      <w:r w:rsidRPr="00AB2C35">
        <w:t xml:space="preserve"> crisis services</w:t>
      </w:r>
      <w:r w:rsidR="0069069F" w:rsidRPr="00AB2C35">
        <w:t>,</w:t>
      </w:r>
      <w:r w:rsidRPr="00AB2C35">
        <w:t xml:space="preserve"> psychologist, psychotherapist, psychiatric outpatient and mother and baby psychiatric outpatient.</w:t>
      </w:r>
    </w:p>
    <w:p w14:paraId="48FD88FB" w14:textId="57C099B5" w:rsidR="00FE1663" w:rsidRPr="00AB2C35" w:rsidRDefault="00FE1663" w:rsidP="00AB2C35">
      <w:r w:rsidRPr="00AB2C35">
        <w:t>Cost components (</w:t>
      </w:r>
      <w:r w:rsidRPr="00AB2C35">
        <w:fldChar w:fldCharType="begin"/>
      </w:r>
      <w:r w:rsidRPr="00AB2C35">
        <w:instrText xml:space="preserve"> REF _Ref452720024 \h  \* MERGEFORMAT </w:instrText>
      </w:r>
      <w:r w:rsidRPr="00AB2C35">
        <w:fldChar w:fldCharType="separate"/>
      </w:r>
      <w:r w:rsidRPr="00AB2C35">
        <w:t>Table 1</w:t>
      </w:r>
      <w:r w:rsidRPr="00AB2C35">
        <w:fldChar w:fldCharType="end"/>
      </w:r>
      <w:r w:rsidRPr="00AB2C35">
        <w:t xml:space="preserve">) other than costs of delivering the intervention were derived from resource use data and nationally representative unit costs </w:t>
      </w:r>
      <w:r w:rsidR="0069069F" w:rsidRPr="00AB2C35">
        <w:t>applicable at</w:t>
      </w:r>
      <w:r w:rsidRPr="00AB2C35">
        <w:t xml:space="preserve"> the time </w:t>
      </w:r>
      <w:r w:rsidR="0069069F" w:rsidRPr="00AB2C35">
        <w:t>the trial</w:t>
      </w:r>
      <w:r w:rsidRPr="00AB2C35">
        <w:t xml:space="preserve"> start</w:t>
      </w:r>
      <w:r w:rsidR="0069069F" w:rsidRPr="00AB2C35">
        <w:t>ed</w:t>
      </w:r>
      <w:r w:rsidRPr="00AB2C35">
        <w:t xml:space="preserve"> (principally</w:t>
      </w:r>
      <w:r w:rsidR="00980F06" w:rsidRPr="00AB2C35">
        <w:t xml:space="preserve"> Netten and Curtis</w:t>
      </w:r>
      <w:r w:rsidR="002C3E96" w:rsidRPr="00AB2C35">
        <w:t xml:space="preserve"> </w:t>
      </w:r>
      <w:r w:rsidRPr="00AB2C35">
        <w:fldChar w:fldCharType="begin" w:fldLock="1"/>
      </w:r>
      <w:r w:rsidR="00706093">
        <w:instrText>ADDIN CSL_CITATION {"citationItems":[{"id":"ITEM-1","itemData":{"author":[{"dropping-particle":"","family":"Netten","given":"Ann","non-dropping-particle":"","parse-names":false,"suffix":""},{"dropping-particle":"","family":"Curtis","given":"Lesley","non-dropping-particle":"","parse-names":false,"suffix":""}],"id":"ITEM-1","issued":{"date-parts":[["2004"]]},"publisher":"Personal Social Services Research Unit (PSSRU)","publisher-place":"University of Kent, Canterbury","title":"Unit Costs of Health and Social Care 2004","type":"report"},"uris":["http://www.mendeley.com/documents/?uuid=8b9efcff-4924-32ac-8782-7afec708fc95"]}],"mendeley":{"formattedCitation":"(Netten &amp; Curtis 2004)","plainTextFormattedCitation":"(Netten &amp; Curtis 2004)","previouslyFormattedCitation":"(Netten &amp; Curtis 2004)"},"properties":{"noteIndex":0},"schema":"https://github.com/citation-style-language/schema/raw/master/csl-citation.json"}</w:instrText>
      </w:r>
      <w:r w:rsidRPr="00AB2C35">
        <w:fldChar w:fldCharType="separate"/>
      </w:r>
      <w:r w:rsidR="005A03D8" w:rsidRPr="00AB2C35">
        <w:rPr>
          <w:noProof/>
        </w:rPr>
        <w:t>(Netten &amp; Curtis 2004)</w:t>
      </w:r>
      <w:r w:rsidRPr="00AB2C35">
        <w:fldChar w:fldCharType="end"/>
      </w:r>
      <w:r w:rsidRPr="00AB2C35">
        <w:t xml:space="preserve">). Resource use data from </w:t>
      </w:r>
      <w:r w:rsidR="00482653" w:rsidRPr="00AB2C35">
        <w:t>6</w:t>
      </w:r>
      <w:r w:rsidRPr="00AB2C35">
        <w:t xml:space="preserve"> weeks to </w:t>
      </w:r>
      <w:r w:rsidR="00482653" w:rsidRPr="00AB2C35">
        <w:t>6</w:t>
      </w:r>
      <w:r w:rsidRPr="00AB2C35">
        <w:t xml:space="preserve"> months were collected on a resource use log completed by HVs based on their own</w:t>
      </w:r>
      <w:r w:rsidR="00D412E8" w:rsidRPr="00AB2C35">
        <w:t xml:space="preserve"> and GP</w:t>
      </w:r>
      <w:r w:rsidRPr="00AB2C35">
        <w:t xml:space="preserve"> records</w:t>
      </w:r>
      <w:r w:rsidR="00E45BE3" w:rsidRPr="00AB2C35">
        <w:t xml:space="preserve"> </w:t>
      </w:r>
      <w:r w:rsidRPr="00AB2C35">
        <w:fldChar w:fldCharType="begin" w:fldLock="1"/>
      </w:r>
      <w:r w:rsidR="00706093">
        <w:instrText>ADDIN CSL_CITATION {"citationItems":[{"id":"ITEM-1","itemData":{"DOI":"10.3310/hta13300","ISBN":"2046-4924 (Electronic)\r1366-5278 (Linking)","PMID":"19555590","abstract":"OBJECTIVES: To investigate outcomes for postnatal women attributed to special training for health visitors (HVs) in systematically identifying postnatal depression and delivering psychologically informed interventions, and to establish the cost-effectiveness of the intervention. DESIGN: A pragmatic randomised cluster trial with clusters allocated to experimental HV training arms or control, with an 18-month follow-up. SETTING: GP practices in the former Trent Regional Health Authority. PARTICIPANTS: Women registered with participating GP practices who became 36 weeks pregnant during the recruitment phase of the trial, had a live baby and were on a collaborating HV's caseload for 4 months postnatally. INTERVENTION: HV training in the assessment of postnatal women, combined with either cognitive behavioural approach (CBA) or person-centred approach (PCA) sessions for eligible women, plus the option of a selective serotonin reuptake inhibitor if indicated. MAIN OUTCOME MEASURES: The primary outcome was the proportion of at-risk women with a 6-month Edinburgh Postnatal Depression Scale (EPDS) score &gt; or = 12. The primary comparison was between at-risk women in the combined clusters randomised to HV training and women in practices randomised to provide HV usual care. The secondary comparison was to determine any differences between the proportions of women with a 6-month EPDS score &gt; or = 12 in the CBA and PCA groups. RESULTS: HVs in 101 clusters in 29 primary care trusts collaborated in the study. From 7649 eligible women 4084 (53.4%) consented to take part: 17.3% (595/3449) of women who returned a 6-week questionnaire had a 6-week EPDS score &gt; or = 12 and were at-risk women; 70.3% (418/595) of at-risk women had a 6-month EPDS score available. In total, 45.6% (67/147) of control group (CG) at-risk women had a 6-month EPDS score &gt; or = 12 versus 33.9% (93/271) of intervention group (IG) women (p = 0.036). A total of 32.9% (46/140) of at-risk women in the CBA group versus 35.1% (46/131) in the PCA group had a 6-month EPDS score &gt; or = 12 (p = 0.74). The CG mean 6-month EPDS score for at-risk women was 11.3 (SD 5.8) versus 9.2 (SD 5.4) for the IG (p = 0.002) and this remained statistically significant after adjusting for 6-week variables (p = 0.001). In total, 16.4% (150/914) of all women in the CG had a 6-month EPDS score &gt; or = 12 compared with 11.7% (205/1745) in the IG (p = 0.003). The CG mean 6-month EPDS score for all women was 6.4 (SD 5.2) compared with…","author":[{"dropping-particle":"","family":"Morrell","given":"C J","non-dropping-particle":"","parse-names":false,"suffix":""},{"dropping-particle":"","family":"Warner","given":"R","non-dropping-particle":"","parse-names":false,"suffix":""},{"dropping-particle":"","family":"Slade","given":"P","non-dropping-particle":"","parse-names":false,"suffix":""},{"dropping-particle":"","family":"Dixon","given":"S","non-dropping-particle":"","parse-names":false,"suffix":""},{"dropping-particle":"","family":"Walters","given":"S","non-dropping-particle":"","parse-names":false,"suffix":""},{"dropping-particle":"","family":"Paley","given":"G","non-dropping-particle":"","parse-names":false,"suffix":""},{"dropping-particle":"","family":"Brugha","given":"T","non-dropping-particle":"","parse-names":false,"suffix":""}],"container-title":"Health Technol Assess","edition":"2009/06/27","id":"ITEM-1","issue":"30","issued":{"date-parts":[["2009"]]},"language":"eng","note":"Morrell, C J\nWarner, R\nSlade, P\nDixon, S\nWalters, S\nPaley, G\nBrugha, T\nRandomized Controlled Trial\nResearch Support, Non-U.S. Gov't\nEngland\nHealth technology assessment (Winchester, England)\nHealth Technol Assess. 2009 Jun;13(30):iii-iv, xi-xiii, 1-153. doi: 10.3310/hta13300.","page":"iii-iv, xi-xiii, 1-153","title":"Psychological interventions for postnatal depression: cluster randomised trial and economic evaluation. The PoNDER trial","type":"article-journal","volume":"13"},"uris":["http://www.mendeley.com/documents/?uuid=b5e9f0ca-d9c5-4aa1-8b95-5884234a3e08"]}],"mendeley":{"formattedCitation":"(Morrell &lt;i&gt;et al.&lt;/i&gt; 2009b)","plainTextFormattedCitation":"(Morrell et al. 2009b)","previouslyFormattedCitation":"(Morrell &lt;i&gt;et al.&lt;/i&gt; 2009b)"},"properties":{"noteIndex":0},"schema":"https://github.com/citation-style-language/schema/raw/master/csl-citation.json"}</w:instrText>
      </w:r>
      <w:r w:rsidRPr="00AB2C35">
        <w:fldChar w:fldCharType="separate"/>
      </w:r>
      <w:r w:rsidR="00EC15F5" w:rsidRPr="00AB2C35">
        <w:rPr>
          <w:noProof/>
        </w:rPr>
        <w:t>(Morrell et al. 2009b)</w:t>
      </w:r>
      <w:r w:rsidRPr="00AB2C35">
        <w:fldChar w:fldCharType="end"/>
      </w:r>
      <w:r w:rsidR="00E45BE3" w:rsidRPr="00AB2C35">
        <w:t>.</w:t>
      </w:r>
    </w:p>
    <w:p w14:paraId="417CD150" w14:textId="2DFA1109" w:rsidR="00FE1663" w:rsidRPr="00E51082" w:rsidRDefault="00FE1663" w:rsidP="00FE1663">
      <w:pPr>
        <w:spacing w:after="120"/>
        <w:rPr>
          <w:szCs w:val="24"/>
          <w:vertAlign w:val="superscript"/>
        </w:rPr>
      </w:pPr>
      <w:r w:rsidRPr="00E51082">
        <w:rPr>
          <w:szCs w:val="24"/>
        </w:rPr>
        <w:t xml:space="preserve">The costs of delivering </w:t>
      </w:r>
      <w:r w:rsidR="00004020" w:rsidRPr="00E51082">
        <w:rPr>
          <w:szCs w:val="24"/>
        </w:rPr>
        <w:t xml:space="preserve">PoNDER </w:t>
      </w:r>
      <w:r w:rsidRPr="00E51082">
        <w:rPr>
          <w:szCs w:val="24"/>
        </w:rPr>
        <w:t xml:space="preserve">training were </w:t>
      </w:r>
      <w:r w:rsidR="00F26EA3" w:rsidRPr="00E51082">
        <w:rPr>
          <w:szCs w:val="24"/>
        </w:rPr>
        <w:t>calculated</w:t>
      </w:r>
      <w:r w:rsidRPr="00E51082">
        <w:rPr>
          <w:szCs w:val="24"/>
        </w:rPr>
        <w:t xml:space="preserve"> from trainer fees, travel, backfill </w:t>
      </w:r>
      <w:r w:rsidR="0069069F" w:rsidRPr="00E51082">
        <w:rPr>
          <w:szCs w:val="24"/>
        </w:rPr>
        <w:t>HV</w:t>
      </w:r>
      <w:r w:rsidRPr="00E51082">
        <w:rPr>
          <w:szCs w:val="24"/>
        </w:rPr>
        <w:t xml:space="preserve"> time and ongoing</w:t>
      </w:r>
      <w:r w:rsidR="00D412E8" w:rsidRPr="00E51082">
        <w:rPr>
          <w:szCs w:val="24"/>
        </w:rPr>
        <w:t xml:space="preserve"> clinical supervision</w:t>
      </w:r>
      <w:r w:rsidRPr="00E51082">
        <w:rPr>
          <w:szCs w:val="24"/>
        </w:rPr>
        <w:t xml:space="preserve"> costs</w:t>
      </w:r>
      <w:r w:rsidR="00E45BE3" w:rsidRPr="00E51082">
        <w:rPr>
          <w:szCs w:val="24"/>
        </w:rPr>
        <w:t xml:space="preserve"> </w:t>
      </w:r>
      <w:r w:rsidRPr="00E51082">
        <w:rPr>
          <w:szCs w:val="24"/>
        </w:rPr>
        <w:fldChar w:fldCharType="begin" w:fldLock="1"/>
      </w:r>
      <w:r w:rsidR="00706093">
        <w:rPr>
          <w:szCs w:val="24"/>
        </w:rPr>
        <w:instrText>ADDIN CSL_CITATION {"citationItems":[{"id":"ITEM-1","itemData":{"DOI":"10.3310/hta13300","ISBN":"2046-4924 (Electronic)\r1366-5278 (Linking)","PMID":"19555590","abstract":"OBJECTIVES: To investigate outcomes for postnatal women attributed to special training for health visitors (HVs) in systematically identifying postnatal depression and delivering psychologically informed interventions, and to establish the cost-effectiveness of the intervention. DESIGN: A pragmatic randomised cluster trial with clusters allocated to experimental HV training arms or control, with an 18-month follow-up. SETTING: GP practices in the former Trent Regional Health Authority. PARTICIPANTS: Women registered with participating GP practices who became 36 weeks pregnant during the recruitment phase of the trial, had a live baby and were on a collaborating HV's caseload for 4 months postnatally. INTERVENTION: HV training in the assessment of postnatal women, combined with either cognitive behavioural approach (CBA) or person-centred approach (PCA) sessions for eligible women, plus the option of a selective serotonin reuptake inhibitor if indicated. MAIN OUTCOME MEASURES: The primary outcome was the proportion of at-risk women with a 6-month Edinburgh Postnatal Depression Scale (EPDS) score &gt; or = 12. The primary comparison was between at-risk women in the combined clusters randomised to HV training and women in practices randomised to provide HV usual care. The secondary comparison was to determine any differences between the proportions of women with a 6-month EPDS score &gt; or = 12 in the CBA and PCA groups. RESULTS: HVs in 101 clusters in 29 primary care trusts collaborated in the study. From 7649 eligible women 4084 (53.4%) consented to take part: 17.3% (595/3449) of women who returned a 6-week questionnaire had a 6-week EPDS score &gt; or = 12 and were at-risk women; 70.3% (418/595) of at-risk women had a 6-month EPDS score available. In total, 45.6% (67/147) of control group (CG) at-risk women had a 6-month EPDS score &gt; or = 12 versus 33.9% (93/271) of intervention group (IG) women (p = 0.036). A total of 32.9% (46/140) of at-risk women in the CBA group versus 35.1% (46/131) in the PCA group had a 6-month EPDS score &gt; or = 12 (p = 0.74). The CG mean 6-month EPDS score for at-risk women was 11.3 (SD 5.8) versus 9.2 (SD 5.4) for the IG (p = 0.002) and this remained statistically significant after adjusting for 6-week variables (p = 0.001). In total, 16.4% (150/914) of all women in the CG had a 6-month EPDS score &gt; or = 12 compared with 11.7% (205/1745) in the IG (p = 0.003). The CG mean 6-month EPDS score for all women was 6.4 (SD 5.2) compared with…","author":[{"dropping-particle":"","family":"Morrell","given":"C J","non-dropping-particle":"","parse-names":false,"suffix":""},{"dropping-particle":"","family":"Warner","given":"R","non-dropping-particle":"","parse-names":false,"suffix":""},{"dropping-particle":"","family":"Slade","given":"P","non-dropping-particle":"","parse-names":false,"suffix":""},{"dropping-particle":"","family":"Dixon","given":"S","non-dropping-particle":"","parse-names":false,"suffix":""},{"dropping-particle":"","family":"Walters","given":"S","non-dropping-particle":"","parse-names":false,"suffix":""},{"dropping-particle":"","family":"Paley","given":"G","non-dropping-particle":"","parse-names":false,"suffix":""},{"dropping-particle":"","family":"Brugha","given":"T","non-dropping-particle":"","parse-names":false,"suffix":""}],"container-title":"Health Technol Assess","edition":"2009/06/27","id":"ITEM-1","issue":"30","issued":{"date-parts":[["2009"]]},"language":"eng","note":"Morrell, C J\nWarner, R\nSlade, P\nDixon, S\nWalters, S\nPaley, G\nBrugha, T\nRandomized Controlled Trial\nResearch Support, Non-U.S. Gov't\nEngland\nHealth technology assessment (Winchester, England)\nHealth Technol Assess. 2009 Jun;13(30):iii-iv, xi-xiii, 1-153. doi: 10.3310/hta13300.","page":"iii-iv, xi-xiii, 1-153","title":"Psychological interventions for postnatal depression: cluster randomised trial and economic evaluation. The PoNDER trial","type":"article-journal","volume":"13"},"uris":["http://www.mendeley.com/documents/?uuid=b5e9f0ca-d9c5-4aa1-8b95-5884234a3e08"]}],"mendeley":{"formattedCitation":"(Morrell &lt;i&gt;et al.&lt;/i&gt; 2009b)","plainTextFormattedCitation":"(Morrell et al. 2009b)","previouslyFormattedCitation":"(Morrell &lt;i&gt;et al.&lt;/i&gt; 2009b)"},"properties":{"noteIndex":0},"schema":"https://github.com/citation-style-language/schema/raw/master/csl-citation.json"}</w:instrText>
      </w:r>
      <w:r w:rsidRPr="00E51082">
        <w:rPr>
          <w:szCs w:val="24"/>
        </w:rPr>
        <w:fldChar w:fldCharType="separate"/>
      </w:r>
      <w:r w:rsidR="00EC15F5" w:rsidRPr="00E51082">
        <w:rPr>
          <w:noProof/>
          <w:szCs w:val="24"/>
        </w:rPr>
        <w:t xml:space="preserve">(Morrell </w:t>
      </w:r>
      <w:r w:rsidR="00EC15F5" w:rsidRPr="00E51082">
        <w:rPr>
          <w:i/>
          <w:noProof/>
          <w:szCs w:val="24"/>
        </w:rPr>
        <w:t>et al.</w:t>
      </w:r>
      <w:r w:rsidR="00EC15F5" w:rsidRPr="00E51082">
        <w:rPr>
          <w:noProof/>
          <w:szCs w:val="24"/>
        </w:rPr>
        <w:t xml:space="preserve"> 2009b)</w:t>
      </w:r>
      <w:r w:rsidRPr="00E51082">
        <w:rPr>
          <w:szCs w:val="24"/>
        </w:rPr>
        <w:fldChar w:fldCharType="end"/>
      </w:r>
      <w:r w:rsidR="00E45BE3" w:rsidRPr="00E51082">
        <w:rPr>
          <w:szCs w:val="24"/>
        </w:rPr>
        <w:t>.</w:t>
      </w:r>
      <w:r w:rsidRPr="00E51082">
        <w:rPr>
          <w:szCs w:val="24"/>
        </w:rPr>
        <w:t xml:space="preserve"> </w:t>
      </w:r>
      <w:r w:rsidR="0069069F" w:rsidRPr="00E51082">
        <w:rPr>
          <w:szCs w:val="24"/>
        </w:rPr>
        <w:t>M</w:t>
      </w:r>
      <w:r w:rsidRPr="00E51082">
        <w:rPr>
          <w:szCs w:val="24"/>
        </w:rPr>
        <w:t>ean cost of training per HV was £1,398</w:t>
      </w:r>
      <w:r w:rsidR="00F26EA3" w:rsidRPr="00E51082">
        <w:rPr>
          <w:szCs w:val="24"/>
        </w:rPr>
        <w:t xml:space="preserve"> (</w:t>
      </w:r>
      <w:r w:rsidRPr="00E51082">
        <w:rPr>
          <w:szCs w:val="24"/>
        </w:rPr>
        <w:t>annual equivalent £988</w:t>
      </w:r>
      <w:r w:rsidR="00F26EA3" w:rsidRPr="00E51082">
        <w:rPr>
          <w:szCs w:val="24"/>
        </w:rPr>
        <w:t>)</w:t>
      </w:r>
      <w:r w:rsidRPr="00E51082">
        <w:rPr>
          <w:szCs w:val="24"/>
        </w:rPr>
        <w:t xml:space="preserve">. This translated to an increase in cost per </w:t>
      </w:r>
      <w:r w:rsidR="00482653" w:rsidRPr="00E51082">
        <w:rPr>
          <w:szCs w:val="24"/>
        </w:rPr>
        <w:t xml:space="preserve">HV </w:t>
      </w:r>
      <w:r w:rsidRPr="00E51082">
        <w:rPr>
          <w:szCs w:val="24"/>
        </w:rPr>
        <w:t>hour of client time from £77</w:t>
      </w:r>
      <w:r w:rsidR="002C3E96" w:rsidRPr="00E51082">
        <w:rPr>
          <w:szCs w:val="24"/>
        </w:rPr>
        <w:t xml:space="preserve"> </w:t>
      </w:r>
      <w:r w:rsidR="00FA13C9" w:rsidRPr="00E51082">
        <w:rPr>
          <w:szCs w:val="24"/>
        </w:rPr>
        <w:fldChar w:fldCharType="begin" w:fldLock="1"/>
      </w:r>
      <w:r w:rsidR="00706093">
        <w:rPr>
          <w:szCs w:val="24"/>
        </w:rPr>
        <w:instrText>ADDIN CSL_CITATION {"citationItems":[{"id":"ITEM-1","itemData":{"author":[{"dropping-particle":"","family":"Netten","given":"Ann","non-dropping-particle":"","parse-names":false,"suffix":""},{"dropping-particle":"","family":"Curtis","given":"Lesley","non-dropping-particle":"","parse-names":false,"suffix":""}],"id":"ITEM-1","issued":{"date-parts":[["2004"]]},"publisher":"Personal Social Services Research Unit (PSSRU)","publisher-place":"University of Kent, Canterbury","title":"Unit Costs of Health and Social Care 2004","type":"report"},"uris":["http://www.mendeley.com/documents/?uuid=8b9efcff-4924-32ac-8782-7afec708fc95"]}],"mendeley":{"formattedCitation":"(Netten &amp; Curtis 2004)","plainTextFormattedCitation":"(Netten &amp; Curtis 2004)","previouslyFormattedCitation":"(Netten &amp; Curtis 2004)"},"properties":{"noteIndex":0},"schema":"https://github.com/citation-style-language/schema/raw/master/csl-citation.json"}</w:instrText>
      </w:r>
      <w:r w:rsidR="00FA13C9" w:rsidRPr="00E51082">
        <w:rPr>
          <w:szCs w:val="24"/>
        </w:rPr>
        <w:fldChar w:fldCharType="separate"/>
      </w:r>
      <w:r w:rsidR="00FA13C9" w:rsidRPr="00E51082">
        <w:rPr>
          <w:noProof/>
          <w:szCs w:val="24"/>
        </w:rPr>
        <w:t>(Netten &amp; Curtis 2004)</w:t>
      </w:r>
      <w:r w:rsidR="00FA13C9" w:rsidRPr="00E51082">
        <w:rPr>
          <w:szCs w:val="24"/>
        </w:rPr>
        <w:fldChar w:fldCharType="end"/>
      </w:r>
      <w:r w:rsidRPr="00E51082">
        <w:rPr>
          <w:szCs w:val="24"/>
        </w:rPr>
        <w:t xml:space="preserve"> to £79</w:t>
      </w:r>
      <w:r w:rsidR="00F26EA3" w:rsidRPr="00E51082">
        <w:rPr>
          <w:szCs w:val="24"/>
        </w:rPr>
        <w:t>: t</w:t>
      </w:r>
      <w:r w:rsidRPr="00E51082">
        <w:rPr>
          <w:szCs w:val="24"/>
        </w:rPr>
        <w:t>hese figures represent unit costs used for HV</w:t>
      </w:r>
      <w:r w:rsidR="00F26EA3" w:rsidRPr="00E51082">
        <w:rPr>
          <w:szCs w:val="24"/>
        </w:rPr>
        <w:t>s</w:t>
      </w:r>
      <w:r w:rsidRPr="00E51082">
        <w:rPr>
          <w:szCs w:val="24"/>
        </w:rPr>
        <w:t xml:space="preserve"> in control </w:t>
      </w:r>
      <w:r w:rsidR="007B3707" w:rsidRPr="00E51082">
        <w:rPr>
          <w:szCs w:val="24"/>
        </w:rPr>
        <w:t>a</w:t>
      </w:r>
      <w:r w:rsidRPr="00E51082">
        <w:rPr>
          <w:szCs w:val="24"/>
        </w:rPr>
        <w:t>nd intervention groups, respectively.</w:t>
      </w:r>
    </w:p>
    <w:p w14:paraId="6C76B284" w14:textId="720E1173" w:rsidR="00FE1663" w:rsidRPr="00E51082" w:rsidRDefault="00FE1663" w:rsidP="000B5BB6">
      <w:pPr>
        <w:pStyle w:val="Heading2"/>
      </w:pPr>
      <w:r w:rsidRPr="00E51082">
        <w:t>Outcomes</w:t>
      </w:r>
    </w:p>
    <w:p w14:paraId="20AB6498" w14:textId="5CD07D3C" w:rsidR="00FE1663" w:rsidRPr="00E51082" w:rsidRDefault="00FE1663" w:rsidP="00FE1663">
      <w:pPr>
        <w:spacing w:after="120"/>
        <w:rPr>
          <w:szCs w:val="24"/>
        </w:rPr>
      </w:pPr>
      <w:r w:rsidRPr="00E51082">
        <w:rPr>
          <w:szCs w:val="24"/>
        </w:rPr>
        <w:t>Data on health-related quality of life were collected using SF-36 at 6 weeks, 6 and 12 months</w:t>
      </w:r>
      <w:r w:rsidR="000076DA" w:rsidRPr="00E51082">
        <w:rPr>
          <w:szCs w:val="24"/>
        </w:rPr>
        <w:t>, and</w:t>
      </w:r>
      <w:r w:rsidRPr="00E51082">
        <w:rPr>
          <w:szCs w:val="24"/>
        </w:rPr>
        <w:t xml:space="preserve"> </w:t>
      </w:r>
      <w:r w:rsidR="00F26EA3" w:rsidRPr="00E51082">
        <w:rPr>
          <w:szCs w:val="24"/>
        </w:rPr>
        <w:t>generated</w:t>
      </w:r>
      <w:r w:rsidRPr="00E51082">
        <w:rPr>
          <w:szCs w:val="24"/>
        </w:rPr>
        <w:t xml:space="preserve"> the </w:t>
      </w:r>
      <w:r w:rsidR="00B05CB6">
        <w:rPr>
          <w:szCs w:val="24"/>
        </w:rPr>
        <w:t xml:space="preserve">preference-based health measure, the </w:t>
      </w:r>
      <w:r w:rsidRPr="00E51082">
        <w:rPr>
          <w:szCs w:val="24"/>
        </w:rPr>
        <w:t>SF-6D</w:t>
      </w:r>
      <w:r w:rsidR="00B05CB6">
        <w:rPr>
          <w:szCs w:val="24"/>
        </w:rPr>
        <w:t xml:space="preserve"> </w:t>
      </w:r>
      <w:r w:rsidR="0071772D">
        <w:rPr>
          <w:szCs w:val="24"/>
        </w:rPr>
        <w:t xml:space="preserve">index </w:t>
      </w:r>
      <w:r w:rsidR="0071772D">
        <w:rPr>
          <w:szCs w:val="24"/>
        </w:rPr>
        <w:fldChar w:fldCharType="begin" w:fldLock="1"/>
      </w:r>
      <w:r w:rsidR="00706093">
        <w:rPr>
          <w:szCs w:val="24"/>
        </w:rPr>
        <w:instrText>ADDIN CSL_CITATION {"citationItems":[{"id":"ITEM-1","itemData":{"DOI":"10.1016/S0167-6296(01)00130-8","ISBN":"0167-6296","ISSN":"01676296","PMID":"15319610","abstract":"This paper reports on the findings of a study to derive a preference-based measure of health from the SF-36 for use in economic evaluation. The SF-36 was revised into a six-dimensional health state classification called the SF-6D. A sample of 249 states defined by the SF-6D have been valued by a representative sample of 611 members of the UK general population, using standard gamble. Models are estimated for predicting health state valuations for all 18,000 states defined by the SF-6D. The econometric modelling had to cope with the hierarchical nature of the data and its skewed distribution. The recommended models have produced significant coefficients for levels of the SF-6D, which are robust across model specification. However, there are concerns with some inconsistent estimates and over prediction of the value of the poorest health states. These problems must be weighed against the rich descriptive ability of the SF-6D, and the potential application of these models to existing and future SF-36 data set. © 2002 Elsevier Science B.V. All rights reserved.","author":[{"dropping-particle":"","family":"Brazier","given":"John","non-dropping-particle":"","parse-names":false,"suffix":""},{"dropping-particle":"","family":"Roberts","given":"Jennifer","non-dropping-particle":"","parse-names":false,"suffix":""},{"dropping-particle":"","family":"Deverill","given":"Mark","non-dropping-particle":"","parse-names":false,"suffix":""}],"container-title":"Journal of Health Economics","edition":"2004/08/21","id":"ITEM-1","issue":"2","issued":{"date-parts":[["2002"]]},"language":"eng","note":"Brazier, John E\nRoberts, Jennifer\nResearch Support, Non-U.S. Gov't\nValidation Studies\nUnited States\nMedical care\nMed Care. 2004 Sep;42(9):851-9.","page":"271-292","title":"The estimation of a preference-based measure of health from the SF-36","type":"article-journal","volume":"21"},"uris":["http://www.mendeley.com/documents/?uuid=085b8891-bd39-40fa-9d55-1e42bbf8fc23"]}],"mendeley":{"formattedCitation":"(Brazier &lt;i&gt;et al.&lt;/i&gt; 2002)","plainTextFormattedCitation":"(Brazier et al. 2002)","previouslyFormattedCitation":"(Brazier &lt;i&gt;et al.&lt;/i&gt; 2002)"},"properties":{"noteIndex":0},"schema":"https://github.com/citation-style-language/schema/raw/master/csl-citation.json"}</w:instrText>
      </w:r>
      <w:r w:rsidR="0071772D">
        <w:rPr>
          <w:szCs w:val="24"/>
        </w:rPr>
        <w:fldChar w:fldCharType="separate"/>
      </w:r>
      <w:r w:rsidR="0071772D" w:rsidRPr="0071772D">
        <w:rPr>
          <w:noProof/>
          <w:szCs w:val="24"/>
        </w:rPr>
        <w:t xml:space="preserve">(Brazier </w:t>
      </w:r>
      <w:r w:rsidR="0071772D" w:rsidRPr="0071772D">
        <w:rPr>
          <w:i/>
          <w:noProof/>
          <w:szCs w:val="24"/>
        </w:rPr>
        <w:t>et al.</w:t>
      </w:r>
      <w:r w:rsidR="0071772D" w:rsidRPr="0071772D">
        <w:rPr>
          <w:noProof/>
          <w:szCs w:val="24"/>
        </w:rPr>
        <w:t xml:space="preserve"> 2002)</w:t>
      </w:r>
      <w:r w:rsidR="0071772D">
        <w:rPr>
          <w:szCs w:val="24"/>
        </w:rPr>
        <w:fldChar w:fldCharType="end"/>
      </w:r>
      <w:r w:rsidR="00087BA8">
        <w:rPr>
          <w:szCs w:val="24"/>
        </w:rPr>
        <w:t xml:space="preserve">. </w:t>
      </w:r>
      <w:r w:rsidR="00F26EA3" w:rsidRPr="00E51082">
        <w:rPr>
          <w:szCs w:val="24"/>
        </w:rPr>
        <w:t>M</w:t>
      </w:r>
      <w:r w:rsidRPr="00E51082">
        <w:rPr>
          <w:szCs w:val="24"/>
        </w:rPr>
        <w:t>others’ QALY</w:t>
      </w:r>
      <w:r w:rsidR="000076DA" w:rsidRPr="00E51082">
        <w:rPr>
          <w:szCs w:val="24"/>
        </w:rPr>
        <w:t xml:space="preserve"> gains</w:t>
      </w:r>
      <w:r w:rsidRPr="00E51082">
        <w:rPr>
          <w:szCs w:val="24"/>
        </w:rPr>
        <w:t xml:space="preserve"> between 6 weeks and 6 months </w:t>
      </w:r>
      <w:r w:rsidR="00F26EA3" w:rsidRPr="00E51082">
        <w:rPr>
          <w:szCs w:val="24"/>
        </w:rPr>
        <w:t xml:space="preserve">were calculated </w:t>
      </w:r>
      <w:r w:rsidR="004D6B17">
        <w:rPr>
          <w:szCs w:val="24"/>
        </w:rPr>
        <w:t>from</w:t>
      </w:r>
      <w:r w:rsidR="005F1F0C">
        <w:rPr>
          <w:szCs w:val="24"/>
        </w:rPr>
        <w:t xml:space="preserve"> </w:t>
      </w:r>
      <w:r w:rsidR="004D6B17">
        <w:rPr>
          <w:szCs w:val="24"/>
        </w:rPr>
        <w:t xml:space="preserve">SF-6D </w:t>
      </w:r>
      <w:r w:rsidR="005F1F0C">
        <w:rPr>
          <w:szCs w:val="24"/>
        </w:rPr>
        <w:t xml:space="preserve">utility </w:t>
      </w:r>
      <w:r w:rsidR="00F6489E">
        <w:rPr>
          <w:szCs w:val="24"/>
        </w:rPr>
        <w:t xml:space="preserve">index </w:t>
      </w:r>
      <w:r w:rsidR="004D6B17">
        <w:rPr>
          <w:szCs w:val="24"/>
        </w:rPr>
        <w:t xml:space="preserve">scores </w:t>
      </w:r>
      <w:r w:rsidR="001C7723">
        <w:rPr>
          <w:szCs w:val="24"/>
        </w:rPr>
        <w:t xml:space="preserve">at those time points </w:t>
      </w:r>
      <w:r w:rsidRPr="00E51082">
        <w:rPr>
          <w:szCs w:val="24"/>
        </w:rPr>
        <w:t xml:space="preserve">by the area-under-the-curve using </w:t>
      </w:r>
      <w:r w:rsidR="004D6B17">
        <w:rPr>
          <w:szCs w:val="24"/>
        </w:rPr>
        <w:t xml:space="preserve">the </w:t>
      </w:r>
      <w:r w:rsidRPr="00E51082">
        <w:rPr>
          <w:szCs w:val="24"/>
        </w:rPr>
        <w:t>trapezoidal method</w:t>
      </w:r>
      <w:r w:rsidR="00E45BE3" w:rsidRPr="00E51082">
        <w:rPr>
          <w:szCs w:val="24"/>
        </w:rPr>
        <w:t xml:space="preserve"> </w:t>
      </w:r>
      <w:r w:rsidRPr="00E51082">
        <w:rPr>
          <w:szCs w:val="24"/>
        </w:rPr>
        <w:fldChar w:fldCharType="begin" w:fldLock="1"/>
      </w:r>
      <w:r w:rsidR="00706093">
        <w:rPr>
          <w:szCs w:val="24"/>
        </w:rPr>
        <w:instrText>ADDIN CSL_CITATION {"citationItems":[{"id":"ITEM-1","itemData":{"DOI":"10.1002/hec.944","ISBN":"1057-9230","ISSN":"10579230","PMID":"15497198","abstract":"In trial-based cost-effectiveness analysis baseline mean utility values are invariably imbalanced between treatment arms. A patient's baseline utility is likely to be highly correlated with their quality-adjusted life-years (QALYs) over the follow-up period, not least because it typically contributes to the QALY calculation. Therefore, imbalance in baseline utility needs to be accounted for in the estimation of mean differential QALYs, and failure to control for this imbalance can result in a misleading incremental cost-effectiveness ratio. This paper discusses the approaches that have been used in the cost-effectiveness literature to estimate absolute and differential mean QALYs alongside randomised trials, and illustrates the implications of baseline mean utility imbalance for QALY calculation. Using data from a recently conducted trial-based cost-effectiveness study and a micro-simulation exercise, the relative performance of alternative estimators is compared, showing that widely used methods to calculate differential QALYs provide incorrect results in the presence of baseline mean utility imbalance regardless of whether these differences are formally statistically significant. It is demonstrated that multiple regression methods can be usefully applied to generate appropriate estimates of differential mean QALYs and an associated measure of sampling variability, while controlling for differences in baseline mean utility between treatment arms in the trial.","author":[{"dropping-particle":"","family":"Manca","given":"Andrea","non-dropping-particle":"","parse-names":false,"suffix":""},{"dropping-particle":"","family":"Hawkins","given":"Neil","non-dropping-particle":"","parse-names":false,"suffix":""},{"dropping-particle":"","family":"Sculpher","given":"Mark J.","non-dropping-particle":"","parse-names":false,"suffix":""}],"container-title":"Health Economics","id":"ITEM-1","issue":"5","issued":{"date-parts":[["2005"]]},"note":"1099-1050","page":"487-496","title":"Estimating mean QALYs in trial-based cost-effectiveness analysis: The importance of controlling for baseline utility","type":"article-journal","volume":"14"},"uris":["http://www.mendeley.com/documents/?uuid=0fe1f2a9-a5dd-4480-bcfb-84c16745e208"]}],"mendeley":{"formattedCitation":"(Manca &lt;i&gt;et al.&lt;/i&gt; 2005a)","plainTextFormattedCitation":"(Manca et al. 2005a)","previouslyFormattedCitation":"(Manca &lt;i&gt;et al.&lt;/i&gt; 2005a)"},"properties":{"noteIndex":0},"schema":"https://github.com/citation-style-language/schema/raw/master/csl-citation.json"}</w:instrText>
      </w:r>
      <w:r w:rsidRPr="00E51082">
        <w:rPr>
          <w:szCs w:val="24"/>
        </w:rPr>
        <w:fldChar w:fldCharType="separate"/>
      </w:r>
      <w:r w:rsidR="00EC15F5" w:rsidRPr="00E51082">
        <w:rPr>
          <w:noProof/>
          <w:szCs w:val="24"/>
        </w:rPr>
        <w:t xml:space="preserve">(Manca </w:t>
      </w:r>
      <w:r w:rsidR="00EC15F5" w:rsidRPr="00E51082">
        <w:rPr>
          <w:i/>
          <w:noProof/>
          <w:szCs w:val="24"/>
        </w:rPr>
        <w:t>et al.</w:t>
      </w:r>
      <w:r w:rsidR="00EC15F5" w:rsidRPr="00E51082">
        <w:rPr>
          <w:noProof/>
          <w:szCs w:val="24"/>
        </w:rPr>
        <w:t xml:space="preserve"> 2005a)</w:t>
      </w:r>
      <w:r w:rsidRPr="00E51082">
        <w:rPr>
          <w:szCs w:val="24"/>
        </w:rPr>
        <w:fldChar w:fldCharType="end"/>
      </w:r>
      <w:r w:rsidR="00E45BE3" w:rsidRPr="00E51082">
        <w:rPr>
          <w:szCs w:val="24"/>
        </w:rPr>
        <w:t>.</w:t>
      </w:r>
      <w:r w:rsidRPr="00E51082">
        <w:rPr>
          <w:szCs w:val="24"/>
        </w:rPr>
        <w:t xml:space="preserve"> We examined </w:t>
      </w:r>
      <w:r w:rsidR="00EE0FDB" w:rsidRPr="00E51082">
        <w:rPr>
          <w:szCs w:val="24"/>
        </w:rPr>
        <w:t>risk-of-</w:t>
      </w:r>
      <w:r w:rsidRPr="00E51082">
        <w:rPr>
          <w:szCs w:val="24"/>
        </w:rPr>
        <w:t xml:space="preserve">depression outcomes at follow-up as secondary outcome, dichotomising 6-month EPDS scores into </w:t>
      </w:r>
      <w:r w:rsidR="0070665D">
        <w:rPr>
          <w:szCs w:val="24"/>
        </w:rPr>
        <w:t>1=</w:t>
      </w:r>
      <w:r w:rsidRPr="00E51082">
        <w:rPr>
          <w:szCs w:val="24"/>
        </w:rPr>
        <w:t>low</w:t>
      </w:r>
      <w:r w:rsidR="00D4713C" w:rsidRPr="00E51082">
        <w:rPr>
          <w:szCs w:val="24"/>
        </w:rPr>
        <w:t>er</w:t>
      </w:r>
      <w:r w:rsidR="00F26EA3" w:rsidRPr="00E51082">
        <w:rPr>
          <w:szCs w:val="24"/>
        </w:rPr>
        <w:t>-</w:t>
      </w:r>
      <w:r w:rsidRPr="00E51082">
        <w:rPr>
          <w:szCs w:val="24"/>
        </w:rPr>
        <w:t>risk (score</w:t>
      </w:r>
      <w:r w:rsidR="00980C95" w:rsidRPr="00E51082">
        <w:rPr>
          <w:szCs w:val="24"/>
        </w:rPr>
        <w:t>&lt;</w:t>
      </w:r>
      <w:r w:rsidRPr="00E51082">
        <w:rPr>
          <w:szCs w:val="24"/>
        </w:rPr>
        <w:t xml:space="preserve">12) and </w:t>
      </w:r>
      <w:r w:rsidR="0070665D">
        <w:rPr>
          <w:szCs w:val="24"/>
        </w:rPr>
        <w:t>0=</w:t>
      </w:r>
      <w:r w:rsidR="00D4713C" w:rsidRPr="00E51082">
        <w:rPr>
          <w:szCs w:val="24"/>
        </w:rPr>
        <w:t>at</w:t>
      </w:r>
      <w:r w:rsidRPr="00E51082">
        <w:rPr>
          <w:szCs w:val="24"/>
        </w:rPr>
        <w:t xml:space="preserve">-risk (score </w:t>
      </w:r>
      <m:oMath>
        <m:r>
          <w:rPr>
            <w:rFonts w:ascii="Cambria Math" w:hAnsi="Cambria Math"/>
          </w:rPr>
          <m:t>≥</m:t>
        </m:r>
      </m:oMath>
      <w:r w:rsidRPr="00E51082">
        <w:rPr>
          <w:szCs w:val="24"/>
        </w:rPr>
        <w:t xml:space="preserve">12). </w:t>
      </w:r>
    </w:p>
    <w:p w14:paraId="6A3EF1C2" w14:textId="7C9C2A87" w:rsidR="00FE1663" w:rsidRPr="00E51082" w:rsidRDefault="00FE1663" w:rsidP="000B5BB6">
      <w:pPr>
        <w:pStyle w:val="Heading2"/>
      </w:pPr>
      <w:r w:rsidRPr="00E51082">
        <w:lastRenderedPageBreak/>
        <w:t>Analysis</w:t>
      </w:r>
    </w:p>
    <w:p w14:paraId="0BCD97D1" w14:textId="20605965" w:rsidR="00FE1663" w:rsidRPr="00E51082" w:rsidRDefault="00FE1663" w:rsidP="00FE1663">
      <w:pPr>
        <w:spacing w:after="120"/>
        <w:rPr>
          <w:szCs w:val="24"/>
        </w:rPr>
      </w:pPr>
      <w:r w:rsidRPr="00E51082">
        <w:rPr>
          <w:szCs w:val="24"/>
        </w:rPr>
        <w:t xml:space="preserve">Cluster-adjusted t-tests were applied to comparisons of continuous data; </w:t>
      </w:r>
      <w:r w:rsidR="00574CC0" w:rsidRPr="00E51082">
        <w:rPr>
          <w:szCs w:val="24"/>
        </w:rPr>
        <w:t xml:space="preserve">cluster-adjusted </w:t>
      </w:r>
      <w:r w:rsidRPr="00E51082">
        <w:rPr>
          <w:szCs w:val="24"/>
        </w:rPr>
        <w:t>chi-squared tests were applied to tabulations of categorical data</w:t>
      </w:r>
      <w:r w:rsidR="00E45BE3" w:rsidRPr="00E51082">
        <w:rPr>
          <w:szCs w:val="24"/>
        </w:rPr>
        <w:t xml:space="preserve"> </w:t>
      </w:r>
      <w:r w:rsidRPr="00E51082">
        <w:rPr>
          <w:szCs w:val="24"/>
        </w:rPr>
        <w:fldChar w:fldCharType="begin" w:fldLock="1"/>
      </w:r>
      <w:r w:rsidR="00706093">
        <w:rPr>
          <w:szCs w:val="24"/>
        </w:rPr>
        <w:instrText>ADDIN CSL_CITATION {"citationItems":[{"id":"ITEM-1","itemData":{"DOI":"10.1198/jasa.2001.s433","ISBN":"0470711000","ISSN":"0162-1459","abstract":"A cluster randomization trial is one in which intact social units, or clusters of individuals, are randomized to different intervention groups. Trials randomizing clusters have become particularly widespread in the evaluation of non-therapeutic interventions, including lifestyle modification, educational programmes and innovations in the provision of health care. The increasing popularity of this design among health researchers over the past two decades has led to an extensive body of methodology on the subject. This is the first book to present a systematic and united treatment of this topic; it contains distinctive chapters on the history of cluster randomized trials, ethical issues and reporting guidelines.","author":[{"dropping-particle":"","family":"Davis","given":"William W","non-dropping-particle":"","parse-names":false,"suffix":""}],"container-title":"Journal of the American Statistical Association","id":"ITEM-1","issue":"456","issued":{"date-parts":[["2001"]]},"note":"GB99Y3567 bnb\nAllan Donner, Neil Klar.\nIncludes bibliographical references and index.","number-of-pages":"1529-1529","publisher":"Arnold","publisher-place":"London","title":"Design and Analysis of Cluster Randomization Trials in Health Research","type":"book","volume":"96"},"uris":["http://www.mendeley.com/documents/?uuid=17725fe5-e852-43bb-9909-9eafd498d04d"]},{"id":"ITEM-2","itemData":{"abstract":"cltest is a pair of programs for analyzing data that have been randomized in clusters. clttest compares the means of two sets of grouped outcomes, with optional support for group-stratified outcomes. clchi2 estimates an adjusted chi-square test of independence for 2xk groups, with optional support for group-stratified outcomes. Adjustments for clustering are taken from Donner &amp; Klar (Cluster Randomization Trials in Health Services Research, 2000), with the CLCHI2 program generalized to the 2xk case. chchi2 uses loneway to calculate the inter-cluster correlation, which in Stata 6.0 and higher includes a correction for imbalanced groups.","author":[{"dropping-particle":"","family":"Herrin","given":"Jeph","non-dropping-particle":"","parse-names":false,"suffix":""}],"container-title":"Statistical Software Components","id":"ITEM-2","issued":{"date-parts":[["2012"]]},"title":"CLTEST: Stata modules for performing cluster-adjusted chi-square and t-tests","type":"article"},"uris":["http://www.mendeley.com/documents/?uuid=7e789acb-a8f8-4f72-9f8b-dee53549809d"]}],"mendeley":{"formattedCitation":"(Davis 2001; Herrin 2012)","plainTextFormattedCitation":"(Davis 2001; Herrin 2012)","previouslyFormattedCitation":"(Davis 2001; Herrin 2012)"},"properties":{"noteIndex":0},"schema":"https://github.com/citation-style-language/schema/raw/master/csl-citation.json"}</w:instrText>
      </w:r>
      <w:r w:rsidRPr="00E51082">
        <w:rPr>
          <w:szCs w:val="24"/>
        </w:rPr>
        <w:fldChar w:fldCharType="separate"/>
      </w:r>
      <w:r w:rsidR="000F3CD8" w:rsidRPr="00E51082">
        <w:rPr>
          <w:noProof/>
          <w:szCs w:val="24"/>
        </w:rPr>
        <w:t>(Davis 2001; Herrin 2012)</w:t>
      </w:r>
      <w:r w:rsidRPr="00E51082">
        <w:rPr>
          <w:szCs w:val="24"/>
        </w:rPr>
        <w:fldChar w:fldCharType="end"/>
      </w:r>
      <w:r w:rsidR="00E45BE3" w:rsidRPr="00E51082">
        <w:rPr>
          <w:szCs w:val="24"/>
        </w:rPr>
        <w:t>.</w:t>
      </w:r>
      <w:r w:rsidRPr="00E51082">
        <w:rPr>
          <w:szCs w:val="24"/>
        </w:rPr>
        <w:t xml:space="preserve"> Intra-cluster </w:t>
      </w:r>
      <w:r w:rsidR="00144367" w:rsidRPr="00E51082">
        <w:rPr>
          <w:szCs w:val="24"/>
        </w:rPr>
        <w:t xml:space="preserve">correlation </w:t>
      </w:r>
      <w:r w:rsidRPr="00E51082">
        <w:rPr>
          <w:szCs w:val="24"/>
        </w:rPr>
        <w:t>coefficients (ICC) were derived from one-way analysis of variance</w:t>
      </w:r>
      <w:r w:rsidR="00E45BE3" w:rsidRPr="00E51082">
        <w:rPr>
          <w:szCs w:val="24"/>
        </w:rPr>
        <w:t xml:space="preserve"> </w:t>
      </w:r>
      <w:r w:rsidR="004367D1" w:rsidRPr="00E51082">
        <w:rPr>
          <w:szCs w:val="24"/>
        </w:rPr>
        <w:fldChar w:fldCharType="begin" w:fldLock="1"/>
      </w:r>
      <w:r w:rsidR="00706093">
        <w:rPr>
          <w:szCs w:val="24"/>
        </w:rPr>
        <w:instrText>ADDIN CSL_CITATION {"citationItems":[{"id":"ITEM-1","itemData":{"DOI":"10.1002/sim.1330","ISBN":"1097-0258","abstract":"A Correction has been published for this article in Statistics in Medicine 23(18) 2004, 2935. This study compared different methods for assigning confidence intervals to the analysis of variance estimator of the intraclass correlation coefficient (ρ). The context of the comparison was the use of ρ to estimate the variance inflation factor when planning cluster randomized trials. The methods were compared using Monte Carlo simulations of unbalanced clustered data and data from a cluster randomized trial of an intervention to improve the management of asthma in a general practice setting. The coverage and precision of the intervals were compared for data with different numbers of clusters, mean numbers of subjects per cluster and underlying values of ρ. The performance of the methods was also compared for data with Normal and non-Normally distributed cluster specific effects. Results of the simulations showed that methods based upon the variance ratio statistic provided greater coverage levels than those based upon large sample approximations to the standard error of ρ. Searle's method provided close to nominal coverage for data with Normally distributed random effects. Adjusted versions of Searle's method to allow for lack of balance in the data generally did not improve upon it either in terms of coverage or precision. Analyses of the trial data, however, showed that limits provided by Thomas and Hultquist's method may differ from those of the other variance ratio statistic methods when the arithmetic mean differs markedly from the harmonic mean cluster size. The simulation results demonstrated that marked non-Normality in the cluster level random effects compromised the performance of all methods. Confidence intervals for the methods were generally wide relative to the underlying size of ρsuggesting that there may be great uncertainty associated with sample size calculations for cluster trials where large clusters are randomized. Data from cluster based studies with sample sizes much larger than those typical of cluster randomized trials are required to estimate ρ with a reasonable degree of precision. Copyright © 2002 John Wiley &amp; Sons, Ltd.","author":[{"dropping-particle":"","family":"Ukoumunne","given":"Obioha C","non-dropping-particle":"","parse-names":false,"suffix":""}],"container-title":"Statistics in Medicine","id":"ITEM-1","issue":"24","issued":{"date-parts":[["2002"]]},"page":"3757-3774","title":"A comparison of confidence interval methods for the intraclass correlation coefficient in cluster randomized trials","type":"article-journal","volume":"21"},"uris":["http://www.mendeley.com/documents/?uuid=a0a63771-5b0d-436b-b8b0-ccffa6feb265"]}],"mendeley":{"formattedCitation":"(Ukoumunne 2002)","plainTextFormattedCitation":"(Ukoumunne 2002)","previouslyFormattedCitation":"(Ukoumunne 2002)"},"properties":{"noteIndex":0},"schema":"https://github.com/citation-style-language/schema/raw/master/csl-citation.json"}</w:instrText>
      </w:r>
      <w:r w:rsidR="004367D1" w:rsidRPr="00E51082">
        <w:rPr>
          <w:szCs w:val="24"/>
        </w:rPr>
        <w:fldChar w:fldCharType="separate"/>
      </w:r>
      <w:r w:rsidR="00EC15F5" w:rsidRPr="00E51082">
        <w:rPr>
          <w:noProof/>
          <w:szCs w:val="24"/>
        </w:rPr>
        <w:t>(Ukoumunne 2002)</w:t>
      </w:r>
      <w:r w:rsidR="004367D1" w:rsidRPr="00E51082">
        <w:rPr>
          <w:szCs w:val="24"/>
        </w:rPr>
        <w:fldChar w:fldCharType="end"/>
      </w:r>
      <w:r w:rsidR="00E45BE3" w:rsidRPr="00E51082">
        <w:rPr>
          <w:szCs w:val="24"/>
        </w:rPr>
        <w:t>.</w:t>
      </w:r>
      <w:hyperlink w:anchor="_ENREF_40" w:tooltip="Ukoumunne, 2002 #241" w:history="1"/>
      <w:r w:rsidR="00DE63EC" w:rsidRPr="00E51082">
        <w:t xml:space="preserve"> </w:t>
      </w:r>
      <w:r w:rsidR="00D32ABF" w:rsidRPr="00E51082">
        <w:rPr>
          <w:szCs w:val="24"/>
        </w:rPr>
        <w:t xml:space="preserve">The conventional </w:t>
      </w:r>
      <w:r w:rsidR="00AC3978" w:rsidRPr="00E51082">
        <w:rPr>
          <w:szCs w:val="24"/>
        </w:rPr>
        <w:t xml:space="preserve">5% </w:t>
      </w:r>
      <w:r w:rsidR="00D32ABF" w:rsidRPr="00E51082">
        <w:rPr>
          <w:szCs w:val="24"/>
        </w:rPr>
        <w:t xml:space="preserve">level of significance was used </w:t>
      </w:r>
      <w:r w:rsidR="00F26EA3" w:rsidRPr="00E51082">
        <w:rPr>
          <w:szCs w:val="24"/>
        </w:rPr>
        <w:t>throughout</w:t>
      </w:r>
      <w:r w:rsidR="00D32ABF" w:rsidRPr="00E51082">
        <w:rPr>
          <w:szCs w:val="24"/>
        </w:rPr>
        <w:t>.</w:t>
      </w:r>
    </w:p>
    <w:p w14:paraId="6945D576" w14:textId="43466D5B" w:rsidR="00FE1663" w:rsidRPr="00E51082" w:rsidRDefault="001E7309" w:rsidP="00574CC0">
      <w:pPr>
        <w:spacing w:after="120"/>
        <w:rPr>
          <w:szCs w:val="24"/>
        </w:rPr>
      </w:pPr>
      <w:r w:rsidRPr="00E51082">
        <w:rPr>
          <w:szCs w:val="24"/>
        </w:rPr>
        <w:t>In addition to cost-effectiveness analyses, w</w:t>
      </w:r>
      <w:r w:rsidR="00005F2A" w:rsidRPr="00E51082">
        <w:rPr>
          <w:szCs w:val="24"/>
        </w:rPr>
        <w:t xml:space="preserve">e </w:t>
      </w:r>
      <w:r w:rsidR="00FE1663" w:rsidRPr="00E51082">
        <w:rPr>
          <w:szCs w:val="24"/>
        </w:rPr>
        <w:t>explore</w:t>
      </w:r>
      <w:r w:rsidR="00005F2A" w:rsidRPr="00E51082">
        <w:rPr>
          <w:szCs w:val="24"/>
        </w:rPr>
        <w:t xml:space="preserve">d </w:t>
      </w:r>
      <w:r w:rsidR="00FE1663" w:rsidRPr="00E51082">
        <w:rPr>
          <w:szCs w:val="24"/>
        </w:rPr>
        <w:t xml:space="preserve">whether the </w:t>
      </w:r>
      <w:r w:rsidR="00CF6AAC" w:rsidRPr="00E51082">
        <w:rPr>
          <w:szCs w:val="24"/>
        </w:rPr>
        <w:t xml:space="preserve">PoNDER HV </w:t>
      </w:r>
      <w:r w:rsidR="00FE1663" w:rsidRPr="00E51082">
        <w:rPr>
          <w:szCs w:val="24"/>
        </w:rPr>
        <w:t xml:space="preserve">training </w:t>
      </w:r>
      <w:r w:rsidR="00980C95" w:rsidRPr="00E51082">
        <w:rPr>
          <w:szCs w:val="24"/>
        </w:rPr>
        <w:t>affected</w:t>
      </w:r>
      <w:r w:rsidR="00FE1663" w:rsidRPr="00E51082">
        <w:rPr>
          <w:szCs w:val="24"/>
        </w:rPr>
        <w:t xml:space="preserve"> the number of </w:t>
      </w:r>
      <w:r w:rsidR="00CF6AAC" w:rsidRPr="00E51082">
        <w:rPr>
          <w:szCs w:val="24"/>
        </w:rPr>
        <w:t xml:space="preserve">HV </w:t>
      </w:r>
      <w:r w:rsidR="00FE1663" w:rsidRPr="00E51082">
        <w:rPr>
          <w:szCs w:val="24"/>
        </w:rPr>
        <w:t xml:space="preserve">visits and whether the impact </w:t>
      </w:r>
      <w:r w:rsidR="00980C95" w:rsidRPr="00E51082">
        <w:rPr>
          <w:szCs w:val="24"/>
        </w:rPr>
        <w:t>varied by</w:t>
      </w:r>
      <w:r w:rsidR="00FE1663" w:rsidRPr="00E51082">
        <w:rPr>
          <w:szCs w:val="24"/>
        </w:rPr>
        <w:t xml:space="preserve"> level of</w:t>
      </w:r>
      <w:r w:rsidR="00D4713C" w:rsidRPr="00E51082">
        <w:rPr>
          <w:szCs w:val="24"/>
        </w:rPr>
        <w:t xml:space="preserve"> depression risk</w:t>
      </w:r>
      <w:r w:rsidR="00FE1663" w:rsidRPr="00E51082">
        <w:rPr>
          <w:szCs w:val="24"/>
        </w:rPr>
        <w:t>. We addressed the latter question by examining whether number</w:t>
      </w:r>
      <w:r w:rsidR="001D7728" w:rsidRPr="00E51082">
        <w:rPr>
          <w:szCs w:val="24"/>
        </w:rPr>
        <w:t>s</w:t>
      </w:r>
      <w:r w:rsidR="00FE1663" w:rsidRPr="00E51082">
        <w:rPr>
          <w:szCs w:val="24"/>
        </w:rPr>
        <w:t xml:space="preserve"> of </w:t>
      </w:r>
      <w:r w:rsidR="00351671" w:rsidRPr="00E51082">
        <w:rPr>
          <w:szCs w:val="24"/>
        </w:rPr>
        <w:t>HV</w:t>
      </w:r>
      <w:r w:rsidR="00FE1663" w:rsidRPr="00E51082">
        <w:rPr>
          <w:szCs w:val="24"/>
        </w:rPr>
        <w:t xml:space="preserve"> visits over the 6-month follow-up differed according to</w:t>
      </w:r>
      <w:r w:rsidR="00292096" w:rsidRPr="00E51082">
        <w:rPr>
          <w:szCs w:val="24"/>
        </w:rPr>
        <w:t xml:space="preserve"> proximity</w:t>
      </w:r>
      <w:r w:rsidR="00FE1663" w:rsidRPr="00E51082">
        <w:rPr>
          <w:szCs w:val="24"/>
        </w:rPr>
        <w:t xml:space="preserve"> </w:t>
      </w:r>
      <w:r w:rsidR="00292096" w:rsidRPr="00E51082">
        <w:rPr>
          <w:szCs w:val="24"/>
        </w:rPr>
        <w:t xml:space="preserve">of </w:t>
      </w:r>
      <w:r w:rsidR="00FE1663" w:rsidRPr="00E51082">
        <w:rPr>
          <w:szCs w:val="24"/>
        </w:rPr>
        <w:t>participants’</w:t>
      </w:r>
      <w:r w:rsidR="00292096" w:rsidRPr="00E51082">
        <w:rPr>
          <w:szCs w:val="24"/>
        </w:rPr>
        <w:t xml:space="preserve"> scores</w:t>
      </w:r>
      <w:r w:rsidR="00FE1663" w:rsidRPr="00E51082">
        <w:rPr>
          <w:szCs w:val="24"/>
        </w:rPr>
        <w:t xml:space="preserve"> to the threshold for </w:t>
      </w:r>
      <w:r w:rsidR="00CF6AAC" w:rsidRPr="00E51082">
        <w:rPr>
          <w:szCs w:val="24"/>
        </w:rPr>
        <w:t>‘</w:t>
      </w:r>
      <w:r w:rsidR="00FE1663" w:rsidRPr="00E51082">
        <w:rPr>
          <w:i/>
          <w:szCs w:val="24"/>
        </w:rPr>
        <w:t>low</w:t>
      </w:r>
      <w:r w:rsidR="00351671" w:rsidRPr="00E51082">
        <w:rPr>
          <w:i/>
          <w:szCs w:val="24"/>
        </w:rPr>
        <w:t>er</w:t>
      </w:r>
      <w:r w:rsidR="00482653" w:rsidRPr="00E51082">
        <w:rPr>
          <w:i/>
          <w:szCs w:val="24"/>
        </w:rPr>
        <w:t>-risk</w:t>
      </w:r>
      <w:r w:rsidR="00CF6AAC" w:rsidRPr="00E51082">
        <w:rPr>
          <w:szCs w:val="24"/>
        </w:rPr>
        <w:t>’</w:t>
      </w:r>
      <w:r w:rsidR="00FE1663" w:rsidRPr="00E51082">
        <w:rPr>
          <w:szCs w:val="24"/>
        </w:rPr>
        <w:t xml:space="preserve"> vs. </w:t>
      </w:r>
      <w:r w:rsidR="00CF6AAC" w:rsidRPr="00E51082">
        <w:rPr>
          <w:szCs w:val="24"/>
        </w:rPr>
        <w:t>‘</w:t>
      </w:r>
      <w:r w:rsidR="00D4713C" w:rsidRPr="00E51082">
        <w:rPr>
          <w:i/>
          <w:szCs w:val="24"/>
        </w:rPr>
        <w:t>at-risk women</w:t>
      </w:r>
      <w:r w:rsidR="00CF6AAC" w:rsidRPr="00E51082">
        <w:rPr>
          <w:szCs w:val="24"/>
        </w:rPr>
        <w:t>’</w:t>
      </w:r>
      <w:r w:rsidR="00FE1663" w:rsidRPr="00E51082">
        <w:rPr>
          <w:szCs w:val="24"/>
        </w:rPr>
        <w:t xml:space="preserve">. The sample was differentiated into </w:t>
      </w:r>
      <w:r w:rsidR="00366713" w:rsidRPr="00E51082">
        <w:rPr>
          <w:szCs w:val="24"/>
        </w:rPr>
        <w:t>risk</w:t>
      </w:r>
      <w:r w:rsidR="00FE1663" w:rsidRPr="00E51082">
        <w:rPr>
          <w:szCs w:val="24"/>
        </w:rPr>
        <w:t xml:space="preserve"> sub-groups of</w:t>
      </w:r>
      <w:r w:rsidR="00574CC0" w:rsidRPr="00E51082">
        <w:rPr>
          <w:szCs w:val="24"/>
        </w:rPr>
        <w:t xml:space="preserve"> </w:t>
      </w:r>
      <w:r w:rsidR="001F0BA4" w:rsidRPr="00E51082">
        <w:rPr>
          <w:szCs w:val="24"/>
        </w:rPr>
        <w:t>‘</w:t>
      </w:r>
      <w:r w:rsidR="00482653" w:rsidRPr="00E51082">
        <w:rPr>
          <w:szCs w:val="24"/>
        </w:rPr>
        <w:t>v</w:t>
      </w:r>
      <w:r w:rsidR="001F0BA4" w:rsidRPr="00E51082">
        <w:rPr>
          <w:szCs w:val="24"/>
        </w:rPr>
        <w:t>ery low risk</w:t>
      </w:r>
      <w:r w:rsidR="00980C95" w:rsidRPr="00E51082">
        <w:rPr>
          <w:szCs w:val="24"/>
        </w:rPr>
        <w:t>’,</w:t>
      </w:r>
      <w:r w:rsidR="001F0BA4" w:rsidRPr="00E51082">
        <w:rPr>
          <w:szCs w:val="24"/>
        </w:rPr>
        <w:t xml:space="preserve"> ‘</w:t>
      </w:r>
      <w:r w:rsidR="00482653" w:rsidRPr="00E51082">
        <w:rPr>
          <w:szCs w:val="24"/>
        </w:rPr>
        <w:t>s</w:t>
      </w:r>
      <w:r w:rsidR="001F0BA4" w:rsidRPr="00E51082">
        <w:rPr>
          <w:szCs w:val="24"/>
        </w:rPr>
        <w:t>ubthreshold risk</w:t>
      </w:r>
      <w:r w:rsidR="00980C95" w:rsidRPr="00E51082">
        <w:rPr>
          <w:szCs w:val="24"/>
        </w:rPr>
        <w:t>’</w:t>
      </w:r>
      <w:r w:rsidR="001F0BA4" w:rsidRPr="00E51082">
        <w:rPr>
          <w:szCs w:val="24"/>
        </w:rPr>
        <w:t xml:space="preserve"> </w:t>
      </w:r>
      <w:r w:rsidR="00FC082E" w:rsidRPr="00E51082">
        <w:rPr>
          <w:szCs w:val="24"/>
        </w:rPr>
        <w:t xml:space="preserve">and ‘at-risk’ women (EPDS score 0-5; 6-11; and 12 or more, respectively) </w:t>
      </w:r>
      <w:r w:rsidR="00FE1663" w:rsidRPr="00E51082">
        <w:rPr>
          <w:szCs w:val="24"/>
        </w:rPr>
        <w:t>adopting cut-point</w:t>
      </w:r>
      <w:r w:rsidR="00FC082E" w:rsidRPr="00E51082">
        <w:rPr>
          <w:szCs w:val="24"/>
        </w:rPr>
        <w:t>s</w:t>
      </w:r>
      <w:r w:rsidR="00FE1663" w:rsidRPr="00E51082">
        <w:rPr>
          <w:szCs w:val="24"/>
        </w:rPr>
        <w:t xml:space="preserve"> used </w:t>
      </w:r>
      <w:r w:rsidR="00AC3978" w:rsidRPr="00E51082">
        <w:rPr>
          <w:szCs w:val="24"/>
        </w:rPr>
        <w:t>previously</w:t>
      </w:r>
      <w:r w:rsidR="00FA13C9" w:rsidRPr="00E51082">
        <w:rPr>
          <w:szCs w:val="24"/>
        </w:rPr>
        <w:t xml:space="preserve"> </w:t>
      </w:r>
      <w:r w:rsidR="00FE1663" w:rsidRPr="00E51082">
        <w:rPr>
          <w:szCs w:val="24"/>
        </w:rPr>
        <w:fldChar w:fldCharType="begin" w:fldLock="1"/>
      </w:r>
      <w:r w:rsidR="00706093">
        <w:rPr>
          <w:szCs w:val="24"/>
        </w:rPr>
        <w:instrText>ADDIN CSL_CITATION {"citationItems":[{"id":"ITEM-1","itemData":{"DOI":"10.1017/S0033291710001467","ISBN":"1469-8978","ISSN":"0033-2917","PMID":"20716383","abstract":"To test whether receiving care from a health visitor (HV) trained in identification and psychological intervention methods prevents depression 6-18 months postnatally in women who are not depressed 6 weeks postnatally.","author":[{"dropping-particle":"","family":"Brugha","given":"T. S.","non-dropping-particle":"","parse-names":false,"suffix":""},{"dropping-particle":"","family":"Morrell","given":"C. J.","non-dropping-particle":"","parse-names":false,"suffix":""},{"dropping-particle":"","family":"Slade","given":"P.","non-dropping-particle":"","parse-names":false,"suffix":""},{"dropping-particle":"","family":"Walters","given":"S. J.","non-dropping-particle":"","parse-names":false,"suffix":""}],"container-title":"Psychological Medicine","id":"ITEM-1","issue":"04","issued":{"date-parts":[["2011","4","18"]]},"note":"NULL","page":"739-748","title":"Universal prevention of depression in women postnatally: cluster randomized trial evidence in primary care","type":"article-journal","volume":"41"},"uris":["http://www.mendeley.com/documents/?uuid=79de586f-82e6-4268-b933-5615be4fd12a"]}],"mendeley":{"formattedCitation":"(Brugha &lt;i&gt;et al.&lt;/i&gt; 2011)","plainTextFormattedCitation":"(Brugha et al. 2011)","previouslyFormattedCitation":"(Brugha &lt;i&gt;et al.&lt;/i&gt; 2011)"},"properties":{"noteIndex":0},"schema":"https://github.com/citation-style-language/schema/raw/master/csl-citation.json"}</w:instrText>
      </w:r>
      <w:r w:rsidR="00FE1663" w:rsidRPr="00E51082">
        <w:rPr>
          <w:szCs w:val="24"/>
        </w:rPr>
        <w:fldChar w:fldCharType="separate"/>
      </w:r>
      <w:r w:rsidR="00FA13C9" w:rsidRPr="00E51082">
        <w:rPr>
          <w:noProof/>
          <w:szCs w:val="24"/>
        </w:rPr>
        <w:t xml:space="preserve">(Brugha </w:t>
      </w:r>
      <w:r w:rsidR="00FA13C9" w:rsidRPr="00E51082">
        <w:rPr>
          <w:i/>
          <w:noProof/>
          <w:szCs w:val="24"/>
        </w:rPr>
        <w:t>et al.</w:t>
      </w:r>
      <w:r w:rsidR="00FA13C9" w:rsidRPr="00E51082">
        <w:rPr>
          <w:noProof/>
          <w:szCs w:val="24"/>
        </w:rPr>
        <w:t xml:space="preserve"> 2011)</w:t>
      </w:r>
      <w:r w:rsidR="00FE1663" w:rsidRPr="00E51082">
        <w:rPr>
          <w:szCs w:val="24"/>
        </w:rPr>
        <w:fldChar w:fldCharType="end"/>
      </w:r>
      <w:r w:rsidR="00292096" w:rsidRPr="00E51082">
        <w:rPr>
          <w:szCs w:val="24"/>
        </w:rPr>
        <w:t xml:space="preserve"> for the effectiveness analysis</w:t>
      </w:r>
      <w:r w:rsidR="00FE1663" w:rsidRPr="00E51082">
        <w:rPr>
          <w:szCs w:val="24"/>
        </w:rPr>
        <w:t xml:space="preserve">. A two-level negative binomial model of </w:t>
      </w:r>
      <w:r w:rsidR="00482653" w:rsidRPr="00E51082">
        <w:rPr>
          <w:szCs w:val="24"/>
        </w:rPr>
        <w:t>HV</w:t>
      </w:r>
      <w:r w:rsidR="00FE1663" w:rsidRPr="00E51082">
        <w:rPr>
          <w:szCs w:val="24"/>
        </w:rPr>
        <w:t xml:space="preserve"> visits was fitted to examine impact</w:t>
      </w:r>
      <w:r w:rsidR="001D7728" w:rsidRPr="00E51082">
        <w:rPr>
          <w:szCs w:val="24"/>
        </w:rPr>
        <w:t>s</w:t>
      </w:r>
      <w:r w:rsidR="00FE1663" w:rsidRPr="00E51082">
        <w:rPr>
          <w:szCs w:val="24"/>
        </w:rPr>
        <w:t xml:space="preserve"> of </w:t>
      </w:r>
      <w:r w:rsidR="00FC082E" w:rsidRPr="00E51082">
        <w:rPr>
          <w:szCs w:val="24"/>
        </w:rPr>
        <w:t xml:space="preserve">PoNDER </w:t>
      </w:r>
      <w:r w:rsidR="00FE1663" w:rsidRPr="00E51082">
        <w:rPr>
          <w:szCs w:val="24"/>
        </w:rPr>
        <w:t>training on visits across all low-risk participants, controlling for experimental group, reason for visit (for mother, baby and/or PND), number of children, history of serious life</w:t>
      </w:r>
      <w:r w:rsidR="006C5AF5" w:rsidRPr="00E51082">
        <w:rPr>
          <w:szCs w:val="24"/>
        </w:rPr>
        <w:t>-</w:t>
      </w:r>
      <w:r w:rsidR="00FE1663" w:rsidRPr="00E51082">
        <w:rPr>
          <w:szCs w:val="24"/>
        </w:rPr>
        <w:t xml:space="preserve">events and (for reasons discussed below) cluster size and treatment-by-cluster size interaction. The model was </w:t>
      </w:r>
      <w:r w:rsidR="0081429F" w:rsidRPr="00E51082">
        <w:rPr>
          <w:szCs w:val="24"/>
        </w:rPr>
        <w:t xml:space="preserve">then </w:t>
      </w:r>
      <w:r w:rsidR="00FE1663" w:rsidRPr="00E51082">
        <w:rPr>
          <w:szCs w:val="24"/>
        </w:rPr>
        <w:t xml:space="preserve">extended to include </w:t>
      </w:r>
      <w:r w:rsidR="00366713" w:rsidRPr="00E51082">
        <w:rPr>
          <w:szCs w:val="24"/>
        </w:rPr>
        <w:t>risk</w:t>
      </w:r>
      <w:r w:rsidR="00FE1663" w:rsidRPr="00E51082">
        <w:rPr>
          <w:szCs w:val="24"/>
        </w:rPr>
        <w:t xml:space="preserve"> sub-group (</w:t>
      </w:r>
      <w:r w:rsidR="008F761A" w:rsidRPr="00E51082">
        <w:rPr>
          <w:szCs w:val="24"/>
        </w:rPr>
        <w:t>v</w:t>
      </w:r>
      <w:r w:rsidR="001F0BA4" w:rsidRPr="00E51082">
        <w:t xml:space="preserve">ery low risk </w:t>
      </w:r>
      <w:r w:rsidR="00FE1663" w:rsidRPr="00E51082">
        <w:rPr>
          <w:szCs w:val="24"/>
        </w:rPr>
        <w:t xml:space="preserve">vs. </w:t>
      </w:r>
      <w:r w:rsidR="008F761A" w:rsidRPr="00E51082">
        <w:rPr>
          <w:szCs w:val="24"/>
        </w:rPr>
        <w:t>s</w:t>
      </w:r>
      <w:r w:rsidR="001F0BA4" w:rsidRPr="00E51082">
        <w:t>ubthreshold risk</w:t>
      </w:r>
      <w:r w:rsidR="00FE1663" w:rsidRPr="00E51082">
        <w:rPr>
          <w:szCs w:val="24"/>
        </w:rPr>
        <w:t xml:space="preserve">) and its interaction with experimental group. </w:t>
      </w:r>
    </w:p>
    <w:p w14:paraId="371AF3F9" w14:textId="1F94B7CC" w:rsidR="00FE1663" w:rsidRPr="00E51082" w:rsidRDefault="00FE1663" w:rsidP="00FE1663">
      <w:pPr>
        <w:spacing w:after="120"/>
        <w:rPr>
          <w:szCs w:val="24"/>
        </w:rPr>
      </w:pPr>
      <w:r w:rsidRPr="00E51082">
        <w:rPr>
          <w:szCs w:val="24"/>
        </w:rPr>
        <w:t xml:space="preserve">Analysis of cluster-randomised data must </w:t>
      </w:r>
      <w:r w:rsidR="00AC3978" w:rsidRPr="00E51082">
        <w:rPr>
          <w:szCs w:val="24"/>
        </w:rPr>
        <w:t>consider</w:t>
      </w:r>
      <w:r w:rsidRPr="00E51082">
        <w:rPr>
          <w:szCs w:val="24"/>
        </w:rPr>
        <w:t xml:space="preserve"> correlations between observations within clusters to avoid biased estimates of sampling uncertainty and imprecision in estimating coefficients</w:t>
      </w:r>
      <w:r w:rsidR="00E45BE3" w:rsidRPr="00E51082">
        <w:rPr>
          <w:szCs w:val="24"/>
        </w:rPr>
        <w:t xml:space="preserve"> </w:t>
      </w:r>
      <w:r w:rsidRPr="00E51082">
        <w:rPr>
          <w:szCs w:val="24"/>
        </w:rPr>
        <w:fldChar w:fldCharType="begin" w:fldLock="1"/>
      </w:r>
      <w:r w:rsidR="00706093">
        <w:rPr>
          <w:szCs w:val="24"/>
        </w:rPr>
        <w:instrText>ADDIN CSL_CITATION {"citationItems":[{"id":"ITEM-1","itemData":{"abstract":"Abstract 10.1002/hec.914.abs An Erratum has been published for this article in Health Economics 14(5) 2005, 486. Cost-effectiveness analysis (CEA) in health care is increasingly conducted alongside multicentre and multinational randomised controlled clinical trials (RCTs). The increased use of stochastic CEA is designed to account for between-patient sampling variability in cost-effectiveness data assuming that observations are independently distributed. However, between-location variability in cost-effectiveness may result if there is a hierarchical structure in the data; that is, if there is correlation in costs and outcomes between patients recruited in particular locations. This may be expected in multi-location trials given that centres and countries often differ in factors such as clinical practice, patient case-mix and the unit costs of delivering health care. A failure to acknowledge this feature may lead to misleading conclusions in a trial-based economic study. Multilevel modelling (MLM) is an analytical framework that can be used to handle hierarchical cost-effectiveness data. Using data from a recently conducted economic analysis, this paper shows how multilevel modelling can be used to obtain (a) more appropriate estimates of the population average incremental cost-effectiveness and associated standard errors compared to standard stochastic CEA; and (b) location-specific estimates of incremental cost-effectiveness which can be used to explore appropriately the variability between centres/countries of the cost-effectiveness results. Copyright © 2004 John Wiley &amp; Sons, Ltd.","author":[{"dropping-particle":"","family":"Manca","given":"Andrea","non-dropping-particle":"","parse-names":false,"suffix":""},{"dropping-particle":"","family":"Rice","given":"Nigel","non-dropping-particle":"","parse-names":false,"suffix":""},{"dropping-particle":"","family":"Sculpher","given":"Mark J","non-dropping-particle":"","parse-names":false,"suffix":""},{"dropping-particle":"","family":"Briggs","given":"Andrew H","non-dropping-particle":"","parse-names":false,"suffix":""}],"container-title":"Health Economics","id":"ITEM-1","issue":"5","issued":{"date-parts":[["2005"]]},"note":"1099-1050","page":"471-485","title":"Assessing generlisability by location in trial-based cost-effectiveness analysis: the use of multilevel models","type":"article-journal","volume":"14"},"uris":["http://www.mendeley.com/documents/?uuid=bd77d00c-8264-4ee5-8bd3-94fa8dab3152"]}],"mendeley":{"formattedCitation":"(Manca &lt;i&gt;et al.&lt;/i&gt; 2005b)","plainTextFormattedCitation":"(Manca et al. 2005b)","previouslyFormattedCitation":"(Manca &lt;i&gt;et al.&lt;/i&gt; 2005b)"},"properties":{"noteIndex":0},"schema":"https://github.com/citation-style-language/schema/raw/master/csl-citation.json"}</w:instrText>
      </w:r>
      <w:r w:rsidRPr="00E51082">
        <w:rPr>
          <w:szCs w:val="24"/>
        </w:rPr>
        <w:fldChar w:fldCharType="separate"/>
      </w:r>
      <w:r w:rsidR="00EC15F5" w:rsidRPr="00E51082">
        <w:rPr>
          <w:noProof/>
          <w:szCs w:val="24"/>
        </w:rPr>
        <w:t xml:space="preserve">(Manca </w:t>
      </w:r>
      <w:r w:rsidR="00EC15F5" w:rsidRPr="00E51082">
        <w:rPr>
          <w:i/>
          <w:noProof/>
          <w:szCs w:val="24"/>
        </w:rPr>
        <w:t>et al.</w:t>
      </w:r>
      <w:r w:rsidR="00EC15F5" w:rsidRPr="00E51082">
        <w:rPr>
          <w:noProof/>
          <w:szCs w:val="24"/>
        </w:rPr>
        <w:t xml:space="preserve"> 2005b)</w:t>
      </w:r>
      <w:r w:rsidRPr="00E51082">
        <w:rPr>
          <w:szCs w:val="24"/>
        </w:rPr>
        <w:fldChar w:fldCharType="end"/>
      </w:r>
      <w:r w:rsidR="00E45BE3" w:rsidRPr="00E51082">
        <w:rPr>
          <w:szCs w:val="24"/>
        </w:rPr>
        <w:t>.</w:t>
      </w:r>
      <w:r w:rsidRPr="00E51082">
        <w:rPr>
          <w:rFonts w:ascii="Calibri" w:hAnsi="Calibri"/>
          <w:szCs w:val="24"/>
        </w:rPr>
        <w:t xml:space="preserve"> </w:t>
      </w:r>
      <w:r w:rsidR="008F761A" w:rsidRPr="00E51082">
        <w:rPr>
          <w:szCs w:val="24"/>
        </w:rPr>
        <w:t>HVs</w:t>
      </w:r>
      <w:r w:rsidRPr="00E51082">
        <w:rPr>
          <w:szCs w:val="24"/>
        </w:rPr>
        <w:t xml:space="preserve"> and GPs working within the </w:t>
      </w:r>
      <w:r w:rsidR="00AD6E54" w:rsidRPr="00E51082">
        <w:rPr>
          <w:szCs w:val="24"/>
        </w:rPr>
        <w:t>general</w:t>
      </w:r>
      <w:r w:rsidRPr="00E51082">
        <w:rPr>
          <w:szCs w:val="24"/>
        </w:rPr>
        <w:t xml:space="preserve"> practice </w:t>
      </w:r>
      <w:r w:rsidR="00DF5950" w:rsidRPr="00E51082">
        <w:rPr>
          <w:szCs w:val="24"/>
        </w:rPr>
        <w:t>and the women registered there comprised</w:t>
      </w:r>
      <w:r w:rsidRPr="00E51082">
        <w:rPr>
          <w:szCs w:val="24"/>
        </w:rPr>
        <w:t xml:space="preserve"> a cluster. Clustering effects c</w:t>
      </w:r>
      <w:r w:rsidR="00FC082E" w:rsidRPr="00E51082">
        <w:rPr>
          <w:szCs w:val="24"/>
        </w:rPr>
        <w:t>an</w:t>
      </w:r>
      <w:r w:rsidRPr="00E51082">
        <w:rPr>
          <w:szCs w:val="24"/>
        </w:rPr>
        <w:t xml:space="preserve"> arise because </w:t>
      </w:r>
      <w:r w:rsidR="006C5AF5" w:rsidRPr="00E51082">
        <w:rPr>
          <w:szCs w:val="24"/>
        </w:rPr>
        <w:t>a</w:t>
      </w:r>
      <w:r w:rsidRPr="00E51082">
        <w:rPr>
          <w:szCs w:val="24"/>
        </w:rPr>
        <w:t xml:space="preserve"> practice’s patients might have characteristics in common (</w:t>
      </w:r>
      <w:r w:rsidR="006C5AF5" w:rsidRPr="00E51082">
        <w:rPr>
          <w:szCs w:val="24"/>
        </w:rPr>
        <w:t>e.g.</w:t>
      </w:r>
      <w:r w:rsidRPr="00E51082">
        <w:rPr>
          <w:szCs w:val="24"/>
        </w:rPr>
        <w:t xml:space="preserve"> similar reasons for </w:t>
      </w:r>
      <w:r w:rsidR="00D72674" w:rsidRPr="00E51082">
        <w:rPr>
          <w:szCs w:val="24"/>
        </w:rPr>
        <w:t xml:space="preserve">living </w:t>
      </w:r>
      <w:r w:rsidR="00FC082E" w:rsidRPr="00E51082">
        <w:rPr>
          <w:szCs w:val="24"/>
        </w:rPr>
        <w:t>with</w:t>
      </w:r>
      <w:r w:rsidRPr="00E51082">
        <w:rPr>
          <w:szCs w:val="24"/>
        </w:rPr>
        <w:t xml:space="preserve">in the </w:t>
      </w:r>
      <w:r w:rsidR="00FC082E" w:rsidRPr="00E51082">
        <w:rPr>
          <w:szCs w:val="24"/>
        </w:rPr>
        <w:t xml:space="preserve">practice </w:t>
      </w:r>
      <w:r w:rsidRPr="00E51082">
        <w:rPr>
          <w:szCs w:val="24"/>
        </w:rPr>
        <w:t>area</w:t>
      </w:r>
      <w:r w:rsidR="00D72674" w:rsidRPr="00E51082">
        <w:rPr>
          <w:szCs w:val="24"/>
        </w:rPr>
        <w:t>, socio-economic circumstances</w:t>
      </w:r>
      <w:r w:rsidRPr="00E51082">
        <w:rPr>
          <w:szCs w:val="24"/>
        </w:rPr>
        <w:t xml:space="preserve">). </w:t>
      </w:r>
    </w:p>
    <w:p w14:paraId="200E64B6" w14:textId="1CC62BC5" w:rsidR="00FE1663" w:rsidRPr="00E51082" w:rsidRDefault="00FE1663" w:rsidP="002D3796">
      <w:pPr>
        <w:spacing w:after="120"/>
        <w:rPr>
          <w:szCs w:val="24"/>
        </w:rPr>
      </w:pPr>
      <w:r w:rsidRPr="00E51082">
        <w:rPr>
          <w:szCs w:val="24"/>
        </w:rPr>
        <w:t xml:space="preserve">Clustering may affect costs </w:t>
      </w:r>
      <w:r w:rsidR="00AD6E54" w:rsidRPr="00E51082">
        <w:rPr>
          <w:szCs w:val="24"/>
        </w:rPr>
        <w:t xml:space="preserve">and outcomes </w:t>
      </w:r>
      <w:r w:rsidRPr="00E51082">
        <w:rPr>
          <w:szCs w:val="24"/>
        </w:rPr>
        <w:t>differently</w:t>
      </w:r>
      <w:r w:rsidR="006A5D5E" w:rsidRPr="00E51082">
        <w:rPr>
          <w:szCs w:val="24"/>
        </w:rPr>
        <w:t xml:space="preserve">, and </w:t>
      </w:r>
      <w:r w:rsidRPr="00E51082">
        <w:rPr>
          <w:szCs w:val="24"/>
        </w:rPr>
        <w:t xml:space="preserve">intra-cluster correlation coefficients </w:t>
      </w:r>
      <w:r w:rsidR="002477A8" w:rsidRPr="00E51082">
        <w:rPr>
          <w:szCs w:val="24"/>
        </w:rPr>
        <w:t xml:space="preserve">of costs </w:t>
      </w:r>
      <w:r w:rsidRPr="00E51082">
        <w:rPr>
          <w:szCs w:val="24"/>
        </w:rPr>
        <w:t>may be larger</w:t>
      </w:r>
      <w:r w:rsidR="00DF5950" w:rsidRPr="00E51082">
        <w:rPr>
          <w:szCs w:val="24"/>
        </w:rPr>
        <w:t xml:space="preserve"> than </w:t>
      </w:r>
      <w:r w:rsidR="00242DB6" w:rsidRPr="00E51082">
        <w:rPr>
          <w:szCs w:val="24"/>
        </w:rPr>
        <w:t xml:space="preserve">those </w:t>
      </w:r>
      <w:r w:rsidR="002477A8" w:rsidRPr="00E51082">
        <w:rPr>
          <w:szCs w:val="24"/>
        </w:rPr>
        <w:t>of</w:t>
      </w:r>
      <w:r w:rsidR="00D72674" w:rsidRPr="00E51082">
        <w:rPr>
          <w:szCs w:val="24"/>
        </w:rPr>
        <w:t xml:space="preserve"> outcomes</w:t>
      </w:r>
      <w:r w:rsidR="00E45BE3" w:rsidRPr="00E51082">
        <w:rPr>
          <w:szCs w:val="24"/>
        </w:rPr>
        <w:t xml:space="preserve"> </w:t>
      </w:r>
      <w:r w:rsidRPr="00E51082">
        <w:rPr>
          <w:szCs w:val="24"/>
        </w:rPr>
        <w:fldChar w:fldCharType="begin" w:fldLock="1"/>
      </w:r>
      <w:r w:rsidR="00706093">
        <w:rPr>
          <w:szCs w:val="24"/>
        </w:rPr>
        <w:instrText>ADDIN CSL_CITATION {"citationItems":[{"id":"ITEM-1","itemData":{"DOI":"10.1177/0272989X11407341 0272989X11407341 [pii]","ISBN":"1552-681X (Electronic) 0272-989X (Linking)","ISSN":"0272-989X","PMID":"21610256","abstract":"INTRODUCTION: The best data for cost-effectiveness analyses (CEAs) of group-level interventions often come from cluster randomized trials (CRTs), where randomization is by cluster (e.g., the hospital attended), not by individual. METHODS: for these CEAs need to recognize both the correlation between costs and outcomes and that these data may be dependent on the cluster. General checklists and methodological guidance for critically appraising CEA ignore these issues. This article develops a new checklist and applies it in a systematic review of CEAs that use CRTs. METHODS: The authors developed a checklist for CEAs that use CRTs, informed by a conceptual review of statistical methods. This checklist included criteria such as whether the analysis allowed for both clustering and the correlation between individuals' costs and outcomes. The authors undertook a systematic literature review of full economic evaluations that used CRTs. The quality of studies was assessed with the new checklist and by the \"Drummond checklist.\" RESULTS: The authors identified 62 papers that met the inclusion criteria. On average, studies satisfied 9 of the 10 criteria for the checklist but only 20% of criteria for the new checklist. More than 40% of studies adopted statistical methods that completely ignored clustering, and 75% disregarded any correlation between costs and outcomes. Only 4 studies employed appropriate statistical methods that allowed for both clustering and correlation. CONCLUSIONS: Most economic evaluations that use data from CRTs ignored clustering or correlation. Statistical methods that address these issues are available, and their use should be encouraged. The new checklist can supplement generic CEA guidelines and highlight where research practice can be improved.","author":[{"dropping-particle":"","family":"Gomes","given":"M","non-dropping-particle":"","parse-names":false,"suffix":""},{"dropping-particle":"","family":"Grieve","given":"R","non-dropping-particle":"","parse-names":false,"suffix":""},{"dropping-particle":"","family":"Nixon","given":"R","non-dropping-particle":"","parse-names":false,"suffix":""},{"dropping-particle":"","family":"Edmunds","given":"W J","non-dropping-particle":"","parse-names":false,"suffix":""}],"container-title":"Medical Decision Making","edition":"2011/05/26","id":"ITEM-1","issue":"1","issued":{"date-parts":[["2012"]]},"language":"eng","note":"Gomes, Manuel\nGrieve, Richard\nNixon, Richard\nEdmunds, W J\nResearch Support, Non-U.S. Gov't\nReview\nUnited States\nMedical decision making : an international journal of the Society for Medical Decision Making\nMed Decis Making. 2012 Jan-Feb;32(1):209-20. doi: 10.1177/0272989X11407341. Epub 2011 May 24.","page":"209-220","title":"Statistical methods for cost-effectiveness analyses that use data from cluster randomized trials: a systematic review and checklist for critical appraisal","type":"article-journal","volume":"32"},"uris":["http://www.mendeley.com/documents/?uuid=15186194-4272-40d4-89ad-e7059de82be6"]}],"mendeley":{"formattedCitation":"(Gomes &lt;i&gt;et al.&lt;/i&gt; 2012a)","plainTextFormattedCitation":"(Gomes et al. 2012a)","previouslyFormattedCitation":"(Gomes &lt;i&gt;et al.&lt;/i&gt; 2012a)"},"properties":{"noteIndex":0},"schema":"https://github.com/citation-style-language/schema/raw/master/csl-citation.json"}</w:instrText>
      </w:r>
      <w:r w:rsidRPr="00E51082">
        <w:rPr>
          <w:szCs w:val="24"/>
        </w:rPr>
        <w:fldChar w:fldCharType="separate"/>
      </w:r>
      <w:r w:rsidR="00EC15F5" w:rsidRPr="00E51082">
        <w:rPr>
          <w:noProof/>
          <w:szCs w:val="24"/>
        </w:rPr>
        <w:t xml:space="preserve">(Gomes </w:t>
      </w:r>
      <w:r w:rsidR="00EC15F5" w:rsidRPr="00E51082">
        <w:rPr>
          <w:i/>
          <w:noProof/>
          <w:szCs w:val="24"/>
        </w:rPr>
        <w:t>et al.</w:t>
      </w:r>
      <w:r w:rsidR="00EC15F5" w:rsidRPr="00E51082">
        <w:rPr>
          <w:noProof/>
          <w:szCs w:val="24"/>
        </w:rPr>
        <w:t xml:space="preserve"> 2012a)</w:t>
      </w:r>
      <w:r w:rsidRPr="00E51082">
        <w:rPr>
          <w:szCs w:val="24"/>
        </w:rPr>
        <w:fldChar w:fldCharType="end"/>
      </w:r>
      <w:r w:rsidR="00E45BE3" w:rsidRPr="00E51082">
        <w:rPr>
          <w:szCs w:val="24"/>
        </w:rPr>
        <w:t>.</w:t>
      </w:r>
      <w:r w:rsidRPr="00E51082">
        <w:rPr>
          <w:szCs w:val="24"/>
        </w:rPr>
        <w:t xml:space="preserve"> There may be differential recruitment to and attrition from clusters between trial arms</w:t>
      </w:r>
      <w:r w:rsidR="00E45BE3" w:rsidRPr="00E51082">
        <w:rPr>
          <w:szCs w:val="24"/>
        </w:rPr>
        <w:t xml:space="preserve"> </w:t>
      </w:r>
      <w:r w:rsidRPr="00E51082">
        <w:rPr>
          <w:szCs w:val="24"/>
        </w:rPr>
        <w:fldChar w:fldCharType="begin" w:fldLock="1"/>
      </w:r>
      <w:r w:rsidR="00706093">
        <w:rPr>
          <w:szCs w:val="24"/>
        </w:rPr>
        <w:instrText>ADDIN CSL_CITATION {"citationItems":[{"id":"ITEM-1","itemData":{"DOI":"http://dx.doi.org/10.1016/j.jclinepi.2003.12.013","ISBN":"0895-4356","abstract":"Objective To provide information concerning the magnitude of the intraclass correlation coefficient (ICC) for cluster-based studies set in primary care. Study design and setting Reanalysis of data from 31 cluster-based studies in primary care to estimate intraclass correlation coefficients from random effects models using maximum likelihood estimation. Results ICCs were estimated for 1,039 variables. The median ICC was 0.010 (interquartile range [IQR] 0 to 0.032, range 0 to 0.840). After adjusting for individual- and cluster-level characteristics, the median ICC was 0.005 (IQR 0 to 0.021). A given measure showed widely varying ICC estimates in different datasets. In six datasets, the ICCs for SF-36 physical functioning scale ranged from 0.001 to 0.055 and for SF-36 general health from 0 to 0.072. In four datasets, the ICC for systolic blood pressure ranged from 0 to 0.052 and for diastolic blood pressure from 0 to 0.108. Conclusion The precise magnitude of between-cluster variation for a given measure can rarely be estimated in advance. Studies should be designed with reference to the overall distribution of ICCs and with attention to features that increase efficiency.","author":[{"dropping-particle":"","family":"Adams","given":"G","non-dropping-particle":"","parse-names":false,"suffix":""},{"dropping-particle":"","family":"Gilliford","given":"MC","non-dropping-particle":"","parse-names":false,"suffix":""},{"dropping-particle":"","family":"Ukoumunne","given":"OC","non-dropping-particle":"","parse-names":false,"suffix":""},{"dropping-particle":"","family":"Eldridge","given":"S","non-dropping-particle":"","parse-names":false,"suffix":""},{"dropping-particle":"","family":"Chinn","given":"S","non-dropping-particle":"","parse-names":false,"suffix":""},{"dropping-particle":"","family":"Campbell","given":"MJ","non-dropping-particle":"","parse-names":false,"suffix":""}],"container-title":"Journal of Clinical Epidemiology","id":"ITEM-1","issue":"8","issued":{"date-parts":[["2004"]]},"note":"&amp;quot;It is clear that adjustment for individual- or cluster-level characteristics will often have the effect of reducing the value of the ICC, thereby enhancing power and precision or reducing sample size requirements. Adjustment for baseline values of the outcome appears to be less important in this regard. The effect of adjusting for confounding variables will depend on the extent to which the confounder explains variance either within or between practices [55]. Adjustment for individual-level sociodemographic variables generally reduced the magnitude of the ICC, which indicates that the between-practice variance component was reduced relative to the within-practice component. This suggests that clustering of similar types of patients within practices is an important reason for between-practice variation. In a minority of cases, the ICC was increased by adjustment for individual-level confounders.&amp;quot;\n\nFor instance, members may elect to join the cluster and so be similar in some characteristics. The patients of a practitioner might be more related in some way e.g. linked by geography, or by practitioners’ styles of working.","page":"785-794","title":"Patterns of intra-cluster correlation from primary care research to inform study design and analysis","type":"article-journal","volume":"57"},"uris":["http://www.mendeley.com/documents/?uuid=bae21f32-328d-4c7d-bd1f-3fe444d0d0fa"]}],"mendeley":{"formattedCitation":"(Adams &lt;i&gt;et al.&lt;/i&gt; 2004)","plainTextFormattedCitation":"(Adams et al. 2004)","previouslyFormattedCitation":"(Adams &lt;i&gt;et al.&lt;/i&gt; 2004)"},"properties":{"noteIndex":0},"schema":"https://github.com/citation-style-language/schema/raw/master/csl-citation.json"}</w:instrText>
      </w:r>
      <w:r w:rsidRPr="00E51082">
        <w:rPr>
          <w:szCs w:val="24"/>
        </w:rPr>
        <w:fldChar w:fldCharType="separate"/>
      </w:r>
      <w:r w:rsidR="00EC15F5" w:rsidRPr="00E51082">
        <w:rPr>
          <w:noProof/>
          <w:szCs w:val="24"/>
        </w:rPr>
        <w:t xml:space="preserve">(Adams </w:t>
      </w:r>
      <w:r w:rsidR="00EC15F5" w:rsidRPr="00E51082">
        <w:rPr>
          <w:i/>
          <w:noProof/>
          <w:szCs w:val="24"/>
        </w:rPr>
        <w:t>et al.</w:t>
      </w:r>
      <w:r w:rsidR="00EC15F5" w:rsidRPr="00E51082">
        <w:rPr>
          <w:noProof/>
          <w:szCs w:val="24"/>
        </w:rPr>
        <w:t xml:space="preserve"> 2004)</w:t>
      </w:r>
      <w:r w:rsidRPr="00E51082">
        <w:rPr>
          <w:szCs w:val="24"/>
        </w:rPr>
        <w:fldChar w:fldCharType="end"/>
      </w:r>
      <w:r w:rsidR="00E45BE3" w:rsidRPr="00E51082">
        <w:rPr>
          <w:szCs w:val="24"/>
        </w:rPr>
        <w:t>.</w:t>
      </w:r>
      <w:r w:rsidRPr="00E51082">
        <w:rPr>
          <w:szCs w:val="24"/>
        </w:rPr>
        <w:t xml:space="preserve"> </w:t>
      </w:r>
      <w:r w:rsidR="00643A54" w:rsidRPr="00E51082">
        <w:rPr>
          <w:szCs w:val="24"/>
        </w:rPr>
        <w:t>I</w:t>
      </w:r>
      <w:r w:rsidRPr="00E51082">
        <w:rPr>
          <w:szCs w:val="24"/>
        </w:rPr>
        <w:t xml:space="preserve">mbalances in </w:t>
      </w:r>
      <w:r w:rsidR="00643A54" w:rsidRPr="00E51082">
        <w:rPr>
          <w:szCs w:val="24"/>
        </w:rPr>
        <w:t>cluster</w:t>
      </w:r>
      <w:r w:rsidRPr="00E51082">
        <w:rPr>
          <w:szCs w:val="24"/>
        </w:rPr>
        <w:t xml:space="preserve"> size between experimental groups could be related to the outcome being measured</w:t>
      </w:r>
      <w:r w:rsidR="00643A54" w:rsidRPr="00E51082">
        <w:rPr>
          <w:szCs w:val="24"/>
        </w:rPr>
        <w:t>;</w:t>
      </w:r>
      <w:r w:rsidR="00DF5950" w:rsidRPr="00E51082">
        <w:rPr>
          <w:szCs w:val="24"/>
        </w:rPr>
        <w:t xml:space="preserve"> for example</w:t>
      </w:r>
      <w:r w:rsidR="00C16B49" w:rsidRPr="00E51082">
        <w:rPr>
          <w:szCs w:val="24"/>
        </w:rPr>
        <w:t>, volume</w:t>
      </w:r>
      <w:r w:rsidR="001C445B" w:rsidRPr="00E51082">
        <w:rPr>
          <w:szCs w:val="24"/>
        </w:rPr>
        <w:t xml:space="preserve"> of work undertaken by practitioner</w:t>
      </w:r>
      <w:r w:rsidR="00C16B49" w:rsidRPr="00E51082">
        <w:rPr>
          <w:szCs w:val="24"/>
        </w:rPr>
        <w:t xml:space="preserve">s may be related to </w:t>
      </w:r>
      <w:r w:rsidR="001C445B" w:rsidRPr="00E51082">
        <w:rPr>
          <w:szCs w:val="24"/>
        </w:rPr>
        <w:t xml:space="preserve">patient </w:t>
      </w:r>
      <w:r w:rsidR="00C16B49" w:rsidRPr="00E51082">
        <w:rPr>
          <w:szCs w:val="24"/>
        </w:rPr>
        <w:t>outcomes</w:t>
      </w:r>
      <w:r w:rsidR="00E45BE3" w:rsidRPr="00E51082">
        <w:rPr>
          <w:szCs w:val="24"/>
        </w:rPr>
        <w:t xml:space="preserve"> </w:t>
      </w:r>
      <w:r w:rsidRPr="00E51082">
        <w:rPr>
          <w:szCs w:val="24"/>
        </w:rPr>
        <w:fldChar w:fldCharType="begin" w:fldLock="1"/>
      </w:r>
      <w:r w:rsidR="00706093">
        <w:rPr>
          <w:szCs w:val="24"/>
        </w:rPr>
        <w:instrText>ADDIN CSL_CITATION {"citationItems":[{"id":"ITEM-1","itemData":{"DOI":"10.1177/0272989X11407341 0272989X11407341 [pii]","ISBN":"1552-681X (Electronic) 0272-989X (Linking)","ISSN":"0272-989X","PMID":"21610256","abstract":"INTRODUCTION: The best data for cost-effectiveness analyses (CEAs) of group-level interventions often come from cluster randomized trials (CRTs), where randomization is by cluster (e.g., the hospital attended), not by individual. METHODS: for these CEAs need to recognize both the correlation between costs and outcomes and that these data may be dependent on the cluster. General checklists and methodological guidance for critically appraising CEA ignore these issues. This article develops a new checklist and applies it in a systematic review of CEAs that use CRTs. METHODS: The authors developed a checklist for CEAs that use CRTs, informed by a conceptual review of statistical methods. This checklist included criteria such as whether the analysis allowed for both clustering and the correlation between individuals' costs and outcomes. The authors undertook a systematic literature review of full economic evaluations that used CRTs. The quality of studies was assessed with the new checklist and by the \"Drummond checklist.\" RESULTS: The authors identified 62 papers that met the inclusion criteria. On average, studies satisfied 9 of the 10 criteria for the checklist but only 20% of criteria for the new checklist. More than 40% of studies adopted statistical methods that completely ignored clustering, and 75% disregarded any correlation between costs and outcomes. Only 4 studies employed appropriate statistical methods that allowed for both clustering and correlation. CONCLUSIONS: Most economic evaluations that use data from CRTs ignored clustering or correlation. Statistical methods that address these issues are available, and their use should be encouraged. The new checklist can supplement generic CEA guidelines and highlight where research practice can be improved.","author":[{"dropping-particle":"","family":"Gomes","given":"M","non-dropping-particle":"","parse-names":false,"suffix":""},{"dropping-particle":"","family":"Grieve","given":"R","non-dropping-particle":"","parse-names":false,"suffix":""},{"dropping-particle":"","family":"Nixon","given":"R","non-dropping-particle":"","parse-names":false,"suffix":""},{"dropping-particle":"","family":"Edmunds","given":"W J","non-dropping-particle":"","parse-names":false,"suffix":""}],"container-title":"Medical Decision Making","edition":"2011/05/26","id":"ITEM-1","issue":"1","issued":{"date-parts":[["2012"]]},"language":"eng","note":"Gomes, Manuel\nGrieve, Richard\nNixon, Richard\nEdmunds, W J\nResearch Support, Non-U.S. Gov't\nReview\nUnited States\nMedical decision making : an international journal of the Society for Medical Decision Making\nMed Decis Making. 2012 Jan-Feb;32(1):209-20. doi: 10.1177/0272989X11407341. Epub 2011 May 24.","page":"209-220","title":"Statistical methods for cost-effectiveness analyses that use data from cluster randomized trials: a systematic review and checklist for critical appraisal","type":"article-journal","volume":"32"},"uris":["http://www.mendeley.com/documents/?uuid=15186194-4272-40d4-89ad-e7059de82be6"]},{"id":"ITEM-2","itemData":{"DOI":"10.1002/sim.2657","ISSN":"1097-0258","abstract":"In recent years health services researchers have conducted ‘volume–outcome’ studies to evaluate whether providers (hospitals or surgeons) who treat many patients for a specialized condition have better outcomes than those that treat few patients. These studies and the inherent clustering of events by provider present an unusual statistical problem. The volume–outcome setting is unique in that ‘volume’ reflects both the primary factor under study and also the cluster size. Consequently, the assumptions inherent in the use of available methods that correct for clustering might be violated in this setting. To address this issue, we investigate via simulation the properties of three estimation procedures for the analysis of cluster correlated data, specifically in the context of volume–outcome studies. We examine and compare the validity and efficiency of widely-available statistical techniques that have been used in the context of volume–outcome studies: generalized estimating equations (GEE) using both the independence and exchangeable correlation structures; random effects models; and the weighted GEE approach proposed by Williamson et al. (Biometrics 2003; 59:36–42) to account for informative clustering. Using data generated either from an underlying true random effects model or a cluster correlated model we show that both the random effects and the GEE with an exchangeable correlation structure have generally good properties, with relatively low bias for estimating the volume parameter and its variance. By contrast, the cluster weighted GEE method is inefficient. Copyright © 2006 John Wiley &amp; Sons, Ltd.","author":[{"dropping-particle":"","family":"Panageas","given":"Katherine S","non-dropping-particle":"","parse-names":false,"suffix":""},{"dropping-particle":"","family":"Schrag","given":"Deborah","non-dropping-particle":"","parse-names":false,"suffix":""},{"dropping-particle":"","family":"Russell Localio","given":"A","non-dropping-particle":"","parse-names":false,"suffix":""},{"dropping-particle":"","family":"Venkatraman","given":"E S","non-dropping-particle":"","parse-names":false,"suffix":""},{"dropping-particle":"","family":"Begg","given":"Colin B","non-dropping-particle":"","parse-names":false,"suffix":""}],"container-title":"Statistics in Medicine","id":"ITEM-2","issue":"9","issued":{"date-parts":[["2007","4","30"]]},"page":"2017-2035","title":"Properties of analysis methods that account for clustering in volume–outcome studies when the primary predictor is cluster size","type":"article-journal","volume":"26"},"uris":["http://www.mendeley.com/documents/?uuid=1c667c4f-cc92-460c-8609-a2eacb4b1aaa"]}],"mendeley":{"formattedCitation":"(Panageas &lt;i&gt;et al.&lt;/i&gt; 2007; Gomes &lt;i&gt;et al.&lt;/i&gt; 2012a)","plainTextFormattedCitation":"(Panageas et al. 2007; Gomes et al. 2012a)","previouslyFormattedCitation":"(Panageas &lt;i&gt;et al.&lt;/i&gt; 2007; Gomes &lt;i&gt;et al.&lt;/i&gt; 2012a)"},"properties":{"noteIndex":0},"schema":"https://github.com/citation-style-language/schema/raw/master/csl-citation.json"}</w:instrText>
      </w:r>
      <w:r w:rsidRPr="00E51082">
        <w:rPr>
          <w:szCs w:val="24"/>
        </w:rPr>
        <w:fldChar w:fldCharType="separate"/>
      </w:r>
      <w:r w:rsidR="00EC15F5" w:rsidRPr="00E51082">
        <w:rPr>
          <w:noProof/>
          <w:szCs w:val="24"/>
        </w:rPr>
        <w:t xml:space="preserve">(Panageas </w:t>
      </w:r>
      <w:r w:rsidR="00EC15F5" w:rsidRPr="00E51082">
        <w:rPr>
          <w:i/>
          <w:noProof/>
          <w:szCs w:val="24"/>
        </w:rPr>
        <w:t>et al.</w:t>
      </w:r>
      <w:r w:rsidR="00EC15F5" w:rsidRPr="00E51082">
        <w:rPr>
          <w:noProof/>
          <w:szCs w:val="24"/>
        </w:rPr>
        <w:t xml:space="preserve"> 2007; Gomes </w:t>
      </w:r>
      <w:r w:rsidR="00EC15F5" w:rsidRPr="00E51082">
        <w:rPr>
          <w:i/>
          <w:noProof/>
          <w:szCs w:val="24"/>
        </w:rPr>
        <w:t>et al.</w:t>
      </w:r>
      <w:r w:rsidR="00EC15F5" w:rsidRPr="00E51082">
        <w:rPr>
          <w:noProof/>
          <w:szCs w:val="24"/>
        </w:rPr>
        <w:t xml:space="preserve"> 2012a)</w:t>
      </w:r>
      <w:r w:rsidRPr="00E51082">
        <w:rPr>
          <w:szCs w:val="24"/>
        </w:rPr>
        <w:fldChar w:fldCharType="end"/>
      </w:r>
      <w:r w:rsidR="00E45BE3" w:rsidRPr="00E51082">
        <w:rPr>
          <w:szCs w:val="24"/>
        </w:rPr>
        <w:t>.</w:t>
      </w:r>
    </w:p>
    <w:p w14:paraId="40675FDD" w14:textId="11920678" w:rsidR="008F761A" w:rsidRPr="00E51082" w:rsidRDefault="00FE1663" w:rsidP="00FE1663">
      <w:pPr>
        <w:spacing w:after="120"/>
        <w:rPr>
          <w:szCs w:val="24"/>
        </w:rPr>
      </w:pPr>
      <w:r w:rsidRPr="00E51082">
        <w:rPr>
          <w:szCs w:val="24"/>
        </w:rPr>
        <w:t xml:space="preserve">Because of its cluster-randomised design, the </w:t>
      </w:r>
      <w:r w:rsidR="00DF5950" w:rsidRPr="00E51082">
        <w:rPr>
          <w:szCs w:val="24"/>
        </w:rPr>
        <w:t>PoNDER</w:t>
      </w:r>
      <w:r w:rsidRPr="00E51082">
        <w:rPr>
          <w:szCs w:val="24"/>
        </w:rPr>
        <w:t xml:space="preserve"> </w:t>
      </w:r>
      <w:r w:rsidR="00EB0EFD" w:rsidRPr="00E51082">
        <w:rPr>
          <w:szCs w:val="24"/>
        </w:rPr>
        <w:t>trial</w:t>
      </w:r>
      <w:r w:rsidRPr="00E51082">
        <w:rPr>
          <w:szCs w:val="24"/>
        </w:rPr>
        <w:t xml:space="preserve"> dataset </w:t>
      </w:r>
      <w:r w:rsidR="006A5D5E" w:rsidRPr="00E51082">
        <w:rPr>
          <w:szCs w:val="24"/>
        </w:rPr>
        <w:t>(</w:t>
      </w:r>
      <w:r w:rsidR="006A5D5E" w:rsidRPr="00E51082">
        <w:rPr>
          <w:i/>
          <w:szCs w:val="24"/>
        </w:rPr>
        <w:t>all</w:t>
      </w:r>
      <w:r w:rsidR="006A5D5E" w:rsidRPr="00E51082">
        <w:rPr>
          <w:szCs w:val="24"/>
        </w:rPr>
        <w:t xml:space="preserve"> levels of risk of PND) </w:t>
      </w:r>
      <w:r w:rsidRPr="00E51082">
        <w:rPr>
          <w:szCs w:val="24"/>
        </w:rPr>
        <w:t xml:space="preserve">has previously served as the basis for exploring approaches to economic modelling of </w:t>
      </w:r>
      <w:r w:rsidRPr="00E51082">
        <w:rPr>
          <w:szCs w:val="24"/>
        </w:rPr>
        <w:lastRenderedPageBreak/>
        <w:t>clustered data</w:t>
      </w:r>
      <w:r w:rsidR="00E45BE3" w:rsidRPr="00E51082">
        <w:rPr>
          <w:szCs w:val="24"/>
        </w:rPr>
        <w:t xml:space="preserve"> </w:t>
      </w:r>
      <w:r w:rsidRPr="00E51082">
        <w:rPr>
          <w:szCs w:val="24"/>
        </w:rPr>
        <w:fldChar w:fldCharType="begin" w:fldLock="1"/>
      </w:r>
      <w:r w:rsidR="00706093">
        <w:rPr>
          <w:szCs w:val="24"/>
        </w:rPr>
        <w:instrText>ADDIN CSL_CITATION {"citationItems":[{"id":"ITEM-1","itemData":{"DOI":"10.1002/hec.2812","ISBN":"1099-1050","ISSN":"10579230","PMID":"22461149","abstract":"Statistical methods have been developed for cost-effectiveness analyses of cluster randomised trials (CRTs) where baseline covariates are balanced. However, CRTs may show systematic differences in individual and cluster-level covariates between the treatment groups. This paper presents three methods to adjust for imbalances in observed covariates: seemingly unrelated regression with a robust standard error, a 'two-stage' bootstrap approach combined with seemingly unrelated regression and multilevel models. We consider the methods in a cost-effectiveness analysis of a CRT with covariate imbalance, unequal cluster sizes and a prognostic relationship that varied by treatment group. The cost-effectiveness results differed according to the approach for covariate adjustment. A simulation study then assessed the relative performance of methods for addressing systematic imbalance in baseline covariates. The simulations extended the case study and considered scenarios with different levels of confounding, cluster size variation and few clusters. Performance was reported as bias, root mean squared error and CI coverage of the incremental net benefit. Even with low levels of confounding, unadjusted methods were biased, but all adjusted methods were unbiased. Multilevel models performed well across all settings, and unlike the other methods, reported CI coverage close to nominal levels even with few clusters of unequal sizes.","author":[{"dropping-particle":"","family":"Gomes","given":"Manuel","non-dropping-particle":"","parse-names":false,"suffix":""},{"dropping-particle":"","family":"Grieve","given":"Richard","non-dropping-particle":"","parse-names":false,"suffix":""},{"dropping-particle":"","family":"Nixon","given":"Richard","non-dropping-particle":"","parse-names":false,"suffix":""},{"dropping-particle":"","family":"Ng","given":"Edmond S.W.","non-dropping-particle":"","parse-names":false,"suffix":""},{"dropping-particle":"","family":"Carpenter","given":"James","non-dropping-particle":"","parse-names":false,"suffix":""},{"dropping-particle":"","family":"Thompson","given":"Simon G.","non-dropping-particle":"","parse-names":false,"suffix":""}],"container-title":"Health Economics (United Kingdom)","edition":"2012/03/31","id":"ITEM-1","issue":"9","issued":{"date-parts":[["2012"]]},"language":"eng","note":"Gomes, Manuel\nGrieve, Richard\nNixon, Richard\nNg, Edmond S-W\nCarpenter, James\nThompson, Simon G\nMedical Research Council/United Kingdom\nResearch Support, Non-U.S. Gov't\nEngland\nHealth economics\nHealth Econ. 2012 Sep;21(9):1101-18. doi: 10.1002/hec.2812. Epub 2012 Mar 28.","page":"1101-1118","title":"Methods for covariate adjustment in cost-effectiveness analysis that use cluster randomised trials","type":"article-journal","volume":"21"},"uris":["http://www.mendeley.com/documents/?uuid=3be36fd4-3cdb-441f-8dc6-9961ad7a9b34"]}],"mendeley":{"formattedCitation":"(Gomes &lt;i&gt;et al.&lt;/i&gt; 2012b)","plainTextFormattedCitation":"(Gomes et al. 2012b)","previouslyFormattedCitation":"(Gomes &lt;i&gt;et al.&lt;/i&gt; 2012b)"},"properties":{"noteIndex":0},"schema":"https://github.com/citation-style-language/schema/raw/master/csl-citation.json"}</w:instrText>
      </w:r>
      <w:r w:rsidRPr="00E51082">
        <w:rPr>
          <w:szCs w:val="24"/>
        </w:rPr>
        <w:fldChar w:fldCharType="separate"/>
      </w:r>
      <w:r w:rsidR="00EC15F5" w:rsidRPr="00E51082">
        <w:rPr>
          <w:noProof/>
          <w:szCs w:val="24"/>
        </w:rPr>
        <w:t xml:space="preserve">(Gomes </w:t>
      </w:r>
      <w:r w:rsidR="00EC15F5" w:rsidRPr="00E51082">
        <w:rPr>
          <w:i/>
          <w:noProof/>
          <w:szCs w:val="24"/>
        </w:rPr>
        <w:t>et al.</w:t>
      </w:r>
      <w:r w:rsidR="00EC15F5" w:rsidRPr="00E51082">
        <w:rPr>
          <w:noProof/>
          <w:szCs w:val="24"/>
        </w:rPr>
        <w:t xml:space="preserve"> 2012b)</w:t>
      </w:r>
      <w:r w:rsidRPr="00E51082">
        <w:rPr>
          <w:szCs w:val="24"/>
        </w:rPr>
        <w:fldChar w:fldCharType="end"/>
      </w:r>
      <w:r w:rsidR="00E45BE3" w:rsidRPr="00E51082">
        <w:rPr>
          <w:szCs w:val="24"/>
        </w:rPr>
        <w:t>.</w:t>
      </w:r>
      <w:r w:rsidRPr="00E51082">
        <w:rPr>
          <w:szCs w:val="24"/>
        </w:rPr>
        <w:t xml:space="preserve"> We applied recommended </w:t>
      </w:r>
      <w:r w:rsidR="006A5D5E" w:rsidRPr="00E51082">
        <w:rPr>
          <w:szCs w:val="24"/>
        </w:rPr>
        <w:t>methods</w:t>
      </w:r>
      <w:r w:rsidR="00E45BE3" w:rsidRPr="00E51082">
        <w:rPr>
          <w:szCs w:val="24"/>
        </w:rPr>
        <w:t xml:space="preserve"> </w:t>
      </w:r>
      <w:r w:rsidRPr="00E51082">
        <w:rPr>
          <w:szCs w:val="24"/>
        </w:rPr>
        <w:fldChar w:fldCharType="begin" w:fldLock="1"/>
      </w:r>
      <w:r w:rsidR="00706093">
        <w:rPr>
          <w:szCs w:val="24"/>
        </w:rPr>
        <w:instrText>ADDIN CSL_CITATION {"citationItems":[{"id":"ITEM-1","itemData":{"DOI":"10.1002/hec.2812","ISBN":"1099-1050","ISSN":"10579230","PMID":"22461149","abstract":"Statistical methods have been developed for cost-effectiveness analyses of cluster randomised trials (CRTs) where baseline covariates are balanced. However, CRTs may show systematic differences in individual and cluster-level covariates between the treatment groups. This paper presents three methods to adjust for imbalances in observed covariates: seemingly unrelated regression with a robust standard error, a 'two-stage' bootstrap approach combined with seemingly unrelated regression and multilevel models. We consider the methods in a cost-effectiveness analysis of a CRT with covariate imbalance, unequal cluster sizes and a prognostic relationship that varied by treatment group. The cost-effectiveness results differed according to the approach for covariate adjustment. A simulation study then assessed the relative performance of methods for addressing systematic imbalance in baseline covariates. The simulations extended the case study and considered scenarios with different levels of confounding, cluster size variation and few clusters. Performance was reported as bias, root mean squared error and CI coverage of the incremental net benefit. Even with low levels of confounding, unadjusted methods were biased, but all adjusted methods were unbiased. Multilevel models performed well across all settings, and unlike the other methods, reported CI coverage close to nominal levels even with few clusters of unequal sizes.","author":[{"dropping-particle":"","family":"Gomes","given":"Manuel","non-dropping-particle":"","parse-names":false,"suffix":""},{"dropping-particle":"","family":"Grieve","given":"Richard","non-dropping-particle":"","parse-names":false,"suffix":""},{"dropping-particle":"","family":"Nixon","given":"Richard","non-dropping-particle":"","parse-names":false,"suffix":""},{"dropping-particle":"","family":"Ng","given":"Edmond S.W.","non-dropping-particle":"","parse-names":false,"suffix":""},{"dropping-particle":"","family":"Carpenter","given":"James","non-dropping-particle":"","parse-names":false,"suffix":""},{"dropping-particle":"","family":"Thompson","given":"Simon G.","non-dropping-particle":"","parse-names":false,"suffix":""}],"container-title":"Health Economics (United Kingdom)","edition":"2012/03/31","id":"ITEM-1","issue":"9","issued":{"date-parts":[["2012"]]},"language":"eng","note":"Gomes, Manuel\nGrieve, Richard\nNixon, Richard\nNg, Edmond S-W\nCarpenter, James\nThompson, Simon G\nMedical Research Council/United Kingdom\nResearch Support, Non-U.S. Gov't\nEngland\nHealth economics\nHealth Econ. 2012 Sep;21(9):1101-18. doi: 10.1002/hec.2812. Epub 2012 Mar 28.","page":"1101-1118","title":"Methods for covariate adjustment in cost-effectiveness analysis that use cluster randomised trials","type":"article-journal","volume":"21"},"uris":["http://www.mendeley.com/documents/?uuid=3be36fd4-3cdb-441f-8dc6-9961ad7a9b34"]}],"mendeley":{"formattedCitation":"(Gomes &lt;i&gt;et al.&lt;/i&gt; 2012b)","plainTextFormattedCitation":"(Gomes et al. 2012b)","previouslyFormattedCitation":"(Gomes &lt;i&gt;et al.&lt;/i&gt; 2012b)"},"properties":{"noteIndex":0},"schema":"https://github.com/citation-style-language/schema/raw/master/csl-citation.json"}</w:instrText>
      </w:r>
      <w:r w:rsidRPr="00E51082">
        <w:rPr>
          <w:szCs w:val="24"/>
        </w:rPr>
        <w:fldChar w:fldCharType="separate"/>
      </w:r>
      <w:r w:rsidR="00E45BE3" w:rsidRPr="00E51082">
        <w:rPr>
          <w:noProof/>
          <w:szCs w:val="24"/>
        </w:rPr>
        <w:t xml:space="preserve">(Gomes </w:t>
      </w:r>
      <w:r w:rsidR="00E45BE3" w:rsidRPr="00E51082">
        <w:rPr>
          <w:i/>
          <w:noProof/>
          <w:szCs w:val="24"/>
        </w:rPr>
        <w:t>et al.</w:t>
      </w:r>
      <w:r w:rsidR="00E45BE3" w:rsidRPr="00E51082">
        <w:rPr>
          <w:noProof/>
          <w:szCs w:val="24"/>
        </w:rPr>
        <w:t xml:space="preserve"> 2012b)</w:t>
      </w:r>
      <w:r w:rsidRPr="00E51082">
        <w:rPr>
          <w:szCs w:val="24"/>
        </w:rPr>
        <w:fldChar w:fldCharType="end"/>
      </w:r>
      <w:r w:rsidRPr="00E51082">
        <w:rPr>
          <w:szCs w:val="24"/>
        </w:rPr>
        <w:t xml:space="preserve"> to </w:t>
      </w:r>
      <w:r w:rsidR="00FC082E" w:rsidRPr="00E51082">
        <w:rPr>
          <w:szCs w:val="24"/>
        </w:rPr>
        <w:t>all lower</w:t>
      </w:r>
      <w:r w:rsidR="006C1837" w:rsidRPr="00E51082">
        <w:rPr>
          <w:szCs w:val="24"/>
        </w:rPr>
        <w:t>-</w:t>
      </w:r>
      <w:r w:rsidR="00FC082E" w:rsidRPr="00E51082">
        <w:rPr>
          <w:szCs w:val="24"/>
        </w:rPr>
        <w:t>risk</w:t>
      </w:r>
      <w:r w:rsidRPr="00E51082">
        <w:rPr>
          <w:szCs w:val="24"/>
        </w:rPr>
        <w:t xml:space="preserve"> participants</w:t>
      </w:r>
      <w:r w:rsidR="00FC082E" w:rsidRPr="00E51082">
        <w:rPr>
          <w:szCs w:val="24"/>
        </w:rPr>
        <w:t xml:space="preserve"> (EPDS score&lt;12)</w:t>
      </w:r>
      <w:r w:rsidRPr="00E51082">
        <w:rPr>
          <w:szCs w:val="24"/>
        </w:rPr>
        <w:t xml:space="preserve">, considering </w:t>
      </w:r>
      <w:r w:rsidR="00423F96" w:rsidRPr="00E51082">
        <w:rPr>
          <w:szCs w:val="24"/>
        </w:rPr>
        <w:t xml:space="preserve">effects </w:t>
      </w:r>
      <w:r w:rsidRPr="00E51082">
        <w:rPr>
          <w:szCs w:val="24"/>
        </w:rPr>
        <w:t xml:space="preserve">of clustering </w:t>
      </w:r>
      <w:r w:rsidR="00423F96" w:rsidRPr="00E51082">
        <w:rPr>
          <w:szCs w:val="24"/>
        </w:rPr>
        <w:t>on estimat</w:t>
      </w:r>
      <w:r w:rsidR="006A5D5E" w:rsidRPr="00E51082">
        <w:rPr>
          <w:szCs w:val="24"/>
        </w:rPr>
        <w:t xml:space="preserve">ed </w:t>
      </w:r>
      <w:r w:rsidRPr="00E51082">
        <w:rPr>
          <w:szCs w:val="24"/>
        </w:rPr>
        <w:t>coefficients and standard errors of cost</w:t>
      </w:r>
      <w:r w:rsidR="006A5D5E" w:rsidRPr="00E51082">
        <w:rPr>
          <w:szCs w:val="24"/>
        </w:rPr>
        <w:t>s</w:t>
      </w:r>
      <w:r w:rsidRPr="00E51082">
        <w:rPr>
          <w:szCs w:val="24"/>
        </w:rPr>
        <w:t xml:space="preserve"> and outcome</w:t>
      </w:r>
      <w:r w:rsidR="006A5D5E" w:rsidRPr="00E51082">
        <w:rPr>
          <w:szCs w:val="24"/>
        </w:rPr>
        <w:t>s</w:t>
      </w:r>
      <w:r w:rsidRPr="00E51082">
        <w:rPr>
          <w:szCs w:val="24"/>
        </w:rPr>
        <w:t>, while addressing potential correlation</w:t>
      </w:r>
      <w:r w:rsidR="00FC082E" w:rsidRPr="00E51082">
        <w:rPr>
          <w:szCs w:val="24"/>
        </w:rPr>
        <w:t>s</w:t>
      </w:r>
      <w:r w:rsidRPr="00E51082">
        <w:rPr>
          <w:szCs w:val="24"/>
        </w:rPr>
        <w:t xml:space="preserve"> between the</w:t>
      </w:r>
      <w:r w:rsidR="006A5D5E" w:rsidRPr="00E51082">
        <w:rPr>
          <w:szCs w:val="24"/>
        </w:rPr>
        <w:t>m</w:t>
      </w:r>
      <w:r w:rsidR="001D7728" w:rsidRPr="00E51082">
        <w:rPr>
          <w:szCs w:val="24"/>
        </w:rPr>
        <w:t xml:space="preserve"> </w:t>
      </w:r>
      <w:r w:rsidR="001D7728" w:rsidRPr="00E51082">
        <w:rPr>
          <w:szCs w:val="24"/>
        </w:rPr>
        <w:fldChar w:fldCharType="begin" w:fldLock="1"/>
      </w:r>
      <w:r w:rsidR="00706093">
        <w:rPr>
          <w:szCs w:val="24"/>
        </w:rPr>
        <w:instrText>ADDIN CSL_CITATION {"citationItems":[{"id":"ITEM-1","itemData":{"DOI":"10.1177/0272989X11407341 0272989X11407341 [pii]","ISBN":"1552-681X (Electronic) 0272-989X (Linking)","ISSN":"0272-989X","PMID":"21610256","abstract":"INTRODUCTION: The best data for cost-effectiveness analyses (CEAs) of group-level interventions often come from cluster randomized trials (CRTs), where randomization is by cluster (e.g., the hospital attended), not by individual. METHODS: for these CEAs need to recognize both the correlation between costs and outcomes and that these data may be dependent on the cluster. General checklists and methodological guidance for critically appraising CEA ignore these issues. This article develops a new checklist and applies it in a systematic review of CEAs that use CRTs. METHODS: The authors developed a checklist for CEAs that use CRTs, informed by a conceptual review of statistical methods. This checklist included criteria such as whether the analysis allowed for both clustering and the correlation between individuals' costs and outcomes. The authors undertook a systematic literature review of full economic evaluations that used CRTs. The quality of studies was assessed with the new checklist and by the \"Drummond checklist.\" RESULTS: The authors identified 62 papers that met the inclusion criteria. On average, studies satisfied 9 of the 10 criteria for the checklist but only 20% of criteria for the new checklist. More than 40% of studies adopted statistical methods that completely ignored clustering, and 75% disregarded any correlation between costs and outcomes. Only 4 studies employed appropriate statistical methods that allowed for both clustering and correlation. CONCLUSIONS: Most economic evaluations that use data from CRTs ignored clustering or correlation. Statistical methods that address these issues are available, and their use should be encouraged. The new checklist can supplement generic CEA guidelines and highlight where research practice can be improved.","author":[{"dropping-particle":"","family":"Gomes","given":"M","non-dropping-particle":"","parse-names":false,"suffix":""},{"dropping-particle":"","family":"Grieve","given":"R","non-dropping-particle":"","parse-names":false,"suffix":""},{"dropping-particle":"","family":"Nixon","given":"R","non-dropping-particle":"","parse-names":false,"suffix":""},{"dropping-particle":"","family":"Edmunds","given":"W J","non-dropping-particle":"","parse-names":false,"suffix":""}],"container-title":"Medical Decision Making","edition":"2011/05/26","id":"ITEM-1","issue":"1","issued":{"date-parts":[["2012"]]},"language":"eng","note":"Gomes, Manuel\nGrieve, Richard\nNixon, Richard\nEdmunds, W J\nResearch Support, Non-U.S. Gov't\nReview\nUnited States\nMedical decision making : an international journal of the Society for Medical Decision Making\nMed Decis Making. 2012 Jan-Feb;32(1):209-20. doi: 10.1177/0272989X11407341. Epub 2011 May 24.","page":"209-220","title":"Statistical methods for cost-effectiveness analyses that use data from cluster randomized trials: a systematic review and checklist for critical appraisal","type":"article-journal","volume":"32"},"uris":["http://www.mendeley.com/documents/?uuid=15186194-4272-40d4-89ad-e7059de82be6"]}],"mendeley":{"formattedCitation":"(Gomes &lt;i&gt;et al.&lt;/i&gt; 2012a)","plainTextFormattedCitation":"(Gomes et al. 2012a)","previouslyFormattedCitation":"(Gomes &lt;i&gt;et al.&lt;/i&gt; 2012a)"},"properties":{"noteIndex":0},"schema":"https://github.com/citation-style-language/schema/raw/master/csl-citation.json"}</w:instrText>
      </w:r>
      <w:r w:rsidR="001D7728" w:rsidRPr="00E51082">
        <w:rPr>
          <w:szCs w:val="24"/>
        </w:rPr>
        <w:fldChar w:fldCharType="separate"/>
      </w:r>
      <w:r w:rsidR="001D7728" w:rsidRPr="00E51082">
        <w:rPr>
          <w:noProof/>
          <w:szCs w:val="24"/>
        </w:rPr>
        <w:t xml:space="preserve">(Gomes </w:t>
      </w:r>
      <w:r w:rsidR="001D7728" w:rsidRPr="00E51082">
        <w:rPr>
          <w:i/>
          <w:noProof/>
          <w:szCs w:val="24"/>
        </w:rPr>
        <w:t>et al.</w:t>
      </w:r>
      <w:r w:rsidR="001D7728" w:rsidRPr="00E51082">
        <w:rPr>
          <w:noProof/>
          <w:szCs w:val="24"/>
        </w:rPr>
        <w:t xml:space="preserve"> 2012a)</w:t>
      </w:r>
      <w:r w:rsidR="001D7728" w:rsidRPr="00E51082">
        <w:rPr>
          <w:szCs w:val="24"/>
        </w:rPr>
        <w:fldChar w:fldCharType="end"/>
      </w:r>
      <w:r w:rsidRPr="00E51082">
        <w:rPr>
          <w:szCs w:val="24"/>
        </w:rPr>
        <w:t>. In our base</w:t>
      </w:r>
      <w:r w:rsidR="008F761A" w:rsidRPr="00E51082">
        <w:rPr>
          <w:szCs w:val="24"/>
        </w:rPr>
        <w:t>-</w:t>
      </w:r>
      <w:r w:rsidRPr="00E51082">
        <w:rPr>
          <w:szCs w:val="24"/>
        </w:rPr>
        <w:t>case analysis, we used a system of equations (seemingly-unrelated regressions, SUR) where costs and outcomes</w:t>
      </w:r>
      <w:r w:rsidR="001D7728" w:rsidRPr="00E51082">
        <w:rPr>
          <w:szCs w:val="24"/>
        </w:rPr>
        <w:t xml:space="preserve"> error terms</w:t>
      </w:r>
      <w:r w:rsidRPr="00E51082">
        <w:rPr>
          <w:szCs w:val="24"/>
        </w:rPr>
        <w:t xml:space="preserve"> are permitted to be correlated. The system yields a coefficient on the treatment allocation term in both equations to enable estimation of cost/outcome differences between groups </w:t>
      </w:r>
      <w:r w:rsidR="006C1837" w:rsidRPr="00E51082">
        <w:rPr>
          <w:szCs w:val="24"/>
        </w:rPr>
        <w:t>and</w:t>
      </w:r>
      <w:r w:rsidRPr="00E51082">
        <w:rPr>
          <w:szCs w:val="24"/>
        </w:rPr>
        <w:t xml:space="preserve"> </w:t>
      </w:r>
      <w:r w:rsidR="006A5D5E" w:rsidRPr="00E51082">
        <w:rPr>
          <w:szCs w:val="24"/>
        </w:rPr>
        <w:t>the</w:t>
      </w:r>
      <w:r w:rsidRPr="00E51082">
        <w:rPr>
          <w:szCs w:val="24"/>
        </w:rPr>
        <w:t xml:space="preserve"> covariance between those coefficients. </w:t>
      </w:r>
    </w:p>
    <w:p w14:paraId="633A5802" w14:textId="0517D472" w:rsidR="00FE1663" w:rsidRPr="00E51082" w:rsidRDefault="00FE1663" w:rsidP="00FE1663">
      <w:pPr>
        <w:spacing w:after="120"/>
        <w:rPr>
          <w:szCs w:val="24"/>
        </w:rPr>
      </w:pPr>
      <w:r w:rsidRPr="00E51082">
        <w:rPr>
          <w:szCs w:val="24"/>
        </w:rPr>
        <w:t xml:space="preserve">To adjust for imbalances in cluster size, we incorporated a treatment-by-cluster </w:t>
      </w:r>
      <w:r w:rsidR="003E1ACE">
        <w:rPr>
          <w:szCs w:val="24"/>
        </w:rPr>
        <w:t xml:space="preserve">size </w:t>
      </w:r>
      <w:r w:rsidRPr="00E51082">
        <w:rPr>
          <w:szCs w:val="24"/>
        </w:rPr>
        <w:t>interaction term into each equation</w:t>
      </w:r>
      <w:r w:rsidR="00E45BE3" w:rsidRPr="00E51082">
        <w:rPr>
          <w:szCs w:val="24"/>
        </w:rPr>
        <w:t xml:space="preserve"> </w:t>
      </w:r>
      <w:r w:rsidRPr="00E51082">
        <w:rPr>
          <w:szCs w:val="24"/>
        </w:rPr>
        <w:fldChar w:fldCharType="begin" w:fldLock="1"/>
      </w:r>
      <w:r w:rsidR="00706093">
        <w:rPr>
          <w:szCs w:val="24"/>
        </w:rPr>
        <w:instrText>ADDIN CSL_CITATION {"citationItems":[{"id":"ITEM-1","itemData":{"DOI":"10.1002/hec.2812","ISBN":"1099-1050","ISSN":"10579230","PMID":"22461149","abstract":"Statistical methods have been developed for cost-effectiveness analyses of cluster randomised trials (CRTs) where baseline covariates are balanced. However, CRTs may show systematic differences in individual and cluster-level covariates between the treatment groups. This paper presents three methods to adjust for imbalances in observed covariates: seemingly unrelated regression with a robust standard error, a 'two-stage' bootstrap approach combined with seemingly unrelated regression and multilevel models. We consider the methods in a cost-effectiveness analysis of a CRT with covariate imbalance, unequal cluster sizes and a prognostic relationship that varied by treatment group. The cost-effectiveness results differed according to the approach for covariate adjustment. A simulation study then assessed the relative performance of methods for addressing systematic imbalance in baseline covariates. The simulations extended the case study and considered scenarios with different levels of confounding, cluster size variation and few clusters. Performance was reported as bias, root mean squared error and CI coverage of the incremental net benefit. Even with low levels of confounding, unadjusted methods were biased, but all adjusted methods were unbiased. Multilevel models performed well across all settings, and unlike the other methods, reported CI coverage close to nominal levels even with few clusters of unequal sizes.","author":[{"dropping-particle":"","family":"Gomes","given":"Manuel","non-dropping-particle":"","parse-names":false,"suffix":""},{"dropping-particle":"","family":"Grieve","given":"Richard","non-dropping-particle":"","parse-names":false,"suffix":""},{"dropping-particle":"","family":"Nixon","given":"Richard","non-dropping-particle":"","parse-names":false,"suffix":""},{"dropping-particle":"","family":"Ng","given":"Edmond S.W.","non-dropping-particle":"","parse-names":false,"suffix":""},{"dropping-particle":"","family":"Carpenter","given":"James","non-dropping-particle":"","parse-names":false,"suffix":""},{"dropping-particle":"","family":"Thompson","given":"Simon G.","non-dropping-particle":"","parse-names":false,"suffix":""}],"container-title":"Health Economics (United Kingdom)","edition":"2012/03/31","id":"ITEM-1","issue":"9","issued":{"date-parts":[["2012"]]},"language":"eng","note":"Gomes, Manuel\nGrieve, Richard\nNixon, Richard\nNg, Edmond S-W\nCarpenter, James\nThompson, Simon G\nMedical Research Council/United Kingdom\nResearch Support, Non-U.S. Gov't\nEngland\nHealth economics\nHealth Econ. 2012 Sep;21(9):1101-18. doi: 10.1002/hec.2812. Epub 2012 Mar 28.","page":"1101-1118","title":"Methods for covariate adjustment in cost-effectiveness analysis that use cluster randomised trials","type":"article-journal","volume":"21"},"uris":["http://www.mendeley.com/documents/?uuid=3be36fd4-3cdb-441f-8dc6-9961ad7a9b34"]}],"mendeley":{"formattedCitation":"(Gomes &lt;i&gt;et al.&lt;/i&gt; 2012b)","plainTextFormattedCitation":"(Gomes et al. 2012b)","previouslyFormattedCitation":"(Gomes &lt;i&gt;et al.&lt;/i&gt; 2012b)"},"properties":{"noteIndex":0},"schema":"https://github.com/citation-style-language/schema/raw/master/csl-citation.json"}</w:instrText>
      </w:r>
      <w:r w:rsidRPr="00E51082">
        <w:rPr>
          <w:szCs w:val="24"/>
        </w:rPr>
        <w:fldChar w:fldCharType="separate"/>
      </w:r>
      <w:r w:rsidR="00EC15F5" w:rsidRPr="00E51082">
        <w:rPr>
          <w:noProof/>
          <w:szCs w:val="24"/>
        </w:rPr>
        <w:t xml:space="preserve">(Gomes </w:t>
      </w:r>
      <w:r w:rsidR="00EC15F5" w:rsidRPr="00E51082">
        <w:rPr>
          <w:i/>
          <w:noProof/>
          <w:szCs w:val="24"/>
        </w:rPr>
        <w:t>et al.</w:t>
      </w:r>
      <w:r w:rsidR="00EC15F5" w:rsidRPr="00E51082">
        <w:rPr>
          <w:noProof/>
          <w:szCs w:val="24"/>
        </w:rPr>
        <w:t xml:space="preserve"> 2012b)</w:t>
      </w:r>
      <w:r w:rsidRPr="00E51082">
        <w:rPr>
          <w:szCs w:val="24"/>
        </w:rPr>
        <w:fldChar w:fldCharType="end"/>
      </w:r>
      <w:r w:rsidR="00E45BE3" w:rsidRPr="00E51082">
        <w:rPr>
          <w:szCs w:val="24"/>
        </w:rPr>
        <w:t>.</w:t>
      </w:r>
      <w:r w:rsidRPr="00E51082">
        <w:rPr>
          <w:szCs w:val="24"/>
        </w:rPr>
        <w:t xml:space="preserve"> </w:t>
      </w:r>
      <w:r w:rsidR="00357929" w:rsidRPr="00E51082">
        <w:rPr>
          <w:szCs w:val="24"/>
        </w:rPr>
        <w:t>C</w:t>
      </w:r>
      <w:r w:rsidRPr="00E51082">
        <w:rPr>
          <w:szCs w:val="24"/>
        </w:rPr>
        <w:t xml:space="preserve">ost and outcome (QALY; dichotomous 6-month depression-risk) equations adjusted for potential confounders: mother’s age, history of PND, living </w:t>
      </w:r>
      <w:r w:rsidR="00B47E18" w:rsidRPr="00E51082">
        <w:rPr>
          <w:szCs w:val="24"/>
        </w:rPr>
        <w:t>alone</w:t>
      </w:r>
      <w:r w:rsidRPr="00E51082">
        <w:rPr>
          <w:szCs w:val="24"/>
        </w:rPr>
        <w:t>, any history of major life</w:t>
      </w:r>
      <w:r w:rsidR="006C1837" w:rsidRPr="00E51082">
        <w:rPr>
          <w:szCs w:val="24"/>
        </w:rPr>
        <w:t>-</w:t>
      </w:r>
      <w:r w:rsidRPr="00E51082">
        <w:rPr>
          <w:szCs w:val="24"/>
        </w:rPr>
        <w:t xml:space="preserve">events, baseline </w:t>
      </w:r>
      <w:r w:rsidR="00B47E18" w:rsidRPr="00E51082">
        <w:rPr>
          <w:szCs w:val="24"/>
        </w:rPr>
        <w:t xml:space="preserve">6-week </w:t>
      </w:r>
      <w:r w:rsidRPr="00E51082">
        <w:rPr>
          <w:szCs w:val="24"/>
        </w:rPr>
        <w:t xml:space="preserve">EPDS score, number of other children in family and whether mother was economically active. In analysis of the primary outcome,  costs and QALY equations additionally controlled for </w:t>
      </w:r>
      <w:r w:rsidR="00EE69B3" w:rsidRPr="00E51082">
        <w:rPr>
          <w:szCs w:val="24"/>
        </w:rPr>
        <w:t>6-week (</w:t>
      </w:r>
      <w:r w:rsidRPr="00E51082">
        <w:rPr>
          <w:szCs w:val="24"/>
        </w:rPr>
        <w:t>baseline</w:t>
      </w:r>
      <w:r w:rsidR="00EE69B3" w:rsidRPr="00E51082">
        <w:rPr>
          <w:szCs w:val="24"/>
        </w:rPr>
        <w:t>)</w:t>
      </w:r>
      <w:r w:rsidRPr="00E51082">
        <w:rPr>
          <w:szCs w:val="24"/>
        </w:rPr>
        <w:t xml:space="preserve"> utility</w:t>
      </w:r>
      <w:r w:rsidR="00780391">
        <w:rPr>
          <w:szCs w:val="24"/>
        </w:rPr>
        <w:t xml:space="preserve"> </w:t>
      </w:r>
      <w:r w:rsidRPr="00E51082">
        <w:rPr>
          <w:szCs w:val="24"/>
        </w:rPr>
        <w:fldChar w:fldCharType="begin" w:fldLock="1"/>
      </w:r>
      <w:r w:rsidR="00706093">
        <w:rPr>
          <w:szCs w:val="24"/>
        </w:rPr>
        <w:instrText>ADDIN CSL_CITATION {"citationItems":[{"id":"ITEM-1","itemData":{"DOI":"10.1002/hec.944","ISBN":"1057-9230","ISSN":"10579230","PMID":"15497198","abstract":"In trial-based cost-effectiveness analysis baseline mean utility values are invariably imbalanced between treatment arms. A patient's baseline utility is likely to be highly correlated with their quality-adjusted life-years (QALYs) over the follow-up period, not least because it typically contributes to the QALY calculation. Therefore, imbalance in baseline utility needs to be accounted for in the estimation of mean differential QALYs, and failure to control for this imbalance can result in a misleading incremental cost-effectiveness ratio. This paper discusses the approaches that have been used in the cost-effectiveness literature to estimate absolute and differential mean QALYs alongside randomised trials, and illustrates the implications of baseline mean utility imbalance for QALY calculation. Using data from a recently conducted trial-based cost-effectiveness study and a micro-simulation exercise, the relative performance of alternative estimators is compared, showing that widely used methods to calculate differential QALYs provide incorrect results in the presence of baseline mean utility imbalance regardless of whether these differences are formally statistically significant. It is demonstrated that multiple regression methods can be usefully applied to generate appropriate estimates of differential mean QALYs and an associated measure of sampling variability, while controlling for differences in baseline mean utility between treatment arms in the trial.","author":[{"dropping-particle":"","family":"Manca","given":"Andrea","non-dropping-particle":"","parse-names":false,"suffix":""},{"dropping-particle":"","family":"Hawkins","given":"Neil","non-dropping-particle":"","parse-names":false,"suffix":""},{"dropping-particle":"","family":"Sculpher","given":"Mark J.","non-dropping-particle":"","parse-names":false,"suffix":""}],"container-title":"Health Economics","id":"ITEM-1","issue":"5","issued":{"date-parts":[["2005"]]},"note":"1099-1050","page":"487-496","title":"Estimating mean QALYs in trial-based cost-effectiveness analysis: The importance of controlling for baseline utility","type":"article-journal","volume":"14"},"uris":["http://www.mendeley.com/documents/?uuid=0fe1f2a9-a5dd-4480-bcfb-84c16745e208"]}],"mendeley":{"formattedCitation":"(Manca &lt;i&gt;et al.&lt;/i&gt; 2005a)","plainTextFormattedCitation":"(Manca et al. 2005a)","previouslyFormattedCitation":"(Manca &lt;i&gt;et al.&lt;/i&gt; 2005a)"},"properties":{"noteIndex":0},"schema":"https://github.com/citation-style-language/schema/raw/master/csl-citation.json"}</w:instrText>
      </w:r>
      <w:r w:rsidRPr="00E51082">
        <w:rPr>
          <w:szCs w:val="24"/>
        </w:rPr>
        <w:fldChar w:fldCharType="separate"/>
      </w:r>
      <w:r w:rsidR="00EC15F5" w:rsidRPr="00E51082">
        <w:rPr>
          <w:noProof/>
          <w:szCs w:val="24"/>
        </w:rPr>
        <w:t xml:space="preserve">(Manca </w:t>
      </w:r>
      <w:r w:rsidR="00EC15F5" w:rsidRPr="00E51082">
        <w:rPr>
          <w:i/>
          <w:noProof/>
          <w:szCs w:val="24"/>
        </w:rPr>
        <w:t>et al.</w:t>
      </w:r>
      <w:r w:rsidR="00EC15F5" w:rsidRPr="00E51082">
        <w:rPr>
          <w:noProof/>
          <w:szCs w:val="24"/>
        </w:rPr>
        <w:t xml:space="preserve"> 2005a)</w:t>
      </w:r>
      <w:r w:rsidRPr="00E51082">
        <w:rPr>
          <w:szCs w:val="24"/>
        </w:rPr>
        <w:fldChar w:fldCharType="end"/>
      </w:r>
      <w:r w:rsidR="00E45BE3" w:rsidRPr="00E51082">
        <w:rPr>
          <w:szCs w:val="24"/>
        </w:rPr>
        <w:t>.</w:t>
      </w:r>
      <w:r w:rsidRPr="00E51082">
        <w:rPr>
          <w:szCs w:val="24"/>
        </w:rPr>
        <w:t xml:space="preserve"> </w:t>
      </w:r>
      <w:r w:rsidR="004323B7" w:rsidRPr="00E51082">
        <w:rPr>
          <w:szCs w:val="24"/>
        </w:rPr>
        <w:t>The impact of clustering on estimation precision was accounted for by calculating cluster-robust errors.</w:t>
      </w:r>
    </w:p>
    <w:p w14:paraId="504F1FEA" w14:textId="75521423" w:rsidR="00FE1663" w:rsidRPr="00E51082" w:rsidRDefault="00FE1663" w:rsidP="00FE1663">
      <w:pPr>
        <w:spacing w:after="120"/>
        <w:rPr>
          <w:szCs w:val="24"/>
        </w:rPr>
      </w:pPr>
      <w:r w:rsidRPr="00E51082">
        <w:rPr>
          <w:szCs w:val="24"/>
        </w:rPr>
        <w:t xml:space="preserve">Incremental cost-effectiveness ratios (ICERs) and cost-effectiveness acceptability curves (CEACs) were generated from cost and outcome regressions. Cost-effectiveness acceptability curves show the probability that </w:t>
      </w:r>
      <w:r w:rsidR="00753228" w:rsidRPr="00E51082">
        <w:rPr>
          <w:szCs w:val="24"/>
        </w:rPr>
        <w:t>an</w:t>
      </w:r>
      <w:r w:rsidRPr="00E51082">
        <w:rPr>
          <w:szCs w:val="24"/>
        </w:rPr>
        <w:t xml:space="preserve"> intervention is cost-effective at various </w:t>
      </w:r>
      <w:r w:rsidR="008F761A" w:rsidRPr="00E51082">
        <w:rPr>
          <w:szCs w:val="24"/>
        </w:rPr>
        <w:t xml:space="preserve">hypothetical </w:t>
      </w:r>
      <w:r w:rsidRPr="00E51082">
        <w:rPr>
          <w:szCs w:val="24"/>
        </w:rPr>
        <w:t>‘threshold values’ of a</w:t>
      </w:r>
      <w:r w:rsidR="006C1837" w:rsidRPr="00E51082">
        <w:rPr>
          <w:szCs w:val="24"/>
        </w:rPr>
        <w:t>n outcome</w:t>
      </w:r>
      <w:r w:rsidRPr="00E51082">
        <w:rPr>
          <w:szCs w:val="24"/>
        </w:rPr>
        <w:t>.</w:t>
      </w:r>
      <w:r w:rsidR="00195A03" w:rsidRPr="00E51082">
        <w:rPr>
          <w:szCs w:val="24"/>
        </w:rPr>
        <w:t xml:space="preserve"> </w:t>
      </w:r>
      <w:r w:rsidR="00125337" w:rsidRPr="00E51082">
        <w:rPr>
          <w:szCs w:val="24"/>
        </w:rPr>
        <w:t>T</w:t>
      </w:r>
      <w:r w:rsidRPr="00E51082">
        <w:rPr>
          <w:szCs w:val="24"/>
        </w:rPr>
        <w:t>he</w:t>
      </w:r>
      <w:r w:rsidR="00195A03" w:rsidRPr="00E51082">
        <w:rPr>
          <w:szCs w:val="24"/>
        </w:rPr>
        <w:t xml:space="preserve"> range of willingness-to-pay values covered by the </w:t>
      </w:r>
      <w:r w:rsidRPr="00E51082">
        <w:rPr>
          <w:szCs w:val="24"/>
        </w:rPr>
        <w:t xml:space="preserve">CEAC </w:t>
      </w:r>
      <w:r w:rsidR="00195A03" w:rsidRPr="00E51082">
        <w:rPr>
          <w:szCs w:val="24"/>
        </w:rPr>
        <w:t>include</w:t>
      </w:r>
      <w:r w:rsidR="006C1837" w:rsidRPr="00E51082">
        <w:rPr>
          <w:szCs w:val="24"/>
        </w:rPr>
        <w:t>d</w:t>
      </w:r>
      <w:r w:rsidR="00125337" w:rsidRPr="00E51082">
        <w:rPr>
          <w:szCs w:val="24"/>
        </w:rPr>
        <w:t xml:space="preserve"> </w:t>
      </w:r>
      <w:r w:rsidRPr="00E51082">
        <w:rPr>
          <w:szCs w:val="24"/>
        </w:rPr>
        <w:t>£20,000 per QALY, the lower range of thresholds typically used by NICE to identify which interventions to</w:t>
      </w:r>
      <w:r w:rsidR="00CB39B6" w:rsidRPr="00E51082">
        <w:rPr>
          <w:szCs w:val="24"/>
        </w:rPr>
        <w:t xml:space="preserve"> recommend for implementation</w:t>
      </w:r>
      <w:r w:rsidR="00FA13C9" w:rsidRPr="00E51082">
        <w:rPr>
          <w:szCs w:val="24"/>
        </w:rPr>
        <w:t xml:space="preserve"> </w:t>
      </w:r>
      <w:r w:rsidRPr="00E51082">
        <w:rPr>
          <w:szCs w:val="24"/>
        </w:rPr>
        <w:fldChar w:fldCharType="begin" w:fldLock="1"/>
      </w:r>
      <w:r w:rsidR="00706093">
        <w:rPr>
          <w:szCs w:val="24"/>
        </w:rPr>
        <w:instrText>ADDIN CSL_CITATION {"citationItems":[{"id":"ITEM-1","itemData":{"author":[{"dropping-particle":"","family":"National Institute for Health and Clinical Excellence","given":"","non-dropping-particle":"","parse-names":false,"suffix":""}],"id":"ITEM-1","issued":{"date-parts":[["2008"]]},"publisher":"National Institute for Health and Clinical Excellence","publisher-place":"London","title":"Guide to The Methods of Technology Appraisal","type":"report"},"uris":["http://www.mendeley.com/documents/?uuid=64fb891e-8ba8-4517-8455-1c144778c3fc"]},{"id":"ITEM-2","itemData":{"author":[{"dropping-particle":"","family":"National Institute for Clinical Excellence","given":"","non-dropping-particle":"","parse-names":false,"suffix":""}],"id":"ITEM-2","issued":{"date-parts":[["2004"]]},"publisher":"National Institute for Clinical Excellence","publisher-place":"London","title":"Guide to The Methods of Technology Appraisal","type":"report"},"uris":["http://www.mendeley.com/documents/?uuid=05fa952a-0abe-41be-b5d9-00a6004771b6"]},{"id":"ITEM-3","itemData":{"author":[{"dropping-particle":"","family":"National Institute for Health and Care Excellence","given":"","non-dropping-particle":"","parse-names":false,"suffix":""}],"id":"ITEM-3","issued":{"date-parts":[["2013"]]},"publisher":"National Institute for Health and Care Excellence","publisher-place":"London","title":"Guide to The Methods of Technology Appraisal 2013","type":"report"},"uris":["http://www.mendeley.com/documents/?uuid=91b481c0-97ad-44a6-a99b-4b2b7e131754"]}],"mendeley":{"formattedCitation":"(National Institute for Clinical Excellence 2004; National Institute for Health and Clinical Excellence 2008; National Institute for Health and Care Excellence 2013)","plainTextFormattedCitation":"(National Institute for Clinical Excellence 2004; National Institute for Health and Clinical Excellence 2008; National Institute for Health and Care Excellence 2013)","previouslyFormattedCitation":"(National Institute for Clinical Excellence 2004; National Institute for Health and Clinical Excellence 2008; National Institute for Health and Care Excellence 2013)"},"properties":{"noteIndex":0},"schema":"https://github.com/citation-style-language/schema/raw/master/csl-citation.json"}</w:instrText>
      </w:r>
      <w:r w:rsidRPr="00E51082">
        <w:rPr>
          <w:szCs w:val="24"/>
        </w:rPr>
        <w:fldChar w:fldCharType="separate"/>
      </w:r>
      <w:r w:rsidR="00EC15F5" w:rsidRPr="00E51082">
        <w:rPr>
          <w:noProof/>
          <w:szCs w:val="24"/>
        </w:rPr>
        <w:t>(National Institute for Clinical Excellence 2004; National Institute for Health and Clinical Excellence 2008; National Institute for Health and Care Excellence 2013)</w:t>
      </w:r>
      <w:r w:rsidRPr="00E51082">
        <w:rPr>
          <w:szCs w:val="24"/>
        </w:rPr>
        <w:fldChar w:fldCharType="end"/>
      </w:r>
      <w:r w:rsidR="00FA13C9" w:rsidRPr="00E51082">
        <w:rPr>
          <w:szCs w:val="24"/>
        </w:rPr>
        <w:t>.</w:t>
      </w:r>
      <w:r w:rsidRPr="00E51082">
        <w:rPr>
          <w:szCs w:val="24"/>
        </w:rPr>
        <w:t xml:space="preserve"> While </w:t>
      </w:r>
      <w:r w:rsidR="00CB39B6" w:rsidRPr="00E51082">
        <w:rPr>
          <w:szCs w:val="24"/>
        </w:rPr>
        <w:t>women with complete clinical and economic data (</w:t>
      </w:r>
      <w:r w:rsidRPr="00E51082">
        <w:rPr>
          <w:szCs w:val="24"/>
        </w:rPr>
        <w:t>complete cases</w:t>
      </w:r>
      <w:r w:rsidR="00CB39B6" w:rsidRPr="00E51082">
        <w:rPr>
          <w:szCs w:val="24"/>
        </w:rPr>
        <w:t>)</w:t>
      </w:r>
      <w:r w:rsidRPr="00E51082">
        <w:rPr>
          <w:szCs w:val="24"/>
        </w:rPr>
        <w:t xml:space="preserve"> were considered in the base</w:t>
      </w:r>
      <w:r w:rsidR="008F761A" w:rsidRPr="00E51082">
        <w:rPr>
          <w:szCs w:val="24"/>
        </w:rPr>
        <w:t>-</w:t>
      </w:r>
      <w:r w:rsidRPr="00E51082">
        <w:rPr>
          <w:szCs w:val="24"/>
        </w:rPr>
        <w:t xml:space="preserve">case analysis, imputation of </w:t>
      </w:r>
      <w:r w:rsidR="00CB39B6" w:rsidRPr="00E51082">
        <w:rPr>
          <w:szCs w:val="24"/>
        </w:rPr>
        <w:t xml:space="preserve">6-month </w:t>
      </w:r>
      <w:r w:rsidRPr="00E51082">
        <w:rPr>
          <w:szCs w:val="24"/>
        </w:rPr>
        <w:t>missing data was carried out in sensitivity analys</w:t>
      </w:r>
      <w:r w:rsidR="00FC082E" w:rsidRPr="00E51082">
        <w:rPr>
          <w:szCs w:val="24"/>
        </w:rPr>
        <w:t>e</w:t>
      </w:r>
      <w:r w:rsidRPr="00E51082">
        <w:rPr>
          <w:szCs w:val="24"/>
        </w:rPr>
        <w:t>s.</w:t>
      </w:r>
    </w:p>
    <w:p w14:paraId="06883006" w14:textId="77777777" w:rsidR="00FE1663" w:rsidRPr="00E51082" w:rsidRDefault="00FE1663" w:rsidP="000B5BB6">
      <w:pPr>
        <w:pStyle w:val="Heading2"/>
      </w:pPr>
      <w:r w:rsidRPr="00E51082">
        <w:t>Sensitivity analyses</w:t>
      </w:r>
    </w:p>
    <w:p w14:paraId="707AC014" w14:textId="02717D82" w:rsidR="00FE1663" w:rsidRPr="00E51082" w:rsidRDefault="00FE1663">
      <w:pPr>
        <w:pStyle w:val="BodyText3"/>
        <w:spacing w:after="0"/>
        <w:rPr>
          <w:sz w:val="24"/>
          <w:szCs w:val="24"/>
        </w:rPr>
      </w:pPr>
      <w:r w:rsidRPr="00E51082">
        <w:rPr>
          <w:sz w:val="24"/>
          <w:szCs w:val="24"/>
        </w:rPr>
        <w:t xml:space="preserve">To explore whether primary outcome (QALY) findings were robust to assumptions in important parameters, we varied </w:t>
      </w:r>
      <w:r w:rsidR="00072C5B" w:rsidRPr="00E51082">
        <w:rPr>
          <w:sz w:val="24"/>
          <w:szCs w:val="24"/>
        </w:rPr>
        <w:t xml:space="preserve">the </w:t>
      </w:r>
      <w:r w:rsidRPr="00E51082">
        <w:rPr>
          <w:sz w:val="24"/>
          <w:szCs w:val="24"/>
        </w:rPr>
        <w:t xml:space="preserve">definition of threshold delineating groups </w:t>
      </w:r>
      <w:r w:rsidR="008F761A" w:rsidRPr="00E51082">
        <w:rPr>
          <w:sz w:val="24"/>
          <w:szCs w:val="24"/>
        </w:rPr>
        <w:t>of</w:t>
      </w:r>
      <w:r w:rsidRPr="00E51082">
        <w:rPr>
          <w:sz w:val="24"/>
          <w:szCs w:val="24"/>
        </w:rPr>
        <w:t xml:space="preserve"> low</w:t>
      </w:r>
      <w:r w:rsidR="008F761A" w:rsidRPr="00E51082">
        <w:rPr>
          <w:sz w:val="24"/>
          <w:szCs w:val="24"/>
        </w:rPr>
        <w:t>er</w:t>
      </w:r>
      <w:r w:rsidRPr="00E51082">
        <w:rPr>
          <w:sz w:val="24"/>
          <w:szCs w:val="24"/>
        </w:rPr>
        <w:t>-</w:t>
      </w:r>
      <w:r w:rsidR="008F761A" w:rsidRPr="00E51082">
        <w:rPr>
          <w:sz w:val="24"/>
          <w:szCs w:val="24"/>
        </w:rPr>
        <w:t>risk</w:t>
      </w:r>
      <w:r w:rsidRPr="00E51082">
        <w:rPr>
          <w:sz w:val="24"/>
          <w:szCs w:val="24"/>
        </w:rPr>
        <w:t xml:space="preserve"> and </w:t>
      </w:r>
      <w:r w:rsidR="00D4713C" w:rsidRPr="00E51082">
        <w:rPr>
          <w:sz w:val="24"/>
          <w:szCs w:val="24"/>
        </w:rPr>
        <w:t xml:space="preserve">at-risk women </w:t>
      </w:r>
      <w:r w:rsidRPr="00E51082">
        <w:rPr>
          <w:sz w:val="24"/>
          <w:szCs w:val="24"/>
        </w:rPr>
        <w:t xml:space="preserve">at 6 weeks, considering a cut-off </w:t>
      </w:r>
      <w:r w:rsidR="00051197" w:rsidRPr="00E51082">
        <w:rPr>
          <w:sz w:val="24"/>
          <w:szCs w:val="24"/>
        </w:rPr>
        <w:t xml:space="preserve">for being at-risk </w:t>
      </w:r>
      <w:r w:rsidRPr="00E51082">
        <w:rPr>
          <w:sz w:val="24"/>
          <w:szCs w:val="24"/>
        </w:rPr>
        <w:t xml:space="preserve">of 10 or </w:t>
      </w:r>
      <w:r w:rsidR="00051197" w:rsidRPr="00E51082">
        <w:rPr>
          <w:sz w:val="24"/>
          <w:szCs w:val="24"/>
        </w:rPr>
        <w:t xml:space="preserve">more </w:t>
      </w:r>
      <w:r w:rsidRPr="00E51082">
        <w:rPr>
          <w:sz w:val="24"/>
          <w:szCs w:val="24"/>
        </w:rPr>
        <w:t>on EPDS and a cut-off of 13</w:t>
      </w:r>
      <w:r w:rsidR="00051197" w:rsidRPr="00E51082">
        <w:rPr>
          <w:sz w:val="24"/>
          <w:szCs w:val="24"/>
        </w:rPr>
        <w:t xml:space="preserve"> or more</w:t>
      </w:r>
      <w:r w:rsidR="00E45BE3" w:rsidRPr="00E51082">
        <w:rPr>
          <w:sz w:val="24"/>
          <w:szCs w:val="24"/>
        </w:rPr>
        <w:t xml:space="preserve"> </w:t>
      </w:r>
      <w:r w:rsidRPr="00E51082">
        <w:rPr>
          <w:sz w:val="24"/>
          <w:szCs w:val="24"/>
        </w:rPr>
        <w:fldChar w:fldCharType="begin" w:fldLock="1"/>
      </w:r>
      <w:r w:rsidR="00706093">
        <w:rPr>
          <w:sz w:val="24"/>
          <w:szCs w:val="24"/>
        </w:rPr>
        <w:instrText>ADDIN CSL_CITATION {"citationItems":[{"id":"ITEM-1","itemData":{"DOI":"10.3310/hta20370","ISBN":"2046-4924 (Electronic) 1366-5278 (Linking)","ISSN":"20464924","PMID":"27184772","abstract":"Background: Postnatal depression (PND) is a major depressive disorder in the year following childbirth, which impacts on women, their infants and their families. A range of interventions has been developed to prevent PND. Objectives: To (1) evaluate the clinical effectiveness, cost-effectiveness, acceptability and safety of antenatal and postnatal interventions for pregnant and postnatal women to prevent PND; (2) apply rigorous methods of systematic reviewing of quantitative and qualitative studies, evidence synthesis and decision-analytic modelling to evaluate the preventive impact on women, their infants and their families; and (3) estimate cost-effectiveness. Data sources: We searched MEDLINE, EMBASE, Science Citation Index and other databases (from inception to July 2013) in December 2012, and we were updated by electronic alerts until July 2013. Review methods: Two reviewers independently screened titles and abstracts with consensus agreement. We undertook quality assessment. All universal, selective and indicated preventive interventions for pregnant women and women in the first 6 postnatal weeks were included. All outcomes were included, focusing on the Edinburgh Postnatal Depression Scale (EPDS), diagnostic instruments and infant outcomes. The quantitative evidence was synthesised using network meta-analyses (NMAs). A mathematical model was constructed to explore the cost-effectiveness of interventions contained within the NMA for EPDS values. Results: From 3072 records identified, 122 papers (86 trials) were included in the quantitative review. From 2152 records, 56 papers (44 studies) were included in the qualitative review. The results were inconclusive. The most beneficial interventions appeared to be midwifery redesigned postnatal care [as shown by the mean 12-month EPDS score difference of –1.43 (95% credible interval –4.00 to 1.36)], person-centred approach (PCA)-based and cognitive–behavioural therapy (CBT)-based intervention (universal), interpersonal psychotherapy (IPT)-based intervention and education on preparing for parenting (selective), promoting parent–infant interaction, peer support, IPT-based intervention and PCA-based and CBT-based intervention (indicated). Women valued seeing the same health worker, the involvement of partners and access to several visits from a midwife or health visitor trained in person-centred or cognitive–behavioural approaches. The most cost-effective interventions were estimated to be midwifery redesig…","author":[{"dropping-particle":"","family":"Morrell","given":"C. Jane","non-dropping-particle":"","parse-names":false,"suffix":""},{"dropping-particle":"","family":"Sutcliffe","given":"Paul","non-dropping-particle":"","parse-names":false,"suffix":""},{"dropping-particle":"","family":"Booth","given":"Andrew","non-dropping-particle":"","parse-names":false,"suffix":""},{"dropping-particle":"","family":"Stevens","given":"John","non-dropping-particle":"","parse-names":false,"suffix":""},{"dropping-particle":"","family":"Scope","given":"Alison","non-dropping-particle":"","parse-names":false,"suffix":""},{"dropping-particle":"","family":"Stevenson","given":"Matt","non-dropping-particle":"","parse-names":false,"suffix":""},{"dropping-particle":"","family":"Harvey","given":"Rebecca","non-dropping-particle":"","parse-names":false,"suffix":""},{"dropping-particle":"","family":"Bessey","given":"Alice","non-dropping-particle":"","parse-names":false,"suffix":""},{"dropping-particle":"","family":"Cantrell","given":"Anna","non-dropping-particle":"","parse-names":false,"suffix":""},{"dropping-particle":"","family":"Dennis","given":"Cindy Lee","non-dropping-particle":"","parse-names":false,"suffix":""},{"dropping-particle":"","family":"Ren","given":"Shijie","non-dropping-particle":"","parse-names":false,"suffix":""},{"dropping-particle":"","family":"Ragonesi","given":"Margherita","non-dropping-particle":"","parse-names":false,"suffix":""},{"dropping-particle":"","family":"Barkham","given":"Michael","non-dropping-particle":"","parse-names":false,"suffix":""},{"dropping-particle":"","family":"Churchill","given":"Dick","non-dropping-particle":"","parse-names":false,"suffix":""},{"dropping-particle":"","family":"Henshaw","given":"Carol","non-dropping-particle":"","parse-names":false,"suffix":""},{"dropping-particle":"","family":"Newstead","given":"Jo","non-dropping-particle":"","parse-names":false,"suffix":""},{"dropping-particle":"","family":"Slade","given":"Pauline","non-dropping-particle":"","parse-names":false,"suffix":""},{"dropping-particle":"","family":"Spiby","given":"Helen","non-dropping-particle":"","parse-names":false,"suffix":""},{"dropping-particle":"","family":"Stewart-Brown","given":"Sarah","non-dropping-particle":"","parse-names":false,"suffix":""}],"container-title":"Health Technology Assessment","id":"ITEM-1","issue":"37","issued":{"date-parts":[["2016"]]},"note":"Morrell, C Jane\nSutcliffe, Paul\nBooth, Andrew\nStevens, John\nScope, Alison\nStevenson, Matt\nHarvey, Rebecca\nBessey, Alice\nCantrell, Anna\nDennis, Cindy-Lee\nRen, Shijie\nRagonesi, Margherita\nBarkham, Michael\nChurchill, Dick\nHenshaw, Carol\nNewstead, Jo\nSlade, Pauline\nSpiby, Helen\nStewart-Brown, Sarah\neng\nEngland\nWinchester, England\n2016/05/18 06:00\nHealth Technol Assess. 2016 May;20(37):1-414. doi: 10.3310/hta20370.","page":"1-414","title":"A systematic review, evidence synthesis and meta-analysis of quantitative and qualitative studies evaluating the clinical effectiveness, the cost-effectiveness, safety and acceptability of interventions to prevent postnatal depression","type":"article-journal","volume":"20"},"uris":["http://www.mendeley.com/documents/?uuid=48eed906-9b8f-4678-8ecb-4617bd95d961"]},{"id":"ITEM-2","itemData":{"DOI":"10.1111/j.1600-0412.2011.01262.x","ISBN":"1600-0412 (Electronic)\r0001-6349 (Linking)","PMID":"21880023","abstract":"OBJECTIVE: To study whether exercise during pregnancy reduces the risk of postnatal depression. DESIGN: Randomized controlled trial. SETTING: Trondheim and Stavanger University Hospitals, Norway. POPULATION AND SAMPLE: Eight hundred and fifty-five pregnant women were randomized to intervention or control groups. METHODS: The intervention was a 12 week exercise program, including aerobic and strengthening exercises, conducted between week 20 and 36 of pregnancy. One weekly group session was led by physiotherapists, and home exercises were encouraged twice a week. Control women received regular antenatal care. MAIN OUTCOME MEASURES: Edinburgh Postnatal Depression Scale (EPDS) completed three months after birth. Scores of 10 or more and 13 or more suggested probable minor and major depression, respectively. RESULTS: Fourteen of 379 (3.7%) women in the intervention group and 17 of 340 (5.0%) in the control group had an EPDS score of &gt;/=10 (p=0.46), and four of 379 (1.2%) women in the intervention group and eight of 340 (2.4%) in the control group had an EPDS score of &gt;/=13 (p=0.25). Among women who did not exercise prior to pregnancy, two of 100 (2.0%) women in the intervention group and nine of 95 (9.5%) in the control group had an EPDS score of &gt;/=10 (p=0.03). CONCLUSIONS: We did not find a lower prevalence of high EPDS scores among women randomized to regular exercise during pregnancy compared with the control group. However, a subgroup of women in the intervention group who did not exercise regularly prior to pregnancy had a reduced risk of postnatal depression.","author":[{"dropping-particle":"","family":"Songoygard","given":"K M","non-dropping-particle":"","parse-names":false,"suffix":""},{"dropping-particle":"","family":"Stafne","given":"S N","non-dropping-particle":"","parse-names":false,"suffix":""},{"dropping-particle":"","family":"Evensen","given":"K A","non-dropping-particle":"","parse-names":false,"suffix":""},{"dropping-particle":"","family":"Salvesen","given":"K A","non-dropping-particle":"","parse-names":false,"suffix":""},{"dropping-particle":"","family":"Vik","given":"T","non-dropping-particle":"","parse-names":false,"suffix":""},{"dropping-particle":"","family":"Morkved","given":"S","non-dropping-particle":"","parse-names":false,"suffix":""}],"container-title":"Acta Obstet Gynecol Scand","id":"ITEM-2","issue":"1","issued":{"date-parts":[["2012"]]},"note":"Songoygard, Kristian M\nStafne, Signe N\nEvensen, Kari Anne I\nSalvesen, Kjell A\nVik, Torstein\nMorkved, Siv\neng\nRandomized Controlled Trial\nEngland\n2011/09/02 06:00\nActa Obstet Gynecol Scand. 2012 Jan;91(1):62-7. doi: 10.1111/j.1600-0412.2011.01262.x. Epub 2011 Oct 24.","page":"62-67","title":"Does exercise during pregnancy prevent postnatal depression? A randomized controlled trial","type":"article-journal","volume":"91"},"uris":["http://www.mendeley.com/documents/?uuid=0f40566f-e530-4690-8784-29fb3de90c62"]}],"mendeley":{"formattedCitation":"(Songoygard &lt;i&gt;et al.&lt;/i&gt; 2012; Morrell &lt;i&gt;et al.&lt;/i&gt; 2016)","plainTextFormattedCitation":"(Songoygard et al. 2012; Morrell et al. 2016)","previouslyFormattedCitation":"(Songoygard &lt;i&gt;et al.&lt;/i&gt; 2012; Morrell &lt;i&gt;et al.&lt;/i&gt; 2016)"},"properties":{"noteIndex":0},"schema":"https://github.com/citation-style-language/schema/raw/master/csl-citation.json"}</w:instrText>
      </w:r>
      <w:r w:rsidRPr="00E51082">
        <w:rPr>
          <w:sz w:val="24"/>
          <w:szCs w:val="24"/>
        </w:rPr>
        <w:fldChar w:fldCharType="separate"/>
      </w:r>
      <w:r w:rsidR="00EC15F5" w:rsidRPr="00E51082">
        <w:rPr>
          <w:noProof/>
          <w:sz w:val="24"/>
          <w:szCs w:val="24"/>
        </w:rPr>
        <w:t xml:space="preserve">(Songoygard </w:t>
      </w:r>
      <w:r w:rsidR="00EC15F5" w:rsidRPr="00E51082">
        <w:rPr>
          <w:i/>
          <w:noProof/>
          <w:sz w:val="24"/>
          <w:szCs w:val="24"/>
        </w:rPr>
        <w:t>et al.</w:t>
      </w:r>
      <w:r w:rsidR="00EC15F5" w:rsidRPr="00E51082">
        <w:rPr>
          <w:noProof/>
          <w:sz w:val="24"/>
          <w:szCs w:val="24"/>
        </w:rPr>
        <w:t xml:space="preserve"> 2012; Morrell </w:t>
      </w:r>
      <w:r w:rsidR="00EC15F5" w:rsidRPr="00E51082">
        <w:rPr>
          <w:i/>
          <w:noProof/>
          <w:sz w:val="24"/>
          <w:szCs w:val="24"/>
        </w:rPr>
        <w:t>et al.</w:t>
      </w:r>
      <w:r w:rsidR="00EC15F5" w:rsidRPr="00E51082">
        <w:rPr>
          <w:noProof/>
          <w:sz w:val="24"/>
          <w:szCs w:val="24"/>
        </w:rPr>
        <w:t xml:space="preserve"> 2016)</w:t>
      </w:r>
      <w:r w:rsidRPr="00E51082">
        <w:rPr>
          <w:sz w:val="24"/>
          <w:szCs w:val="24"/>
        </w:rPr>
        <w:fldChar w:fldCharType="end"/>
      </w:r>
      <w:r w:rsidR="00E45BE3" w:rsidRPr="00E51082">
        <w:rPr>
          <w:sz w:val="24"/>
          <w:szCs w:val="24"/>
        </w:rPr>
        <w:t>.</w:t>
      </w:r>
      <w:r w:rsidRPr="00E51082">
        <w:rPr>
          <w:sz w:val="24"/>
          <w:szCs w:val="24"/>
        </w:rPr>
        <w:t xml:space="preserve"> We also performed SUR on a two-stage bootstrapped sample </w:t>
      </w:r>
      <w:r w:rsidR="005F1DE0" w:rsidRPr="00E51082">
        <w:rPr>
          <w:sz w:val="24"/>
          <w:szCs w:val="24"/>
        </w:rPr>
        <w:t xml:space="preserve">of cost and outcomes data </w:t>
      </w:r>
      <w:r w:rsidR="001D610E" w:rsidRPr="00E51082">
        <w:rPr>
          <w:sz w:val="24"/>
          <w:szCs w:val="24"/>
        </w:rPr>
        <w:t>(</w:t>
      </w:r>
      <w:r w:rsidRPr="00E51082">
        <w:rPr>
          <w:sz w:val="24"/>
          <w:szCs w:val="24"/>
        </w:rPr>
        <w:t>1000 replications</w:t>
      </w:r>
      <w:r w:rsidR="001D610E" w:rsidRPr="00E51082">
        <w:rPr>
          <w:sz w:val="24"/>
          <w:szCs w:val="24"/>
        </w:rPr>
        <w:t>)</w:t>
      </w:r>
      <w:r w:rsidRPr="00E51082">
        <w:rPr>
          <w:sz w:val="24"/>
          <w:szCs w:val="24"/>
        </w:rPr>
        <w:t xml:space="preserve"> to </w:t>
      </w:r>
      <w:r w:rsidRPr="00E51082">
        <w:rPr>
          <w:sz w:val="24"/>
          <w:szCs w:val="24"/>
        </w:rPr>
        <w:lastRenderedPageBreak/>
        <w:t>address potential issues of non-normality in distribution</w:t>
      </w:r>
      <w:r w:rsidR="001D610E" w:rsidRPr="00E51082">
        <w:rPr>
          <w:sz w:val="24"/>
          <w:szCs w:val="24"/>
        </w:rPr>
        <w:t>s</w:t>
      </w:r>
      <w:r w:rsidRPr="00E51082">
        <w:rPr>
          <w:sz w:val="24"/>
          <w:szCs w:val="24"/>
        </w:rPr>
        <w:t xml:space="preserve"> of cost</w:t>
      </w:r>
      <w:r w:rsidR="001D610E" w:rsidRPr="00E51082">
        <w:rPr>
          <w:sz w:val="24"/>
          <w:szCs w:val="24"/>
        </w:rPr>
        <w:t>s</w:t>
      </w:r>
      <w:r w:rsidRPr="00E51082">
        <w:rPr>
          <w:sz w:val="24"/>
          <w:szCs w:val="24"/>
        </w:rPr>
        <w:t xml:space="preserve"> and outcomes. </w:t>
      </w:r>
      <w:r w:rsidR="005F1DE0" w:rsidRPr="00E51082">
        <w:rPr>
          <w:sz w:val="24"/>
          <w:szCs w:val="24"/>
        </w:rPr>
        <w:t>Bootstrap sampling was</w:t>
      </w:r>
      <w:r w:rsidR="000A170A" w:rsidRPr="00E51082">
        <w:rPr>
          <w:sz w:val="24"/>
          <w:szCs w:val="24"/>
        </w:rPr>
        <w:t xml:space="preserve"> </w:t>
      </w:r>
      <w:r w:rsidR="005F1DE0" w:rsidRPr="00E51082">
        <w:rPr>
          <w:sz w:val="24"/>
          <w:szCs w:val="24"/>
        </w:rPr>
        <w:t>stratified</w:t>
      </w:r>
      <w:r w:rsidR="000A170A" w:rsidRPr="00E51082">
        <w:rPr>
          <w:sz w:val="24"/>
          <w:szCs w:val="24"/>
        </w:rPr>
        <w:t xml:space="preserve"> </w:t>
      </w:r>
      <w:r w:rsidR="00095563" w:rsidRPr="00E51082">
        <w:rPr>
          <w:sz w:val="24"/>
          <w:szCs w:val="24"/>
        </w:rPr>
        <w:t>by randomised group</w:t>
      </w:r>
      <w:r w:rsidR="000A170A" w:rsidRPr="00E51082">
        <w:rPr>
          <w:sz w:val="24"/>
          <w:szCs w:val="24"/>
        </w:rPr>
        <w:t>.</w:t>
      </w:r>
      <w:r w:rsidR="00095563" w:rsidRPr="00E51082">
        <w:rPr>
          <w:sz w:val="24"/>
          <w:szCs w:val="24"/>
        </w:rPr>
        <w:t xml:space="preserve"> </w:t>
      </w:r>
      <w:r w:rsidRPr="00E51082">
        <w:rPr>
          <w:sz w:val="24"/>
          <w:szCs w:val="24"/>
        </w:rPr>
        <w:t xml:space="preserve">The methods are presented as sensitivity analyses because </w:t>
      </w:r>
      <w:r w:rsidR="00FC082E" w:rsidRPr="00E51082">
        <w:rPr>
          <w:sz w:val="24"/>
          <w:szCs w:val="24"/>
        </w:rPr>
        <w:t>one</w:t>
      </w:r>
      <w:r w:rsidRPr="00E51082">
        <w:rPr>
          <w:sz w:val="24"/>
          <w:szCs w:val="24"/>
        </w:rPr>
        <w:t xml:space="preserve"> caveat to using </w:t>
      </w:r>
      <w:r w:rsidR="00095563" w:rsidRPr="00E51082">
        <w:rPr>
          <w:sz w:val="24"/>
          <w:szCs w:val="24"/>
        </w:rPr>
        <w:t>two-stage</w:t>
      </w:r>
      <w:r w:rsidRPr="00E51082">
        <w:rPr>
          <w:sz w:val="24"/>
          <w:szCs w:val="24"/>
        </w:rPr>
        <w:t xml:space="preserve"> </w:t>
      </w:r>
      <w:r w:rsidR="00F55C4B" w:rsidRPr="00E51082">
        <w:rPr>
          <w:sz w:val="24"/>
          <w:szCs w:val="24"/>
        </w:rPr>
        <w:t>bootstrapping</w:t>
      </w:r>
      <w:r w:rsidRPr="00E51082">
        <w:rPr>
          <w:sz w:val="24"/>
          <w:szCs w:val="24"/>
        </w:rPr>
        <w:t xml:space="preserve"> </w:t>
      </w:r>
      <w:r w:rsidR="00085F8E" w:rsidRPr="00E51082">
        <w:rPr>
          <w:sz w:val="24"/>
          <w:szCs w:val="24"/>
        </w:rPr>
        <w:t xml:space="preserve">is </w:t>
      </w:r>
      <w:r w:rsidRPr="00E51082">
        <w:rPr>
          <w:sz w:val="24"/>
          <w:szCs w:val="24"/>
        </w:rPr>
        <w:t>lower</w:t>
      </w:r>
      <w:r w:rsidR="00AB4BE3" w:rsidRPr="00E51082">
        <w:rPr>
          <w:sz w:val="24"/>
          <w:szCs w:val="24"/>
        </w:rPr>
        <w:t>-</w:t>
      </w:r>
      <w:r w:rsidRPr="00E51082">
        <w:rPr>
          <w:sz w:val="24"/>
          <w:szCs w:val="24"/>
        </w:rPr>
        <w:t>than</w:t>
      </w:r>
      <w:r w:rsidR="00AB4BE3" w:rsidRPr="00E51082">
        <w:rPr>
          <w:sz w:val="24"/>
          <w:szCs w:val="24"/>
        </w:rPr>
        <w:t>-</w:t>
      </w:r>
      <w:r w:rsidRPr="00E51082">
        <w:rPr>
          <w:sz w:val="24"/>
          <w:szCs w:val="24"/>
        </w:rPr>
        <w:t>nominal coverage probability</w:t>
      </w:r>
      <w:r w:rsidR="00E45BE3" w:rsidRPr="00E51082">
        <w:rPr>
          <w:sz w:val="24"/>
          <w:szCs w:val="24"/>
        </w:rPr>
        <w:t xml:space="preserve"> </w:t>
      </w:r>
      <w:r w:rsidRPr="00E51082">
        <w:rPr>
          <w:sz w:val="24"/>
          <w:szCs w:val="24"/>
        </w:rPr>
        <w:fldChar w:fldCharType="begin" w:fldLock="1"/>
      </w:r>
      <w:r w:rsidR="00706093">
        <w:rPr>
          <w:sz w:val="24"/>
          <w:szCs w:val="24"/>
        </w:rPr>
        <w:instrText>ADDIN CSL_CITATION {"citationItems":[{"id":"ITEM-1","itemData":{"DOI":"10.1177/0272989X11407341 0272989X11407341 [pii]","ISBN":"1552-681X (Electronic) 0272-989X (Linking)","ISSN":"0272-989X","PMID":"21610256","abstract":"INTRODUCTION: The best data for cost-effectiveness analyses (CEAs) of group-level interventions often come from cluster randomized trials (CRTs), where randomization is by cluster (e.g., the hospital attended), not by individual. METHODS: for these CEAs need to recognize both the correlation between costs and outcomes and that these data may be dependent on the cluster. General checklists and methodological guidance for critically appraising CEA ignore these issues. This article develops a new checklist and applies it in a systematic review of CEAs that use CRTs. METHODS: The authors developed a checklist for CEAs that use CRTs, informed by a conceptual review of statistical methods. This checklist included criteria such as whether the analysis allowed for both clustering and the correlation between individuals' costs and outcomes. The authors undertook a systematic literature review of full economic evaluations that used CRTs. The quality of studies was assessed with the new checklist and by the \"Drummond checklist.\" RESULTS: The authors identified 62 papers that met the inclusion criteria. On average, studies satisfied 9 of the 10 criteria for the checklist but only 20% of criteria for the new checklist. More than 40% of studies adopted statistical methods that completely ignored clustering, and 75% disregarded any correlation between costs and outcomes. Only 4 studies employed appropriate statistical methods that allowed for both clustering and correlation. CONCLUSIONS: Most economic evaluations that use data from CRTs ignored clustering or correlation. Statistical methods that address these issues are available, and their use should be encouraged. The new checklist can supplement generic CEA guidelines and highlight where research practice can be improved.","author":[{"dropping-particle":"","family":"Gomes","given":"M","non-dropping-particle":"","parse-names":false,"suffix":""},{"dropping-particle":"","family":"Grieve","given":"R","non-dropping-particle":"","parse-names":false,"suffix":""},{"dropping-particle":"","family":"Nixon","given":"R","non-dropping-particle":"","parse-names":false,"suffix":""},{"dropping-particle":"","family":"Edmunds","given":"W J","non-dropping-particle":"","parse-names":false,"suffix":""}],"container-title":"Medical Decision Making","edition":"2011/05/26","id":"ITEM-1","issue":"1","issued":{"date-parts":[["2012"]]},"language":"eng","note":"Gomes, Manuel\nGrieve, Richard\nNixon, Richard\nEdmunds, W J\nResearch Support, Non-U.S. Gov't\nReview\nUnited States\nMedical decision making : an international journal of the Society for Medical Decision Making\nMed Decis Making. 2012 Jan-Feb;32(1):209-20. doi: 10.1177/0272989X11407341. Epub 2011 May 24.","page":"209-220","title":"Statistical methods for cost-effectiveness analyses that use data from cluster randomized trials: a systematic review and checklist for critical appraisal","type":"article-journal","volume":"32"},"uris":["http://www.mendeley.com/documents/?uuid=15186194-4272-40d4-89ad-e7059de82be6"]}],"mendeley":{"formattedCitation":"(Gomes &lt;i&gt;et al.&lt;/i&gt; 2012a)","plainTextFormattedCitation":"(Gomes et al. 2012a)","previouslyFormattedCitation":"(Gomes &lt;i&gt;et al.&lt;/i&gt; 2012a)"},"properties":{"noteIndex":0},"schema":"https://github.com/citation-style-language/schema/raw/master/csl-citation.json"}</w:instrText>
      </w:r>
      <w:r w:rsidRPr="00E51082">
        <w:rPr>
          <w:sz w:val="24"/>
          <w:szCs w:val="24"/>
        </w:rPr>
        <w:fldChar w:fldCharType="separate"/>
      </w:r>
      <w:r w:rsidR="00EC15F5" w:rsidRPr="00E51082">
        <w:rPr>
          <w:noProof/>
          <w:sz w:val="24"/>
          <w:szCs w:val="24"/>
        </w:rPr>
        <w:t xml:space="preserve">(Gomes </w:t>
      </w:r>
      <w:r w:rsidR="00EC15F5" w:rsidRPr="00E51082">
        <w:rPr>
          <w:i/>
          <w:noProof/>
          <w:sz w:val="24"/>
          <w:szCs w:val="24"/>
        </w:rPr>
        <w:t>et al.</w:t>
      </w:r>
      <w:r w:rsidR="00EC15F5" w:rsidRPr="00E51082">
        <w:rPr>
          <w:noProof/>
          <w:sz w:val="24"/>
          <w:szCs w:val="24"/>
        </w:rPr>
        <w:t xml:space="preserve"> 2012a)</w:t>
      </w:r>
      <w:r w:rsidRPr="00E51082">
        <w:rPr>
          <w:sz w:val="24"/>
          <w:szCs w:val="24"/>
        </w:rPr>
        <w:fldChar w:fldCharType="end"/>
      </w:r>
      <w:r w:rsidR="00E45BE3" w:rsidRPr="00E51082">
        <w:rPr>
          <w:sz w:val="24"/>
          <w:szCs w:val="24"/>
        </w:rPr>
        <w:t>.</w:t>
      </w:r>
      <w:r w:rsidRPr="00E51082">
        <w:rPr>
          <w:sz w:val="24"/>
          <w:szCs w:val="24"/>
        </w:rPr>
        <w:t xml:space="preserve"> To </w:t>
      </w:r>
      <w:r w:rsidR="008F761A" w:rsidRPr="00E51082">
        <w:rPr>
          <w:sz w:val="24"/>
          <w:szCs w:val="24"/>
        </w:rPr>
        <w:t>examine</w:t>
      </w:r>
      <w:r w:rsidRPr="00E51082">
        <w:rPr>
          <w:sz w:val="24"/>
          <w:szCs w:val="24"/>
        </w:rPr>
        <w:t xml:space="preserve"> impact of missing cases on 6-month results, we created</w:t>
      </w:r>
      <w:r w:rsidR="00755AFE" w:rsidRPr="00E51082">
        <w:rPr>
          <w:sz w:val="24"/>
          <w:szCs w:val="24"/>
        </w:rPr>
        <w:t xml:space="preserve"> </w:t>
      </w:r>
      <w:r w:rsidR="007B2FDE" w:rsidRPr="00E51082">
        <w:rPr>
          <w:sz w:val="24"/>
          <w:szCs w:val="24"/>
        </w:rPr>
        <w:t xml:space="preserve">ten </w:t>
      </w:r>
      <w:r w:rsidR="00755AFE" w:rsidRPr="00E51082">
        <w:rPr>
          <w:sz w:val="24"/>
          <w:szCs w:val="24"/>
        </w:rPr>
        <w:t xml:space="preserve">complete datasets generated by </w:t>
      </w:r>
      <w:r w:rsidRPr="00E51082">
        <w:rPr>
          <w:sz w:val="24"/>
          <w:szCs w:val="24"/>
        </w:rPr>
        <w:t>multilevel multiple</w:t>
      </w:r>
      <w:r w:rsidR="001D610E" w:rsidRPr="00E51082">
        <w:rPr>
          <w:sz w:val="24"/>
          <w:szCs w:val="24"/>
        </w:rPr>
        <w:t>-</w:t>
      </w:r>
      <w:r w:rsidRPr="00E51082">
        <w:rPr>
          <w:sz w:val="24"/>
          <w:szCs w:val="24"/>
        </w:rPr>
        <w:t xml:space="preserve">imputation models, </w:t>
      </w:r>
      <w:r w:rsidR="00AB4BE3" w:rsidRPr="00E51082">
        <w:rPr>
          <w:sz w:val="24"/>
          <w:szCs w:val="24"/>
        </w:rPr>
        <w:t xml:space="preserve">and </w:t>
      </w:r>
      <w:r w:rsidRPr="00E51082">
        <w:rPr>
          <w:sz w:val="24"/>
          <w:szCs w:val="24"/>
        </w:rPr>
        <w:t>r</w:t>
      </w:r>
      <w:r w:rsidR="00AB4BE3" w:rsidRPr="00E51082">
        <w:rPr>
          <w:sz w:val="24"/>
          <w:szCs w:val="24"/>
        </w:rPr>
        <w:t>a</w:t>
      </w:r>
      <w:r w:rsidRPr="00E51082">
        <w:rPr>
          <w:sz w:val="24"/>
          <w:szCs w:val="24"/>
        </w:rPr>
        <w:t xml:space="preserve">n </w:t>
      </w:r>
      <w:r w:rsidR="00AB4BE3" w:rsidRPr="00E51082">
        <w:rPr>
          <w:sz w:val="24"/>
          <w:szCs w:val="24"/>
        </w:rPr>
        <w:t xml:space="preserve">them </w:t>
      </w:r>
      <w:r w:rsidRPr="00E51082">
        <w:rPr>
          <w:sz w:val="24"/>
          <w:szCs w:val="24"/>
        </w:rPr>
        <w:t xml:space="preserve">separately for control and intervention groups </w:t>
      </w:r>
      <w:r w:rsidR="00085F8E" w:rsidRPr="00E51082">
        <w:rPr>
          <w:sz w:val="24"/>
          <w:szCs w:val="24"/>
        </w:rPr>
        <w:t xml:space="preserve">as </w:t>
      </w:r>
      <w:r w:rsidR="001D610E" w:rsidRPr="00E51082">
        <w:rPr>
          <w:sz w:val="24"/>
          <w:szCs w:val="24"/>
        </w:rPr>
        <w:t xml:space="preserve">previously </w:t>
      </w:r>
      <w:r w:rsidR="00085F8E" w:rsidRPr="00E51082">
        <w:rPr>
          <w:sz w:val="24"/>
          <w:szCs w:val="24"/>
        </w:rPr>
        <w:t>recommended</w:t>
      </w:r>
      <w:r w:rsidR="00E45BE3" w:rsidRPr="00E51082">
        <w:rPr>
          <w:sz w:val="24"/>
          <w:szCs w:val="24"/>
        </w:rPr>
        <w:t xml:space="preserve"> </w:t>
      </w:r>
      <w:r w:rsidRPr="00E51082">
        <w:rPr>
          <w:sz w:val="24"/>
          <w:szCs w:val="24"/>
        </w:rPr>
        <w:fldChar w:fldCharType="begin" w:fldLock="1"/>
      </w:r>
      <w:r w:rsidR="00706093">
        <w:rPr>
          <w:sz w:val="24"/>
          <w:szCs w:val="24"/>
        </w:rPr>
        <w:instrText>ADDIN CSL_CITATION {"citationItems":[{"id":"ITEM-1","itemData":{"DOI":"10.1177/0272989X13492203","ISBN":"1552-681X (Electronic) 0272-989X (Linking)","ISSN":"0272-989X","PMID":"23913915","abstract":"PURPOSE Multiple imputation (MI) has been proposed for handling missing data in cost-effectiveness analyses (CEAs). In CEAs that use cluster randomized trials (CRTs), the imputation model, like the analysis model, should recognize the hierarchical structure of the data. This paper contrasts a multilevel MI approach that recognizes clustering, with single-level MI and complete case analysis (CCA) in CEAs that use CRTs. METHODS We consider a multilevel MI approach compatible with multilevel analytical models for CEAs that use CRTs. We took fully observed data from a CEA that evaluated an intervention to improve diagnosis of active labor in primiparous women using a CRT (2078 patients, 14 clusters). We generated scenarios with missing costs and outcomes that differed, for example, according to the proportion with missing data (10%-50%), the covariates that predicted missing data (individual, cluster-level), and the missingness mechanism: missing completely at random (MCAR), missing at random (MAR), or missing not at random (MNAR). We estimated incremental net benefits (INBs) for each approach and compared them with the estimates from the fully observed data, the \"true\" INBs. RESULTS When costs and outcomes were assumed to be MCAR, the INBs for each approach were similar to the true estimates. When data were MAR, the point estimates from the CCA differed from the true estimates. Multilevel MI provided point estimates and standard errors closer to the true values than did single-level MI across all settings, including those in which a high proportion of observations had cost and outcome data MAR and when data were MNAR. CONCLUSIONS Multilevel MI accommodates the multilevel structure of the data in CEAs that use cluster trials and provides accurate cost-effectiveness estimates across the range of circumstances considered.","author":[{"dropping-particle":"","family":"Gomes","given":"Manuel","non-dropping-particle":"","parse-names":false,"suffix":""},{"dropping-particle":"","family":"Díaz-Ordaz","given":"Karla","non-dropping-particle":"","parse-names":false,"suffix":""},{"dropping-particle":"","family":"Grieve","given":"Richard","non-dropping-particle":"","parse-names":false,"suffix":""},{"dropping-particle":"","family":"Kenward","given":"Michael G.","non-dropping-particle":"","parse-names":false,"suffix":""}],"container-title":"Medical Decision Making","id":"ITEM-1","issue":"8","issued":{"date-parts":[["2013","11"]]},"page":"1051-1063","title":"Multiple imputation methods for handling missing data in cost-effectiveness analyses that use data from hierarchical studies: an application to cluster randomized trials","type":"article-journal","volume":"33"},"uris":["http://www.mendeley.com/documents/?uuid=072711dc-a37c-3201-b4f5-3089583ab99d"]}],"mendeley":{"formattedCitation":"(Gomes &lt;i&gt;et al.&lt;/i&gt; 2013)","plainTextFormattedCitation":"(Gomes et al. 2013)","previouslyFormattedCitation":"(Gomes &lt;i&gt;et al.&lt;/i&gt; 2013)"},"properties":{"noteIndex":0},"schema":"https://github.com/citation-style-language/schema/raw/master/csl-citation.json"}</w:instrText>
      </w:r>
      <w:r w:rsidRPr="00E51082">
        <w:rPr>
          <w:sz w:val="24"/>
          <w:szCs w:val="24"/>
        </w:rPr>
        <w:fldChar w:fldCharType="separate"/>
      </w:r>
      <w:r w:rsidR="00E45BE3" w:rsidRPr="00E51082">
        <w:rPr>
          <w:noProof/>
          <w:sz w:val="24"/>
          <w:szCs w:val="24"/>
        </w:rPr>
        <w:t xml:space="preserve">(Gomes </w:t>
      </w:r>
      <w:r w:rsidR="00E45BE3" w:rsidRPr="00E51082">
        <w:rPr>
          <w:i/>
          <w:noProof/>
          <w:sz w:val="24"/>
          <w:szCs w:val="24"/>
        </w:rPr>
        <w:t>et al.</w:t>
      </w:r>
      <w:r w:rsidR="00E45BE3" w:rsidRPr="00E51082">
        <w:rPr>
          <w:noProof/>
          <w:sz w:val="24"/>
          <w:szCs w:val="24"/>
        </w:rPr>
        <w:t xml:space="preserve"> 2013)</w:t>
      </w:r>
      <w:r w:rsidRPr="00E51082">
        <w:rPr>
          <w:sz w:val="24"/>
          <w:szCs w:val="24"/>
        </w:rPr>
        <w:fldChar w:fldCharType="end"/>
      </w:r>
      <w:r w:rsidR="00E45BE3" w:rsidRPr="00E51082">
        <w:rPr>
          <w:sz w:val="24"/>
          <w:szCs w:val="24"/>
        </w:rPr>
        <w:t>.</w:t>
      </w:r>
      <w:r w:rsidRPr="00E51082">
        <w:rPr>
          <w:sz w:val="24"/>
          <w:szCs w:val="24"/>
        </w:rPr>
        <w:t xml:space="preserve"> </w:t>
      </w:r>
      <w:r w:rsidR="001D610E" w:rsidRPr="00E51082">
        <w:rPr>
          <w:sz w:val="24"/>
          <w:szCs w:val="24"/>
        </w:rPr>
        <w:t>M</w:t>
      </w:r>
      <w:r w:rsidRPr="00E51082">
        <w:rPr>
          <w:sz w:val="24"/>
          <w:szCs w:val="24"/>
        </w:rPr>
        <w:t xml:space="preserve">odels included regressors used in the </w:t>
      </w:r>
      <w:r w:rsidR="00095563" w:rsidRPr="00E51082">
        <w:rPr>
          <w:sz w:val="24"/>
          <w:szCs w:val="24"/>
        </w:rPr>
        <w:t xml:space="preserve">cost-effectiveness </w:t>
      </w:r>
      <w:r w:rsidRPr="00E51082">
        <w:rPr>
          <w:sz w:val="24"/>
          <w:szCs w:val="24"/>
        </w:rPr>
        <w:t xml:space="preserve">analyses and other </w:t>
      </w:r>
      <w:r w:rsidR="00085F8E" w:rsidRPr="00E51082">
        <w:rPr>
          <w:sz w:val="24"/>
          <w:szCs w:val="24"/>
        </w:rPr>
        <w:t xml:space="preserve">baseline </w:t>
      </w:r>
      <w:r w:rsidRPr="00E51082">
        <w:rPr>
          <w:sz w:val="24"/>
          <w:szCs w:val="24"/>
        </w:rPr>
        <w:t>factors that predicted missing data on costs and outcomes (</w:t>
      </w:r>
      <w:r w:rsidR="00755AFE" w:rsidRPr="00E51082">
        <w:rPr>
          <w:sz w:val="24"/>
          <w:szCs w:val="24"/>
        </w:rPr>
        <w:t xml:space="preserve">feeding method, </w:t>
      </w:r>
      <w:r w:rsidRPr="00E51082">
        <w:rPr>
          <w:sz w:val="24"/>
          <w:szCs w:val="24"/>
        </w:rPr>
        <w:t>receipt of benefits</w:t>
      </w:r>
      <w:r w:rsidR="00AB4BE3" w:rsidRPr="00E51082">
        <w:rPr>
          <w:sz w:val="24"/>
          <w:szCs w:val="24"/>
        </w:rPr>
        <w:t>,</w:t>
      </w:r>
      <w:r w:rsidRPr="00E51082">
        <w:rPr>
          <w:sz w:val="24"/>
          <w:szCs w:val="24"/>
        </w:rPr>
        <w:t xml:space="preserve"> age of leaving full-time education</w:t>
      </w:r>
      <w:r w:rsidR="004E168D" w:rsidRPr="00E51082">
        <w:rPr>
          <w:sz w:val="24"/>
          <w:szCs w:val="24"/>
        </w:rPr>
        <w:t>)</w:t>
      </w:r>
      <w:r w:rsidRPr="00E51082">
        <w:rPr>
          <w:sz w:val="24"/>
          <w:szCs w:val="24"/>
        </w:rPr>
        <w:t>. Continuous variables were imputed by predictive mean</w:t>
      </w:r>
      <w:r w:rsidR="00AB4BE3" w:rsidRPr="00E51082">
        <w:rPr>
          <w:sz w:val="24"/>
          <w:szCs w:val="24"/>
        </w:rPr>
        <w:t>-</w:t>
      </w:r>
      <w:r w:rsidRPr="00E51082">
        <w:rPr>
          <w:sz w:val="24"/>
          <w:szCs w:val="24"/>
        </w:rPr>
        <w:t xml:space="preserve">matching and dichotomous variables were imputed by logistic regression. </w:t>
      </w:r>
      <w:r w:rsidR="00100A0D" w:rsidRPr="00E51082">
        <w:rPr>
          <w:sz w:val="24"/>
          <w:szCs w:val="24"/>
        </w:rPr>
        <w:t>Multilevel i</w:t>
      </w:r>
      <w:r w:rsidRPr="00E51082">
        <w:rPr>
          <w:sz w:val="24"/>
          <w:szCs w:val="24"/>
        </w:rPr>
        <w:t xml:space="preserve">mputation was implemented </w:t>
      </w:r>
      <w:r w:rsidR="005E545D" w:rsidRPr="00E51082">
        <w:rPr>
          <w:sz w:val="24"/>
          <w:szCs w:val="24"/>
        </w:rPr>
        <w:t>by</w:t>
      </w:r>
      <w:r w:rsidR="007D1987" w:rsidRPr="00E51082">
        <w:rPr>
          <w:sz w:val="24"/>
          <w:szCs w:val="24"/>
        </w:rPr>
        <w:t xml:space="preserve"> chained equations </w:t>
      </w:r>
      <w:r w:rsidRPr="00E51082">
        <w:rPr>
          <w:sz w:val="24"/>
          <w:szCs w:val="24"/>
        </w:rPr>
        <w:t>using the</w:t>
      </w:r>
      <w:r w:rsidR="00AB78B9" w:rsidRPr="00E51082">
        <w:rPr>
          <w:sz w:val="24"/>
          <w:szCs w:val="24"/>
        </w:rPr>
        <w:t xml:space="preserve"> </w:t>
      </w:r>
      <w:r w:rsidRPr="00E51082">
        <w:rPr>
          <w:i/>
          <w:sz w:val="24"/>
          <w:szCs w:val="24"/>
        </w:rPr>
        <w:t>mice</w:t>
      </w:r>
      <w:r w:rsidR="00FA13C9" w:rsidRPr="00E51082">
        <w:rPr>
          <w:i/>
          <w:sz w:val="24"/>
          <w:szCs w:val="24"/>
        </w:rPr>
        <w:t xml:space="preserve"> </w:t>
      </w:r>
      <w:r w:rsidRPr="00E51082">
        <w:rPr>
          <w:sz w:val="24"/>
          <w:szCs w:val="24"/>
        </w:rPr>
        <w:fldChar w:fldCharType="begin" w:fldLock="1"/>
      </w:r>
      <w:r w:rsidR="00706093">
        <w:rPr>
          <w:sz w:val="24"/>
          <w:szCs w:val="24"/>
        </w:rPr>
        <w:instrText>ADDIN CSL_CITATION {"citationItems":[{"id":"ITEM-1","itemData":{"DOI":"10.18637/jss.v045.i03","ISBN":"9067436771","ISSN":"1548-7660","PMID":"22289957","abstract":"The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2.9, which extends the functionality of mice 1.0 in several ways. In mice 2.9, the analysis of imputed data is made completely general, whereas the range ofmodels under which pooling works is substantially extended. mice 2.9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2.9 can be downloaded from the Comprehensive R Archive Network. This article provides a hands-on, stepwise approach to solve applied incomplete data problems.","author":[{"dropping-particle":"van","family":"Buuren","given":"Stef","non-dropping-particle":"","parse-names":false,"suffix":""},{"dropping-particle":"","family":"Groothuis-Oudshoorn","given":"Karin","non-dropping-particle":"","parse-names":false,"suffix":""}],"container-title":"Journal of Statistical Software","id":"ITEM-1","issue":"3","issued":{"date-parts":[["2011"]]},"page":"1-67","title":"&lt;b&gt;mice&lt;/b&gt; : Multivariate Imputation by Chained Equations in &lt;i&gt;R&lt;/i&gt;","type":"article-journal","volume":"45"},"uris":["http://www.mendeley.com/documents/?uuid=be904cfd-fd34-376e-9625-e52d59328858"]}],"mendeley":{"formattedCitation":"(Buuren &amp; Groothuis-Oudshoorn 2011)","plainTextFormattedCitation":"(Buuren &amp; Groothuis-Oudshoorn 2011)","previouslyFormattedCitation":"(Buuren &amp; Groothuis-Oudshoorn 2011)"},"properties":{"noteIndex":0},"schema":"https://github.com/citation-style-language/schema/raw/master/csl-citation.json"}</w:instrText>
      </w:r>
      <w:r w:rsidRPr="00E51082">
        <w:rPr>
          <w:sz w:val="24"/>
          <w:szCs w:val="24"/>
        </w:rPr>
        <w:fldChar w:fldCharType="separate"/>
      </w:r>
      <w:r w:rsidR="00EC15F5" w:rsidRPr="00E51082">
        <w:rPr>
          <w:noProof/>
          <w:sz w:val="24"/>
          <w:szCs w:val="24"/>
        </w:rPr>
        <w:t>(Buuren &amp; Groothuis-Oudshoorn 2011)</w:t>
      </w:r>
      <w:r w:rsidRPr="00E51082">
        <w:rPr>
          <w:sz w:val="24"/>
          <w:szCs w:val="24"/>
        </w:rPr>
        <w:fldChar w:fldCharType="end"/>
      </w:r>
      <w:r w:rsidRPr="00E51082">
        <w:rPr>
          <w:sz w:val="24"/>
          <w:szCs w:val="24"/>
        </w:rPr>
        <w:t xml:space="preserve"> and </w:t>
      </w:r>
      <w:r w:rsidR="00D92465" w:rsidRPr="00E51082">
        <w:rPr>
          <w:i/>
          <w:sz w:val="24"/>
          <w:szCs w:val="24"/>
        </w:rPr>
        <w:t xml:space="preserve">miceadds </w:t>
      </w:r>
      <w:r w:rsidR="00BC3676" w:rsidRPr="00E51082">
        <w:rPr>
          <w:i/>
          <w:sz w:val="24"/>
          <w:szCs w:val="24"/>
        </w:rPr>
        <w:fldChar w:fldCharType="begin" w:fldLock="1"/>
      </w:r>
      <w:r w:rsidR="00706093">
        <w:rPr>
          <w:i/>
          <w:sz w:val="24"/>
          <w:szCs w:val="24"/>
        </w:rPr>
        <w:instrText>ADDIN CSL_CITATION {"citationItems":[{"id":"ITEM-1","itemData":{"author":[{"dropping-particle":"","family":"Robitzsch","given":"A","non-dropping-particle":"","parse-names":false,"suffix":""},{"dropping-particle":"","family":"Grund","given":"S","non-dropping-particle":"","parse-names":false,"suffix":""},{"dropping-particle":"","family":"Henke","given":"T","non-dropping-particle":"","parse-names":false,"suffix":""}],"id":"ITEM-1","issued":{"date-parts":[["2016"]]},"title":"Some additional multiple imputation functions, especially for mice (Version 2.1-0)","type":"article"},"uris":["http://www.mendeley.com/documents/?uuid=4db03b73-4d49-430c-b3d7-5e7ff157e6ac"]}],"mendeley":{"formattedCitation":"(Robitzsch &lt;i&gt;et al.&lt;/i&gt; 2016)","plainTextFormattedCitation":"(Robitzsch et al. 2016)","previouslyFormattedCitation":"(Robitzsch &lt;i&gt;et al.&lt;/i&gt; 2016)"},"properties":{"noteIndex":0},"schema":"https://github.com/citation-style-language/schema/raw/master/csl-citation.json"}</w:instrText>
      </w:r>
      <w:r w:rsidR="00BC3676" w:rsidRPr="00E51082">
        <w:rPr>
          <w:i/>
          <w:sz w:val="24"/>
          <w:szCs w:val="24"/>
        </w:rPr>
        <w:fldChar w:fldCharType="separate"/>
      </w:r>
      <w:r w:rsidR="00BC3676" w:rsidRPr="00E51082">
        <w:rPr>
          <w:noProof/>
          <w:sz w:val="24"/>
          <w:szCs w:val="24"/>
        </w:rPr>
        <w:t xml:space="preserve">(Robitzsch </w:t>
      </w:r>
      <w:r w:rsidR="00BC3676" w:rsidRPr="00E51082">
        <w:rPr>
          <w:i/>
          <w:noProof/>
          <w:sz w:val="24"/>
          <w:szCs w:val="24"/>
        </w:rPr>
        <w:t>et al.</w:t>
      </w:r>
      <w:r w:rsidR="00BC3676" w:rsidRPr="00E51082">
        <w:rPr>
          <w:noProof/>
          <w:sz w:val="24"/>
          <w:szCs w:val="24"/>
        </w:rPr>
        <w:t xml:space="preserve"> 2016)</w:t>
      </w:r>
      <w:r w:rsidR="00BC3676" w:rsidRPr="00E51082">
        <w:rPr>
          <w:i/>
          <w:sz w:val="24"/>
          <w:szCs w:val="24"/>
        </w:rPr>
        <w:fldChar w:fldCharType="end"/>
      </w:r>
      <w:r w:rsidR="00BC3676" w:rsidRPr="00E51082">
        <w:rPr>
          <w:i/>
          <w:sz w:val="24"/>
          <w:szCs w:val="24"/>
        </w:rPr>
        <w:t xml:space="preserve"> </w:t>
      </w:r>
      <w:r w:rsidRPr="00E51082">
        <w:rPr>
          <w:sz w:val="24"/>
          <w:szCs w:val="24"/>
        </w:rPr>
        <w:t>packages in R</w:t>
      </w:r>
      <w:r w:rsidR="007D1987" w:rsidRPr="00E51082">
        <w:rPr>
          <w:sz w:val="24"/>
          <w:szCs w:val="24"/>
        </w:rPr>
        <w:t xml:space="preserve"> </w:t>
      </w:r>
      <w:r w:rsidR="006D1478" w:rsidRPr="00E51082">
        <w:rPr>
          <w:sz w:val="24"/>
          <w:szCs w:val="24"/>
        </w:rPr>
        <w:t>statistical software</w:t>
      </w:r>
      <w:r w:rsidR="00BC3676" w:rsidRPr="00E51082">
        <w:rPr>
          <w:sz w:val="24"/>
          <w:szCs w:val="24"/>
        </w:rPr>
        <w:t xml:space="preserve"> </w:t>
      </w:r>
      <w:r w:rsidR="00E766C8" w:rsidRPr="00E51082">
        <w:rPr>
          <w:sz w:val="24"/>
          <w:szCs w:val="24"/>
        </w:rPr>
        <w:fldChar w:fldCharType="begin" w:fldLock="1"/>
      </w:r>
      <w:r w:rsidR="00706093">
        <w:rPr>
          <w:sz w:val="24"/>
          <w:szCs w:val="24"/>
        </w:rPr>
        <w:instrText>ADDIN CSL_CITATION {"citationItems":[{"id":"ITEM-1","itemData":{"author":[{"dropping-particle":"","family":"R Core Team","given":"","non-dropping-particle":"","parse-names":false,"suffix":""}],"id":"ITEM-1","issued":{"date-parts":[["2016"]]},"publisher":"R Foundation for Statistical Computing","publisher-place":"Vienna, Austria","title":"R: A language and environment for statistical computing","type":"article"},"uris":["http://www.mendeley.com/documents/?uuid=c3a61203-3406-4195-9776-6404568e4d47"]}],"mendeley":{"formattedCitation":"(R Core Team 2016)","plainTextFormattedCitation":"(R Core Team 2016)","previouslyFormattedCitation":"(R Core Team 2016)"},"properties":{"noteIndex":0},"schema":"https://github.com/citation-style-language/schema/raw/master/csl-citation.json"}</w:instrText>
      </w:r>
      <w:r w:rsidR="00E766C8" w:rsidRPr="00E51082">
        <w:rPr>
          <w:sz w:val="24"/>
          <w:szCs w:val="24"/>
        </w:rPr>
        <w:fldChar w:fldCharType="separate"/>
      </w:r>
      <w:r w:rsidR="00EC15F5" w:rsidRPr="00E51082">
        <w:rPr>
          <w:noProof/>
          <w:sz w:val="24"/>
          <w:szCs w:val="24"/>
        </w:rPr>
        <w:t>(R Core Team 2016)</w:t>
      </w:r>
      <w:r w:rsidR="00E766C8" w:rsidRPr="00E51082">
        <w:rPr>
          <w:sz w:val="24"/>
          <w:szCs w:val="24"/>
        </w:rPr>
        <w:fldChar w:fldCharType="end"/>
      </w:r>
      <w:r w:rsidR="00BC3676" w:rsidRPr="00E51082">
        <w:rPr>
          <w:sz w:val="24"/>
          <w:szCs w:val="24"/>
        </w:rPr>
        <w:t>.</w:t>
      </w:r>
      <w:r w:rsidR="007B2FDE" w:rsidRPr="00E51082">
        <w:rPr>
          <w:sz w:val="24"/>
          <w:szCs w:val="24"/>
        </w:rPr>
        <w:t xml:space="preserve"> Results of the </w:t>
      </w:r>
      <w:r w:rsidR="00441CF0" w:rsidRPr="00E51082">
        <w:rPr>
          <w:sz w:val="24"/>
          <w:szCs w:val="24"/>
        </w:rPr>
        <w:t>SUR</w:t>
      </w:r>
      <w:r w:rsidR="007B2FDE" w:rsidRPr="00E51082">
        <w:rPr>
          <w:sz w:val="24"/>
          <w:szCs w:val="24"/>
        </w:rPr>
        <w:t xml:space="preserve"> </w:t>
      </w:r>
      <w:r w:rsidR="00441CF0" w:rsidRPr="00E51082">
        <w:rPr>
          <w:sz w:val="24"/>
          <w:szCs w:val="24"/>
        </w:rPr>
        <w:t xml:space="preserve">from </w:t>
      </w:r>
      <w:r w:rsidR="007B2FDE" w:rsidRPr="00E51082">
        <w:rPr>
          <w:sz w:val="24"/>
          <w:szCs w:val="24"/>
        </w:rPr>
        <w:t xml:space="preserve">each </w:t>
      </w:r>
      <w:r w:rsidR="00DE1259" w:rsidRPr="00E51082">
        <w:rPr>
          <w:sz w:val="24"/>
          <w:szCs w:val="24"/>
        </w:rPr>
        <w:t xml:space="preserve">of the ten </w:t>
      </w:r>
      <w:r w:rsidR="007B2FDE" w:rsidRPr="00E51082">
        <w:rPr>
          <w:sz w:val="24"/>
          <w:szCs w:val="24"/>
        </w:rPr>
        <w:t>complete dataset</w:t>
      </w:r>
      <w:r w:rsidR="00DE1259" w:rsidRPr="00E51082">
        <w:rPr>
          <w:sz w:val="24"/>
          <w:szCs w:val="24"/>
        </w:rPr>
        <w:t>s</w:t>
      </w:r>
      <w:r w:rsidR="007B2FDE" w:rsidRPr="00E51082">
        <w:rPr>
          <w:sz w:val="24"/>
          <w:szCs w:val="24"/>
        </w:rPr>
        <w:t xml:space="preserve"> were combined </w:t>
      </w:r>
      <w:r w:rsidR="00441CF0" w:rsidRPr="00E51082">
        <w:rPr>
          <w:sz w:val="24"/>
          <w:szCs w:val="24"/>
        </w:rPr>
        <w:t xml:space="preserve">in Stata </w:t>
      </w:r>
      <w:r w:rsidR="007B2FDE" w:rsidRPr="00E51082">
        <w:rPr>
          <w:sz w:val="24"/>
          <w:szCs w:val="24"/>
        </w:rPr>
        <w:t>using Rubin’s rules</w:t>
      </w:r>
      <w:r w:rsidR="0033433B" w:rsidRPr="00E51082">
        <w:rPr>
          <w:sz w:val="24"/>
          <w:szCs w:val="24"/>
        </w:rPr>
        <w:t xml:space="preserve"> </w:t>
      </w:r>
      <w:r w:rsidR="0033433B" w:rsidRPr="00E51082">
        <w:rPr>
          <w:sz w:val="24"/>
          <w:szCs w:val="24"/>
        </w:rPr>
        <w:fldChar w:fldCharType="begin" w:fldLock="1"/>
      </w:r>
      <w:r w:rsidR="00706093">
        <w:rPr>
          <w:sz w:val="24"/>
          <w:szCs w:val="24"/>
        </w:rPr>
        <w:instrText>ADDIN CSL_CITATION {"citationItems":[{"id":"ITEM-1","itemData":{"ISBN":"047108705X","author":[{"dropping-particle":"","family":"Rubin","given":"Donald B","non-dropping-particle":"","parse-names":false,"suffix":""}],"id":"ITEM-1","issued":{"date-parts":[["1987"]]},"note":"Donald B. Rubin.\nWiley series in probability and mathematical statistics.","number-of-pages":"xxix, 258p.","publisher":"Wiley","publisher-place":"New York; Chichester","title":"Multiple imputation for nonresponse in surveys","type":"book"},"uris":["http://www.mendeley.com/documents/?uuid=dd347f73-8f03-49b5-8d8a-dcc15ab3570b"]},{"id":"ITEM-2","itemData":{"author":[{"dropping-particle":"","family":"StataCorp","given":"","non-dropping-particle":"","parse-names":false,"suffix":""}],"id":"ITEM-2","issued":{"date-parts":[["2015"]]},"publisher":"StataCorp LP","publisher-place":"College Station,Texas","title":"Stata Statistical Software: Release 14 SE","type":"article"},"uris":["http://www.mendeley.com/documents/?uuid=39933244-42fc-4bc0-9787-41b6c36c509f"]}],"mendeley":{"formattedCitation":"(Rubin 1987; StataCorp 2015)","plainTextFormattedCitation":"(Rubin 1987; StataCorp 2015)","previouslyFormattedCitation":"(Rubin 1987; StataCorp 2015)"},"properties":{"noteIndex":0},"schema":"https://github.com/citation-style-language/schema/raw/master/csl-citation.json"}</w:instrText>
      </w:r>
      <w:r w:rsidR="0033433B" w:rsidRPr="00E51082">
        <w:rPr>
          <w:sz w:val="24"/>
          <w:szCs w:val="24"/>
        </w:rPr>
        <w:fldChar w:fldCharType="separate"/>
      </w:r>
      <w:r w:rsidR="00A26B86" w:rsidRPr="00E51082">
        <w:rPr>
          <w:noProof/>
          <w:sz w:val="24"/>
          <w:szCs w:val="24"/>
        </w:rPr>
        <w:t>(Rubin 1987; StataCorp 2015)</w:t>
      </w:r>
      <w:r w:rsidR="0033433B" w:rsidRPr="00E51082">
        <w:rPr>
          <w:sz w:val="24"/>
          <w:szCs w:val="24"/>
        </w:rPr>
        <w:fldChar w:fldCharType="end"/>
      </w:r>
      <w:r w:rsidR="00DA2851" w:rsidRPr="00E51082">
        <w:rPr>
          <w:sz w:val="24"/>
          <w:szCs w:val="24"/>
        </w:rPr>
        <w:t>.</w:t>
      </w:r>
    </w:p>
    <w:p w14:paraId="3027BEB8" w14:textId="1537AED1" w:rsidR="00FE1663" w:rsidRPr="00AB2C35" w:rsidRDefault="00FE1663" w:rsidP="00AB2C35">
      <w:pPr>
        <w:pStyle w:val="Heading1"/>
      </w:pPr>
      <w:r w:rsidRPr="00AB2C35">
        <w:t>R</w:t>
      </w:r>
      <w:r w:rsidR="00E7711B" w:rsidRPr="00AB2C35">
        <w:t>esults</w:t>
      </w:r>
    </w:p>
    <w:p w14:paraId="6130370E" w14:textId="1ADC2343" w:rsidR="00FE1663" w:rsidRPr="00E51082" w:rsidRDefault="00FE1663" w:rsidP="00FE1663">
      <w:pPr>
        <w:spacing w:after="120"/>
        <w:rPr>
          <w:szCs w:val="24"/>
        </w:rPr>
      </w:pPr>
      <w:r w:rsidRPr="00E51082">
        <w:rPr>
          <w:szCs w:val="24"/>
        </w:rPr>
        <w:t xml:space="preserve">2241 </w:t>
      </w:r>
      <w:r w:rsidR="001D610E" w:rsidRPr="00E51082">
        <w:rPr>
          <w:szCs w:val="24"/>
        </w:rPr>
        <w:t xml:space="preserve">lower-risk </w:t>
      </w:r>
      <w:r w:rsidRPr="00E51082">
        <w:rPr>
          <w:szCs w:val="24"/>
        </w:rPr>
        <w:t>women (767 control</w:t>
      </w:r>
      <w:r w:rsidR="00857F21" w:rsidRPr="00E51082">
        <w:rPr>
          <w:szCs w:val="24"/>
        </w:rPr>
        <w:t xml:space="preserve"> in </w:t>
      </w:r>
      <w:r w:rsidR="00483FF6" w:rsidRPr="00E51082">
        <w:rPr>
          <w:szCs w:val="24"/>
        </w:rPr>
        <w:t>37</w:t>
      </w:r>
      <w:r w:rsidR="00857F21" w:rsidRPr="00E51082">
        <w:rPr>
          <w:szCs w:val="24"/>
        </w:rPr>
        <w:t xml:space="preserve"> clusters</w:t>
      </w:r>
      <w:r w:rsidRPr="00E51082">
        <w:rPr>
          <w:szCs w:val="24"/>
        </w:rPr>
        <w:t>; 1474 intervention</w:t>
      </w:r>
      <w:r w:rsidR="00857F21" w:rsidRPr="00E51082">
        <w:rPr>
          <w:szCs w:val="24"/>
        </w:rPr>
        <w:t xml:space="preserve"> in </w:t>
      </w:r>
      <w:r w:rsidR="00483FF6" w:rsidRPr="00E51082">
        <w:rPr>
          <w:szCs w:val="24"/>
        </w:rPr>
        <w:t>63</w:t>
      </w:r>
      <w:r w:rsidR="00857F21" w:rsidRPr="00E51082">
        <w:rPr>
          <w:szCs w:val="24"/>
        </w:rPr>
        <w:t xml:space="preserve"> clusters</w:t>
      </w:r>
      <w:r w:rsidRPr="00E51082">
        <w:rPr>
          <w:szCs w:val="24"/>
        </w:rPr>
        <w:t>) completed the EPDS at 6-month follow-up. Data sufficient to compute SF-6D scores at both 6-week and 6-month time</w:t>
      </w:r>
      <w:r w:rsidR="00AB4BE3" w:rsidRPr="00E51082">
        <w:rPr>
          <w:szCs w:val="24"/>
        </w:rPr>
        <w:t>-</w:t>
      </w:r>
      <w:r w:rsidRPr="00E51082">
        <w:rPr>
          <w:szCs w:val="24"/>
        </w:rPr>
        <w:t>points were available for 2158 participants (736 control</w:t>
      </w:r>
      <w:r w:rsidR="00857F21" w:rsidRPr="00E51082">
        <w:rPr>
          <w:szCs w:val="24"/>
        </w:rPr>
        <w:t xml:space="preserve"> in </w:t>
      </w:r>
      <w:r w:rsidR="005425AF" w:rsidRPr="00E51082">
        <w:rPr>
          <w:szCs w:val="24"/>
        </w:rPr>
        <w:t>37</w:t>
      </w:r>
      <w:r w:rsidR="00857F21" w:rsidRPr="00E51082">
        <w:rPr>
          <w:szCs w:val="24"/>
        </w:rPr>
        <w:t xml:space="preserve"> clusters</w:t>
      </w:r>
      <w:r w:rsidRPr="00E51082">
        <w:rPr>
          <w:szCs w:val="24"/>
        </w:rPr>
        <w:t>; 1422 intervention</w:t>
      </w:r>
      <w:r w:rsidR="00857F21" w:rsidRPr="00E51082">
        <w:rPr>
          <w:szCs w:val="24"/>
        </w:rPr>
        <w:t xml:space="preserve"> in </w:t>
      </w:r>
      <w:r w:rsidR="005425AF" w:rsidRPr="00E51082">
        <w:rPr>
          <w:szCs w:val="24"/>
        </w:rPr>
        <w:t>63</w:t>
      </w:r>
      <w:r w:rsidR="00857F21" w:rsidRPr="00E51082">
        <w:rPr>
          <w:szCs w:val="24"/>
        </w:rPr>
        <w:t xml:space="preserve"> clusters</w:t>
      </w:r>
      <w:r w:rsidRPr="00E51082">
        <w:rPr>
          <w:szCs w:val="24"/>
        </w:rPr>
        <w:t xml:space="preserve">). There were 1459 </w:t>
      </w:r>
      <w:r w:rsidR="00F65F76" w:rsidRPr="00E51082">
        <w:rPr>
          <w:szCs w:val="24"/>
        </w:rPr>
        <w:t>women</w:t>
      </w:r>
      <w:r w:rsidRPr="00E51082">
        <w:rPr>
          <w:szCs w:val="24"/>
        </w:rPr>
        <w:t xml:space="preserve"> with complete economic and SF-6D data at both time</w:t>
      </w:r>
      <w:r w:rsidR="00AB4BE3" w:rsidRPr="00E51082">
        <w:rPr>
          <w:szCs w:val="24"/>
        </w:rPr>
        <w:t>-</w:t>
      </w:r>
      <w:r w:rsidRPr="00E51082">
        <w:rPr>
          <w:szCs w:val="24"/>
        </w:rPr>
        <w:t>points (417 control</w:t>
      </w:r>
      <w:r w:rsidR="00A33414" w:rsidRPr="00E51082">
        <w:rPr>
          <w:szCs w:val="24"/>
        </w:rPr>
        <w:t xml:space="preserve"> in 23</w:t>
      </w:r>
      <w:r w:rsidR="00857F21" w:rsidRPr="00E51082">
        <w:rPr>
          <w:szCs w:val="24"/>
        </w:rPr>
        <w:t xml:space="preserve"> clusters</w:t>
      </w:r>
      <w:r w:rsidRPr="00E51082">
        <w:rPr>
          <w:szCs w:val="24"/>
        </w:rPr>
        <w:t>; 1042 intervention</w:t>
      </w:r>
      <w:r w:rsidR="00A33414" w:rsidRPr="00E51082">
        <w:rPr>
          <w:szCs w:val="24"/>
        </w:rPr>
        <w:t xml:space="preserve"> in 47</w:t>
      </w:r>
      <w:r w:rsidR="00857F21" w:rsidRPr="00E51082">
        <w:rPr>
          <w:szCs w:val="24"/>
        </w:rPr>
        <w:t xml:space="preserve"> clusters</w:t>
      </w:r>
      <w:r w:rsidRPr="00E51082">
        <w:rPr>
          <w:szCs w:val="24"/>
        </w:rPr>
        <w:t xml:space="preserve">). Participants’ baseline characteristics are summarised in </w:t>
      </w:r>
      <w:r w:rsidR="00BB0E31" w:rsidRPr="00E51082">
        <w:rPr>
          <w:szCs w:val="24"/>
        </w:rPr>
        <w:t xml:space="preserve">Supplementary </w:t>
      </w:r>
      <w:r w:rsidRPr="00E51082">
        <w:rPr>
          <w:szCs w:val="24"/>
        </w:rPr>
        <w:t>Table S1</w:t>
      </w:r>
      <w:r w:rsidR="00D352FD" w:rsidRPr="00E51082">
        <w:rPr>
          <w:szCs w:val="24"/>
        </w:rPr>
        <w:t>.1</w:t>
      </w:r>
      <w:r w:rsidR="00F129C4" w:rsidRPr="00E51082">
        <w:rPr>
          <w:szCs w:val="24"/>
        </w:rPr>
        <w:t xml:space="preserve"> </w:t>
      </w:r>
      <w:r w:rsidR="00085F8E" w:rsidRPr="00E51082">
        <w:rPr>
          <w:szCs w:val="24"/>
        </w:rPr>
        <w:t>for</w:t>
      </w:r>
      <w:r w:rsidRPr="00E51082">
        <w:rPr>
          <w:szCs w:val="24"/>
        </w:rPr>
        <w:t xml:space="preserve"> the </w:t>
      </w:r>
      <w:r w:rsidR="00AB4BE3" w:rsidRPr="00E51082">
        <w:rPr>
          <w:szCs w:val="24"/>
        </w:rPr>
        <w:t>full</w:t>
      </w:r>
      <w:r w:rsidRPr="00E51082">
        <w:rPr>
          <w:szCs w:val="24"/>
        </w:rPr>
        <w:t xml:space="preserve"> </w:t>
      </w:r>
      <w:r w:rsidR="00D32ABF" w:rsidRPr="00E51082">
        <w:rPr>
          <w:szCs w:val="24"/>
        </w:rPr>
        <w:t>lower</w:t>
      </w:r>
      <w:r w:rsidR="008F761A" w:rsidRPr="00E51082">
        <w:rPr>
          <w:szCs w:val="24"/>
        </w:rPr>
        <w:t>-</w:t>
      </w:r>
      <w:r w:rsidR="00D32ABF" w:rsidRPr="00E51082">
        <w:rPr>
          <w:szCs w:val="24"/>
        </w:rPr>
        <w:t xml:space="preserve">risk </w:t>
      </w:r>
      <w:r w:rsidRPr="00E51082">
        <w:rPr>
          <w:szCs w:val="24"/>
        </w:rPr>
        <w:t xml:space="preserve">sample (N=2241), the sample with economic data (N=1459) and the sample without economic data (N=782). </w:t>
      </w:r>
      <w:r w:rsidR="00AB4BE3" w:rsidRPr="00E51082">
        <w:rPr>
          <w:szCs w:val="24"/>
        </w:rPr>
        <w:t>B</w:t>
      </w:r>
      <w:r w:rsidR="00085F8E" w:rsidRPr="00E51082">
        <w:rPr>
          <w:szCs w:val="24"/>
        </w:rPr>
        <w:t>aseline</w:t>
      </w:r>
      <w:r w:rsidRPr="00E51082">
        <w:rPr>
          <w:szCs w:val="24"/>
        </w:rPr>
        <w:t xml:space="preserve"> characteristics of the samples with and without economic data within their experimental groups</w:t>
      </w:r>
      <w:r w:rsidR="00085F8E" w:rsidRPr="00E51082">
        <w:rPr>
          <w:szCs w:val="24"/>
        </w:rPr>
        <w:t xml:space="preserve"> </w:t>
      </w:r>
      <w:r w:rsidRPr="00E51082">
        <w:rPr>
          <w:szCs w:val="24"/>
        </w:rPr>
        <w:t>differ</w:t>
      </w:r>
      <w:r w:rsidR="00AB4BE3" w:rsidRPr="00E51082">
        <w:rPr>
          <w:szCs w:val="24"/>
        </w:rPr>
        <w:t xml:space="preserve">ed in only </w:t>
      </w:r>
      <w:r w:rsidRPr="00E51082">
        <w:rPr>
          <w:szCs w:val="24"/>
        </w:rPr>
        <w:t xml:space="preserve">one </w:t>
      </w:r>
      <w:r w:rsidR="00AB4BE3" w:rsidRPr="00E51082">
        <w:rPr>
          <w:szCs w:val="24"/>
        </w:rPr>
        <w:t>respect:</w:t>
      </w:r>
      <w:r w:rsidR="00085F8E" w:rsidRPr="00E51082">
        <w:rPr>
          <w:szCs w:val="24"/>
        </w:rPr>
        <w:t xml:space="preserve"> </w:t>
      </w:r>
      <w:r w:rsidR="00AB4BE3" w:rsidRPr="00E51082">
        <w:rPr>
          <w:szCs w:val="24"/>
        </w:rPr>
        <w:t>a</w:t>
      </w:r>
      <w:r w:rsidR="00085F8E" w:rsidRPr="00E51082">
        <w:rPr>
          <w:szCs w:val="24"/>
        </w:rPr>
        <w:t xml:space="preserve">t baseline, 3% (10/350) of </w:t>
      </w:r>
      <w:r w:rsidRPr="00E51082">
        <w:rPr>
          <w:szCs w:val="24"/>
        </w:rPr>
        <w:t>control group</w:t>
      </w:r>
      <w:r w:rsidR="000D3997" w:rsidRPr="00E51082">
        <w:rPr>
          <w:szCs w:val="24"/>
        </w:rPr>
        <w:t xml:space="preserve"> </w:t>
      </w:r>
      <w:r w:rsidR="00F55C4B" w:rsidRPr="00E51082">
        <w:rPr>
          <w:szCs w:val="24"/>
        </w:rPr>
        <w:t xml:space="preserve">women </w:t>
      </w:r>
      <w:r w:rsidRPr="00E51082">
        <w:rPr>
          <w:i/>
          <w:szCs w:val="24"/>
        </w:rPr>
        <w:t xml:space="preserve">without </w:t>
      </w:r>
      <w:r w:rsidRPr="00E51082">
        <w:rPr>
          <w:szCs w:val="24"/>
        </w:rPr>
        <w:t>economic data available report</w:t>
      </w:r>
      <w:r w:rsidR="00F55C4B" w:rsidRPr="00E51082">
        <w:rPr>
          <w:szCs w:val="24"/>
        </w:rPr>
        <w:t>ed</w:t>
      </w:r>
      <w:r w:rsidRPr="00E51082">
        <w:rPr>
          <w:szCs w:val="24"/>
        </w:rPr>
        <w:t xml:space="preserve"> poor baby health over the pr</w:t>
      </w:r>
      <w:r w:rsidR="00AB4BE3" w:rsidRPr="00E51082">
        <w:rPr>
          <w:szCs w:val="24"/>
        </w:rPr>
        <w:t>evious</w:t>
      </w:r>
      <w:r w:rsidRPr="00E51082">
        <w:rPr>
          <w:szCs w:val="24"/>
        </w:rPr>
        <w:t xml:space="preserve"> 4 weeks </w:t>
      </w:r>
      <w:r w:rsidR="008F761A" w:rsidRPr="00E51082">
        <w:rPr>
          <w:szCs w:val="24"/>
        </w:rPr>
        <w:t>compared to</w:t>
      </w:r>
      <w:r w:rsidR="00F55C4B" w:rsidRPr="00E51082">
        <w:rPr>
          <w:szCs w:val="24"/>
        </w:rPr>
        <w:t xml:space="preserve"> </w:t>
      </w:r>
      <w:r w:rsidR="00085F8E" w:rsidRPr="00E51082">
        <w:rPr>
          <w:szCs w:val="24"/>
        </w:rPr>
        <w:t xml:space="preserve">1% (3/417) of </w:t>
      </w:r>
      <w:r w:rsidR="00051197" w:rsidRPr="00E51082">
        <w:rPr>
          <w:szCs w:val="24"/>
        </w:rPr>
        <w:t xml:space="preserve">control group </w:t>
      </w:r>
      <w:r w:rsidR="00085F8E" w:rsidRPr="00E51082">
        <w:rPr>
          <w:szCs w:val="24"/>
        </w:rPr>
        <w:t xml:space="preserve">women </w:t>
      </w:r>
      <w:r w:rsidR="00F55C4B" w:rsidRPr="00E51082">
        <w:rPr>
          <w:i/>
          <w:szCs w:val="24"/>
        </w:rPr>
        <w:t>with</w:t>
      </w:r>
      <w:r w:rsidRPr="00E51082">
        <w:rPr>
          <w:szCs w:val="24"/>
        </w:rPr>
        <w:t xml:space="preserve"> economic data</w:t>
      </w:r>
      <w:r w:rsidR="000D3997" w:rsidRPr="00E51082">
        <w:rPr>
          <w:szCs w:val="24"/>
        </w:rPr>
        <w:t>.</w:t>
      </w:r>
    </w:p>
    <w:p w14:paraId="11BD00CF" w14:textId="77777777" w:rsidR="00FE1663" w:rsidRPr="00E51082" w:rsidRDefault="00FE1663" w:rsidP="000B5BB6">
      <w:pPr>
        <w:pStyle w:val="Heading2"/>
      </w:pPr>
      <w:r w:rsidRPr="00E51082">
        <w:t>Resource use and costs</w:t>
      </w:r>
    </w:p>
    <w:p w14:paraId="1AD4CE2F" w14:textId="63721F08" w:rsidR="00FE1663" w:rsidRPr="00E51082" w:rsidRDefault="00FE1663" w:rsidP="00FE1663">
      <w:pPr>
        <w:spacing w:after="120"/>
        <w:rPr>
          <w:szCs w:val="24"/>
        </w:rPr>
      </w:pPr>
      <w:r w:rsidRPr="00E51082">
        <w:rPr>
          <w:szCs w:val="24"/>
        </w:rPr>
        <w:t xml:space="preserve">Over the </w:t>
      </w:r>
      <w:r w:rsidR="002C1367" w:rsidRPr="00E51082">
        <w:rPr>
          <w:szCs w:val="24"/>
        </w:rPr>
        <w:t>6-</w:t>
      </w:r>
      <w:r w:rsidRPr="00E51082">
        <w:rPr>
          <w:szCs w:val="24"/>
        </w:rPr>
        <w:t>month period (</w:t>
      </w:r>
      <w:r w:rsidRPr="00E51082">
        <w:rPr>
          <w:szCs w:val="24"/>
        </w:rPr>
        <w:fldChar w:fldCharType="begin"/>
      </w:r>
      <w:r w:rsidRPr="00E51082">
        <w:rPr>
          <w:szCs w:val="24"/>
        </w:rPr>
        <w:instrText xml:space="preserve"> REF _Ref452720051 \h  \* MERGEFORMAT </w:instrText>
      </w:r>
      <w:r w:rsidRPr="00E51082">
        <w:rPr>
          <w:szCs w:val="24"/>
        </w:rPr>
      </w:r>
      <w:r w:rsidRPr="00E51082">
        <w:rPr>
          <w:szCs w:val="24"/>
        </w:rPr>
        <w:fldChar w:fldCharType="separate"/>
      </w:r>
      <w:r w:rsidRPr="00E51082">
        <w:rPr>
          <w:szCs w:val="24"/>
        </w:rPr>
        <w:t>Table 2</w:t>
      </w:r>
      <w:r w:rsidRPr="00E51082">
        <w:rPr>
          <w:szCs w:val="24"/>
        </w:rPr>
        <w:fldChar w:fldCharType="end"/>
      </w:r>
      <w:r w:rsidRPr="00E51082">
        <w:rPr>
          <w:szCs w:val="24"/>
        </w:rPr>
        <w:t xml:space="preserve">), there were no A&amp;E attendances or admissions to mother and baby psychiatric units, while </w:t>
      </w:r>
      <w:r w:rsidR="00203D5C" w:rsidRPr="00E51082">
        <w:rPr>
          <w:szCs w:val="24"/>
        </w:rPr>
        <w:t xml:space="preserve">clinical and community </w:t>
      </w:r>
      <w:r w:rsidRPr="00E51082">
        <w:rPr>
          <w:szCs w:val="24"/>
        </w:rPr>
        <w:t xml:space="preserve">mental health contacts and social </w:t>
      </w:r>
      <w:r w:rsidR="00EA2461" w:rsidRPr="00E51082">
        <w:rPr>
          <w:szCs w:val="24"/>
        </w:rPr>
        <w:t xml:space="preserve">services </w:t>
      </w:r>
      <w:r w:rsidRPr="00E51082">
        <w:rPr>
          <w:szCs w:val="24"/>
        </w:rPr>
        <w:t>visits were</w:t>
      </w:r>
      <w:r w:rsidR="00EA2461" w:rsidRPr="00E51082">
        <w:rPr>
          <w:szCs w:val="24"/>
        </w:rPr>
        <w:t xml:space="preserve"> extremely</w:t>
      </w:r>
      <w:r w:rsidRPr="00E51082">
        <w:rPr>
          <w:szCs w:val="24"/>
        </w:rPr>
        <w:t xml:space="preserve"> rare</w:t>
      </w:r>
      <w:r w:rsidR="00894DC3" w:rsidRPr="00E51082">
        <w:rPr>
          <w:szCs w:val="24"/>
        </w:rPr>
        <w:t xml:space="preserve"> (</w:t>
      </w:r>
      <w:r w:rsidR="00203D5C" w:rsidRPr="00E51082">
        <w:rPr>
          <w:szCs w:val="24"/>
        </w:rPr>
        <w:t xml:space="preserve">5 </w:t>
      </w:r>
      <w:r w:rsidR="00EA2461" w:rsidRPr="00E51082">
        <w:rPr>
          <w:szCs w:val="24"/>
        </w:rPr>
        <w:t>contacts</w:t>
      </w:r>
      <w:r w:rsidR="00F531B2" w:rsidRPr="00E51082">
        <w:rPr>
          <w:szCs w:val="24"/>
        </w:rPr>
        <w:t xml:space="preserve"> or fewer</w:t>
      </w:r>
      <w:r w:rsidR="00EA2461" w:rsidRPr="00E51082">
        <w:rPr>
          <w:szCs w:val="24"/>
        </w:rPr>
        <w:t xml:space="preserve"> </w:t>
      </w:r>
      <w:r w:rsidR="00203D5C" w:rsidRPr="00E51082">
        <w:rPr>
          <w:szCs w:val="24"/>
        </w:rPr>
        <w:t xml:space="preserve">in </w:t>
      </w:r>
      <w:r w:rsidR="00F531B2" w:rsidRPr="00E51082">
        <w:rPr>
          <w:szCs w:val="24"/>
        </w:rPr>
        <w:t>either group</w:t>
      </w:r>
      <w:r w:rsidR="00894DC3" w:rsidRPr="00E51082">
        <w:rPr>
          <w:szCs w:val="24"/>
        </w:rPr>
        <w:t>)</w:t>
      </w:r>
      <w:r w:rsidRPr="00E51082">
        <w:rPr>
          <w:szCs w:val="24"/>
        </w:rPr>
        <w:t xml:space="preserve">. </w:t>
      </w:r>
      <w:r w:rsidR="00D55F91" w:rsidRPr="00E51082">
        <w:rPr>
          <w:szCs w:val="24"/>
        </w:rPr>
        <w:t>T</w:t>
      </w:r>
      <w:r w:rsidRPr="00E51082">
        <w:rPr>
          <w:szCs w:val="24"/>
        </w:rPr>
        <w:t xml:space="preserve">he intervention group had statistically significantly fewer HV visits focused on the mother than the control </w:t>
      </w:r>
      <w:r w:rsidRPr="00E51082">
        <w:rPr>
          <w:szCs w:val="24"/>
        </w:rPr>
        <w:lastRenderedPageBreak/>
        <w:t>group (3.6 vs 2.0, p</w:t>
      </w:r>
      <w:r w:rsidR="00857F21" w:rsidRPr="00E51082">
        <w:rPr>
          <w:szCs w:val="24"/>
        </w:rPr>
        <w:t>&lt;</w:t>
      </w:r>
      <w:r w:rsidRPr="00E51082">
        <w:rPr>
          <w:szCs w:val="24"/>
        </w:rPr>
        <w:t>=0.00</w:t>
      </w:r>
      <w:r w:rsidR="00857F21" w:rsidRPr="00E51082">
        <w:rPr>
          <w:szCs w:val="24"/>
        </w:rPr>
        <w:t>1</w:t>
      </w:r>
      <w:r w:rsidRPr="00E51082">
        <w:rPr>
          <w:szCs w:val="24"/>
        </w:rPr>
        <w:t>), with similar results for PND visits (although contacts for this reason were comparatively low</w:t>
      </w:r>
      <w:r w:rsidR="008F761A" w:rsidRPr="00E51082">
        <w:rPr>
          <w:szCs w:val="24"/>
        </w:rPr>
        <w:t>:</w:t>
      </w:r>
      <w:r w:rsidR="007609A3" w:rsidRPr="00E51082">
        <w:rPr>
          <w:szCs w:val="24"/>
        </w:rPr>
        <w:t xml:space="preserve"> </w:t>
      </w:r>
      <w:r w:rsidR="005C5266" w:rsidRPr="00E51082">
        <w:rPr>
          <w:szCs w:val="24"/>
        </w:rPr>
        <w:t>0.3 vs. 0.2</w:t>
      </w:r>
      <w:r w:rsidRPr="00E51082">
        <w:rPr>
          <w:szCs w:val="24"/>
        </w:rPr>
        <w:t xml:space="preserve">). HV contacts </w:t>
      </w:r>
      <w:r w:rsidR="002564BF" w:rsidRPr="00E51082">
        <w:rPr>
          <w:szCs w:val="24"/>
        </w:rPr>
        <w:t xml:space="preserve">that were </w:t>
      </w:r>
      <w:r w:rsidRPr="00E51082">
        <w:rPr>
          <w:szCs w:val="24"/>
        </w:rPr>
        <w:t xml:space="preserve">focused on the mother </w:t>
      </w:r>
      <w:r w:rsidR="00D55F91" w:rsidRPr="00E51082">
        <w:rPr>
          <w:szCs w:val="24"/>
        </w:rPr>
        <w:t xml:space="preserve">differed </w:t>
      </w:r>
      <w:r w:rsidRPr="00E51082">
        <w:rPr>
          <w:szCs w:val="24"/>
        </w:rPr>
        <w:t xml:space="preserve">between control and </w:t>
      </w:r>
      <w:r w:rsidR="009825BB" w:rsidRPr="00E51082">
        <w:rPr>
          <w:szCs w:val="24"/>
        </w:rPr>
        <w:t>combined (</w:t>
      </w:r>
      <w:r w:rsidRPr="00E51082">
        <w:rPr>
          <w:szCs w:val="24"/>
        </w:rPr>
        <w:t>CBA/PCA</w:t>
      </w:r>
      <w:r w:rsidR="009825BB" w:rsidRPr="00E51082">
        <w:rPr>
          <w:szCs w:val="24"/>
        </w:rPr>
        <w:t>)</w:t>
      </w:r>
      <w:r w:rsidRPr="00E51082">
        <w:rPr>
          <w:szCs w:val="24"/>
        </w:rPr>
        <w:t xml:space="preserve"> intervention sub-groups </w:t>
      </w:r>
      <w:r w:rsidR="002564BF" w:rsidRPr="00E51082">
        <w:rPr>
          <w:szCs w:val="24"/>
        </w:rPr>
        <w:t>(</w:t>
      </w:r>
      <w:r w:rsidR="002E7F09" w:rsidRPr="00E51082">
        <w:rPr>
          <w:szCs w:val="24"/>
        </w:rPr>
        <w:t xml:space="preserve">3.6 </w:t>
      </w:r>
      <w:r w:rsidR="002564BF" w:rsidRPr="00E51082">
        <w:rPr>
          <w:szCs w:val="24"/>
        </w:rPr>
        <w:t xml:space="preserve">vs </w:t>
      </w:r>
      <w:r w:rsidR="002E7F09" w:rsidRPr="00E51082">
        <w:rPr>
          <w:szCs w:val="24"/>
        </w:rPr>
        <w:t>1.4</w:t>
      </w:r>
      <w:r w:rsidR="002564BF" w:rsidRPr="00E51082">
        <w:rPr>
          <w:szCs w:val="24"/>
        </w:rPr>
        <w:t>, p=</w:t>
      </w:r>
      <w:r w:rsidR="002E7F09" w:rsidRPr="00E51082">
        <w:rPr>
          <w:szCs w:val="24"/>
        </w:rPr>
        <w:t>0.00</w:t>
      </w:r>
      <w:r w:rsidR="007D38F9" w:rsidRPr="00E51082">
        <w:rPr>
          <w:szCs w:val="24"/>
        </w:rPr>
        <w:t>3</w:t>
      </w:r>
      <w:r w:rsidR="002564BF" w:rsidRPr="00E51082">
        <w:rPr>
          <w:szCs w:val="24"/>
        </w:rPr>
        <w:t>)</w:t>
      </w:r>
      <w:r w:rsidR="003A7357" w:rsidRPr="00E51082">
        <w:rPr>
          <w:szCs w:val="24"/>
        </w:rPr>
        <w:t>.</w:t>
      </w:r>
      <w:r w:rsidRPr="00E51082">
        <w:rPr>
          <w:szCs w:val="24"/>
        </w:rPr>
        <w:t xml:space="preserve"> Overall, total </w:t>
      </w:r>
      <w:r w:rsidR="00D55F91" w:rsidRPr="00E51082">
        <w:rPr>
          <w:szCs w:val="24"/>
        </w:rPr>
        <w:t xml:space="preserve">HV </w:t>
      </w:r>
      <w:r w:rsidRPr="00E51082">
        <w:rPr>
          <w:szCs w:val="24"/>
        </w:rPr>
        <w:t xml:space="preserve">time spent with the mother/baby was 56 minutes lower in the intervention </w:t>
      </w:r>
      <w:r w:rsidR="00D55F91" w:rsidRPr="00E51082">
        <w:rPr>
          <w:szCs w:val="24"/>
        </w:rPr>
        <w:t xml:space="preserve">than control </w:t>
      </w:r>
      <w:r w:rsidRPr="00E51082">
        <w:rPr>
          <w:szCs w:val="24"/>
        </w:rPr>
        <w:t xml:space="preserve">group (p=0.027).  </w:t>
      </w:r>
      <w:r w:rsidR="00D55F91" w:rsidRPr="00E51082">
        <w:rPr>
          <w:szCs w:val="24"/>
        </w:rPr>
        <w:t>A</w:t>
      </w:r>
      <w:r w:rsidRPr="00E51082">
        <w:rPr>
          <w:szCs w:val="24"/>
        </w:rPr>
        <w:t xml:space="preserve">verage time spent by HVs </w:t>
      </w:r>
      <w:r w:rsidR="00E57A90" w:rsidRPr="00E51082">
        <w:rPr>
          <w:szCs w:val="24"/>
        </w:rPr>
        <w:t xml:space="preserve">in the CBA subgroup </w:t>
      </w:r>
      <w:r w:rsidRPr="00E51082">
        <w:rPr>
          <w:szCs w:val="24"/>
        </w:rPr>
        <w:t>was 62 minutes lower (p=0.049)</w:t>
      </w:r>
      <w:r w:rsidR="00800298" w:rsidRPr="00E51082">
        <w:rPr>
          <w:szCs w:val="24"/>
        </w:rPr>
        <w:t xml:space="preserve"> than in the control group</w:t>
      </w:r>
      <w:r w:rsidRPr="00E51082">
        <w:rPr>
          <w:szCs w:val="24"/>
        </w:rPr>
        <w:t>.</w:t>
      </w:r>
      <w:r w:rsidR="001F2422" w:rsidRPr="00E51082">
        <w:rPr>
          <w:szCs w:val="24"/>
        </w:rPr>
        <w:t xml:space="preserve"> </w:t>
      </w:r>
      <w:r w:rsidR="00D55F91" w:rsidRPr="00E51082">
        <w:rPr>
          <w:szCs w:val="24"/>
        </w:rPr>
        <w:t>A</w:t>
      </w:r>
      <w:r w:rsidR="001F2422" w:rsidRPr="00E51082">
        <w:rPr>
          <w:szCs w:val="24"/>
        </w:rPr>
        <w:t xml:space="preserve">verage time spent by HVs in the PCA subgroup was </w:t>
      </w:r>
      <w:r w:rsidR="00D55F91" w:rsidRPr="00E51082">
        <w:rPr>
          <w:szCs w:val="24"/>
        </w:rPr>
        <w:t xml:space="preserve">not different </w:t>
      </w:r>
      <w:r w:rsidR="00051197" w:rsidRPr="00E51082">
        <w:rPr>
          <w:szCs w:val="24"/>
        </w:rPr>
        <w:t xml:space="preserve">to that </w:t>
      </w:r>
      <w:r w:rsidR="00D55F91" w:rsidRPr="00E51082">
        <w:rPr>
          <w:szCs w:val="24"/>
        </w:rPr>
        <w:t>in the control group</w:t>
      </w:r>
      <w:r w:rsidR="001F2422" w:rsidRPr="00E51082">
        <w:rPr>
          <w:szCs w:val="24"/>
        </w:rPr>
        <w:t xml:space="preserve"> (p=0.</w:t>
      </w:r>
      <w:r w:rsidR="007D38F9" w:rsidRPr="00E51082">
        <w:rPr>
          <w:szCs w:val="24"/>
        </w:rPr>
        <w:t>156</w:t>
      </w:r>
      <w:r w:rsidR="001F2422" w:rsidRPr="00E51082">
        <w:rPr>
          <w:szCs w:val="24"/>
        </w:rPr>
        <w:t>).</w:t>
      </w:r>
    </w:p>
    <w:p w14:paraId="70F69166" w14:textId="7FDAADE4" w:rsidR="00FE1663" w:rsidRPr="00E51082" w:rsidRDefault="00FE1663" w:rsidP="00D55F91">
      <w:pPr>
        <w:spacing w:after="120"/>
        <w:rPr>
          <w:szCs w:val="24"/>
        </w:rPr>
      </w:pPr>
      <w:r w:rsidRPr="00E51082">
        <w:rPr>
          <w:szCs w:val="24"/>
        </w:rPr>
        <w:t xml:space="preserve">Initial bivariate analyses examining number of visits to women </w:t>
      </w:r>
      <w:r w:rsidR="00D55F91" w:rsidRPr="00E51082">
        <w:rPr>
          <w:szCs w:val="24"/>
        </w:rPr>
        <w:t>in</w:t>
      </w:r>
      <w:r w:rsidRPr="00E51082">
        <w:rPr>
          <w:szCs w:val="24"/>
        </w:rPr>
        <w:t xml:space="preserve"> the </w:t>
      </w:r>
      <w:r w:rsidR="001F544B" w:rsidRPr="00E51082">
        <w:rPr>
          <w:szCs w:val="24"/>
        </w:rPr>
        <w:t>‘</w:t>
      </w:r>
      <w:r w:rsidR="004D6D4A" w:rsidRPr="00E51082">
        <w:rPr>
          <w:szCs w:val="24"/>
        </w:rPr>
        <w:t>very low risk</w:t>
      </w:r>
      <w:r w:rsidR="001F544B" w:rsidRPr="00E51082">
        <w:rPr>
          <w:szCs w:val="24"/>
        </w:rPr>
        <w:t>’</w:t>
      </w:r>
      <w:r w:rsidR="004D6D4A" w:rsidRPr="00E51082">
        <w:rPr>
          <w:szCs w:val="24"/>
        </w:rPr>
        <w:t xml:space="preserve"> </w:t>
      </w:r>
      <w:r w:rsidRPr="00E51082">
        <w:rPr>
          <w:szCs w:val="24"/>
        </w:rPr>
        <w:t xml:space="preserve">and </w:t>
      </w:r>
      <w:r w:rsidR="001F544B" w:rsidRPr="00E51082">
        <w:rPr>
          <w:szCs w:val="24"/>
        </w:rPr>
        <w:t>‘</w:t>
      </w:r>
      <w:r w:rsidRPr="00E51082">
        <w:rPr>
          <w:szCs w:val="24"/>
        </w:rPr>
        <w:t xml:space="preserve">subthreshold </w:t>
      </w:r>
      <w:r w:rsidR="004D6D4A" w:rsidRPr="00E51082">
        <w:rPr>
          <w:szCs w:val="24"/>
        </w:rPr>
        <w:t>risk</w:t>
      </w:r>
      <w:r w:rsidR="001F544B" w:rsidRPr="00E51082">
        <w:rPr>
          <w:szCs w:val="24"/>
        </w:rPr>
        <w:t>’</w:t>
      </w:r>
      <w:r w:rsidR="004D6D4A" w:rsidRPr="00E51082">
        <w:rPr>
          <w:szCs w:val="24"/>
        </w:rPr>
        <w:t xml:space="preserve"> </w:t>
      </w:r>
      <w:r w:rsidRPr="00E51082">
        <w:rPr>
          <w:szCs w:val="24"/>
        </w:rPr>
        <w:t xml:space="preserve">groups showed interesting patterns. </w:t>
      </w:r>
      <w:r w:rsidR="00D55F91" w:rsidRPr="00E51082">
        <w:rPr>
          <w:szCs w:val="24"/>
        </w:rPr>
        <w:t>M</w:t>
      </w:r>
      <w:r w:rsidRPr="00E51082">
        <w:rPr>
          <w:szCs w:val="24"/>
        </w:rPr>
        <w:t xml:space="preserve">ean number of visits related to mother’s health, and for PND specifically, appeared to rise as </w:t>
      </w:r>
      <w:r w:rsidR="001F544B" w:rsidRPr="00E51082">
        <w:rPr>
          <w:szCs w:val="24"/>
        </w:rPr>
        <w:t xml:space="preserve">EPDS score </w:t>
      </w:r>
      <w:r w:rsidR="004D6D4A" w:rsidRPr="00E51082">
        <w:rPr>
          <w:szCs w:val="24"/>
        </w:rPr>
        <w:t>rose</w:t>
      </w:r>
      <w:r w:rsidRPr="00E51082">
        <w:rPr>
          <w:szCs w:val="24"/>
        </w:rPr>
        <w:t xml:space="preserve"> (</w:t>
      </w:r>
      <w:r w:rsidR="0011169C" w:rsidRPr="00E51082">
        <w:rPr>
          <w:szCs w:val="24"/>
        </w:rPr>
        <w:t>s</w:t>
      </w:r>
      <w:r w:rsidR="00D55EF2" w:rsidRPr="00E51082">
        <w:rPr>
          <w:szCs w:val="24"/>
        </w:rPr>
        <w:t xml:space="preserve">upplementary </w:t>
      </w:r>
      <w:r w:rsidRPr="00E51082">
        <w:rPr>
          <w:szCs w:val="24"/>
        </w:rPr>
        <w:t>Table S2</w:t>
      </w:r>
      <w:r w:rsidR="00D352FD" w:rsidRPr="00E51082">
        <w:rPr>
          <w:szCs w:val="24"/>
        </w:rPr>
        <w:t>.1</w:t>
      </w:r>
      <w:r w:rsidRPr="00E51082">
        <w:rPr>
          <w:szCs w:val="24"/>
        </w:rPr>
        <w:t xml:space="preserve">). This pattern was not seen in visits related to baby health. </w:t>
      </w:r>
      <w:r w:rsidR="00D55F91" w:rsidRPr="00E51082">
        <w:rPr>
          <w:szCs w:val="24"/>
        </w:rPr>
        <w:t>N</w:t>
      </w:r>
      <w:r w:rsidRPr="00E51082">
        <w:rPr>
          <w:szCs w:val="24"/>
        </w:rPr>
        <w:t xml:space="preserve">umber of visits related to the mother’s health was significantly lower in </w:t>
      </w:r>
      <w:r w:rsidR="00D55F91" w:rsidRPr="00E51082">
        <w:rPr>
          <w:szCs w:val="24"/>
        </w:rPr>
        <w:t xml:space="preserve">the CBA group compared to control group, and also in </w:t>
      </w:r>
      <w:r w:rsidR="002A0CA1" w:rsidRPr="00E51082">
        <w:rPr>
          <w:szCs w:val="24"/>
        </w:rPr>
        <w:t>the CBA and the PCA groups combined</w:t>
      </w:r>
      <w:r w:rsidR="00D55F91" w:rsidRPr="00E51082">
        <w:rPr>
          <w:szCs w:val="24"/>
        </w:rPr>
        <w:t xml:space="preserve"> compared to control</w:t>
      </w:r>
      <w:r w:rsidR="00B61296" w:rsidRPr="00E51082">
        <w:rPr>
          <w:szCs w:val="24"/>
        </w:rPr>
        <w:t xml:space="preserve">, </w:t>
      </w:r>
      <w:r w:rsidR="00A11E5D" w:rsidRPr="00E51082">
        <w:rPr>
          <w:szCs w:val="24"/>
        </w:rPr>
        <w:t xml:space="preserve">for </w:t>
      </w:r>
      <w:r w:rsidRPr="00E51082">
        <w:rPr>
          <w:szCs w:val="24"/>
        </w:rPr>
        <w:t xml:space="preserve">both </w:t>
      </w:r>
      <w:r w:rsidR="00A11E5D" w:rsidRPr="00E51082">
        <w:rPr>
          <w:szCs w:val="24"/>
        </w:rPr>
        <w:t>‘</w:t>
      </w:r>
      <w:r w:rsidR="00A11E5D" w:rsidRPr="00E51082">
        <w:t>very low risk’ and</w:t>
      </w:r>
      <w:r w:rsidR="00A11E5D" w:rsidRPr="00E51082">
        <w:rPr>
          <w:szCs w:val="24"/>
        </w:rPr>
        <w:t xml:space="preserve"> ‘</w:t>
      </w:r>
      <w:r w:rsidR="00B61296" w:rsidRPr="00E51082">
        <w:rPr>
          <w:szCs w:val="24"/>
        </w:rPr>
        <w:t>s</w:t>
      </w:r>
      <w:r w:rsidR="004D6D4A" w:rsidRPr="00E51082">
        <w:t>ubthreshold risk</w:t>
      </w:r>
      <w:r w:rsidR="00A11E5D" w:rsidRPr="00E51082">
        <w:t>’</w:t>
      </w:r>
      <w:r w:rsidR="004D6D4A" w:rsidRPr="00E51082">
        <w:t xml:space="preserve"> </w:t>
      </w:r>
      <w:r w:rsidR="00A11E5D" w:rsidRPr="00E51082">
        <w:rPr>
          <w:szCs w:val="24"/>
        </w:rPr>
        <w:t>women</w:t>
      </w:r>
      <w:r w:rsidR="00B61296" w:rsidRPr="00E51082">
        <w:rPr>
          <w:szCs w:val="24"/>
        </w:rPr>
        <w:t>.</w:t>
      </w:r>
      <w:r w:rsidRPr="00E51082">
        <w:rPr>
          <w:szCs w:val="24"/>
        </w:rPr>
        <w:t xml:space="preserve"> </w:t>
      </w:r>
      <w:r w:rsidR="00B61296" w:rsidRPr="00E51082">
        <w:rPr>
          <w:szCs w:val="24"/>
        </w:rPr>
        <w:t>V</w:t>
      </w:r>
      <w:r w:rsidRPr="00E51082">
        <w:rPr>
          <w:szCs w:val="24"/>
        </w:rPr>
        <w:t xml:space="preserve">isits were somewhat but not significantly lower in the PCA group </w:t>
      </w:r>
      <w:r w:rsidR="001B25B2" w:rsidRPr="00E51082">
        <w:rPr>
          <w:szCs w:val="24"/>
        </w:rPr>
        <w:t>compared to</w:t>
      </w:r>
      <w:r w:rsidR="00D55F91" w:rsidRPr="00E51082">
        <w:rPr>
          <w:szCs w:val="24"/>
        </w:rPr>
        <w:t xml:space="preserve"> </w:t>
      </w:r>
      <w:r w:rsidRPr="00E51082">
        <w:rPr>
          <w:szCs w:val="24"/>
        </w:rPr>
        <w:t xml:space="preserve">controls within sub-groups. </w:t>
      </w:r>
    </w:p>
    <w:p w14:paraId="3E34FC54" w14:textId="7E3DDF2B" w:rsidR="00FE1663" w:rsidRPr="00E51082" w:rsidRDefault="00FE1663" w:rsidP="00FE1663">
      <w:pPr>
        <w:spacing w:after="120"/>
        <w:rPr>
          <w:szCs w:val="24"/>
        </w:rPr>
      </w:pPr>
      <w:r w:rsidRPr="00E51082">
        <w:rPr>
          <w:szCs w:val="24"/>
        </w:rPr>
        <w:t xml:space="preserve">Further multivariate analyses examined impact of </w:t>
      </w:r>
      <w:r w:rsidR="001B25B2" w:rsidRPr="00E51082">
        <w:rPr>
          <w:szCs w:val="24"/>
        </w:rPr>
        <w:t xml:space="preserve">the PoNDER </w:t>
      </w:r>
      <w:r w:rsidR="00CB327D" w:rsidRPr="00E51082">
        <w:rPr>
          <w:szCs w:val="24"/>
        </w:rPr>
        <w:t xml:space="preserve">HV </w:t>
      </w:r>
      <w:r w:rsidRPr="00E51082">
        <w:rPr>
          <w:szCs w:val="24"/>
        </w:rPr>
        <w:t xml:space="preserve">training on total number of </w:t>
      </w:r>
      <w:r w:rsidR="001B25B2" w:rsidRPr="00E51082">
        <w:rPr>
          <w:szCs w:val="24"/>
        </w:rPr>
        <w:t xml:space="preserve">HV </w:t>
      </w:r>
      <w:r w:rsidRPr="00E51082">
        <w:rPr>
          <w:szCs w:val="24"/>
        </w:rPr>
        <w:t>visits (for all purposes). In the low</w:t>
      </w:r>
      <w:r w:rsidR="00B61296" w:rsidRPr="00E51082">
        <w:rPr>
          <w:szCs w:val="24"/>
        </w:rPr>
        <w:t>er</w:t>
      </w:r>
      <w:r w:rsidRPr="00E51082">
        <w:rPr>
          <w:szCs w:val="24"/>
        </w:rPr>
        <w:t>-risk sample, intervention participants received non-significantly more visits than controls (</w:t>
      </w:r>
      <w:r w:rsidR="00D55EF2" w:rsidRPr="00E51082">
        <w:rPr>
          <w:szCs w:val="24"/>
        </w:rPr>
        <w:t xml:space="preserve">supplementary </w:t>
      </w:r>
      <w:r w:rsidR="0011169C" w:rsidRPr="00E51082">
        <w:rPr>
          <w:szCs w:val="24"/>
        </w:rPr>
        <w:t>Table S</w:t>
      </w:r>
      <w:r w:rsidR="003542D7" w:rsidRPr="00E51082">
        <w:rPr>
          <w:szCs w:val="24"/>
        </w:rPr>
        <w:t>3.1</w:t>
      </w:r>
      <w:r w:rsidRPr="00E51082">
        <w:rPr>
          <w:szCs w:val="24"/>
        </w:rPr>
        <w:t xml:space="preserve">); results were quite similar for CBA and PCA approaches. </w:t>
      </w:r>
      <w:r w:rsidR="00D55F91" w:rsidRPr="00E51082">
        <w:rPr>
          <w:szCs w:val="24"/>
        </w:rPr>
        <w:t>A</w:t>
      </w:r>
      <w:r w:rsidRPr="00E51082">
        <w:rPr>
          <w:szCs w:val="24"/>
        </w:rPr>
        <w:t xml:space="preserve">nalyses also examined whether the intervention had a differential impact on number of </w:t>
      </w:r>
      <w:r w:rsidR="00B61296" w:rsidRPr="00E51082">
        <w:rPr>
          <w:szCs w:val="24"/>
        </w:rPr>
        <w:t>HV</w:t>
      </w:r>
      <w:r w:rsidRPr="00E51082">
        <w:rPr>
          <w:szCs w:val="24"/>
        </w:rPr>
        <w:t xml:space="preserve"> visits according to how near mothers’ EPDS scores were to </w:t>
      </w:r>
      <w:r w:rsidR="002A0CA1" w:rsidRPr="00E51082">
        <w:rPr>
          <w:szCs w:val="24"/>
        </w:rPr>
        <w:t>12.</w:t>
      </w:r>
      <w:r w:rsidRPr="00E51082">
        <w:rPr>
          <w:szCs w:val="24"/>
        </w:rPr>
        <w:t xml:space="preserve"> Intervention participants in both </w:t>
      </w:r>
      <w:r w:rsidR="00B61296" w:rsidRPr="00E51082">
        <w:t>s</w:t>
      </w:r>
      <w:r w:rsidR="002A0CA1" w:rsidRPr="00E51082">
        <w:t xml:space="preserve">ubthreshold risk and </w:t>
      </w:r>
      <w:r w:rsidR="00B61296" w:rsidRPr="00E51082">
        <w:t>v</w:t>
      </w:r>
      <w:r w:rsidR="002A0CA1" w:rsidRPr="00E51082">
        <w:t>ery low risk</w:t>
      </w:r>
      <w:r w:rsidR="002A0CA1" w:rsidRPr="00E51082">
        <w:rPr>
          <w:szCs w:val="24"/>
        </w:rPr>
        <w:t xml:space="preserve"> </w:t>
      </w:r>
      <w:r w:rsidRPr="00E51082">
        <w:rPr>
          <w:szCs w:val="24"/>
        </w:rPr>
        <w:t xml:space="preserve">groups received (non-significantly) more </w:t>
      </w:r>
      <w:r w:rsidR="00B61296" w:rsidRPr="00E51082">
        <w:rPr>
          <w:szCs w:val="24"/>
        </w:rPr>
        <w:t>HV</w:t>
      </w:r>
      <w:r w:rsidRPr="00E51082">
        <w:rPr>
          <w:szCs w:val="24"/>
        </w:rPr>
        <w:t xml:space="preserve"> visits than controls, similar to the results over the whole low</w:t>
      </w:r>
      <w:r w:rsidR="00B61296" w:rsidRPr="00E51082">
        <w:rPr>
          <w:szCs w:val="24"/>
        </w:rPr>
        <w:t>er</w:t>
      </w:r>
      <w:r w:rsidRPr="00E51082">
        <w:rPr>
          <w:szCs w:val="24"/>
        </w:rPr>
        <w:t xml:space="preserve">-risk sample. The interaction term for combined intervention and </w:t>
      </w:r>
      <w:r w:rsidR="00366713" w:rsidRPr="00E51082">
        <w:rPr>
          <w:szCs w:val="24"/>
        </w:rPr>
        <w:t>risk</w:t>
      </w:r>
      <w:r w:rsidRPr="00E51082">
        <w:rPr>
          <w:szCs w:val="24"/>
        </w:rPr>
        <w:t xml:space="preserve"> sub-group was not significantly different from zero (p=0.905); results were similar </w:t>
      </w:r>
      <w:r w:rsidR="001B25B2" w:rsidRPr="00E51082">
        <w:rPr>
          <w:szCs w:val="24"/>
        </w:rPr>
        <w:t xml:space="preserve">for </w:t>
      </w:r>
      <w:r w:rsidRPr="00E51082">
        <w:rPr>
          <w:szCs w:val="24"/>
        </w:rPr>
        <w:t>CBA and PCA (p=0.</w:t>
      </w:r>
      <w:r w:rsidRPr="00E51082">
        <w:rPr>
          <w:szCs w:val="24"/>
          <w:lang w:val="en-US"/>
        </w:rPr>
        <w:t>837</w:t>
      </w:r>
      <w:r w:rsidRPr="00E51082">
        <w:rPr>
          <w:szCs w:val="24"/>
        </w:rPr>
        <w:t xml:space="preserve"> and p=</w:t>
      </w:r>
      <w:r w:rsidRPr="00E51082">
        <w:rPr>
          <w:szCs w:val="24"/>
          <w:lang w:val="en-US"/>
        </w:rPr>
        <w:t>0.647</w:t>
      </w:r>
      <w:r w:rsidR="00D55F91" w:rsidRPr="00E51082">
        <w:rPr>
          <w:szCs w:val="24"/>
          <w:lang w:val="en-US"/>
        </w:rPr>
        <w:t>,</w:t>
      </w:r>
      <w:r w:rsidRPr="00E51082">
        <w:rPr>
          <w:szCs w:val="24"/>
        </w:rPr>
        <w:t xml:space="preserve"> respectively). The impact of the intervention appears to have been relatively uniform over the whole of the low</w:t>
      </w:r>
      <w:r w:rsidR="00B61296" w:rsidRPr="00E51082">
        <w:rPr>
          <w:szCs w:val="24"/>
        </w:rPr>
        <w:t>er</w:t>
      </w:r>
      <w:r w:rsidRPr="00E51082">
        <w:rPr>
          <w:szCs w:val="24"/>
        </w:rPr>
        <w:t>-risk sample.</w:t>
      </w:r>
    </w:p>
    <w:p w14:paraId="11C0E92D" w14:textId="0D8C2178" w:rsidR="00FE1663" w:rsidRPr="00E51082" w:rsidRDefault="00D55F91" w:rsidP="00FE1663">
      <w:pPr>
        <w:spacing w:after="120"/>
        <w:rPr>
          <w:szCs w:val="24"/>
        </w:rPr>
      </w:pPr>
      <w:r w:rsidRPr="00E51082">
        <w:rPr>
          <w:szCs w:val="24"/>
        </w:rPr>
        <w:t>T</w:t>
      </w:r>
      <w:r w:rsidR="00FE1663" w:rsidRPr="00E51082">
        <w:rPr>
          <w:szCs w:val="24"/>
        </w:rPr>
        <w:t xml:space="preserve">he overall cost of care </w:t>
      </w:r>
      <w:r w:rsidR="002A0CA1" w:rsidRPr="00E51082">
        <w:rPr>
          <w:szCs w:val="24"/>
        </w:rPr>
        <w:t>for women</w:t>
      </w:r>
      <w:r w:rsidR="00FE1663" w:rsidRPr="00E51082">
        <w:rPr>
          <w:szCs w:val="24"/>
        </w:rPr>
        <w:t xml:space="preserve"> in the intervention group was significantly lower (difference of £72</w:t>
      </w:r>
      <w:r w:rsidR="00030043" w:rsidRPr="00E51082">
        <w:rPr>
          <w:szCs w:val="24"/>
        </w:rPr>
        <w:t xml:space="preserve">; </w:t>
      </w:r>
      <w:r w:rsidR="00B61296" w:rsidRPr="00E51082">
        <w:rPr>
          <w:szCs w:val="24"/>
        </w:rPr>
        <w:t>(</w:t>
      </w:r>
      <w:r w:rsidR="00857F21" w:rsidRPr="00E51082">
        <w:rPr>
          <w:szCs w:val="24"/>
        </w:rPr>
        <w:t xml:space="preserve">95% </w:t>
      </w:r>
      <w:r w:rsidR="00030043" w:rsidRPr="00E51082">
        <w:rPr>
          <w:szCs w:val="24"/>
        </w:rPr>
        <w:t>CI</w:t>
      </w:r>
      <w:r w:rsidR="00857F21" w:rsidRPr="00E51082">
        <w:rPr>
          <w:szCs w:val="24"/>
        </w:rPr>
        <w:t xml:space="preserve"> </w:t>
      </w:r>
      <w:r w:rsidR="00030043" w:rsidRPr="00E51082">
        <w:rPr>
          <w:szCs w:val="24"/>
        </w:rPr>
        <w:t>-</w:t>
      </w:r>
      <w:r w:rsidR="001B5338" w:rsidRPr="00E51082">
        <w:rPr>
          <w:szCs w:val="24"/>
        </w:rPr>
        <w:t xml:space="preserve">137, </w:t>
      </w:r>
      <w:r w:rsidR="00030043" w:rsidRPr="00E51082">
        <w:rPr>
          <w:szCs w:val="24"/>
        </w:rPr>
        <w:t>-8);</w:t>
      </w:r>
      <w:r w:rsidR="00FE1663" w:rsidRPr="00E51082">
        <w:rPr>
          <w:szCs w:val="24"/>
        </w:rPr>
        <w:t xml:space="preserve"> cluster-adjusted t=2.246, p=0.028) than </w:t>
      </w:r>
      <w:r w:rsidRPr="00E51082">
        <w:rPr>
          <w:szCs w:val="24"/>
        </w:rPr>
        <w:t>for</w:t>
      </w:r>
      <w:r w:rsidR="00FE1663" w:rsidRPr="00E51082">
        <w:rPr>
          <w:szCs w:val="24"/>
        </w:rPr>
        <w:t xml:space="preserve"> controls</w:t>
      </w:r>
      <w:r w:rsidR="000A3081">
        <w:rPr>
          <w:szCs w:val="24"/>
        </w:rPr>
        <w:t xml:space="preserve"> (Table 3)</w:t>
      </w:r>
      <w:r w:rsidR="00FE1663" w:rsidRPr="00E51082">
        <w:rPr>
          <w:szCs w:val="24"/>
        </w:rPr>
        <w:t xml:space="preserve">. </w:t>
      </w:r>
    </w:p>
    <w:p w14:paraId="30BE21D7" w14:textId="77777777" w:rsidR="00FE1663" w:rsidRPr="000B5BB6" w:rsidRDefault="00FE1663" w:rsidP="000B5BB6">
      <w:pPr>
        <w:pStyle w:val="Heading2"/>
      </w:pPr>
      <w:r w:rsidRPr="000B5BB6">
        <w:t>Outcomes</w:t>
      </w:r>
    </w:p>
    <w:p w14:paraId="0924FB51" w14:textId="10014F83" w:rsidR="00FE1663" w:rsidRPr="00E51082" w:rsidRDefault="00FE1663" w:rsidP="00B5347B">
      <w:pPr>
        <w:spacing w:after="120"/>
        <w:rPr>
          <w:szCs w:val="24"/>
        </w:rPr>
      </w:pPr>
      <w:r w:rsidRPr="00E51082">
        <w:rPr>
          <w:szCs w:val="24"/>
        </w:rPr>
        <w:t>Control and intervention groups were similar in terms of baseline (6</w:t>
      </w:r>
      <w:r w:rsidR="00B61296" w:rsidRPr="00E51082">
        <w:rPr>
          <w:szCs w:val="24"/>
        </w:rPr>
        <w:t>-</w:t>
      </w:r>
      <w:r w:rsidRPr="00E51082">
        <w:rPr>
          <w:szCs w:val="24"/>
        </w:rPr>
        <w:t>week) utilities</w:t>
      </w:r>
      <w:r w:rsidR="00D55F91" w:rsidRPr="00E51082">
        <w:rPr>
          <w:szCs w:val="24"/>
        </w:rPr>
        <w:t xml:space="preserve"> (</w:t>
      </w:r>
      <w:r w:rsidR="00D55F91" w:rsidRPr="00E51082">
        <w:rPr>
          <w:szCs w:val="24"/>
        </w:rPr>
        <w:fldChar w:fldCharType="begin"/>
      </w:r>
      <w:r w:rsidR="00D55F91" w:rsidRPr="00E51082">
        <w:rPr>
          <w:szCs w:val="24"/>
        </w:rPr>
        <w:instrText xml:space="preserve"> REF _Ref452720092 \h  \* MERGEFORMAT </w:instrText>
      </w:r>
      <w:r w:rsidR="00D55F91" w:rsidRPr="00E51082">
        <w:rPr>
          <w:szCs w:val="24"/>
        </w:rPr>
      </w:r>
      <w:r w:rsidR="00D55F91" w:rsidRPr="00E51082">
        <w:rPr>
          <w:szCs w:val="24"/>
        </w:rPr>
        <w:fldChar w:fldCharType="separate"/>
      </w:r>
      <w:r w:rsidR="00D55F91" w:rsidRPr="00E51082">
        <w:rPr>
          <w:szCs w:val="24"/>
        </w:rPr>
        <w:t>Table 4</w:t>
      </w:r>
      <w:r w:rsidR="00D55F91" w:rsidRPr="00E51082">
        <w:rPr>
          <w:szCs w:val="24"/>
        </w:rPr>
        <w:fldChar w:fldCharType="end"/>
      </w:r>
      <w:r w:rsidR="00D55F91" w:rsidRPr="00E51082">
        <w:rPr>
          <w:szCs w:val="24"/>
        </w:rPr>
        <w:t>)</w:t>
      </w:r>
      <w:r w:rsidRPr="00E51082">
        <w:rPr>
          <w:szCs w:val="24"/>
        </w:rPr>
        <w:t xml:space="preserve">; utilities were somewhat higher in the intervention group at 6 months. Mean QALYs were </w:t>
      </w:r>
      <w:r w:rsidRPr="00E51082">
        <w:rPr>
          <w:szCs w:val="24"/>
        </w:rPr>
        <w:lastRenderedPageBreak/>
        <w:t xml:space="preserve">significantly higher in the </w:t>
      </w:r>
      <w:r w:rsidR="00F14F04" w:rsidRPr="00E51082">
        <w:rPr>
          <w:szCs w:val="24"/>
        </w:rPr>
        <w:t xml:space="preserve">combined </w:t>
      </w:r>
      <w:r w:rsidRPr="00E51082">
        <w:rPr>
          <w:szCs w:val="24"/>
        </w:rPr>
        <w:t>intervention group than in controls</w:t>
      </w:r>
      <w:r w:rsidR="00857F21" w:rsidRPr="00E51082">
        <w:rPr>
          <w:szCs w:val="24"/>
        </w:rPr>
        <w:t xml:space="preserve"> </w:t>
      </w:r>
      <w:r w:rsidR="00B5347B" w:rsidRPr="00E51082">
        <w:rPr>
          <w:szCs w:val="24"/>
        </w:rPr>
        <w:t>(mean difference: 0.004 (95% CI 0.000,</w:t>
      </w:r>
      <w:r w:rsidR="00AE3667" w:rsidRPr="00E51082">
        <w:rPr>
          <w:szCs w:val="24"/>
        </w:rPr>
        <w:t xml:space="preserve"> </w:t>
      </w:r>
      <w:r w:rsidR="00B5347B" w:rsidRPr="00E51082">
        <w:rPr>
          <w:szCs w:val="24"/>
        </w:rPr>
        <w:t>0.008, p=0.</w:t>
      </w:r>
      <w:r w:rsidR="000C0F29" w:rsidRPr="00E51082">
        <w:rPr>
          <w:szCs w:val="24"/>
        </w:rPr>
        <w:t>0</w:t>
      </w:r>
      <w:r w:rsidR="00B5347B" w:rsidRPr="00E51082">
        <w:rPr>
          <w:szCs w:val="24"/>
        </w:rPr>
        <w:t>466)</w:t>
      </w:r>
      <w:r w:rsidR="00507DE4" w:rsidRPr="00E51082">
        <w:rPr>
          <w:szCs w:val="24"/>
        </w:rPr>
        <w:t>). T</w:t>
      </w:r>
      <w:r w:rsidRPr="00E51082">
        <w:rPr>
          <w:szCs w:val="24"/>
        </w:rPr>
        <w:t xml:space="preserve">here was a </w:t>
      </w:r>
      <w:r w:rsidR="00F336C6" w:rsidRPr="00E51082">
        <w:rPr>
          <w:szCs w:val="24"/>
        </w:rPr>
        <w:t>2.8</w:t>
      </w:r>
      <w:r w:rsidRPr="00E51082">
        <w:rPr>
          <w:szCs w:val="24"/>
        </w:rPr>
        <w:t xml:space="preserve">% difference (95% CI -0.5%, 6.1%) </w:t>
      </w:r>
      <w:r w:rsidR="000B336B" w:rsidRPr="00E51082">
        <w:rPr>
          <w:szCs w:val="24"/>
        </w:rPr>
        <w:t xml:space="preserve">in the proportions remaining at low risk at 6 months </w:t>
      </w:r>
      <w:r w:rsidRPr="00E51082">
        <w:rPr>
          <w:szCs w:val="24"/>
        </w:rPr>
        <w:t xml:space="preserve">between the combined </w:t>
      </w:r>
      <w:r w:rsidR="00F336C6" w:rsidRPr="00E51082">
        <w:rPr>
          <w:szCs w:val="24"/>
        </w:rPr>
        <w:t xml:space="preserve">CBA and PCA </w:t>
      </w:r>
      <w:r w:rsidRPr="00E51082">
        <w:rPr>
          <w:szCs w:val="24"/>
        </w:rPr>
        <w:t>intervention and control group</w:t>
      </w:r>
      <w:r w:rsidR="00F14F04" w:rsidRPr="00E51082">
        <w:rPr>
          <w:szCs w:val="24"/>
        </w:rPr>
        <w:t>s</w:t>
      </w:r>
      <w:r w:rsidRPr="00E51082">
        <w:rPr>
          <w:szCs w:val="24"/>
        </w:rPr>
        <w:t>.</w:t>
      </w:r>
    </w:p>
    <w:p w14:paraId="6ACA0D78" w14:textId="77777777" w:rsidR="00FE1663" w:rsidRPr="000B5BB6" w:rsidRDefault="00FE1663" w:rsidP="000B5BB6">
      <w:pPr>
        <w:pStyle w:val="Heading2"/>
      </w:pPr>
      <w:r w:rsidRPr="000B5BB6">
        <w:t>Clustering and correlation of costs and outcomes data</w:t>
      </w:r>
    </w:p>
    <w:p w14:paraId="64739387" w14:textId="3098FC74" w:rsidR="00FE1663" w:rsidRPr="00E51082" w:rsidRDefault="00FE1663" w:rsidP="00FE1663">
      <w:pPr>
        <w:rPr>
          <w:szCs w:val="24"/>
        </w:rPr>
      </w:pPr>
      <w:r w:rsidRPr="00E51082">
        <w:rPr>
          <w:szCs w:val="24"/>
        </w:rPr>
        <w:t>Intra-cluster correlation coefficients (ICCs) of QALYs (</w:t>
      </w:r>
      <w:r w:rsidR="00D4240C" w:rsidRPr="00E51082">
        <w:rPr>
          <w:szCs w:val="24"/>
        </w:rPr>
        <w:t xml:space="preserve">supplementary </w:t>
      </w:r>
      <w:r w:rsidRPr="00E51082">
        <w:rPr>
          <w:szCs w:val="24"/>
        </w:rPr>
        <w:t>Table S4</w:t>
      </w:r>
      <w:r w:rsidR="00D4240C" w:rsidRPr="00E51082">
        <w:rPr>
          <w:szCs w:val="24"/>
        </w:rPr>
        <w:t>.1</w:t>
      </w:r>
      <w:r w:rsidRPr="00E51082">
        <w:rPr>
          <w:szCs w:val="24"/>
        </w:rPr>
        <w:t xml:space="preserve">) were negative and larger in the control group than in the combined intervention group; ICCs for costs were higher in the combined intervention group than in the control group. </w:t>
      </w:r>
      <w:r w:rsidR="004E0C92" w:rsidRPr="00E51082">
        <w:rPr>
          <w:szCs w:val="24"/>
        </w:rPr>
        <w:t>M</w:t>
      </w:r>
      <w:r w:rsidRPr="00E51082">
        <w:rPr>
          <w:szCs w:val="24"/>
        </w:rPr>
        <w:t xml:space="preserve">ean cluster sizes differed between control (18.1) and intervention groups (22.2). </w:t>
      </w:r>
      <w:r w:rsidR="00507DE4" w:rsidRPr="00E51082">
        <w:rPr>
          <w:szCs w:val="24"/>
        </w:rPr>
        <w:t>T</w:t>
      </w:r>
      <w:r w:rsidR="00C86177" w:rsidRPr="00E51082">
        <w:rPr>
          <w:szCs w:val="24"/>
        </w:rPr>
        <w:t>aking</w:t>
      </w:r>
      <w:r w:rsidR="0025099E" w:rsidRPr="00E51082">
        <w:rPr>
          <w:szCs w:val="24"/>
        </w:rPr>
        <w:t xml:space="preserve"> Cohen</w:t>
      </w:r>
      <w:r w:rsidR="00D13467" w:rsidRPr="00E51082">
        <w:rPr>
          <w:szCs w:val="24"/>
        </w:rPr>
        <w:t>’s</w:t>
      </w:r>
      <w:r w:rsidR="003B6D7F" w:rsidRPr="00E51082">
        <w:rPr>
          <w:szCs w:val="24"/>
        </w:rPr>
        <w:t xml:space="preserve"> criterion </w:t>
      </w:r>
      <w:r w:rsidR="003B6D7F" w:rsidRPr="00E51082">
        <w:rPr>
          <w:szCs w:val="24"/>
        </w:rPr>
        <w:fldChar w:fldCharType="begin" w:fldLock="1"/>
      </w:r>
      <w:r w:rsidR="00706093">
        <w:rPr>
          <w:szCs w:val="24"/>
        </w:rPr>
        <w:instrText>ADDIN CSL_CITATION {"citationItems":[{"id":"ITEM-1","itemData":{"DOI":"10.1234/12345678","ISBN":"0805802835","ISSN":"01621459","PMID":"17877467","abstract":"Statistical Power Analysisis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regression/correlation.","author":[{"dropping-particle":"","family":"Cohen","given":"J","non-dropping-particle":"","parse-names":false,"suffix":""}],"container-title":"Statistical Power Analysis for the Behavioral Sciences","id":"ITEM-1","issued":{"date-parts":[["1988"]]},"page":"567","title":"Statistical power analysis for the behavioral sciences","type":"article","volume":"2nd"},"uris":["http://www.mendeley.com/documents/?uuid=03cbec93-09e5-4333-8b8a-73a30826bf2c"]}],"mendeley":{"formattedCitation":"(Cohen 1988)","plainTextFormattedCitation":"(Cohen 1988)","previouslyFormattedCitation":"(Cohen 1988)"},"properties":{"noteIndex":0},"schema":"https://github.com/citation-style-language/schema/raw/master/csl-citation.json"}</w:instrText>
      </w:r>
      <w:r w:rsidR="003B6D7F" w:rsidRPr="00E51082">
        <w:rPr>
          <w:szCs w:val="24"/>
        </w:rPr>
        <w:fldChar w:fldCharType="separate"/>
      </w:r>
      <w:r w:rsidR="003B6D7F" w:rsidRPr="00E51082">
        <w:rPr>
          <w:noProof/>
          <w:szCs w:val="24"/>
        </w:rPr>
        <w:t>(Cohen 1988)</w:t>
      </w:r>
      <w:r w:rsidR="003B6D7F" w:rsidRPr="00E51082">
        <w:rPr>
          <w:szCs w:val="24"/>
        </w:rPr>
        <w:fldChar w:fldCharType="end"/>
      </w:r>
      <w:r w:rsidR="003B6D7F" w:rsidRPr="00E51082">
        <w:rPr>
          <w:szCs w:val="24"/>
        </w:rPr>
        <w:t xml:space="preserve"> </w:t>
      </w:r>
      <w:r w:rsidR="00C86177" w:rsidRPr="00E51082">
        <w:rPr>
          <w:szCs w:val="24"/>
        </w:rPr>
        <w:t>as a gauge</w:t>
      </w:r>
      <w:r w:rsidR="00D13467" w:rsidRPr="00E51082">
        <w:rPr>
          <w:szCs w:val="24"/>
        </w:rPr>
        <w:t xml:space="preserve"> of </w:t>
      </w:r>
      <w:r w:rsidR="00843802" w:rsidRPr="00E51082">
        <w:rPr>
          <w:szCs w:val="24"/>
        </w:rPr>
        <w:t>effect size</w:t>
      </w:r>
      <w:r w:rsidR="00C44280" w:rsidRPr="00E51082">
        <w:rPr>
          <w:szCs w:val="24"/>
        </w:rPr>
        <w:t>,</w:t>
      </w:r>
      <w:r w:rsidR="0025099E" w:rsidRPr="00E51082">
        <w:rPr>
          <w:szCs w:val="24"/>
        </w:rPr>
        <w:t xml:space="preserve"> </w:t>
      </w:r>
      <w:r w:rsidRPr="00E51082">
        <w:rPr>
          <w:szCs w:val="24"/>
        </w:rPr>
        <w:t>costs were</w:t>
      </w:r>
      <w:r w:rsidR="00E66BCD" w:rsidRPr="00E51082">
        <w:rPr>
          <w:szCs w:val="24"/>
        </w:rPr>
        <w:t xml:space="preserve"> moderately</w:t>
      </w:r>
      <w:r w:rsidRPr="00E51082">
        <w:rPr>
          <w:szCs w:val="24"/>
        </w:rPr>
        <w:t xml:space="preserve"> </w:t>
      </w:r>
      <w:r w:rsidR="00E66BCD" w:rsidRPr="00E51082">
        <w:rPr>
          <w:szCs w:val="24"/>
        </w:rPr>
        <w:t xml:space="preserve">positively </w:t>
      </w:r>
      <w:r w:rsidRPr="00E51082">
        <w:rPr>
          <w:szCs w:val="24"/>
        </w:rPr>
        <w:t>correlated with cluster size in the control group (</w:t>
      </w:r>
      <w:r w:rsidR="00294777" w:rsidRPr="00E51082">
        <w:rPr>
          <w:szCs w:val="24"/>
        </w:rPr>
        <w:t>r</w:t>
      </w:r>
      <w:r w:rsidRPr="00E51082">
        <w:rPr>
          <w:szCs w:val="24"/>
        </w:rPr>
        <w:t>=0.4</w:t>
      </w:r>
      <w:r w:rsidR="004E0C92" w:rsidRPr="00E51082">
        <w:rPr>
          <w:szCs w:val="24"/>
        </w:rPr>
        <w:t>3</w:t>
      </w:r>
      <w:r w:rsidRPr="00E51082">
        <w:rPr>
          <w:szCs w:val="24"/>
        </w:rPr>
        <w:t>, p</w:t>
      </w:r>
      <w:r w:rsidR="00051197" w:rsidRPr="00E51082">
        <w:rPr>
          <w:szCs w:val="24"/>
        </w:rPr>
        <w:t>≤</w:t>
      </w:r>
      <w:r w:rsidRPr="00E51082">
        <w:rPr>
          <w:szCs w:val="24"/>
          <w:lang w:val="en-US"/>
        </w:rPr>
        <w:t>0.00</w:t>
      </w:r>
      <w:r w:rsidR="00857F21" w:rsidRPr="00E51082">
        <w:rPr>
          <w:szCs w:val="24"/>
          <w:lang w:val="en-US"/>
        </w:rPr>
        <w:t>1</w:t>
      </w:r>
      <w:r w:rsidRPr="00E51082">
        <w:rPr>
          <w:szCs w:val="24"/>
        </w:rPr>
        <w:t>) and</w:t>
      </w:r>
      <w:r w:rsidR="00045E82" w:rsidRPr="00E51082">
        <w:rPr>
          <w:szCs w:val="24"/>
        </w:rPr>
        <w:t xml:space="preserve"> weakly </w:t>
      </w:r>
      <w:r w:rsidR="00401041" w:rsidRPr="00E51082">
        <w:rPr>
          <w:szCs w:val="24"/>
        </w:rPr>
        <w:t>nega</w:t>
      </w:r>
      <w:r w:rsidR="00045E82" w:rsidRPr="00E51082">
        <w:rPr>
          <w:szCs w:val="24"/>
        </w:rPr>
        <w:t>tively</w:t>
      </w:r>
      <w:r w:rsidRPr="00E51082">
        <w:rPr>
          <w:szCs w:val="24"/>
        </w:rPr>
        <w:t xml:space="preserve"> </w:t>
      </w:r>
      <w:r w:rsidR="00045E82" w:rsidRPr="00E51082">
        <w:rPr>
          <w:szCs w:val="24"/>
        </w:rPr>
        <w:t xml:space="preserve">correlated with cluster size in </w:t>
      </w:r>
      <w:r w:rsidRPr="00E51082">
        <w:rPr>
          <w:szCs w:val="24"/>
        </w:rPr>
        <w:t>the CBA group (</w:t>
      </w:r>
      <w:r w:rsidR="00294777" w:rsidRPr="00E51082">
        <w:rPr>
          <w:szCs w:val="24"/>
        </w:rPr>
        <w:t>r</w:t>
      </w:r>
      <w:r w:rsidRPr="00E51082">
        <w:rPr>
          <w:szCs w:val="24"/>
        </w:rPr>
        <w:t>=-0.</w:t>
      </w:r>
      <w:r w:rsidR="00857F21" w:rsidRPr="00E51082">
        <w:rPr>
          <w:szCs w:val="24"/>
        </w:rPr>
        <w:t>2</w:t>
      </w:r>
      <w:r w:rsidR="004E0C92" w:rsidRPr="00E51082">
        <w:rPr>
          <w:szCs w:val="24"/>
        </w:rPr>
        <w:t>0</w:t>
      </w:r>
      <w:r w:rsidRPr="00E51082">
        <w:rPr>
          <w:szCs w:val="24"/>
        </w:rPr>
        <w:t>, p</w:t>
      </w:r>
      <w:r w:rsidR="00051197" w:rsidRPr="00E51082">
        <w:rPr>
          <w:szCs w:val="24"/>
        </w:rPr>
        <w:t>≤</w:t>
      </w:r>
      <w:r w:rsidRPr="00E51082">
        <w:rPr>
          <w:szCs w:val="24"/>
          <w:lang w:val="en-US"/>
        </w:rPr>
        <w:t>0.00</w:t>
      </w:r>
      <w:r w:rsidR="00857F21" w:rsidRPr="00E51082">
        <w:rPr>
          <w:szCs w:val="24"/>
          <w:lang w:val="en-US"/>
        </w:rPr>
        <w:t>1</w:t>
      </w:r>
      <w:r w:rsidRPr="00E51082">
        <w:rPr>
          <w:szCs w:val="24"/>
        </w:rPr>
        <w:t>); QALY</w:t>
      </w:r>
      <w:r w:rsidR="00C44280" w:rsidRPr="00E51082">
        <w:rPr>
          <w:szCs w:val="24"/>
        </w:rPr>
        <w:t>s</w:t>
      </w:r>
      <w:r w:rsidRPr="00E51082">
        <w:rPr>
          <w:szCs w:val="24"/>
        </w:rPr>
        <w:t xml:space="preserve"> were </w:t>
      </w:r>
      <w:r w:rsidR="00401041" w:rsidRPr="00E51082">
        <w:rPr>
          <w:szCs w:val="24"/>
        </w:rPr>
        <w:t xml:space="preserve">weakly positively </w:t>
      </w:r>
      <w:r w:rsidRPr="00E51082">
        <w:rPr>
          <w:szCs w:val="24"/>
        </w:rPr>
        <w:t>correlated with cluster size in the CBA (</w:t>
      </w:r>
      <w:r w:rsidR="00294777" w:rsidRPr="00E51082">
        <w:rPr>
          <w:szCs w:val="24"/>
        </w:rPr>
        <w:t>r</w:t>
      </w:r>
      <w:r w:rsidRPr="00E51082">
        <w:rPr>
          <w:szCs w:val="24"/>
        </w:rPr>
        <w:t>=0.09, p=</w:t>
      </w:r>
      <w:r w:rsidRPr="00E51082">
        <w:rPr>
          <w:szCs w:val="24"/>
          <w:lang w:val="en-US"/>
        </w:rPr>
        <w:t>0.030</w:t>
      </w:r>
      <w:r w:rsidRPr="00E51082">
        <w:rPr>
          <w:szCs w:val="24"/>
        </w:rPr>
        <w:t>) and</w:t>
      </w:r>
      <w:r w:rsidR="00401041" w:rsidRPr="00E51082">
        <w:rPr>
          <w:szCs w:val="24"/>
        </w:rPr>
        <w:t xml:space="preserve"> weakly negatively correlated with cluster size in the</w:t>
      </w:r>
      <w:r w:rsidRPr="00E51082">
        <w:rPr>
          <w:szCs w:val="24"/>
        </w:rPr>
        <w:t xml:space="preserve"> PCA groups (</w:t>
      </w:r>
      <w:r w:rsidR="00294777" w:rsidRPr="00E51082">
        <w:rPr>
          <w:szCs w:val="24"/>
        </w:rPr>
        <w:t>r</w:t>
      </w:r>
      <w:r w:rsidRPr="00E51082">
        <w:rPr>
          <w:szCs w:val="24"/>
        </w:rPr>
        <w:t>=</w:t>
      </w:r>
      <w:r w:rsidRPr="00E51082">
        <w:rPr>
          <w:szCs w:val="24"/>
          <w:lang w:val="en-US"/>
        </w:rPr>
        <w:t>-0.</w:t>
      </w:r>
      <w:r w:rsidR="00857F21" w:rsidRPr="00E51082">
        <w:rPr>
          <w:szCs w:val="24"/>
          <w:lang w:val="en-US"/>
        </w:rPr>
        <w:t>03</w:t>
      </w:r>
      <w:r w:rsidRPr="00E51082">
        <w:rPr>
          <w:szCs w:val="24"/>
        </w:rPr>
        <w:t>, p=</w:t>
      </w:r>
      <w:r w:rsidRPr="00E51082">
        <w:rPr>
          <w:szCs w:val="24"/>
          <w:lang w:val="en-US"/>
        </w:rPr>
        <w:t>0.005</w:t>
      </w:r>
      <w:r w:rsidRPr="00E51082">
        <w:rPr>
          <w:szCs w:val="24"/>
        </w:rPr>
        <w:t xml:space="preserve">); but not </w:t>
      </w:r>
      <w:r w:rsidR="00401041" w:rsidRPr="00E51082">
        <w:rPr>
          <w:szCs w:val="24"/>
        </w:rPr>
        <w:t xml:space="preserve">correlated </w:t>
      </w:r>
      <w:r w:rsidRPr="00E51082">
        <w:rPr>
          <w:szCs w:val="24"/>
        </w:rPr>
        <w:t xml:space="preserve">when these intervention groups were combined. These results indicate the need to </w:t>
      </w:r>
      <w:r w:rsidR="00C44280" w:rsidRPr="00E51082">
        <w:rPr>
          <w:szCs w:val="24"/>
        </w:rPr>
        <w:t xml:space="preserve">adjust </w:t>
      </w:r>
      <w:r w:rsidRPr="00E51082">
        <w:rPr>
          <w:szCs w:val="24"/>
        </w:rPr>
        <w:t xml:space="preserve">appropriately for both clustering and correlation within the cost-effectiveness analyses. </w:t>
      </w:r>
    </w:p>
    <w:p w14:paraId="3F3F5576" w14:textId="77777777" w:rsidR="00FE1663" w:rsidRPr="000B5BB6" w:rsidRDefault="00FE1663" w:rsidP="000B5BB6">
      <w:pPr>
        <w:pStyle w:val="Heading2"/>
      </w:pPr>
      <w:r w:rsidRPr="000B5BB6">
        <w:t>Results of the cost-effectiveness analyses</w:t>
      </w:r>
    </w:p>
    <w:p w14:paraId="7BBE7372" w14:textId="77777777" w:rsidR="00FE1663" w:rsidRPr="00E51082" w:rsidRDefault="00FE1663" w:rsidP="00FE1663">
      <w:pPr>
        <w:spacing w:after="120"/>
        <w:rPr>
          <w:szCs w:val="24"/>
        </w:rPr>
      </w:pPr>
      <w:r w:rsidRPr="00E51082">
        <w:rPr>
          <w:szCs w:val="24"/>
        </w:rPr>
        <w:t>The inclusion of covariates with small amounts of missing data slightly</w:t>
      </w:r>
      <w:r w:rsidRPr="00E51082" w:rsidDel="0073757D">
        <w:rPr>
          <w:szCs w:val="24"/>
        </w:rPr>
        <w:t xml:space="preserve"> </w:t>
      </w:r>
      <w:r w:rsidRPr="00E51082">
        <w:rPr>
          <w:szCs w:val="24"/>
        </w:rPr>
        <w:t>decreased the sample available for analysis to 1446 (with the loss of 7/1035 (0.8%) intervention cases and 6/411 (1.4%) controls).</w:t>
      </w:r>
    </w:p>
    <w:p w14:paraId="545FC59D" w14:textId="77777777" w:rsidR="00FE1663" w:rsidRPr="00E51082" w:rsidRDefault="00FE1663" w:rsidP="000B5BB6">
      <w:pPr>
        <w:pStyle w:val="Heading2"/>
      </w:pPr>
      <w:r w:rsidRPr="00E51082">
        <w:t>Outcomes</w:t>
      </w:r>
    </w:p>
    <w:p w14:paraId="792CF2C5" w14:textId="0A63FE58" w:rsidR="00FE1663" w:rsidRPr="00E51082" w:rsidRDefault="00507DE4" w:rsidP="00FE1663">
      <w:pPr>
        <w:spacing w:after="120"/>
        <w:rPr>
          <w:szCs w:val="24"/>
        </w:rPr>
      </w:pPr>
      <w:r w:rsidRPr="00E51082">
        <w:rPr>
          <w:szCs w:val="24"/>
        </w:rPr>
        <w:t>M</w:t>
      </w:r>
      <w:r w:rsidR="00FE1663" w:rsidRPr="00E51082">
        <w:rPr>
          <w:szCs w:val="24"/>
        </w:rPr>
        <w:t xml:space="preserve">ean </w:t>
      </w:r>
      <w:r w:rsidR="00C44280" w:rsidRPr="00E51082">
        <w:rPr>
          <w:szCs w:val="24"/>
        </w:rPr>
        <w:t xml:space="preserve">QALY </w:t>
      </w:r>
      <w:r w:rsidR="005E5292" w:rsidRPr="00E51082">
        <w:rPr>
          <w:szCs w:val="24"/>
        </w:rPr>
        <w:t xml:space="preserve">difference between intervention and control groups, adjusted for covariates, was </w:t>
      </w:r>
      <w:r w:rsidR="002A0CA1" w:rsidRPr="00E51082">
        <w:rPr>
          <w:szCs w:val="24"/>
        </w:rPr>
        <w:t>not</w:t>
      </w:r>
      <w:r w:rsidR="00FE1663" w:rsidRPr="00E51082">
        <w:rPr>
          <w:szCs w:val="24"/>
        </w:rPr>
        <w:t xml:space="preserve"> statistically significant (</w:t>
      </w:r>
      <w:r w:rsidR="00FE1663" w:rsidRPr="00E51082">
        <w:rPr>
          <w:szCs w:val="24"/>
        </w:rPr>
        <w:fldChar w:fldCharType="begin"/>
      </w:r>
      <w:r w:rsidR="00FE1663" w:rsidRPr="00E51082">
        <w:rPr>
          <w:szCs w:val="24"/>
        </w:rPr>
        <w:instrText xml:space="preserve"> REF _Ref452720109 \h  \* MERGEFORMAT </w:instrText>
      </w:r>
      <w:r w:rsidR="00FE1663" w:rsidRPr="00E51082">
        <w:rPr>
          <w:szCs w:val="24"/>
        </w:rPr>
      </w:r>
      <w:r w:rsidR="00FE1663" w:rsidRPr="00E51082">
        <w:rPr>
          <w:szCs w:val="24"/>
        </w:rPr>
        <w:fldChar w:fldCharType="separate"/>
      </w:r>
      <w:r w:rsidR="00FE1663" w:rsidRPr="00E51082">
        <w:rPr>
          <w:szCs w:val="24"/>
        </w:rPr>
        <w:t>Table 5</w:t>
      </w:r>
      <w:r w:rsidR="00FE1663" w:rsidRPr="00E51082">
        <w:rPr>
          <w:szCs w:val="24"/>
        </w:rPr>
        <w:fldChar w:fldCharType="end"/>
      </w:r>
      <w:r w:rsidR="00FE1663" w:rsidRPr="00E51082">
        <w:rPr>
          <w:szCs w:val="24"/>
        </w:rPr>
        <w:t xml:space="preserve">). </w:t>
      </w:r>
      <w:r w:rsidRPr="00E51082">
        <w:rPr>
          <w:szCs w:val="24"/>
        </w:rPr>
        <w:t>Results are similar for</w:t>
      </w:r>
      <w:r w:rsidR="00FE1663" w:rsidRPr="00E51082">
        <w:rPr>
          <w:szCs w:val="24"/>
        </w:rPr>
        <w:t xml:space="preserve"> the intervention subgroups, although gains were slightly greater in the CBA than PCA group. </w:t>
      </w:r>
      <w:r w:rsidRPr="00E51082">
        <w:rPr>
          <w:szCs w:val="24"/>
        </w:rPr>
        <w:t>For</w:t>
      </w:r>
      <w:r w:rsidR="00AE389A" w:rsidRPr="00E51082">
        <w:rPr>
          <w:szCs w:val="24"/>
        </w:rPr>
        <w:t xml:space="preserve"> the dichotomised risk of depression </w:t>
      </w:r>
      <w:r w:rsidR="00B4105F" w:rsidRPr="00E51082">
        <w:rPr>
          <w:szCs w:val="24"/>
        </w:rPr>
        <w:t>outcome</w:t>
      </w:r>
      <w:r w:rsidR="00AE389A" w:rsidRPr="00E51082">
        <w:rPr>
          <w:szCs w:val="24"/>
        </w:rPr>
        <w:t>, t</w:t>
      </w:r>
      <w:r w:rsidR="00FE1663" w:rsidRPr="00E51082">
        <w:rPr>
          <w:szCs w:val="24"/>
        </w:rPr>
        <w:t xml:space="preserve">he adjusted difference in the proportions </w:t>
      </w:r>
      <w:r w:rsidR="002A0CA1" w:rsidRPr="00E51082">
        <w:rPr>
          <w:szCs w:val="24"/>
        </w:rPr>
        <w:t xml:space="preserve">of </w:t>
      </w:r>
      <w:r w:rsidR="005E5292" w:rsidRPr="00E51082">
        <w:rPr>
          <w:szCs w:val="24"/>
        </w:rPr>
        <w:t xml:space="preserve">mothers </w:t>
      </w:r>
      <w:r w:rsidR="00FE1663" w:rsidRPr="00E51082">
        <w:rPr>
          <w:szCs w:val="24"/>
        </w:rPr>
        <w:t>at low-risk at 6 months was very slightly lower than the unadjusted figure</w:t>
      </w:r>
      <w:r w:rsidR="005919BB" w:rsidRPr="00E51082">
        <w:rPr>
          <w:szCs w:val="24"/>
        </w:rPr>
        <w:t>s for the combined intervention groups and for CBA and PCA separately.</w:t>
      </w:r>
    </w:p>
    <w:p w14:paraId="4C6A6E7F" w14:textId="77777777" w:rsidR="00FE1663" w:rsidRPr="00E51082" w:rsidRDefault="00FE1663" w:rsidP="000B5BB6">
      <w:pPr>
        <w:pStyle w:val="Heading2"/>
      </w:pPr>
      <w:r w:rsidRPr="00E51082">
        <w:t>Costs and cost-effectiveness</w:t>
      </w:r>
    </w:p>
    <w:p w14:paraId="2A1DCC97" w14:textId="3921209B" w:rsidR="00FE1663" w:rsidRPr="00E51082" w:rsidRDefault="00507DE4" w:rsidP="00FE1663">
      <w:pPr>
        <w:spacing w:after="120"/>
        <w:rPr>
          <w:szCs w:val="24"/>
        </w:rPr>
      </w:pPr>
      <w:r w:rsidRPr="00E51082">
        <w:rPr>
          <w:szCs w:val="24"/>
        </w:rPr>
        <w:t>A</w:t>
      </w:r>
      <w:r w:rsidR="00FE1663" w:rsidRPr="00E51082">
        <w:rPr>
          <w:szCs w:val="24"/>
        </w:rPr>
        <w:t>djusted 6-month costs in the intervention group were £82 lower than in the controls. In the intervention sub-groups, costs in the CBA group were £93 lower and costs in the PCA group £73 lower</w:t>
      </w:r>
      <w:r w:rsidR="00C44280" w:rsidRPr="00E51082">
        <w:rPr>
          <w:szCs w:val="24"/>
        </w:rPr>
        <w:t xml:space="preserve"> compared to</w:t>
      </w:r>
      <w:r w:rsidR="00FE1663" w:rsidRPr="00E51082">
        <w:rPr>
          <w:szCs w:val="24"/>
        </w:rPr>
        <w:t xml:space="preserve"> controls. </w:t>
      </w:r>
    </w:p>
    <w:p w14:paraId="543E7726" w14:textId="178B5076" w:rsidR="00FE1663" w:rsidRPr="00E51082" w:rsidRDefault="00FE1663" w:rsidP="00FE1663">
      <w:pPr>
        <w:spacing w:after="120"/>
        <w:rPr>
          <w:szCs w:val="24"/>
        </w:rPr>
      </w:pPr>
      <w:r w:rsidRPr="00E51082">
        <w:rPr>
          <w:szCs w:val="24"/>
        </w:rPr>
        <w:lastRenderedPageBreak/>
        <w:t>The point estimate for the cost of a QALY created by the intervention was negative. A negative ICER may occur when costs are lower and outcomes better in one group</w:t>
      </w:r>
      <w:r w:rsidR="00503584" w:rsidRPr="00E51082">
        <w:rPr>
          <w:szCs w:val="24"/>
        </w:rPr>
        <w:t xml:space="preserve"> (</w:t>
      </w:r>
      <w:r w:rsidRPr="00E51082">
        <w:rPr>
          <w:szCs w:val="24"/>
        </w:rPr>
        <w:t>referred to as ‘dominance’</w:t>
      </w:r>
      <w:r w:rsidR="00503584" w:rsidRPr="00E51082">
        <w:rPr>
          <w:szCs w:val="24"/>
        </w:rPr>
        <w:t>)</w:t>
      </w:r>
      <w:r w:rsidRPr="00E51082">
        <w:rPr>
          <w:szCs w:val="24"/>
        </w:rPr>
        <w:t xml:space="preserve">. In this case, because outcomes were approximately equivalent between groups, although costs were significantly lower in the intervention group, the resulting confidence intervals of the ICER were wide, crossing zero and the upper bound was less than the lower bound </w:t>
      </w:r>
      <w:r w:rsidRPr="00E51082">
        <w:rPr>
          <w:szCs w:val="24"/>
        </w:rPr>
        <w:fldChar w:fldCharType="begin" w:fldLock="1"/>
      </w:r>
      <w:r w:rsidR="00706093">
        <w:rPr>
          <w:szCs w:val="24"/>
        </w:rPr>
        <w:instrText>ADDIN CSL_CITATION {"citationItems":[{"id":"ITEM-1","itemData":{"ISBN":"9780199685028","abstract":"It is becoming increasingly important to examine the relationship between the outcomes of a clinical trial and the costs of the medical therapy under study. The results of such analysis can affect reimbursement decisions for new medical technologies, for example drugs, devices or diagnostics; aid companies seeking to make claims about the cost-effectiveness of their product; allow early consideration of the economic value of therapies, which may be important to improving initial adoption decisions; or address the requirements of regulatory bodies. Economic evaluation in clinical trials uses a consistent set of data collected within the trial, or by projection from this data, and avoids having to incorporate unrelated (and potentially inconsistent) data from many different sources. This book provides a practical guide to conducting economic evaluation in ongoing clinical trials. It covers issues and techniques related to the collection of both cost and outcome data, as well as a framework for reporting and interpreting economic reports from clinical trials. This is illustrated by detailed supporting examples and exercises, designed to teach the reader how to apply this model. These exercises are supported with datasets, programmes and solutions made available online. ABOUT THE SERIES - series editors Alastair Gray and Andrew Briggs Economic evaluation of health intervention is a growing specialist field, and this series of practical handbooks tackles, in depth, topics superficially addressed in more geinconsistent economics books. Each volume includes illustrative material, case histories and worked examples to encourage the reader to apply the methods discussed, with supporting material provided online. This series is aimed at health economists in academia, the pharmaceutical industry and the health sector, those on advanced health economics courses, and health researchers in associated fields.","author":[{"dropping-particle":"","family":"Glick","given":"Henry A","non-dropping-particle":"","parse-names":false,"suffix":""},{"dropping-particle":"","family":"Doshi","given":"Jalpa A","non-dropping-particle":"","parse-names":false,"suffix":""},{"dropping-particle":"","family":"Sonnad","given":"Seema S","non-dropping-particle":"","parse-names":false,"suffix":""},{"dropping-particle":"","family":"Polsky","given":"Daniel","non-dropping-particle":"","parse-names":false,"suffix":""}],"container-title":"OUP Catalogue","id":"ITEM-1","issued":{"date-parts":[["2007"]]},"note":"2006035981\nGBA6A3779\nHenry A. Glick ... [et al.].\nill. ; 24 cm.\nIncludes bibliographical references and index.","number-of-pages":"x, 244 p.","publisher":"Oxford University Press","publisher-place":"Oxford ; New York","title":"Economic Evaluation in Clinical Trials","type":"book"},"uris":["http://www.mendeley.com/documents/?uuid=d05db789-0d3d-44f2-8a28-50d5fb4130cc"]}],"mendeley":{"formattedCitation":"(Glick &lt;i&gt;et al.&lt;/i&gt; 2007)","plainTextFormattedCitation":"(Glick et al. 2007)","previouslyFormattedCitation":"(Glick &lt;i&gt;et al.&lt;/i&gt; 2007)"},"properties":{"noteIndex":0},"schema":"https://github.com/citation-style-language/schema/raw/master/csl-citation.json"}</w:instrText>
      </w:r>
      <w:r w:rsidRPr="00E51082">
        <w:rPr>
          <w:szCs w:val="24"/>
        </w:rPr>
        <w:fldChar w:fldCharType="separate"/>
      </w:r>
      <w:r w:rsidR="00203256" w:rsidRPr="00E51082">
        <w:rPr>
          <w:noProof/>
          <w:szCs w:val="24"/>
        </w:rPr>
        <w:t xml:space="preserve">(Glick </w:t>
      </w:r>
      <w:r w:rsidR="00203256" w:rsidRPr="00E51082">
        <w:rPr>
          <w:i/>
          <w:noProof/>
          <w:szCs w:val="24"/>
        </w:rPr>
        <w:t>et al.</w:t>
      </w:r>
      <w:r w:rsidR="00203256" w:rsidRPr="00E51082">
        <w:rPr>
          <w:noProof/>
          <w:szCs w:val="24"/>
        </w:rPr>
        <w:t xml:space="preserve"> 2007)</w:t>
      </w:r>
      <w:r w:rsidRPr="00E51082">
        <w:rPr>
          <w:szCs w:val="24"/>
        </w:rPr>
        <w:fldChar w:fldCharType="end"/>
      </w:r>
      <w:r w:rsidRPr="00E51082">
        <w:rPr>
          <w:szCs w:val="24"/>
        </w:rPr>
        <w:t xml:space="preserve">. We can take from the results that the </w:t>
      </w:r>
      <w:r w:rsidR="00DF5950" w:rsidRPr="00E51082">
        <w:rPr>
          <w:szCs w:val="24"/>
        </w:rPr>
        <w:t>PoNDER</w:t>
      </w:r>
      <w:r w:rsidRPr="00E51082">
        <w:rPr>
          <w:szCs w:val="24"/>
        </w:rPr>
        <w:t xml:space="preserve"> intervention is the preferred strategy over usual care, as long as the NHS is willing to pay anywhere from 0 to </w:t>
      </w:r>
      <w:r w:rsidR="00503584" w:rsidRPr="00E51082">
        <w:rPr>
          <w:szCs w:val="24"/>
        </w:rPr>
        <w:t xml:space="preserve">approximately </w:t>
      </w:r>
      <w:r w:rsidRPr="00E51082">
        <w:rPr>
          <w:szCs w:val="24"/>
        </w:rPr>
        <w:t xml:space="preserve">£66,500 per QALY. The probability of the intervention being cost-effective at £20,000 </w:t>
      </w:r>
      <w:r w:rsidR="00503584" w:rsidRPr="00E51082">
        <w:rPr>
          <w:szCs w:val="24"/>
        </w:rPr>
        <w:t>exceeds</w:t>
      </w:r>
      <w:r w:rsidRPr="00E51082">
        <w:rPr>
          <w:szCs w:val="24"/>
        </w:rPr>
        <w:t xml:space="preserve"> 99% (Figure 1).</w:t>
      </w:r>
    </w:p>
    <w:p w14:paraId="7B6DD2C7" w14:textId="7C01013D" w:rsidR="00FE1663" w:rsidRPr="00E51082" w:rsidRDefault="00FE1663" w:rsidP="00FE1663">
      <w:pPr>
        <w:spacing w:after="120"/>
        <w:rPr>
          <w:szCs w:val="24"/>
        </w:rPr>
      </w:pPr>
      <w:r w:rsidRPr="00E51082">
        <w:rPr>
          <w:szCs w:val="24"/>
        </w:rPr>
        <w:t xml:space="preserve">When looking at the CEACs for CBA vs. control and PCA vs. control, there was little difference </w:t>
      </w:r>
      <w:r w:rsidR="00242A17" w:rsidRPr="00E51082">
        <w:rPr>
          <w:szCs w:val="24"/>
        </w:rPr>
        <w:t xml:space="preserve">between them </w:t>
      </w:r>
      <w:r w:rsidRPr="00E51082">
        <w:rPr>
          <w:szCs w:val="24"/>
        </w:rPr>
        <w:t>in probability of being cost-effective (over 99%) over the range of QALY values between 0 and £20,000 (Figure 2)</w:t>
      </w:r>
      <w:r w:rsidR="004C0172" w:rsidRPr="00E51082">
        <w:rPr>
          <w:szCs w:val="24"/>
        </w:rPr>
        <w:t>.</w:t>
      </w:r>
      <w:r w:rsidRPr="00E51082">
        <w:rPr>
          <w:szCs w:val="24"/>
        </w:rPr>
        <w:t xml:space="preserve"> CBA had a marginally higher probability of cost-effectiveness</w:t>
      </w:r>
      <w:r w:rsidR="004C0172" w:rsidRPr="00E51082">
        <w:rPr>
          <w:szCs w:val="24"/>
        </w:rPr>
        <w:t>, which</w:t>
      </w:r>
      <w:r w:rsidRPr="00E51082">
        <w:rPr>
          <w:szCs w:val="24"/>
        </w:rPr>
        <w:t xml:space="preserve"> reflects the slightly lower mean costs of CBA, with similar QALYs gained between all three strategies.</w:t>
      </w:r>
    </w:p>
    <w:p w14:paraId="3F3C24AA" w14:textId="6BCBE8C8" w:rsidR="00FE1663" w:rsidRPr="00E51082" w:rsidRDefault="00FE1663" w:rsidP="00FE1663">
      <w:pPr>
        <w:spacing w:after="120"/>
        <w:rPr>
          <w:szCs w:val="24"/>
        </w:rPr>
      </w:pPr>
      <w:r w:rsidRPr="00E51082">
        <w:rPr>
          <w:szCs w:val="24"/>
        </w:rPr>
        <w:t>The cost of being in the low</w:t>
      </w:r>
      <w:r w:rsidR="00242A17" w:rsidRPr="00E51082">
        <w:rPr>
          <w:szCs w:val="24"/>
        </w:rPr>
        <w:t>er</w:t>
      </w:r>
      <w:r w:rsidRPr="00E51082">
        <w:rPr>
          <w:szCs w:val="24"/>
        </w:rPr>
        <w:t xml:space="preserve">-risk group at 6 months </w:t>
      </w:r>
      <w:r w:rsidR="00242A17" w:rsidRPr="00E51082">
        <w:rPr>
          <w:szCs w:val="24"/>
        </w:rPr>
        <w:t xml:space="preserve">rather than in the at-risk group </w:t>
      </w:r>
      <w:r w:rsidRPr="00E51082">
        <w:rPr>
          <w:szCs w:val="24"/>
        </w:rPr>
        <w:t>as result of the intervention (the ICER) was very low, at about £3,5</w:t>
      </w:r>
      <w:r w:rsidR="00840FB1" w:rsidRPr="00E51082">
        <w:rPr>
          <w:szCs w:val="24"/>
        </w:rPr>
        <w:t>0</w:t>
      </w:r>
      <w:r w:rsidRPr="00E51082">
        <w:rPr>
          <w:szCs w:val="24"/>
        </w:rPr>
        <w:t xml:space="preserve">0. </w:t>
      </w:r>
    </w:p>
    <w:p w14:paraId="015757B7" w14:textId="77777777" w:rsidR="00FE1663" w:rsidRPr="000B5BB6" w:rsidRDefault="00FE1663" w:rsidP="000B5BB6">
      <w:pPr>
        <w:pStyle w:val="Heading2"/>
      </w:pPr>
      <w:r w:rsidRPr="000B5BB6">
        <w:t>Sensitivity analyses</w:t>
      </w:r>
    </w:p>
    <w:p w14:paraId="0ECCC5AD" w14:textId="2B15A3E0" w:rsidR="00FE1663" w:rsidRPr="00E51082" w:rsidRDefault="004C0172" w:rsidP="00FE1663">
      <w:pPr>
        <w:spacing w:after="120"/>
        <w:rPr>
          <w:szCs w:val="24"/>
        </w:rPr>
      </w:pPr>
      <w:r w:rsidRPr="00E51082">
        <w:rPr>
          <w:szCs w:val="24"/>
        </w:rPr>
        <w:t>R</w:t>
      </w:r>
      <w:r w:rsidR="00FE1663" w:rsidRPr="00E51082">
        <w:rPr>
          <w:szCs w:val="24"/>
        </w:rPr>
        <w:t xml:space="preserve">esults of all sensitivity analyses are given in </w:t>
      </w:r>
      <w:r w:rsidR="00D4240C" w:rsidRPr="00E51082">
        <w:rPr>
          <w:szCs w:val="24"/>
        </w:rPr>
        <w:t xml:space="preserve">supplementary </w:t>
      </w:r>
      <w:r w:rsidR="00FE1663" w:rsidRPr="00E51082">
        <w:rPr>
          <w:szCs w:val="24"/>
        </w:rPr>
        <w:t>Table S5</w:t>
      </w:r>
      <w:r w:rsidR="00D4240C" w:rsidRPr="00E51082">
        <w:rPr>
          <w:szCs w:val="24"/>
        </w:rPr>
        <w:t>.1</w:t>
      </w:r>
      <w:r w:rsidR="00FE1663" w:rsidRPr="00E51082">
        <w:rPr>
          <w:szCs w:val="24"/>
        </w:rPr>
        <w:t xml:space="preserve">. </w:t>
      </w:r>
    </w:p>
    <w:p w14:paraId="60C8282F" w14:textId="5C590960" w:rsidR="00FE1663" w:rsidRPr="00E51082" w:rsidRDefault="00FE1663" w:rsidP="00FE1663">
      <w:pPr>
        <w:spacing w:after="120"/>
        <w:rPr>
          <w:szCs w:val="24"/>
        </w:rPr>
      </w:pPr>
      <w:r w:rsidRPr="00E51082">
        <w:rPr>
          <w:szCs w:val="24"/>
        </w:rPr>
        <w:t xml:space="preserve">To examine whether results are robust to violations of the assumption of </w:t>
      </w:r>
      <w:r w:rsidR="00242A17" w:rsidRPr="00E51082">
        <w:rPr>
          <w:szCs w:val="24"/>
        </w:rPr>
        <w:t>n</w:t>
      </w:r>
      <w:r w:rsidRPr="00E51082">
        <w:rPr>
          <w:szCs w:val="24"/>
        </w:rPr>
        <w:t>ormal</w:t>
      </w:r>
      <w:r w:rsidR="00952BCC" w:rsidRPr="00E51082">
        <w:rPr>
          <w:szCs w:val="24"/>
        </w:rPr>
        <w:t>ly</w:t>
      </w:r>
      <w:r w:rsidRPr="00E51082">
        <w:rPr>
          <w:szCs w:val="24"/>
        </w:rPr>
        <w:t xml:space="preserve"> distribut</w:t>
      </w:r>
      <w:r w:rsidR="00952BCC" w:rsidRPr="00E51082">
        <w:rPr>
          <w:szCs w:val="24"/>
        </w:rPr>
        <w:t>ed</w:t>
      </w:r>
      <w:r w:rsidRPr="00E51082">
        <w:rPr>
          <w:szCs w:val="24"/>
        </w:rPr>
        <w:t xml:space="preserve"> dependent variables, the regressions were applied to data generated by two-stage bootstrapping. There was a 99% probability that the intervention </w:t>
      </w:r>
      <w:r w:rsidR="002A0CA1" w:rsidRPr="00E51082">
        <w:rPr>
          <w:szCs w:val="24"/>
        </w:rPr>
        <w:t>was</w:t>
      </w:r>
      <w:r w:rsidRPr="00E51082">
        <w:rPr>
          <w:szCs w:val="24"/>
        </w:rPr>
        <w:t xml:space="preserve"> cost-effective at</w:t>
      </w:r>
      <w:r w:rsidR="00857F21" w:rsidRPr="00E51082">
        <w:rPr>
          <w:szCs w:val="24"/>
        </w:rPr>
        <w:t xml:space="preserve"> a willingness</w:t>
      </w:r>
      <w:r w:rsidR="00242A17" w:rsidRPr="00E51082">
        <w:rPr>
          <w:szCs w:val="24"/>
        </w:rPr>
        <w:t>-</w:t>
      </w:r>
      <w:r w:rsidR="00857F21" w:rsidRPr="00E51082">
        <w:rPr>
          <w:szCs w:val="24"/>
        </w:rPr>
        <w:t>to</w:t>
      </w:r>
      <w:r w:rsidR="00242A17" w:rsidRPr="00E51082">
        <w:rPr>
          <w:szCs w:val="24"/>
        </w:rPr>
        <w:t>-</w:t>
      </w:r>
      <w:r w:rsidR="00857F21" w:rsidRPr="00E51082">
        <w:rPr>
          <w:szCs w:val="24"/>
        </w:rPr>
        <w:t>pay of</w:t>
      </w:r>
      <w:r w:rsidRPr="00E51082">
        <w:rPr>
          <w:szCs w:val="24"/>
        </w:rPr>
        <w:t xml:space="preserve"> £20,000 (</w:t>
      </w:r>
      <w:r w:rsidR="00052F49" w:rsidRPr="00E51082">
        <w:rPr>
          <w:szCs w:val="24"/>
        </w:rPr>
        <w:t xml:space="preserve">supplementary file </w:t>
      </w:r>
      <w:r w:rsidR="00061822" w:rsidRPr="00E51082">
        <w:rPr>
          <w:szCs w:val="24"/>
        </w:rPr>
        <w:t>S1</w:t>
      </w:r>
      <w:r w:rsidRPr="00E51082">
        <w:rPr>
          <w:szCs w:val="24"/>
        </w:rPr>
        <w:t xml:space="preserve"> Figure </w:t>
      </w:r>
      <w:r w:rsidR="00061822" w:rsidRPr="00E51082">
        <w:rPr>
          <w:szCs w:val="24"/>
        </w:rPr>
        <w:t>S1.</w:t>
      </w:r>
      <w:r w:rsidRPr="00E51082">
        <w:rPr>
          <w:szCs w:val="24"/>
        </w:rPr>
        <w:t xml:space="preserve">1). Results for CBA and PCA were similar, CBA having a </w:t>
      </w:r>
      <w:r w:rsidR="002A0CA1" w:rsidRPr="00E51082">
        <w:rPr>
          <w:szCs w:val="24"/>
        </w:rPr>
        <w:t>1%</w:t>
      </w:r>
      <w:r w:rsidRPr="00E51082">
        <w:rPr>
          <w:szCs w:val="24"/>
        </w:rPr>
        <w:t xml:space="preserve"> higher probability of cost-effectiveness at the £20,000 threshold (99% vs 98%).  </w:t>
      </w:r>
    </w:p>
    <w:p w14:paraId="79BA6A1A" w14:textId="463A5BB3" w:rsidR="00FE1663" w:rsidRPr="00E51082" w:rsidRDefault="00FE1663" w:rsidP="00FE1663">
      <w:pPr>
        <w:spacing w:after="120"/>
        <w:rPr>
          <w:szCs w:val="24"/>
        </w:rPr>
      </w:pPr>
      <w:r w:rsidRPr="00E51082">
        <w:rPr>
          <w:szCs w:val="24"/>
        </w:rPr>
        <w:t>We varied the cut-off score for the low</w:t>
      </w:r>
      <w:r w:rsidR="00242A17" w:rsidRPr="00E51082">
        <w:rPr>
          <w:szCs w:val="24"/>
        </w:rPr>
        <w:t>er</w:t>
      </w:r>
      <w:r w:rsidRPr="00E51082">
        <w:rPr>
          <w:szCs w:val="24"/>
        </w:rPr>
        <w:t xml:space="preserve">-risk sample </w:t>
      </w:r>
      <w:r w:rsidR="00ED2C65" w:rsidRPr="00E51082">
        <w:rPr>
          <w:szCs w:val="24"/>
        </w:rPr>
        <w:t>(considering both a lower cut-off</w:t>
      </w:r>
      <w:r w:rsidR="00051197" w:rsidRPr="00E51082">
        <w:rPr>
          <w:szCs w:val="24"/>
        </w:rPr>
        <w:t xml:space="preserve"> for being at-risk</w:t>
      </w:r>
      <w:r w:rsidR="00ED2C65" w:rsidRPr="00E51082">
        <w:rPr>
          <w:szCs w:val="24"/>
        </w:rPr>
        <w:t xml:space="preserve"> of 10 </w:t>
      </w:r>
      <w:r w:rsidR="00051197" w:rsidRPr="00E51082">
        <w:rPr>
          <w:szCs w:val="24"/>
        </w:rPr>
        <w:t xml:space="preserve">or more </w:t>
      </w:r>
      <w:r w:rsidR="00ED2C65" w:rsidRPr="00E51082">
        <w:rPr>
          <w:szCs w:val="24"/>
        </w:rPr>
        <w:t>on the EPDS and a higher cut-off of 13</w:t>
      </w:r>
      <w:r w:rsidR="00051197" w:rsidRPr="00E51082">
        <w:rPr>
          <w:szCs w:val="24"/>
        </w:rPr>
        <w:t xml:space="preserve"> or more</w:t>
      </w:r>
      <w:r w:rsidR="00ED2C65" w:rsidRPr="00E51082">
        <w:rPr>
          <w:szCs w:val="24"/>
        </w:rPr>
        <w:t xml:space="preserve"> on the EPDS) </w:t>
      </w:r>
      <w:r w:rsidRPr="00E51082">
        <w:rPr>
          <w:szCs w:val="24"/>
        </w:rPr>
        <w:t>to examine whether the results were robust to changes in the size and composition of the low</w:t>
      </w:r>
      <w:r w:rsidR="00242A17" w:rsidRPr="00E51082">
        <w:rPr>
          <w:szCs w:val="24"/>
        </w:rPr>
        <w:t>er</w:t>
      </w:r>
      <w:r w:rsidRPr="00E51082">
        <w:rPr>
          <w:szCs w:val="24"/>
        </w:rPr>
        <w:t xml:space="preserve">-risk group. The estimates of cost and QALY differences were fairly similar to </w:t>
      </w:r>
      <w:r w:rsidR="002A0CA1" w:rsidRPr="00E51082">
        <w:rPr>
          <w:szCs w:val="24"/>
        </w:rPr>
        <w:t xml:space="preserve">those in </w:t>
      </w:r>
      <w:r w:rsidRPr="00E51082">
        <w:rPr>
          <w:szCs w:val="24"/>
        </w:rPr>
        <w:t xml:space="preserve">the main analyses. </w:t>
      </w:r>
      <w:r w:rsidR="00445751" w:rsidRPr="00E51082">
        <w:rPr>
          <w:szCs w:val="24"/>
        </w:rPr>
        <w:t xml:space="preserve">With the lower cut-off for </w:t>
      </w:r>
      <w:r w:rsidR="00051197" w:rsidRPr="00E51082">
        <w:rPr>
          <w:szCs w:val="24"/>
        </w:rPr>
        <w:t>higher</w:t>
      </w:r>
      <w:r w:rsidR="00445751" w:rsidRPr="00E51082">
        <w:rPr>
          <w:szCs w:val="24"/>
        </w:rPr>
        <w:t xml:space="preserve">-risk status, </w:t>
      </w:r>
      <w:r w:rsidRPr="00E51082">
        <w:rPr>
          <w:szCs w:val="24"/>
        </w:rPr>
        <w:t xml:space="preserve">adjusted QALY difference estimates were </w:t>
      </w:r>
      <w:r w:rsidR="00095563" w:rsidRPr="00E51082">
        <w:rPr>
          <w:szCs w:val="24"/>
        </w:rPr>
        <w:t>0.001</w:t>
      </w:r>
      <w:r w:rsidR="00ED2C65" w:rsidRPr="00E51082">
        <w:rPr>
          <w:szCs w:val="24"/>
        </w:rPr>
        <w:t xml:space="preserve"> </w:t>
      </w:r>
      <w:r w:rsidR="00265C65" w:rsidRPr="00E51082">
        <w:rPr>
          <w:szCs w:val="24"/>
        </w:rPr>
        <w:t>(95% CI -0.002,</w:t>
      </w:r>
      <w:r w:rsidR="00742F75" w:rsidRPr="00E51082">
        <w:rPr>
          <w:szCs w:val="24"/>
        </w:rPr>
        <w:t xml:space="preserve"> </w:t>
      </w:r>
      <w:r w:rsidR="00265C65" w:rsidRPr="00E51082">
        <w:rPr>
          <w:szCs w:val="24"/>
        </w:rPr>
        <w:t>0.004)</w:t>
      </w:r>
      <w:r w:rsidR="00095563" w:rsidRPr="00E51082">
        <w:rPr>
          <w:szCs w:val="24"/>
        </w:rPr>
        <w:t xml:space="preserve"> </w:t>
      </w:r>
      <w:r w:rsidRPr="00E51082">
        <w:rPr>
          <w:szCs w:val="24"/>
        </w:rPr>
        <w:t>lower than in the main analyses (0.001 vs. 0.002)</w:t>
      </w:r>
      <w:r w:rsidR="006C156C" w:rsidRPr="00E51082">
        <w:rPr>
          <w:szCs w:val="24"/>
        </w:rPr>
        <w:t xml:space="preserve">. </w:t>
      </w:r>
      <w:r w:rsidR="00445751" w:rsidRPr="00E51082">
        <w:rPr>
          <w:szCs w:val="24"/>
        </w:rPr>
        <w:t xml:space="preserve">With the higher cut-off, estimates were the </w:t>
      </w:r>
      <w:r w:rsidRPr="00E51082">
        <w:rPr>
          <w:szCs w:val="24"/>
        </w:rPr>
        <w:t xml:space="preserve">same as in the main analyses. </w:t>
      </w:r>
      <w:r w:rsidR="00A242E5" w:rsidRPr="00E51082">
        <w:rPr>
          <w:szCs w:val="24"/>
        </w:rPr>
        <w:t>C</w:t>
      </w:r>
      <w:r w:rsidRPr="00E51082">
        <w:rPr>
          <w:szCs w:val="24"/>
        </w:rPr>
        <w:t xml:space="preserve">ost differences were again similar to the main analyses for the lower cut-off and £10 lower than </w:t>
      </w:r>
      <w:r w:rsidRPr="00E51082">
        <w:rPr>
          <w:szCs w:val="24"/>
        </w:rPr>
        <w:lastRenderedPageBreak/>
        <w:t>in the main analyses with the higher cut-off. CEACs were similar t</w:t>
      </w:r>
      <w:r w:rsidR="00061822" w:rsidRPr="00E51082">
        <w:rPr>
          <w:szCs w:val="24"/>
        </w:rPr>
        <w:t>o those in the main analyses (supplementary file S1</w:t>
      </w:r>
      <w:r w:rsidRPr="00E51082">
        <w:rPr>
          <w:szCs w:val="24"/>
        </w:rPr>
        <w:t xml:space="preserve"> Figure </w:t>
      </w:r>
      <w:r w:rsidR="00061822" w:rsidRPr="00E51082">
        <w:rPr>
          <w:szCs w:val="24"/>
        </w:rPr>
        <w:t>S1.</w:t>
      </w:r>
      <w:r w:rsidRPr="00E51082">
        <w:rPr>
          <w:szCs w:val="24"/>
        </w:rPr>
        <w:t>2).</w:t>
      </w:r>
    </w:p>
    <w:p w14:paraId="7F85537D" w14:textId="464F391F" w:rsidR="00FE1663" w:rsidRPr="00E51082" w:rsidRDefault="00FE1663" w:rsidP="00FE1663">
      <w:pPr>
        <w:spacing w:after="120"/>
        <w:rPr>
          <w:szCs w:val="24"/>
        </w:rPr>
      </w:pPr>
      <w:r w:rsidRPr="00E51082">
        <w:rPr>
          <w:szCs w:val="24"/>
        </w:rPr>
        <w:t>Running the analyses on imputed data also produced similar results to the main analyses in terms of estimated mean costs and QALY</w:t>
      </w:r>
      <w:r w:rsidR="000D4757" w:rsidRPr="00E51082">
        <w:rPr>
          <w:szCs w:val="24"/>
        </w:rPr>
        <w:t>s</w:t>
      </w:r>
      <w:r w:rsidRPr="00E51082">
        <w:rPr>
          <w:szCs w:val="24"/>
        </w:rPr>
        <w:t xml:space="preserve"> at </w:t>
      </w:r>
      <w:r w:rsidR="000D4757" w:rsidRPr="00E51082">
        <w:rPr>
          <w:szCs w:val="24"/>
        </w:rPr>
        <w:t>6</w:t>
      </w:r>
      <w:r w:rsidRPr="00E51082">
        <w:rPr>
          <w:szCs w:val="24"/>
        </w:rPr>
        <w:t xml:space="preserve"> months. The adjusted QALY difference was very slightly higher than in the main analysis and the confidence interval did not cross zero; the adjusted cost difference </w:t>
      </w:r>
      <w:r w:rsidR="000D4757" w:rsidRPr="00E51082">
        <w:rPr>
          <w:szCs w:val="24"/>
        </w:rPr>
        <w:t xml:space="preserve">of </w:t>
      </w:r>
      <w:r w:rsidR="002B4D2B" w:rsidRPr="00E51082">
        <w:rPr>
          <w:szCs w:val="24"/>
        </w:rPr>
        <w:t xml:space="preserve">-£47 (95% CI -85, -10) </w:t>
      </w:r>
      <w:r w:rsidRPr="00E51082">
        <w:rPr>
          <w:szCs w:val="24"/>
        </w:rPr>
        <w:t xml:space="preserve">was </w:t>
      </w:r>
      <w:r w:rsidR="00B12727" w:rsidRPr="00E51082">
        <w:rPr>
          <w:szCs w:val="24"/>
        </w:rPr>
        <w:t>£35</w:t>
      </w:r>
      <w:r w:rsidR="00265C65" w:rsidRPr="00E51082">
        <w:rPr>
          <w:szCs w:val="24"/>
        </w:rPr>
        <w:t xml:space="preserve"> </w:t>
      </w:r>
      <w:r w:rsidRPr="00E51082">
        <w:rPr>
          <w:szCs w:val="24"/>
        </w:rPr>
        <w:t xml:space="preserve">lower than in the main analysis, with a </w:t>
      </w:r>
      <w:r w:rsidR="00B85B05" w:rsidRPr="00E51082">
        <w:rPr>
          <w:szCs w:val="24"/>
        </w:rPr>
        <w:t xml:space="preserve">smaller </w:t>
      </w:r>
      <w:r w:rsidRPr="00E51082">
        <w:rPr>
          <w:szCs w:val="24"/>
        </w:rPr>
        <w:t>confidence interval. The ICER was considerably reduced (from -50</w:t>
      </w:r>
      <w:r w:rsidR="00A242E5" w:rsidRPr="00E51082">
        <w:rPr>
          <w:szCs w:val="24"/>
        </w:rPr>
        <w:t>,</w:t>
      </w:r>
      <w:r w:rsidRPr="00E51082">
        <w:rPr>
          <w:szCs w:val="24"/>
        </w:rPr>
        <w:t>800 to -</w:t>
      </w:r>
      <w:r w:rsidR="002B4D2B" w:rsidRPr="00E51082">
        <w:rPr>
          <w:szCs w:val="24"/>
        </w:rPr>
        <w:t>16</w:t>
      </w:r>
      <w:r w:rsidR="00A242E5" w:rsidRPr="00E51082">
        <w:rPr>
          <w:szCs w:val="24"/>
        </w:rPr>
        <w:t>,</w:t>
      </w:r>
      <w:r w:rsidR="002B4D2B" w:rsidRPr="00E51082">
        <w:rPr>
          <w:szCs w:val="24"/>
        </w:rPr>
        <w:t>7</w:t>
      </w:r>
      <w:r w:rsidR="00795865" w:rsidRPr="00E51082">
        <w:rPr>
          <w:szCs w:val="24"/>
        </w:rPr>
        <w:t>00</w:t>
      </w:r>
      <w:r w:rsidRPr="00E51082">
        <w:rPr>
          <w:szCs w:val="24"/>
        </w:rPr>
        <w:t xml:space="preserve">), with a confidence interval that </w:t>
      </w:r>
      <w:r w:rsidR="005418CE" w:rsidRPr="00E51082">
        <w:rPr>
          <w:szCs w:val="24"/>
        </w:rPr>
        <w:t xml:space="preserve">was </w:t>
      </w:r>
      <w:r w:rsidRPr="00E51082">
        <w:rPr>
          <w:szCs w:val="24"/>
        </w:rPr>
        <w:t>negative</w:t>
      </w:r>
      <w:r w:rsidR="00A242E5" w:rsidRPr="00E51082">
        <w:rPr>
          <w:szCs w:val="24"/>
        </w:rPr>
        <w:t>,</w:t>
      </w:r>
      <w:r w:rsidRPr="00E51082">
        <w:rPr>
          <w:szCs w:val="24"/>
        </w:rPr>
        <w:t xml:space="preserve"> suggest</w:t>
      </w:r>
      <w:r w:rsidR="00A242E5" w:rsidRPr="00E51082">
        <w:rPr>
          <w:szCs w:val="24"/>
        </w:rPr>
        <w:t>ing</w:t>
      </w:r>
      <w:r w:rsidRPr="00E51082">
        <w:rPr>
          <w:szCs w:val="24"/>
        </w:rPr>
        <w:t xml:space="preserve"> that</w:t>
      </w:r>
      <w:r w:rsidR="000D4757" w:rsidRPr="00E51082">
        <w:rPr>
          <w:szCs w:val="24"/>
        </w:rPr>
        <w:t>,</w:t>
      </w:r>
      <w:r w:rsidRPr="00E51082">
        <w:rPr>
          <w:szCs w:val="24"/>
        </w:rPr>
        <w:t xml:space="preserve"> taking sampling uncertainty into account as well as the point estimate, the combined intervention was dominant. CEACs were very similar to those in the main analyses</w:t>
      </w:r>
      <w:r w:rsidR="00A242E5" w:rsidRPr="00E51082">
        <w:rPr>
          <w:szCs w:val="24"/>
        </w:rPr>
        <w:t xml:space="preserve"> (</w:t>
      </w:r>
      <w:r w:rsidR="00061822" w:rsidRPr="00E51082">
        <w:rPr>
          <w:szCs w:val="24"/>
        </w:rPr>
        <w:t>supplementary file S1</w:t>
      </w:r>
      <w:r w:rsidR="00A242E5" w:rsidRPr="00E51082">
        <w:rPr>
          <w:szCs w:val="24"/>
        </w:rPr>
        <w:t xml:space="preserve"> Figure </w:t>
      </w:r>
      <w:r w:rsidR="009C4EA8" w:rsidRPr="00E51082">
        <w:rPr>
          <w:szCs w:val="24"/>
        </w:rPr>
        <w:t>S1.</w:t>
      </w:r>
      <w:r w:rsidR="00A242E5" w:rsidRPr="00E51082">
        <w:rPr>
          <w:szCs w:val="24"/>
        </w:rPr>
        <w:t>3)</w:t>
      </w:r>
      <w:r w:rsidRPr="00E51082">
        <w:rPr>
          <w:szCs w:val="24"/>
        </w:rPr>
        <w:t xml:space="preserve">. </w:t>
      </w:r>
    </w:p>
    <w:p w14:paraId="38E0DFEA" w14:textId="50D2525F" w:rsidR="00FE1663" w:rsidRPr="00AB2C35" w:rsidRDefault="00FE1663" w:rsidP="00AB2C35">
      <w:pPr>
        <w:pStyle w:val="Heading1"/>
      </w:pPr>
      <w:r w:rsidRPr="00AB2C35">
        <w:t>D</w:t>
      </w:r>
      <w:r w:rsidR="00E7711B" w:rsidRPr="00AB2C35">
        <w:t>iscussion</w:t>
      </w:r>
    </w:p>
    <w:p w14:paraId="7BC3DE29" w14:textId="01D7AD5E" w:rsidR="0051589A" w:rsidRPr="00E51082" w:rsidRDefault="00FE1663" w:rsidP="00FE1663">
      <w:pPr>
        <w:autoSpaceDE w:val="0"/>
        <w:autoSpaceDN w:val="0"/>
        <w:adjustRightInd w:val="0"/>
        <w:spacing w:after="120"/>
        <w:rPr>
          <w:szCs w:val="24"/>
        </w:rPr>
      </w:pPr>
      <w:r w:rsidRPr="00E51082">
        <w:rPr>
          <w:szCs w:val="24"/>
        </w:rPr>
        <w:t xml:space="preserve">Our analyses examined the impacts of </w:t>
      </w:r>
      <w:r w:rsidR="00CF66A3" w:rsidRPr="00E51082">
        <w:rPr>
          <w:szCs w:val="24"/>
        </w:rPr>
        <w:t>PoNDER</w:t>
      </w:r>
      <w:r w:rsidRPr="00E51082">
        <w:rPr>
          <w:szCs w:val="24"/>
        </w:rPr>
        <w:t xml:space="preserve"> </w:t>
      </w:r>
      <w:r w:rsidR="00CF66A3" w:rsidRPr="00E51082">
        <w:rPr>
          <w:szCs w:val="24"/>
        </w:rPr>
        <w:t xml:space="preserve">HV </w:t>
      </w:r>
      <w:r w:rsidRPr="00E51082">
        <w:rPr>
          <w:szCs w:val="24"/>
        </w:rPr>
        <w:t>training</w:t>
      </w:r>
      <w:r w:rsidR="00742F75" w:rsidRPr="00E51082">
        <w:rPr>
          <w:szCs w:val="24"/>
        </w:rPr>
        <w:t xml:space="preserve"> package</w:t>
      </w:r>
      <w:r w:rsidRPr="00E51082">
        <w:rPr>
          <w:szCs w:val="24"/>
        </w:rPr>
        <w:t xml:space="preserve"> on </w:t>
      </w:r>
      <w:r w:rsidR="00823DF2" w:rsidRPr="00E51082">
        <w:rPr>
          <w:szCs w:val="24"/>
        </w:rPr>
        <w:t>6</w:t>
      </w:r>
      <w:r w:rsidRPr="00E51082">
        <w:rPr>
          <w:szCs w:val="24"/>
        </w:rPr>
        <w:t>-month costs and QALY</w:t>
      </w:r>
      <w:r w:rsidR="00A242E5" w:rsidRPr="00E51082">
        <w:rPr>
          <w:szCs w:val="24"/>
        </w:rPr>
        <w:t>s</w:t>
      </w:r>
      <w:r w:rsidRPr="00E51082">
        <w:rPr>
          <w:szCs w:val="24"/>
        </w:rPr>
        <w:t xml:space="preserve"> for mothers at </w:t>
      </w:r>
      <w:r w:rsidR="002A0CA1" w:rsidRPr="00E51082">
        <w:rPr>
          <w:i/>
          <w:szCs w:val="24"/>
        </w:rPr>
        <w:t>lower</w:t>
      </w:r>
      <w:r w:rsidRPr="00E51082">
        <w:rPr>
          <w:i/>
          <w:szCs w:val="24"/>
        </w:rPr>
        <w:t xml:space="preserve"> risk</w:t>
      </w:r>
      <w:r w:rsidRPr="00E51082">
        <w:rPr>
          <w:szCs w:val="24"/>
        </w:rPr>
        <w:t xml:space="preserve"> of PND. </w:t>
      </w:r>
      <w:r w:rsidR="00A242E5" w:rsidRPr="00E51082">
        <w:rPr>
          <w:szCs w:val="24"/>
        </w:rPr>
        <w:t>T</w:t>
      </w:r>
      <w:r w:rsidRPr="00E51082">
        <w:rPr>
          <w:szCs w:val="24"/>
        </w:rPr>
        <w:t xml:space="preserve">he intervention </w:t>
      </w:r>
      <w:r w:rsidR="000D4757" w:rsidRPr="00E51082">
        <w:rPr>
          <w:szCs w:val="24"/>
        </w:rPr>
        <w:t xml:space="preserve">for this population of mothers </w:t>
      </w:r>
      <w:r w:rsidR="002A0CA1" w:rsidRPr="00E51082">
        <w:rPr>
          <w:szCs w:val="24"/>
        </w:rPr>
        <w:t>was</w:t>
      </w:r>
      <w:r w:rsidRPr="00E51082">
        <w:rPr>
          <w:szCs w:val="24"/>
        </w:rPr>
        <w:t xml:space="preserve"> </w:t>
      </w:r>
      <w:r w:rsidR="000D4757" w:rsidRPr="00E51082">
        <w:rPr>
          <w:szCs w:val="24"/>
        </w:rPr>
        <w:t xml:space="preserve">not only </w:t>
      </w:r>
      <w:r w:rsidRPr="00E51082">
        <w:rPr>
          <w:szCs w:val="24"/>
        </w:rPr>
        <w:t xml:space="preserve">cost-effective at the NICE threshold of £20,000 </w:t>
      </w:r>
      <w:r w:rsidR="00857F21" w:rsidRPr="00E51082">
        <w:rPr>
          <w:szCs w:val="24"/>
        </w:rPr>
        <w:t>per QALY gained</w:t>
      </w:r>
      <w:r w:rsidR="000D4757" w:rsidRPr="00E51082">
        <w:rPr>
          <w:szCs w:val="24"/>
        </w:rPr>
        <w:t>, but also cost-reducing</w:t>
      </w:r>
      <w:r w:rsidRPr="00E51082">
        <w:rPr>
          <w:szCs w:val="24"/>
        </w:rPr>
        <w:t xml:space="preserve">. This finding is of </w:t>
      </w:r>
      <w:r w:rsidR="000D4757" w:rsidRPr="00E51082">
        <w:rPr>
          <w:szCs w:val="24"/>
        </w:rPr>
        <w:t xml:space="preserve">particular </w:t>
      </w:r>
      <w:r w:rsidRPr="00E51082">
        <w:rPr>
          <w:szCs w:val="24"/>
        </w:rPr>
        <w:t xml:space="preserve">interest given that the </w:t>
      </w:r>
      <w:r w:rsidR="00A242E5" w:rsidRPr="00E51082">
        <w:rPr>
          <w:szCs w:val="24"/>
        </w:rPr>
        <w:t>eight</w:t>
      </w:r>
      <w:r w:rsidR="00CF66A3" w:rsidRPr="00E51082">
        <w:rPr>
          <w:szCs w:val="24"/>
        </w:rPr>
        <w:t xml:space="preserve"> </w:t>
      </w:r>
      <w:r w:rsidRPr="00E51082">
        <w:rPr>
          <w:szCs w:val="24"/>
        </w:rPr>
        <w:t xml:space="preserve">psychologically-informed </w:t>
      </w:r>
      <w:r w:rsidR="00CF66A3" w:rsidRPr="00E51082">
        <w:rPr>
          <w:szCs w:val="24"/>
        </w:rPr>
        <w:t xml:space="preserve">HV </w:t>
      </w:r>
      <w:r w:rsidRPr="00E51082">
        <w:rPr>
          <w:szCs w:val="24"/>
        </w:rPr>
        <w:t xml:space="preserve">sessions </w:t>
      </w:r>
      <w:r w:rsidR="00CF66A3" w:rsidRPr="00E51082">
        <w:rPr>
          <w:szCs w:val="24"/>
        </w:rPr>
        <w:t xml:space="preserve">were </w:t>
      </w:r>
      <w:r w:rsidRPr="00E51082">
        <w:rPr>
          <w:szCs w:val="24"/>
        </w:rPr>
        <w:t xml:space="preserve">primarily targeted at </w:t>
      </w:r>
      <w:r w:rsidR="002A0CA1" w:rsidRPr="00E51082">
        <w:rPr>
          <w:szCs w:val="24"/>
        </w:rPr>
        <w:t xml:space="preserve">women with an EPDS score of 12 or </w:t>
      </w:r>
      <w:r w:rsidR="00CF66A3" w:rsidRPr="00E51082">
        <w:rPr>
          <w:szCs w:val="24"/>
        </w:rPr>
        <w:t>more</w:t>
      </w:r>
      <w:r w:rsidR="00274898" w:rsidRPr="00E51082">
        <w:rPr>
          <w:szCs w:val="24"/>
        </w:rPr>
        <w:t xml:space="preserve"> </w:t>
      </w:r>
      <w:r w:rsidRPr="00E51082">
        <w:rPr>
          <w:szCs w:val="24"/>
        </w:rPr>
        <w:fldChar w:fldCharType="begin" w:fldLock="1"/>
      </w:r>
      <w:r w:rsidR="00706093">
        <w:rPr>
          <w:szCs w:val="24"/>
        </w:rPr>
        <w:instrText>ADDIN CSL_CITATION {"citationItems":[{"id":"ITEM-1","itemData":{"DOI":"10.1017/S0033291710001467","ISBN":"1469-8978","ISSN":"0033-2917","PMID":"20716383","abstract":"To test whether receiving care from a health visitor (HV) trained in identification and psychological intervention methods prevents depression 6-18 months postnatally in women who are not depressed 6 weeks postnatally.","author":[{"dropping-particle":"","family":"Brugha","given":"T. S.","non-dropping-particle":"","parse-names":false,"suffix":""},{"dropping-particle":"","family":"Morrell","given":"C. J.","non-dropping-particle":"","parse-names":false,"suffix":""},{"dropping-particle":"","family":"Slade","given":"P.","non-dropping-particle":"","parse-names":false,"suffix":""},{"dropping-particle":"","family":"Walters","given":"S. J.","non-dropping-particle":"","parse-names":false,"suffix":""}],"container-title":"Psychological Medicine","id":"ITEM-1","issue":"04","issued":{"date-parts":[["2011","4","18"]]},"note":"NULL","page":"739-748","title":"Universal prevention of depression in women postnatally: cluster randomized trial evidence in primary care","type":"article-journal","volume":"41"},"uris":["http://www.mendeley.com/documents/?uuid=79de586f-82e6-4268-b933-5615be4fd12a"]},{"id":"ITEM-2","itemData":{"DOI":"10.3310/hta13300","ISBN":"2046-4924 (Electronic)\r1366-5278 (Linking)","PMID":"19555590","abstract":"OBJECTIVES: To investigate outcomes for postnatal women attributed to special training for health visitors (HVs) in systematically identifying postnatal depression and delivering psychologically informed interventions, and to establish the cost-effectiveness of the intervention. DESIGN: A pragmatic randomised cluster trial with clusters allocated to experimental HV training arms or control, with an 18-month follow-up. SETTING: GP practices in the former Trent Regional Health Authority. PARTICIPANTS: Women registered with participating GP practices who became 36 weeks pregnant during the recruitment phase of the trial, had a live baby and were on a collaborating HV's caseload for 4 months postnatally. INTERVENTION: HV training in the assessment of postnatal women, combined with either cognitive behavioural approach (CBA) or person-centred approach (PCA) sessions for eligible women, plus the option of a selective serotonin reuptake inhibitor if indicated. MAIN OUTCOME MEASURES: The primary outcome was the proportion of at-risk women with a 6-month Edinburgh Postnatal Depression Scale (EPDS) score &gt; or = 12. The primary comparison was between at-risk women in the combined clusters randomised to HV training and women in practices randomised to provide HV usual care. The secondary comparison was to determine any differences between the proportions of women with a 6-month EPDS score &gt; or = 12 in the CBA and PCA groups. RESULTS: HVs in 101 clusters in 29 primary care trusts collaborated in the study. From 7649 eligible women 4084 (53.4%) consented to take part: 17.3% (595/3449) of women who returned a 6-week questionnaire had a 6-week EPDS score &gt; or = 12 and were at-risk women; 70.3% (418/595) of at-risk women had a 6-month EPDS score available. In total, 45.6% (67/147) of control group (CG) at-risk women had a 6-month EPDS score &gt; or = 12 versus 33.9% (93/271) of intervention group (IG) women (p = 0.036). A total of 32.9% (46/140) of at-risk women in the CBA group versus 35.1% (46/131) in the PCA group had a 6-month EPDS score &gt; or = 12 (p = 0.74). The CG mean 6-month EPDS score for at-risk women was 11.3 (SD 5.8) versus 9.2 (SD 5.4) for the IG (p = 0.002) and this remained statistically significant after adjusting for 6-week variables (p = 0.001). In total, 16.4% (150/914) of all women in the CG had a 6-month EPDS score &gt; or = 12 compared with 11.7% (205/1745) in the IG (p = 0.003). The CG mean 6-month EPDS score for all women was 6.4 (SD 5.2) compared with…","author":[{"dropping-particle":"","family":"Morrell","given":"C J","non-dropping-particle":"","parse-names":false,"suffix":""},{"dropping-particle":"","family":"Warner","given":"R","non-dropping-particle":"","parse-names":false,"suffix":""},{"dropping-particle":"","family":"Slade","given":"P","non-dropping-particle":"","parse-names":false,"suffix":""},{"dropping-particle":"","family":"Dixon","given":"S","non-dropping-particle":"","parse-names":false,"suffix":""},{"dropping-particle":"","family":"Walters","given":"S","non-dropping-particle":"","parse-names":false,"suffix":""},{"dropping-particle":"","family":"Paley","given":"G","non-dropping-particle":"","parse-names":false,"suffix":""},{"dropping-particle":"","family":"Brugha","given":"T","non-dropping-particle":"","parse-names":false,"suffix":""}],"container-title":"Health Technol Assess","edition":"2009/06/27","id":"ITEM-2","issue":"30","issued":{"date-parts":[["2009"]]},"language":"eng","note":"Morrell, C J\nWarner, R\nSlade, P\nDixon, S\nWalters, S\nPaley, G\nBrugha, T\nRandomized Controlled Trial\nResearch Support, Non-U.S. Gov't\nEngland\nHealth technology assessment (Winchester, England)\nHealth Technol Assess. 2009 Jun;13(30):iii-iv, xi-xiii, 1-153. doi: 10.3310/hta13300.","page":"iii-iv, xi-xiii, 1-153","title":"Psychological interventions for postnatal depression: cluster randomised trial and economic evaluation. The PoNDER trial","type":"article-journal","volume":"13"},"uris":["http://www.mendeley.com/documents/?uuid=b5e9f0ca-d9c5-4aa1-8b95-5884234a3e08"]}],"mendeley":{"formattedCitation":"(Morrell &lt;i&gt;et al.&lt;/i&gt; 2009b; Brugha &lt;i&gt;et al.&lt;/i&gt; 2011)","plainTextFormattedCitation":"(Morrell et al. 2009b; Brugha et al. 2011)","previouslyFormattedCitation":"(Morrell &lt;i&gt;et al.&lt;/i&gt; 2009b; Brugha &lt;i&gt;et al.&lt;/i&gt; 2011)"},"properties":{"noteIndex":0},"schema":"https://github.com/citation-style-language/schema/raw/master/csl-citation.json"}</w:instrText>
      </w:r>
      <w:r w:rsidRPr="00E51082">
        <w:rPr>
          <w:szCs w:val="24"/>
        </w:rPr>
        <w:fldChar w:fldCharType="separate"/>
      </w:r>
      <w:r w:rsidR="00EC15F5" w:rsidRPr="00E51082">
        <w:rPr>
          <w:noProof/>
          <w:szCs w:val="24"/>
        </w:rPr>
        <w:t xml:space="preserve">(Morrell </w:t>
      </w:r>
      <w:r w:rsidR="00EC15F5" w:rsidRPr="00E51082">
        <w:rPr>
          <w:i/>
          <w:noProof/>
          <w:szCs w:val="24"/>
        </w:rPr>
        <w:t>et al.</w:t>
      </w:r>
      <w:r w:rsidR="00EC15F5" w:rsidRPr="00E51082">
        <w:rPr>
          <w:noProof/>
          <w:szCs w:val="24"/>
        </w:rPr>
        <w:t xml:space="preserve"> 2009b; Brugha </w:t>
      </w:r>
      <w:r w:rsidR="00EC15F5" w:rsidRPr="00E51082">
        <w:rPr>
          <w:i/>
          <w:noProof/>
          <w:szCs w:val="24"/>
        </w:rPr>
        <w:t>et al.</w:t>
      </w:r>
      <w:r w:rsidR="00EC15F5" w:rsidRPr="00E51082">
        <w:rPr>
          <w:noProof/>
          <w:szCs w:val="24"/>
        </w:rPr>
        <w:t xml:space="preserve"> 2011)</w:t>
      </w:r>
      <w:r w:rsidRPr="00E51082">
        <w:rPr>
          <w:szCs w:val="24"/>
        </w:rPr>
        <w:fldChar w:fldCharType="end"/>
      </w:r>
      <w:r w:rsidRPr="00E51082">
        <w:rPr>
          <w:szCs w:val="24"/>
        </w:rPr>
        <w:t xml:space="preserve"> and not at those </w:t>
      </w:r>
      <w:r w:rsidR="00CF66A3" w:rsidRPr="00E51082">
        <w:rPr>
          <w:szCs w:val="24"/>
        </w:rPr>
        <w:t xml:space="preserve">‘very low risk’ and ‘subthreshold risk’ </w:t>
      </w:r>
      <w:r w:rsidR="000D4757" w:rsidRPr="00E51082">
        <w:rPr>
          <w:szCs w:val="24"/>
        </w:rPr>
        <w:t>women included in the analyses reported</w:t>
      </w:r>
      <w:r w:rsidRPr="00E51082">
        <w:rPr>
          <w:szCs w:val="24"/>
        </w:rPr>
        <w:t xml:space="preserve"> here. The choice of approach (cognitive-behavioural or person-centred) made relatively little difference to </w:t>
      </w:r>
      <w:r w:rsidR="000D4757" w:rsidRPr="00E51082">
        <w:rPr>
          <w:szCs w:val="24"/>
        </w:rPr>
        <w:t xml:space="preserve">cost or to </w:t>
      </w:r>
      <w:r w:rsidRPr="00E51082">
        <w:rPr>
          <w:szCs w:val="24"/>
        </w:rPr>
        <w:t xml:space="preserve">probability of cost-effectiveness at the £20,000 threshold, suggesting that training in CBA and PCA approaches </w:t>
      </w:r>
      <w:r w:rsidR="005E2273" w:rsidRPr="00E51082">
        <w:rPr>
          <w:szCs w:val="24"/>
        </w:rPr>
        <w:t>had</w:t>
      </w:r>
      <w:r w:rsidRPr="00E51082">
        <w:rPr>
          <w:szCs w:val="24"/>
        </w:rPr>
        <w:t xml:space="preserve"> more or less equivalent</w:t>
      </w:r>
      <w:r w:rsidR="005E2273" w:rsidRPr="00E51082">
        <w:rPr>
          <w:szCs w:val="24"/>
        </w:rPr>
        <w:t xml:space="preserve"> economic consequences</w:t>
      </w:r>
      <w:r w:rsidRPr="00E51082">
        <w:rPr>
          <w:szCs w:val="24"/>
        </w:rPr>
        <w:t>. The impact of</w:t>
      </w:r>
      <w:r w:rsidR="00DB75A8" w:rsidRPr="00E51082">
        <w:rPr>
          <w:szCs w:val="24"/>
        </w:rPr>
        <w:t xml:space="preserve"> PoNDER</w:t>
      </w:r>
      <w:r w:rsidRPr="00E51082">
        <w:rPr>
          <w:szCs w:val="24"/>
        </w:rPr>
        <w:t xml:space="preserve"> HV training did not appear to be confined to those women closer to the </w:t>
      </w:r>
      <w:r w:rsidR="00D4713C" w:rsidRPr="00E51082">
        <w:rPr>
          <w:szCs w:val="24"/>
        </w:rPr>
        <w:t xml:space="preserve">EPDS </w:t>
      </w:r>
      <w:r w:rsidR="00424047" w:rsidRPr="00E51082">
        <w:rPr>
          <w:szCs w:val="24"/>
        </w:rPr>
        <w:t xml:space="preserve">threshold </w:t>
      </w:r>
      <w:r w:rsidR="00D4713C" w:rsidRPr="00E51082">
        <w:rPr>
          <w:szCs w:val="24"/>
        </w:rPr>
        <w:t>score of 12</w:t>
      </w:r>
      <w:r w:rsidRPr="00E51082">
        <w:rPr>
          <w:szCs w:val="24"/>
        </w:rPr>
        <w:t xml:space="preserve">, as evidenced by analyses of number of HV visits across </w:t>
      </w:r>
      <w:r w:rsidR="00366713" w:rsidRPr="00E51082">
        <w:rPr>
          <w:szCs w:val="24"/>
        </w:rPr>
        <w:t>risk</w:t>
      </w:r>
      <w:r w:rsidRPr="00E51082">
        <w:rPr>
          <w:szCs w:val="24"/>
        </w:rPr>
        <w:t xml:space="preserve"> sub-groups and by sensitivity analyses varying the threshold for low</w:t>
      </w:r>
      <w:r w:rsidR="005E2273" w:rsidRPr="00E51082">
        <w:rPr>
          <w:szCs w:val="24"/>
        </w:rPr>
        <w:t>er</w:t>
      </w:r>
      <w:r w:rsidRPr="00E51082">
        <w:rPr>
          <w:szCs w:val="24"/>
        </w:rPr>
        <w:t xml:space="preserve">-risk. </w:t>
      </w:r>
    </w:p>
    <w:p w14:paraId="27F35EF4" w14:textId="5AE487D4" w:rsidR="00FE1663" w:rsidRPr="00E51082" w:rsidRDefault="00FE1663" w:rsidP="00FE1663">
      <w:pPr>
        <w:autoSpaceDE w:val="0"/>
        <w:autoSpaceDN w:val="0"/>
        <w:adjustRightInd w:val="0"/>
        <w:spacing w:after="120"/>
        <w:rPr>
          <w:strike/>
          <w:szCs w:val="24"/>
        </w:rPr>
      </w:pPr>
      <w:r w:rsidRPr="00E51082">
        <w:rPr>
          <w:szCs w:val="24"/>
        </w:rPr>
        <w:t xml:space="preserve">In </w:t>
      </w:r>
      <w:r w:rsidR="005E2273" w:rsidRPr="00E51082">
        <w:rPr>
          <w:szCs w:val="24"/>
        </w:rPr>
        <w:t>relation to</w:t>
      </w:r>
      <w:r w:rsidRPr="00E51082">
        <w:rPr>
          <w:szCs w:val="24"/>
        </w:rPr>
        <w:t xml:space="preserve"> the secondary outcome, the </w:t>
      </w:r>
      <w:r w:rsidR="00401CE6" w:rsidRPr="00E51082">
        <w:rPr>
          <w:szCs w:val="24"/>
        </w:rPr>
        <w:t xml:space="preserve">2.3% </w:t>
      </w:r>
      <w:r w:rsidRPr="00E51082">
        <w:rPr>
          <w:szCs w:val="24"/>
        </w:rPr>
        <w:t xml:space="preserve">mean difference </w:t>
      </w:r>
      <w:r w:rsidR="005E2273" w:rsidRPr="00E51082">
        <w:rPr>
          <w:szCs w:val="24"/>
        </w:rPr>
        <w:t xml:space="preserve">between intervention and control groups </w:t>
      </w:r>
      <w:r w:rsidRPr="00E51082">
        <w:rPr>
          <w:szCs w:val="24"/>
        </w:rPr>
        <w:t xml:space="preserve">in proportions </w:t>
      </w:r>
      <w:r w:rsidR="00401CE6" w:rsidRPr="00E51082">
        <w:rPr>
          <w:szCs w:val="24"/>
        </w:rPr>
        <w:t xml:space="preserve">of </w:t>
      </w:r>
      <w:r w:rsidRPr="00E51082">
        <w:rPr>
          <w:szCs w:val="24"/>
        </w:rPr>
        <w:t>low</w:t>
      </w:r>
      <w:r w:rsidR="005E2273" w:rsidRPr="00E51082">
        <w:rPr>
          <w:szCs w:val="24"/>
        </w:rPr>
        <w:t>er</w:t>
      </w:r>
      <w:r w:rsidRPr="00E51082">
        <w:rPr>
          <w:szCs w:val="24"/>
        </w:rPr>
        <w:t>-risk</w:t>
      </w:r>
      <w:r w:rsidR="00DB75A8" w:rsidRPr="00E51082">
        <w:rPr>
          <w:szCs w:val="24"/>
        </w:rPr>
        <w:t xml:space="preserve"> women</w:t>
      </w:r>
      <w:r w:rsidRPr="00E51082">
        <w:rPr>
          <w:szCs w:val="24"/>
        </w:rPr>
        <w:t xml:space="preserve"> at </w:t>
      </w:r>
      <w:r w:rsidR="00823DF2" w:rsidRPr="00E51082">
        <w:rPr>
          <w:szCs w:val="24"/>
        </w:rPr>
        <w:t>6</w:t>
      </w:r>
      <w:r w:rsidR="00DB75A8" w:rsidRPr="00E51082">
        <w:rPr>
          <w:szCs w:val="24"/>
        </w:rPr>
        <w:t xml:space="preserve"> </w:t>
      </w:r>
      <w:r w:rsidRPr="00E51082">
        <w:rPr>
          <w:szCs w:val="24"/>
        </w:rPr>
        <w:t>months was not statistically significant</w:t>
      </w:r>
      <w:r w:rsidR="00D81CFB" w:rsidRPr="00E51082">
        <w:rPr>
          <w:szCs w:val="24"/>
        </w:rPr>
        <w:t xml:space="preserve">. </w:t>
      </w:r>
      <w:r w:rsidR="00F87713" w:rsidRPr="00E51082">
        <w:rPr>
          <w:szCs w:val="24"/>
        </w:rPr>
        <w:t>I</w:t>
      </w:r>
      <w:r w:rsidR="00C10D1D" w:rsidRPr="00E51082">
        <w:rPr>
          <w:szCs w:val="24"/>
        </w:rPr>
        <w:t>n</w:t>
      </w:r>
      <w:r w:rsidR="0087412E" w:rsidRPr="00E51082">
        <w:rPr>
          <w:szCs w:val="24"/>
        </w:rPr>
        <w:t xml:space="preserve"> a</w:t>
      </w:r>
      <w:r w:rsidR="00C56D9A" w:rsidRPr="00E51082">
        <w:rPr>
          <w:szCs w:val="24"/>
        </w:rPr>
        <w:t>nalys</w:t>
      </w:r>
      <w:r w:rsidR="00F87713" w:rsidRPr="00E51082">
        <w:rPr>
          <w:szCs w:val="24"/>
        </w:rPr>
        <w:t>e</w:t>
      </w:r>
      <w:r w:rsidR="00C56D9A" w:rsidRPr="00E51082">
        <w:rPr>
          <w:szCs w:val="24"/>
        </w:rPr>
        <w:t xml:space="preserve">s </w:t>
      </w:r>
      <w:r w:rsidR="00C10D1D" w:rsidRPr="00E51082">
        <w:rPr>
          <w:szCs w:val="24"/>
        </w:rPr>
        <w:t xml:space="preserve">elsewhere of a larger sample of </w:t>
      </w:r>
      <w:r w:rsidR="00D32ABF" w:rsidRPr="00E51082">
        <w:rPr>
          <w:szCs w:val="24"/>
        </w:rPr>
        <w:t>lower</w:t>
      </w:r>
      <w:r w:rsidR="005E2273" w:rsidRPr="00E51082">
        <w:rPr>
          <w:szCs w:val="24"/>
        </w:rPr>
        <w:t>-</w:t>
      </w:r>
      <w:r w:rsidR="00D32ABF" w:rsidRPr="00E51082">
        <w:rPr>
          <w:szCs w:val="24"/>
        </w:rPr>
        <w:t xml:space="preserve">risk women </w:t>
      </w:r>
      <w:r w:rsidR="00C10D1D" w:rsidRPr="00E51082">
        <w:rPr>
          <w:szCs w:val="24"/>
        </w:rPr>
        <w:t xml:space="preserve">(N=2241) </w:t>
      </w:r>
      <w:r w:rsidRPr="00E51082">
        <w:rPr>
          <w:szCs w:val="24"/>
        </w:rPr>
        <w:t xml:space="preserve">than </w:t>
      </w:r>
      <w:r w:rsidR="00A77D91" w:rsidRPr="00E51082">
        <w:rPr>
          <w:szCs w:val="24"/>
        </w:rPr>
        <w:t xml:space="preserve">the 1446 observations </w:t>
      </w:r>
      <w:r w:rsidRPr="00E51082">
        <w:rPr>
          <w:szCs w:val="24"/>
        </w:rPr>
        <w:t>available for the economic analysis</w:t>
      </w:r>
      <w:r w:rsidR="00C10D1D" w:rsidRPr="00E51082">
        <w:rPr>
          <w:szCs w:val="24"/>
        </w:rPr>
        <w:t xml:space="preserve">, </w:t>
      </w:r>
      <w:r w:rsidRPr="00E51082">
        <w:rPr>
          <w:szCs w:val="24"/>
        </w:rPr>
        <w:t xml:space="preserve">the percentage of women with an EPDS score of 12 or more </w:t>
      </w:r>
      <w:r w:rsidR="00823DF2" w:rsidRPr="00E51082">
        <w:rPr>
          <w:szCs w:val="24"/>
        </w:rPr>
        <w:t>6</w:t>
      </w:r>
      <w:r w:rsidR="005E2273" w:rsidRPr="00E51082">
        <w:rPr>
          <w:szCs w:val="24"/>
        </w:rPr>
        <w:t>-</w:t>
      </w:r>
      <w:r w:rsidRPr="00E51082">
        <w:rPr>
          <w:szCs w:val="24"/>
        </w:rPr>
        <w:t xml:space="preserve">months </w:t>
      </w:r>
      <w:r w:rsidR="00DE63EC" w:rsidRPr="00E51082">
        <w:rPr>
          <w:szCs w:val="24"/>
        </w:rPr>
        <w:t>postnatal</w:t>
      </w:r>
      <w:r w:rsidR="00272E0B" w:rsidRPr="00E51082">
        <w:rPr>
          <w:szCs w:val="24"/>
        </w:rPr>
        <w:t>ly</w:t>
      </w:r>
      <w:r w:rsidRPr="00E51082">
        <w:rPr>
          <w:szCs w:val="24"/>
        </w:rPr>
        <w:t xml:space="preserve"> was 10.8% of control women and 7.7% of intervention women, a difference of 3.1%</w:t>
      </w:r>
      <w:r w:rsidR="00857F21" w:rsidRPr="00E51082">
        <w:rPr>
          <w:szCs w:val="24"/>
        </w:rPr>
        <w:t xml:space="preserve"> (95% CI</w:t>
      </w:r>
      <w:r w:rsidR="00C56D9A" w:rsidRPr="00E51082">
        <w:rPr>
          <w:szCs w:val="24"/>
        </w:rPr>
        <w:t>:</w:t>
      </w:r>
      <w:r w:rsidR="00857F21" w:rsidRPr="00E51082">
        <w:rPr>
          <w:szCs w:val="24"/>
        </w:rPr>
        <w:t xml:space="preserve"> </w:t>
      </w:r>
      <w:r w:rsidR="00C56D9A" w:rsidRPr="00E51082">
        <w:rPr>
          <w:szCs w:val="24"/>
        </w:rPr>
        <w:t>0.4% to 5.9%</w:t>
      </w:r>
      <w:r w:rsidR="00857F21" w:rsidRPr="00E51082">
        <w:rPr>
          <w:szCs w:val="24"/>
        </w:rPr>
        <w:t>)</w:t>
      </w:r>
      <w:r w:rsidR="00274898" w:rsidRPr="00E51082">
        <w:rPr>
          <w:szCs w:val="24"/>
        </w:rPr>
        <w:t xml:space="preserve"> </w:t>
      </w:r>
      <w:r w:rsidR="00C56D9A" w:rsidRPr="00E51082">
        <w:rPr>
          <w:szCs w:val="24"/>
        </w:rPr>
        <w:fldChar w:fldCharType="begin" w:fldLock="1"/>
      </w:r>
      <w:r w:rsidR="00706093">
        <w:rPr>
          <w:szCs w:val="24"/>
        </w:rPr>
        <w:instrText>ADDIN CSL_CITATION {"citationItems":[{"id":"ITEM-1","itemData":{"DOI":"10.1136/bmj.a3045\r338/jan15_2/a3045 [pii]","ISBN":"1756-1833 (Electronic)\r0959-535X (Linking)","PMID":"19147636","abstract":"OBJECTIVE: To evaluate benefits for postnatal women of two psychologically informed interventions by health visitors. DESIGN: Prospective cluster trial randomised by general practice, with 18 month follow-up. SETTING: 101 general practices in Trent, England. PARTICIPANTS: 2749 women allocated to intervention, 1335 to control. INTERVENTION: Health visitors (n=89 63 clusters) were trained to identify depressive symptoms at six to eight weeks postnatally using the Edinburgh postnatal depression scale (EPDS) and clinical assessment and also trained in providing psychologically informed sessions based on cognitive behavioural or person centred principles for an hour a week for eight weeks. Health visitors in the control group (n=49 38 clusters) provided usual care. MAIN OUTCOME MEASURES: Score &gt;or=12 on the Edinburgh postnatal depression scale at six months. Secondary outcomes were mean Edinburgh postnatal depression scale, clinical outcomes in routine evaluation-outcome measure (CORE-OM), state-trait anxiety inventory (STAI), SF-12, and parenting stress index short form (PSI-SF) scores at six, 12, 18 months. RESULTS: 4084 eligible women consented and 595 women had a six week EPDS score &gt;or=12. Of these, 418 had EPDS scores available at six weeks and six months. At six months, 34% women (93/271) in the intervention group and 46% (67/147) in the control group had an EPDS score &gt;or=12. The odds ratio for score &gt;or=12 at six months was 0.62 (95% confidence interval 0.40 to 0.97, P=0.036) for women in the intervention group compared with women in the control group. After adjustment for covariates, the odds ratio was 0.60 (0.38 to 0.95, P=0.028). At six months, 12.4% (234/1880) of all women in the intervention group and 16.7% (166/995) of all women in the control group had scores &gt;or=12 (0.67, 0.51 to 0.87, P=0.003). Benefit for women in the intervention group with a six week EPDS score &gt;or=12 and for all women was maintained at 12 months postnatally. There was no differential benefit for either psychological approach over the other. CONCLUSION: Training health visitors to assess women, identify symptoms of postnatal depression, and deliver psychologically informed sessions was clinically effective at six and 12 months postnatally compared with usual care. TRIAL REGISTRATION: ISRCTN92195776.","author":[{"dropping-particle":"","family":"Morrell","given":"C J","non-dropping-particle":"","parse-names":false,"suffix":""},{"dropping-particle":"","family":"Slade","given":"P","non-dropping-particle":"","parse-names":false,"suffix":""},{"dropping-particle":"","family":"Warner","given":"R","non-dropping-particle":"","parse-names":false,"suffix":""},{"dropping-particle":"","family":"Paley","given":"G","non-dropping-particle":"","parse-names":false,"suffix":""},{"dropping-particle":"","family":"Dixon","given":"S","non-dropping-particle":"","parse-names":false,"suffix":""},{"dropping-particle":"","family":"Walters","given":"S J","non-dropping-particle":"","parse-names":false,"suffix":""},{"dropping-particle":"","family":"Brugha","given":"T","non-dropping-particle":"","parse-names":false,"suffix":""},{"dropping-particle":"","family":"Barkham","given":"M","non-dropping-particle":"","parse-names":false,"suffix":""},{"dropping-particle":"","family":"Parry","given":"G J","non-dropping-particle":"","parse-names":false,"suffix":""},{"dropping-particle":"","family":"Nicholl","given":"J","non-dropping-particle":"","parse-names":false,"suffix":""}],"container-title":"BMJ","edition":"2009/01/17","id":"ITEM-1","issued":{"date-parts":[["2009"]]},"language":"eng","note":"Morrell, C Jane\nSlade, Pauline\nWarner, Rachel\nPaley, Graham\nDixon, Simon\nWalters, Stephen J\nBrugha, Traolach\nBarkham, Michael\nParry, Gareth J\nNicholl, Jon\nMulticenter Study\nRandomized Controlled Trial\nResearch Support, Non-U.S. Gov't\nEngland\nBMJ (Clinical research ed.)\nBMJ. 2009 Jan 15;338:a3045. doi: 10.1136/bmj.a3045.","page":"a3045","title":"Clinical effectiveness of health visitor training in psychologically informed approaches for depression in postnatal women: pragmatic cluster randomised trial in primary care","type":"article-journal","volume":"338"},"uris":["http://www.mendeley.com/documents/?uuid=e643afea-8a51-4220-9244-1a1265edf372"]},{"id":"ITEM-2","itemData":{"DOI":"10.1017/S0033291710001467","ISBN":"1469-8978","ISSN":"0033-2917","PMID":"20716383","abstract":"To test whether receiving care from a health visitor (HV) trained in identification and psychological intervention methods prevents depression 6-18 months postnatally in women who are not depressed 6 weeks postnatally.","author":[{"dropping-particle":"","family":"Brugha","given":"T. S.","non-dropping-particle":"","parse-names":false,"suffix":""},{"dropping-particle":"","family":"Morrell","given":"C. J.","non-dropping-particle":"","parse-names":false,"suffix":""},{"dropping-particle":"","family":"Slade","given":"P.","non-dropping-particle":"","parse-names":false,"suffix":""},{"dropping-particle":"","family":"Walters","given":"S. J.","non-dropping-particle":"","parse-names":false,"suffix":""}],"container-title":"Psychological Medicine","id":"ITEM-2","issue":"04","issued":{"date-parts":[["2011","4","18"]]},"note":"NULL","page":"739-748","title":"Universal prevention of depression in women postnatally: cluster randomized trial evidence in primary care","type":"article-journal","volume":"41"},"uris":["http://www.mendeley.com/documents/?uuid=79de586f-82e6-4268-b933-5615be4fd12a"]}],"mendeley":{"formattedCitation":"(Morrell &lt;i&gt;et al.&lt;/i&gt; 2009a; Brugha &lt;i&gt;et al.&lt;/i&gt; 2011)","plainTextFormattedCitation":"(Morrell et al. 2009a; Brugha et al. 2011)","previouslyFormattedCitation":"(Morrell &lt;i&gt;et al.&lt;/i&gt; 2009a; Brugha &lt;i&gt;et al.&lt;/i&gt; 2011)"},"properties":{"noteIndex":0},"schema":"https://github.com/citation-style-language/schema/raw/master/csl-citation.json"}</w:instrText>
      </w:r>
      <w:r w:rsidR="00C56D9A" w:rsidRPr="00E51082">
        <w:rPr>
          <w:szCs w:val="24"/>
        </w:rPr>
        <w:fldChar w:fldCharType="separate"/>
      </w:r>
      <w:r w:rsidR="00EC15F5" w:rsidRPr="00E51082">
        <w:rPr>
          <w:noProof/>
          <w:szCs w:val="24"/>
        </w:rPr>
        <w:t xml:space="preserve">(Morrell </w:t>
      </w:r>
      <w:r w:rsidR="00EC15F5" w:rsidRPr="00E51082">
        <w:rPr>
          <w:i/>
          <w:noProof/>
          <w:szCs w:val="24"/>
        </w:rPr>
        <w:t>et al.</w:t>
      </w:r>
      <w:r w:rsidR="00EC15F5" w:rsidRPr="00E51082">
        <w:rPr>
          <w:noProof/>
          <w:szCs w:val="24"/>
        </w:rPr>
        <w:t xml:space="preserve"> 2009a; Brugha </w:t>
      </w:r>
      <w:r w:rsidR="00EC15F5" w:rsidRPr="00E51082">
        <w:rPr>
          <w:i/>
          <w:noProof/>
          <w:szCs w:val="24"/>
        </w:rPr>
        <w:t>et al.</w:t>
      </w:r>
      <w:r w:rsidR="00EC15F5" w:rsidRPr="00E51082">
        <w:rPr>
          <w:noProof/>
          <w:szCs w:val="24"/>
        </w:rPr>
        <w:t xml:space="preserve"> 2011)</w:t>
      </w:r>
      <w:r w:rsidR="00C56D9A" w:rsidRPr="00E51082">
        <w:rPr>
          <w:szCs w:val="24"/>
        </w:rPr>
        <w:fldChar w:fldCharType="end"/>
      </w:r>
      <w:r w:rsidR="00274898" w:rsidRPr="00E51082">
        <w:rPr>
          <w:szCs w:val="24"/>
        </w:rPr>
        <w:t>.</w:t>
      </w:r>
      <w:r w:rsidRPr="00E51082">
        <w:rPr>
          <w:szCs w:val="24"/>
        </w:rPr>
        <w:t xml:space="preserve"> Nonetheless</w:t>
      </w:r>
      <w:r w:rsidR="00575BB4" w:rsidRPr="00E51082">
        <w:rPr>
          <w:szCs w:val="24"/>
        </w:rPr>
        <w:t>, in the economic evaluation sample</w:t>
      </w:r>
      <w:r w:rsidR="005E2273" w:rsidRPr="00E51082">
        <w:rPr>
          <w:szCs w:val="24"/>
        </w:rPr>
        <w:t>,</w:t>
      </w:r>
      <w:r w:rsidRPr="00E51082">
        <w:rPr>
          <w:szCs w:val="24"/>
        </w:rPr>
        <w:t xml:space="preserve"> the probability of cost-</w:t>
      </w:r>
      <w:r w:rsidRPr="00E51082">
        <w:rPr>
          <w:szCs w:val="24"/>
        </w:rPr>
        <w:lastRenderedPageBreak/>
        <w:t xml:space="preserve">effectiveness of </w:t>
      </w:r>
      <w:r w:rsidR="00F87713" w:rsidRPr="00E51082">
        <w:rPr>
          <w:szCs w:val="24"/>
        </w:rPr>
        <w:t>being low</w:t>
      </w:r>
      <w:r w:rsidR="005E2273" w:rsidRPr="00E51082">
        <w:rPr>
          <w:szCs w:val="24"/>
        </w:rPr>
        <w:t>er</w:t>
      </w:r>
      <w:r w:rsidR="00F87713" w:rsidRPr="00E51082">
        <w:rPr>
          <w:szCs w:val="24"/>
        </w:rPr>
        <w:t xml:space="preserve">-risk </w:t>
      </w:r>
      <w:r w:rsidR="005E2273" w:rsidRPr="00E51082">
        <w:rPr>
          <w:szCs w:val="24"/>
        </w:rPr>
        <w:t xml:space="preserve">rather than at-risk </w:t>
      </w:r>
      <w:r w:rsidR="00F87713" w:rsidRPr="00E51082">
        <w:rPr>
          <w:szCs w:val="24"/>
        </w:rPr>
        <w:t xml:space="preserve">at </w:t>
      </w:r>
      <w:r w:rsidR="00823DF2" w:rsidRPr="00E51082">
        <w:rPr>
          <w:szCs w:val="24"/>
        </w:rPr>
        <w:t>6</w:t>
      </w:r>
      <w:r w:rsidR="00DB75A8" w:rsidRPr="00E51082">
        <w:rPr>
          <w:szCs w:val="24"/>
        </w:rPr>
        <w:t xml:space="preserve"> </w:t>
      </w:r>
      <w:r w:rsidRPr="00E51082">
        <w:rPr>
          <w:szCs w:val="24"/>
        </w:rPr>
        <w:t>month</w:t>
      </w:r>
      <w:r w:rsidR="00F87713" w:rsidRPr="00E51082">
        <w:rPr>
          <w:szCs w:val="24"/>
        </w:rPr>
        <w:t>s</w:t>
      </w:r>
      <w:r w:rsidRPr="00E51082">
        <w:rPr>
          <w:szCs w:val="24"/>
        </w:rPr>
        <w:t xml:space="preserve"> was very high over a range of </w:t>
      </w:r>
      <w:r w:rsidR="005E2273" w:rsidRPr="00E51082">
        <w:rPr>
          <w:szCs w:val="24"/>
        </w:rPr>
        <w:t xml:space="preserve">willingness-to-pay </w:t>
      </w:r>
      <w:r w:rsidR="00320296" w:rsidRPr="00E51082">
        <w:rPr>
          <w:szCs w:val="24"/>
        </w:rPr>
        <w:t xml:space="preserve">thresholds </w:t>
      </w:r>
      <w:r w:rsidRPr="00E51082">
        <w:rPr>
          <w:szCs w:val="24"/>
        </w:rPr>
        <w:t>below £14,000</w:t>
      </w:r>
      <w:r w:rsidR="005E2273" w:rsidRPr="00E51082">
        <w:rPr>
          <w:szCs w:val="24"/>
        </w:rPr>
        <w:t xml:space="preserve"> per QALY</w:t>
      </w:r>
      <w:r w:rsidRPr="00E51082">
        <w:rPr>
          <w:szCs w:val="24"/>
        </w:rPr>
        <w:t>.</w:t>
      </w:r>
    </w:p>
    <w:p w14:paraId="11C6035F" w14:textId="2A926AA9" w:rsidR="00A03FD7" w:rsidRDefault="00612F5B" w:rsidP="0058594B">
      <w:pPr>
        <w:spacing w:after="120"/>
      </w:pPr>
      <w:r w:rsidRPr="334F1063">
        <w:t>T</w:t>
      </w:r>
      <w:r w:rsidR="00A242E5" w:rsidRPr="334F1063">
        <w:t xml:space="preserve">hese findings provide strong evidence that the training programme was cost-effective in preventing depression 6 months after childbirth in mothers at </w:t>
      </w:r>
      <w:r w:rsidR="00A242E5" w:rsidRPr="334F1063">
        <w:rPr>
          <w:i/>
          <w:iCs/>
        </w:rPr>
        <w:t>lower risk</w:t>
      </w:r>
      <w:r w:rsidR="00A242E5" w:rsidRPr="334F1063">
        <w:t xml:space="preserve"> of depression even though psychological intervention sessions were not targeted on them</w:t>
      </w:r>
      <w:r w:rsidR="00274898" w:rsidRPr="334F1063">
        <w:t xml:space="preserve"> </w:t>
      </w:r>
      <w:r w:rsidR="00A242E5" w:rsidRPr="334F1063">
        <w:fldChar w:fldCharType="begin" w:fldLock="1"/>
      </w:r>
      <w:r w:rsidR="00706093">
        <w:rPr>
          <w:szCs w:val="24"/>
        </w:rPr>
        <w:instrText>ADDIN CSL_CITATION {"citationItems":[{"id":"ITEM-1","itemData":{"DOI":"10.1017/S0033291710001467","ISBN":"1469-8978","ISSN":"0033-2917","PMID":"20716383","abstract":"To test whether receiving care from a health visitor (HV) trained in identification and psychological intervention methods prevents depression 6-18 months postnatally in women who are not depressed 6 weeks postnatally.","author":[{"dropping-particle":"","family":"Brugha","given":"T. S.","non-dropping-particle":"","parse-names":false,"suffix":""},{"dropping-particle":"","family":"Morrell","given":"C. J.","non-dropping-particle":"","parse-names":false,"suffix":""},{"dropping-particle":"","family":"Slade","given":"P.","non-dropping-particle":"","parse-names":false,"suffix":""},{"dropping-particle":"","family":"Walters","given":"S. J.","non-dropping-particle":"","parse-names":false,"suffix":""}],"container-title":"Psychological Medicine","id":"ITEM-1","issue":"04","issued":{"date-parts":[["2011","4","18"]]},"note":"NULL","page":"739-748","title":"Universal prevention of depression in women postnatally: cluster randomized trial evidence in primary care","type":"article-journal","volume":"41"},"uris":["http://www.mendeley.com/documents/?uuid=79de586f-82e6-4268-b933-5615be4fd12a"]}],"mendeley":{"formattedCitation":"(Brugha &lt;i&gt;et al.&lt;/i&gt; 2011)","plainTextFormattedCitation":"(Brugha et al. 2011)","previouslyFormattedCitation":"(Brugha &lt;i&gt;et al.&lt;/i&gt; 2011)"},"properties":{"noteIndex":0},"schema":"https://github.com/citation-style-language/schema/raw/master/csl-citation.json"}</w:instrText>
      </w:r>
      <w:r w:rsidR="00A242E5" w:rsidRPr="334F1063">
        <w:rPr>
          <w:szCs w:val="24"/>
        </w:rPr>
        <w:fldChar w:fldCharType="separate"/>
      </w:r>
      <w:r w:rsidR="00EC15F5" w:rsidRPr="334F1063">
        <w:rPr>
          <w:noProof/>
        </w:rPr>
        <w:t xml:space="preserve">(Brugha </w:t>
      </w:r>
      <w:r w:rsidR="00EC15F5" w:rsidRPr="334F1063">
        <w:rPr>
          <w:i/>
          <w:iCs/>
          <w:noProof/>
        </w:rPr>
        <w:t>et al.</w:t>
      </w:r>
      <w:r w:rsidR="00EC15F5" w:rsidRPr="334F1063">
        <w:rPr>
          <w:noProof/>
        </w:rPr>
        <w:t xml:space="preserve"> 2011)</w:t>
      </w:r>
      <w:r w:rsidR="00A242E5" w:rsidRPr="334F1063">
        <w:fldChar w:fldCharType="end"/>
      </w:r>
      <w:r w:rsidR="00274898" w:rsidRPr="334F1063">
        <w:t>.</w:t>
      </w:r>
      <w:r w:rsidR="00A242E5" w:rsidRPr="334F1063">
        <w:t xml:space="preserve"> This intervention reduce</w:t>
      </w:r>
      <w:r w:rsidR="00CC051F">
        <w:t>d</w:t>
      </w:r>
      <w:r w:rsidR="00A242E5" w:rsidRPr="334F1063">
        <w:t xml:space="preserve"> risk of depression and pa</w:t>
      </w:r>
      <w:r w:rsidR="00CC051F">
        <w:t>id</w:t>
      </w:r>
      <w:r w:rsidR="00A242E5" w:rsidRPr="334F1063">
        <w:t xml:space="preserve"> for itself over 6 months. </w:t>
      </w:r>
    </w:p>
    <w:p w14:paraId="533D24BC" w14:textId="498676EE" w:rsidR="00A03FD7" w:rsidRPr="003A2738" w:rsidRDefault="00A03FD7" w:rsidP="00A03FD7">
      <w:r w:rsidRPr="003A2738">
        <w:rPr>
          <w:szCs w:val="24"/>
        </w:rPr>
        <w:t>We also found that the number of visits related to the mother’s health was significantly lower in the combined intervention group compared to controls</w:t>
      </w:r>
      <w:r w:rsidR="0016646E" w:rsidRPr="003A2738">
        <w:rPr>
          <w:szCs w:val="24"/>
        </w:rPr>
        <w:t xml:space="preserve"> </w:t>
      </w:r>
      <w:r w:rsidR="0016646E" w:rsidRPr="003A2738">
        <w:rPr>
          <w:szCs w:val="24"/>
        </w:rPr>
        <w:fldChar w:fldCharType="begin" w:fldLock="1"/>
      </w:r>
      <w:r w:rsidR="0016646E" w:rsidRPr="003A2738">
        <w:rPr>
          <w:szCs w:val="24"/>
        </w:rPr>
        <w:instrText>ADDIN CSL_CITATION {"citationItems":[{"id":"ITEM-1","itemData":{"DOI":"10.3310/hta13300","ISBN":"2046-4924 (Electronic)\r1366-5278 (Linking)","PMID":"19555590","abstract":"OBJECTIVES: To investigate outcomes for postnatal women attributed to special training for health visitors (HVs) in systematically identifying postnatal depression and delivering psychologically informed interventions, and to establish the cost-effectiveness of the intervention. DESIGN: A pragmatic randomised cluster trial with clusters allocated to experimental HV training arms or control, with an 18-month follow-up. SETTING: GP practices in the former Trent Regional Health Authority. PARTICIPANTS: Women registered with participating GP practices who became 36 weeks pregnant during the recruitment phase of the trial, had a live baby and were on a collaborating HV's caseload for 4 months postnatally. INTERVENTION: HV training in the assessment of postnatal women, combined with either cognitive behavioural approach (CBA) or person-centred approach (PCA) sessions for eligible women, plus the option of a selective serotonin reuptake inhibitor if indicated. MAIN OUTCOME MEASURES: The primary outcome was the proportion of at-risk women with a 6-month Edinburgh Postnatal Depression Scale (EPDS) score &gt; or = 12. The primary comparison was between at-risk women in the combined clusters randomised to HV training and women in practices randomised to provide HV usual care. The secondary comparison was to determine any differences between the proportions of women with a 6-month EPDS score &gt; or = 12 in the CBA and PCA groups. RESULTS: HVs in 101 clusters in 29 primary care trusts collaborated in the study. From 7649 eligible women 4084 (53.4%) consented to take part: 17.3% (595/3449) of women who returned a 6-week questionnaire had a 6-week EPDS score &gt; or = 12 and were at-risk women; 70.3% (418/595) of at-risk women had a 6-month EPDS score available. In total, 45.6% (67/147) of control group (CG) at-risk women had a 6-month EPDS score &gt; or = 12 versus 33.9% (93/271) of intervention group (IG) women (p = 0.036). A total of 32.9% (46/140) of at-risk women in the CBA group versus 35.1% (46/131) in the PCA group had a 6-month EPDS score &gt; or = 12 (p = 0.74). The CG mean 6-month EPDS score for at-risk women was 11.3 (SD 5.8) versus 9.2 (SD 5.4) for the IG (p = 0.002) and this remained statistically significant after adjusting for 6-week variables (p = 0.001). In total, 16.4% (150/914) of all women in the CG had a 6-month EPDS score &gt; or = 12 compared with 11.7% (205/1745) in the IG (p = 0.003). The CG mean 6-month EPDS score for all women was 6.4 (SD 5.2) compared with…","author":[{"dropping-particle":"","family":"Morrell","given":"C J","non-dropping-particle":"","parse-names":false,"suffix":""},{"dropping-particle":"","family":"Warner","given":"R","non-dropping-particle":"","parse-names":false,"suffix":""},{"dropping-particle":"","family":"Slade","given":"P","non-dropping-particle":"","parse-names":false,"suffix":""},{"dropping-particle":"","family":"Dixon","given":"S","non-dropping-particle":"","parse-names":false,"suffix":""},{"dropping-particle":"","family":"Walters","given":"S","non-dropping-particle":"","parse-names":false,"suffix":""},{"dropping-particle":"","family":"Paley","given":"G","non-dropping-particle":"","parse-names":false,"suffix":""},{"dropping-particle":"","family":"Brugha","given":"T","non-dropping-particle":"","parse-names":false,"suffix":""}],"container-title":"Health Technol Assess","edition":"2009/06/27","id":"ITEM-1","issue":"30","issued":{"date-parts":[["2009"]]},"language":"eng","note":"Morrell, C J\nWarner, R\nSlade, P\nDixon, S\nWalters, S\nPaley, G\nBrugha, T\nRandomized Controlled Trial\nResearch Support, Non-U.S. Gov't\nEngland\nHealth technology assessment (Winchester, England)\nHealth Technol Assess. 2009 Jun;13(30):iii-iv, xi-xiii, 1-153. doi: 10.3310/hta13300.","page":"iii-iv, xi-xiii, 1-153","title":"Psychological interventions for postnatal depression: cluster randomised trial and economic evaluation. The PoNDER trial","type":"article-journal","volume":"13"},"uris":["http://www.mendeley.com/documents/?uuid=b5e9f0ca-d9c5-4aa1-8b95-5884234a3e08"]}],"mendeley":{"formattedCitation":"(Morrell &lt;i&gt;et al.&lt;/i&gt; 2009b)","plainTextFormattedCitation":"(Morrell et al. 2009b)","previouslyFormattedCitation":"(Morrell &lt;i&gt;et al.&lt;/i&gt; 2009b)"},"properties":{"noteIndex":0},"schema":"https://github.com/citation-style-language/schema/raw/master/csl-citation.json"}</w:instrText>
      </w:r>
      <w:r w:rsidR="0016646E" w:rsidRPr="003A2738">
        <w:rPr>
          <w:szCs w:val="24"/>
        </w:rPr>
        <w:fldChar w:fldCharType="separate"/>
      </w:r>
      <w:r w:rsidR="0016646E" w:rsidRPr="003A2738">
        <w:rPr>
          <w:noProof/>
          <w:szCs w:val="24"/>
        </w:rPr>
        <w:t xml:space="preserve">(Morrell </w:t>
      </w:r>
      <w:r w:rsidR="0016646E" w:rsidRPr="003A2738">
        <w:rPr>
          <w:i/>
          <w:noProof/>
          <w:szCs w:val="24"/>
        </w:rPr>
        <w:t>et al.</w:t>
      </w:r>
      <w:r w:rsidR="0016646E" w:rsidRPr="003A2738">
        <w:rPr>
          <w:noProof/>
          <w:szCs w:val="24"/>
        </w:rPr>
        <w:t xml:space="preserve"> 2009b)</w:t>
      </w:r>
      <w:r w:rsidR="0016646E" w:rsidRPr="003A2738">
        <w:rPr>
          <w:szCs w:val="24"/>
        </w:rPr>
        <w:fldChar w:fldCharType="end"/>
      </w:r>
      <w:r w:rsidRPr="003A2738">
        <w:rPr>
          <w:szCs w:val="24"/>
        </w:rPr>
        <w:t xml:space="preserve">. </w:t>
      </w:r>
      <w:r w:rsidR="000E77F6" w:rsidRPr="003A2738">
        <w:rPr>
          <w:szCs w:val="24"/>
        </w:rPr>
        <w:t>A</w:t>
      </w:r>
      <w:r w:rsidRPr="003A2738">
        <w:t xml:space="preserve">fter the training, the intervention groups HVs were more confident in assessing risk and reassessing women than the control group HVs. </w:t>
      </w:r>
      <w:r w:rsidR="00075634" w:rsidRPr="003A2738">
        <w:t>The HVs offered face-to-face psychological support sessions to women who were indicated as depressed according to their clinical assessment and face-to-face EPDS score. The HVs could distinguish true depression from extreme tiredness and labile mood. Therefore, the intervention group HVs appropriately responded to all levels of risk according to the combination of the EPDS score and enhanced clinical assessment skills gained during the training. This may have made them more efficient in their visits to those women at greater risk rather than to those at less risk in comparison with the control groups. In contrast, control group HVs were not trained to have the skills to know which women were truly depressed and therefore may have visited those women who had extreme tiredness and some symptoms of depression, but were not depressed.</w:t>
      </w:r>
      <w:r w:rsidRPr="003A2738">
        <w:t xml:space="preserve"> </w:t>
      </w:r>
    </w:p>
    <w:p w14:paraId="6A3A2227" w14:textId="77777777" w:rsidR="00A03FD7" w:rsidRDefault="00A03FD7" w:rsidP="0058594B">
      <w:pPr>
        <w:spacing w:after="120"/>
      </w:pPr>
    </w:p>
    <w:p w14:paraId="79E882CA" w14:textId="572DC798" w:rsidR="00401CE6" w:rsidRPr="000B5BB6" w:rsidRDefault="00FE1663" w:rsidP="000B5BB6">
      <w:pPr>
        <w:pStyle w:val="Heading2"/>
      </w:pPr>
      <w:r w:rsidRPr="000B5BB6">
        <w:t>Strengths and limitations</w:t>
      </w:r>
      <w:r w:rsidR="00401CE6" w:rsidRPr="000B5BB6">
        <w:t xml:space="preserve"> </w:t>
      </w:r>
    </w:p>
    <w:p w14:paraId="67EE7B16" w14:textId="4207E4E6" w:rsidR="00B471D7" w:rsidRPr="00E51082" w:rsidRDefault="00A242E5" w:rsidP="00B471D7">
      <w:pPr>
        <w:spacing w:after="120"/>
        <w:rPr>
          <w:szCs w:val="24"/>
        </w:rPr>
      </w:pPr>
      <w:r w:rsidRPr="00E51082">
        <w:rPr>
          <w:szCs w:val="24"/>
        </w:rPr>
        <w:t>Strengths of t</w:t>
      </w:r>
      <w:r w:rsidR="00B471D7" w:rsidRPr="00E51082">
        <w:rPr>
          <w:szCs w:val="24"/>
        </w:rPr>
        <w:t xml:space="preserve">he </w:t>
      </w:r>
      <w:r w:rsidR="005E2273" w:rsidRPr="00E51082">
        <w:rPr>
          <w:szCs w:val="24"/>
        </w:rPr>
        <w:t>study</w:t>
      </w:r>
      <w:r w:rsidR="00B471D7" w:rsidRPr="00E51082">
        <w:rPr>
          <w:szCs w:val="24"/>
        </w:rPr>
        <w:t xml:space="preserve"> </w:t>
      </w:r>
      <w:r w:rsidRPr="00E51082">
        <w:rPr>
          <w:szCs w:val="24"/>
        </w:rPr>
        <w:t>include</w:t>
      </w:r>
      <w:r w:rsidR="00B471D7" w:rsidRPr="00E51082">
        <w:rPr>
          <w:szCs w:val="24"/>
        </w:rPr>
        <w:t xml:space="preserve"> the</w:t>
      </w:r>
      <w:r w:rsidR="00D0065A" w:rsidRPr="00E51082">
        <w:rPr>
          <w:szCs w:val="24"/>
        </w:rPr>
        <w:t xml:space="preserve"> large </w:t>
      </w:r>
      <w:r w:rsidR="00B471D7" w:rsidRPr="00E51082">
        <w:rPr>
          <w:szCs w:val="24"/>
        </w:rPr>
        <w:t>number of observations available for analysis, analy</w:t>
      </w:r>
      <w:r w:rsidR="00AB2C35">
        <w:rPr>
          <w:szCs w:val="24"/>
        </w:rPr>
        <w:t>tic</w:t>
      </w:r>
      <w:r w:rsidR="00B471D7" w:rsidRPr="00E51082">
        <w:rPr>
          <w:szCs w:val="24"/>
        </w:rPr>
        <w:t xml:space="preserve"> methods appropriate to clustered data and sensitivity analyses of key assumptions </w:t>
      </w:r>
      <w:r w:rsidR="005E2273" w:rsidRPr="00E51082">
        <w:rPr>
          <w:szCs w:val="24"/>
        </w:rPr>
        <w:t>in</w:t>
      </w:r>
      <w:r w:rsidR="00B471D7" w:rsidRPr="00E51082">
        <w:rPr>
          <w:szCs w:val="24"/>
        </w:rPr>
        <w:t xml:space="preserve"> those analyses. </w:t>
      </w:r>
      <w:r w:rsidR="005414AB" w:rsidRPr="00E51082">
        <w:rPr>
          <w:szCs w:val="24"/>
        </w:rPr>
        <w:t>The purpose of c</w:t>
      </w:r>
      <w:r w:rsidR="00B471D7" w:rsidRPr="00E51082">
        <w:rPr>
          <w:szCs w:val="24"/>
        </w:rPr>
        <w:t xml:space="preserve">luster allocation in training interventions </w:t>
      </w:r>
      <w:r w:rsidR="005414AB" w:rsidRPr="00E51082">
        <w:rPr>
          <w:szCs w:val="24"/>
        </w:rPr>
        <w:t xml:space="preserve">is </w:t>
      </w:r>
      <w:r w:rsidR="00B471D7" w:rsidRPr="00E51082">
        <w:rPr>
          <w:szCs w:val="24"/>
        </w:rPr>
        <w:t>to protect against contamination of the untrained control group</w:t>
      </w:r>
      <w:r w:rsidR="00612F5B" w:rsidRPr="00E51082">
        <w:rPr>
          <w:szCs w:val="24"/>
        </w:rPr>
        <w:t>;</w:t>
      </w:r>
      <w:r w:rsidR="00B471D7" w:rsidRPr="00E51082">
        <w:rPr>
          <w:szCs w:val="24"/>
        </w:rPr>
        <w:t xml:space="preserve"> disadvantages </w:t>
      </w:r>
      <w:r w:rsidR="00612F5B" w:rsidRPr="00E51082">
        <w:rPr>
          <w:szCs w:val="24"/>
        </w:rPr>
        <w:t xml:space="preserve">of this approach include </w:t>
      </w:r>
      <w:r w:rsidR="00B471D7" w:rsidRPr="00E51082">
        <w:rPr>
          <w:szCs w:val="24"/>
        </w:rPr>
        <w:t xml:space="preserve">potential selection biases during recruitment, </w:t>
      </w:r>
      <w:r w:rsidR="00B471D7" w:rsidRPr="003A2738">
        <w:rPr>
          <w:szCs w:val="24"/>
        </w:rPr>
        <w:t xml:space="preserve">increased complexity of design and increased sample sizes </w:t>
      </w:r>
      <w:r w:rsidR="005414AB" w:rsidRPr="003A2738">
        <w:rPr>
          <w:szCs w:val="24"/>
        </w:rPr>
        <w:t xml:space="preserve">required </w:t>
      </w:r>
      <w:r w:rsidR="00612F5B" w:rsidRPr="003A2738">
        <w:rPr>
          <w:szCs w:val="24"/>
        </w:rPr>
        <w:t xml:space="preserve">compared </w:t>
      </w:r>
      <w:r w:rsidR="00B471D7" w:rsidRPr="003A2738">
        <w:rPr>
          <w:szCs w:val="24"/>
        </w:rPr>
        <w:t>to</w:t>
      </w:r>
      <w:r w:rsidR="00612F5B" w:rsidRPr="003A2738">
        <w:rPr>
          <w:szCs w:val="24"/>
        </w:rPr>
        <w:t xml:space="preserve"> individual</w:t>
      </w:r>
      <w:r w:rsidR="00B471D7" w:rsidRPr="003A2738">
        <w:rPr>
          <w:szCs w:val="24"/>
        </w:rPr>
        <w:t xml:space="preserve"> randomis</w:t>
      </w:r>
      <w:r w:rsidR="00612F5B" w:rsidRPr="003A2738">
        <w:rPr>
          <w:szCs w:val="24"/>
        </w:rPr>
        <w:t>ation</w:t>
      </w:r>
      <w:r w:rsidR="008F6A0E" w:rsidRPr="003A2738">
        <w:rPr>
          <w:szCs w:val="24"/>
        </w:rPr>
        <w:t xml:space="preserve"> </w:t>
      </w:r>
      <w:r w:rsidR="00B471D7" w:rsidRPr="003A2738">
        <w:rPr>
          <w:szCs w:val="24"/>
        </w:rPr>
        <w:fldChar w:fldCharType="begin" w:fldLock="1"/>
      </w:r>
      <w:r w:rsidR="00706093" w:rsidRPr="003A2738">
        <w:rPr>
          <w:szCs w:val="24"/>
        </w:rPr>
        <w:instrText>ADDIN CSL_CITATION {"citationItems":[{"id":"ITEM-1","itemData":{"DOI":"10.1080/10543406.2013.756330","ISBN":"9780470510476","author":[{"dropping-particle":"","family":"Klar","given":"Neil","non-dropping-particle":"","parse-names":false,"suffix":""}],"id":"ITEM-1","issue":"October","issued":{"date-parts":[["2015"]]},"note":"NULL","publisher":"Wiley","publisher-place":"Chichester","title":"A Practical Guide to Cluster Randomised Trials in Health Services Research","type":"book","volume":"3406"},"uris":["http://www.mendeley.com/documents/?uuid=735134e1-64bb-4f59-8cda-8e1ea7dce2c2"]}],"mendeley":{"formattedCitation":"(Klar 2015)","plainTextFormattedCitation":"(Klar 2015)","previouslyFormattedCitation":"(Klar 2015)"},"properties":{"noteIndex":0},"schema":"https://github.com/citation-style-language/schema/raw/master/csl-citation.json"}</w:instrText>
      </w:r>
      <w:r w:rsidR="00B471D7" w:rsidRPr="003A2738">
        <w:rPr>
          <w:szCs w:val="24"/>
        </w:rPr>
        <w:fldChar w:fldCharType="separate"/>
      </w:r>
      <w:r w:rsidR="00203256" w:rsidRPr="003A2738">
        <w:rPr>
          <w:noProof/>
          <w:szCs w:val="24"/>
        </w:rPr>
        <w:t>(Klar 2015)</w:t>
      </w:r>
      <w:r w:rsidR="00B471D7" w:rsidRPr="003A2738">
        <w:rPr>
          <w:szCs w:val="24"/>
        </w:rPr>
        <w:fldChar w:fldCharType="end"/>
      </w:r>
      <w:r w:rsidR="00274898" w:rsidRPr="003A2738">
        <w:rPr>
          <w:szCs w:val="24"/>
        </w:rPr>
        <w:t>.</w:t>
      </w:r>
      <w:r w:rsidR="00B471D7" w:rsidRPr="003A2738">
        <w:rPr>
          <w:szCs w:val="24"/>
        </w:rPr>
        <w:t xml:space="preserve"> </w:t>
      </w:r>
      <w:r w:rsidR="00721DA9" w:rsidRPr="007C20C8">
        <w:t>Cluster allocation also ensured that health outcomes related to all HVs within each cluster, thereby strengthening the generalisability of results.</w:t>
      </w:r>
      <w:r w:rsidR="00721DA9" w:rsidRPr="003A2738">
        <w:t xml:space="preserve"> </w:t>
      </w:r>
      <w:r w:rsidR="004235C4" w:rsidRPr="003A2738">
        <w:rPr>
          <w:szCs w:val="24"/>
        </w:rPr>
        <w:t xml:space="preserve">Our </w:t>
      </w:r>
      <w:r w:rsidR="00B471D7" w:rsidRPr="003A2738">
        <w:rPr>
          <w:szCs w:val="24"/>
        </w:rPr>
        <w:t>analyses addressed imbalances between trial arms in terms of numbers and size of clusters, an issue not considered in the original analyses</w:t>
      </w:r>
      <w:r w:rsidR="009C4EA8" w:rsidRPr="003A2738">
        <w:rPr>
          <w:szCs w:val="24"/>
        </w:rPr>
        <w:t xml:space="preserve"> </w:t>
      </w:r>
      <w:r w:rsidR="00B471D7" w:rsidRPr="003A2738">
        <w:rPr>
          <w:szCs w:val="24"/>
        </w:rPr>
        <w:fldChar w:fldCharType="begin" w:fldLock="1"/>
      </w:r>
      <w:r w:rsidR="00706093" w:rsidRPr="003A2738">
        <w:rPr>
          <w:szCs w:val="24"/>
        </w:rPr>
        <w:instrText>ADDIN CSL_CITATION {"citationItems":[{"id":"ITEM-1","itemData":{"DOI":"10.3310/hta13300","ISBN":"2046-4924 (Electronic)\r1366-5278 (Linking)","PMID":"19555590","abstract":"OBJECTIVES: To investigate outcomes for postnatal women attributed to special training for health visitors (HVs) in systematically identifying postnatal depression and delivering psychologically informed interventions, and to establish the cost-effectiveness of the intervention. DESIGN: A pragmatic randomised cluster trial with clusters allocated to experimental HV training arms or control, with an 18-month follow-up. SETTING: GP practices in the former Trent Regional Health Authority. PARTICIPANTS: Women registered with participating GP practices who became 36 weeks pregnant during the recruitment phase of the trial, had a live baby and were on a collaborating HV's caseload for 4 months postnatally. INTERVENTION: HV training in the assessment of postnatal women, combined with either cognitive behavioural approach (CBA) or person-centred approach (PCA) sessions for eligible women, plus the option of a selective serotonin reuptake inhibitor if indicated. MAIN OUTCOME MEASURES: The primary outcome was the proportion of at-risk women with a 6-month Edinburgh Postnatal Depression Scale (EPDS) score &gt; or = 12. The primary comparison was between at-risk women in the combined clusters randomised to HV training and women in practices randomised to provide HV usual care. The secondary comparison was to determine any differences between the proportions of women with a 6-month EPDS score &gt; or = 12 in the CBA and PCA groups. RESULTS: HVs in 101 clusters in 29 primary care trusts collaborated in the study. From 7649 eligible women 4084 (53.4%) consented to take part: 17.3% (595/3449) of women who returned a 6-week questionnaire had a 6-week EPDS score &gt; or = 12 and were at-risk women; 70.3% (418/595) of at-risk women had a 6-month EPDS score available. In total, 45.6% (67/147) of control group (CG) at-risk women had a 6-month EPDS score &gt; or = 12 versus 33.9% (93/271) of intervention group (IG) women (p = 0.036). A total of 32.9% (46/140) of at-risk women in the CBA group versus 35.1% (46/131) in the PCA group had a 6-month EPDS score &gt; or = 12 (p = 0.74). The CG mean 6-month EPDS score for at-risk women was 11.3 (SD 5.8) versus 9.2 (SD 5.4) for the IG (p = 0.002) and this remained statistically significant after adjusting for 6-week variables (p = 0.001). In total, 16.4% (150/914) of all women in the CG had a 6-month EPDS score &gt; or = 12 compared with 11.7% (205/1745) in the IG (p = 0.003). The CG mean 6-month EPDS score for all women was 6.4 (SD 5.2) compared with…","author":[{"dropping-particle":"","family":"Morrell","given":"C J","non-dropping-particle":"","parse-names":false,"suffix":""},{"dropping-particle":"","family":"Warner","given":"R","non-dropping-particle":"","parse-names":false,"suffix":""},{"dropping-particle":"","family":"Slade","given":"P","non-dropping-particle":"","parse-names":false,"suffix":""},{"dropping-particle":"","family":"Dixon","given":"S","non-dropping-particle":"","parse-names":false,"suffix":""},{"dropping-particle":"","family":"Walters","given":"S","non-dropping-particle":"","parse-names":false,"suffix":""},{"dropping-particle":"","family":"Paley","given":"G","non-dropping-particle":"","parse-names":false,"suffix":""},{"dropping-particle":"","family":"Brugha","given":"T","non-dropping-particle":"","parse-names":false,"suffix":""}],"container-title":"Health Technol Assess","edition":"2009/06/27","id":"ITEM-1","issue":"30","issued":{"date-parts":[["2009"]]},"language":"eng","note":"Morrell, C J\nWarner, R\nSlade, P\nDixon, S\nWalters, S\nPaley, G\nBrugha, T\nRandomized Controlled Trial\nResearch Support, Non-U.S. Gov't\nEngland\nHealth technology assessment (Winchester, England)\nHealth Technol Assess. 2009 Jun;13(30):iii-iv, xi-xiii, 1-153. doi: 10.3310/hta13300.","page":"iii-iv, xi-xiii, 1-153","title":"Psychological interventions for postnatal depression: cluster randomised trial and economic evaluation. The PoNDER trial","type":"article-journal","volume":"13"},"uris":["http://www.mendeley.com/documents/?uuid=b5e9f0ca-d9c5-4aa1-8b95-5884234a3e08"]}],"mendeley":{"formattedCitation":"(Morrell &lt;i&gt;et al.&lt;/i&gt; 2009b)","plainTextFormattedCitation":"(Morrell et al. 2009b)","previouslyFormattedCitation":"(Morrell &lt;i&gt;et al.&lt;/i&gt; 2009b)"},"properties":{"noteIndex":0},"schema":"https://github.com/citation-style-language/schema/raw/master/csl-citation.json"}</w:instrText>
      </w:r>
      <w:r w:rsidR="00B471D7" w:rsidRPr="003A2738">
        <w:rPr>
          <w:szCs w:val="24"/>
        </w:rPr>
        <w:fldChar w:fldCharType="separate"/>
      </w:r>
      <w:r w:rsidR="00EC15F5" w:rsidRPr="003A2738">
        <w:rPr>
          <w:noProof/>
          <w:szCs w:val="24"/>
        </w:rPr>
        <w:t xml:space="preserve">(Morrell </w:t>
      </w:r>
      <w:r w:rsidR="00EC15F5" w:rsidRPr="003A2738">
        <w:rPr>
          <w:i/>
          <w:noProof/>
          <w:szCs w:val="24"/>
        </w:rPr>
        <w:t>et al.</w:t>
      </w:r>
      <w:r w:rsidR="00EC15F5" w:rsidRPr="003A2738">
        <w:rPr>
          <w:noProof/>
          <w:szCs w:val="24"/>
        </w:rPr>
        <w:t xml:space="preserve"> 2009b)</w:t>
      </w:r>
      <w:r w:rsidR="00B471D7" w:rsidRPr="003A2738">
        <w:rPr>
          <w:szCs w:val="24"/>
        </w:rPr>
        <w:fldChar w:fldCharType="end"/>
      </w:r>
      <w:r w:rsidR="00B471D7" w:rsidRPr="003A2738">
        <w:rPr>
          <w:szCs w:val="24"/>
        </w:rPr>
        <w:t>. Other potential challenges to the robustness of results (impact</w:t>
      </w:r>
      <w:r w:rsidR="00764ADA" w:rsidRPr="003A2738">
        <w:rPr>
          <w:szCs w:val="24"/>
        </w:rPr>
        <w:t>s</w:t>
      </w:r>
      <w:r w:rsidR="00B471D7" w:rsidRPr="00E51082">
        <w:rPr>
          <w:szCs w:val="24"/>
        </w:rPr>
        <w:t xml:space="preserve"> of missing cost data </w:t>
      </w:r>
      <w:r w:rsidR="00B471D7" w:rsidRPr="00E51082">
        <w:rPr>
          <w:szCs w:val="24"/>
        </w:rPr>
        <w:lastRenderedPageBreak/>
        <w:t>and skewness of dependent variables) were explored in sensitivity analyses</w:t>
      </w:r>
      <w:r w:rsidR="004235C4" w:rsidRPr="00E51082">
        <w:rPr>
          <w:szCs w:val="24"/>
        </w:rPr>
        <w:t>; they did</w:t>
      </w:r>
      <w:r w:rsidR="00272E0B" w:rsidRPr="00E51082">
        <w:rPr>
          <w:szCs w:val="24"/>
        </w:rPr>
        <w:t xml:space="preserve"> </w:t>
      </w:r>
      <w:r w:rsidR="00612F5B" w:rsidRPr="00E51082">
        <w:rPr>
          <w:szCs w:val="24"/>
        </w:rPr>
        <w:t xml:space="preserve">not </w:t>
      </w:r>
      <w:r w:rsidR="00272E0B" w:rsidRPr="00E51082">
        <w:rPr>
          <w:szCs w:val="24"/>
        </w:rPr>
        <w:t xml:space="preserve">make any difference to the conclusions drawn from the main analyses. </w:t>
      </w:r>
      <w:r w:rsidR="00B471D7" w:rsidRPr="00E51082">
        <w:rPr>
          <w:szCs w:val="24"/>
        </w:rPr>
        <w:t xml:space="preserve"> </w:t>
      </w:r>
    </w:p>
    <w:p w14:paraId="6B9032CD" w14:textId="5F25A28E" w:rsidR="0058708A" w:rsidRPr="00E51082" w:rsidRDefault="00C90A4E" w:rsidP="00FE1663">
      <w:pPr>
        <w:spacing w:after="120"/>
        <w:rPr>
          <w:szCs w:val="24"/>
        </w:rPr>
      </w:pPr>
      <w:r w:rsidRPr="001A79FD">
        <w:t>The</w:t>
      </w:r>
      <w:r>
        <w:t xml:space="preserve">re were several limitations to this study. </w:t>
      </w:r>
      <w:r w:rsidR="00FE1663" w:rsidRPr="00E51082">
        <w:rPr>
          <w:szCs w:val="24"/>
        </w:rPr>
        <w:t>Data available for the cost</w:t>
      </w:r>
      <w:r w:rsidR="00764ADA" w:rsidRPr="00E51082">
        <w:rPr>
          <w:szCs w:val="24"/>
        </w:rPr>
        <w:t>-</w:t>
      </w:r>
      <w:r w:rsidR="00FE1663" w:rsidRPr="00E51082">
        <w:rPr>
          <w:szCs w:val="24"/>
        </w:rPr>
        <w:t>effectiveness analysis were less complete than those available on health outcome data</w:t>
      </w:r>
      <w:r w:rsidR="00AC0E0F" w:rsidRPr="00E51082">
        <w:rPr>
          <w:szCs w:val="24"/>
        </w:rPr>
        <w:t>;</w:t>
      </w:r>
      <w:r w:rsidR="00FE1663" w:rsidRPr="00E51082">
        <w:rPr>
          <w:szCs w:val="24"/>
        </w:rPr>
        <w:t xml:space="preserve"> however</w:t>
      </w:r>
      <w:r w:rsidR="00764ADA" w:rsidRPr="00E51082">
        <w:rPr>
          <w:szCs w:val="24"/>
        </w:rPr>
        <w:t>,</w:t>
      </w:r>
      <w:r w:rsidR="00FE1663" w:rsidRPr="00E51082">
        <w:rPr>
          <w:szCs w:val="24"/>
        </w:rPr>
        <w:t xml:space="preserve"> sensitivity analyses drawing on multiply</w:t>
      </w:r>
      <w:r w:rsidR="00764ADA" w:rsidRPr="00E51082">
        <w:rPr>
          <w:szCs w:val="24"/>
        </w:rPr>
        <w:t>-</w:t>
      </w:r>
      <w:r w:rsidR="00FE1663" w:rsidRPr="00E51082">
        <w:rPr>
          <w:szCs w:val="24"/>
        </w:rPr>
        <w:t>imputed data confirmed the findings, indicating if anything even stronger evidence of the dominance of the intervention over usual care.</w:t>
      </w:r>
      <w:r w:rsidR="0058708A" w:rsidRPr="00E51082">
        <w:rPr>
          <w:szCs w:val="24"/>
        </w:rPr>
        <w:t xml:space="preserve"> </w:t>
      </w:r>
    </w:p>
    <w:p w14:paraId="5A3E9788" w14:textId="46A9D62F" w:rsidR="00FE1663" w:rsidRPr="00E51082" w:rsidRDefault="00764ADA" w:rsidP="00FE1663">
      <w:pPr>
        <w:spacing w:after="120"/>
        <w:rPr>
          <w:szCs w:val="24"/>
        </w:rPr>
      </w:pPr>
      <w:r w:rsidRPr="00E51082">
        <w:rPr>
          <w:szCs w:val="24"/>
        </w:rPr>
        <w:t>C</w:t>
      </w:r>
      <w:r w:rsidR="00FE1663" w:rsidRPr="00E51082">
        <w:rPr>
          <w:szCs w:val="24"/>
        </w:rPr>
        <w:t xml:space="preserve">ost </w:t>
      </w:r>
      <w:r w:rsidRPr="00E51082">
        <w:rPr>
          <w:szCs w:val="24"/>
        </w:rPr>
        <w:t>measure</w:t>
      </w:r>
      <w:r w:rsidR="0029566F" w:rsidRPr="00E51082">
        <w:rPr>
          <w:szCs w:val="24"/>
        </w:rPr>
        <w:t>s</w:t>
      </w:r>
      <w:r w:rsidR="00FE1663" w:rsidRPr="00E51082">
        <w:rPr>
          <w:szCs w:val="24"/>
        </w:rPr>
        <w:t xml:space="preserve"> were confined to health and social care services</w:t>
      </w:r>
      <w:r w:rsidR="0029566F" w:rsidRPr="00E51082">
        <w:rPr>
          <w:szCs w:val="24"/>
        </w:rPr>
        <w:t xml:space="preserve">, </w:t>
      </w:r>
      <w:r w:rsidRPr="00E51082">
        <w:rPr>
          <w:szCs w:val="24"/>
        </w:rPr>
        <w:t xml:space="preserve">a </w:t>
      </w:r>
      <w:r w:rsidR="00FE1663" w:rsidRPr="00E51082">
        <w:rPr>
          <w:szCs w:val="24"/>
        </w:rPr>
        <w:t xml:space="preserve">limitation </w:t>
      </w:r>
      <w:r w:rsidRPr="00E51082">
        <w:rPr>
          <w:szCs w:val="24"/>
        </w:rPr>
        <w:t>when looking at women</w:t>
      </w:r>
      <w:r w:rsidR="00FE1663" w:rsidRPr="00E51082">
        <w:rPr>
          <w:szCs w:val="24"/>
        </w:rPr>
        <w:t xml:space="preserve"> at lower risk </w:t>
      </w:r>
      <w:r w:rsidRPr="00E51082">
        <w:rPr>
          <w:szCs w:val="24"/>
        </w:rPr>
        <w:t xml:space="preserve">of depression </w:t>
      </w:r>
      <w:r w:rsidR="0029566F" w:rsidRPr="00E51082">
        <w:rPr>
          <w:szCs w:val="24"/>
        </w:rPr>
        <w:t>who have</w:t>
      </w:r>
      <w:r w:rsidR="00FE1663" w:rsidRPr="00E51082">
        <w:rPr>
          <w:szCs w:val="24"/>
        </w:rPr>
        <w:t xml:space="preserve"> l</w:t>
      </w:r>
      <w:r w:rsidR="005414AB" w:rsidRPr="00E51082">
        <w:rPr>
          <w:szCs w:val="24"/>
        </w:rPr>
        <w:t>ess</w:t>
      </w:r>
      <w:r w:rsidR="00FE1663" w:rsidRPr="00E51082">
        <w:rPr>
          <w:szCs w:val="24"/>
        </w:rPr>
        <w:t xml:space="preserve"> need for s</w:t>
      </w:r>
      <w:r w:rsidR="0029566F" w:rsidRPr="00E51082">
        <w:rPr>
          <w:szCs w:val="24"/>
        </w:rPr>
        <w:t>upport</w:t>
      </w:r>
      <w:r w:rsidR="00FE1663" w:rsidRPr="00E51082">
        <w:rPr>
          <w:szCs w:val="24"/>
        </w:rPr>
        <w:t xml:space="preserve">. </w:t>
      </w:r>
      <w:r w:rsidR="00B76675" w:rsidRPr="00E51082">
        <w:rPr>
          <w:szCs w:val="24"/>
        </w:rPr>
        <w:t>W</w:t>
      </w:r>
      <w:r w:rsidR="00056D1E" w:rsidRPr="00E51082">
        <w:rPr>
          <w:szCs w:val="24"/>
        </w:rPr>
        <w:t xml:space="preserve">e only </w:t>
      </w:r>
      <w:r w:rsidR="005A4843" w:rsidRPr="00E51082">
        <w:rPr>
          <w:szCs w:val="24"/>
        </w:rPr>
        <w:t xml:space="preserve">analysed </w:t>
      </w:r>
      <w:r w:rsidR="00056D1E" w:rsidRPr="00E51082">
        <w:rPr>
          <w:szCs w:val="24"/>
        </w:rPr>
        <w:t xml:space="preserve">costs over </w:t>
      </w:r>
      <w:r w:rsidR="00823DF2" w:rsidRPr="00E51082">
        <w:rPr>
          <w:szCs w:val="24"/>
        </w:rPr>
        <w:t>6</w:t>
      </w:r>
      <w:r w:rsidR="00056D1E" w:rsidRPr="00E51082">
        <w:rPr>
          <w:szCs w:val="24"/>
        </w:rPr>
        <w:t>-month</w:t>
      </w:r>
      <w:r w:rsidR="00AC3978" w:rsidRPr="00E51082">
        <w:rPr>
          <w:szCs w:val="24"/>
        </w:rPr>
        <w:t>s</w:t>
      </w:r>
      <w:r w:rsidR="00056D1E" w:rsidRPr="00E51082">
        <w:rPr>
          <w:szCs w:val="24"/>
        </w:rPr>
        <w:t xml:space="preserve"> postnatal</w:t>
      </w:r>
      <w:r w:rsidR="00AC3978" w:rsidRPr="00E51082">
        <w:rPr>
          <w:szCs w:val="24"/>
        </w:rPr>
        <w:t>ly</w:t>
      </w:r>
      <w:r w:rsidR="00B76675" w:rsidRPr="00E51082">
        <w:rPr>
          <w:szCs w:val="24"/>
        </w:rPr>
        <w:t xml:space="preserve"> so</w:t>
      </w:r>
      <w:r w:rsidR="00056D1E" w:rsidRPr="00E51082">
        <w:rPr>
          <w:szCs w:val="24"/>
        </w:rPr>
        <w:t xml:space="preserve"> we did not factor in </w:t>
      </w:r>
      <w:r w:rsidR="00804448" w:rsidRPr="00E51082">
        <w:rPr>
          <w:szCs w:val="24"/>
        </w:rPr>
        <w:t xml:space="preserve">risk of </w:t>
      </w:r>
      <w:r w:rsidR="005A4843" w:rsidRPr="00E51082">
        <w:rPr>
          <w:szCs w:val="24"/>
        </w:rPr>
        <w:t xml:space="preserve">longer-term </w:t>
      </w:r>
      <w:r w:rsidR="00804448" w:rsidRPr="00E51082">
        <w:rPr>
          <w:szCs w:val="24"/>
        </w:rPr>
        <w:t xml:space="preserve">adverse effects on </w:t>
      </w:r>
      <w:r w:rsidR="00056D1E" w:rsidRPr="00E51082">
        <w:rPr>
          <w:szCs w:val="24"/>
        </w:rPr>
        <w:t xml:space="preserve">child </w:t>
      </w:r>
      <w:r w:rsidR="00804448" w:rsidRPr="00E51082">
        <w:rPr>
          <w:szCs w:val="24"/>
        </w:rPr>
        <w:t>development and associated costs</w:t>
      </w:r>
      <w:r w:rsidR="00274898" w:rsidRPr="00E51082">
        <w:rPr>
          <w:szCs w:val="24"/>
        </w:rPr>
        <w:t xml:space="preserve"> </w:t>
      </w:r>
      <w:r w:rsidR="00FD21B9" w:rsidRPr="00E51082">
        <w:rPr>
          <w:szCs w:val="24"/>
        </w:rPr>
        <w:fldChar w:fldCharType="begin" w:fldLock="1"/>
      </w:r>
      <w:r w:rsidR="00706093">
        <w:rPr>
          <w:szCs w:val="24"/>
        </w:rPr>
        <w:instrText>ADDIN CSL_CITATION {"citationItems":[{"id":"ITEM-1","itemData":{"DOI":"10.1016/j.jad.2015.12.005","ISBN":"0165-0327","ISSN":"15732517","PMID":"26707352","abstract":"Background Anxiety and depression are common among women during pregnancy and the year after birth. The consequences, both for the women themselves and for their children, can be considerable and last for many years. This study focuses on the economic consequences, aiming to estimate the total costs and health-related quality of life losses over the lifetime of mothers and their children. Method A pathway or decision modelling approach was employed, based on data from previous studies. Systematic and pragmatic literature reviews were conducted to identify evidence of impacts of perinatal anxiety and depression on mothers and their children. Results The present value of total lifetime costs of perinatal depression (anxiety) was ??75,728 (??34,811) per woman with condition. If prevalence estimates were applied the respective cost of perinatal anxiety and depression combined was about ??8500 per woman giving birth; for the United Kingdom, the aggregated costs were ??6.6 billion. The majority of the costs related to adverse impacts on children and almost a fifth were borne by the public sector. Limitations The method was exploratory in nature, based on a diverse range of literature and encountered important data gaps. Conclusions Findings suggest the need to allocate more resources to support women with perinatal mental illness. More research is required to understand the type of interventions that can reduce long-term negative effects for both mothers and offspring.","author":[{"dropping-particle":"","family":"Bauer","given":"Annette","non-dropping-particle":"","parse-names":false,"suffix":""},{"dropping-particle":"","family":"Knapp","given":"Martin","non-dropping-particle":"","parse-names":false,"suffix":""},{"dropping-particle":"","family":"Parsonage","given":"Michael","non-dropping-particle":"","parse-names":false,"suffix":""}],"container-title":"Journal of Affective Disorders","id":"ITEM-1","issued":{"date-parts":[["2016","3","1"]]},"page":"83-90","title":"Lifetime costs of perinatal anxiety and depression","type":"article-journal","volume":"192"},"uris":["http://www.mendeley.com/documents/?uuid=6ecdc7ee-8cb6-4b2c-9f4e-f3a6751b5abc"]}],"mendeley":{"formattedCitation":"(Bauer &lt;i&gt;et al.&lt;/i&gt; 2016b)","plainTextFormattedCitation":"(Bauer et al. 2016b)","previouslyFormattedCitation":"(Bauer &lt;i&gt;et al.&lt;/i&gt; 2016b)"},"properties":{"noteIndex":0},"schema":"https://github.com/citation-style-language/schema/raw/master/csl-citation.json"}</w:instrText>
      </w:r>
      <w:r w:rsidR="00FD21B9" w:rsidRPr="00E51082">
        <w:rPr>
          <w:szCs w:val="24"/>
        </w:rPr>
        <w:fldChar w:fldCharType="separate"/>
      </w:r>
      <w:r w:rsidR="00CE2F0A" w:rsidRPr="00CE2F0A">
        <w:rPr>
          <w:noProof/>
          <w:szCs w:val="24"/>
        </w:rPr>
        <w:t xml:space="preserve">(Bauer </w:t>
      </w:r>
      <w:r w:rsidR="00CE2F0A" w:rsidRPr="00CE2F0A">
        <w:rPr>
          <w:i/>
          <w:noProof/>
          <w:szCs w:val="24"/>
        </w:rPr>
        <w:t>et al.</w:t>
      </w:r>
      <w:r w:rsidR="00CE2F0A" w:rsidRPr="00CE2F0A">
        <w:rPr>
          <w:noProof/>
          <w:szCs w:val="24"/>
        </w:rPr>
        <w:t xml:space="preserve"> 2016b)</w:t>
      </w:r>
      <w:r w:rsidR="00FD21B9" w:rsidRPr="00E51082">
        <w:rPr>
          <w:szCs w:val="24"/>
        </w:rPr>
        <w:fldChar w:fldCharType="end"/>
      </w:r>
      <w:r w:rsidR="00804448" w:rsidRPr="00E51082">
        <w:rPr>
          <w:szCs w:val="24"/>
        </w:rPr>
        <w:t xml:space="preserve"> or on employment-related </w:t>
      </w:r>
      <w:r w:rsidR="00056D1E" w:rsidRPr="00E51082">
        <w:rPr>
          <w:szCs w:val="24"/>
        </w:rPr>
        <w:t>p</w:t>
      </w:r>
      <w:r w:rsidR="00804448" w:rsidRPr="00E51082">
        <w:rPr>
          <w:szCs w:val="24"/>
        </w:rPr>
        <w:t>roductivity losses</w:t>
      </w:r>
      <w:r w:rsidR="00A54B81" w:rsidRPr="00E51082">
        <w:rPr>
          <w:szCs w:val="24"/>
        </w:rPr>
        <w:t xml:space="preserve"> associated with depression</w:t>
      </w:r>
      <w:r w:rsidR="00274898" w:rsidRPr="00E51082">
        <w:rPr>
          <w:szCs w:val="24"/>
        </w:rPr>
        <w:t xml:space="preserve"> </w:t>
      </w:r>
      <w:r w:rsidR="00DE63EC" w:rsidRPr="00E51082">
        <w:rPr>
          <w:szCs w:val="24"/>
        </w:rPr>
        <w:fldChar w:fldCharType="begin" w:fldLock="1"/>
      </w:r>
      <w:r w:rsidR="00706093">
        <w:rPr>
          <w:szCs w:val="24"/>
        </w:rPr>
        <w:instrText>ADDIN CSL_CITATION {"citationItems":[{"id":"ITEM-1","itemData":{"DOI":"10.1192/bjp.183.6.514","ISBN":"0007-1250","ISSN":"00071250","PMID":"14645022","abstract":"BACKGROUND The cost of depression in the UK was estimated at pound 3.5 billion almost a decade ago. The shift to community-based management for depression alongside the availability of more accurate data have allowed these estimates to be revised. AIMS To calculate the total cost of depression in adults in England during 2000. METHOD Recorded data on health service use by patients with depression were analysed and the cost of treating patients was calculated. The cost of working life lost was estimated from sickness benefit claims and the number of registered deaths of patients with depression. RESULTS The total cost of adult depression was estimated at over pound 9 billion, of which pound 370 million represents direct treatment costs. There were 109.7 million working days lost and 2615 deaths due to depression in 2000. CONCLUSIONS Despite awareness campaigns and the availability of effective treatments, depression remains a considerable burden on both society and the individual, especially in terms of incapacity to work.","author":[{"dropping-particle":"","family":"Thomas","given":"Christine M.","non-dropping-particle":"","parse-names":false,"suffix":""},{"dropping-particle":"","family":"Morris","given":"Stephen","non-dropping-particle":"","parse-names":false,"suffix":""}],"container-title":"British Journal of Psychiatry","id":"ITEM-1","issue":"DEC.","issued":{"date-parts":[["2003"]]},"page":"514-519","title":"Cost of depression among adults in England in 2000","type":"article-journal","volume":"183"},"uris":["http://www.mendeley.com/documents/?uuid=dbd2f3c2-42fd-4f42-abc5-face0a6275f2"]}],"mendeley":{"formattedCitation":"(Thomas &amp; Morris 2003)","plainTextFormattedCitation":"(Thomas &amp; Morris 2003)","previouslyFormattedCitation":"(Thomas &amp; Morris 2003)"},"properties":{"noteIndex":0},"schema":"https://github.com/citation-style-language/schema/raw/master/csl-citation.json"}</w:instrText>
      </w:r>
      <w:r w:rsidR="00DE63EC" w:rsidRPr="00E51082">
        <w:rPr>
          <w:szCs w:val="24"/>
        </w:rPr>
        <w:fldChar w:fldCharType="separate"/>
      </w:r>
      <w:r w:rsidR="00EC15F5" w:rsidRPr="00E51082">
        <w:rPr>
          <w:noProof/>
          <w:szCs w:val="24"/>
        </w:rPr>
        <w:t>(Thomas &amp; Morris 2003)</w:t>
      </w:r>
      <w:r w:rsidR="00DE63EC" w:rsidRPr="00E51082">
        <w:rPr>
          <w:szCs w:val="24"/>
        </w:rPr>
        <w:fldChar w:fldCharType="end"/>
      </w:r>
      <w:r w:rsidR="00274898" w:rsidRPr="00E51082">
        <w:rPr>
          <w:szCs w:val="24"/>
        </w:rPr>
        <w:t>.</w:t>
      </w:r>
    </w:p>
    <w:p w14:paraId="0DB550B0" w14:textId="24CECA48" w:rsidR="0058708A" w:rsidRPr="00E51082" w:rsidRDefault="00EB6DAB" w:rsidP="007828E3">
      <w:pPr>
        <w:spacing w:after="120"/>
      </w:pPr>
      <w:r w:rsidRPr="00E51082">
        <w:rPr>
          <w:szCs w:val="24"/>
        </w:rPr>
        <w:t>Present-day unit costs may differ from those used here</w:t>
      </w:r>
      <w:r w:rsidR="00A54B81" w:rsidRPr="00E51082">
        <w:rPr>
          <w:szCs w:val="24"/>
        </w:rPr>
        <w:t xml:space="preserve"> (</w:t>
      </w:r>
      <w:r w:rsidR="00FE1663" w:rsidRPr="00E51082">
        <w:rPr>
          <w:szCs w:val="24"/>
        </w:rPr>
        <w:t>2003/</w:t>
      </w:r>
      <w:r w:rsidR="004235C4" w:rsidRPr="00E51082">
        <w:rPr>
          <w:szCs w:val="24"/>
        </w:rPr>
        <w:t>0</w:t>
      </w:r>
      <w:r w:rsidR="00FE1663" w:rsidRPr="00E51082">
        <w:rPr>
          <w:szCs w:val="24"/>
        </w:rPr>
        <w:t>4 prices</w:t>
      </w:r>
      <w:r w:rsidR="00A54B81" w:rsidRPr="00E51082">
        <w:rPr>
          <w:szCs w:val="24"/>
        </w:rPr>
        <w:t xml:space="preserve">) </w:t>
      </w:r>
      <w:r w:rsidR="00C87CB5" w:rsidRPr="00E51082">
        <w:rPr>
          <w:szCs w:val="24"/>
        </w:rPr>
        <w:t>which</w:t>
      </w:r>
      <w:r w:rsidRPr="00E51082">
        <w:rPr>
          <w:szCs w:val="24"/>
        </w:rPr>
        <w:t xml:space="preserve"> reflect organisation of care and mix of services at the time</w:t>
      </w:r>
      <w:r w:rsidR="00A54B81" w:rsidRPr="00E51082">
        <w:rPr>
          <w:szCs w:val="24"/>
        </w:rPr>
        <w:t xml:space="preserve"> of the trial</w:t>
      </w:r>
      <w:r w:rsidR="00FE1663" w:rsidRPr="00E51082">
        <w:rPr>
          <w:szCs w:val="24"/>
        </w:rPr>
        <w:t xml:space="preserve">. </w:t>
      </w:r>
      <w:r w:rsidR="004235C4" w:rsidRPr="00E51082">
        <w:rPr>
          <w:szCs w:val="24"/>
        </w:rPr>
        <w:t>O</w:t>
      </w:r>
      <w:r w:rsidR="002D5B9B" w:rsidRPr="00E51082">
        <w:rPr>
          <w:szCs w:val="24"/>
        </w:rPr>
        <w:t xml:space="preserve">rganisation of care, </w:t>
      </w:r>
      <w:r w:rsidR="00FE1663" w:rsidRPr="00E51082">
        <w:rPr>
          <w:szCs w:val="24"/>
        </w:rPr>
        <w:t>outcomes and unit costs were undoubtedly interrelated</w:t>
      </w:r>
      <w:r w:rsidRPr="00E51082">
        <w:rPr>
          <w:szCs w:val="24"/>
        </w:rPr>
        <w:t xml:space="preserve"> and cannot </w:t>
      </w:r>
      <w:r w:rsidR="00C87CB5" w:rsidRPr="00E51082">
        <w:rPr>
          <w:szCs w:val="24"/>
        </w:rPr>
        <w:t xml:space="preserve">now </w:t>
      </w:r>
      <w:r w:rsidRPr="00E51082">
        <w:rPr>
          <w:szCs w:val="24"/>
        </w:rPr>
        <w:t>be easily disentangled</w:t>
      </w:r>
      <w:r w:rsidR="00FE1663" w:rsidRPr="00E51082">
        <w:rPr>
          <w:szCs w:val="24"/>
        </w:rPr>
        <w:t>.</w:t>
      </w:r>
      <w:r w:rsidR="00AC3978" w:rsidRPr="00E51082">
        <w:rPr>
          <w:szCs w:val="24"/>
        </w:rPr>
        <w:t xml:space="preserve"> T</w:t>
      </w:r>
      <w:r w:rsidR="00FE1663" w:rsidRPr="00E51082">
        <w:rPr>
          <w:szCs w:val="24"/>
        </w:rPr>
        <w:t xml:space="preserve">he organisation of health visiting </w:t>
      </w:r>
      <w:r w:rsidR="00C87CB5" w:rsidRPr="00E51082">
        <w:rPr>
          <w:szCs w:val="24"/>
        </w:rPr>
        <w:t xml:space="preserve">has </w:t>
      </w:r>
      <w:r w:rsidR="00FE1663" w:rsidRPr="00E51082">
        <w:rPr>
          <w:szCs w:val="24"/>
        </w:rPr>
        <w:t xml:space="preserve">changed over </w:t>
      </w:r>
      <w:r w:rsidR="00AC3978" w:rsidRPr="00E51082">
        <w:rPr>
          <w:szCs w:val="24"/>
        </w:rPr>
        <w:t>time:</w:t>
      </w:r>
      <w:r w:rsidR="00FE1663" w:rsidRPr="00E51082">
        <w:rPr>
          <w:szCs w:val="24"/>
        </w:rPr>
        <w:t xml:space="preserve"> H</w:t>
      </w:r>
      <w:r w:rsidR="00895633" w:rsidRPr="00E51082">
        <w:rPr>
          <w:szCs w:val="24"/>
        </w:rPr>
        <w:t>Vs</w:t>
      </w:r>
      <w:r w:rsidR="00FE1663" w:rsidRPr="00E51082">
        <w:rPr>
          <w:szCs w:val="24"/>
        </w:rPr>
        <w:t xml:space="preserve"> are registered nurses or midwives who </w:t>
      </w:r>
      <w:r w:rsidR="004235C4" w:rsidRPr="00E51082">
        <w:rPr>
          <w:szCs w:val="24"/>
        </w:rPr>
        <w:t xml:space="preserve">can now </w:t>
      </w:r>
      <w:r w:rsidR="00FE1663" w:rsidRPr="00E51082">
        <w:rPr>
          <w:szCs w:val="24"/>
        </w:rPr>
        <w:t>gain additional qualifications to become specialist community public health nurses</w:t>
      </w:r>
      <w:r w:rsidR="00A26B86" w:rsidRPr="00E51082">
        <w:rPr>
          <w:szCs w:val="24"/>
        </w:rPr>
        <w:t xml:space="preserve"> </w:t>
      </w:r>
      <w:r w:rsidR="00FE1663" w:rsidRPr="00E51082">
        <w:rPr>
          <w:szCs w:val="24"/>
        </w:rPr>
        <w:fldChar w:fldCharType="begin" w:fldLock="1"/>
      </w:r>
      <w:r w:rsidR="00706093">
        <w:rPr>
          <w:szCs w:val="24"/>
        </w:rPr>
        <w:instrText>ADDIN CSL_CITATION {"citationItems":[{"id":"ITEM-1","itemData":{"abstract":"This literature review was commissioned to support the health visitor implementation plan 2011-2015. It aimed to ascertain the key components of health visitor interventions, as well as relationships between the current health visiting service and its processes, and outcomes for children and families.","author":[{"dropping-particle":"","family":"Cowley","given":"Sarah","non-dropping-particle":"","parse-names":false,"suffix":""},{"dropping-particle":"","family":"Whittaker","given":"Karen","non-dropping-particle":"","parse-names":false,"suffix":""},{"dropping-particle":"","family":"Grigulis","given":"Astrida","non-dropping-particle":"","parse-names":false,"suffix":""},{"dropping-particle":"","family":"Malone","given":"Mary","non-dropping-particle":"","parse-names":false,"suffix":""},{"dropping-particle":"","family":"Donetto","given":"Sara","non-dropping-particle":"","parse-names":false,"suffix":""},{"dropping-particle":"","family":"Wood","given":"Heather","non-dropping-particle":"","parse-names":false,"suffix":""},{"dropping-particle":"","family":"Morrow","given":"Elizabeth","non-dropping-particle":"","parse-names":false,"suffix":""},{"dropping-particle":"","family":"Maben","given":"Jill","non-dropping-particle":"","parse-names":false,"suffix":""}],"container-title":"National Nursing Research Unit, King’s College London","id":"ITEM-1","issue":"February","issued":{"date-parts":[["2013"]]},"number-of-pages":"1-175","publisher":"National Nursing Research Unit, King’s College London","publisher-place":"London","title":"Why Health Visiting? A review of the literature about key health visitor interventions, processes and outcomes for children and families","type":"report"},"uris":["http://www.mendeley.com/documents/?uuid=0dafafea-fe26-4c57-a960-2cbfba14387e"]},{"id":"ITEM-2","itemData":{"author":[{"dropping-particle":"","family":"Health Education England","given":"","non-dropping-particle":"","parse-names":false,"suffix":""}],"id":"ITEM-2","issued":{"date-parts":[["2016"]]},"title":"Explore roles: Health visitor","type":"article"},"uris":["http://www.mendeley.com/documents/?uuid=0544b532-3bce-4ea5-af1f-75b73926f603"]}],"mendeley":{"formattedCitation":"(Cowley &lt;i&gt;et al.&lt;/i&gt; 2013; Health Education England 2016)","plainTextFormattedCitation":"(Cowley et al. 2013; Health Education England 2016)","previouslyFormattedCitation":"(Cowley &lt;i&gt;et al.&lt;/i&gt; 2013; Health Education England 2016)"},"properties":{"noteIndex":0},"schema":"https://github.com/citation-style-language/schema/raw/master/csl-citation.json"}</w:instrText>
      </w:r>
      <w:r w:rsidR="00FE1663" w:rsidRPr="00E51082">
        <w:rPr>
          <w:szCs w:val="24"/>
        </w:rPr>
        <w:fldChar w:fldCharType="separate"/>
      </w:r>
      <w:r w:rsidR="00EC15F5" w:rsidRPr="00E51082">
        <w:rPr>
          <w:noProof/>
          <w:szCs w:val="24"/>
        </w:rPr>
        <w:t xml:space="preserve">(Cowley </w:t>
      </w:r>
      <w:r w:rsidR="00EC15F5" w:rsidRPr="00E51082">
        <w:rPr>
          <w:i/>
          <w:noProof/>
          <w:szCs w:val="24"/>
        </w:rPr>
        <w:t>et al.</w:t>
      </w:r>
      <w:r w:rsidR="00EC15F5" w:rsidRPr="00E51082">
        <w:rPr>
          <w:noProof/>
          <w:szCs w:val="24"/>
        </w:rPr>
        <w:t xml:space="preserve"> 2013; Health Education England 2016)</w:t>
      </w:r>
      <w:r w:rsidR="00FE1663" w:rsidRPr="00E51082">
        <w:rPr>
          <w:szCs w:val="24"/>
        </w:rPr>
        <w:fldChar w:fldCharType="end"/>
      </w:r>
      <w:r w:rsidR="00A26B86" w:rsidRPr="00E51082">
        <w:rPr>
          <w:szCs w:val="24"/>
        </w:rPr>
        <w:t>.</w:t>
      </w:r>
      <w:r w:rsidR="00FE1663" w:rsidRPr="00E51082">
        <w:rPr>
          <w:szCs w:val="24"/>
        </w:rPr>
        <w:t xml:space="preserve"> </w:t>
      </w:r>
      <w:r w:rsidR="00895633" w:rsidRPr="00E51082">
        <w:rPr>
          <w:szCs w:val="24"/>
        </w:rPr>
        <w:t>T</w:t>
      </w:r>
      <w:r w:rsidR="00FE1663" w:rsidRPr="00E51082">
        <w:rPr>
          <w:szCs w:val="24"/>
        </w:rPr>
        <w:t>here has been a national programme to improve access to child health services</w:t>
      </w:r>
      <w:r w:rsidR="00B76675" w:rsidRPr="00E51082">
        <w:rPr>
          <w:szCs w:val="24"/>
        </w:rPr>
        <w:t xml:space="preserve">, </w:t>
      </w:r>
      <w:r w:rsidR="00FE1663" w:rsidRPr="00E51082">
        <w:rPr>
          <w:szCs w:val="24"/>
        </w:rPr>
        <w:t xml:space="preserve">increase numbers of </w:t>
      </w:r>
      <w:r w:rsidR="00895633" w:rsidRPr="00E51082">
        <w:rPr>
          <w:szCs w:val="24"/>
        </w:rPr>
        <w:t>HVs</w:t>
      </w:r>
      <w:r w:rsidR="00FE1663" w:rsidRPr="00E51082">
        <w:rPr>
          <w:szCs w:val="24"/>
        </w:rPr>
        <w:t xml:space="preserve">, and to transfer </w:t>
      </w:r>
      <w:r w:rsidR="00895633" w:rsidRPr="00E51082">
        <w:rPr>
          <w:szCs w:val="24"/>
        </w:rPr>
        <w:t>commissioning</w:t>
      </w:r>
      <w:r w:rsidR="00FE1663" w:rsidRPr="00E51082">
        <w:rPr>
          <w:szCs w:val="24"/>
        </w:rPr>
        <w:t xml:space="preserve"> of health visiting to local government</w:t>
      </w:r>
      <w:r w:rsidR="00A26B86" w:rsidRPr="00E51082">
        <w:rPr>
          <w:szCs w:val="24"/>
        </w:rPr>
        <w:t xml:space="preserve"> </w:t>
      </w:r>
      <w:r w:rsidR="00FE1663" w:rsidRPr="00E51082">
        <w:rPr>
          <w:szCs w:val="24"/>
        </w:rPr>
        <w:fldChar w:fldCharType="begin" w:fldLock="1"/>
      </w:r>
      <w:r w:rsidR="00706093">
        <w:rPr>
          <w:szCs w:val="24"/>
        </w:rPr>
        <w:instrText>ADDIN CSL_CITATION {"citationItems":[{"id":"ITEM-1","itemData":{"author":[{"dropping-particle":"","family":"Department of Health","given":"","non-dropping-particle":"","parse-names":false,"suffix":""}],"id":"ITEM-1","issue":"March","issued":{"date-parts":[["2015"]]},"title":"Transfer of 0-5 children’s public health commissioning to Local Authorities","type":"report"},"uris":["http://www.mendeley.com/documents/?uuid=0d1917fc-930c-4d00-8d87-04d5f63042ec"]}],"mendeley":{"formattedCitation":"(Department of Health 2015)","plainTextFormattedCitation":"(Department of Health 2015)","previouslyFormattedCitation":"(Department of Health 2015)"},"properties":{"noteIndex":0},"schema":"https://github.com/citation-style-language/schema/raw/master/csl-citation.json"}</w:instrText>
      </w:r>
      <w:r w:rsidR="00FE1663" w:rsidRPr="00E51082">
        <w:rPr>
          <w:szCs w:val="24"/>
        </w:rPr>
        <w:fldChar w:fldCharType="separate"/>
      </w:r>
      <w:r w:rsidR="00EC15F5" w:rsidRPr="00E51082">
        <w:rPr>
          <w:noProof/>
          <w:szCs w:val="24"/>
        </w:rPr>
        <w:t>(Department of Health 2015)</w:t>
      </w:r>
      <w:r w:rsidR="00FE1663" w:rsidRPr="00E51082">
        <w:rPr>
          <w:szCs w:val="24"/>
        </w:rPr>
        <w:fldChar w:fldCharType="end"/>
      </w:r>
      <w:r w:rsidR="00A26B86" w:rsidRPr="00E51082">
        <w:rPr>
          <w:szCs w:val="24"/>
        </w:rPr>
        <w:t>.</w:t>
      </w:r>
      <w:r w:rsidR="00FE1663" w:rsidRPr="00E51082">
        <w:rPr>
          <w:szCs w:val="24"/>
        </w:rPr>
        <w:t xml:space="preserve"> Such changes could </w:t>
      </w:r>
      <w:r w:rsidR="00895633" w:rsidRPr="00E51082">
        <w:rPr>
          <w:szCs w:val="24"/>
        </w:rPr>
        <w:t>affect</w:t>
      </w:r>
      <w:r w:rsidR="00FE1663" w:rsidRPr="00E51082">
        <w:rPr>
          <w:szCs w:val="24"/>
        </w:rPr>
        <w:t xml:space="preserve"> unit costs. The cost of an hour of health visiting (</w:t>
      </w:r>
      <w:r w:rsidR="00272E0B" w:rsidRPr="00E51082">
        <w:rPr>
          <w:szCs w:val="24"/>
        </w:rPr>
        <w:t>client</w:t>
      </w:r>
      <w:r w:rsidR="00FE1663" w:rsidRPr="00E51082">
        <w:rPr>
          <w:szCs w:val="24"/>
        </w:rPr>
        <w:t>-related work) in 2014/</w:t>
      </w:r>
      <w:r w:rsidR="004235C4" w:rsidRPr="00E51082">
        <w:rPr>
          <w:szCs w:val="24"/>
        </w:rPr>
        <w:t>1</w:t>
      </w:r>
      <w:r w:rsidR="00FE1663" w:rsidRPr="00E51082">
        <w:rPr>
          <w:szCs w:val="24"/>
        </w:rPr>
        <w:t xml:space="preserve">5 </w:t>
      </w:r>
      <w:r w:rsidR="00895633" w:rsidRPr="00E51082">
        <w:rPr>
          <w:szCs w:val="24"/>
        </w:rPr>
        <w:t>was</w:t>
      </w:r>
      <w:r w:rsidR="00FE1663" w:rsidRPr="00E51082">
        <w:rPr>
          <w:szCs w:val="24"/>
        </w:rPr>
        <w:t xml:space="preserve"> </w:t>
      </w:r>
      <w:r w:rsidR="00AC3978" w:rsidRPr="00E51082">
        <w:rPr>
          <w:szCs w:val="24"/>
        </w:rPr>
        <w:t>£76</w:t>
      </w:r>
      <w:r w:rsidR="00A26B86" w:rsidRPr="00E51082">
        <w:rPr>
          <w:szCs w:val="24"/>
        </w:rPr>
        <w:t xml:space="preserve"> </w:t>
      </w:r>
      <w:r w:rsidR="00FE1663" w:rsidRPr="00E51082">
        <w:rPr>
          <w:szCs w:val="24"/>
        </w:rPr>
        <w:fldChar w:fldCharType="begin" w:fldLock="1"/>
      </w:r>
      <w:r w:rsidR="00706093">
        <w:rPr>
          <w:szCs w:val="24"/>
        </w:rPr>
        <w:instrText>ADDIN CSL_CITATION {"citationItems":[{"id":"ITEM-1","itemData":{"author":[{"dropping-particle":"","family":"Curtis","given":"Lesley","non-dropping-particle":"","parse-names":false,"suffix":""},{"dropping-particle":"","family":"Burns","given":"Amanda","non-dropping-particle":"","parse-names":false,"suffix":""}],"id":"ITEM-1","issued":{"date-parts":[["2015"]]},"publisher":"Personal Social Services Research Unit (PSSRU)","publisher-place":"University of Kent, Canterbury","title":"Unit Costs of Health and Social Care 2015","type":"book"},"uris":["http://www.mendeley.com/documents/?uuid=0a143129-9c50-4426-a173-d38a87fbb2b1"]}],"mendeley":{"formattedCitation":"(Curtis &amp; Burns 2015)","plainTextFormattedCitation":"(Curtis &amp; Burns 2015)","previouslyFormattedCitation":"(Curtis &amp; Burns 2015)"},"properties":{"noteIndex":0},"schema":"https://github.com/citation-style-language/schema/raw/master/csl-citation.json"}</w:instrText>
      </w:r>
      <w:r w:rsidR="00FE1663" w:rsidRPr="00E51082">
        <w:rPr>
          <w:szCs w:val="24"/>
        </w:rPr>
        <w:fldChar w:fldCharType="separate"/>
      </w:r>
      <w:r w:rsidR="000F3E83" w:rsidRPr="00E51082">
        <w:rPr>
          <w:noProof/>
          <w:szCs w:val="24"/>
        </w:rPr>
        <w:t>(Curtis &amp; Burns 2015)</w:t>
      </w:r>
      <w:r w:rsidR="00FE1663" w:rsidRPr="00E51082">
        <w:rPr>
          <w:szCs w:val="24"/>
        </w:rPr>
        <w:fldChar w:fldCharType="end"/>
      </w:r>
      <w:r w:rsidR="00A26B86" w:rsidRPr="00E51082">
        <w:rPr>
          <w:szCs w:val="24"/>
        </w:rPr>
        <w:t xml:space="preserve">, </w:t>
      </w:r>
      <w:r w:rsidR="00FE1663" w:rsidRPr="00E51082">
        <w:rPr>
          <w:szCs w:val="24"/>
        </w:rPr>
        <w:t xml:space="preserve">whereas the hourly cost used </w:t>
      </w:r>
      <w:r w:rsidR="004235C4" w:rsidRPr="00E51082">
        <w:rPr>
          <w:szCs w:val="24"/>
        </w:rPr>
        <w:t>here</w:t>
      </w:r>
      <w:r w:rsidR="00FE1663" w:rsidRPr="00E51082">
        <w:rPr>
          <w:szCs w:val="24"/>
        </w:rPr>
        <w:t xml:space="preserve"> would be £101 if uprated to 2014/15 </w:t>
      </w:r>
      <w:r w:rsidR="00895633" w:rsidRPr="00E51082">
        <w:rPr>
          <w:szCs w:val="24"/>
        </w:rPr>
        <w:t>prices</w:t>
      </w:r>
      <w:r w:rsidR="00A26B86" w:rsidRPr="00E51082">
        <w:rPr>
          <w:szCs w:val="24"/>
        </w:rPr>
        <w:t xml:space="preserve"> </w:t>
      </w:r>
      <w:r w:rsidR="00FE1663" w:rsidRPr="00E51082">
        <w:rPr>
          <w:szCs w:val="24"/>
        </w:rPr>
        <w:fldChar w:fldCharType="begin" w:fldLock="1"/>
      </w:r>
      <w:r w:rsidR="00706093">
        <w:rPr>
          <w:szCs w:val="24"/>
        </w:rPr>
        <w:instrText>ADDIN CSL_CITATION {"citationItems":[{"id":"ITEM-1","itemData":{"author":[{"dropping-particle":"","family":"Curtis","given":"Lesley","non-dropping-particle":"","parse-names":false,"suffix":""},{"dropping-particle":"","family":"Burns","given":"Amanda","non-dropping-particle":"","parse-names":false,"suffix":""}],"id":"ITEM-1","issued":{"date-parts":[["2015"]]},"publisher":"Personal Social Services Research Unit (PSSRU)","publisher-place":"University of Kent, Canterbury","title":"Unit Costs of Health and Social Care 2015","type":"book"},"uris":["http://www.mendeley.com/documents/?uuid=0a143129-9c50-4426-a173-d38a87fbb2b1"]}],"mendeley":{"formattedCitation":"(Curtis &amp; Burns 2015)","plainTextFormattedCitation":"(Curtis &amp; Burns 2015)","previouslyFormattedCitation":"(Curtis &amp; Burns 2015)"},"properties":{"noteIndex":0},"schema":"https://github.com/citation-style-language/schema/raw/master/csl-citation.json"}</w:instrText>
      </w:r>
      <w:r w:rsidR="00FE1663" w:rsidRPr="00E51082">
        <w:rPr>
          <w:szCs w:val="24"/>
        </w:rPr>
        <w:fldChar w:fldCharType="separate"/>
      </w:r>
      <w:r w:rsidR="000F3E83" w:rsidRPr="00E51082">
        <w:rPr>
          <w:noProof/>
          <w:szCs w:val="24"/>
        </w:rPr>
        <w:t>(Curtis &amp; Burns 2015)</w:t>
      </w:r>
      <w:r w:rsidR="00FE1663" w:rsidRPr="00E51082">
        <w:rPr>
          <w:szCs w:val="24"/>
        </w:rPr>
        <w:fldChar w:fldCharType="end"/>
      </w:r>
      <w:r w:rsidR="00A26B86" w:rsidRPr="00E51082">
        <w:rPr>
          <w:szCs w:val="24"/>
        </w:rPr>
        <w:t>.</w:t>
      </w:r>
      <w:r w:rsidR="00FE1663" w:rsidRPr="00E51082">
        <w:rPr>
          <w:szCs w:val="24"/>
        </w:rPr>
        <w:t xml:space="preserve"> </w:t>
      </w:r>
      <w:r w:rsidR="001A3B86" w:rsidRPr="00E51082">
        <w:rPr>
          <w:szCs w:val="24"/>
        </w:rPr>
        <w:t>D</w:t>
      </w:r>
      <w:r w:rsidR="00FE1663" w:rsidRPr="00E51082">
        <w:rPr>
          <w:szCs w:val="24"/>
        </w:rPr>
        <w:t xml:space="preserve">ata sources and methods used to estimate </w:t>
      </w:r>
      <w:r w:rsidR="00895633" w:rsidRPr="00E51082">
        <w:rPr>
          <w:szCs w:val="24"/>
        </w:rPr>
        <w:t>HV</w:t>
      </w:r>
      <w:r w:rsidR="00FE1663" w:rsidRPr="00E51082">
        <w:rPr>
          <w:szCs w:val="24"/>
        </w:rPr>
        <w:t xml:space="preserve"> unit costs </w:t>
      </w:r>
      <w:r w:rsidR="001A3B86" w:rsidRPr="00E51082">
        <w:rPr>
          <w:szCs w:val="24"/>
        </w:rPr>
        <w:t xml:space="preserve">have changed </w:t>
      </w:r>
      <w:r w:rsidR="00FE1663" w:rsidRPr="00E51082">
        <w:rPr>
          <w:szCs w:val="24"/>
        </w:rPr>
        <w:t>since 2004</w:t>
      </w:r>
      <w:r w:rsidR="00A26B86" w:rsidRPr="00E51082">
        <w:rPr>
          <w:szCs w:val="24"/>
        </w:rPr>
        <w:t xml:space="preserve"> </w:t>
      </w:r>
      <w:r w:rsidR="00FE1663" w:rsidRPr="00E51082">
        <w:rPr>
          <w:szCs w:val="24"/>
        </w:rPr>
        <w:fldChar w:fldCharType="begin" w:fldLock="1"/>
      </w:r>
      <w:r w:rsidR="00706093">
        <w:rPr>
          <w:szCs w:val="24"/>
        </w:rPr>
        <w:instrText>ADDIN CSL_CITATION {"citationItems":[{"id":"ITEM-1","itemData":{"author":[{"dropping-particle":"","family":"Netten","given":"Ann","non-dropping-particle":"","parse-names":false,"suffix":""},{"dropping-particle":"","family":"Curtis","given":"Lesley","non-dropping-particle":"","parse-names":false,"suffix":""}],"id":"ITEM-1","issued":{"date-parts":[["2004"]]},"publisher":"Personal Social Services Research Unit (PSSRU)","publisher-place":"University of Kent, Canterbury","title":"Unit Costs of Health and Social Care 2004","type":"report"},"uris":["http://www.mendeley.com/documents/?uuid=8b9efcff-4924-32ac-8782-7afec708fc95"]}],"mendeley":{"formattedCitation":"(Netten &amp; Curtis 2004)","manualFormatting":"(Netten &amp; Curtis 2004)","plainTextFormattedCitation":"(Netten &amp; Curtis 2004)","previouslyFormattedCitation":"(Netten &amp; Curtis 2004)"},"properties":{"noteIndex":0},"schema":"https://github.com/citation-style-language/schema/raw/master/csl-citation.json"}</w:instrText>
      </w:r>
      <w:r w:rsidR="00FE1663" w:rsidRPr="00E51082">
        <w:rPr>
          <w:szCs w:val="24"/>
        </w:rPr>
        <w:fldChar w:fldCharType="separate"/>
      </w:r>
      <w:r w:rsidR="00A26B86" w:rsidRPr="00E51082">
        <w:rPr>
          <w:noProof/>
          <w:szCs w:val="24"/>
        </w:rPr>
        <w:t>(</w:t>
      </w:r>
      <w:r w:rsidR="00EC15F5" w:rsidRPr="00E51082">
        <w:rPr>
          <w:noProof/>
          <w:szCs w:val="24"/>
        </w:rPr>
        <w:t>Netten &amp; Curtis 2004)</w:t>
      </w:r>
      <w:r w:rsidR="00FE1663" w:rsidRPr="00E51082">
        <w:rPr>
          <w:szCs w:val="24"/>
        </w:rPr>
        <w:fldChar w:fldCharType="end"/>
      </w:r>
      <w:r w:rsidR="00A26B86" w:rsidRPr="00E51082">
        <w:rPr>
          <w:szCs w:val="24"/>
        </w:rPr>
        <w:t>,</w:t>
      </w:r>
      <w:r w:rsidR="002E12F2" w:rsidRPr="00E51082">
        <w:rPr>
          <w:szCs w:val="24"/>
        </w:rPr>
        <w:t xml:space="preserve"> as no data </w:t>
      </w:r>
      <w:r w:rsidR="001D7026" w:rsidRPr="00E51082">
        <w:rPr>
          <w:szCs w:val="24"/>
        </w:rPr>
        <w:t xml:space="preserve">on </w:t>
      </w:r>
      <w:r w:rsidR="00895633" w:rsidRPr="00E51082">
        <w:rPr>
          <w:szCs w:val="24"/>
        </w:rPr>
        <w:t xml:space="preserve">HV </w:t>
      </w:r>
      <w:r w:rsidR="001D7026" w:rsidRPr="00E51082">
        <w:rPr>
          <w:szCs w:val="24"/>
        </w:rPr>
        <w:t>time</w:t>
      </w:r>
      <w:r w:rsidR="004235C4" w:rsidRPr="00E51082">
        <w:rPr>
          <w:szCs w:val="24"/>
        </w:rPr>
        <w:t>-</w:t>
      </w:r>
      <w:r w:rsidR="001D7026" w:rsidRPr="00E51082">
        <w:rPr>
          <w:szCs w:val="24"/>
        </w:rPr>
        <w:t xml:space="preserve">use </w:t>
      </w:r>
      <w:r w:rsidR="002E12F2" w:rsidRPr="00E51082">
        <w:rPr>
          <w:szCs w:val="24"/>
        </w:rPr>
        <w:t xml:space="preserve">was available </w:t>
      </w:r>
      <w:r w:rsidR="00895633" w:rsidRPr="00E51082">
        <w:rPr>
          <w:szCs w:val="24"/>
        </w:rPr>
        <w:t>for later calculations</w:t>
      </w:r>
      <w:r w:rsidR="000635AA" w:rsidRPr="00E51082">
        <w:rPr>
          <w:szCs w:val="24"/>
        </w:rPr>
        <w:t xml:space="preserve"> (e.g. </w:t>
      </w:r>
      <w:r w:rsidR="00272E0B" w:rsidRPr="00E51082">
        <w:rPr>
          <w:szCs w:val="24"/>
        </w:rPr>
        <w:t>for</w:t>
      </w:r>
      <w:r w:rsidR="000635AA" w:rsidRPr="00E51082">
        <w:rPr>
          <w:szCs w:val="24"/>
        </w:rPr>
        <w:t xml:space="preserve"> face</w:t>
      </w:r>
      <w:r w:rsidR="00895633" w:rsidRPr="00E51082">
        <w:rPr>
          <w:szCs w:val="24"/>
        </w:rPr>
        <w:t>-</w:t>
      </w:r>
      <w:r w:rsidR="000635AA" w:rsidRPr="00E51082">
        <w:rPr>
          <w:szCs w:val="24"/>
        </w:rPr>
        <w:t>to</w:t>
      </w:r>
      <w:r w:rsidR="00895633" w:rsidRPr="00E51082">
        <w:rPr>
          <w:szCs w:val="24"/>
        </w:rPr>
        <w:t>-</w:t>
      </w:r>
      <w:r w:rsidR="000635AA" w:rsidRPr="00E51082">
        <w:rPr>
          <w:szCs w:val="24"/>
        </w:rPr>
        <w:t>face</w:t>
      </w:r>
      <w:r w:rsidR="004235C4" w:rsidRPr="00E51082">
        <w:rPr>
          <w:szCs w:val="24"/>
        </w:rPr>
        <w:t>/</w:t>
      </w:r>
      <w:r w:rsidR="000635AA" w:rsidRPr="00E51082">
        <w:rPr>
          <w:szCs w:val="24"/>
        </w:rPr>
        <w:t>indirect contacts and travel)</w:t>
      </w:r>
      <w:r w:rsidR="00A26B86" w:rsidRPr="00E51082">
        <w:rPr>
          <w:szCs w:val="24"/>
        </w:rPr>
        <w:t xml:space="preserve"> </w:t>
      </w:r>
      <w:r w:rsidR="00A26B86" w:rsidRPr="00E51082">
        <w:rPr>
          <w:szCs w:val="24"/>
        </w:rPr>
        <w:fldChar w:fldCharType="begin" w:fldLock="1"/>
      </w:r>
      <w:r w:rsidR="00706093">
        <w:rPr>
          <w:szCs w:val="24"/>
        </w:rPr>
        <w:instrText>ADDIN CSL_CITATION {"citationItems":[{"id":"ITEM-1","itemData":{"author":[{"dropping-particle":"","family":"Curtis","given":"Lesley","non-dropping-particle":"","parse-names":false,"suffix":""},{"dropping-particle":"","family":"Burns","given":"Amanda","non-dropping-particle":"","parse-names":false,"suffix":""}],"id":"ITEM-1","issued":{"date-parts":[["2015"]]},"publisher":"Personal Social Services Research Unit (PSSRU)","publisher-place":"University of Kent, Canterbury","title":"Unit Costs of Health and Social Care 2015","type":"book"},"uris":["http://www.mendeley.com/documents/?uuid=0a143129-9c50-4426-a173-d38a87fbb2b1"]}],"mendeley":{"formattedCitation":"(Curtis &amp; Burns 2015)","plainTextFormattedCitation":"(Curtis &amp; Burns 2015)","previouslyFormattedCitation":"(Curtis &amp; Burns 2015)"},"properties":{"noteIndex":0},"schema":"https://github.com/citation-style-language/schema/raw/master/csl-citation.json"}</w:instrText>
      </w:r>
      <w:r w:rsidR="00A26B86" w:rsidRPr="00E51082">
        <w:rPr>
          <w:szCs w:val="24"/>
        </w:rPr>
        <w:fldChar w:fldCharType="separate"/>
      </w:r>
      <w:r w:rsidR="000F3E83" w:rsidRPr="00E51082">
        <w:rPr>
          <w:noProof/>
          <w:szCs w:val="24"/>
        </w:rPr>
        <w:t>(Curtis &amp; Burns 2015)</w:t>
      </w:r>
      <w:r w:rsidR="00A26B86" w:rsidRPr="00E51082">
        <w:rPr>
          <w:szCs w:val="24"/>
        </w:rPr>
        <w:fldChar w:fldCharType="end"/>
      </w:r>
      <w:r w:rsidR="004235C4" w:rsidRPr="00E51082">
        <w:rPr>
          <w:szCs w:val="24"/>
        </w:rPr>
        <w:t>.</w:t>
      </w:r>
      <w:r w:rsidR="000635AA" w:rsidRPr="00E51082">
        <w:rPr>
          <w:szCs w:val="24"/>
        </w:rPr>
        <w:t xml:space="preserve"> </w:t>
      </w:r>
      <w:r w:rsidR="00FE1663" w:rsidRPr="00E51082">
        <w:rPr>
          <w:szCs w:val="24"/>
        </w:rPr>
        <w:t xml:space="preserve"> </w:t>
      </w:r>
      <w:r w:rsidR="00061083" w:rsidRPr="00E51082">
        <w:rPr>
          <w:szCs w:val="24"/>
        </w:rPr>
        <w:t xml:space="preserve"> </w:t>
      </w:r>
    </w:p>
    <w:p w14:paraId="1F1E8700" w14:textId="0EC75027" w:rsidR="00D4286A" w:rsidRPr="00E51082" w:rsidRDefault="00895633" w:rsidP="00D4286A">
      <w:pPr>
        <w:spacing w:after="120"/>
      </w:pPr>
      <w:r w:rsidRPr="00E51082">
        <w:t>Our</w:t>
      </w:r>
      <w:r w:rsidR="001C5976" w:rsidRPr="00E51082">
        <w:t xml:space="preserve"> cost-effectiveness analysis adopted methods </w:t>
      </w:r>
      <w:r w:rsidR="004235C4" w:rsidRPr="00E51082">
        <w:t>consistent</w:t>
      </w:r>
      <w:r w:rsidR="001C5976" w:rsidRPr="00E51082">
        <w:t xml:space="preserve"> with good practice guidelines</w:t>
      </w:r>
      <w:r w:rsidR="0056283A" w:rsidRPr="00E51082">
        <w:t xml:space="preserve"> </w:t>
      </w:r>
      <w:r w:rsidR="001C5976" w:rsidRPr="00E51082">
        <w:fldChar w:fldCharType="begin" w:fldLock="1"/>
      </w:r>
      <w:r w:rsidR="00706093">
        <w:instrText>ADDIN CSL_CITATION {"citationItems":[{"id":"ITEM-1","itemData":{"DOI":"10.1016/j.jval.2015.02.001","ISBN":"1098-3015 (Print) 1098-3015 (Linking)","ISSN":"10983015","PMID":"25773551","abstract":"Clinical trials evaluating medicines, medical devices, and procedures now commonly assess the economic value of these interventions. The growing number of prospective clinical/economic trials reflects both widespread interest in economic information for new technologies and the regulatory and reimbursement requirements of many countries that now consider evidence of economic value along with clinical efficacy. As decision makers increasingly demand evidence of economic value for health care interventions, conducting high-quality economic analyses alongside clinical studies is desirable because they broaden the scope of information available on a particular intervention, and can efficiently provide timely information with high internal and, when designed and analyzed properly, reasonable external validity. In 2005, ISPOR published the Good Research Practices for Cost-Effectiveness Analysis Alongside Clinical Trials: The ISPOR RCT-CEA Task Force report. ISPOR initiated an update of the report in 2014 to include the methodological developments over the last 9 years. This report provides updated recommendations reflecting advances in several areas related to trial design, selecting data elements, database design and management, analysis, and reporting of results. Task force members note that trials should be designed to evaluate effectiveness (rather than efficacy) when possible, should include clinical outcome measures, and should obtain health resource use and health state utilities directly from study subjects. Collection of economic data should be fully integrated into the study. An incremental analysis should be conducted with an intention-to-treat approach, complemented by relevant subgroup analyses. Uncertainty should be characterized. Articles should adhere to established standards for reporting results of cost-effectiveness analyses. Economic studies alongside trials are complementary to other evaluations (e.g., modeling studies) as information for decision makers who consider evidence of economic value along with clinical efficacy when making resource allocation decisions.","author":[{"dropping-particle":"","family":"Ramsey","given":"Scott D.","non-dropping-particle":"","parse-names":false,"suffix":""},{"dropping-particle":"","family":"Willke","given":"Richard J.","non-dropping-particle":"","parse-names":false,"suffix":""},{"dropping-particle":"","family":"Glick","given":"Henry","non-dropping-particle":"","parse-names":false,"suffix":""},{"dropping-particle":"","family":"Reed","given":"Shelby D.","non-dropping-particle":"","parse-names":false,"suffix":""},{"dropping-particle":"","family":"Augustovski","given":"Federico","non-dropping-particle":"","parse-names":false,"suffix":""},{"dropping-particle":"","family":"Jonsson","given":"Bengt","non-dropping-particle":"","parse-names":false,"suffix":""},{"dropping-particle":"","family":"Briggs","given":"Andrew","non-dropping-particle":"","parse-names":false,"suffix":""},{"dropping-particle":"","family":"Sullivan","given":"Sean D.","non-dropping-particle":"","parse-names":false,"suffix":""}],"container-title":"Value in Health","id":"ITEM-1","issue":"2","issued":{"date-parts":[["2015"]]},"note":"NULL","page":"161-172","title":"Cost-Effectiveness Analysis Alongside Clinical Trials II—An ISPOR Good Research Practices Task Force Report","type":"article-journal","volume":"18"},"uris":["http://www.mendeley.com/documents/?uuid=03e8240d-2339-4786-b0d5-e1e862bb8b19"]}],"mendeley":{"formattedCitation":"(Ramsey &lt;i&gt;et al.&lt;/i&gt; 2015)","plainTextFormattedCitation":"(Ramsey et al. 2015)","previouslyFormattedCitation":"(Ramsey &lt;i&gt;et al.&lt;/i&gt; 2015)"},"properties":{"noteIndex":0},"schema":"https://github.com/citation-style-language/schema/raw/master/csl-citation.json"}</w:instrText>
      </w:r>
      <w:r w:rsidR="001C5976" w:rsidRPr="00E51082">
        <w:fldChar w:fldCharType="separate"/>
      </w:r>
      <w:r w:rsidR="00EC15F5" w:rsidRPr="00E51082">
        <w:rPr>
          <w:noProof/>
        </w:rPr>
        <w:t>(Ramsey et al. 2015)</w:t>
      </w:r>
      <w:r w:rsidR="001C5976" w:rsidRPr="00E51082">
        <w:fldChar w:fldCharType="end"/>
      </w:r>
      <w:r w:rsidR="001C5976" w:rsidRPr="00E51082">
        <w:t xml:space="preserve"> and employed methods relevant to clustered data, </w:t>
      </w:r>
      <w:r w:rsidRPr="00E51082">
        <w:t xml:space="preserve">but </w:t>
      </w:r>
      <w:r w:rsidR="001C5976" w:rsidRPr="00E51082">
        <w:t xml:space="preserve">choice of </w:t>
      </w:r>
      <w:r w:rsidR="00E75C6A" w:rsidRPr="00E51082">
        <w:t xml:space="preserve">analytical </w:t>
      </w:r>
      <w:r w:rsidR="001C5976" w:rsidRPr="00E51082">
        <w:t>model can influence results</w:t>
      </w:r>
      <w:r w:rsidR="0056283A" w:rsidRPr="00E51082">
        <w:t xml:space="preserve"> </w:t>
      </w:r>
      <w:r w:rsidR="001C5976" w:rsidRPr="00E51082">
        <w:fldChar w:fldCharType="begin" w:fldLock="1"/>
      </w:r>
      <w:r w:rsidR="00706093">
        <w:instrText>ADDIN CSL_CITATION {"citationItems":[{"id":"ITEM-1","itemData":{"DOI":"10.1007/s10198-015-0731-8","ISSN":"16187601","PMID":"26445961","abstract":"CONTEXT Statistical models employed in analysing patient-level cost and effectiveness data need to be flexible enough to adjust for any imbalanced covariates, account for correlations between key parameters, and accommodate potential skewed distributions of costs and/or effects. We compare prominent statistical models for cost-effectiveness analysis alongside randomised controlled trials (RCTs) and covariate adjustment to assess their performance and accuracy using data from a large RCT. METHOD Seemingly unrelated regressions, linear regression of net monetary benefits, and Bayesian generalized linear models with various distributional assumptions were used to analyse data from the TASMINH2 trial. Each model adjusted for covariates prognostic of costs and outcomes. RESULTS Cost-effectiveness results were notably sensitive to model choice. Models assuming normally distributed costs and effects provided a poor fit to the data, and potentially misleading inference. Allowing for a beta distribution captured the true incremental difference in effects and changed the decision as to which treatment is preferable. CONCLUSIONS Our findings suggest that Bayesian generalized linear models which allow for non-normality in estimation offer an attractive tool for researchers undertaking cost-effectiveness analyses. The flexibility provided by such methods allows the researcher to analyse patient-level data which are not necessarily normally distributed, while at the same time it enables assessing the effect of various baseline covariates on cost-effectiveness results.","author":[{"dropping-particle":"","family":"Mantopoulos","given":"Theodoros","non-dropping-particle":"","parse-names":false,"suffix":""},{"dropping-particle":"","family":"Mitchell","given":"Paul M.","non-dropping-particle":"","parse-names":false,"suffix":""},{"dropping-particle":"","family":"Welton","given":"Nicky J.","non-dropping-particle":"","parse-names":false,"suffix":""},{"dropping-particle":"","family":"McManus","given":"Richard","non-dropping-particle":"","parse-names":false,"suffix":""},{"dropping-particle":"","family":"Andronis","given":"Lazaros","non-dropping-particle":"","parse-names":false,"suffix":""}],"container-title":"European Journal of Health Economics","id":"ITEM-1","issue":"8","issued":{"date-parts":[["2016"]]},"note":"NULL","page":"927-938","title":"Choice of statistical model for cost-effectiveness analysis and covariate adjustment: empirical application of prominent models and assessment of their results","type":"article-journal","volume":"17"},"uris":["http://www.mendeley.com/documents/?uuid=b0772734-89f9-4b25-8bac-c51e26aa7ebc"]}],"mendeley":{"formattedCitation":"(Mantopoulos &lt;i&gt;et al.&lt;/i&gt; 2016)","plainTextFormattedCitation":"(Mantopoulos et al. 2016)","previouslyFormattedCitation":"(Mantopoulos &lt;i&gt;et al.&lt;/i&gt; 2016)"},"properties":{"noteIndex":0},"schema":"https://github.com/citation-style-language/schema/raw/master/csl-citation.json"}</w:instrText>
      </w:r>
      <w:r w:rsidR="001C5976" w:rsidRPr="00E51082">
        <w:fldChar w:fldCharType="separate"/>
      </w:r>
      <w:r w:rsidR="00EC15F5" w:rsidRPr="00E51082">
        <w:rPr>
          <w:noProof/>
        </w:rPr>
        <w:t>(Mantopoulos et al. 2016)</w:t>
      </w:r>
      <w:r w:rsidR="001C5976" w:rsidRPr="00E51082">
        <w:fldChar w:fldCharType="end"/>
      </w:r>
      <w:r w:rsidRPr="00E51082">
        <w:t xml:space="preserve"> and so</w:t>
      </w:r>
      <w:r w:rsidR="001C5976" w:rsidRPr="00E51082">
        <w:t xml:space="preserve"> is a source of methodological uncertainty. However, given the strength of </w:t>
      </w:r>
      <w:r w:rsidRPr="00E51082">
        <w:t>our</w:t>
      </w:r>
      <w:r w:rsidR="001C5976" w:rsidRPr="00E51082">
        <w:t xml:space="preserve"> conclusions, such uncertainties are unlikely to be a concern.</w:t>
      </w:r>
      <w:r w:rsidR="0058708A" w:rsidRPr="00E51082">
        <w:t xml:space="preserve"> </w:t>
      </w:r>
    </w:p>
    <w:p w14:paraId="1A5007ED" w14:textId="3944973C" w:rsidR="00FE1663" w:rsidRPr="00E51082" w:rsidRDefault="00FE1663" w:rsidP="00D4286A">
      <w:pPr>
        <w:spacing w:after="120"/>
      </w:pPr>
      <w:r w:rsidRPr="00E51082">
        <w:t>In the base</w:t>
      </w:r>
      <w:r w:rsidR="00895633" w:rsidRPr="00E51082">
        <w:t>-</w:t>
      </w:r>
      <w:r w:rsidRPr="00E51082">
        <w:t xml:space="preserve">case analysis, mean utility scores of intervention group mothers were not significantly greater than </w:t>
      </w:r>
      <w:r w:rsidR="00AD4F1D" w:rsidRPr="00E51082">
        <w:t xml:space="preserve">for </w:t>
      </w:r>
      <w:r w:rsidRPr="00E51082">
        <w:t>control</w:t>
      </w:r>
      <w:r w:rsidR="00AD4F1D" w:rsidRPr="00E51082">
        <w:t xml:space="preserve"> group</w:t>
      </w:r>
      <w:r w:rsidR="004235C4" w:rsidRPr="00E51082">
        <w:t xml:space="preserve"> mothers</w:t>
      </w:r>
      <w:r w:rsidRPr="00E51082">
        <w:t xml:space="preserve">. We might ask whether measurement of </w:t>
      </w:r>
      <w:r w:rsidRPr="00E51082">
        <w:lastRenderedPageBreak/>
        <w:t>changes in utility in mothers at low</w:t>
      </w:r>
      <w:r w:rsidR="00AD4F1D" w:rsidRPr="00E51082">
        <w:t>er</w:t>
      </w:r>
      <w:r w:rsidRPr="00E51082">
        <w:t xml:space="preserve"> risk for depression can be as accurate as</w:t>
      </w:r>
      <w:r w:rsidR="005D1648" w:rsidRPr="00E51082">
        <w:t xml:space="preserve"> </w:t>
      </w:r>
      <w:r w:rsidRPr="00E51082">
        <w:t xml:space="preserve">in </w:t>
      </w:r>
      <w:r w:rsidR="00272E0B" w:rsidRPr="00E51082">
        <w:t>an at</w:t>
      </w:r>
      <w:r w:rsidRPr="00E51082">
        <w:t>-risk population</w:t>
      </w:r>
      <w:r w:rsidR="00272E0B" w:rsidRPr="00E51082">
        <w:t>. H</w:t>
      </w:r>
      <w:r w:rsidRPr="00E51082">
        <w:t>owever</w:t>
      </w:r>
      <w:r w:rsidR="00AD4F1D" w:rsidRPr="00E51082">
        <w:t>,</w:t>
      </w:r>
      <w:r w:rsidRPr="00E51082">
        <w:t xml:space="preserve"> </w:t>
      </w:r>
      <w:r w:rsidR="00AC3978" w:rsidRPr="00E51082">
        <w:t>the</w:t>
      </w:r>
      <w:r w:rsidRPr="00E51082">
        <w:t xml:space="preserve"> SF-6D is </w:t>
      </w:r>
      <w:r w:rsidR="00824D60" w:rsidRPr="00E51082">
        <w:t xml:space="preserve">sensitive to </w:t>
      </w:r>
      <w:r w:rsidRPr="00E51082">
        <w:t xml:space="preserve">differences in EPDS scores, discriminating well between different dichotomised levels of risk for </w:t>
      </w:r>
      <w:r w:rsidR="003A2738">
        <w:t>PND</w:t>
      </w:r>
      <w:r w:rsidR="008811D5" w:rsidRPr="00E51082">
        <w:t xml:space="preserve"> </w:t>
      </w:r>
      <w:r w:rsidRPr="00E51082">
        <w:fldChar w:fldCharType="begin" w:fldLock="1"/>
      </w:r>
      <w:r w:rsidR="00706093">
        <w:instrText>ADDIN CSL_CITATION {"citationItems":[{"id":"ITEM-1","itemData":{"DOI":"10.1186/1477-7525-7-40","ISBN":"1477-7525 (Electronic)\\r1477-7525 (Linking)","ISSN":"1477-7525","PMID":"19419553","abstract":"BACKGROUND: Multi-attribute utility measures are preference-based health-related quality of life measures that have been developed to inform economic evaluations of health care interventions. The objective of this study was to compare the empirical validity of two multi-attribute utility measures (EQ-5D and SF-6D) based on hypothetical preferences in a large maternity population in England. METHODS: Women who participated in a randomised controlled trial of additional postnatal support provided by trained community support workers represented the study population for this investigation. The women were asked to complete the EQ-5D descriptive system (which defines health-related quality of life in terms of five dimensions: mobility, self care, usual activities, pain/discomfort and anxiety/depression) and the SF-36 (which defines health-related quality of life, using 36 items, across eight dimensions: physical functioning, role limitations (physical), social functioning, bodily pain, general health, mental health, vitality and role limitations (emotional)) at six months postpartum. Their responses were converted into utility scores using the York A1 tariff set and the SF-6D utility algorithm, respectively. One-way analysis of variance was used to test the hypothetically-constructed preference rule that each set of utility scores differs significantly by self-reported health status (categorised as excellent, very good, good, fair or poor). The degree to which EQ-5D and SF-6D utility scores reflected alternative dichotomous configurations of self-reported health status and the Edinburgh Postnatal Depression Scale score was tested using the relative efficiency statistic and receiver operating characteristic (ROC) curves. RESULTS: The mean utility score for the EQ-5D was 0.861 (95% CI: 0.844, 0.877), whilst the mean utility score for the SF-6D was 0.809 (95% CI: 0.796, 0.822), representing a mean difference in utility score of 0.052 (95% CI: 0.040, 0.064; p &lt; 0.001). Both measures demonstrated statistically significant differences between subjects who described their health status as excellent, very good, good, fair or poor (p &lt; 0.001), as well as monotonically decreasing utility scores (test for linear trend: p &lt; 0.001). The SF-6D was between 29.1% and 423.6% more efficient than the EQ-5D at detecting differences in self-reported health status, and between 129.8% and 161.7% more efficient at detecting differences in the Edinburgh Postnatal Depression Scale sc…","author":[{"dropping-particle":"","family":"Petrou","given":"Stavros","non-dropping-particle":"","parse-names":false,"suffix":""},{"dropping-particle":"","family":"Morrell","given":"Jane","non-dropping-particle":"","parse-names":false,"suffix":""},{"dropping-particle":"","family":"Spiby","given":"Helen","non-dropping-particle":"","parse-names":false,"suffix":""}],"container-title":"Health and Quality of Life Outcomes","id":"ITEM-1","issued":{"date-parts":[["2009"]]},"page":"40","title":"Assessing the empirical validity of alternative multi-attribute utility measures in the maternity context.","type":"article-journal","volume":"7"},"uris":["http://www.mendeley.com/documents/?uuid=bb510d80-f326-404d-9f3f-86b2ce0d58c9"]}],"mendeley":{"formattedCitation":"(Petrou &lt;i&gt;et al.&lt;/i&gt; 2009)","plainTextFormattedCitation":"(Petrou et al. 2009)","previouslyFormattedCitation":"(Petrou &lt;i&gt;et al.&lt;/i&gt; 2009)"},"properties":{"noteIndex":0},"schema":"https://github.com/citation-style-language/schema/raw/master/csl-citation.json"}</w:instrText>
      </w:r>
      <w:r w:rsidRPr="00E51082">
        <w:fldChar w:fldCharType="separate"/>
      </w:r>
      <w:r w:rsidR="00EC15F5" w:rsidRPr="00E51082">
        <w:rPr>
          <w:noProof/>
        </w:rPr>
        <w:t>(Petrou et al. 2009)</w:t>
      </w:r>
      <w:r w:rsidRPr="00E51082">
        <w:fldChar w:fldCharType="end"/>
      </w:r>
      <w:r w:rsidR="008811D5" w:rsidRPr="00E51082">
        <w:t>.</w:t>
      </w:r>
      <w:r w:rsidRPr="00E51082">
        <w:t xml:space="preserve"> </w:t>
      </w:r>
    </w:p>
    <w:p w14:paraId="0B4CCDE4" w14:textId="77777777" w:rsidR="00FE1663" w:rsidRPr="000B5BB6" w:rsidRDefault="00FE1663" w:rsidP="000B5BB6">
      <w:pPr>
        <w:pStyle w:val="Heading2"/>
      </w:pPr>
      <w:r w:rsidRPr="000B5BB6">
        <w:t>Implications for policy and practice</w:t>
      </w:r>
    </w:p>
    <w:p w14:paraId="6AFEA73F" w14:textId="7245B50A" w:rsidR="00315CDF" w:rsidRPr="00E51082" w:rsidRDefault="003725FE" w:rsidP="00B16C1B">
      <w:pPr>
        <w:autoSpaceDE w:val="0"/>
        <w:autoSpaceDN w:val="0"/>
        <w:adjustRightInd w:val="0"/>
        <w:spacing w:after="120"/>
        <w:rPr>
          <w:szCs w:val="24"/>
        </w:rPr>
      </w:pPr>
      <w:r w:rsidRPr="00E51082">
        <w:rPr>
          <w:szCs w:val="24"/>
        </w:rPr>
        <w:t xml:space="preserve">PoNDER HV </w:t>
      </w:r>
      <w:r w:rsidR="00315CDF" w:rsidRPr="00E51082">
        <w:rPr>
          <w:szCs w:val="24"/>
        </w:rPr>
        <w:t>training offers the benefit of a service delivered in routine postnatal care</w:t>
      </w:r>
      <w:r w:rsidR="00AC3978" w:rsidRPr="00E51082">
        <w:rPr>
          <w:szCs w:val="24"/>
        </w:rPr>
        <w:t xml:space="preserve"> with assessment by HVs with whom women are already in contact</w:t>
      </w:r>
      <w:r w:rsidR="00AD4F1D" w:rsidRPr="00E51082">
        <w:rPr>
          <w:szCs w:val="24"/>
        </w:rPr>
        <w:t xml:space="preserve">: it is </w:t>
      </w:r>
      <w:r w:rsidR="00315CDF" w:rsidRPr="00E51082">
        <w:rPr>
          <w:szCs w:val="24"/>
        </w:rPr>
        <w:t xml:space="preserve">a low-cost </w:t>
      </w:r>
      <w:r w:rsidR="00AC3978" w:rsidRPr="00E51082">
        <w:rPr>
          <w:szCs w:val="24"/>
        </w:rPr>
        <w:t xml:space="preserve">universal </w:t>
      </w:r>
      <w:r w:rsidR="00A93C8B" w:rsidRPr="00E51082">
        <w:rPr>
          <w:szCs w:val="24"/>
        </w:rPr>
        <w:t xml:space="preserve">preventive </w:t>
      </w:r>
      <w:r w:rsidR="00315CDF" w:rsidRPr="00E51082">
        <w:rPr>
          <w:szCs w:val="24"/>
        </w:rPr>
        <w:t>intervention</w:t>
      </w:r>
      <w:r w:rsidR="003344FF" w:rsidRPr="00E51082">
        <w:rPr>
          <w:szCs w:val="24"/>
        </w:rPr>
        <w:t xml:space="preserve">. It </w:t>
      </w:r>
      <w:r w:rsidR="00AA5D81" w:rsidRPr="00E51082">
        <w:rPr>
          <w:szCs w:val="24"/>
        </w:rPr>
        <w:t xml:space="preserve">reduces risk of developing </w:t>
      </w:r>
      <w:r w:rsidR="003A2738">
        <w:rPr>
          <w:szCs w:val="24"/>
        </w:rPr>
        <w:t>PND</w:t>
      </w:r>
      <w:r w:rsidR="002029DC" w:rsidRPr="00E51082">
        <w:rPr>
          <w:szCs w:val="24"/>
        </w:rPr>
        <w:t xml:space="preserve"> symptoms</w:t>
      </w:r>
      <w:r w:rsidR="00AA5D81" w:rsidRPr="00E51082">
        <w:rPr>
          <w:szCs w:val="24"/>
        </w:rPr>
        <w:t>, reduces health and social care service use over 6-month</w:t>
      </w:r>
      <w:r w:rsidR="003344FF" w:rsidRPr="00E51082">
        <w:rPr>
          <w:szCs w:val="24"/>
        </w:rPr>
        <w:t>s</w:t>
      </w:r>
      <w:r w:rsidR="00AA5D81" w:rsidRPr="00E51082">
        <w:rPr>
          <w:szCs w:val="24"/>
        </w:rPr>
        <w:t xml:space="preserve"> and is cost-effective</w:t>
      </w:r>
      <w:r w:rsidR="00315CDF" w:rsidRPr="00E51082">
        <w:rPr>
          <w:szCs w:val="24"/>
        </w:rPr>
        <w:t>.</w:t>
      </w:r>
      <w:r w:rsidR="00B16C1B">
        <w:rPr>
          <w:szCs w:val="24"/>
        </w:rPr>
        <w:t xml:space="preserve"> </w:t>
      </w:r>
      <w:r w:rsidR="00B16C1B" w:rsidRPr="007C20C8">
        <w:rPr>
          <w:szCs w:val="24"/>
        </w:rPr>
        <w:t>R</w:t>
      </w:r>
      <w:r w:rsidR="00B16C1B" w:rsidRPr="007C20C8">
        <w:t>ecent reviews on th</w:t>
      </w:r>
      <w:r w:rsidR="005D3C9A" w:rsidRPr="007C20C8">
        <w:t>e cost-effectiveness of preven</w:t>
      </w:r>
      <w:r w:rsidR="00B16C1B" w:rsidRPr="007C20C8">
        <w:t>tive and early interventions</w:t>
      </w:r>
      <w:r w:rsidR="00CE2F0A" w:rsidRPr="007C20C8">
        <w:t xml:space="preserve"> </w:t>
      </w:r>
      <w:r w:rsidR="00CE2F0A" w:rsidRPr="007C20C8">
        <w:fldChar w:fldCharType="begin" w:fldLock="1"/>
      </w:r>
      <w:r w:rsidR="00706093" w:rsidRPr="007C20C8">
        <w:instrText>ADDIN CSL_CITATION {"citationItems":[{"id":"ITEM-1","itemData":{"author":[{"dropping-particle":"","family":"Bauer","given":"Annette","non-dropping-particle":"","parse-names":false,"suffix":""},{"dropping-particle":"","family":"Knapp","given":"Martin","non-dropping-particle":"","parse-names":false,"suffix":""},{"dropping-particle":"","family":"Adelaja","given":"Bayo","non-dropping-particle":"","parse-names":false,"suffix":""}],"id":"ITEM-1","issued":{"date-parts":[["2016"]]},"publisher-place":"London","title":"Best practice for perinatal mental health care: the economic case","type":"report"},"uris":["http://www.mendeley.com/documents/?uuid=96c7e940-f4e6-4cd7-8b80-c9576c97f338"]},{"id":"ITEM-2","itemData":{"DOI":"10.3310/hta20370","ISBN":"2046-4924 (Electronic) 1366-5278 (Linking)","ISSN":"20464924","PMID":"27184772","abstract":"Background: Postnatal depression (PND) is a major depressive disorder in the year following childbirth, which impacts on women, their infants and their families. A range of interventions has been developed to prevent PND. Objectives: To (1) evaluate the clinical effectiveness, cost-effectiveness, acceptability and safety of antenatal and postnatal interventions for pregnant and postnatal women to prevent PND; (2) apply rigorous methods of systematic reviewing of quantitative and qualitative studies, evidence synthesis and decision-analytic modelling to evaluate the preventive impact on women, their infants and their families; and (3) estimate cost-effectiveness. Data sources: We searched MEDLINE, EMBASE, Science Citation Index and other databases (from inception to July 2013) in December 2012, and we were updated by electronic alerts until July 2013. Review methods: Two reviewers independently screened titles and abstracts with consensus agreement. We undertook quality assessment. All universal, selective and indicated preventive interventions for pregnant women and women in the first 6 postnatal weeks were included. All outcomes were included, focusing on the Edinburgh Postnatal Depression Scale (EPDS), diagnostic instruments and infant outcomes. The quantitative evidence was synthesised using network meta-analyses (NMAs). A mathematical model was constructed to explore the cost-effectiveness of interventions contained within the NMA for EPDS values. Results: From 3072 records identified, 122 papers (86 trials) were included in the quantitative review. From 2152 records, 56 papers (44 studies) were included in the qualitative review. The results were inconclusive. The most beneficial interventions appeared to be midwifery redesigned postnatal care [as shown by the mean 12-month EPDS score difference of –1.43 (95% credible interval –4.00 to 1.36)], person-centred approach (PCA)-based and cognitive–behavioural therapy (CBT)-based intervention (universal), interpersonal psychotherapy (IPT)-based intervention and education on preparing for parenting (selective), promoting parent–infant interaction, peer support, IPT-based intervention and PCA-based and CBT-based intervention (indicated). Women valued seeing the same health worker, the involvement of partners and access to several visits from a midwife or health visitor trained in person-centred or cognitive–behavioural approaches. The most cost-effective interventions were estimated to be midwifery redesig…","author":[{"dropping-particle":"","family":"Morrell","given":"C. Jane","non-dropping-particle":"","parse-names":false,"suffix":""},{"dropping-particle":"","family":"Sutcliffe","given":"Paul","non-dropping-particle":"","parse-names":false,"suffix":""},{"dropping-particle":"","family":"Booth","given":"Andrew","non-dropping-particle":"","parse-names":false,"suffix":""},{"dropping-particle":"","family":"Stevens","given":"John","non-dropping-particle":"","parse-names":false,"suffix":""},{"dropping-particle":"","family":"Scope","given":"Alison","non-dropping-particle":"","parse-names":false,"suffix":""},{"dropping-particle":"","family":"Stevenson","given":"Matt","non-dropping-particle":"","parse-names":false,"suffix":""},{"dropping-particle":"","family":"Harvey","given":"Rebecca","non-dropping-particle":"","parse-names":false,"suffix":""},{"dropping-particle":"","family":"Bessey","given":"Alice","non-dropping-particle":"","parse-names":false,"suffix":""},{"dropping-particle":"","family":"Cantrell","given":"Anna","non-dropping-particle":"","parse-names":false,"suffix":""},{"dropping-particle":"","family":"Dennis","given":"Cindy Lee","non-dropping-particle":"","parse-names":false,"suffix":""},{"dropping-particle":"","family":"Ren","given":"Shijie","non-dropping-particle":"","parse-names":false,"suffix":""},{"dropping-particle":"","family":"Ragonesi","given":"Margherita","non-dropping-particle":"","parse-names":false,"suffix":""},{"dropping-particle":"","family":"Barkham","given":"Michael","non-dropping-particle":"","parse-names":false,"suffix":""},{"dropping-particle":"","family":"Churchill","given":"Dick","non-dropping-particle":"","parse-names":false,"suffix":""},{"dropping-particle":"","family":"Henshaw","given":"Carol","non-dropping-particle":"","parse-names":false,"suffix":""},{"dropping-particle":"","family":"Newstead","given":"Jo","non-dropping-particle":"","parse-names":false,"suffix":""},{"dropping-particle":"","family":"Slade","given":"Pauline","non-dropping-particle":"","parse-names":false,"suffix":""},{"dropping-particle":"","family":"Spiby","given":"Helen","non-dropping-particle":"","parse-names":false,"suffix":""},{"dropping-particle":"","family":"Stewart-Brown","given":"Sarah","non-dropping-particle":"","parse-names":false,"suffix":""}],"container-title":"Health Technology Assessment","id":"ITEM-2","issue":"37","issued":{"date-parts":[["2016"]]},"note":"Morrell, C Jane\nSutcliffe, Paul\nBooth, Andrew\nStevens, John\nScope, Alison\nStevenson, Matt\nHarvey, Rebecca\nBessey, Alice\nCantrell, Anna\nDennis, Cindy-Lee\nRen, Shijie\nRagonesi, Margherita\nBarkham, Michael\nChurchill, Dick\nHenshaw, Carol\nNewstead, Jo\nSlade, Pauline\nSpiby, Helen\nStewart-Brown, Sarah\neng\nEngland\nWinchester, England\n2016/05/18 06:00\nHealth Technol Assess. 2016 May;20(37):1-414. doi: 10.3310/hta20370.","page":"1-414","title":"A systematic review, evidence synthesis and meta-analysis of quantitative and qualitative studies evaluating the clinical effectiveness, the cost-effectiveness, safety and acceptability of interventions to prevent postnatal depression","type":"article-journal","volume":"20"},"uris":["http://www.mendeley.com/documents/?uuid=48eed906-9b8f-4678-8ecb-4617bd95d961"]}],"mendeley":{"formattedCitation":"(Bauer &lt;i&gt;et al.&lt;/i&gt; 2016a; Morrell &lt;i&gt;et al.&lt;/i&gt; 2016)","plainTextFormattedCitation":"(Bauer et al. 2016a; Morrell et al. 2016)","previouslyFormattedCitation":"(Bauer &lt;i&gt;et al.&lt;/i&gt; 2016a; Morrell &lt;i&gt;et al.&lt;/i&gt; 2016)"},"properties":{"noteIndex":0},"schema":"https://github.com/citation-style-language/schema/raw/master/csl-citation.json"}</w:instrText>
      </w:r>
      <w:r w:rsidR="00CE2F0A" w:rsidRPr="007C20C8">
        <w:fldChar w:fldCharType="separate"/>
      </w:r>
      <w:r w:rsidR="00CE2F0A" w:rsidRPr="007C20C8">
        <w:rPr>
          <w:noProof/>
        </w:rPr>
        <w:t xml:space="preserve">(Bauer </w:t>
      </w:r>
      <w:r w:rsidR="00CE2F0A" w:rsidRPr="007C20C8">
        <w:rPr>
          <w:i/>
          <w:noProof/>
        </w:rPr>
        <w:t>et al.</w:t>
      </w:r>
      <w:r w:rsidR="00CE2F0A" w:rsidRPr="007C20C8">
        <w:rPr>
          <w:noProof/>
        </w:rPr>
        <w:t xml:space="preserve"> 2016a; Morrell </w:t>
      </w:r>
      <w:r w:rsidR="00CE2F0A" w:rsidRPr="007C20C8">
        <w:rPr>
          <w:i/>
          <w:noProof/>
        </w:rPr>
        <w:t>et al.</w:t>
      </w:r>
      <w:r w:rsidR="00CE2F0A" w:rsidRPr="007C20C8">
        <w:rPr>
          <w:noProof/>
        </w:rPr>
        <w:t xml:space="preserve"> 2016)</w:t>
      </w:r>
      <w:r w:rsidR="00CE2F0A" w:rsidRPr="007C20C8">
        <w:fldChar w:fldCharType="end"/>
      </w:r>
      <w:r w:rsidR="00CE2F0A" w:rsidRPr="007C20C8">
        <w:t xml:space="preserve"> </w:t>
      </w:r>
      <w:r w:rsidR="004F319E" w:rsidRPr="007C20C8">
        <w:t xml:space="preserve">suggest that to date there are no other reports of an economic evaluation alongside a clinical trial to </w:t>
      </w:r>
      <w:r w:rsidR="004F319E" w:rsidRPr="007C20C8">
        <w:rPr>
          <w:i/>
        </w:rPr>
        <w:t xml:space="preserve">prevent </w:t>
      </w:r>
      <w:r w:rsidR="004F319E" w:rsidRPr="007C20C8">
        <w:t>perinatal mental health problems. Decision</w:t>
      </w:r>
      <w:r w:rsidR="00D7411C" w:rsidRPr="007C20C8">
        <w:t xml:space="preserve"> </w:t>
      </w:r>
      <w:r w:rsidR="004F319E" w:rsidRPr="007C20C8">
        <w:t>models drawing on</w:t>
      </w:r>
      <w:r w:rsidR="007C20C8" w:rsidRPr="007C20C8">
        <w:t xml:space="preserve"> the </w:t>
      </w:r>
      <w:r w:rsidR="004F319E" w:rsidRPr="007C20C8">
        <w:t xml:space="preserve">economic evidence </w:t>
      </w:r>
      <w:r w:rsidR="00B16C1B" w:rsidRPr="007C20C8">
        <w:t>have found that some interventions that address mild or subthreshold symptoms (including PCA and CBT-based universal approaches) are likely to be cost-effective and in some cases also lead to cost savings</w:t>
      </w:r>
      <w:r w:rsidR="00EE7215">
        <w:t xml:space="preserve"> </w:t>
      </w:r>
      <w:r w:rsidR="00EE7215" w:rsidRPr="007C20C8">
        <w:fldChar w:fldCharType="begin" w:fldLock="1"/>
      </w:r>
      <w:r w:rsidR="00C868B6">
        <w:instrText>ADDIN CSL_CITATION {"citationItems":[{"id":"ITEM-1","itemData":{"DOI":"10.3310/hta20370","ISBN":"2046-4924 (Electronic) 1366-5278 (Linking)","ISSN":"20464924","PMID":"27184772","abstract":"Background: Postnatal depression (PND) is a major depressive disorder in the year following childbirth, which impacts on women, their infants and their families. A range of interventions has been developed to prevent PND. Objectives: To (1) evaluate the clinical effectiveness, cost-effectiveness, acceptability and safety of antenatal and postnatal interventions for pregnant and postnatal women to prevent PND; (2) apply rigorous methods of systematic reviewing of quantitative and qualitative studies, evidence synthesis and decision-analytic modelling to evaluate the preventive impact on women, their infants and their families; and (3) estimate cost-effectiveness. Data sources: We searched MEDLINE, EMBASE, Science Citation Index and other databases (from inception to July 2013) in December 2012, and we were updated by electronic alerts until July 2013. Review methods: Two reviewers independently screened titles and abstracts with consensus agreement. We undertook quality assessment. All universal, selective and indicated preventive interventions for pregnant women and women in the first 6 postnatal weeks were included. All outcomes were included, focusing on the Edinburgh Postnatal Depression Scale (EPDS), diagnostic instruments and infant outcomes. The quantitative evidence was synthesised using network meta-analyses (NMAs). A mathematical model was constructed to explore the cost-effectiveness of interventions contained within the NMA for EPDS values. Results: From 3072 records identified, 122 papers (86 trials) were included in the quantitative review. From 2152 records, 56 papers (44 studies) were included in the qualitative review. The results were inconclusive. The most beneficial interventions appeared to be midwifery redesigned postnatal care [as shown by the mean 12-month EPDS score difference of –1.43 (95% credible interval –4.00 to 1.36)], person-centred approach (PCA)-based and cognitive–behavioural therapy (CBT)-based intervention (universal), interpersonal psychotherapy (IPT)-based intervention and education on preparing for parenting (selective), promoting parent–infant interaction, peer support, IPT-based intervention and PCA-based and CBT-based intervention (indicated). Women valued seeing the same health worker, the involvement of partners and access to several visits from a midwife or health visitor trained in person-centred or cognitive–behavioural approaches. The most cost-effective interventions were estimated to be midwifery redesig…","author":[{"dropping-particle":"","family":"Morrell","given":"C. Jane","non-dropping-particle":"","parse-names":false,"suffix":""},{"dropping-particle":"","family":"Sutcliffe","given":"Paul","non-dropping-particle":"","parse-names":false,"suffix":""},{"dropping-particle":"","family":"Booth","given":"Andrew","non-dropping-particle":"","parse-names":false,"suffix":""},{"dropping-particle":"","family":"Stevens","given":"John","non-dropping-particle":"","parse-names":false,"suffix":""},{"dropping-particle":"","family":"Scope","given":"Alison","non-dropping-particle":"","parse-names":false,"suffix":""},{"dropping-particle":"","family":"Stevenson","given":"Matt","non-dropping-particle":"","parse-names":false,"suffix":""},{"dropping-particle":"","family":"Harvey","given":"Rebecca","non-dropping-particle":"","parse-names":false,"suffix":""},{"dropping-particle":"","family":"Bessey","given":"Alice","non-dropping-particle":"","parse-names":false,"suffix":""},{"dropping-particle":"","family":"Cantrell","given":"Anna","non-dropping-particle":"","parse-names":false,"suffix":""},{"dropping-particle":"","family":"Dennis","given":"Cindy Lee","non-dropping-particle":"","parse-names":false,"suffix":""},{"dropping-particle":"","family":"Ren","given":"Shijie","non-dropping-particle":"","parse-names":false,"suffix":""},{"dropping-particle":"","family":"Ragonesi","given":"Margherita","non-dropping-particle":"","parse-names":false,"suffix":""},{"dropping-particle":"","family":"Barkham","given":"Michael","non-dropping-particle":"","parse-names":false,"suffix":""},{"dropping-particle":"","family":"Churchill","given":"Dick","non-dropping-particle":"","parse-names":false,"suffix":""},{"dropping-particle":"","family":"Henshaw","given":"Carol","non-dropping-particle":"","parse-names":false,"suffix":""},{"dropping-particle":"","family":"Newstead","given":"Jo","non-dropping-particle":"","parse-names":false,"suffix":""},{"dropping-particle":"","family":"Slade","given":"Pauline","non-dropping-particle":"","parse-names":false,"suffix":""},{"dropping-particle":"","family":"Spiby","given":"Helen","non-dropping-particle":"","parse-names":false,"suffix":""},{"dropping-particle":"","family":"Stewart-Brown","given":"Sarah","non-dropping-particle":"","parse-names":false,"suffix":""}],"container-title":"Health Technology Assessment","id":"ITEM-1","issue":"37","issued":{"date-parts":[["2016"]]},"note":"Morrell, C Jane\nSutcliffe, Paul\nBooth, Andrew\nStevens, John\nScope, Alison\nStevenson, Matt\nHarvey, Rebecca\nBessey, Alice\nCantrell, Anna\nDennis, Cindy-Lee\nRen, Shijie\nRagonesi, Margherita\nBarkham, Michael\nChurchill, Dick\nHenshaw, Carol\nNewstead, Jo\nSlade, Pauline\nSpiby, Helen\nStewart-Brown, Sarah\neng\nEngland\nWinchester, England\n2016/05/18 06:00\nHealth Technol Assess. 2016 May;20(37):1-414. doi: 10.3310/hta20370.","page":"1-414","title":"A systematic review, evidence synthesis and meta-analysis of quantitative and qualitative studies evaluating the clinical effectiveness, the cost-effectiveness, safety and acceptability of interventions to prevent postnatal depression","type":"article-journal","volume":"20"},"uris":["http://www.mendeley.com/documents/?uuid=48eed906-9b8f-4678-8ecb-4617bd95d961"]}],"mendeley":{"formattedCitation":"(Morrell &lt;i&gt;et al.&lt;/i&gt; 2016)","plainTextFormattedCitation":"(Morrell et al. 2016)","previouslyFormattedCitation":"(Morrell &lt;i&gt;et al.&lt;/i&gt; 2016)"},"properties":{"noteIndex":0},"schema":"https://github.com/citation-style-language/schema/raw/master/csl-citation.json"}</w:instrText>
      </w:r>
      <w:r w:rsidR="00EE7215" w:rsidRPr="007C20C8">
        <w:fldChar w:fldCharType="separate"/>
      </w:r>
      <w:r w:rsidR="00EE7215" w:rsidRPr="007C20C8">
        <w:rPr>
          <w:noProof/>
        </w:rPr>
        <w:t xml:space="preserve">(Morrell </w:t>
      </w:r>
      <w:r w:rsidR="00EE7215" w:rsidRPr="007C20C8">
        <w:rPr>
          <w:i/>
          <w:noProof/>
        </w:rPr>
        <w:t>et al.</w:t>
      </w:r>
      <w:r w:rsidR="00EE7215" w:rsidRPr="007C20C8">
        <w:rPr>
          <w:noProof/>
        </w:rPr>
        <w:t xml:space="preserve"> 2016)</w:t>
      </w:r>
      <w:r w:rsidR="00EE7215" w:rsidRPr="007C20C8">
        <w:fldChar w:fldCharType="end"/>
      </w:r>
      <w:r w:rsidR="00B16C1B" w:rsidRPr="007C20C8">
        <w:t xml:space="preserve">. There is also evidence that assessment by trained professionals </w:t>
      </w:r>
      <w:r w:rsidR="005D3C9A" w:rsidRPr="007C20C8">
        <w:t xml:space="preserve">such as health visitors </w:t>
      </w:r>
      <w:r w:rsidR="00B16C1B" w:rsidRPr="007C20C8">
        <w:t xml:space="preserve">can lead to better outcomes </w:t>
      </w:r>
      <w:r w:rsidR="005D3C9A" w:rsidRPr="007C20C8">
        <w:t xml:space="preserve">for postnatal women </w:t>
      </w:r>
      <w:r w:rsidR="00B16C1B" w:rsidRPr="007C20C8">
        <w:t xml:space="preserve">including reduced risk of depression </w:t>
      </w:r>
      <w:r w:rsidR="00B16C1B" w:rsidRPr="007C20C8">
        <w:fldChar w:fldCharType="begin" w:fldLock="1"/>
      </w:r>
      <w:r w:rsidR="00706093" w:rsidRPr="007C20C8">
        <w:instrText>ADDIN CSL_CITATION {"citationItems":[{"id":"ITEM-1","itemData":{"DOI":"10.1016/j.jad.2015.12.005","ISBN":"0165-0327","ISSN":"15732517","PMID":"26707352","abstract":"Background Anxiety and depression are common among women during pregnancy and the year after birth. The consequences, both for the women themselves and for their children, can be considerable and last for many years. This study focuses on the economic consequences, aiming to estimate the total costs and health-related quality of life losses over the lifetime of mothers and their children. Method A pathway or decision modelling approach was employed, based on data from previous studies. Systematic and pragmatic literature reviews were conducted to identify evidence of impacts of perinatal anxiety and depression on mothers and their children. Results The present value of total lifetime costs of perinatal depression (anxiety) was ??75,728 (??34,811) per woman with condition. If prevalence estimates were applied the respective cost of perinatal anxiety and depression combined was about ??8500 per woman giving birth; for the United Kingdom, the aggregated costs were ??6.6 billion. The majority of the costs related to adverse impacts on children and almost a fifth were borne by the public sector. Limitations The method was exploratory in nature, based on a diverse range of literature and encountered important data gaps. Conclusions Findings suggest the need to allocate more resources to support women with perinatal mental illness. More research is required to understand the type of interventions that can reduce long-term negative effects for both mothers and offspring.","author":[{"dropping-particle":"","family":"Bauer","given":"Annette","non-dropping-particle":"","parse-names":false,"suffix":""},{"dropping-particle":"","family":"Knapp","given":"Martin","non-dropping-particle":"","parse-names":false,"suffix":""},{"dropping-particle":"","family":"Parsonage","given":"Michael","non-dropping-particle":"","parse-names":false,"suffix":""}],"container-title":"Journal of Affective Disorders","id":"ITEM-1","issued":{"date-parts":[["2016","3","1"]]},"page":"83-90","title":"Lifetime costs of perinatal anxiety and depression","type":"article-journal","volume":"192"},"uris":["http://www.mendeley.com/documents/?uuid=6ecdc7ee-8cb6-4b2c-9f4e-f3a6751b5abc"]},{"id":"ITEM-2","itemData":{"DOI":"10.1001/jama.2015.18948","ISBN":"0098-7484(Print)","ISSN":"0098-7484","PMID":"26813212","abstract":"IMPORTANCE Depression is a source of substantial burden for individuals and their families, including women during the pregnant and postpartum period. OBJECTIVE To systematically review the benefits and harms of depression screening and treatment, and accuracy of selected screening instruments, for pregnant and postpartum women. Evidence for depression screening in adults in general is available in the full report. DATA SOURCES MEDLINE, PubMed, PsycINFO, and the Cochrane Collaboration Registry of Controlled Trials through January 20, 2015; references; and government websites. STUDY SELECTION English-languagetrialsofbenefitsandharmsofdepressionscreening,depression treatment in pregnant and postpartum women with screen-detected depression, and diagnostic accuracy studies of depression screening instruments in pregnant and postpartum women. DATA EXTRACTION AND SYNTHESIS Two investigators independently reviewed abstracts and full-text articles and extracted data from fair-and good-quality studies. Random-effects meta-analysis was used to estimate the benefit of cognitive behavioral therapy (CBT) in pregnant and postpartum women. MAIN OUTCOMES AND MEASURES Depression remission, prevalence, symptoms, and related measures of depression recovery or response; sensitivity and specificity of selected screening measures to detect depression; and serious adverse effects of antidepressant treatment. RESULTS Among pregnant and postpartum women 18 years and older, 6 trials (n = 11 869) showed 18% to 59% relative reductions with screening programs, or 2.1% to 9.1% absolute reductions, in the risk of depression at follow-up (3-5 months) after participation in programs involving depression screening, with or without additional treatment components, compared with usual care. Based on 23 studies (n = 5398), a cutoff of 13 on the English-language Edinburgh Postnatal Depression Scale demonstrated sensitivity ranging from 0.67 (95% CI, 0.18-0.96) to 1.00 (95% CI, 0.67-1.00) and specificity consistently 0.87 or higher. Data were sparse for Patient Health Questionnaire instruments. Pooled results for the benefit of CBT for pregnant and postpartum women with screen-detected depression showed an increase in the likelihood of remission (pooled relative risk, 1.34 [95% CI, 1.19-1.50]; No. of studies [K] = 10, I 2 = 7.9%) compared with usual care, with absolute increases ranging from 6.2% to 34.6%. Observational evidence showed that second-generation antidepressant use during pregnan…","author":[{"dropping-particle":"","family":"O’Connor","given":"Elizabeth","non-dropping-particle":"","parse-names":false,"suffix":""},{"dropping-particle":"","family":"Rossom","given":"Rebecca C.","non-dropping-particle":"","parse-names":false,"suffix":""},{"dropping-particle":"","family":"Henninger","given":"Michelle","non-dropping-particle":"","parse-names":false,"suffix":""},{"dropping-particle":"","family":"Groom","given":"Holly C.","non-dropping-particle":"","parse-names":false,"suffix":""},{"dropping-particle":"","family":"Burda","given":"Brittany U.","non-dropping-particle":"","parse-names":false,"suffix":""}],"container-title":"JAMA","id":"ITEM-2","issue":"4","issued":{"date-parts":[["2016","1","26"]]},"page":"388","publisher":"American Medical Association","title":"Primary Care Screening for and Treatment of Depression in Pregnant and Postpartum Women","type":"article-journal","volume":"315"},"uris":["http://www.mendeley.com/documents/?uuid=1da8e4e1-a099-3de5-8de4-2dee4ae5d3f6"]}],"mendeley":{"formattedCitation":"(Bauer &lt;i&gt;et al.&lt;/i&gt; 2016b; O’Connor &lt;i&gt;et al.&lt;/i&gt; 2016)","plainTextFormattedCitation":"(Bauer et al. 2016b; O’Connor et al. 2016)","previouslyFormattedCitation":"(Bauer &lt;i&gt;et al.&lt;/i&gt; 2016b; O’Connor &lt;i&gt;et al.&lt;/i&gt; 2016)"},"properties":{"noteIndex":0},"schema":"https://github.com/citation-style-language/schema/raw/master/csl-citation.json"}</w:instrText>
      </w:r>
      <w:r w:rsidR="00B16C1B" w:rsidRPr="007C20C8">
        <w:fldChar w:fldCharType="separate"/>
      </w:r>
      <w:r w:rsidR="00CE2F0A" w:rsidRPr="007C20C8">
        <w:rPr>
          <w:noProof/>
        </w:rPr>
        <w:t xml:space="preserve">(Bauer </w:t>
      </w:r>
      <w:r w:rsidR="00CE2F0A" w:rsidRPr="007C20C8">
        <w:rPr>
          <w:i/>
          <w:noProof/>
        </w:rPr>
        <w:t>et al.</w:t>
      </w:r>
      <w:r w:rsidR="00CE2F0A" w:rsidRPr="007C20C8">
        <w:rPr>
          <w:noProof/>
        </w:rPr>
        <w:t xml:space="preserve"> 2016b; O’Connor </w:t>
      </w:r>
      <w:r w:rsidR="00CE2F0A" w:rsidRPr="007C20C8">
        <w:rPr>
          <w:i/>
          <w:noProof/>
        </w:rPr>
        <w:t>et al.</w:t>
      </w:r>
      <w:r w:rsidR="00CE2F0A" w:rsidRPr="007C20C8">
        <w:rPr>
          <w:noProof/>
        </w:rPr>
        <w:t xml:space="preserve"> 2016)</w:t>
      </w:r>
      <w:r w:rsidR="00B16C1B" w:rsidRPr="007C20C8">
        <w:fldChar w:fldCharType="end"/>
      </w:r>
      <w:r w:rsidR="00B16C1B" w:rsidRPr="007C20C8">
        <w:t>.</w:t>
      </w:r>
      <w:r w:rsidR="00315CDF">
        <w:t xml:space="preserve"> </w:t>
      </w:r>
    </w:p>
    <w:p w14:paraId="09075682" w14:textId="773F4421" w:rsidR="00401CE6" w:rsidRDefault="00AA5D81" w:rsidP="00FE1663">
      <w:pPr>
        <w:pStyle w:val="BodyText2"/>
        <w:spacing w:after="120"/>
        <w:jc w:val="left"/>
        <w:rPr>
          <w:sz w:val="24"/>
          <w:szCs w:val="24"/>
        </w:rPr>
      </w:pPr>
      <w:r w:rsidRPr="00E51082">
        <w:rPr>
          <w:sz w:val="24"/>
          <w:szCs w:val="24"/>
        </w:rPr>
        <w:t xml:space="preserve">Two </w:t>
      </w:r>
      <w:r w:rsidR="00171C09" w:rsidRPr="00E51082">
        <w:rPr>
          <w:sz w:val="24"/>
          <w:szCs w:val="24"/>
        </w:rPr>
        <w:t>major</w:t>
      </w:r>
      <w:r w:rsidRPr="00E51082">
        <w:rPr>
          <w:sz w:val="24"/>
          <w:szCs w:val="24"/>
        </w:rPr>
        <w:t xml:space="preserve"> global challenges in relation to mental illness are </w:t>
      </w:r>
      <w:r w:rsidR="00FE1663" w:rsidRPr="00E51082">
        <w:rPr>
          <w:sz w:val="24"/>
          <w:szCs w:val="24"/>
        </w:rPr>
        <w:t>the ‘treatment gap’</w:t>
      </w:r>
      <w:r w:rsidR="00FE1663" w:rsidRPr="00E51082">
        <w:rPr>
          <w:sz w:val="24"/>
          <w:szCs w:val="24"/>
        </w:rPr>
        <w:fldChar w:fldCharType="begin" w:fldLock="1"/>
      </w:r>
      <w:r w:rsidR="00706093">
        <w:rPr>
          <w:sz w:val="24"/>
          <w:szCs w:val="24"/>
        </w:rPr>
        <w:instrText>ADDIN CSL_CITATION {"citationItems":[{"id":"ITEM-1","itemData":{"DOI":"/S0042-96862004001100011","ISBN":"0042-9686 (Print)\\r0042-9686 (Linking)","ISSN":"00429686","PMID":"15640922","abstract":"Mental disorders are highly prevalent and cause considerable suffering and disease burden. To compound this public health problem, many individuals with psychiatric disorders remain untreated although effective treatments exist. We examine the extent of this treatment gap. We reviewed community-based psychiatric epidemiology studies that used standardized diagnostic instruments and included data on the percentage of individuals receiving care for schizophrenia and other non-affective psychotic disorders, major depression, dysthymia, bipolar disorder, generalized anxiety disorder (GAD), panic disorder, obsessive-compulsive disorder (OCD), and alcohol abuse or dependence. The median rates of untreated cases of these disorders were calculated across the studies. Examples of the estimation of the treatment gap for WHO regions are also presented. Thirty-seven studies had information on service utilization. The median treatment gap for schizophrenia, including other non-affective psychosis, was 32.2%. For other disorders the gap was: depression, 56.3%; dysthymia, 56.0%; bipolar disorder, 50.2%; panic disorder, 55.9%; GAD, 57.5%; and OCD, 57.3%. Alcohol abuse and dependence had the widest treatment gap at 78.1%. The treatment gap for mental disorders is universally large, though it varies across regions. It is likely that the gap reported here is an underestimate due to the unavailability of community-based data from developing countries where services are scarcer. To address this major public health challenge, WHO has adopted in 2002 a global action programme that has been endorsed by the Member States.","author":[{"dropping-particle":"","family":"Kohn","given":"Robert","non-dropping-particle":"","parse-names":false,"suffix":""},{"dropping-particle":"","family":"Saxena","given":"Shekhar","non-dropping-particle":"","parse-names":false,"suffix":""},{"dropping-particle":"","family":"Levav","given":"Itzhak","non-dropping-particle":"","parse-names":false,"suffix":""},{"dropping-particle":"","family":"Saraceno","given":"Benedetto","non-dropping-particle":"","parse-names":false,"suffix":""}],"container-title":"Bulletin of the World Health Organization","id":"ITEM-1","issue":"11","issued":{"date-parts":[["2004"]]},"page":"858-866","title":"The treatment gap in mental health care","type":"article-journal","volume":"82"},"uris":["http://www.mendeley.com/documents/?uuid=70e541e7-40d4-4591-b2bf-d2461c04e101"]}],"mendeley":{"formattedCitation":"(Kohn &lt;i&gt;et al.&lt;/i&gt; 2004)","plainTextFormattedCitation":"(Kohn et al. 2004)","previouslyFormattedCitation":"(Kohn &lt;i&gt;et al.&lt;/i&gt; 2004)"},"properties":{"noteIndex":0},"schema":"https://github.com/citation-style-language/schema/raw/master/csl-citation.json"}</w:instrText>
      </w:r>
      <w:r w:rsidR="00FE1663" w:rsidRPr="00E51082">
        <w:rPr>
          <w:sz w:val="24"/>
          <w:szCs w:val="24"/>
        </w:rPr>
        <w:fldChar w:fldCharType="separate"/>
      </w:r>
      <w:r w:rsidR="00EC15F5" w:rsidRPr="00E51082">
        <w:rPr>
          <w:noProof/>
          <w:sz w:val="24"/>
          <w:szCs w:val="24"/>
        </w:rPr>
        <w:t xml:space="preserve">(Kohn </w:t>
      </w:r>
      <w:r w:rsidR="00EC15F5" w:rsidRPr="00E51082">
        <w:rPr>
          <w:i/>
          <w:noProof/>
          <w:sz w:val="24"/>
          <w:szCs w:val="24"/>
        </w:rPr>
        <w:t>et al.</w:t>
      </w:r>
      <w:r w:rsidR="00EC15F5" w:rsidRPr="00E51082">
        <w:rPr>
          <w:noProof/>
          <w:sz w:val="24"/>
          <w:szCs w:val="24"/>
        </w:rPr>
        <w:t xml:space="preserve"> 2004)</w:t>
      </w:r>
      <w:r w:rsidR="00FE1663" w:rsidRPr="00E51082">
        <w:rPr>
          <w:sz w:val="24"/>
          <w:szCs w:val="24"/>
        </w:rPr>
        <w:fldChar w:fldCharType="end"/>
      </w:r>
      <w:r w:rsidRPr="00E51082">
        <w:rPr>
          <w:sz w:val="24"/>
          <w:szCs w:val="24"/>
        </w:rPr>
        <w:t xml:space="preserve"> and</w:t>
      </w:r>
      <w:r w:rsidR="00FE1663" w:rsidRPr="00E51082">
        <w:rPr>
          <w:sz w:val="24"/>
          <w:szCs w:val="24"/>
        </w:rPr>
        <w:t xml:space="preserve"> ‘prevention gap’</w:t>
      </w:r>
      <w:r w:rsidR="00B94F17" w:rsidRPr="00E51082">
        <w:rPr>
          <w:sz w:val="24"/>
          <w:szCs w:val="24"/>
        </w:rPr>
        <w:t xml:space="preserve"> </w:t>
      </w:r>
      <w:r w:rsidR="008811D5" w:rsidRPr="00E51082">
        <w:rPr>
          <w:sz w:val="24"/>
          <w:szCs w:val="24"/>
        </w:rPr>
        <w:t xml:space="preserve"> </w:t>
      </w:r>
      <w:r w:rsidR="00DC6320" w:rsidRPr="00E51082">
        <w:rPr>
          <w:sz w:val="24"/>
          <w:szCs w:val="24"/>
        </w:rPr>
        <w:fldChar w:fldCharType="begin" w:fldLock="1"/>
      </w:r>
      <w:r w:rsidR="00706093">
        <w:rPr>
          <w:sz w:val="24"/>
          <w:szCs w:val="24"/>
        </w:rPr>
        <w:instrText>ADDIN CSL_CITATION {"citationItems":[{"id":"ITEM-1","itemData":{"DOI":"10.1002/wps.20388","ISBN":"2051-5545","ISSN":"20515545","abstract":"Many people identified as having common mental disorders in community\nsurveys do not receive treatment. Modelling has suggested that closing\nthis treatment gap should reduce the population prevalence of those\ndisorders. To evaluate the effects of reducing the treatment gap in\nindustrialized countries, data from 1990 to 2015 were reviewed from four\nEnglish-speaking countries: Australia, Canada, England and the US. These\ndata show that the prevalence of mood and anxiety disorders and symptoms\nhas not decreased, despite substantial increases in the provision of\ntreatment, particularly antidepressants. Several hypotheses for this\nlack of improvement were considered. There was no support for the\nhypothesis that reductions in prevalence due to treatment have been\nmasked by increases in risk factors. However, there was little evidence\nrelevant to the hypothesis that improvements have been masked by\nincreased reporting of symptoms because of greater public awareness of\ncommon mental disorders or willingness to disclose. A more strongly\nsupported hypothesis for the lack of improvement is that much of the\ntreatment provided does not meet the minimal standards of clinical\npractice guidelines and is not targeted optimally to those in greatest\nneed. Lack of attention to prevention of common mental disorders may\nalso be a factor. Reducing the prevalence of common mental disorders\nremains an unsolved challenge for health systems globally, which may\nrequire greater attention to the quality gap and prevention gap. There\nis also a need for nations to monitor outcomes by using standardized\nmeasures of service provision and mental disorders over time.","author":[{"dropping-particle":"","family":"Jorm","given":"Anthony F.","non-dropping-particle":"","parse-names":false,"suffix":""},{"dropping-particle":"","family":"Patten","given":"Scott B.","non-dropping-particle":"","parse-names":false,"suffix":""},{"dropping-particle":"","family":"Brugha","given":"Traolach S.","non-dropping-particle":"","parse-names":false,"suffix":""},{"dropping-particle":"","family":"Mojtabai","given":"Ramin","non-dropping-particle":"","parse-names":false,"suffix":""}],"container-title":"World Psychiatry","id":"ITEM-1","issue":"1","issued":{"date-parts":[["2017","2"]]},"page":"90-99","title":"Has increased provision of treatment reduced the prevalence of common mental disorders? Review of the evidence from four countries","type":"article-journal","volume":"16"},"uris":["http://www.mendeley.com/documents/?uuid=65c44f4a-b97e-3987-af4d-5816b0709d92"]}],"mendeley":{"formattedCitation":"(Jorm &lt;i&gt;et al.&lt;/i&gt; 2017)","plainTextFormattedCitation":"(Jorm et al. 2017)","previouslyFormattedCitation":"(Jorm &lt;i&gt;et al.&lt;/i&gt; 2017)"},"properties":{"noteIndex":0},"schema":"https://github.com/citation-style-language/schema/raw/master/csl-citation.json"}</w:instrText>
      </w:r>
      <w:r w:rsidR="00DC6320" w:rsidRPr="00E51082">
        <w:rPr>
          <w:sz w:val="24"/>
          <w:szCs w:val="24"/>
        </w:rPr>
        <w:fldChar w:fldCharType="separate"/>
      </w:r>
      <w:r w:rsidR="00EC15F5" w:rsidRPr="00E51082">
        <w:rPr>
          <w:noProof/>
          <w:sz w:val="24"/>
          <w:szCs w:val="24"/>
        </w:rPr>
        <w:t xml:space="preserve">(Jorm </w:t>
      </w:r>
      <w:r w:rsidR="00EC15F5" w:rsidRPr="00E51082">
        <w:rPr>
          <w:i/>
          <w:noProof/>
          <w:sz w:val="24"/>
          <w:szCs w:val="24"/>
        </w:rPr>
        <w:t>et al.</w:t>
      </w:r>
      <w:r w:rsidR="00EC15F5" w:rsidRPr="00E51082">
        <w:rPr>
          <w:noProof/>
          <w:sz w:val="24"/>
          <w:szCs w:val="24"/>
        </w:rPr>
        <w:t xml:space="preserve"> 2017)</w:t>
      </w:r>
      <w:r w:rsidR="00DC6320" w:rsidRPr="00E51082">
        <w:rPr>
          <w:sz w:val="24"/>
          <w:szCs w:val="24"/>
        </w:rPr>
        <w:fldChar w:fldCharType="end"/>
      </w:r>
      <w:r w:rsidR="008811D5" w:rsidRPr="00E51082">
        <w:rPr>
          <w:sz w:val="24"/>
          <w:szCs w:val="24"/>
        </w:rPr>
        <w:t>.</w:t>
      </w:r>
      <w:r w:rsidRPr="00E51082">
        <w:rPr>
          <w:sz w:val="24"/>
          <w:szCs w:val="24"/>
        </w:rPr>
        <w:t xml:space="preserve"> Rates of undiagnosed and untreated </w:t>
      </w:r>
      <w:r w:rsidR="003A2738">
        <w:rPr>
          <w:sz w:val="24"/>
          <w:szCs w:val="24"/>
        </w:rPr>
        <w:t>PND</w:t>
      </w:r>
      <w:r w:rsidRPr="00E51082">
        <w:rPr>
          <w:sz w:val="24"/>
          <w:szCs w:val="24"/>
        </w:rPr>
        <w:t xml:space="preserve"> are particularly high</w:t>
      </w:r>
      <w:r w:rsidR="008811D5" w:rsidRPr="00E51082">
        <w:rPr>
          <w:sz w:val="24"/>
          <w:szCs w:val="24"/>
        </w:rPr>
        <w:t xml:space="preserve"> </w:t>
      </w:r>
      <w:r w:rsidR="00B51228" w:rsidRPr="00E51082">
        <w:rPr>
          <w:sz w:val="24"/>
          <w:szCs w:val="24"/>
        </w:rPr>
        <w:fldChar w:fldCharType="begin" w:fldLock="1"/>
      </w:r>
      <w:r w:rsidR="00706093">
        <w:rPr>
          <w:sz w:val="24"/>
          <w:szCs w:val="24"/>
        </w:rPr>
        <w:instrText>ADDIN CSL_CITATION {"citationItems":[{"id":"ITEM-1","itemData":{"DOI":"10.1377/hlthaff.22.3.122","ISBN":"0278-2715 (Print)\\r0278-2715 (Linking)","ISSN":"02782715","PMID":"12757277","abstract":"We analyzed survey data from Canada, Chile, Germany, The Netherlands, and the United States to study the prevalence and treatment of mental and substance abuse disorders. Total past-year prevalence estimates range between 17.0 percent (Chile) and 29.1 percent (U.S.). Many cases are mild. Although disorder severity is strongly related to treatment, one- to two-thirds of serious cases receive no treatment each year. Most treatment goes to minor and mild cases. Undertreatment of serious cases is most pronounced among young poorly educated males. Outreach is needed to reduce barriers to care among serious cases and young people at risk of serious disorders.","author":[{"dropping-particle":"V.","family":"Bijl","given":"Rob","non-dropping-particle":"","parse-names":false,"suffix":""},{"dropping-particle":"","family":"Graaf","given":"Ron","non-dropping-particle":"De","parse-names":false,"suffix":""},{"dropping-particle":"","family":"Hiripi","given":"Eva","non-dropping-particle":"","parse-names":false,"suffix":""},{"dropping-particle":"","family":"Kessler","given":"Ronald C.","non-dropping-particle":"","parse-names":false,"suffix":""},{"dropping-particle":"","family":"Kohn","given":"Robert","non-dropping-particle":"","parse-names":false,"suffix":""},{"dropping-particle":"","family":"Offord","given":"David R.","non-dropping-particle":"","parse-names":false,"suffix":""},{"dropping-particle":"","family":"Ustun","given":"T. Bedirhan","non-dropping-particle":"","parse-names":false,"suffix":""},{"dropping-particle":"","family":"Vicente","given":"Benjamin","non-dropping-particle":"","parse-names":false,"suffix":""},{"dropping-particle":"","family":"Vollebergh","given":"Wilma A.M.","non-dropping-particle":"","parse-names":false,"suffix":""},{"dropping-particle":"","family":"Walters","given":"Ellen E.","non-dropping-particle":"","parse-names":false,"suffix":""},{"dropping-particle":"","family":"Wittchen","given":"Hans Ulrich","non-dropping-particle":"","parse-names":false,"suffix":""}],"container-title":"Health Affairs","id":"ITEM-1","issue":"3","issued":{"date-parts":[["2003"]]},"page":"122-133","title":"The prevalence of treated and untreated mental disorders in five countries","type":"article","volume":"22"},"uris":["http://www.mendeley.com/documents/?uuid=6caad490-05d2-4c66-85ba-3ff2dfcf8d49"]}],"mendeley":{"formattedCitation":"(Bijl &lt;i&gt;et al.&lt;/i&gt; 2003)","plainTextFormattedCitation":"(Bijl et al. 2003)","previouslyFormattedCitation":"(Bijl &lt;i&gt;et al.&lt;/i&gt; 2003)"},"properties":{"noteIndex":0},"schema":"https://github.com/citation-style-language/schema/raw/master/csl-citation.json"}</w:instrText>
      </w:r>
      <w:r w:rsidR="00B51228" w:rsidRPr="00E51082">
        <w:rPr>
          <w:sz w:val="24"/>
          <w:szCs w:val="24"/>
        </w:rPr>
        <w:fldChar w:fldCharType="separate"/>
      </w:r>
      <w:r w:rsidR="00EC15F5" w:rsidRPr="00E51082">
        <w:rPr>
          <w:noProof/>
          <w:sz w:val="24"/>
          <w:szCs w:val="24"/>
        </w:rPr>
        <w:t xml:space="preserve">(Bijl </w:t>
      </w:r>
      <w:r w:rsidR="00EC15F5" w:rsidRPr="00E51082">
        <w:rPr>
          <w:i/>
          <w:noProof/>
          <w:sz w:val="24"/>
          <w:szCs w:val="24"/>
        </w:rPr>
        <w:t>et al.</w:t>
      </w:r>
      <w:r w:rsidR="00EC15F5" w:rsidRPr="00E51082">
        <w:rPr>
          <w:noProof/>
          <w:sz w:val="24"/>
          <w:szCs w:val="24"/>
        </w:rPr>
        <w:t xml:space="preserve"> 2003)</w:t>
      </w:r>
      <w:r w:rsidR="00B51228" w:rsidRPr="00E51082">
        <w:rPr>
          <w:sz w:val="24"/>
          <w:szCs w:val="24"/>
        </w:rPr>
        <w:fldChar w:fldCharType="end"/>
      </w:r>
      <w:r w:rsidR="008811D5" w:rsidRPr="00E51082">
        <w:rPr>
          <w:sz w:val="24"/>
          <w:szCs w:val="24"/>
        </w:rPr>
        <w:t>,</w:t>
      </w:r>
      <w:r w:rsidR="007F0940" w:rsidRPr="00E51082">
        <w:rPr>
          <w:sz w:val="24"/>
          <w:szCs w:val="24"/>
        </w:rPr>
        <w:t xml:space="preserve"> </w:t>
      </w:r>
      <w:r w:rsidR="00886A33" w:rsidRPr="00E51082">
        <w:rPr>
          <w:sz w:val="24"/>
          <w:szCs w:val="24"/>
        </w:rPr>
        <w:t xml:space="preserve">yet many </w:t>
      </w:r>
      <w:r w:rsidR="00BA45A3" w:rsidRPr="00E51082">
        <w:rPr>
          <w:sz w:val="24"/>
          <w:szCs w:val="24"/>
        </w:rPr>
        <w:t>women with perinatal depression do not take up screening</w:t>
      </w:r>
      <w:r w:rsidR="007A6040" w:rsidRPr="00E51082">
        <w:rPr>
          <w:sz w:val="24"/>
          <w:szCs w:val="24"/>
        </w:rPr>
        <w:t xml:space="preserve"> </w:t>
      </w:r>
      <w:r w:rsidR="00B51228" w:rsidRPr="00E51082">
        <w:rPr>
          <w:sz w:val="24"/>
          <w:szCs w:val="24"/>
        </w:rPr>
        <w:fldChar w:fldCharType="begin" w:fldLock="1"/>
      </w:r>
      <w:r w:rsidR="00706093">
        <w:rPr>
          <w:sz w:val="24"/>
          <w:szCs w:val="24"/>
        </w:rPr>
        <w:instrText>ADDIN CSL_CITATION {"citationItems":[{"id":"ITEM-1","itemData":{"DOI":"10.1016/j.jad.2010.07.035","ISSN":"01650327","abstract":"BACKGROUND\nLong-term follow-up studies are required to better understand the extent of the effectiveness of early detection programs for perinatal depression. We followed up participants in such a program to investigate the long-term depression, treatment and relationship outcomes of mothers originally identified as ‘probably depressed’ (screened positive). \n\nMETHODS\nAt 2years postpartum all participants who had ‘screened positive’ (N=159) and a random sample of participants who had ‘screened negative’ were invited to participate in a mailed survey. Measures included: current mood; coping; access to treatment; quality of partner relationship; and mother–infant bonding. \n\nRESULTS\nMothers originally detected as probably depressed (n=98) fared significantly worse than ‘screened negative’ mothers (n=101) both in terms of their higher mean depression scores (EPDS: Ms=11.0 vs. 6.4) and greater proportions categorised as probably depressed at 2years postpartum (40% vs. 11% respectively, p&lt;.001, phi=.33). Elevated depression symptoms at 2years postpartum were associated with poorer partner relationships and mother–infant bonding. Moreover, there appears to be a double dose effect for women who screen positive on two occasions. Thirty-seven percent of depressed mothers did not take up treatment, frequently citing a preference for using their own resources. \n\nLIMITATIONS\nLimitations include the use of self-report measures to assess depression symptoms and mother–infant bonding. Treatment data was collected retrospectively. \n\nCONCLUSIONS\nDespite being offered treatment options, a substantial proportion of women who screened positive had poor long-term mental health and relationship outcomes. This paper discusses some of the implications for perinatal early detection and treatment programs.","author":[{"dropping-particle":"","family":"Reay","given":"Rebecca","non-dropping-particle":"","parse-names":false,"suffix":""},{"dropping-particle":"","family":"Matthey","given":"Stephen","non-dropping-particle":"","parse-names":false,"suffix":""},{"dropping-particle":"","family":"Ellwood","given":"David","non-dropping-particle":"","parse-names":false,"suffix":""},{"dropping-particle":"","family":"Scott","given":"Maureen","non-dropping-particle":"","parse-names":false,"suffix":""}],"container-title":"Journal of Affective Disorders","id":"ITEM-1","issue":"1","issued":{"date-parts":[["2011"]]},"page":"94-103","title":"Long-term outcomes of participants in a perinatal depression early detection program","type":"article-journal","volume":"129"},"uris":["http://www.mendeley.com/documents/?uuid=fb9cca0a-dddc-3455-81a8-e697e9c5e5b1"]}],"mendeley":{"formattedCitation":"(Reay &lt;i&gt;et al.&lt;/i&gt; 2011)","plainTextFormattedCitation":"(Reay et al. 2011)","previouslyFormattedCitation":"(Reay &lt;i&gt;et al.&lt;/i&gt; 2011)"},"properties":{"noteIndex":0},"schema":"https://github.com/citation-style-language/schema/raw/master/csl-citation.json"}</w:instrText>
      </w:r>
      <w:r w:rsidR="00B51228" w:rsidRPr="00E51082">
        <w:rPr>
          <w:sz w:val="24"/>
          <w:szCs w:val="24"/>
        </w:rPr>
        <w:fldChar w:fldCharType="separate"/>
      </w:r>
      <w:r w:rsidR="00EC15F5" w:rsidRPr="00E51082">
        <w:rPr>
          <w:noProof/>
          <w:sz w:val="24"/>
          <w:szCs w:val="24"/>
        </w:rPr>
        <w:t xml:space="preserve">(Reay </w:t>
      </w:r>
      <w:r w:rsidR="00EC15F5" w:rsidRPr="00E51082">
        <w:rPr>
          <w:i/>
          <w:noProof/>
          <w:sz w:val="24"/>
          <w:szCs w:val="24"/>
        </w:rPr>
        <w:t>et al.</w:t>
      </w:r>
      <w:r w:rsidR="00EC15F5" w:rsidRPr="00E51082">
        <w:rPr>
          <w:noProof/>
          <w:sz w:val="24"/>
          <w:szCs w:val="24"/>
        </w:rPr>
        <w:t xml:space="preserve"> 2011)</w:t>
      </w:r>
      <w:r w:rsidR="00B51228" w:rsidRPr="00E51082">
        <w:rPr>
          <w:sz w:val="24"/>
          <w:szCs w:val="24"/>
        </w:rPr>
        <w:fldChar w:fldCharType="end"/>
      </w:r>
      <w:r w:rsidR="007A6040" w:rsidRPr="00E51082">
        <w:rPr>
          <w:sz w:val="24"/>
          <w:szCs w:val="24"/>
        </w:rPr>
        <w:t>.</w:t>
      </w:r>
      <w:r w:rsidR="00BA45A3" w:rsidRPr="00E51082">
        <w:rPr>
          <w:sz w:val="24"/>
          <w:szCs w:val="24"/>
        </w:rPr>
        <w:t xml:space="preserve"> </w:t>
      </w:r>
      <w:r w:rsidR="00886A33" w:rsidRPr="00E51082">
        <w:rPr>
          <w:sz w:val="24"/>
          <w:szCs w:val="24"/>
        </w:rPr>
        <w:t>One</w:t>
      </w:r>
      <w:r w:rsidR="00FE1663" w:rsidRPr="00E51082">
        <w:rPr>
          <w:sz w:val="24"/>
          <w:szCs w:val="24"/>
        </w:rPr>
        <w:t xml:space="preserve"> implication of </w:t>
      </w:r>
      <w:r w:rsidR="003344FF" w:rsidRPr="00E51082">
        <w:rPr>
          <w:sz w:val="24"/>
          <w:szCs w:val="24"/>
        </w:rPr>
        <w:t>our</w:t>
      </w:r>
      <w:r w:rsidR="00FE1663" w:rsidRPr="00E51082">
        <w:rPr>
          <w:sz w:val="24"/>
          <w:szCs w:val="24"/>
        </w:rPr>
        <w:t xml:space="preserve"> study </w:t>
      </w:r>
      <w:r w:rsidR="00886A33" w:rsidRPr="00E51082">
        <w:rPr>
          <w:sz w:val="24"/>
          <w:szCs w:val="24"/>
        </w:rPr>
        <w:t>is</w:t>
      </w:r>
      <w:r w:rsidR="00FE1663" w:rsidRPr="00E51082">
        <w:rPr>
          <w:sz w:val="24"/>
          <w:szCs w:val="24"/>
        </w:rPr>
        <w:t xml:space="preserve"> that there need not be a ‘prevention gap’: women at lower risk of depression </w:t>
      </w:r>
      <w:r w:rsidR="00CD480B" w:rsidRPr="00E51082">
        <w:rPr>
          <w:sz w:val="24"/>
          <w:szCs w:val="24"/>
        </w:rPr>
        <w:t>would</w:t>
      </w:r>
      <w:r w:rsidR="00FE1663" w:rsidRPr="00E51082">
        <w:rPr>
          <w:sz w:val="24"/>
          <w:szCs w:val="24"/>
        </w:rPr>
        <w:t xml:space="preserve"> benefit from </w:t>
      </w:r>
      <w:r w:rsidR="00CD480B" w:rsidRPr="00E51082">
        <w:rPr>
          <w:sz w:val="24"/>
          <w:szCs w:val="24"/>
        </w:rPr>
        <w:t>support by</w:t>
      </w:r>
      <w:r w:rsidR="00FE1663" w:rsidRPr="00E51082">
        <w:rPr>
          <w:sz w:val="24"/>
          <w:szCs w:val="24"/>
        </w:rPr>
        <w:t xml:space="preserve"> health visitor</w:t>
      </w:r>
      <w:r w:rsidR="00CD480B" w:rsidRPr="00E51082">
        <w:rPr>
          <w:sz w:val="24"/>
          <w:szCs w:val="24"/>
        </w:rPr>
        <w:t>s</w:t>
      </w:r>
      <w:r w:rsidR="00FE1663" w:rsidRPr="00E51082">
        <w:rPr>
          <w:sz w:val="24"/>
          <w:szCs w:val="24"/>
        </w:rPr>
        <w:t xml:space="preserve"> additional</w:t>
      </w:r>
      <w:r w:rsidR="00171C09" w:rsidRPr="00E51082">
        <w:rPr>
          <w:sz w:val="24"/>
          <w:szCs w:val="24"/>
        </w:rPr>
        <w:t>ly</w:t>
      </w:r>
      <w:r w:rsidR="00FE1663" w:rsidRPr="00E51082">
        <w:rPr>
          <w:sz w:val="24"/>
          <w:szCs w:val="24"/>
        </w:rPr>
        <w:t xml:space="preserve"> train</w:t>
      </w:r>
      <w:r w:rsidR="00171C09" w:rsidRPr="00E51082">
        <w:rPr>
          <w:sz w:val="24"/>
          <w:szCs w:val="24"/>
        </w:rPr>
        <w:t>ed</w:t>
      </w:r>
      <w:r w:rsidR="008C0ADB" w:rsidRPr="00E51082">
        <w:rPr>
          <w:sz w:val="24"/>
          <w:szCs w:val="24"/>
        </w:rPr>
        <w:t xml:space="preserve"> in assessment and psychological support</w:t>
      </w:r>
      <w:r w:rsidR="00CD480B" w:rsidRPr="00E51082">
        <w:rPr>
          <w:sz w:val="24"/>
          <w:szCs w:val="24"/>
        </w:rPr>
        <w:t>. A</w:t>
      </w:r>
      <w:r w:rsidR="008C0ADB" w:rsidRPr="00E51082">
        <w:rPr>
          <w:sz w:val="24"/>
          <w:szCs w:val="24"/>
        </w:rPr>
        <w:t xml:space="preserve"> </w:t>
      </w:r>
      <w:r w:rsidR="00CD480B" w:rsidRPr="00E51082">
        <w:rPr>
          <w:sz w:val="24"/>
          <w:szCs w:val="24"/>
        </w:rPr>
        <w:t>universal prevention programme of this kind</w:t>
      </w:r>
      <w:r w:rsidR="00171C09" w:rsidRPr="00E51082">
        <w:rPr>
          <w:sz w:val="24"/>
          <w:szCs w:val="24"/>
        </w:rPr>
        <w:t xml:space="preserve"> </w:t>
      </w:r>
      <w:r w:rsidR="00CD480B" w:rsidRPr="00E51082">
        <w:rPr>
          <w:sz w:val="24"/>
          <w:szCs w:val="24"/>
        </w:rPr>
        <w:t xml:space="preserve">would come </w:t>
      </w:r>
      <w:r w:rsidR="00FE1663" w:rsidRPr="00E51082">
        <w:rPr>
          <w:sz w:val="24"/>
          <w:szCs w:val="24"/>
        </w:rPr>
        <w:t xml:space="preserve">at no extra cost to </w:t>
      </w:r>
      <w:r w:rsidR="00CD480B" w:rsidRPr="00E51082">
        <w:rPr>
          <w:sz w:val="24"/>
          <w:szCs w:val="24"/>
        </w:rPr>
        <w:t xml:space="preserve">the </w:t>
      </w:r>
      <w:r w:rsidR="00FE1663" w:rsidRPr="00E51082">
        <w:rPr>
          <w:sz w:val="24"/>
          <w:szCs w:val="24"/>
        </w:rPr>
        <w:t>health</w:t>
      </w:r>
      <w:r w:rsidR="00CD480B" w:rsidRPr="00E51082">
        <w:rPr>
          <w:sz w:val="24"/>
          <w:szCs w:val="24"/>
        </w:rPr>
        <w:t>care</w:t>
      </w:r>
      <w:r w:rsidR="00FE1663" w:rsidRPr="00E51082">
        <w:rPr>
          <w:sz w:val="24"/>
          <w:szCs w:val="24"/>
        </w:rPr>
        <w:t xml:space="preserve"> s</w:t>
      </w:r>
      <w:r w:rsidR="00CD480B" w:rsidRPr="00E51082">
        <w:rPr>
          <w:sz w:val="24"/>
          <w:szCs w:val="24"/>
        </w:rPr>
        <w:t xml:space="preserve">ystem; indeed it </w:t>
      </w:r>
      <w:r w:rsidR="00171C09" w:rsidRPr="00E51082">
        <w:rPr>
          <w:sz w:val="24"/>
          <w:szCs w:val="24"/>
        </w:rPr>
        <w:t>would</w:t>
      </w:r>
      <w:r w:rsidR="00CD480B" w:rsidRPr="00E51082">
        <w:rPr>
          <w:sz w:val="24"/>
          <w:szCs w:val="24"/>
        </w:rPr>
        <w:t xml:space="preserve"> be cost-reducing</w:t>
      </w:r>
      <w:r w:rsidR="0047324F" w:rsidRPr="00E51082">
        <w:rPr>
          <w:sz w:val="24"/>
          <w:szCs w:val="24"/>
        </w:rPr>
        <w:t>.</w:t>
      </w:r>
      <w:r w:rsidR="00FE1663" w:rsidRPr="00E51082">
        <w:rPr>
          <w:sz w:val="24"/>
          <w:szCs w:val="24"/>
        </w:rPr>
        <w:t xml:space="preserve"> There are</w:t>
      </w:r>
      <w:r w:rsidR="0026162A" w:rsidRPr="00E51082">
        <w:rPr>
          <w:sz w:val="24"/>
          <w:szCs w:val="24"/>
        </w:rPr>
        <w:t xml:space="preserve"> </w:t>
      </w:r>
      <w:r w:rsidR="00FE1663" w:rsidRPr="00E51082">
        <w:rPr>
          <w:sz w:val="24"/>
          <w:szCs w:val="24"/>
        </w:rPr>
        <w:t>potential implications for wom</w:t>
      </w:r>
      <w:r w:rsidR="00CD480B" w:rsidRPr="00E51082">
        <w:rPr>
          <w:sz w:val="24"/>
          <w:szCs w:val="24"/>
        </w:rPr>
        <w:t>e</w:t>
      </w:r>
      <w:r w:rsidR="00FE1663" w:rsidRPr="00E51082">
        <w:rPr>
          <w:sz w:val="24"/>
          <w:szCs w:val="24"/>
        </w:rPr>
        <w:t xml:space="preserve">n’s perception of available support should </w:t>
      </w:r>
      <w:r w:rsidR="00CD480B" w:rsidRPr="00E51082">
        <w:rPr>
          <w:sz w:val="24"/>
          <w:szCs w:val="24"/>
        </w:rPr>
        <w:t>they</w:t>
      </w:r>
      <w:r w:rsidR="00FE1663" w:rsidRPr="00E51082">
        <w:rPr>
          <w:sz w:val="24"/>
          <w:szCs w:val="24"/>
        </w:rPr>
        <w:t xml:space="preserve"> need it</w:t>
      </w:r>
      <w:r w:rsidR="0041588A">
        <w:rPr>
          <w:sz w:val="24"/>
          <w:szCs w:val="24"/>
        </w:rPr>
        <w:t xml:space="preserve"> </w:t>
      </w:r>
      <w:r w:rsidR="0041588A">
        <w:rPr>
          <w:sz w:val="24"/>
          <w:szCs w:val="24"/>
        </w:rPr>
        <w:fldChar w:fldCharType="begin" w:fldLock="1"/>
      </w:r>
      <w:r w:rsidR="00385161">
        <w:rPr>
          <w:sz w:val="24"/>
          <w:szCs w:val="24"/>
        </w:rPr>
        <w:instrText>ADDIN CSL_CITATION {"citationItems":[{"id":"ITEM-1","itemData":{"DOI":"10.1017/S0033291797005655","ISBN":"0033-2917\\n1469-8978","ISSN":"00332917","PMID":"9483684","abstract":"BACKGROUND: A prospective epidemiology study evaluated the role of specific social and psychological variables in the prediction of depressive symptomatology and disorders following childbirth in a community sample. Measures of social support used previously in clinically depressed populations facilitated further comparison. METHODS: Nulliparous pregnant women (N = 507) were interviewed during pregnancy with the Interview Measure of Social Relationships (IMSR) and a contextual assessment of pregnancy-related support and adversity and 427 were followed up at 3 months postpartum with the 30-item GHQ, including six depression items. To establish the clinical representativeness of the GHQ, high GHQ scorers and a random subsample of low scorers were interviewed using the SCAN. Regression models were developed using the GHQ Depression scale (GHQ-D), the IMSR and other risk factor data. RESULTS: GHQ-D after childbirth was predicted by lack of perceived support from members of the woman's primary group and lack of support in relation to the event becoming pregnant; this held even after controlling for antenatal depression, neuroticism, family and personal psychiatric history and adversity. Informant-rated deficits in provision of social support also predicted later depression. The size of the primary social network group previously found to be related to depression in women, did not predict depressive symptom development. CONCLUSION: Predictors of depressive symptom development differ from predictors of recovery from clinical depression in women. Interventions should be designed to reduce specific deficits in social support observed in particular study populations.","author":[{"dropping-particle":"","family":"Brugha","given":"T. S.","non-dropping-particle":"","parse-names":false,"suffix":""},{"dropping-particle":"","family":"Sharp","given":"H. M.","non-dropping-particle":"","parse-names":false,"suffix":""},{"dropping-particle":"","family":"Cooper","given":"S.-A.","non-dropping-particle":"","parse-names":false,"suffix":""},{"dropping-particle":"","family":"Weisender","given":"C.","non-dropping-particle":"","parse-names":false,"suffix":""},{"dropping-particle":"","family":"Britto","given":"D.","non-dropping-particle":"","parse-names":false,"suffix":""},{"dropping-particle":"","family":"Shinkwin","given":"R.","non-dropping-particle":"","parse-names":false,"suffix":""},{"dropping-particle":"","family":"Sherrif","given":"T.","non-dropping-particle":"","parse-names":false,"suffix":""},{"dropping-particle":"","family":"Kirwan","given":"P. H.","non-dropping-particle":"","parse-names":false,"suffix":""}],"container-title":"Psychological Medicine","id":"ITEM-1","issue":"1","issued":{"date-parts":[["1998","1"]]},"page":"S0033291797005655","title":"The Leicester 500 Project. Social support and the development of postnatal depressive symptoms, a prospective cohort survey","type":"article-journal","volume":"28"},"uris":["http://www.mendeley.com/documents/?uuid=2d9daef3-e10e-3825-9806-cf5263bff13e"]},{"id":"ITEM-2","itemData":{"ISBN":"0123405807 : ¹21.60","author":[{"dropping-particle":"","family":"Henderson","given":"Scott","non-dropping-particle":"","parse-names":false,"suffix":""},{"dropping-particle":"","family":"Byrne","given":"D G","non-dropping-particle":"","parse-names":false,"suffix":""},{"dropping-particle":"","family":"Duncan-Jones","given":"Paul","non-dropping-particle":"","parse-names":false,"suffix":""}],"id":"ITEM-2","issued":{"date-parts":[["1981"]]},"note":"GB8232780 bnb\n1710\nScott Henderson with D.G. Byrne and Paul Duncan-Jones.\nPersonality and psychopatholgy\nBibliography: p253-264. _ Includes index.","publisher":"Academic Press","publisher-place":"Sydney ; London","title":"Neurosis and the social environment","type":"book"},"uris":["http://www.mendeley.com/documents/?uuid=4450c0fc-9f77-4e83-a836-d89f2e894c50"]}],"mendeley":{"formattedCitation":"(Henderson &lt;i&gt;et al.&lt;/i&gt; 1981; Brugha &lt;i&gt;et al.&lt;/i&gt; 1998)","plainTextFormattedCitation":"(Henderson et al. 1981; Brugha et al. 1998)","previouslyFormattedCitation":"(Henderson &lt;i&gt;et al.&lt;/i&gt; 1981; Brugha &lt;i&gt;et al.&lt;/i&gt; 1998)"},"properties":{"noteIndex":0},"schema":"https://github.com/citation-style-language/schema/raw/master/csl-citation.json"}</w:instrText>
      </w:r>
      <w:r w:rsidR="0041588A">
        <w:rPr>
          <w:sz w:val="24"/>
          <w:szCs w:val="24"/>
        </w:rPr>
        <w:fldChar w:fldCharType="separate"/>
      </w:r>
      <w:r w:rsidR="0041588A" w:rsidRPr="0041588A">
        <w:rPr>
          <w:noProof/>
          <w:sz w:val="24"/>
          <w:szCs w:val="24"/>
        </w:rPr>
        <w:t xml:space="preserve">(Henderson </w:t>
      </w:r>
      <w:r w:rsidR="0041588A" w:rsidRPr="0041588A">
        <w:rPr>
          <w:i/>
          <w:noProof/>
          <w:sz w:val="24"/>
          <w:szCs w:val="24"/>
        </w:rPr>
        <w:t>et al.</w:t>
      </w:r>
      <w:r w:rsidR="0041588A" w:rsidRPr="0041588A">
        <w:rPr>
          <w:noProof/>
          <w:sz w:val="24"/>
          <w:szCs w:val="24"/>
        </w:rPr>
        <w:t xml:space="preserve"> 1981; Brugha </w:t>
      </w:r>
      <w:r w:rsidR="0041588A" w:rsidRPr="0041588A">
        <w:rPr>
          <w:i/>
          <w:noProof/>
          <w:sz w:val="24"/>
          <w:szCs w:val="24"/>
        </w:rPr>
        <w:t>et al.</w:t>
      </w:r>
      <w:r w:rsidR="0041588A" w:rsidRPr="0041588A">
        <w:rPr>
          <w:noProof/>
          <w:sz w:val="24"/>
          <w:szCs w:val="24"/>
        </w:rPr>
        <w:t xml:space="preserve"> 1998)</w:t>
      </w:r>
      <w:r w:rsidR="0041588A">
        <w:rPr>
          <w:sz w:val="24"/>
          <w:szCs w:val="24"/>
        </w:rPr>
        <w:fldChar w:fldCharType="end"/>
      </w:r>
      <w:r w:rsidR="0051731F" w:rsidRPr="00E51082">
        <w:rPr>
          <w:sz w:val="24"/>
          <w:szCs w:val="24"/>
        </w:rPr>
        <w:t xml:space="preserve">: </w:t>
      </w:r>
      <w:r w:rsidR="00171C09" w:rsidRPr="00E51082">
        <w:rPr>
          <w:sz w:val="24"/>
          <w:szCs w:val="24"/>
        </w:rPr>
        <w:t>w</w:t>
      </w:r>
      <w:r w:rsidR="00CD480B" w:rsidRPr="00E51082">
        <w:rPr>
          <w:sz w:val="24"/>
          <w:szCs w:val="24"/>
        </w:rPr>
        <w:t>omen with</w:t>
      </w:r>
      <w:r w:rsidR="00311DF9" w:rsidRPr="00E51082">
        <w:rPr>
          <w:sz w:val="24"/>
          <w:szCs w:val="24"/>
        </w:rPr>
        <w:t xml:space="preserve"> perinatal </w:t>
      </w:r>
      <w:r w:rsidR="00CD480B" w:rsidRPr="00E51082">
        <w:rPr>
          <w:sz w:val="24"/>
          <w:szCs w:val="24"/>
        </w:rPr>
        <w:t>depression</w:t>
      </w:r>
      <w:r w:rsidR="00400AD2" w:rsidRPr="00E51082">
        <w:rPr>
          <w:sz w:val="24"/>
          <w:szCs w:val="24"/>
        </w:rPr>
        <w:t xml:space="preserve"> can be</w:t>
      </w:r>
      <w:r w:rsidR="00311DF9" w:rsidRPr="00E51082">
        <w:rPr>
          <w:sz w:val="24"/>
          <w:szCs w:val="24"/>
        </w:rPr>
        <w:t xml:space="preserve"> fearful of </w:t>
      </w:r>
      <w:r w:rsidR="00227C9D" w:rsidRPr="00E51082">
        <w:rPr>
          <w:sz w:val="24"/>
          <w:szCs w:val="24"/>
        </w:rPr>
        <w:t xml:space="preserve">accessing </w:t>
      </w:r>
      <w:r w:rsidR="00311DF9" w:rsidRPr="00E51082">
        <w:rPr>
          <w:sz w:val="24"/>
          <w:szCs w:val="24"/>
        </w:rPr>
        <w:t>mental health services</w:t>
      </w:r>
      <w:r w:rsidR="008811D5" w:rsidRPr="00E51082">
        <w:rPr>
          <w:sz w:val="24"/>
          <w:szCs w:val="24"/>
        </w:rPr>
        <w:t xml:space="preserve"> </w:t>
      </w:r>
      <w:r w:rsidR="00311DF9" w:rsidRPr="00E51082">
        <w:rPr>
          <w:sz w:val="24"/>
          <w:szCs w:val="24"/>
        </w:rPr>
        <w:fldChar w:fldCharType="begin" w:fldLock="1"/>
      </w:r>
      <w:r w:rsidR="00706093">
        <w:rPr>
          <w:sz w:val="24"/>
          <w:szCs w:val="24"/>
        </w:rPr>
        <w:instrText>ADDIN CSL_CITATION {"citationItems":[{"id":"ITEM-1","itemData":{"DOI":"10.3399/bjgp10X532611.Conclusion","ISBN":"1478-5242","ISSN":"1478-5242","PMID":"21062541","author":[{"dropping-particle":"","family":"Slade","given":"P","non-dropping-particle":"","parse-names":false,"suffix":""},{"dropping-particle":"","family":"Morrell","given":"C J","non-dropping-particle":"","parse-names":false,"suffix":""},{"dropping-particle":"","family":"Rigby","given":"A","non-dropping-particle":"","parse-names":false,"suffix":""},{"dropping-particle":"","family":"Slade","given":"Pauline","non-dropping-particle":"","parse-names":false,"suffix":""},{"dropping-particle":"","family":"Morrell","given":"C Jane","non-dropping-particle":"","parse-names":false,"suffix":""},{"dropping-particle":"","family":"Rigby","given":"Anna","non-dropping-particle":"","parse-names":false,"suffix":""},{"dropping-particle":"","family":"Ricci","given":"Karen","non-dropping-particle":"","parse-names":false,"suffix":""}],"container-title":"The British journal of general practice: the journal of the Royal College of General Practitioners","id":"ITEM-1","issue":"November","issued":{"date-parts":[["2010"]]},"page":"440-448","title":"Postnatal women’ s experiences of management of depressive symptoms: a qualitative study","type":"article-journal","volume":"60"},"uris":["http://www.mendeley.com/documents/?uuid=dc95147a-3b83-304d-b73d-ca2ae30e232e"]}],"mendeley":{"formattedCitation":"(Slade &lt;i&gt;et al.&lt;/i&gt; 2010)","plainTextFormattedCitation":"(Slade et al. 2010)","previouslyFormattedCitation":"(Slade &lt;i&gt;et al.&lt;/i&gt; 2010)"},"properties":{"noteIndex":0},"schema":"https://github.com/citation-style-language/schema/raw/master/csl-citation.json"}</w:instrText>
      </w:r>
      <w:r w:rsidR="00311DF9" w:rsidRPr="00E51082">
        <w:rPr>
          <w:sz w:val="24"/>
          <w:szCs w:val="24"/>
        </w:rPr>
        <w:fldChar w:fldCharType="separate"/>
      </w:r>
      <w:r w:rsidR="00EC15F5" w:rsidRPr="00E51082">
        <w:rPr>
          <w:noProof/>
          <w:sz w:val="24"/>
          <w:szCs w:val="24"/>
        </w:rPr>
        <w:t xml:space="preserve">(Slade </w:t>
      </w:r>
      <w:r w:rsidR="00EC15F5" w:rsidRPr="00E51082">
        <w:rPr>
          <w:i/>
          <w:noProof/>
          <w:sz w:val="24"/>
          <w:szCs w:val="24"/>
        </w:rPr>
        <w:t>et al.</w:t>
      </w:r>
      <w:r w:rsidR="00EC15F5" w:rsidRPr="00E51082">
        <w:rPr>
          <w:noProof/>
          <w:sz w:val="24"/>
          <w:szCs w:val="24"/>
        </w:rPr>
        <w:t xml:space="preserve"> 2010)</w:t>
      </w:r>
      <w:r w:rsidR="00311DF9" w:rsidRPr="00E51082">
        <w:rPr>
          <w:sz w:val="24"/>
          <w:szCs w:val="24"/>
        </w:rPr>
        <w:fldChar w:fldCharType="end"/>
      </w:r>
      <w:r w:rsidR="008811D5" w:rsidRPr="00E51082">
        <w:rPr>
          <w:sz w:val="24"/>
          <w:szCs w:val="24"/>
        </w:rPr>
        <w:t>,</w:t>
      </w:r>
      <w:r w:rsidR="00653AAD" w:rsidRPr="00E51082">
        <w:rPr>
          <w:sz w:val="24"/>
          <w:szCs w:val="24"/>
        </w:rPr>
        <w:t xml:space="preserve"> for instance</w:t>
      </w:r>
      <w:r w:rsidR="00400AD2" w:rsidRPr="00E51082">
        <w:rPr>
          <w:sz w:val="24"/>
          <w:szCs w:val="24"/>
        </w:rPr>
        <w:t xml:space="preserve"> worrying </w:t>
      </w:r>
      <w:r w:rsidR="00653AAD" w:rsidRPr="00E51082">
        <w:rPr>
          <w:sz w:val="24"/>
          <w:szCs w:val="24"/>
        </w:rPr>
        <w:t>that their children will be taken into care</w:t>
      </w:r>
      <w:r w:rsidR="00B94F17" w:rsidRPr="00E51082">
        <w:rPr>
          <w:sz w:val="24"/>
          <w:szCs w:val="24"/>
        </w:rPr>
        <w:t xml:space="preserve"> </w:t>
      </w:r>
      <w:r w:rsidR="00B94F17" w:rsidRPr="00E51082">
        <w:rPr>
          <w:sz w:val="24"/>
          <w:szCs w:val="24"/>
        </w:rPr>
        <w:fldChar w:fldCharType="begin" w:fldLock="1"/>
      </w:r>
      <w:r w:rsidR="00706093">
        <w:rPr>
          <w:sz w:val="24"/>
          <w:szCs w:val="24"/>
        </w:rPr>
        <w:instrText>ADDIN CSL_CITATION {"citationItems":[{"id":"ITEM-1","itemData":{"DOI":"10.1007/s00737-013-0336-0","ISBN":"1435-1102","ISSN":"14341816","PMID":"23525788","abstract":"The majority of women with a severe mental illness (SMI) become pregnant and have children. The aim of this systematic review and meta-synthesis was to examine the qualitative research on the experiences of motherhood in women with SMI from preconception decision making to being a mother. The experiences of the health professionals treating women with SMI were also reviewed. Eleven databases were searched for papers published up to April 25, 2012, using keywords and mesh headings. A total of 23 studies were identified that met the inclusion criteria on the views of women with SMI, eight reported the views of health professionals including one which reported both. The meta-synthesis of the 23 studies on women's views produced two overarching themes Experiences of Motherhood and Experiences of Services. Sub-themes included the following: Guilt, Coping with Dual Identities, Stigma, and Centrality of Motherhood. Four themes emerged from the synthesis of the eight papers reporting the views of health professionals: Discomfort, Stigma, Need for education, and Integration of services. An understanding of the experiences of pregnancy and motherhood for women with SMI can inform service development and provision to ensure the needs of women and their families are met.","author":[{"dropping-particle":"","family":"Dolman","given":"Clare","non-dropping-particle":"","parse-names":false,"suffix":""},{"dropping-particle":"","family":"Jones","given":"Ian","non-dropping-particle":"","parse-names":false,"suffix":""},{"dropping-particle":"","family":"Howard","given":"Louise M.","non-dropping-particle":"","parse-names":false,"suffix":""}],"container-title":"Archives of Women's Mental Health","id":"ITEM-1","issue":"3","issued":{"date-parts":[["2013","6","23"]]},"page":"173-196","title":"Pre-conception to parenting: A systematic review and meta-synthesis of the qualitative literature on motherhood for women with severe mental illness","type":"article-journal","volume":"16"},"uris":["http://www.mendeley.com/documents/?uuid=eed46326-9320-3072-8d88-d51c5adf068c"]},{"id":"ITEM-2","itemData":{"DOI":"10.1007/s00737-015-0548-6","ISBN":"0073701505","ISSN":"14351102","PMID":"26184835","abstract":"Purpose: Pregnancy and the first postnatal year can be a difficult and distressing period for women with mental health problems, particularly if they are not able to access appropriate and timely assessment and treatment. The aim of this systematic review was to synthesise qualitative evidence on experiences of care for women with (or at risk of developing) antenatal or postnatal mental health problems across a range of disorders (including non-psychotic mental disorders).Methods: Six electronic databases were searched for papers published from 2000 to April 2014. Thirty-nine studies were identified that met the inclusion criteria. Findings were synthesised using secondary framework and thematic analysis approaches.Results: Seven key themes were identified across mental disorder groups: an unmet need for collaborative and integrated care; stigma and fears about loss of custody; healthcare professionals unable or unwilling to address psychological needs; focus on babies over mothers; importance of non-judgemental and compassionate support; an unmet need for information; importance of service user involvement in treatment decisions.Conclusions: Women’s experience of accessing and engaging with care for mental health problems could be improved if given the opportunity to develop trusting relationships with healthcare professionals who acknowledge and reinforce the woman’s role in caring for her baby in a non-judgemental and compassionate manner, and foster hope and optimism about treatment. Information for women, their families and healthcare professionals, and the provision of individualised care and treatment, are also crucial to enable full implementation of a person-centred programme of care. (PsycINFO Database Record (c) 2015 APA, all rights reserved)","author":[{"dropping-particle":"","family":"Megnin-Viggars","given":"Odette","non-dropping-particle":"","parse-names":false,"suffix":""},{"dropping-particle":"","family":"Symington","given":"Iona","non-dropping-particle":"","parse-names":false,"suffix":""},{"dropping-particle":"","family":"Howard","given":"Louise M.","non-dropping-particle":"","parse-names":false,"suffix":""},{"dropping-particle":"","family":"Pilling","given":"Stephen","non-dropping-particle":"","parse-names":false,"suffix":""}],"container-title":"Archives of Women's Mental Health","id":"ITEM-2","issue":"6","issued":{"date-parts":[["2015","12","17"]]},"page":"745-759","title":"Experience of care for mental health problems in the antenatal or postnatal period for women in the UK: a systematic review and meta-synthesis of qualitative research","type":"article-journal","volume":"18"},"uris":["http://www.mendeley.com/documents/?uuid=0f1069b5-939f-3509-a21a-c3919c1e1a2e"]}],"mendeley":{"formattedCitation":"(Dolman &lt;i&gt;et al.&lt;/i&gt; 2013; Megnin-Viggars &lt;i&gt;et al.&lt;/i&gt; 2015)","plainTextFormattedCitation":"(Dolman et al. 2013; Megnin-Viggars et al. 2015)","previouslyFormattedCitation":"(Dolman &lt;i&gt;et al.&lt;/i&gt; 2013; Megnin-Viggars &lt;i&gt;et al.&lt;/i&gt; 2015)"},"properties":{"noteIndex":0},"schema":"https://github.com/citation-style-language/schema/raw/master/csl-citation.json"}</w:instrText>
      </w:r>
      <w:r w:rsidR="00B94F17" w:rsidRPr="00E51082">
        <w:rPr>
          <w:sz w:val="24"/>
          <w:szCs w:val="24"/>
        </w:rPr>
        <w:fldChar w:fldCharType="separate"/>
      </w:r>
      <w:r w:rsidR="00B94F17" w:rsidRPr="00E51082">
        <w:rPr>
          <w:noProof/>
          <w:sz w:val="24"/>
          <w:szCs w:val="24"/>
        </w:rPr>
        <w:t xml:space="preserve">(Dolman </w:t>
      </w:r>
      <w:r w:rsidR="00B94F17" w:rsidRPr="00E51082">
        <w:rPr>
          <w:i/>
          <w:noProof/>
          <w:sz w:val="24"/>
          <w:szCs w:val="24"/>
        </w:rPr>
        <w:t>et al.</w:t>
      </w:r>
      <w:r w:rsidR="00B94F17" w:rsidRPr="00E51082">
        <w:rPr>
          <w:noProof/>
          <w:sz w:val="24"/>
          <w:szCs w:val="24"/>
        </w:rPr>
        <w:t xml:space="preserve"> 2013; Megnin-Viggars </w:t>
      </w:r>
      <w:r w:rsidR="00B94F17" w:rsidRPr="00E51082">
        <w:rPr>
          <w:i/>
          <w:noProof/>
          <w:sz w:val="24"/>
          <w:szCs w:val="24"/>
        </w:rPr>
        <w:t>et al.</w:t>
      </w:r>
      <w:r w:rsidR="00B94F17" w:rsidRPr="00E51082">
        <w:rPr>
          <w:noProof/>
          <w:sz w:val="24"/>
          <w:szCs w:val="24"/>
        </w:rPr>
        <w:t xml:space="preserve"> 2015)</w:t>
      </w:r>
      <w:r w:rsidR="00B94F17" w:rsidRPr="00E51082">
        <w:rPr>
          <w:sz w:val="24"/>
          <w:szCs w:val="24"/>
        </w:rPr>
        <w:fldChar w:fldCharType="end"/>
      </w:r>
      <w:r w:rsidR="008811D5" w:rsidRPr="00E51082">
        <w:rPr>
          <w:sz w:val="24"/>
          <w:szCs w:val="24"/>
        </w:rPr>
        <w:t>.</w:t>
      </w:r>
      <w:r w:rsidR="00311DF9" w:rsidRPr="00E51082">
        <w:rPr>
          <w:sz w:val="24"/>
          <w:szCs w:val="24"/>
        </w:rPr>
        <w:t xml:space="preserve"> </w:t>
      </w:r>
      <w:r w:rsidR="00B16C1B">
        <w:rPr>
          <w:sz w:val="24"/>
          <w:szCs w:val="24"/>
        </w:rPr>
        <w:t xml:space="preserve"> </w:t>
      </w:r>
    </w:p>
    <w:p w14:paraId="138BB813" w14:textId="1E02741D" w:rsidR="00E7711B" w:rsidRPr="000B5BB6" w:rsidRDefault="00E7711B" w:rsidP="000B5BB6">
      <w:pPr>
        <w:pStyle w:val="Heading2"/>
      </w:pPr>
      <w:r w:rsidRPr="000B5BB6">
        <w:t>Conclusion</w:t>
      </w:r>
    </w:p>
    <w:p w14:paraId="2903E70A" w14:textId="58DF1289" w:rsidR="00FE1663" w:rsidRDefault="00FE1663" w:rsidP="00FE1663">
      <w:pPr>
        <w:pStyle w:val="BodyText2"/>
        <w:spacing w:after="120"/>
        <w:jc w:val="left"/>
        <w:rPr>
          <w:sz w:val="24"/>
          <w:szCs w:val="24"/>
        </w:rPr>
      </w:pPr>
      <w:r w:rsidRPr="00E51082">
        <w:rPr>
          <w:sz w:val="24"/>
          <w:szCs w:val="24"/>
        </w:rPr>
        <w:t xml:space="preserve">Our </w:t>
      </w:r>
      <w:r w:rsidR="00824D60" w:rsidRPr="00E51082">
        <w:rPr>
          <w:sz w:val="24"/>
          <w:szCs w:val="24"/>
        </w:rPr>
        <w:t>analys</w:t>
      </w:r>
      <w:r w:rsidR="0072194B" w:rsidRPr="00E51082">
        <w:rPr>
          <w:sz w:val="24"/>
          <w:szCs w:val="24"/>
        </w:rPr>
        <w:t>e</w:t>
      </w:r>
      <w:r w:rsidR="00824D60" w:rsidRPr="00E51082">
        <w:rPr>
          <w:sz w:val="24"/>
          <w:szCs w:val="24"/>
        </w:rPr>
        <w:t xml:space="preserve">s </w:t>
      </w:r>
      <w:r w:rsidR="00A11D39" w:rsidRPr="00E51082">
        <w:rPr>
          <w:sz w:val="24"/>
          <w:szCs w:val="24"/>
        </w:rPr>
        <w:t xml:space="preserve">confirm </w:t>
      </w:r>
      <w:r w:rsidRPr="00E51082">
        <w:rPr>
          <w:sz w:val="24"/>
          <w:szCs w:val="24"/>
        </w:rPr>
        <w:t xml:space="preserve">that </w:t>
      </w:r>
      <w:r w:rsidR="003725FE" w:rsidRPr="00E51082">
        <w:rPr>
          <w:sz w:val="24"/>
          <w:szCs w:val="24"/>
        </w:rPr>
        <w:t xml:space="preserve">PoNDER HV </w:t>
      </w:r>
      <w:r w:rsidRPr="00E51082">
        <w:rPr>
          <w:sz w:val="24"/>
          <w:szCs w:val="24"/>
        </w:rPr>
        <w:t xml:space="preserve">training </w:t>
      </w:r>
      <w:r w:rsidR="008504B9" w:rsidRPr="00E51082">
        <w:rPr>
          <w:sz w:val="24"/>
          <w:szCs w:val="24"/>
        </w:rPr>
        <w:t xml:space="preserve">in assessment for symptoms of </w:t>
      </w:r>
      <w:r w:rsidR="003725FE" w:rsidRPr="00E51082">
        <w:rPr>
          <w:sz w:val="24"/>
          <w:szCs w:val="24"/>
        </w:rPr>
        <w:t xml:space="preserve">postnatal </w:t>
      </w:r>
      <w:r w:rsidR="008504B9" w:rsidRPr="00E51082">
        <w:rPr>
          <w:sz w:val="24"/>
          <w:szCs w:val="24"/>
        </w:rPr>
        <w:t>depression</w:t>
      </w:r>
      <w:r w:rsidR="00ED2AA4" w:rsidRPr="00E51082">
        <w:rPr>
          <w:sz w:val="24"/>
          <w:szCs w:val="24"/>
        </w:rPr>
        <w:t xml:space="preserve"> </w:t>
      </w:r>
      <w:r w:rsidR="000F7203" w:rsidRPr="00E51082">
        <w:rPr>
          <w:sz w:val="24"/>
          <w:szCs w:val="24"/>
        </w:rPr>
        <w:t xml:space="preserve">plus the skills to provide a psychologically informed intervention (CBA or PCA) </w:t>
      </w:r>
      <w:r w:rsidR="0038012F" w:rsidRPr="00E51082">
        <w:rPr>
          <w:sz w:val="24"/>
          <w:szCs w:val="24"/>
        </w:rPr>
        <w:lastRenderedPageBreak/>
        <w:t>is</w:t>
      </w:r>
      <w:r w:rsidRPr="00E51082">
        <w:rPr>
          <w:sz w:val="24"/>
          <w:szCs w:val="24"/>
        </w:rPr>
        <w:t xml:space="preserve"> cost-effective</w:t>
      </w:r>
      <w:r w:rsidR="000F7203" w:rsidRPr="00E51082">
        <w:rPr>
          <w:sz w:val="24"/>
          <w:szCs w:val="24"/>
        </w:rPr>
        <w:t>, even</w:t>
      </w:r>
      <w:r w:rsidRPr="00E51082">
        <w:rPr>
          <w:sz w:val="24"/>
          <w:szCs w:val="24"/>
        </w:rPr>
        <w:t xml:space="preserve"> when additional psychological care is not indicated. </w:t>
      </w:r>
      <w:r w:rsidR="0038012F" w:rsidRPr="00E51082">
        <w:rPr>
          <w:sz w:val="24"/>
          <w:szCs w:val="24"/>
        </w:rPr>
        <w:t xml:space="preserve">This </w:t>
      </w:r>
      <w:r w:rsidRPr="00E51082">
        <w:rPr>
          <w:sz w:val="24"/>
          <w:szCs w:val="24"/>
        </w:rPr>
        <w:t>provide</w:t>
      </w:r>
      <w:r w:rsidR="0038012F" w:rsidRPr="00E51082">
        <w:rPr>
          <w:sz w:val="24"/>
          <w:szCs w:val="24"/>
        </w:rPr>
        <w:t>s</w:t>
      </w:r>
      <w:r w:rsidRPr="00E51082">
        <w:rPr>
          <w:sz w:val="24"/>
          <w:szCs w:val="24"/>
        </w:rPr>
        <w:t xml:space="preserve"> support for further investigation of the merits of a universal service that includes extra</w:t>
      </w:r>
      <w:r w:rsidR="008504B9" w:rsidRPr="00E51082">
        <w:rPr>
          <w:sz w:val="24"/>
          <w:szCs w:val="24"/>
        </w:rPr>
        <w:t xml:space="preserve"> </w:t>
      </w:r>
      <w:r w:rsidR="003725FE" w:rsidRPr="00E51082">
        <w:rPr>
          <w:sz w:val="24"/>
          <w:szCs w:val="24"/>
        </w:rPr>
        <w:t>H</w:t>
      </w:r>
      <w:r w:rsidR="0038012F" w:rsidRPr="00E51082">
        <w:rPr>
          <w:sz w:val="24"/>
          <w:szCs w:val="24"/>
        </w:rPr>
        <w:t>V</w:t>
      </w:r>
      <w:r w:rsidR="003725FE" w:rsidRPr="00E51082">
        <w:rPr>
          <w:sz w:val="24"/>
          <w:szCs w:val="24"/>
        </w:rPr>
        <w:t xml:space="preserve"> training in </w:t>
      </w:r>
      <w:r w:rsidR="008138C4" w:rsidRPr="00E51082">
        <w:rPr>
          <w:sz w:val="24"/>
          <w:szCs w:val="24"/>
        </w:rPr>
        <w:t xml:space="preserve">clinical assessment </w:t>
      </w:r>
      <w:r w:rsidR="0038012F" w:rsidRPr="00E51082">
        <w:rPr>
          <w:sz w:val="24"/>
          <w:szCs w:val="24"/>
        </w:rPr>
        <w:t>and the ability to</w:t>
      </w:r>
      <w:r w:rsidR="008138C4" w:rsidRPr="00E51082">
        <w:rPr>
          <w:sz w:val="24"/>
          <w:szCs w:val="24"/>
        </w:rPr>
        <w:t xml:space="preserve"> offer</w:t>
      </w:r>
      <w:r w:rsidRPr="00E51082">
        <w:rPr>
          <w:sz w:val="24"/>
          <w:szCs w:val="24"/>
        </w:rPr>
        <w:t xml:space="preserve"> psychological </w:t>
      </w:r>
      <w:r w:rsidR="008138C4" w:rsidRPr="00E51082">
        <w:rPr>
          <w:sz w:val="24"/>
          <w:szCs w:val="24"/>
        </w:rPr>
        <w:t>support if indicated</w:t>
      </w:r>
      <w:r w:rsidRPr="00E51082">
        <w:rPr>
          <w:sz w:val="24"/>
          <w:szCs w:val="24"/>
        </w:rPr>
        <w:t xml:space="preserve">. </w:t>
      </w:r>
    </w:p>
    <w:p w14:paraId="75ABDEBA" w14:textId="43AA62FF" w:rsidR="008E0208" w:rsidRPr="008E0208" w:rsidRDefault="00CC21FE" w:rsidP="008E0208">
      <w:pPr>
        <w:spacing w:line="240" w:lineRule="auto"/>
        <w:rPr>
          <w:b/>
          <w:szCs w:val="24"/>
        </w:rPr>
      </w:pPr>
      <w:r>
        <w:rPr>
          <w:b/>
          <w:szCs w:val="24"/>
        </w:rPr>
        <w:t>Clinical t</w:t>
      </w:r>
      <w:r w:rsidR="008E0208" w:rsidRPr="008E0208">
        <w:rPr>
          <w:b/>
          <w:szCs w:val="24"/>
        </w:rPr>
        <w:t>rial registration number</w:t>
      </w:r>
    </w:p>
    <w:p w14:paraId="7A200DBE" w14:textId="5D8C6A46" w:rsidR="008E0208" w:rsidRPr="008E0208" w:rsidRDefault="008E0208" w:rsidP="008E0208">
      <w:pPr>
        <w:spacing w:line="240" w:lineRule="auto"/>
        <w:rPr>
          <w:lang w:eastAsia="en-US"/>
        </w:rPr>
      </w:pPr>
      <w:r>
        <w:rPr>
          <w:szCs w:val="24"/>
        </w:rPr>
        <w:t xml:space="preserve"> </w:t>
      </w:r>
      <w:r w:rsidRPr="008E0208">
        <w:rPr>
          <w:szCs w:val="24"/>
          <w:lang w:eastAsia="en-US"/>
        </w:rPr>
        <w:t>ISRCTN92195776</w:t>
      </w:r>
      <w:r>
        <w:rPr>
          <w:szCs w:val="24"/>
          <w:lang w:eastAsia="en-US"/>
        </w:rPr>
        <w:t xml:space="preserve"> </w:t>
      </w:r>
      <w:r>
        <w:t>(</w:t>
      </w:r>
      <w:hyperlink r:id="rId16" w:history="1">
        <w:r>
          <w:rPr>
            <w:rStyle w:val="Hyperlink"/>
            <w:rFonts w:eastAsiaTheme="majorEastAsia"/>
          </w:rPr>
          <w:t>www.controlled-trials.com/ISRCTN92195776</w:t>
        </w:r>
      </w:hyperlink>
      <w:r>
        <w:t>)</w:t>
      </w:r>
    </w:p>
    <w:p w14:paraId="6AB86373" w14:textId="1AB48169" w:rsidR="00AF6D46" w:rsidRPr="00E51082" w:rsidRDefault="00D90B16" w:rsidP="000B5BB6">
      <w:pPr>
        <w:pStyle w:val="Heading1"/>
      </w:pPr>
      <w:r w:rsidRPr="00E51082">
        <w:t>Financial support</w:t>
      </w:r>
    </w:p>
    <w:p w14:paraId="3ECC1CE0" w14:textId="77777777" w:rsidR="00AF6D46" w:rsidRPr="00E51082" w:rsidRDefault="00AF6D46" w:rsidP="00AF6D46">
      <w:pPr>
        <w:pStyle w:val="BodyText2"/>
        <w:spacing w:after="120"/>
        <w:jc w:val="left"/>
        <w:rPr>
          <w:sz w:val="24"/>
          <w:szCs w:val="24"/>
        </w:rPr>
      </w:pPr>
      <w:r w:rsidRPr="00E51082">
        <w:rPr>
          <w:sz w:val="24"/>
          <w:szCs w:val="24"/>
        </w:rPr>
        <w:t>The PoNDER trial was funded by NHS Health Technology Assessment, England; CH and MK inputs to the design and analysis reported in this paper were funded by an NIHR Senior Investigator award to MK.</w:t>
      </w:r>
    </w:p>
    <w:p w14:paraId="699A61F9" w14:textId="77777777" w:rsidR="00AF6D46" w:rsidRPr="000B5BB6" w:rsidRDefault="00AF6D46" w:rsidP="000B5BB6">
      <w:pPr>
        <w:pStyle w:val="Heading1"/>
      </w:pPr>
      <w:r w:rsidRPr="000B5BB6">
        <w:t>Declaration of interests</w:t>
      </w:r>
    </w:p>
    <w:p w14:paraId="3B9541DE" w14:textId="37E95789" w:rsidR="00D71A68" w:rsidRPr="00E51082" w:rsidRDefault="00AF6D46" w:rsidP="00D71A68">
      <w:pPr>
        <w:pStyle w:val="BodyText2"/>
        <w:spacing w:after="120"/>
        <w:jc w:val="left"/>
        <w:rPr>
          <w:sz w:val="24"/>
          <w:szCs w:val="24"/>
        </w:rPr>
      </w:pPr>
      <w:r w:rsidRPr="00E51082">
        <w:rPr>
          <w:sz w:val="24"/>
          <w:szCs w:val="24"/>
        </w:rPr>
        <w:t>MK and CH reported grants from NIHR during the conduct of the study.</w:t>
      </w:r>
      <w:r w:rsidR="00D71A68" w:rsidRPr="00E51082">
        <w:rPr>
          <w:sz w:val="24"/>
          <w:szCs w:val="24"/>
        </w:rPr>
        <w:t xml:space="preserve"> </w:t>
      </w:r>
      <w:r w:rsidR="00587CBE" w:rsidRPr="00E51082">
        <w:rPr>
          <w:sz w:val="24"/>
          <w:szCs w:val="24"/>
        </w:rPr>
        <w:t>The</w:t>
      </w:r>
      <w:r w:rsidR="00D71A68" w:rsidRPr="00E51082">
        <w:rPr>
          <w:sz w:val="24"/>
          <w:szCs w:val="24"/>
        </w:rPr>
        <w:t xml:space="preserve"> authors declare no conflicts of interest. </w:t>
      </w:r>
    </w:p>
    <w:p w14:paraId="4967E516" w14:textId="434B2DA7" w:rsidR="00B94DC5" w:rsidRPr="00E51082" w:rsidRDefault="00AF6D46" w:rsidP="00FE1663">
      <w:pPr>
        <w:pStyle w:val="BodyText2"/>
        <w:spacing w:after="120"/>
        <w:jc w:val="left"/>
        <w:rPr>
          <w:sz w:val="24"/>
          <w:szCs w:val="24"/>
        </w:rPr>
      </w:pPr>
      <w:r w:rsidRPr="00E51082">
        <w:rPr>
          <w:sz w:val="24"/>
          <w:szCs w:val="24"/>
        </w:rPr>
        <w:t>Ethics committee approval: Trent multicentre research ethics committee.</w:t>
      </w:r>
    </w:p>
    <w:p w14:paraId="15C3326B" w14:textId="77777777" w:rsidR="00FE1663" w:rsidRPr="00E51082" w:rsidRDefault="00FE1663" w:rsidP="000B5BB6">
      <w:pPr>
        <w:pStyle w:val="Heading1"/>
      </w:pPr>
      <w:r w:rsidRPr="00E51082">
        <w:t xml:space="preserve">References </w:t>
      </w:r>
    </w:p>
    <w:p w14:paraId="35145A0D" w14:textId="02467E8E" w:rsidR="00385161" w:rsidRPr="00385161" w:rsidRDefault="00485779" w:rsidP="00385161">
      <w:pPr>
        <w:widowControl w:val="0"/>
        <w:autoSpaceDE w:val="0"/>
        <w:autoSpaceDN w:val="0"/>
        <w:adjustRightInd w:val="0"/>
        <w:rPr>
          <w:noProof/>
          <w:szCs w:val="24"/>
        </w:rPr>
      </w:pPr>
      <w:r w:rsidRPr="00E51082">
        <w:rPr>
          <w:szCs w:val="24"/>
        </w:rPr>
        <w:fldChar w:fldCharType="begin" w:fldLock="1"/>
      </w:r>
      <w:r w:rsidRPr="00E51082">
        <w:rPr>
          <w:szCs w:val="24"/>
        </w:rPr>
        <w:instrText xml:space="preserve">ADDIN Mendeley Bibliography CSL_BIBLIOGRAPHY </w:instrText>
      </w:r>
      <w:r w:rsidRPr="00E51082">
        <w:rPr>
          <w:szCs w:val="24"/>
        </w:rPr>
        <w:fldChar w:fldCharType="separate"/>
      </w:r>
      <w:r w:rsidR="00385161" w:rsidRPr="00385161">
        <w:rPr>
          <w:b/>
          <w:bCs/>
          <w:noProof/>
          <w:szCs w:val="24"/>
        </w:rPr>
        <w:t>Adams G, Gilliford M, Ukoumunne O, Eldridge S, Chinn S, Campbell M</w:t>
      </w:r>
      <w:r w:rsidR="00385161" w:rsidRPr="00385161">
        <w:rPr>
          <w:noProof/>
          <w:szCs w:val="24"/>
        </w:rPr>
        <w:t xml:space="preserve"> (2004). Patterns of intra-cluster correlation from primary care research to inform study design and analysis. </w:t>
      </w:r>
      <w:r w:rsidR="00385161" w:rsidRPr="00385161">
        <w:rPr>
          <w:i/>
          <w:iCs/>
          <w:noProof/>
          <w:szCs w:val="24"/>
        </w:rPr>
        <w:t>Journal of Clinical Epidemiology</w:t>
      </w:r>
      <w:r w:rsidR="00385161" w:rsidRPr="00385161">
        <w:rPr>
          <w:noProof/>
          <w:szCs w:val="24"/>
        </w:rPr>
        <w:t xml:space="preserve"> </w:t>
      </w:r>
      <w:r w:rsidR="00385161" w:rsidRPr="00385161">
        <w:rPr>
          <w:b/>
          <w:bCs/>
          <w:noProof/>
          <w:szCs w:val="24"/>
        </w:rPr>
        <w:t>57</w:t>
      </w:r>
      <w:r w:rsidR="00385161" w:rsidRPr="00385161">
        <w:rPr>
          <w:noProof/>
          <w:szCs w:val="24"/>
        </w:rPr>
        <w:t>, 785–794.</w:t>
      </w:r>
    </w:p>
    <w:p w14:paraId="68CF6CBA" w14:textId="77777777" w:rsidR="00385161" w:rsidRPr="00385161" w:rsidRDefault="00385161" w:rsidP="00385161">
      <w:pPr>
        <w:widowControl w:val="0"/>
        <w:autoSpaceDE w:val="0"/>
        <w:autoSpaceDN w:val="0"/>
        <w:adjustRightInd w:val="0"/>
        <w:rPr>
          <w:noProof/>
          <w:szCs w:val="24"/>
        </w:rPr>
      </w:pPr>
      <w:r w:rsidRPr="00385161">
        <w:rPr>
          <w:b/>
          <w:bCs/>
          <w:noProof/>
          <w:szCs w:val="24"/>
        </w:rPr>
        <w:t>Appleby L, Warner R, Whitton A, Faragher B</w:t>
      </w:r>
      <w:r w:rsidRPr="00385161">
        <w:rPr>
          <w:noProof/>
          <w:szCs w:val="24"/>
        </w:rPr>
        <w:t xml:space="preserve"> (1997). A controlled study of fluoxetine and cognitive-behavioural counselling in the treatment of postnatal depression. . British Medical Journal Publishing Group </w:t>
      </w:r>
      <w:r w:rsidRPr="00385161">
        <w:rPr>
          <w:i/>
          <w:iCs/>
          <w:noProof/>
          <w:szCs w:val="24"/>
        </w:rPr>
        <w:t>BMJ (Clinical research ed.)</w:t>
      </w:r>
      <w:r w:rsidRPr="00385161">
        <w:rPr>
          <w:noProof/>
          <w:szCs w:val="24"/>
        </w:rPr>
        <w:t xml:space="preserve"> </w:t>
      </w:r>
      <w:r w:rsidRPr="00385161">
        <w:rPr>
          <w:b/>
          <w:bCs/>
          <w:noProof/>
          <w:szCs w:val="24"/>
        </w:rPr>
        <w:t>314</w:t>
      </w:r>
      <w:r w:rsidRPr="00385161">
        <w:rPr>
          <w:noProof/>
          <w:szCs w:val="24"/>
        </w:rPr>
        <w:t>, 932–6.</w:t>
      </w:r>
    </w:p>
    <w:p w14:paraId="788B0AC3" w14:textId="77777777" w:rsidR="00385161" w:rsidRPr="00385161" w:rsidRDefault="00385161" w:rsidP="00385161">
      <w:pPr>
        <w:widowControl w:val="0"/>
        <w:autoSpaceDE w:val="0"/>
        <w:autoSpaceDN w:val="0"/>
        <w:adjustRightInd w:val="0"/>
        <w:rPr>
          <w:noProof/>
          <w:szCs w:val="24"/>
        </w:rPr>
      </w:pPr>
      <w:r w:rsidRPr="00385161">
        <w:rPr>
          <w:b/>
          <w:bCs/>
          <w:noProof/>
          <w:szCs w:val="24"/>
        </w:rPr>
        <w:t>Bauer A, Knapp M, Adelaja B</w:t>
      </w:r>
      <w:r w:rsidRPr="00385161">
        <w:rPr>
          <w:noProof/>
          <w:szCs w:val="24"/>
        </w:rPr>
        <w:t xml:space="preserve"> (2016a). </w:t>
      </w:r>
      <w:r w:rsidRPr="00385161">
        <w:rPr>
          <w:i/>
          <w:iCs/>
          <w:noProof/>
          <w:szCs w:val="24"/>
        </w:rPr>
        <w:t>Best practice for perinatal mental health care: the economic case</w:t>
      </w:r>
      <w:r w:rsidRPr="00385161">
        <w:rPr>
          <w:noProof/>
          <w:szCs w:val="24"/>
        </w:rPr>
        <w:t>. London.</w:t>
      </w:r>
    </w:p>
    <w:p w14:paraId="0928C9F6" w14:textId="77777777" w:rsidR="00385161" w:rsidRPr="00385161" w:rsidRDefault="00385161" w:rsidP="00385161">
      <w:pPr>
        <w:widowControl w:val="0"/>
        <w:autoSpaceDE w:val="0"/>
        <w:autoSpaceDN w:val="0"/>
        <w:adjustRightInd w:val="0"/>
        <w:rPr>
          <w:noProof/>
          <w:szCs w:val="24"/>
        </w:rPr>
      </w:pPr>
      <w:r w:rsidRPr="00385161">
        <w:rPr>
          <w:b/>
          <w:bCs/>
          <w:noProof/>
          <w:szCs w:val="24"/>
        </w:rPr>
        <w:t>Bauer A, Knapp M, Parsonage M</w:t>
      </w:r>
      <w:r w:rsidRPr="00385161">
        <w:rPr>
          <w:noProof/>
          <w:szCs w:val="24"/>
        </w:rPr>
        <w:t xml:space="preserve"> (2016b). Lifetime costs of perinatal anxiety and depression. </w:t>
      </w:r>
      <w:r w:rsidRPr="00385161">
        <w:rPr>
          <w:i/>
          <w:iCs/>
          <w:noProof/>
          <w:szCs w:val="24"/>
        </w:rPr>
        <w:t>Journal of Affective Disorders</w:t>
      </w:r>
      <w:r w:rsidRPr="00385161">
        <w:rPr>
          <w:noProof/>
          <w:szCs w:val="24"/>
        </w:rPr>
        <w:t xml:space="preserve"> </w:t>
      </w:r>
      <w:r w:rsidRPr="00385161">
        <w:rPr>
          <w:b/>
          <w:bCs/>
          <w:noProof/>
          <w:szCs w:val="24"/>
        </w:rPr>
        <w:t>192</w:t>
      </w:r>
      <w:r w:rsidRPr="00385161">
        <w:rPr>
          <w:noProof/>
          <w:szCs w:val="24"/>
        </w:rPr>
        <w:t>, 83–90.</w:t>
      </w:r>
    </w:p>
    <w:p w14:paraId="7CD8A43A" w14:textId="77777777" w:rsidR="00385161" w:rsidRPr="00385161" w:rsidRDefault="00385161" w:rsidP="00385161">
      <w:pPr>
        <w:widowControl w:val="0"/>
        <w:autoSpaceDE w:val="0"/>
        <w:autoSpaceDN w:val="0"/>
        <w:adjustRightInd w:val="0"/>
        <w:rPr>
          <w:noProof/>
          <w:szCs w:val="24"/>
        </w:rPr>
      </w:pPr>
      <w:r w:rsidRPr="00385161">
        <w:rPr>
          <w:b/>
          <w:bCs/>
          <w:noProof/>
          <w:szCs w:val="24"/>
        </w:rPr>
        <w:t>Bijl R V., De Graaf R, Hiripi E, Kessler RC, Kohn R, Offord DR, Ustun TB, Vicente B, Vollebergh WAM, Walters EE, Wittchen HU</w:t>
      </w:r>
      <w:r w:rsidRPr="00385161">
        <w:rPr>
          <w:noProof/>
          <w:szCs w:val="24"/>
        </w:rPr>
        <w:t xml:space="preserve"> (2003). </w:t>
      </w:r>
      <w:r w:rsidRPr="00385161">
        <w:rPr>
          <w:i/>
          <w:iCs/>
          <w:noProof/>
          <w:szCs w:val="24"/>
        </w:rPr>
        <w:t>The prevalence of treated and untreated mental disorders in five countries</w:t>
      </w:r>
      <w:r w:rsidRPr="00385161">
        <w:rPr>
          <w:noProof/>
          <w:szCs w:val="24"/>
        </w:rPr>
        <w:t xml:space="preserve">. </w:t>
      </w:r>
      <w:r w:rsidRPr="00385161">
        <w:rPr>
          <w:i/>
          <w:iCs/>
          <w:noProof/>
          <w:szCs w:val="24"/>
        </w:rPr>
        <w:t>Health Affairs</w:t>
      </w:r>
      <w:r w:rsidRPr="00385161">
        <w:rPr>
          <w:noProof/>
          <w:szCs w:val="24"/>
        </w:rPr>
        <w:t xml:space="preserve"> </w:t>
      </w:r>
      <w:r w:rsidRPr="00385161">
        <w:rPr>
          <w:b/>
          <w:bCs/>
          <w:noProof/>
          <w:szCs w:val="24"/>
        </w:rPr>
        <w:t>22</w:t>
      </w:r>
      <w:r w:rsidRPr="00385161">
        <w:rPr>
          <w:noProof/>
          <w:szCs w:val="24"/>
        </w:rPr>
        <w:t>, 122–133.</w:t>
      </w:r>
    </w:p>
    <w:p w14:paraId="1E213850" w14:textId="77777777" w:rsidR="00385161" w:rsidRPr="00385161" w:rsidRDefault="00385161" w:rsidP="00385161">
      <w:pPr>
        <w:widowControl w:val="0"/>
        <w:autoSpaceDE w:val="0"/>
        <w:autoSpaceDN w:val="0"/>
        <w:adjustRightInd w:val="0"/>
        <w:rPr>
          <w:noProof/>
          <w:szCs w:val="24"/>
        </w:rPr>
      </w:pPr>
      <w:r w:rsidRPr="00385161">
        <w:rPr>
          <w:b/>
          <w:bCs/>
          <w:noProof/>
          <w:szCs w:val="24"/>
        </w:rPr>
        <w:t>Brazier J, Roberts J, Deverill M</w:t>
      </w:r>
      <w:r w:rsidRPr="00385161">
        <w:rPr>
          <w:noProof/>
          <w:szCs w:val="24"/>
        </w:rPr>
        <w:t xml:space="preserve"> (2002). The estimation of a preference-based measure of health from the SF-36. </w:t>
      </w:r>
      <w:r w:rsidRPr="00385161">
        <w:rPr>
          <w:i/>
          <w:iCs/>
          <w:noProof/>
          <w:szCs w:val="24"/>
        </w:rPr>
        <w:t>Journal of Health Economics</w:t>
      </w:r>
      <w:r w:rsidRPr="00385161">
        <w:rPr>
          <w:noProof/>
          <w:szCs w:val="24"/>
        </w:rPr>
        <w:t xml:space="preserve"> </w:t>
      </w:r>
      <w:r w:rsidRPr="00385161">
        <w:rPr>
          <w:b/>
          <w:bCs/>
          <w:noProof/>
          <w:szCs w:val="24"/>
        </w:rPr>
        <w:t>21</w:t>
      </w:r>
      <w:r w:rsidRPr="00385161">
        <w:rPr>
          <w:noProof/>
          <w:szCs w:val="24"/>
        </w:rPr>
        <w:t>, 271–292.</w:t>
      </w:r>
    </w:p>
    <w:p w14:paraId="7B7A169F" w14:textId="77777777" w:rsidR="00385161" w:rsidRPr="00385161" w:rsidRDefault="00385161" w:rsidP="00385161">
      <w:pPr>
        <w:widowControl w:val="0"/>
        <w:autoSpaceDE w:val="0"/>
        <w:autoSpaceDN w:val="0"/>
        <w:adjustRightInd w:val="0"/>
        <w:rPr>
          <w:noProof/>
          <w:szCs w:val="24"/>
        </w:rPr>
      </w:pPr>
      <w:r w:rsidRPr="00385161">
        <w:rPr>
          <w:b/>
          <w:bCs/>
          <w:noProof/>
          <w:szCs w:val="24"/>
        </w:rPr>
        <w:t>British Medical Association and Royal Pharmaceutical Society</w:t>
      </w:r>
      <w:r w:rsidRPr="00385161">
        <w:rPr>
          <w:noProof/>
          <w:szCs w:val="24"/>
        </w:rPr>
        <w:t xml:space="preserve"> (2011). </w:t>
      </w:r>
      <w:r w:rsidRPr="00385161">
        <w:rPr>
          <w:i/>
          <w:iCs/>
          <w:noProof/>
          <w:szCs w:val="24"/>
        </w:rPr>
        <w:t>British National Formulary (BNF)</w:t>
      </w:r>
      <w:r w:rsidRPr="00385161">
        <w:rPr>
          <w:noProof/>
          <w:szCs w:val="24"/>
        </w:rPr>
        <w:t>. BMA and RPS: London.</w:t>
      </w:r>
    </w:p>
    <w:p w14:paraId="15C2CF7F" w14:textId="77777777" w:rsidR="00385161" w:rsidRPr="00385161" w:rsidRDefault="00385161" w:rsidP="00385161">
      <w:pPr>
        <w:widowControl w:val="0"/>
        <w:autoSpaceDE w:val="0"/>
        <w:autoSpaceDN w:val="0"/>
        <w:adjustRightInd w:val="0"/>
        <w:rPr>
          <w:noProof/>
          <w:szCs w:val="24"/>
        </w:rPr>
      </w:pPr>
      <w:r w:rsidRPr="00385161">
        <w:rPr>
          <w:b/>
          <w:bCs/>
          <w:noProof/>
          <w:szCs w:val="24"/>
        </w:rPr>
        <w:lastRenderedPageBreak/>
        <w:t>Brugha TS, Morrell CJ, Slade P, Walters SJ</w:t>
      </w:r>
      <w:r w:rsidRPr="00385161">
        <w:rPr>
          <w:noProof/>
          <w:szCs w:val="24"/>
        </w:rPr>
        <w:t xml:space="preserve"> (2011). Universal prevention of depression in women postnatally: cluster randomized trial evidence in primary care. </w:t>
      </w:r>
      <w:r w:rsidRPr="00385161">
        <w:rPr>
          <w:i/>
          <w:iCs/>
          <w:noProof/>
          <w:szCs w:val="24"/>
        </w:rPr>
        <w:t>Psychological Medicine</w:t>
      </w:r>
      <w:r w:rsidRPr="00385161">
        <w:rPr>
          <w:noProof/>
          <w:szCs w:val="24"/>
        </w:rPr>
        <w:t xml:space="preserve"> </w:t>
      </w:r>
      <w:r w:rsidRPr="00385161">
        <w:rPr>
          <w:b/>
          <w:bCs/>
          <w:noProof/>
          <w:szCs w:val="24"/>
        </w:rPr>
        <w:t>41</w:t>
      </w:r>
      <w:r w:rsidRPr="00385161">
        <w:rPr>
          <w:noProof/>
          <w:szCs w:val="24"/>
        </w:rPr>
        <w:t>, 739–748.</w:t>
      </w:r>
    </w:p>
    <w:p w14:paraId="6D9EE6D1" w14:textId="77777777" w:rsidR="00385161" w:rsidRPr="00385161" w:rsidRDefault="00385161" w:rsidP="00385161">
      <w:pPr>
        <w:widowControl w:val="0"/>
        <w:autoSpaceDE w:val="0"/>
        <w:autoSpaceDN w:val="0"/>
        <w:adjustRightInd w:val="0"/>
        <w:rPr>
          <w:noProof/>
          <w:szCs w:val="24"/>
        </w:rPr>
      </w:pPr>
      <w:r w:rsidRPr="00385161">
        <w:rPr>
          <w:b/>
          <w:bCs/>
          <w:noProof/>
          <w:szCs w:val="24"/>
        </w:rPr>
        <w:t>Brugha TS, Sharp HM, Cooper S-A, Weisender C, Britto D, Shinkwin R, Sherrif T, Kirwan PH</w:t>
      </w:r>
      <w:r w:rsidRPr="00385161">
        <w:rPr>
          <w:noProof/>
          <w:szCs w:val="24"/>
        </w:rPr>
        <w:t xml:space="preserve"> (1998). The Leicester 500 Project. Social support and the development of postnatal depressive symptoms, a prospective cohort survey. </w:t>
      </w:r>
      <w:r w:rsidRPr="00385161">
        <w:rPr>
          <w:i/>
          <w:iCs/>
          <w:noProof/>
          <w:szCs w:val="24"/>
        </w:rPr>
        <w:t>Psychological Medicine</w:t>
      </w:r>
      <w:r w:rsidRPr="00385161">
        <w:rPr>
          <w:noProof/>
          <w:szCs w:val="24"/>
        </w:rPr>
        <w:t xml:space="preserve"> </w:t>
      </w:r>
      <w:r w:rsidRPr="00385161">
        <w:rPr>
          <w:b/>
          <w:bCs/>
          <w:noProof/>
          <w:szCs w:val="24"/>
        </w:rPr>
        <w:t>28</w:t>
      </w:r>
      <w:r w:rsidRPr="00385161">
        <w:rPr>
          <w:noProof/>
          <w:szCs w:val="24"/>
        </w:rPr>
        <w:t>, S0033291797005655.</w:t>
      </w:r>
    </w:p>
    <w:p w14:paraId="0409DC29" w14:textId="77777777" w:rsidR="00385161" w:rsidRPr="00385161" w:rsidRDefault="00385161" w:rsidP="00385161">
      <w:pPr>
        <w:widowControl w:val="0"/>
        <w:autoSpaceDE w:val="0"/>
        <w:autoSpaceDN w:val="0"/>
        <w:adjustRightInd w:val="0"/>
        <w:rPr>
          <w:noProof/>
          <w:szCs w:val="24"/>
        </w:rPr>
      </w:pPr>
      <w:r w:rsidRPr="00385161">
        <w:rPr>
          <w:b/>
          <w:bCs/>
          <w:noProof/>
          <w:szCs w:val="24"/>
        </w:rPr>
        <w:t>Buuren S van, Groothuis-Oudshoorn K</w:t>
      </w:r>
      <w:r w:rsidRPr="00385161">
        <w:rPr>
          <w:noProof/>
          <w:szCs w:val="24"/>
        </w:rPr>
        <w:t xml:space="preserve"> (2011). </w:t>
      </w:r>
      <w:r w:rsidRPr="00385161">
        <w:rPr>
          <w:b/>
          <w:bCs/>
          <w:noProof/>
          <w:szCs w:val="24"/>
        </w:rPr>
        <w:t>mice</w:t>
      </w:r>
      <w:r w:rsidRPr="00385161">
        <w:rPr>
          <w:noProof/>
          <w:szCs w:val="24"/>
        </w:rPr>
        <w:t xml:space="preserve"> : Multivariate Imputation by Chained Equations in </w:t>
      </w:r>
      <w:r w:rsidRPr="00385161">
        <w:rPr>
          <w:i/>
          <w:iCs/>
          <w:noProof/>
          <w:szCs w:val="24"/>
        </w:rPr>
        <w:t>R</w:t>
      </w:r>
      <w:r w:rsidRPr="00385161">
        <w:rPr>
          <w:noProof/>
          <w:szCs w:val="24"/>
        </w:rPr>
        <w:t xml:space="preserve">. </w:t>
      </w:r>
      <w:r w:rsidRPr="00385161">
        <w:rPr>
          <w:i/>
          <w:iCs/>
          <w:noProof/>
          <w:szCs w:val="24"/>
        </w:rPr>
        <w:t>Journal of Statistical Software</w:t>
      </w:r>
      <w:r w:rsidRPr="00385161">
        <w:rPr>
          <w:noProof/>
          <w:szCs w:val="24"/>
        </w:rPr>
        <w:t xml:space="preserve"> </w:t>
      </w:r>
      <w:r w:rsidRPr="00385161">
        <w:rPr>
          <w:b/>
          <w:bCs/>
          <w:noProof/>
          <w:szCs w:val="24"/>
        </w:rPr>
        <w:t>45</w:t>
      </w:r>
      <w:r w:rsidRPr="00385161">
        <w:rPr>
          <w:noProof/>
          <w:szCs w:val="24"/>
        </w:rPr>
        <w:t>, 1–67.</w:t>
      </w:r>
    </w:p>
    <w:p w14:paraId="094FCAAB" w14:textId="77777777" w:rsidR="00385161" w:rsidRPr="00385161" w:rsidRDefault="00385161" w:rsidP="00385161">
      <w:pPr>
        <w:widowControl w:val="0"/>
        <w:autoSpaceDE w:val="0"/>
        <w:autoSpaceDN w:val="0"/>
        <w:adjustRightInd w:val="0"/>
        <w:rPr>
          <w:noProof/>
          <w:szCs w:val="24"/>
        </w:rPr>
      </w:pPr>
      <w:r w:rsidRPr="00385161">
        <w:rPr>
          <w:b/>
          <w:bCs/>
          <w:noProof/>
          <w:szCs w:val="24"/>
        </w:rPr>
        <w:t>Cohen J</w:t>
      </w:r>
      <w:r w:rsidRPr="00385161">
        <w:rPr>
          <w:noProof/>
          <w:szCs w:val="24"/>
        </w:rPr>
        <w:t xml:space="preserve"> (1988). </w:t>
      </w:r>
      <w:r w:rsidRPr="00385161">
        <w:rPr>
          <w:i/>
          <w:iCs/>
          <w:noProof/>
          <w:szCs w:val="24"/>
        </w:rPr>
        <w:t>Statistical power analysis for the behavioral sciences</w:t>
      </w:r>
      <w:r w:rsidRPr="00385161">
        <w:rPr>
          <w:noProof/>
          <w:szCs w:val="24"/>
        </w:rPr>
        <w:t xml:space="preserve">. </w:t>
      </w:r>
      <w:r w:rsidRPr="00385161">
        <w:rPr>
          <w:i/>
          <w:iCs/>
          <w:noProof/>
          <w:szCs w:val="24"/>
        </w:rPr>
        <w:t>Statistical Power Analysis for the Behavioral Sciences</w:t>
      </w:r>
      <w:r w:rsidRPr="00385161">
        <w:rPr>
          <w:noProof/>
          <w:szCs w:val="24"/>
        </w:rPr>
        <w:t xml:space="preserve"> </w:t>
      </w:r>
      <w:r w:rsidRPr="00385161">
        <w:rPr>
          <w:b/>
          <w:bCs/>
          <w:noProof/>
          <w:szCs w:val="24"/>
        </w:rPr>
        <w:t>2nd</w:t>
      </w:r>
      <w:r w:rsidRPr="00385161">
        <w:rPr>
          <w:noProof/>
          <w:szCs w:val="24"/>
        </w:rPr>
        <w:t>, 567.</w:t>
      </w:r>
    </w:p>
    <w:p w14:paraId="551EB752" w14:textId="77777777" w:rsidR="00385161" w:rsidRPr="00385161" w:rsidRDefault="00385161" w:rsidP="00385161">
      <w:pPr>
        <w:widowControl w:val="0"/>
        <w:autoSpaceDE w:val="0"/>
        <w:autoSpaceDN w:val="0"/>
        <w:adjustRightInd w:val="0"/>
        <w:rPr>
          <w:noProof/>
          <w:szCs w:val="24"/>
        </w:rPr>
      </w:pPr>
      <w:r w:rsidRPr="00385161">
        <w:rPr>
          <w:b/>
          <w:bCs/>
          <w:noProof/>
          <w:szCs w:val="24"/>
        </w:rPr>
        <w:t>Cowley S, Caan W, Dowling S, Weir H</w:t>
      </w:r>
      <w:r w:rsidRPr="00385161">
        <w:rPr>
          <w:noProof/>
          <w:szCs w:val="24"/>
        </w:rPr>
        <w:t xml:space="preserve"> (2007). What do health visitors do? A national survey of activities and service organisation. </w:t>
      </w:r>
      <w:r w:rsidRPr="00385161">
        <w:rPr>
          <w:i/>
          <w:iCs/>
          <w:noProof/>
          <w:szCs w:val="24"/>
        </w:rPr>
        <w:t>Public Health</w:t>
      </w:r>
      <w:r w:rsidRPr="00385161">
        <w:rPr>
          <w:noProof/>
          <w:szCs w:val="24"/>
        </w:rPr>
        <w:t xml:space="preserve"> </w:t>
      </w:r>
      <w:r w:rsidRPr="00385161">
        <w:rPr>
          <w:b/>
          <w:bCs/>
          <w:noProof/>
          <w:szCs w:val="24"/>
        </w:rPr>
        <w:t>121</w:t>
      </w:r>
      <w:r w:rsidRPr="00385161">
        <w:rPr>
          <w:noProof/>
          <w:szCs w:val="24"/>
        </w:rPr>
        <w:t>, 869–879.</w:t>
      </w:r>
    </w:p>
    <w:p w14:paraId="166B9D48" w14:textId="77777777" w:rsidR="00385161" w:rsidRPr="00385161" w:rsidRDefault="00385161" w:rsidP="00385161">
      <w:pPr>
        <w:widowControl w:val="0"/>
        <w:autoSpaceDE w:val="0"/>
        <w:autoSpaceDN w:val="0"/>
        <w:adjustRightInd w:val="0"/>
        <w:rPr>
          <w:noProof/>
          <w:szCs w:val="24"/>
        </w:rPr>
      </w:pPr>
      <w:r w:rsidRPr="00385161">
        <w:rPr>
          <w:b/>
          <w:bCs/>
          <w:noProof/>
          <w:szCs w:val="24"/>
        </w:rPr>
        <w:t>Cowley S, Whittaker K, Grigulis A, Malone M, Donetto S, Wood H, Morrow E, Maben J</w:t>
      </w:r>
      <w:r w:rsidRPr="00385161">
        <w:rPr>
          <w:noProof/>
          <w:szCs w:val="24"/>
        </w:rPr>
        <w:t xml:space="preserve"> (2013). </w:t>
      </w:r>
      <w:r w:rsidRPr="00385161">
        <w:rPr>
          <w:i/>
          <w:iCs/>
          <w:noProof/>
          <w:szCs w:val="24"/>
        </w:rPr>
        <w:t>Why Health Visiting? A review of the literature about key health visitor interventions, processes and outcomes for children and families</w:t>
      </w:r>
      <w:r w:rsidRPr="00385161">
        <w:rPr>
          <w:noProof/>
          <w:szCs w:val="24"/>
        </w:rPr>
        <w:t xml:space="preserve">. </w:t>
      </w:r>
      <w:r w:rsidRPr="00385161">
        <w:rPr>
          <w:i/>
          <w:iCs/>
          <w:noProof/>
          <w:szCs w:val="24"/>
        </w:rPr>
        <w:t>National Nursing Research Unit, King’s College London</w:t>
      </w:r>
      <w:r w:rsidRPr="00385161">
        <w:rPr>
          <w:noProof/>
          <w:szCs w:val="24"/>
        </w:rPr>
        <w:t>. National Nursing Research Unit, King’s College London: London.</w:t>
      </w:r>
    </w:p>
    <w:p w14:paraId="397D9A7D" w14:textId="77777777" w:rsidR="00385161" w:rsidRPr="00385161" w:rsidRDefault="00385161" w:rsidP="00385161">
      <w:pPr>
        <w:widowControl w:val="0"/>
        <w:autoSpaceDE w:val="0"/>
        <w:autoSpaceDN w:val="0"/>
        <w:adjustRightInd w:val="0"/>
        <w:rPr>
          <w:noProof/>
          <w:szCs w:val="24"/>
        </w:rPr>
      </w:pPr>
      <w:r w:rsidRPr="00385161">
        <w:rPr>
          <w:b/>
          <w:bCs/>
          <w:noProof/>
          <w:szCs w:val="24"/>
        </w:rPr>
        <w:t>Cox JL, Holden JM, Sagovsky R</w:t>
      </w:r>
      <w:r w:rsidRPr="00385161">
        <w:rPr>
          <w:noProof/>
          <w:szCs w:val="24"/>
        </w:rPr>
        <w:t xml:space="preserve"> (1987). Detection of Postnatal Depression: Development of the 10-item Edinburgh Postnatal Depression scale. </w:t>
      </w:r>
      <w:r w:rsidRPr="00385161">
        <w:rPr>
          <w:i/>
          <w:iCs/>
          <w:noProof/>
          <w:szCs w:val="24"/>
        </w:rPr>
        <w:t>British Journal of Psychiatry</w:t>
      </w:r>
      <w:r w:rsidRPr="00385161">
        <w:rPr>
          <w:noProof/>
          <w:szCs w:val="24"/>
        </w:rPr>
        <w:t xml:space="preserve"> </w:t>
      </w:r>
      <w:r w:rsidRPr="00385161">
        <w:rPr>
          <w:b/>
          <w:bCs/>
          <w:noProof/>
          <w:szCs w:val="24"/>
        </w:rPr>
        <w:t>150</w:t>
      </w:r>
      <w:r w:rsidRPr="00385161">
        <w:rPr>
          <w:noProof/>
          <w:szCs w:val="24"/>
        </w:rPr>
        <w:t>, 782–786.</w:t>
      </w:r>
    </w:p>
    <w:p w14:paraId="229C8441" w14:textId="77777777" w:rsidR="00385161" w:rsidRPr="00385161" w:rsidRDefault="00385161" w:rsidP="00385161">
      <w:pPr>
        <w:widowControl w:val="0"/>
        <w:autoSpaceDE w:val="0"/>
        <w:autoSpaceDN w:val="0"/>
        <w:adjustRightInd w:val="0"/>
        <w:rPr>
          <w:noProof/>
          <w:szCs w:val="24"/>
        </w:rPr>
      </w:pPr>
      <w:r w:rsidRPr="00385161">
        <w:rPr>
          <w:b/>
          <w:bCs/>
          <w:noProof/>
          <w:szCs w:val="24"/>
        </w:rPr>
        <w:t>Curtis L, Burns A</w:t>
      </w:r>
      <w:r w:rsidRPr="00385161">
        <w:rPr>
          <w:noProof/>
          <w:szCs w:val="24"/>
        </w:rPr>
        <w:t xml:space="preserve"> (2015). </w:t>
      </w:r>
      <w:r w:rsidRPr="00385161">
        <w:rPr>
          <w:i/>
          <w:iCs/>
          <w:noProof/>
          <w:szCs w:val="24"/>
        </w:rPr>
        <w:t>Unit Costs of Health and Social Care 2015</w:t>
      </w:r>
      <w:r w:rsidRPr="00385161">
        <w:rPr>
          <w:noProof/>
          <w:szCs w:val="24"/>
        </w:rPr>
        <w:t>. Personal Social Services Research Unit (PSSRU): University of Kent, Canterbury.</w:t>
      </w:r>
    </w:p>
    <w:p w14:paraId="698A7918" w14:textId="77777777" w:rsidR="00385161" w:rsidRPr="00385161" w:rsidRDefault="00385161" w:rsidP="00385161">
      <w:pPr>
        <w:widowControl w:val="0"/>
        <w:autoSpaceDE w:val="0"/>
        <w:autoSpaceDN w:val="0"/>
        <w:adjustRightInd w:val="0"/>
        <w:rPr>
          <w:noProof/>
          <w:szCs w:val="24"/>
        </w:rPr>
      </w:pPr>
      <w:r w:rsidRPr="00385161">
        <w:rPr>
          <w:b/>
          <w:bCs/>
          <w:noProof/>
          <w:szCs w:val="24"/>
        </w:rPr>
        <w:t>Davis WW</w:t>
      </w:r>
      <w:r w:rsidRPr="00385161">
        <w:rPr>
          <w:noProof/>
          <w:szCs w:val="24"/>
        </w:rPr>
        <w:t xml:space="preserve"> (2001). </w:t>
      </w:r>
      <w:r w:rsidRPr="00385161">
        <w:rPr>
          <w:i/>
          <w:iCs/>
          <w:noProof/>
          <w:szCs w:val="24"/>
        </w:rPr>
        <w:t>Design and Analysis of Cluster Randomization Trials in Health Research</w:t>
      </w:r>
      <w:r w:rsidRPr="00385161">
        <w:rPr>
          <w:noProof/>
          <w:szCs w:val="24"/>
        </w:rPr>
        <w:t xml:space="preserve">. </w:t>
      </w:r>
      <w:r w:rsidRPr="00385161">
        <w:rPr>
          <w:i/>
          <w:iCs/>
          <w:noProof/>
          <w:szCs w:val="24"/>
        </w:rPr>
        <w:t>Journal of the American Statistical Association</w:t>
      </w:r>
      <w:r w:rsidRPr="00385161">
        <w:rPr>
          <w:noProof/>
          <w:szCs w:val="24"/>
        </w:rPr>
        <w:t xml:space="preserve"> vol 96. Arnold: London.</w:t>
      </w:r>
    </w:p>
    <w:p w14:paraId="00547280" w14:textId="77777777" w:rsidR="00385161" w:rsidRPr="00385161" w:rsidRDefault="00385161" w:rsidP="00385161">
      <w:pPr>
        <w:widowControl w:val="0"/>
        <w:autoSpaceDE w:val="0"/>
        <w:autoSpaceDN w:val="0"/>
        <w:adjustRightInd w:val="0"/>
        <w:rPr>
          <w:noProof/>
          <w:szCs w:val="24"/>
        </w:rPr>
      </w:pPr>
      <w:r w:rsidRPr="00385161">
        <w:rPr>
          <w:b/>
          <w:bCs/>
          <w:noProof/>
          <w:szCs w:val="24"/>
        </w:rPr>
        <w:t>Department of Health</w:t>
      </w:r>
      <w:r w:rsidRPr="00385161">
        <w:rPr>
          <w:noProof/>
          <w:szCs w:val="24"/>
        </w:rPr>
        <w:t xml:space="preserve"> (2000). </w:t>
      </w:r>
      <w:r w:rsidRPr="00385161">
        <w:rPr>
          <w:i/>
          <w:iCs/>
          <w:noProof/>
          <w:szCs w:val="24"/>
        </w:rPr>
        <w:t>NHS Trust Financial Returns</w:t>
      </w:r>
      <w:r w:rsidRPr="00385161">
        <w:rPr>
          <w:noProof/>
          <w:szCs w:val="24"/>
        </w:rPr>
        <w:t>. Department of Health.</w:t>
      </w:r>
    </w:p>
    <w:p w14:paraId="42B957BD" w14:textId="77777777" w:rsidR="00385161" w:rsidRPr="00385161" w:rsidRDefault="00385161" w:rsidP="00385161">
      <w:pPr>
        <w:widowControl w:val="0"/>
        <w:autoSpaceDE w:val="0"/>
        <w:autoSpaceDN w:val="0"/>
        <w:adjustRightInd w:val="0"/>
        <w:rPr>
          <w:noProof/>
          <w:szCs w:val="24"/>
        </w:rPr>
      </w:pPr>
      <w:r w:rsidRPr="00385161">
        <w:rPr>
          <w:b/>
          <w:bCs/>
          <w:noProof/>
          <w:szCs w:val="24"/>
        </w:rPr>
        <w:t>Department of Health</w:t>
      </w:r>
      <w:r w:rsidRPr="00385161">
        <w:rPr>
          <w:noProof/>
          <w:szCs w:val="24"/>
        </w:rPr>
        <w:t xml:space="preserve"> (2005). </w:t>
      </w:r>
      <w:r w:rsidRPr="00385161">
        <w:rPr>
          <w:i/>
          <w:iCs/>
          <w:noProof/>
          <w:szCs w:val="24"/>
        </w:rPr>
        <w:t>NHS reference costs 2004</w:t>
      </w:r>
      <w:r w:rsidRPr="00385161">
        <w:rPr>
          <w:noProof/>
          <w:szCs w:val="24"/>
        </w:rPr>
        <w:t>. Department of Health,.</w:t>
      </w:r>
    </w:p>
    <w:p w14:paraId="5B67D330" w14:textId="77777777" w:rsidR="00385161" w:rsidRPr="00385161" w:rsidRDefault="00385161" w:rsidP="00385161">
      <w:pPr>
        <w:widowControl w:val="0"/>
        <w:autoSpaceDE w:val="0"/>
        <w:autoSpaceDN w:val="0"/>
        <w:adjustRightInd w:val="0"/>
        <w:rPr>
          <w:noProof/>
          <w:szCs w:val="24"/>
        </w:rPr>
      </w:pPr>
      <w:r w:rsidRPr="00385161">
        <w:rPr>
          <w:b/>
          <w:bCs/>
          <w:noProof/>
          <w:szCs w:val="24"/>
        </w:rPr>
        <w:t>Department of Health</w:t>
      </w:r>
      <w:r w:rsidRPr="00385161">
        <w:rPr>
          <w:noProof/>
          <w:szCs w:val="24"/>
        </w:rPr>
        <w:t xml:space="preserve"> (2015). </w:t>
      </w:r>
      <w:r w:rsidRPr="00385161">
        <w:rPr>
          <w:i/>
          <w:iCs/>
          <w:noProof/>
          <w:szCs w:val="24"/>
        </w:rPr>
        <w:t>Transfer of 0-5 children’s public health commissioning to Local Authorities</w:t>
      </w:r>
    </w:p>
    <w:p w14:paraId="391DC562" w14:textId="77777777" w:rsidR="00385161" w:rsidRPr="00385161" w:rsidRDefault="00385161" w:rsidP="00385161">
      <w:pPr>
        <w:widowControl w:val="0"/>
        <w:autoSpaceDE w:val="0"/>
        <w:autoSpaceDN w:val="0"/>
        <w:adjustRightInd w:val="0"/>
        <w:rPr>
          <w:noProof/>
          <w:szCs w:val="24"/>
        </w:rPr>
      </w:pPr>
      <w:r w:rsidRPr="00385161">
        <w:rPr>
          <w:b/>
          <w:bCs/>
          <w:noProof/>
          <w:szCs w:val="24"/>
        </w:rPr>
        <w:t>Dolman C, Jones I, Howard LM</w:t>
      </w:r>
      <w:r w:rsidRPr="00385161">
        <w:rPr>
          <w:noProof/>
          <w:szCs w:val="24"/>
        </w:rPr>
        <w:t xml:space="preserve"> (2013). Pre-conception to parenting: A systematic review and meta-synthesis of the qualitative literature on motherhood for women with severe mental illness. </w:t>
      </w:r>
      <w:r w:rsidRPr="00385161">
        <w:rPr>
          <w:i/>
          <w:iCs/>
          <w:noProof/>
          <w:szCs w:val="24"/>
        </w:rPr>
        <w:t>Archives of Women’s Mental Health</w:t>
      </w:r>
      <w:r w:rsidRPr="00385161">
        <w:rPr>
          <w:noProof/>
          <w:szCs w:val="24"/>
        </w:rPr>
        <w:t xml:space="preserve"> </w:t>
      </w:r>
      <w:r w:rsidRPr="00385161">
        <w:rPr>
          <w:b/>
          <w:bCs/>
          <w:noProof/>
          <w:szCs w:val="24"/>
        </w:rPr>
        <w:t>16</w:t>
      </w:r>
      <w:r w:rsidRPr="00385161">
        <w:rPr>
          <w:noProof/>
          <w:szCs w:val="24"/>
        </w:rPr>
        <w:t>, 173–196.</w:t>
      </w:r>
    </w:p>
    <w:p w14:paraId="462A1E7D" w14:textId="77777777" w:rsidR="00385161" w:rsidRPr="00385161" w:rsidRDefault="00385161" w:rsidP="00385161">
      <w:pPr>
        <w:widowControl w:val="0"/>
        <w:autoSpaceDE w:val="0"/>
        <w:autoSpaceDN w:val="0"/>
        <w:adjustRightInd w:val="0"/>
        <w:rPr>
          <w:noProof/>
          <w:szCs w:val="24"/>
        </w:rPr>
      </w:pPr>
      <w:r w:rsidRPr="00385161">
        <w:rPr>
          <w:b/>
          <w:bCs/>
          <w:noProof/>
          <w:szCs w:val="24"/>
        </w:rPr>
        <w:t>Ford E, Shakespeare J, Elias F, Ayers S</w:t>
      </w:r>
      <w:r w:rsidRPr="00385161">
        <w:rPr>
          <w:noProof/>
          <w:szCs w:val="24"/>
        </w:rPr>
        <w:t xml:space="preserve"> (2017). Recognition and management of perinatal depression and anxiety by general practitioners: A systematic review. </w:t>
      </w:r>
      <w:r w:rsidRPr="00385161">
        <w:rPr>
          <w:i/>
          <w:iCs/>
          <w:noProof/>
          <w:szCs w:val="24"/>
        </w:rPr>
        <w:t>Family Practice</w:t>
      </w:r>
      <w:r w:rsidRPr="00385161">
        <w:rPr>
          <w:noProof/>
          <w:szCs w:val="24"/>
        </w:rPr>
        <w:t xml:space="preserve"> </w:t>
      </w:r>
      <w:r w:rsidRPr="00385161">
        <w:rPr>
          <w:b/>
          <w:bCs/>
          <w:noProof/>
          <w:szCs w:val="24"/>
        </w:rPr>
        <w:t>34</w:t>
      </w:r>
      <w:r w:rsidRPr="00385161">
        <w:rPr>
          <w:noProof/>
          <w:szCs w:val="24"/>
        </w:rPr>
        <w:t>, 11–</w:t>
      </w:r>
      <w:r w:rsidRPr="00385161">
        <w:rPr>
          <w:noProof/>
          <w:szCs w:val="24"/>
        </w:rPr>
        <w:lastRenderedPageBreak/>
        <w:t>19.</w:t>
      </w:r>
    </w:p>
    <w:p w14:paraId="58E06BBD" w14:textId="77777777" w:rsidR="00385161" w:rsidRPr="00385161" w:rsidRDefault="00385161" w:rsidP="00385161">
      <w:pPr>
        <w:widowControl w:val="0"/>
        <w:autoSpaceDE w:val="0"/>
        <w:autoSpaceDN w:val="0"/>
        <w:adjustRightInd w:val="0"/>
        <w:rPr>
          <w:noProof/>
          <w:szCs w:val="24"/>
        </w:rPr>
      </w:pPr>
      <w:r w:rsidRPr="00385161">
        <w:rPr>
          <w:b/>
          <w:bCs/>
          <w:noProof/>
          <w:szCs w:val="24"/>
        </w:rPr>
        <w:t>Gavin NI, Gaynes BN, Lohr KN, Meltzer-Brody S, Gartlehner G, Swinson T</w:t>
      </w:r>
      <w:r w:rsidRPr="00385161">
        <w:rPr>
          <w:noProof/>
          <w:szCs w:val="24"/>
        </w:rPr>
        <w:t xml:space="preserve"> (2005). Perinatal Depression. </w:t>
      </w:r>
      <w:r w:rsidRPr="00385161">
        <w:rPr>
          <w:i/>
          <w:iCs/>
          <w:noProof/>
          <w:szCs w:val="24"/>
        </w:rPr>
        <w:t>Obstetrics &amp; Gynecology</w:t>
      </w:r>
      <w:r w:rsidRPr="00385161">
        <w:rPr>
          <w:noProof/>
          <w:szCs w:val="24"/>
        </w:rPr>
        <w:t xml:space="preserve"> </w:t>
      </w:r>
      <w:r w:rsidRPr="00385161">
        <w:rPr>
          <w:b/>
          <w:bCs/>
          <w:noProof/>
          <w:szCs w:val="24"/>
        </w:rPr>
        <w:t>106</w:t>
      </w:r>
      <w:r w:rsidRPr="00385161">
        <w:rPr>
          <w:noProof/>
          <w:szCs w:val="24"/>
        </w:rPr>
        <w:t>, 1071–1083.</w:t>
      </w:r>
    </w:p>
    <w:p w14:paraId="349212B1" w14:textId="77777777" w:rsidR="00385161" w:rsidRPr="00385161" w:rsidRDefault="00385161" w:rsidP="00385161">
      <w:pPr>
        <w:widowControl w:val="0"/>
        <w:autoSpaceDE w:val="0"/>
        <w:autoSpaceDN w:val="0"/>
        <w:adjustRightInd w:val="0"/>
        <w:rPr>
          <w:noProof/>
          <w:szCs w:val="24"/>
        </w:rPr>
      </w:pPr>
      <w:r w:rsidRPr="00385161">
        <w:rPr>
          <w:b/>
          <w:bCs/>
          <w:noProof/>
          <w:szCs w:val="24"/>
        </w:rPr>
        <w:t>Gavin NI, Meltzer-Brody S, Glover V, Gaynes BN</w:t>
      </w:r>
      <w:r w:rsidRPr="00385161">
        <w:rPr>
          <w:noProof/>
          <w:szCs w:val="24"/>
        </w:rPr>
        <w:t xml:space="preserve"> (2015). Is Population</w:t>
      </w:r>
      <w:r w:rsidRPr="00385161">
        <w:rPr>
          <w:rFonts w:ascii="Cambria Math" w:hAnsi="Cambria Math" w:cs="Cambria Math"/>
          <w:noProof/>
          <w:szCs w:val="24"/>
        </w:rPr>
        <w:t>‐</w:t>
      </w:r>
      <w:r w:rsidRPr="00385161">
        <w:rPr>
          <w:noProof/>
          <w:szCs w:val="24"/>
        </w:rPr>
        <w:t xml:space="preserve">Based Identification of Perinatal Depression and Anxiety Desirable? In </w:t>
      </w:r>
      <w:r w:rsidRPr="00385161">
        <w:rPr>
          <w:i/>
          <w:iCs/>
          <w:noProof/>
          <w:szCs w:val="24"/>
        </w:rPr>
        <w:t>Identifying Perinatal Depression and Anxiety: Evidence-Based Practice in Screening, Psychosocial Assessment, and Management</w:t>
      </w:r>
      <w:r w:rsidRPr="00385161">
        <w:rPr>
          <w:noProof/>
          <w:szCs w:val="24"/>
        </w:rPr>
        <w:t>, pp11–31. John Wiley &amp; Sons, Ltd: Chichester, UK.</w:t>
      </w:r>
    </w:p>
    <w:p w14:paraId="62E3F2C1" w14:textId="77777777" w:rsidR="00385161" w:rsidRPr="00385161" w:rsidRDefault="00385161" w:rsidP="00385161">
      <w:pPr>
        <w:widowControl w:val="0"/>
        <w:autoSpaceDE w:val="0"/>
        <w:autoSpaceDN w:val="0"/>
        <w:adjustRightInd w:val="0"/>
        <w:rPr>
          <w:noProof/>
          <w:szCs w:val="24"/>
        </w:rPr>
      </w:pPr>
      <w:r w:rsidRPr="00385161">
        <w:rPr>
          <w:b/>
          <w:bCs/>
          <w:noProof/>
          <w:szCs w:val="24"/>
        </w:rPr>
        <w:t>Glick HA, Doshi JA, Sonnad SS, Polsky D</w:t>
      </w:r>
      <w:r w:rsidRPr="00385161">
        <w:rPr>
          <w:noProof/>
          <w:szCs w:val="24"/>
        </w:rPr>
        <w:t xml:space="preserve"> (2007). </w:t>
      </w:r>
      <w:r w:rsidRPr="00385161">
        <w:rPr>
          <w:i/>
          <w:iCs/>
          <w:noProof/>
          <w:szCs w:val="24"/>
        </w:rPr>
        <w:t>Economic Evaluation in Clinical Trials</w:t>
      </w:r>
      <w:r w:rsidRPr="00385161">
        <w:rPr>
          <w:noProof/>
          <w:szCs w:val="24"/>
        </w:rPr>
        <w:t xml:space="preserve">. </w:t>
      </w:r>
      <w:r w:rsidRPr="00385161">
        <w:rPr>
          <w:i/>
          <w:iCs/>
          <w:noProof/>
          <w:szCs w:val="24"/>
        </w:rPr>
        <w:t>OUP Catalogue</w:t>
      </w:r>
      <w:r w:rsidRPr="00385161">
        <w:rPr>
          <w:noProof/>
          <w:szCs w:val="24"/>
        </w:rPr>
        <w:t>. Oxford University Press: Oxford ; New York.</w:t>
      </w:r>
    </w:p>
    <w:p w14:paraId="5DE4C9E0" w14:textId="77777777" w:rsidR="00385161" w:rsidRPr="00385161" w:rsidRDefault="00385161" w:rsidP="00385161">
      <w:pPr>
        <w:widowControl w:val="0"/>
        <w:autoSpaceDE w:val="0"/>
        <w:autoSpaceDN w:val="0"/>
        <w:adjustRightInd w:val="0"/>
        <w:rPr>
          <w:noProof/>
          <w:szCs w:val="24"/>
        </w:rPr>
      </w:pPr>
      <w:r w:rsidRPr="00385161">
        <w:rPr>
          <w:b/>
          <w:bCs/>
          <w:noProof/>
          <w:szCs w:val="24"/>
        </w:rPr>
        <w:t>Gomes M, Díaz-Ordaz K, Grieve R, Kenward MG</w:t>
      </w:r>
      <w:r w:rsidRPr="00385161">
        <w:rPr>
          <w:noProof/>
          <w:szCs w:val="24"/>
        </w:rPr>
        <w:t xml:space="preserve"> (2013). Multiple imputation methods for handling missing data in cost-effectiveness analyses that use data from hierarchical studies: an application to cluster randomized trials. </w:t>
      </w:r>
      <w:r w:rsidRPr="00385161">
        <w:rPr>
          <w:i/>
          <w:iCs/>
          <w:noProof/>
          <w:szCs w:val="24"/>
        </w:rPr>
        <w:t>Medical Decision Making</w:t>
      </w:r>
      <w:r w:rsidRPr="00385161">
        <w:rPr>
          <w:noProof/>
          <w:szCs w:val="24"/>
        </w:rPr>
        <w:t xml:space="preserve"> </w:t>
      </w:r>
      <w:r w:rsidRPr="00385161">
        <w:rPr>
          <w:b/>
          <w:bCs/>
          <w:noProof/>
          <w:szCs w:val="24"/>
        </w:rPr>
        <w:t>33</w:t>
      </w:r>
      <w:r w:rsidRPr="00385161">
        <w:rPr>
          <w:noProof/>
          <w:szCs w:val="24"/>
        </w:rPr>
        <w:t>, 1051–1063.</w:t>
      </w:r>
    </w:p>
    <w:p w14:paraId="2D218891" w14:textId="77777777" w:rsidR="00385161" w:rsidRPr="00385161" w:rsidRDefault="00385161" w:rsidP="00385161">
      <w:pPr>
        <w:widowControl w:val="0"/>
        <w:autoSpaceDE w:val="0"/>
        <w:autoSpaceDN w:val="0"/>
        <w:adjustRightInd w:val="0"/>
        <w:rPr>
          <w:noProof/>
          <w:szCs w:val="24"/>
        </w:rPr>
      </w:pPr>
      <w:r w:rsidRPr="00385161">
        <w:rPr>
          <w:b/>
          <w:bCs/>
          <w:noProof/>
          <w:szCs w:val="24"/>
        </w:rPr>
        <w:t>Gomes M, Grieve R, Nixon R, Edmunds WJ</w:t>
      </w:r>
      <w:r w:rsidRPr="00385161">
        <w:rPr>
          <w:noProof/>
          <w:szCs w:val="24"/>
        </w:rPr>
        <w:t xml:space="preserve"> (2012a). Statistical methods for cost-effectiveness analyses that use data from cluster randomized trials: a systematic review and checklist for critical appraisal. </w:t>
      </w:r>
      <w:r w:rsidRPr="00385161">
        <w:rPr>
          <w:i/>
          <w:iCs/>
          <w:noProof/>
          <w:szCs w:val="24"/>
        </w:rPr>
        <w:t>Medical Decision Making</w:t>
      </w:r>
      <w:r w:rsidRPr="00385161">
        <w:rPr>
          <w:noProof/>
          <w:szCs w:val="24"/>
        </w:rPr>
        <w:t xml:space="preserve"> </w:t>
      </w:r>
      <w:r w:rsidRPr="00385161">
        <w:rPr>
          <w:b/>
          <w:bCs/>
          <w:noProof/>
          <w:szCs w:val="24"/>
        </w:rPr>
        <w:t>32</w:t>
      </w:r>
      <w:r w:rsidRPr="00385161">
        <w:rPr>
          <w:noProof/>
          <w:szCs w:val="24"/>
        </w:rPr>
        <w:t>, 209–220.</w:t>
      </w:r>
    </w:p>
    <w:p w14:paraId="7A80F59E" w14:textId="77777777" w:rsidR="00385161" w:rsidRPr="00385161" w:rsidRDefault="00385161" w:rsidP="00385161">
      <w:pPr>
        <w:widowControl w:val="0"/>
        <w:autoSpaceDE w:val="0"/>
        <w:autoSpaceDN w:val="0"/>
        <w:adjustRightInd w:val="0"/>
        <w:rPr>
          <w:noProof/>
          <w:szCs w:val="24"/>
        </w:rPr>
      </w:pPr>
      <w:r w:rsidRPr="00385161">
        <w:rPr>
          <w:b/>
          <w:bCs/>
          <w:noProof/>
          <w:szCs w:val="24"/>
        </w:rPr>
        <w:t>Gomes M, Grieve R, Nixon R, Ng ESW, Carpenter J, Thompson SG</w:t>
      </w:r>
      <w:r w:rsidRPr="00385161">
        <w:rPr>
          <w:noProof/>
          <w:szCs w:val="24"/>
        </w:rPr>
        <w:t xml:space="preserve"> (2012b). Methods for covariate adjustment in cost-effectiveness analysis that use cluster randomised trials. </w:t>
      </w:r>
      <w:r w:rsidRPr="00385161">
        <w:rPr>
          <w:i/>
          <w:iCs/>
          <w:noProof/>
          <w:szCs w:val="24"/>
        </w:rPr>
        <w:t>Health Economics (United Kingdom)</w:t>
      </w:r>
      <w:r w:rsidRPr="00385161">
        <w:rPr>
          <w:noProof/>
          <w:szCs w:val="24"/>
        </w:rPr>
        <w:t xml:space="preserve"> </w:t>
      </w:r>
      <w:r w:rsidRPr="00385161">
        <w:rPr>
          <w:b/>
          <w:bCs/>
          <w:noProof/>
          <w:szCs w:val="24"/>
        </w:rPr>
        <w:t>21</w:t>
      </w:r>
      <w:r w:rsidRPr="00385161">
        <w:rPr>
          <w:noProof/>
          <w:szCs w:val="24"/>
        </w:rPr>
        <w:t>, 1101–1118.</w:t>
      </w:r>
    </w:p>
    <w:p w14:paraId="405BB186" w14:textId="77777777" w:rsidR="00385161" w:rsidRPr="00385161" w:rsidRDefault="00385161" w:rsidP="00385161">
      <w:pPr>
        <w:widowControl w:val="0"/>
        <w:autoSpaceDE w:val="0"/>
        <w:autoSpaceDN w:val="0"/>
        <w:adjustRightInd w:val="0"/>
        <w:rPr>
          <w:noProof/>
          <w:szCs w:val="24"/>
        </w:rPr>
      </w:pPr>
      <w:r w:rsidRPr="00385161">
        <w:rPr>
          <w:b/>
          <w:bCs/>
          <w:noProof/>
          <w:szCs w:val="24"/>
        </w:rPr>
        <w:t>Hansard</w:t>
      </w:r>
      <w:r w:rsidRPr="00385161">
        <w:rPr>
          <w:noProof/>
          <w:szCs w:val="24"/>
        </w:rPr>
        <w:t xml:space="preserve"> (2004a). </w:t>
      </w:r>
      <w:r w:rsidRPr="00385161">
        <w:rPr>
          <w:i/>
          <w:iCs/>
          <w:noProof/>
          <w:szCs w:val="24"/>
        </w:rPr>
        <w:t>Written answers, Monday 23 May 2005</w:t>
      </w:r>
    </w:p>
    <w:p w14:paraId="18B636BA" w14:textId="77777777" w:rsidR="00385161" w:rsidRPr="00385161" w:rsidRDefault="00385161" w:rsidP="00385161">
      <w:pPr>
        <w:widowControl w:val="0"/>
        <w:autoSpaceDE w:val="0"/>
        <w:autoSpaceDN w:val="0"/>
        <w:adjustRightInd w:val="0"/>
        <w:rPr>
          <w:noProof/>
          <w:szCs w:val="24"/>
        </w:rPr>
      </w:pPr>
      <w:r w:rsidRPr="00385161">
        <w:rPr>
          <w:b/>
          <w:bCs/>
          <w:noProof/>
          <w:szCs w:val="24"/>
        </w:rPr>
        <w:t>Hansard</w:t>
      </w:r>
      <w:r w:rsidRPr="00385161">
        <w:rPr>
          <w:noProof/>
          <w:szCs w:val="24"/>
        </w:rPr>
        <w:t xml:space="preserve"> (2004b). </w:t>
      </w:r>
      <w:r w:rsidRPr="00385161">
        <w:rPr>
          <w:i/>
          <w:iCs/>
          <w:noProof/>
          <w:szCs w:val="24"/>
        </w:rPr>
        <w:t>Written answers, Tuesday 19 October 2004</w:t>
      </w:r>
    </w:p>
    <w:p w14:paraId="215E3744" w14:textId="77777777" w:rsidR="00385161" w:rsidRPr="00385161" w:rsidRDefault="00385161" w:rsidP="00385161">
      <w:pPr>
        <w:widowControl w:val="0"/>
        <w:autoSpaceDE w:val="0"/>
        <w:autoSpaceDN w:val="0"/>
        <w:adjustRightInd w:val="0"/>
        <w:rPr>
          <w:noProof/>
          <w:szCs w:val="24"/>
        </w:rPr>
      </w:pPr>
      <w:r w:rsidRPr="00385161">
        <w:rPr>
          <w:b/>
          <w:bCs/>
          <w:noProof/>
          <w:szCs w:val="24"/>
        </w:rPr>
        <w:t>Health Education England</w:t>
      </w:r>
      <w:r w:rsidRPr="00385161">
        <w:rPr>
          <w:noProof/>
          <w:szCs w:val="24"/>
        </w:rPr>
        <w:t xml:space="preserve"> (2016). </w:t>
      </w:r>
      <w:r w:rsidRPr="00385161">
        <w:rPr>
          <w:i/>
          <w:iCs/>
          <w:noProof/>
          <w:szCs w:val="24"/>
        </w:rPr>
        <w:t>Explore roles: Health visitor</w:t>
      </w:r>
    </w:p>
    <w:p w14:paraId="367B004C" w14:textId="77777777" w:rsidR="00385161" w:rsidRPr="00385161" w:rsidRDefault="00385161" w:rsidP="00385161">
      <w:pPr>
        <w:widowControl w:val="0"/>
        <w:autoSpaceDE w:val="0"/>
        <w:autoSpaceDN w:val="0"/>
        <w:adjustRightInd w:val="0"/>
        <w:rPr>
          <w:noProof/>
          <w:szCs w:val="24"/>
        </w:rPr>
      </w:pPr>
      <w:r w:rsidRPr="00385161">
        <w:rPr>
          <w:b/>
          <w:bCs/>
          <w:noProof/>
          <w:szCs w:val="24"/>
        </w:rPr>
        <w:t>Henderson S, Byrne DG, Duncan-Jones P</w:t>
      </w:r>
      <w:r w:rsidRPr="00385161">
        <w:rPr>
          <w:noProof/>
          <w:szCs w:val="24"/>
        </w:rPr>
        <w:t xml:space="preserve"> (1981). </w:t>
      </w:r>
      <w:r w:rsidRPr="00385161">
        <w:rPr>
          <w:i/>
          <w:iCs/>
          <w:noProof/>
          <w:szCs w:val="24"/>
        </w:rPr>
        <w:t>Neurosis and the social environment</w:t>
      </w:r>
      <w:r w:rsidRPr="00385161">
        <w:rPr>
          <w:noProof/>
          <w:szCs w:val="24"/>
        </w:rPr>
        <w:t>. Academic Press: Sydney ; London.</w:t>
      </w:r>
    </w:p>
    <w:p w14:paraId="27C74039" w14:textId="77777777" w:rsidR="00385161" w:rsidRPr="00385161" w:rsidRDefault="00385161" w:rsidP="00385161">
      <w:pPr>
        <w:widowControl w:val="0"/>
        <w:autoSpaceDE w:val="0"/>
        <w:autoSpaceDN w:val="0"/>
        <w:adjustRightInd w:val="0"/>
        <w:rPr>
          <w:noProof/>
          <w:szCs w:val="24"/>
        </w:rPr>
      </w:pPr>
      <w:r w:rsidRPr="00385161">
        <w:rPr>
          <w:b/>
          <w:bCs/>
          <w:noProof/>
          <w:szCs w:val="24"/>
        </w:rPr>
        <w:t>Herrin J</w:t>
      </w:r>
      <w:r w:rsidRPr="00385161">
        <w:rPr>
          <w:noProof/>
          <w:szCs w:val="24"/>
        </w:rPr>
        <w:t xml:space="preserve"> (2012). </w:t>
      </w:r>
      <w:r w:rsidRPr="00385161">
        <w:rPr>
          <w:i/>
          <w:iCs/>
          <w:noProof/>
          <w:szCs w:val="24"/>
        </w:rPr>
        <w:t>CLTEST: Stata modules for performing cluster-adjusted chi-square and t-tests</w:t>
      </w:r>
      <w:r w:rsidRPr="00385161">
        <w:rPr>
          <w:noProof/>
          <w:szCs w:val="24"/>
        </w:rPr>
        <w:t xml:space="preserve">. </w:t>
      </w:r>
      <w:r w:rsidRPr="00385161">
        <w:rPr>
          <w:i/>
          <w:iCs/>
          <w:noProof/>
          <w:szCs w:val="24"/>
        </w:rPr>
        <w:t>Statistical Software Components</w:t>
      </w:r>
    </w:p>
    <w:p w14:paraId="21F791AB" w14:textId="77777777" w:rsidR="00385161" w:rsidRPr="00385161" w:rsidRDefault="00385161" w:rsidP="00385161">
      <w:pPr>
        <w:widowControl w:val="0"/>
        <w:autoSpaceDE w:val="0"/>
        <w:autoSpaceDN w:val="0"/>
        <w:adjustRightInd w:val="0"/>
        <w:rPr>
          <w:noProof/>
          <w:szCs w:val="24"/>
        </w:rPr>
      </w:pPr>
      <w:r w:rsidRPr="00385161">
        <w:rPr>
          <w:b/>
          <w:bCs/>
          <w:noProof/>
          <w:szCs w:val="24"/>
        </w:rPr>
        <w:t>Hewitt CE, Gilbody SM</w:t>
      </w:r>
      <w:r w:rsidRPr="00385161">
        <w:rPr>
          <w:noProof/>
          <w:szCs w:val="24"/>
        </w:rPr>
        <w:t xml:space="preserve"> (2009). Is it clinically and cost effective to screen for postnatal depression: A systematic review of controlled clinical trials and economic evidence. </w:t>
      </w:r>
      <w:r w:rsidRPr="00385161">
        <w:rPr>
          <w:i/>
          <w:iCs/>
          <w:noProof/>
          <w:szCs w:val="24"/>
        </w:rPr>
        <w:t>BJOG: An International Journal of Obstetrics and Gynaecology</w:t>
      </w:r>
      <w:r w:rsidRPr="00385161">
        <w:rPr>
          <w:noProof/>
          <w:szCs w:val="24"/>
        </w:rPr>
        <w:t xml:space="preserve"> </w:t>
      </w:r>
      <w:r w:rsidRPr="00385161">
        <w:rPr>
          <w:b/>
          <w:bCs/>
          <w:noProof/>
          <w:szCs w:val="24"/>
        </w:rPr>
        <w:t>116</w:t>
      </w:r>
      <w:r w:rsidRPr="00385161">
        <w:rPr>
          <w:noProof/>
          <w:szCs w:val="24"/>
        </w:rPr>
        <w:t>, 1019–1027.</w:t>
      </w:r>
    </w:p>
    <w:p w14:paraId="319C011F" w14:textId="77777777" w:rsidR="00385161" w:rsidRPr="00385161" w:rsidRDefault="00385161" w:rsidP="00385161">
      <w:pPr>
        <w:widowControl w:val="0"/>
        <w:autoSpaceDE w:val="0"/>
        <w:autoSpaceDN w:val="0"/>
        <w:adjustRightInd w:val="0"/>
        <w:rPr>
          <w:noProof/>
          <w:szCs w:val="24"/>
        </w:rPr>
      </w:pPr>
      <w:r w:rsidRPr="00385161">
        <w:rPr>
          <w:b/>
          <w:bCs/>
          <w:noProof/>
          <w:szCs w:val="24"/>
        </w:rPr>
        <w:t>Holden JM, Sagovsky R, Cox JL</w:t>
      </w:r>
      <w:r w:rsidRPr="00385161">
        <w:rPr>
          <w:noProof/>
          <w:szCs w:val="24"/>
        </w:rPr>
        <w:t xml:space="preserve"> (1989). Counselling in a general practice setting: controlled study of health visitor intervention in treatment of postnatal depression. . British Medical Journal Publishing Group </w:t>
      </w:r>
      <w:r w:rsidRPr="00385161">
        <w:rPr>
          <w:i/>
          <w:iCs/>
          <w:noProof/>
          <w:szCs w:val="24"/>
        </w:rPr>
        <w:t>BMJ (Clinical research ed.)</w:t>
      </w:r>
      <w:r w:rsidRPr="00385161">
        <w:rPr>
          <w:noProof/>
          <w:szCs w:val="24"/>
        </w:rPr>
        <w:t xml:space="preserve"> </w:t>
      </w:r>
      <w:r w:rsidRPr="00385161">
        <w:rPr>
          <w:b/>
          <w:bCs/>
          <w:noProof/>
          <w:szCs w:val="24"/>
        </w:rPr>
        <w:t>298</w:t>
      </w:r>
      <w:r w:rsidRPr="00385161">
        <w:rPr>
          <w:noProof/>
          <w:szCs w:val="24"/>
        </w:rPr>
        <w:t>, 223–6.</w:t>
      </w:r>
    </w:p>
    <w:p w14:paraId="48E3DE59" w14:textId="77777777" w:rsidR="00385161" w:rsidRPr="00385161" w:rsidRDefault="00385161" w:rsidP="00385161">
      <w:pPr>
        <w:widowControl w:val="0"/>
        <w:autoSpaceDE w:val="0"/>
        <w:autoSpaceDN w:val="0"/>
        <w:adjustRightInd w:val="0"/>
        <w:rPr>
          <w:noProof/>
          <w:szCs w:val="24"/>
        </w:rPr>
      </w:pPr>
      <w:r w:rsidRPr="00385161">
        <w:rPr>
          <w:b/>
          <w:bCs/>
          <w:noProof/>
          <w:szCs w:val="24"/>
        </w:rPr>
        <w:t>Jorm AF, Patten SB, Brugha TS, Mojtabai R</w:t>
      </w:r>
      <w:r w:rsidRPr="00385161">
        <w:rPr>
          <w:noProof/>
          <w:szCs w:val="24"/>
        </w:rPr>
        <w:t xml:space="preserve"> (2017). Has increased provision of treatment reduced the prevalence of common mental disorders? Review of the evidence from four </w:t>
      </w:r>
      <w:r w:rsidRPr="00385161">
        <w:rPr>
          <w:noProof/>
          <w:szCs w:val="24"/>
        </w:rPr>
        <w:lastRenderedPageBreak/>
        <w:t xml:space="preserve">countries. </w:t>
      </w:r>
      <w:r w:rsidRPr="00385161">
        <w:rPr>
          <w:i/>
          <w:iCs/>
          <w:noProof/>
          <w:szCs w:val="24"/>
        </w:rPr>
        <w:t>World Psychiatry</w:t>
      </w:r>
      <w:r w:rsidRPr="00385161">
        <w:rPr>
          <w:noProof/>
          <w:szCs w:val="24"/>
        </w:rPr>
        <w:t xml:space="preserve"> </w:t>
      </w:r>
      <w:r w:rsidRPr="00385161">
        <w:rPr>
          <w:b/>
          <w:bCs/>
          <w:noProof/>
          <w:szCs w:val="24"/>
        </w:rPr>
        <w:t>16</w:t>
      </w:r>
      <w:r w:rsidRPr="00385161">
        <w:rPr>
          <w:noProof/>
          <w:szCs w:val="24"/>
        </w:rPr>
        <w:t>, 90–99.</w:t>
      </w:r>
    </w:p>
    <w:p w14:paraId="68D5DF3C" w14:textId="77777777" w:rsidR="00385161" w:rsidRPr="00385161" w:rsidRDefault="00385161" w:rsidP="00385161">
      <w:pPr>
        <w:widowControl w:val="0"/>
        <w:autoSpaceDE w:val="0"/>
        <w:autoSpaceDN w:val="0"/>
        <w:adjustRightInd w:val="0"/>
        <w:rPr>
          <w:noProof/>
          <w:szCs w:val="24"/>
        </w:rPr>
      </w:pPr>
      <w:r w:rsidRPr="00385161">
        <w:rPr>
          <w:b/>
          <w:bCs/>
          <w:noProof/>
          <w:szCs w:val="24"/>
        </w:rPr>
        <w:t>Klar N</w:t>
      </w:r>
      <w:r w:rsidRPr="00385161">
        <w:rPr>
          <w:noProof/>
          <w:szCs w:val="24"/>
        </w:rPr>
        <w:t xml:space="preserve"> (2015). </w:t>
      </w:r>
      <w:r w:rsidRPr="00385161">
        <w:rPr>
          <w:i/>
          <w:iCs/>
          <w:noProof/>
          <w:szCs w:val="24"/>
        </w:rPr>
        <w:t>A Practical Guide to Cluster Randomised Trials in Health Services Research</w:t>
      </w:r>
      <w:r w:rsidRPr="00385161">
        <w:rPr>
          <w:noProof/>
          <w:szCs w:val="24"/>
        </w:rPr>
        <w:t>. vol 3406. Wiley: Chichester.</w:t>
      </w:r>
    </w:p>
    <w:p w14:paraId="6FE1F801" w14:textId="77777777" w:rsidR="00385161" w:rsidRPr="00385161" w:rsidRDefault="00385161" w:rsidP="00385161">
      <w:pPr>
        <w:widowControl w:val="0"/>
        <w:autoSpaceDE w:val="0"/>
        <w:autoSpaceDN w:val="0"/>
        <w:adjustRightInd w:val="0"/>
        <w:rPr>
          <w:noProof/>
          <w:szCs w:val="24"/>
        </w:rPr>
      </w:pPr>
      <w:r w:rsidRPr="00385161">
        <w:rPr>
          <w:b/>
          <w:bCs/>
          <w:noProof/>
          <w:szCs w:val="24"/>
        </w:rPr>
        <w:t>Kohn R, Saxena S, Levav I, Saraceno B</w:t>
      </w:r>
      <w:r w:rsidRPr="00385161">
        <w:rPr>
          <w:noProof/>
          <w:szCs w:val="24"/>
        </w:rPr>
        <w:t xml:space="preserve"> (2004). The treatment gap in mental health care. </w:t>
      </w:r>
      <w:r w:rsidRPr="00385161">
        <w:rPr>
          <w:i/>
          <w:iCs/>
          <w:noProof/>
          <w:szCs w:val="24"/>
        </w:rPr>
        <w:t>Bulletin of the World Health Organization</w:t>
      </w:r>
      <w:r w:rsidRPr="00385161">
        <w:rPr>
          <w:noProof/>
          <w:szCs w:val="24"/>
        </w:rPr>
        <w:t xml:space="preserve"> </w:t>
      </w:r>
      <w:r w:rsidRPr="00385161">
        <w:rPr>
          <w:b/>
          <w:bCs/>
          <w:noProof/>
          <w:szCs w:val="24"/>
        </w:rPr>
        <w:t>82</w:t>
      </w:r>
      <w:r w:rsidRPr="00385161">
        <w:rPr>
          <w:noProof/>
          <w:szCs w:val="24"/>
        </w:rPr>
        <w:t>, 858–866.</w:t>
      </w:r>
    </w:p>
    <w:p w14:paraId="4AF43E31" w14:textId="77777777" w:rsidR="00385161" w:rsidRPr="00385161" w:rsidRDefault="00385161" w:rsidP="00385161">
      <w:pPr>
        <w:widowControl w:val="0"/>
        <w:autoSpaceDE w:val="0"/>
        <w:autoSpaceDN w:val="0"/>
        <w:adjustRightInd w:val="0"/>
        <w:rPr>
          <w:noProof/>
          <w:szCs w:val="24"/>
        </w:rPr>
      </w:pPr>
      <w:r w:rsidRPr="00385161">
        <w:rPr>
          <w:b/>
          <w:bCs/>
          <w:noProof/>
          <w:szCs w:val="24"/>
        </w:rPr>
        <w:t>Manca A, Hawkins N, Sculpher MJ</w:t>
      </w:r>
      <w:r w:rsidRPr="00385161">
        <w:rPr>
          <w:noProof/>
          <w:szCs w:val="24"/>
        </w:rPr>
        <w:t xml:space="preserve"> (2005a). Estimating mean QALYs in trial-based cost-effectiveness analysis: The importance of controlling for baseline utility. </w:t>
      </w:r>
      <w:r w:rsidRPr="00385161">
        <w:rPr>
          <w:i/>
          <w:iCs/>
          <w:noProof/>
          <w:szCs w:val="24"/>
        </w:rPr>
        <w:t>Health Economics</w:t>
      </w:r>
      <w:r w:rsidRPr="00385161">
        <w:rPr>
          <w:noProof/>
          <w:szCs w:val="24"/>
        </w:rPr>
        <w:t xml:space="preserve"> </w:t>
      </w:r>
      <w:r w:rsidRPr="00385161">
        <w:rPr>
          <w:b/>
          <w:bCs/>
          <w:noProof/>
          <w:szCs w:val="24"/>
        </w:rPr>
        <w:t>14</w:t>
      </w:r>
      <w:r w:rsidRPr="00385161">
        <w:rPr>
          <w:noProof/>
          <w:szCs w:val="24"/>
        </w:rPr>
        <w:t>, 487–496.</w:t>
      </w:r>
    </w:p>
    <w:p w14:paraId="1702B326" w14:textId="77777777" w:rsidR="00385161" w:rsidRPr="00385161" w:rsidRDefault="00385161" w:rsidP="00385161">
      <w:pPr>
        <w:widowControl w:val="0"/>
        <w:autoSpaceDE w:val="0"/>
        <w:autoSpaceDN w:val="0"/>
        <w:adjustRightInd w:val="0"/>
        <w:rPr>
          <w:noProof/>
          <w:szCs w:val="24"/>
        </w:rPr>
      </w:pPr>
      <w:r w:rsidRPr="00385161">
        <w:rPr>
          <w:b/>
          <w:bCs/>
          <w:noProof/>
          <w:szCs w:val="24"/>
        </w:rPr>
        <w:t>Manca A, Rice N, Sculpher MJ, Briggs AH</w:t>
      </w:r>
      <w:r w:rsidRPr="00385161">
        <w:rPr>
          <w:noProof/>
          <w:szCs w:val="24"/>
        </w:rPr>
        <w:t xml:space="preserve"> (2005b). Assessing generlisability by location in trial-based cost-effectiveness analysis: the use of multilevel models. </w:t>
      </w:r>
      <w:r w:rsidRPr="00385161">
        <w:rPr>
          <w:i/>
          <w:iCs/>
          <w:noProof/>
          <w:szCs w:val="24"/>
        </w:rPr>
        <w:t>Health Economics</w:t>
      </w:r>
      <w:r w:rsidRPr="00385161">
        <w:rPr>
          <w:noProof/>
          <w:szCs w:val="24"/>
        </w:rPr>
        <w:t xml:space="preserve"> </w:t>
      </w:r>
      <w:r w:rsidRPr="00385161">
        <w:rPr>
          <w:b/>
          <w:bCs/>
          <w:noProof/>
          <w:szCs w:val="24"/>
        </w:rPr>
        <w:t>14</w:t>
      </w:r>
      <w:r w:rsidRPr="00385161">
        <w:rPr>
          <w:noProof/>
          <w:szCs w:val="24"/>
        </w:rPr>
        <w:t>, 471–485.</w:t>
      </w:r>
    </w:p>
    <w:p w14:paraId="5D9F6802" w14:textId="77777777" w:rsidR="00385161" w:rsidRPr="00385161" w:rsidRDefault="00385161" w:rsidP="00385161">
      <w:pPr>
        <w:widowControl w:val="0"/>
        <w:autoSpaceDE w:val="0"/>
        <w:autoSpaceDN w:val="0"/>
        <w:adjustRightInd w:val="0"/>
        <w:rPr>
          <w:noProof/>
          <w:szCs w:val="24"/>
        </w:rPr>
      </w:pPr>
      <w:r w:rsidRPr="00385161">
        <w:rPr>
          <w:b/>
          <w:bCs/>
          <w:noProof/>
          <w:szCs w:val="24"/>
        </w:rPr>
        <w:t>Mantopoulos T, Mitchell PM, Welton NJ, McManus R, Andronis L</w:t>
      </w:r>
      <w:r w:rsidRPr="00385161">
        <w:rPr>
          <w:noProof/>
          <w:szCs w:val="24"/>
        </w:rPr>
        <w:t xml:space="preserve"> (2016). Choice of statistical model for cost-effectiveness analysis and covariate adjustment: empirical application of prominent models and assessment of their results. </w:t>
      </w:r>
      <w:r w:rsidRPr="00385161">
        <w:rPr>
          <w:i/>
          <w:iCs/>
          <w:noProof/>
          <w:szCs w:val="24"/>
        </w:rPr>
        <w:t>European Journal of Health Economics</w:t>
      </w:r>
      <w:r w:rsidRPr="00385161">
        <w:rPr>
          <w:noProof/>
          <w:szCs w:val="24"/>
        </w:rPr>
        <w:t xml:space="preserve"> </w:t>
      </w:r>
      <w:r w:rsidRPr="00385161">
        <w:rPr>
          <w:b/>
          <w:bCs/>
          <w:noProof/>
          <w:szCs w:val="24"/>
        </w:rPr>
        <w:t>17</w:t>
      </w:r>
      <w:r w:rsidRPr="00385161">
        <w:rPr>
          <w:noProof/>
          <w:szCs w:val="24"/>
        </w:rPr>
        <w:t>, 927–938.</w:t>
      </w:r>
    </w:p>
    <w:p w14:paraId="4765FF33" w14:textId="77777777" w:rsidR="00385161" w:rsidRPr="00385161" w:rsidRDefault="00385161" w:rsidP="00385161">
      <w:pPr>
        <w:widowControl w:val="0"/>
        <w:autoSpaceDE w:val="0"/>
        <w:autoSpaceDN w:val="0"/>
        <w:adjustRightInd w:val="0"/>
        <w:rPr>
          <w:noProof/>
          <w:szCs w:val="24"/>
        </w:rPr>
      </w:pPr>
      <w:r w:rsidRPr="00385161">
        <w:rPr>
          <w:b/>
          <w:bCs/>
          <w:noProof/>
          <w:szCs w:val="24"/>
        </w:rPr>
        <w:t>Megnin-Viggars O, Symington I, Howard LM, Pilling S</w:t>
      </w:r>
      <w:r w:rsidRPr="00385161">
        <w:rPr>
          <w:noProof/>
          <w:szCs w:val="24"/>
        </w:rPr>
        <w:t xml:space="preserve"> (2015). Experience of care for mental health problems in the antenatal or postnatal period for women in the UK: a systematic review and meta-synthesis of qualitative research. </w:t>
      </w:r>
      <w:r w:rsidRPr="00385161">
        <w:rPr>
          <w:i/>
          <w:iCs/>
          <w:noProof/>
          <w:szCs w:val="24"/>
        </w:rPr>
        <w:t>Archives of Women’s Mental Health</w:t>
      </w:r>
      <w:r w:rsidRPr="00385161">
        <w:rPr>
          <w:noProof/>
          <w:szCs w:val="24"/>
        </w:rPr>
        <w:t xml:space="preserve"> </w:t>
      </w:r>
      <w:r w:rsidRPr="00385161">
        <w:rPr>
          <w:b/>
          <w:bCs/>
          <w:noProof/>
          <w:szCs w:val="24"/>
        </w:rPr>
        <w:t>18</w:t>
      </w:r>
      <w:r w:rsidRPr="00385161">
        <w:rPr>
          <w:noProof/>
          <w:szCs w:val="24"/>
        </w:rPr>
        <w:t>, 745–759.</w:t>
      </w:r>
    </w:p>
    <w:p w14:paraId="2EFC25A3" w14:textId="77777777" w:rsidR="00385161" w:rsidRPr="00385161" w:rsidRDefault="00385161" w:rsidP="00385161">
      <w:pPr>
        <w:widowControl w:val="0"/>
        <w:autoSpaceDE w:val="0"/>
        <w:autoSpaceDN w:val="0"/>
        <w:adjustRightInd w:val="0"/>
        <w:rPr>
          <w:noProof/>
          <w:szCs w:val="24"/>
        </w:rPr>
      </w:pPr>
      <w:r w:rsidRPr="00385161">
        <w:rPr>
          <w:b/>
          <w:bCs/>
          <w:noProof/>
          <w:szCs w:val="24"/>
        </w:rPr>
        <w:t>Milgrom J, Gemmill AW</w:t>
      </w:r>
      <w:r w:rsidRPr="00385161">
        <w:rPr>
          <w:noProof/>
          <w:szCs w:val="24"/>
        </w:rPr>
        <w:t xml:space="preserve"> (2014). Screening for perinatal depression. </w:t>
      </w:r>
      <w:r w:rsidRPr="00385161">
        <w:rPr>
          <w:i/>
          <w:iCs/>
          <w:noProof/>
          <w:szCs w:val="24"/>
        </w:rPr>
        <w:t>Best Practice and Research Clinical Obstetrics and Gynaecology</w:t>
      </w:r>
      <w:r w:rsidRPr="00385161">
        <w:rPr>
          <w:noProof/>
          <w:szCs w:val="24"/>
        </w:rPr>
        <w:t xml:space="preserve"> </w:t>
      </w:r>
      <w:r w:rsidRPr="00385161">
        <w:rPr>
          <w:b/>
          <w:bCs/>
          <w:noProof/>
          <w:szCs w:val="24"/>
        </w:rPr>
        <w:t>28</w:t>
      </w:r>
      <w:r w:rsidRPr="00385161">
        <w:rPr>
          <w:noProof/>
          <w:szCs w:val="24"/>
        </w:rPr>
        <w:t>, 13–23.</w:t>
      </w:r>
    </w:p>
    <w:p w14:paraId="1A3CBD74" w14:textId="77777777" w:rsidR="00385161" w:rsidRPr="00385161" w:rsidRDefault="00385161" w:rsidP="00385161">
      <w:pPr>
        <w:widowControl w:val="0"/>
        <w:autoSpaceDE w:val="0"/>
        <w:autoSpaceDN w:val="0"/>
        <w:adjustRightInd w:val="0"/>
        <w:rPr>
          <w:noProof/>
          <w:szCs w:val="24"/>
        </w:rPr>
      </w:pPr>
      <w:r w:rsidRPr="00385161">
        <w:rPr>
          <w:b/>
          <w:bCs/>
          <w:noProof/>
          <w:szCs w:val="24"/>
        </w:rPr>
        <w:t>Morrell CJ, Ricketts T, Tudor K, Williams C, Curran J, Barkham M</w:t>
      </w:r>
      <w:r w:rsidRPr="00385161">
        <w:rPr>
          <w:noProof/>
          <w:szCs w:val="24"/>
        </w:rPr>
        <w:t xml:space="preserve"> (2011). Training health visitors in cognitive behavioural and person-centred approaches for depression in postnatal women as part of a cluster randomised trial and economic evaluation in primary care: the PoNDER trial. </w:t>
      </w:r>
      <w:r w:rsidRPr="00385161">
        <w:rPr>
          <w:i/>
          <w:iCs/>
          <w:noProof/>
          <w:szCs w:val="24"/>
        </w:rPr>
        <w:t>Prim Health Care Res Dev</w:t>
      </w:r>
      <w:r w:rsidRPr="00385161">
        <w:rPr>
          <w:noProof/>
          <w:szCs w:val="24"/>
        </w:rPr>
        <w:t xml:space="preserve"> </w:t>
      </w:r>
      <w:r w:rsidRPr="00385161">
        <w:rPr>
          <w:b/>
          <w:bCs/>
          <w:noProof/>
          <w:szCs w:val="24"/>
        </w:rPr>
        <w:t>12</w:t>
      </w:r>
      <w:r w:rsidRPr="00385161">
        <w:rPr>
          <w:noProof/>
          <w:szCs w:val="24"/>
        </w:rPr>
        <w:t>, 11–20.</w:t>
      </w:r>
    </w:p>
    <w:p w14:paraId="273CB973" w14:textId="77777777" w:rsidR="00385161" w:rsidRPr="00385161" w:rsidRDefault="00385161" w:rsidP="00385161">
      <w:pPr>
        <w:widowControl w:val="0"/>
        <w:autoSpaceDE w:val="0"/>
        <w:autoSpaceDN w:val="0"/>
        <w:adjustRightInd w:val="0"/>
        <w:rPr>
          <w:noProof/>
          <w:szCs w:val="24"/>
        </w:rPr>
      </w:pPr>
      <w:r w:rsidRPr="00385161">
        <w:rPr>
          <w:b/>
          <w:bCs/>
          <w:noProof/>
          <w:szCs w:val="24"/>
        </w:rPr>
        <w:t>Morrell CJ, Slade P, Warner R, Paley G, Dixon S, Walters SJ, Brugha T, Barkham M, Parry GJ, Nicholl J</w:t>
      </w:r>
      <w:r w:rsidRPr="00385161">
        <w:rPr>
          <w:noProof/>
          <w:szCs w:val="24"/>
        </w:rPr>
        <w:t xml:space="preserve"> (2009a). Clinical effectiveness of health visitor training in psychologically informed approaches for depression in postnatal women: pragmatic cluster randomised trial in primary care. </w:t>
      </w:r>
      <w:r w:rsidRPr="00385161">
        <w:rPr>
          <w:i/>
          <w:iCs/>
          <w:noProof/>
          <w:szCs w:val="24"/>
        </w:rPr>
        <w:t>BMJ</w:t>
      </w:r>
      <w:r w:rsidRPr="00385161">
        <w:rPr>
          <w:noProof/>
          <w:szCs w:val="24"/>
        </w:rPr>
        <w:t xml:space="preserve"> </w:t>
      </w:r>
      <w:r w:rsidRPr="00385161">
        <w:rPr>
          <w:b/>
          <w:bCs/>
          <w:noProof/>
          <w:szCs w:val="24"/>
        </w:rPr>
        <w:t>338</w:t>
      </w:r>
      <w:r w:rsidRPr="00385161">
        <w:rPr>
          <w:noProof/>
          <w:szCs w:val="24"/>
        </w:rPr>
        <w:t>, a3045.</w:t>
      </w:r>
    </w:p>
    <w:p w14:paraId="5FA32DFE" w14:textId="77777777" w:rsidR="00385161" w:rsidRPr="00385161" w:rsidRDefault="00385161" w:rsidP="00385161">
      <w:pPr>
        <w:widowControl w:val="0"/>
        <w:autoSpaceDE w:val="0"/>
        <w:autoSpaceDN w:val="0"/>
        <w:adjustRightInd w:val="0"/>
        <w:rPr>
          <w:noProof/>
          <w:szCs w:val="24"/>
        </w:rPr>
      </w:pPr>
      <w:r w:rsidRPr="00385161">
        <w:rPr>
          <w:b/>
          <w:bCs/>
          <w:noProof/>
          <w:szCs w:val="24"/>
        </w:rPr>
        <w:t>Morrell CJ, Sutcliffe P, Booth A, Stevens J, Scope A, Stevenson M, Harvey R, Bessey A, Cantrell A, Dennis CL, Ren S, Ragonesi M, Barkham M, Churchill D, Henshaw C, Newstead J, Slade P, Spiby H, Stewart-Brown S</w:t>
      </w:r>
      <w:r w:rsidRPr="00385161">
        <w:rPr>
          <w:noProof/>
          <w:szCs w:val="24"/>
        </w:rPr>
        <w:t xml:space="preserve"> (2016). A systematic review, evidence synthesis and meta-analysis of quantitative and qualitative studies evaluating the clinical effectiveness, the cost-effectiveness, safety and acceptability of interventions to prevent </w:t>
      </w:r>
      <w:r w:rsidRPr="00385161">
        <w:rPr>
          <w:noProof/>
          <w:szCs w:val="24"/>
        </w:rPr>
        <w:lastRenderedPageBreak/>
        <w:t xml:space="preserve">postnatal depression. </w:t>
      </w:r>
      <w:r w:rsidRPr="00385161">
        <w:rPr>
          <w:i/>
          <w:iCs/>
          <w:noProof/>
          <w:szCs w:val="24"/>
        </w:rPr>
        <w:t>Health Technology Assessment</w:t>
      </w:r>
      <w:r w:rsidRPr="00385161">
        <w:rPr>
          <w:noProof/>
          <w:szCs w:val="24"/>
        </w:rPr>
        <w:t xml:space="preserve"> </w:t>
      </w:r>
      <w:r w:rsidRPr="00385161">
        <w:rPr>
          <w:b/>
          <w:bCs/>
          <w:noProof/>
          <w:szCs w:val="24"/>
        </w:rPr>
        <w:t>20</w:t>
      </w:r>
      <w:r w:rsidRPr="00385161">
        <w:rPr>
          <w:noProof/>
          <w:szCs w:val="24"/>
        </w:rPr>
        <w:t>, 1–414.</w:t>
      </w:r>
    </w:p>
    <w:p w14:paraId="1228527A" w14:textId="77777777" w:rsidR="00385161" w:rsidRPr="00385161" w:rsidRDefault="00385161" w:rsidP="00385161">
      <w:pPr>
        <w:widowControl w:val="0"/>
        <w:autoSpaceDE w:val="0"/>
        <w:autoSpaceDN w:val="0"/>
        <w:adjustRightInd w:val="0"/>
        <w:rPr>
          <w:noProof/>
          <w:szCs w:val="24"/>
        </w:rPr>
      </w:pPr>
      <w:r w:rsidRPr="00385161">
        <w:rPr>
          <w:b/>
          <w:bCs/>
          <w:noProof/>
          <w:szCs w:val="24"/>
        </w:rPr>
        <w:t>Morrell CJ, Warner R, Slade P, Dixon S, Walters S, Paley G, Brugha T</w:t>
      </w:r>
      <w:r w:rsidRPr="00385161">
        <w:rPr>
          <w:noProof/>
          <w:szCs w:val="24"/>
        </w:rPr>
        <w:t xml:space="preserve"> (2009b). Psychological interventions for postnatal depression: cluster randomised trial and economic evaluation. The PoNDER trial. </w:t>
      </w:r>
      <w:r w:rsidRPr="00385161">
        <w:rPr>
          <w:i/>
          <w:iCs/>
          <w:noProof/>
          <w:szCs w:val="24"/>
        </w:rPr>
        <w:t>Health Technol Assess</w:t>
      </w:r>
      <w:r w:rsidRPr="00385161">
        <w:rPr>
          <w:noProof/>
          <w:szCs w:val="24"/>
        </w:rPr>
        <w:t xml:space="preserve"> </w:t>
      </w:r>
      <w:r w:rsidRPr="00385161">
        <w:rPr>
          <w:b/>
          <w:bCs/>
          <w:noProof/>
          <w:szCs w:val="24"/>
        </w:rPr>
        <w:t>13</w:t>
      </w:r>
      <w:r w:rsidRPr="00385161">
        <w:rPr>
          <w:noProof/>
          <w:szCs w:val="24"/>
        </w:rPr>
        <w:t>, iii–iv, xi–xiii, 1-153.</w:t>
      </w:r>
    </w:p>
    <w:p w14:paraId="2FF0C6B2" w14:textId="77777777" w:rsidR="00385161" w:rsidRPr="00385161" w:rsidRDefault="00385161" w:rsidP="00385161">
      <w:pPr>
        <w:widowControl w:val="0"/>
        <w:autoSpaceDE w:val="0"/>
        <w:autoSpaceDN w:val="0"/>
        <w:adjustRightInd w:val="0"/>
        <w:rPr>
          <w:noProof/>
          <w:szCs w:val="24"/>
        </w:rPr>
      </w:pPr>
      <w:r w:rsidRPr="00385161">
        <w:rPr>
          <w:b/>
          <w:bCs/>
          <w:noProof/>
          <w:szCs w:val="24"/>
        </w:rPr>
        <w:t>National Institute for Clinical Excellence</w:t>
      </w:r>
      <w:r w:rsidRPr="00385161">
        <w:rPr>
          <w:noProof/>
          <w:szCs w:val="24"/>
        </w:rPr>
        <w:t xml:space="preserve"> (2004). </w:t>
      </w:r>
      <w:r w:rsidRPr="00385161">
        <w:rPr>
          <w:i/>
          <w:iCs/>
          <w:noProof/>
          <w:szCs w:val="24"/>
        </w:rPr>
        <w:t>Guide to The Methods of Technology Appraisal</w:t>
      </w:r>
      <w:r w:rsidRPr="00385161">
        <w:rPr>
          <w:noProof/>
          <w:szCs w:val="24"/>
        </w:rPr>
        <w:t>. National Institute for Clinical Excellence: London.</w:t>
      </w:r>
    </w:p>
    <w:p w14:paraId="4303733B" w14:textId="77777777" w:rsidR="00385161" w:rsidRPr="00385161" w:rsidRDefault="00385161" w:rsidP="00385161">
      <w:pPr>
        <w:widowControl w:val="0"/>
        <w:autoSpaceDE w:val="0"/>
        <w:autoSpaceDN w:val="0"/>
        <w:adjustRightInd w:val="0"/>
        <w:rPr>
          <w:noProof/>
          <w:szCs w:val="24"/>
        </w:rPr>
      </w:pPr>
      <w:r w:rsidRPr="00385161">
        <w:rPr>
          <w:b/>
          <w:bCs/>
          <w:noProof/>
          <w:szCs w:val="24"/>
        </w:rPr>
        <w:t>National Institute for Health and Care Excellence</w:t>
      </w:r>
      <w:r w:rsidRPr="00385161">
        <w:rPr>
          <w:noProof/>
          <w:szCs w:val="24"/>
        </w:rPr>
        <w:t xml:space="preserve"> (2013). </w:t>
      </w:r>
      <w:r w:rsidRPr="00385161">
        <w:rPr>
          <w:i/>
          <w:iCs/>
          <w:noProof/>
          <w:szCs w:val="24"/>
        </w:rPr>
        <w:t>Guide to The Methods of Technology Appraisal 2013</w:t>
      </w:r>
      <w:r w:rsidRPr="00385161">
        <w:rPr>
          <w:noProof/>
          <w:szCs w:val="24"/>
        </w:rPr>
        <w:t>. National Institute for Health and Care Excellence: London.</w:t>
      </w:r>
    </w:p>
    <w:p w14:paraId="76686CBB" w14:textId="77777777" w:rsidR="00385161" w:rsidRPr="00385161" w:rsidRDefault="00385161" w:rsidP="00385161">
      <w:pPr>
        <w:widowControl w:val="0"/>
        <w:autoSpaceDE w:val="0"/>
        <w:autoSpaceDN w:val="0"/>
        <w:adjustRightInd w:val="0"/>
        <w:rPr>
          <w:noProof/>
          <w:szCs w:val="24"/>
        </w:rPr>
      </w:pPr>
      <w:r w:rsidRPr="00385161">
        <w:rPr>
          <w:b/>
          <w:bCs/>
          <w:noProof/>
          <w:szCs w:val="24"/>
        </w:rPr>
        <w:t>National Institute for Health and Clinical Excellence</w:t>
      </w:r>
      <w:r w:rsidRPr="00385161">
        <w:rPr>
          <w:noProof/>
          <w:szCs w:val="24"/>
        </w:rPr>
        <w:t xml:space="preserve"> (2008). </w:t>
      </w:r>
      <w:r w:rsidRPr="00385161">
        <w:rPr>
          <w:i/>
          <w:iCs/>
          <w:noProof/>
          <w:szCs w:val="24"/>
        </w:rPr>
        <w:t>Guide to The Methods of Technology Appraisal</w:t>
      </w:r>
      <w:r w:rsidRPr="00385161">
        <w:rPr>
          <w:noProof/>
          <w:szCs w:val="24"/>
        </w:rPr>
        <w:t>. National Institute for Health and Clinical Excellence: London.</w:t>
      </w:r>
    </w:p>
    <w:p w14:paraId="1F203B05" w14:textId="77777777" w:rsidR="00385161" w:rsidRPr="00385161" w:rsidRDefault="00385161" w:rsidP="00385161">
      <w:pPr>
        <w:widowControl w:val="0"/>
        <w:autoSpaceDE w:val="0"/>
        <w:autoSpaceDN w:val="0"/>
        <w:adjustRightInd w:val="0"/>
        <w:rPr>
          <w:noProof/>
          <w:szCs w:val="24"/>
        </w:rPr>
      </w:pPr>
      <w:r w:rsidRPr="00385161">
        <w:rPr>
          <w:b/>
          <w:bCs/>
          <w:noProof/>
          <w:szCs w:val="24"/>
        </w:rPr>
        <w:t>Netten A, Curtis L</w:t>
      </w:r>
      <w:r w:rsidRPr="00385161">
        <w:rPr>
          <w:noProof/>
          <w:szCs w:val="24"/>
        </w:rPr>
        <w:t xml:space="preserve"> (2004). </w:t>
      </w:r>
      <w:r w:rsidRPr="00385161">
        <w:rPr>
          <w:i/>
          <w:iCs/>
          <w:noProof/>
          <w:szCs w:val="24"/>
        </w:rPr>
        <w:t>Unit Costs of Health and Social Care 2004</w:t>
      </w:r>
      <w:r w:rsidRPr="00385161">
        <w:rPr>
          <w:noProof/>
          <w:szCs w:val="24"/>
        </w:rPr>
        <w:t>. Personal Social Services Research Unit (PSSRU): University of Kent, Canterbury.</w:t>
      </w:r>
    </w:p>
    <w:p w14:paraId="3284F6AC" w14:textId="77777777" w:rsidR="00385161" w:rsidRPr="00385161" w:rsidRDefault="00385161" w:rsidP="00385161">
      <w:pPr>
        <w:widowControl w:val="0"/>
        <w:autoSpaceDE w:val="0"/>
        <w:autoSpaceDN w:val="0"/>
        <w:adjustRightInd w:val="0"/>
        <w:rPr>
          <w:noProof/>
          <w:szCs w:val="24"/>
        </w:rPr>
      </w:pPr>
      <w:r w:rsidRPr="00385161">
        <w:rPr>
          <w:b/>
          <w:bCs/>
          <w:noProof/>
          <w:szCs w:val="24"/>
        </w:rPr>
        <w:t>O’Connor E, Rossom RC, Henninger M, Groom HC, Burda BU</w:t>
      </w:r>
      <w:r w:rsidRPr="00385161">
        <w:rPr>
          <w:noProof/>
          <w:szCs w:val="24"/>
        </w:rPr>
        <w:t xml:space="preserve"> (2016). Primary Care Screening for and Treatment of Depression in Pregnant and Postpartum Women. . American Medical Association </w:t>
      </w:r>
      <w:r w:rsidRPr="00385161">
        <w:rPr>
          <w:i/>
          <w:iCs/>
          <w:noProof/>
          <w:szCs w:val="24"/>
        </w:rPr>
        <w:t>JAMA</w:t>
      </w:r>
      <w:r w:rsidRPr="00385161">
        <w:rPr>
          <w:noProof/>
          <w:szCs w:val="24"/>
        </w:rPr>
        <w:t xml:space="preserve"> </w:t>
      </w:r>
      <w:r w:rsidRPr="00385161">
        <w:rPr>
          <w:b/>
          <w:bCs/>
          <w:noProof/>
          <w:szCs w:val="24"/>
        </w:rPr>
        <w:t>315</w:t>
      </w:r>
      <w:r w:rsidRPr="00385161">
        <w:rPr>
          <w:noProof/>
          <w:szCs w:val="24"/>
        </w:rPr>
        <w:t>, 388.</w:t>
      </w:r>
    </w:p>
    <w:p w14:paraId="31F805BE" w14:textId="77777777" w:rsidR="00385161" w:rsidRPr="00385161" w:rsidRDefault="00385161" w:rsidP="00385161">
      <w:pPr>
        <w:widowControl w:val="0"/>
        <w:autoSpaceDE w:val="0"/>
        <w:autoSpaceDN w:val="0"/>
        <w:adjustRightInd w:val="0"/>
        <w:rPr>
          <w:noProof/>
          <w:szCs w:val="24"/>
        </w:rPr>
      </w:pPr>
      <w:r w:rsidRPr="00385161">
        <w:rPr>
          <w:b/>
          <w:bCs/>
          <w:noProof/>
          <w:szCs w:val="24"/>
        </w:rPr>
        <w:t>Panageas KS, Schrag D, Russell Localio A, Venkatraman ES, Begg CB</w:t>
      </w:r>
      <w:r w:rsidRPr="00385161">
        <w:rPr>
          <w:noProof/>
          <w:szCs w:val="24"/>
        </w:rPr>
        <w:t xml:space="preserve"> (2007). Properties of analysis methods that account for clustering in volume–outcome studies when the primary predictor is cluster size. </w:t>
      </w:r>
      <w:r w:rsidRPr="00385161">
        <w:rPr>
          <w:i/>
          <w:iCs/>
          <w:noProof/>
          <w:szCs w:val="24"/>
        </w:rPr>
        <w:t>Statistics in Medicine</w:t>
      </w:r>
      <w:r w:rsidRPr="00385161">
        <w:rPr>
          <w:noProof/>
          <w:szCs w:val="24"/>
        </w:rPr>
        <w:t xml:space="preserve"> </w:t>
      </w:r>
      <w:r w:rsidRPr="00385161">
        <w:rPr>
          <w:b/>
          <w:bCs/>
          <w:noProof/>
          <w:szCs w:val="24"/>
        </w:rPr>
        <w:t>26</w:t>
      </w:r>
      <w:r w:rsidRPr="00385161">
        <w:rPr>
          <w:noProof/>
          <w:szCs w:val="24"/>
        </w:rPr>
        <w:t>, 2017–2035.</w:t>
      </w:r>
    </w:p>
    <w:p w14:paraId="13011B06" w14:textId="77777777" w:rsidR="00385161" w:rsidRPr="00385161" w:rsidRDefault="00385161" w:rsidP="00385161">
      <w:pPr>
        <w:widowControl w:val="0"/>
        <w:autoSpaceDE w:val="0"/>
        <w:autoSpaceDN w:val="0"/>
        <w:adjustRightInd w:val="0"/>
        <w:rPr>
          <w:noProof/>
          <w:szCs w:val="24"/>
        </w:rPr>
      </w:pPr>
      <w:r w:rsidRPr="00385161">
        <w:rPr>
          <w:b/>
          <w:bCs/>
          <w:noProof/>
          <w:szCs w:val="24"/>
        </w:rPr>
        <w:t>Petrou S, Morrell J, Spiby H</w:t>
      </w:r>
      <w:r w:rsidRPr="00385161">
        <w:rPr>
          <w:noProof/>
          <w:szCs w:val="24"/>
        </w:rPr>
        <w:t xml:space="preserve"> (2009). Assessing the empirical validity of alternative multi-attribute utility measures in the maternity context. </w:t>
      </w:r>
      <w:r w:rsidRPr="00385161">
        <w:rPr>
          <w:i/>
          <w:iCs/>
          <w:noProof/>
          <w:szCs w:val="24"/>
        </w:rPr>
        <w:t>Health and Quality of Life Outcomes</w:t>
      </w:r>
      <w:r w:rsidRPr="00385161">
        <w:rPr>
          <w:noProof/>
          <w:szCs w:val="24"/>
        </w:rPr>
        <w:t xml:space="preserve"> </w:t>
      </w:r>
      <w:r w:rsidRPr="00385161">
        <w:rPr>
          <w:b/>
          <w:bCs/>
          <w:noProof/>
          <w:szCs w:val="24"/>
        </w:rPr>
        <w:t>7</w:t>
      </w:r>
      <w:r w:rsidRPr="00385161">
        <w:rPr>
          <w:noProof/>
          <w:szCs w:val="24"/>
        </w:rPr>
        <w:t>, 40.</w:t>
      </w:r>
    </w:p>
    <w:p w14:paraId="2C767638" w14:textId="77777777" w:rsidR="00385161" w:rsidRPr="00385161" w:rsidRDefault="00385161" w:rsidP="00385161">
      <w:pPr>
        <w:widowControl w:val="0"/>
        <w:autoSpaceDE w:val="0"/>
        <w:autoSpaceDN w:val="0"/>
        <w:adjustRightInd w:val="0"/>
        <w:rPr>
          <w:noProof/>
          <w:szCs w:val="24"/>
        </w:rPr>
      </w:pPr>
      <w:r w:rsidRPr="00385161">
        <w:rPr>
          <w:b/>
          <w:bCs/>
          <w:noProof/>
          <w:szCs w:val="24"/>
        </w:rPr>
        <w:t>Prady SL, Pickett KE, Petherick ES, Gilbody S, Croudace T, Mason D, Sheldon TA, Wright J</w:t>
      </w:r>
      <w:r w:rsidRPr="00385161">
        <w:rPr>
          <w:noProof/>
          <w:szCs w:val="24"/>
        </w:rPr>
        <w:t xml:space="preserve"> (2016). Evaluation of ethnic disparities in detection of depression and anxiety in primary care during the maternal period: Combined analysis of routine and cohort data. </w:t>
      </w:r>
      <w:r w:rsidRPr="00385161">
        <w:rPr>
          <w:i/>
          <w:iCs/>
          <w:noProof/>
          <w:szCs w:val="24"/>
        </w:rPr>
        <w:t>British Journal of Psychiatry</w:t>
      </w:r>
      <w:r w:rsidRPr="00385161">
        <w:rPr>
          <w:noProof/>
          <w:szCs w:val="24"/>
        </w:rPr>
        <w:t xml:space="preserve"> </w:t>
      </w:r>
      <w:r w:rsidRPr="00385161">
        <w:rPr>
          <w:b/>
          <w:bCs/>
          <w:noProof/>
          <w:szCs w:val="24"/>
        </w:rPr>
        <w:t>208</w:t>
      </w:r>
      <w:r w:rsidRPr="00385161">
        <w:rPr>
          <w:noProof/>
          <w:szCs w:val="24"/>
        </w:rPr>
        <w:t>, 453–461.</w:t>
      </w:r>
    </w:p>
    <w:p w14:paraId="57A20F4B" w14:textId="77777777" w:rsidR="00385161" w:rsidRPr="00385161" w:rsidRDefault="00385161" w:rsidP="00385161">
      <w:pPr>
        <w:widowControl w:val="0"/>
        <w:autoSpaceDE w:val="0"/>
        <w:autoSpaceDN w:val="0"/>
        <w:adjustRightInd w:val="0"/>
        <w:rPr>
          <w:noProof/>
          <w:szCs w:val="24"/>
        </w:rPr>
      </w:pPr>
      <w:r w:rsidRPr="00385161">
        <w:rPr>
          <w:b/>
          <w:bCs/>
          <w:noProof/>
          <w:szCs w:val="24"/>
        </w:rPr>
        <w:t>R Core Team</w:t>
      </w:r>
      <w:r w:rsidRPr="00385161">
        <w:rPr>
          <w:noProof/>
          <w:szCs w:val="24"/>
        </w:rPr>
        <w:t xml:space="preserve"> (2016). </w:t>
      </w:r>
      <w:r w:rsidRPr="00385161">
        <w:rPr>
          <w:i/>
          <w:iCs/>
          <w:noProof/>
          <w:szCs w:val="24"/>
        </w:rPr>
        <w:t>R: A language and environment for statistical computing</w:t>
      </w:r>
      <w:r w:rsidRPr="00385161">
        <w:rPr>
          <w:noProof/>
          <w:szCs w:val="24"/>
        </w:rPr>
        <w:t>. . R Foundation for Statistical Computing: Vienna, Austria</w:t>
      </w:r>
    </w:p>
    <w:p w14:paraId="7F319EFD" w14:textId="77777777" w:rsidR="00385161" w:rsidRPr="00385161" w:rsidRDefault="00385161" w:rsidP="00385161">
      <w:pPr>
        <w:widowControl w:val="0"/>
        <w:autoSpaceDE w:val="0"/>
        <w:autoSpaceDN w:val="0"/>
        <w:adjustRightInd w:val="0"/>
        <w:rPr>
          <w:noProof/>
          <w:szCs w:val="24"/>
        </w:rPr>
      </w:pPr>
      <w:r w:rsidRPr="00385161">
        <w:rPr>
          <w:b/>
          <w:bCs/>
          <w:noProof/>
          <w:szCs w:val="24"/>
        </w:rPr>
        <w:t>Ramsey SD, Willke RJ, Glick H, Reed SD, Augustovski F, Jonsson B, Briggs A, Sullivan SD</w:t>
      </w:r>
      <w:r w:rsidRPr="00385161">
        <w:rPr>
          <w:noProof/>
          <w:szCs w:val="24"/>
        </w:rPr>
        <w:t xml:space="preserve"> (2015). Cost-Effectiveness Analysis Alongside Clinical Trials II—An ISPOR Good Research Practices Task Force Report. </w:t>
      </w:r>
      <w:r w:rsidRPr="00385161">
        <w:rPr>
          <w:i/>
          <w:iCs/>
          <w:noProof/>
          <w:szCs w:val="24"/>
        </w:rPr>
        <w:t>Value in Health</w:t>
      </w:r>
      <w:r w:rsidRPr="00385161">
        <w:rPr>
          <w:noProof/>
          <w:szCs w:val="24"/>
        </w:rPr>
        <w:t xml:space="preserve"> </w:t>
      </w:r>
      <w:r w:rsidRPr="00385161">
        <w:rPr>
          <w:b/>
          <w:bCs/>
          <w:noProof/>
          <w:szCs w:val="24"/>
        </w:rPr>
        <w:t>18</w:t>
      </w:r>
      <w:r w:rsidRPr="00385161">
        <w:rPr>
          <w:noProof/>
          <w:szCs w:val="24"/>
        </w:rPr>
        <w:t>, 161–172.</w:t>
      </w:r>
    </w:p>
    <w:p w14:paraId="2DAD3B95" w14:textId="77777777" w:rsidR="00385161" w:rsidRPr="00385161" w:rsidRDefault="00385161" w:rsidP="00385161">
      <w:pPr>
        <w:widowControl w:val="0"/>
        <w:autoSpaceDE w:val="0"/>
        <w:autoSpaceDN w:val="0"/>
        <w:adjustRightInd w:val="0"/>
        <w:rPr>
          <w:noProof/>
          <w:szCs w:val="24"/>
        </w:rPr>
      </w:pPr>
      <w:r w:rsidRPr="00385161">
        <w:rPr>
          <w:b/>
          <w:bCs/>
          <w:noProof/>
          <w:szCs w:val="24"/>
        </w:rPr>
        <w:t>Reay R, Matthey S, Ellwood D, Scott M</w:t>
      </w:r>
      <w:r w:rsidRPr="00385161">
        <w:rPr>
          <w:noProof/>
          <w:szCs w:val="24"/>
        </w:rPr>
        <w:t xml:space="preserve"> (2011). Long-term outcomes of participants in a perinatal depression early detection program. </w:t>
      </w:r>
      <w:r w:rsidRPr="00385161">
        <w:rPr>
          <w:i/>
          <w:iCs/>
          <w:noProof/>
          <w:szCs w:val="24"/>
        </w:rPr>
        <w:t>Journal of Affective Disorders</w:t>
      </w:r>
      <w:r w:rsidRPr="00385161">
        <w:rPr>
          <w:noProof/>
          <w:szCs w:val="24"/>
        </w:rPr>
        <w:t xml:space="preserve"> </w:t>
      </w:r>
      <w:r w:rsidRPr="00385161">
        <w:rPr>
          <w:b/>
          <w:bCs/>
          <w:noProof/>
          <w:szCs w:val="24"/>
        </w:rPr>
        <w:t>129</w:t>
      </w:r>
      <w:r w:rsidRPr="00385161">
        <w:rPr>
          <w:noProof/>
          <w:szCs w:val="24"/>
        </w:rPr>
        <w:t>, 94–103.</w:t>
      </w:r>
    </w:p>
    <w:p w14:paraId="69D39DB7" w14:textId="77777777" w:rsidR="00385161" w:rsidRPr="00385161" w:rsidRDefault="00385161" w:rsidP="00385161">
      <w:pPr>
        <w:widowControl w:val="0"/>
        <w:autoSpaceDE w:val="0"/>
        <w:autoSpaceDN w:val="0"/>
        <w:adjustRightInd w:val="0"/>
        <w:rPr>
          <w:noProof/>
          <w:szCs w:val="24"/>
        </w:rPr>
      </w:pPr>
      <w:r w:rsidRPr="00385161">
        <w:rPr>
          <w:b/>
          <w:bCs/>
          <w:noProof/>
          <w:szCs w:val="24"/>
        </w:rPr>
        <w:t>Robitzsch A, Grund S, Henke T</w:t>
      </w:r>
      <w:r w:rsidRPr="00385161">
        <w:rPr>
          <w:noProof/>
          <w:szCs w:val="24"/>
        </w:rPr>
        <w:t xml:space="preserve"> (2016). </w:t>
      </w:r>
      <w:r w:rsidRPr="00385161">
        <w:rPr>
          <w:i/>
          <w:iCs/>
          <w:noProof/>
          <w:szCs w:val="24"/>
        </w:rPr>
        <w:t>Some additional multiple imputation functions, especially for mice (Version 2.1-0)</w:t>
      </w:r>
    </w:p>
    <w:p w14:paraId="76566678" w14:textId="77777777" w:rsidR="00385161" w:rsidRPr="00385161" w:rsidRDefault="00385161" w:rsidP="00385161">
      <w:pPr>
        <w:widowControl w:val="0"/>
        <w:autoSpaceDE w:val="0"/>
        <w:autoSpaceDN w:val="0"/>
        <w:adjustRightInd w:val="0"/>
        <w:rPr>
          <w:noProof/>
          <w:szCs w:val="24"/>
        </w:rPr>
      </w:pPr>
      <w:r w:rsidRPr="00385161">
        <w:rPr>
          <w:b/>
          <w:bCs/>
          <w:noProof/>
          <w:szCs w:val="24"/>
        </w:rPr>
        <w:t>Rubin DB</w:t>
      </w:r>
      <w:r w:rsidRPr="00385161">
        <w:rPr>
          <w:noProof/>
          <w:szCs w:val="24"/>
        </w:rPr>
        <w:t xml:space="preserve"> (1987). </w:t>
      </w:r>
      <w:r w:rsidRPr="00385161">
        <w:rPr>
          <w:i/>
          <w:iCs/>
          <w:noProof/>
          <w:szCs w:val="24"/>
        </w:rPr>
        <w:t>Multiple imputation for nonresponse in surveys</w:t>
      </w:r>
      <w:r w:rsidRPr="00385161">
        <w:rPr>
          <w:noProof/>
          <w:szCs w:val="24"/>
        </w:rPr>
        <w:t xml:space="preserve">. Wiley: New York; </w:t>
      </w:r>
      <w:r w:rsidRPr="00385161">
        <w:rPr>
          <w:noProof/>
          <w:szCs w:val="24"/>
        </w:rPr>
        <w:lastRenderedPageBreak/>
        <w:t>Chichester.</w:t>
      </w:r>
    </w:p>
    <w:p w14:paraId="6BA6067F" w14:textId="77777777" w:rsidR="00385161" w:rsidRPr="00385161" w:rsidRDefault="00385161" w:rsidP="00385161">
      <w:pPr>
        <w:widowControl w:val="0"/>
        <w:autoSpaceDE w:val="0"/>
        <w:autoSpaceDN w:val="0"/>
        <w:adjustRightInd w:val="0"/>
        <w:rPr>
          <w:noProof/>
          <w:szCs w:val="24"/>
        </w:rPr>
      </w:pPr>
      <w:r w:rsidRPr="00385161">
        <w:rPr>
          <w:b/>
          <w:bCs/>
          <w:noProof/>
          <w:szCs w:val="24"/>
        </w:rPr>
        <w:t>Slade P, Morrell CJ, Rigby A, Slade P, Morrell CJ, Rigby A, Ricci K</w:t>
      </w:r>
      <w:r w:rsidRPr="00385161">
        <w:rPr>
          <w:noProof/>
          <w:szCs w:val="24"/>
        </w:rPr>
        <w:t xml:space="preserve"> (2010). Postnatal women’ s experiences of management of depressive symptoms: a qualitative study. </w:t>
      </w:r>
      <w:r w:rsidRPr="00385161">
        <w:rPr>
          <w:i/>
          <w:iCs/>
          <w:noProof/>
          <w:szCs w:val="24"/>
        </w:rPr>
        <w:t>The British journal of general practice: the journal of the Royal College of General Practitioners</w:t>
      </w:r>
      <w:r w:rsidRPr="00385161">
        <w:rPr>
          <w:noProof/>
          <w:szCs w:val="24"/>
        </w:rPr>
        <w:t xml:space="preserve"> </w:t>
      </w:r>
      <w:r w:rsidRPr="00385161">
        <w:rPr>
          <w:b/>
          <w:bCs/>
          <w:noProof/>
          <w:szCs w:val="24"/>
        </w:rPr>
        <w:t>60</w:t>
      </w:r>
      <w:r w:rsidRPr="00385161">
        <w:rPr>
          <w:noProof/>
          <w:szCs w:val="24"/>
        </w:rPr>
        <w:t>, 440–448.</w:t>
      </w:r>
    </w:p>
    <w:p w14:paraId="5B542E8C" w14:textId="77777777" w:rsidR="00385161" w:rsidRPr="00385161" w:rsidRDefault="00385161" w:rsidP="00385161">
      <w:pPr>
        <w:widowControl w:val="0"/>
        <w:autoSpaceDE w:val="0"/>
        <w:autoSpaceDN w:val="0"/>
        <w:adjustRightInd w:val="0"/>
        <w:rPr>
          <w:noProof/>
          <w:szCs w:val="24"/>
        </w:rPr>
      </w:pPr>
      <w:r w:rsidRPr="00385161">
        <w:rPr>
          <w:b/>
          <w:bCs/>
          <w:noProof/>
          <w:szCs w:val="24"/>
        </w:rPr>
        <w:t>Songoygard KM, Stafne SN, Evensen KA, Salvesen KA, Vik T, Morkved S</w:t>
      </w:r>
      <w:r w:rsidRPr="00385161">
        <w:rPr>
          <w:noProof/>
          <w:szCs w:val="24"/>
        </w:rPr>
        <w:t xml:space="preserve"> (2012). Does exercise during pregnancy prevent postnatal depression? A randomized controlled trial. </w:t>
      </w:r>
      <w:r w:rsidRPr="00385161">
        <w:rPr>
          <w:i/>
          <w:iCs/>
          <w:noProof/>
          <w:szCs w:val="24"/>
        </w:rPr>
        <w:t>Acta Obstet Gynecol Scand</w:t>
      </w:r>
      <w:r w:rsidRPr="00385161">
        <w:rPr>
          <w:noProof/>
          <w:szCs w:val="24"/>
        </w:rPr>
        <w:t xml:space="preserve"> </w:t>
      </w:r>
      <w:r w:rsidRPr="00385161">
        <w:rPr>
          <w:b/>
          <w:bCs/>
          <w:noProof/>
          <w:szCs w:val="24"/>
        </w:rPr>
        <w:t>91</w:t>
      </w:r>
      <w:r w:rsidRPr="00385161">
        <w:rPr>
          <w:noProof/>
          <w:szCs w:val="24"/>
        </w:rPr>
        <w:t>, 62–67.</w:t>
      </w:r>
    </w:p>
    <w:p w14:paraId="478A86CD" w14:textId="77777777" w:rsidR="00385161" w:rsidRPr="00385161" w:rsidRDefault="00385161" w:rsidP="00385161">
      <w:pPr>
        <w:widowControl w:val="0"/>
        <w:autoSpaceDE w:val="0"/>
        <w:autoSpaceDN w:val="0"/>
        <w:adjustRightInd w:val="0"/>
        <w:rPr>
          <w:noProof/>
          <w:szCs w:val="24"/>
        </w:rPr>
      </w:pPr>
      <w:r w:rsidRPr="00385161">
        <w:rPr>
          <w:b/>
          <w:bCs/>
          <w:noProof/>
          <w:szCs w:val="24"/>
        </w:rPr>
        <w:t>StataCorp</w:t>
      </w:r>
      <w:r w:rsidRPr="00385161">
        <w:rPr>
          <w:noProof/>
          <w:szCs w:val="24"/>
        </w:rPr>
        <w:t xml:space="preserve"> (2015). </w:t>
      </w:r>
      <w:r w:rsidRPr="00385161">
        <w:rPr>
          <w:i/>
          <w:iCs/>
          <w:noProof/>
          <w:szCs w:val="24"/>
        </w:rPr>
        <w:t>Stata Statistical Software: Release 14 SE</w:t>
      </w:r>
      <w:r w:rsidRPr="00385161">
        <w:rPr>
          <w:noProof/>
          <w:szCs w:val="24"/>
        </w:rPr>
        <w:t>. . StataCorp LP: College Station,Texas</w:t>
      </w:r>
    </w:p>
    <w:p w14:paraId="28624D6D" w14:textId="77777777" w:rsidR="00385161" w:rsidRPr="00385161" w:rsidRDefault="00385161" w:rsidP="00385161">
      <w:pPr>
        <w:widowControl w:val="0"/>
        <w:autoSpaceDE w:val="0"/>
        <w:autoSpaceDN w:val="0"/>
        <w:adjustRightInd w:val="0"/>
        <w:rPr>
          <w:noProof/>
          <w:szCs w:val="24"/>
        </w:rPr>
      </w:pPr>
      <w:r w:rsidRPr="00385161">
        <w:rPr>
          <w:b/>
          <w:bCs/>
          <w:noProof/>
          <w:szCs w:val="24"/>
        </w:rPr>
        <w:t>Thomas CM, Morris S</w:t>
      </w:r>
      <w:r w:rsidRPr="00385161">
        <w:rPr>
          <w:noProof/>
          <w:szCs w:val="24"/>
        </w:rPr>
        <w:t xml:space="preserve"> (2003). Cost of depression among adults in England in 2000. </w:t>
      </w:r>
      <w:r w:rsidRPr="00385161">
        <w:rPr>
          <w:i/>
          <w:iCs/>
          <w:noProof/>
          <w:szCs w:val="24"/>
        </w:rPr>
        <w:t>British Journal of Psychiatry</w:t>
      </w:r>
      <w:r w:rsidRPr="00385161">
        <w:rPr>
          <w:noProof/>
          <w:szCs w:val="24"/>
        </w:rPr>
        <w:t xml:space="preserve"> </w:t>
      </w:r>
      <w:r w:rsidRPr="00385161">
        <w:rPr>
          <w:b/>
          <w:bCs/>
          <w:noProof/>
          <w:szCs w:val="24"/>
        </w:rPr>
        <w:t>183</w:t>
      </w:r>
      <w:r w:rsidRPr="00385161">
        <w:rPr>
          <w:noProof/>
          <w:szCs w:val="24"/>
        </w:rPr>
        <w:t>, 514–519.</w:t>
      </w:r>
    </w:p>
    <w:p w14:paraId="5E41181A" w14:textId="77777777" w:rsidR="00385161" w:rsidRPr="00385161" w:rsidRDefault="00385161" w:rsidP="00385161">
      <w:pPr>
        <w:widowControl w:val="0"/>
        <w:autoSpaceDE w:val="0"/>
        <w:autoSpaceDN w:val="0"/>
        <w:adjustRightInd w:val="0"/>
        <w:rPr>
          <w:noProof/>
        </w:rPr>
      </w:pPr>
      <w:r w:rsidRPr="00385161">
        <w:rPr>
          <w:b/>
          <w:bCs/>
          <w:noProof/>
          <w:szCs w:val="24"/>
        </w:rPr>
        <w:t>Ukoumunne OC</w:t>
      </w:r>
      <w:r w:rsidRPr="00385161">
        <w:rPr>
          <w:noProof/>
          <w:szCs w:val="24"/>
        </w:rPr>
        <w:t xml:space="preserve"> (2002). A comparison of confidence interval methods for the intraclass correlation coefficient in cluster randomized trials. </w:t>
      </w:r>
      <w:r w:rsidRPr="00385161">
        <w:rPr>
          <w:i/>
          <w:iCs/>
          <w:noProof/>
          <w:szCs w:val="24"/>
        </w:rPr>
        <w:t>Statistics in Medicine</w:t>
      </w:r>
      <w:r w:rsidRPr="00385161">
        <w:rPr>
          <w:noProof/>
          <w:szCs w:val="24"/>
        </w:rPr>
        <w:t xml:space="preserve"> </w:t>
      </w:r>
      <w:r w:rsidRPr="00385161">
        <w:rPr>
          <w:b/>
          <w:bCs/>
          <w:noProof/>
          <w:szCs w:val="24"/>
        </w:rPr>
        <w:t>21</w:t>
      </w:r>
      <w:r w:rsidRPr="00385161">
        <w:rPr>
          <w:noProof/>
          <w:szCs w:val="24"/>
        </w:rPr>
        <w:t>, 3757–3774.</w:t>
      </w:r>
    </w:p>
    <w:p w14:paraId="5748775E" w14:textId="3F7B6839" w:rsidR="00EB668A" w:rsidRPr="00E51082" w:rsidRDefault="00485779" w:rsidP="00CE2F0A">
      <w:pPr>
        <w:widowControl w:val="0"/>
        <w:autoSpaceDE w:val="0"/>
        <w:autoSpaceDN w:val="0"/>
        <w:adjustRightInd w:val="0"/>
        <w:rPr>
          <w:szCs w:val="24"/>
        </w:rPr>
      </w:pPr>
      <w:r w:rsidRPr="00E51082">
        <w:rPr>
          <w:szCs w:val="24"/>
        </w:rPr>
        <w:fldChar w:fldCharType="end"/>
      </w:r>
      <w:r w:rsidR="00EB668A" w:rsidRPr="00E51082">
        <w:rPr>
          <w:szCs w:val="24"/>
        </w:rPr>
        <w:br w:type="page"/>
      </w:r>
    </w:p>
    <w:p w14:paraId="7DA46E16" w14:textId="1B5BE6D3" w:rsidR="00FE1663" w:rsidRPr="00A13075" w:rsidRDefault="00FE1663" w:rsidP="00A13075">
      <w:pPr>
        <w:pStyle w:val="Heading1"/>
      </w:pPr>
      <w:r w:rsidRPr="00A13075">
        <w:lastRenderedPageBreak/>
        <w:t>T</w:t>
      </w:r>
      <w:r w:rsidR="00E51082" w:rsidRPr="00A13075">
        <w:t>ables</w:t>
      </w:r>
    </w:p>
    <w:p w14:paraId="77FA30F2" w14:textId="6A1A5E89" w:rsidR="00FE1663" w:rsidRPr="00E51082" w:rsidRDefault="00FE1663" w:rsidP="00FE1663">
      <w:pPr>
        <w:spacing w:after="120"/>
        <w:rPr>
          <w:szCs w:val="24"/>
        </w:rPr>
      </w:pPr>
      <w:bookmarkStart w:id="1" w:name="_Ref452720024"/>
      <w:r w:rsidRPr="00A13075">
        <w:rPr>
          <w:b/>
          <w:szCs w:val="24"/>
        </w:rPr>
        <w:t xml:space="preserve">Table </w:t>
      </w:r>
      <w:r w:rsidRPr="00A13075">
        <w:rPr>
          <w:b/>
          <w:szCs w:val="24"/>
        </w:rPr>
        <w:fldChar w:fldCharType="begin"/>
      </w:r>
      <w:r w:rsidRPr="00A13075">
        <w:rPr>
          <w:b/>
          <w:szCs w:val="24"/>
        </w:rPr>
        <w:instrText xml:space="preserve"> SEQ Table \* ARABIC </w:instrText>
      </w:r>
      <w:r w:rsidRPr="00A13075">
        <w:rPr>
          <w:b/>
          <w:szCs w:val="24"/>
        </w:rPr>
        <w:fldChar w:fldCharType="separate"/>
      </w:r>
      <w:r w:rsidRPr="00A13075">
        <w:rPr>
          <w:b/>
          <w:noProof/>
          <w:szCs w:val="24"/>
        </w:rPr>
        <w:t>1</w:t>
      </w:r>
      <w:r w:rsidRPr="00A13075">
        <w:rPr>
          <w:b/>
          <w:szCs w:val="24"/>
        </w:rPr>
        <w:fldChar w:fldCharType="end"/>
      </w:r>
      <w:bookmarkEnd w:id="1"/>
      <w:r w:rsidR="00A13075" w:rsidRPr="00A13075">
        <w:rPr>
          <w:b/>
          <w:szCs w:val="24"/>
        </w:rPr>
        <w:t>.</w:t>
      </w:r>
      <w:r w:rsidRPr="00E51082">
        <w:rPr>
          <w:szCs w:val="24"/>
        </w:rPr>
        <w:t xml:space="preserve"> Unit costs of resources used</w:t>
      </w:r>
    </w:p>
    <w:tbl>
      <w:tblPr>
        <w:tblW w:w="5000" w:type="pct"/>
        <w:tblLayout w:type="fixed"/>
        <w:tblLook w:val="00A0" w:firstRow="1" w:lastRow="0" w:firstColumn="1" w:lastColumn="0" w:noHBand="0" w:noVBand="0"/>
      </w:tblPr>
      <w:tblGrid>
        <w:gridCol w:w="3583"/>
        <w:gridCol w:w="2008"/>
        <w:gridCol w:w="3479"/>
      </w:tblGrid>
      <w:tr w:rsidR="00E51082" w:rsidRPr="00E51082" w14:paraId="20E69F4D" w14:textId="77777777" w:rsidTr="00ED75E9">
        <w:tc>
          <w:tcPr>
            <w:tcW w:w="1975" w:type="pct"/>
            <w:tcBorders>
              <w:top w:val="single" w:sz="4" w:space="0" w:color="auto"/>
              <w:bottom w:val="single" w:sz="4" w:space="0" w:color="auto"/>
            </w:tcBorders>
          </w:tcPr>
          <w:p w14:paraId="5434B025" w14:textId="77777777" w:rsidR="00FE1663" w:rsidRPr="00E51082" w:rsidRDefault="00FE1663" w:rsidP="00A13075">
            <w:pPr>
              <w:framePr w:hSpace="180" w:wrap="around" w:vAnchor="text" w:hAnchor="text" w:y="1"/>
              <w:spacing w:line="240" w:lineRule="auto"/>
              <w:rPr>
                <w:szCs w:val="24"/>
              </w:rPr>
            </w:pPr>
            <w:r w:rsidRPr="00E51082">
              <w:rPr>
                <w:szCs w:val="24"/>
              </w:rPr>
              <w:t>Resource</w:t>
            </w:r>
          </w:p>
        </w:tc>
        <w:tc>
          <w:tcPr>
            <w:tcW w:w="1107" w:type="pct"/>
            <w:tcBorders>
              <w:top w:val="single" w:sz="4" w:space="0" w:color="auto"/>
              <w:bottom w:val="single" w:sz="4" w:space="0" w:color="auto"/>
            </w:tcBorders>
          </w:tcPr>
          <w:p w14:paraId="04565B94" w14:textId="77777777" w:rsidR="00FE1663" w:rsidRPr="00E51082" w:rsidRDefault="00FE1663" w:rsidP="00A13075">
            <w:pPr>
              <w:framePr w:hSpace="180" w:wrap="around" w:vAnchor="text" w:hAnchor="text" w:y="1"/>
              <w:spacing w:line="240" w:lineRule="auto"/>
              <w:jc w:val="center"/>
              <w:rPr>
                <w:szCs w:val="24"/>
              </w:rPr>
            </w:pPr>
            <w:r w:rsidRPr="00E51082">
              <w:rPr>
                <w:szCs w:val="24"/>
              </w:rPr>
              <w:t>Unit cost</w:t>
            </w:r>
          </w:p>
          <w:p w14:paraId="0003F1F8" w14:textId="77777777" w:rsidR="00FE1663" w:rsidRPr="00E51082" w:rsidRDefault="00FE1663" w:rsidP="00A13075">
            <w:pPr>
              <w:framePr w:hSpace="180" w:wrap="around" w:vAnchor="text" w:hAnchor="text" w:y="1"/>
              <w:spacing w:line="240" w:lineRule="auto"/>
              <w:jc w:val="center"/>
              <w:rPr>
                <w:szCs w:val="24"/>
              </w:rPr>
            </w:pPr>
            <w:r w:rsidRPr="00E51082">
              <w:rPr>
                <w:szCs w:val="24"/>
              </w:rPr>
              <w:t>(£s</w:t>
            </w:r>
          </w:p>
          <w:p w14:paraId="32666939" w14:textId="77777777" w:rsidR="00FE1663" w:rsidRPr="00E51082" w:rsidRDefault="00FE1663" w:rsidP="00A13075">
            <w:pPr>
              <w:framePr w:hSpace="180" w:wrap="around" w:vAnchor="text" w:hAnchor="text" w:y="1"/>
              <w:spacing w:line="240" w:lineRule="auto"/>
              <w:jc w:val="center"/>
              <w:rPr>
                <w:szCs w:val="24"/>
              </w:rPr>
            </w:pPr>
            <w:r w:rsidRPr="00E51082">
              <w:rPr>
                <w:szCs w:val="24"/>
              </w:rPr>
              <w:t>2003/4)</w:t>
            </w:r>
          </w:p>
        </w:tc>
        <w:tc>
          <w:tcPr>
            <w:tcW w:w="1918" w:type="pct"/>
            <w:tcBorders>
              <w:top w:val="single" w:sz="4" w:space="0" w:color="auto"/>
              <w:bottom w:val="single" w:sz="4" w:space="0" w:color="auto"/>
            </w:tcBorders>
          </w:tcPr>
          <w:p w14:paraId="1DDF770B" w14:textId="77777777" w:rsidR="00FE1663" w:rsidRPr="00E51082" w:rsidRDefault="00FE1663" w:rsidP="00A13075">
            <w:pPr>
              <w:framePr w:hSpace="180" w:wrap="around" w:vAnchor="text" w:hAnchor="text" w:y="1"/>
              <w:spacing w:line="240" w:lineRule="auto"/>
              <w:rPr>
                <w:szCs w:val="24"/>
              </w:rPr>
            </w:pPr>
            <w:r w:rsidRPr="00E51082">
              <w:rPr>
                <w:szCs w:val="24"/>
              </w:rPr>
              <w:t>Source</w:t>
            </w:r>
          </w:p>
        </w:tc>
      </w:tr>
      <w:tr w:rsidR="00E51082" w:rsidRPr="00E51082" w14:paraId="23B8555F" w14:textId="77777777" w:rsidTr="00ED75E9">
        <w:tc>
          <w:tcPr>
            <w:tcW w:w="1975" w:type="pct"/>
            <w:tcBorders>
              <w:top w:val="single" w:sz="4" w:space="0" w:color="auto"/>
            </w:tcBorders>
          </w:tcPr>
          <w:p w14:paraId="4A7A14F1" w14:textId="77777777" w:rsidR="00FE1663" w:rsidRPr="00E51082" w:rsidRDefault="00FE1663" w:rsidP="00A13075">
            <w:pPr>
              <w:framePr w:hSpace="180" w:wrap="around" w:vAnchor="text" w:hAnchor="text" w:y="1"/>
              <w:spacing w:line="240" w:lineRule="auto"/>
              <w:rPr>
                <w:szCs w:val="24"/>
              </w:rPr>
            </w:pPr>
            <w:r w:rsidRPr="00E51082">
              <w:rPr>
                <w:szCs w:val="24"/>
              </w:rPr>
              <w:t>HV hour of client contact without CBA/PCA training</w:t>
            </w:r>
          </w:p>
        </w:tc>
        <w:tc>
          <w:tcPr>
            <w:tcW w:w="1107" w:type="pct"/>
            <w:tcBorders>
              <w:top w:val="single" w:sz="4" w:space="0" w:color="auto"/>
            </w:tcBorders>
          </w:tcPr>
          <w:p w14:paraId="48823A14" w14:textId="77777777" w:rsidR="00FE1663" w:rsidRPr="00E51082" w:rsidRDefault="00FE1663" w:rsidP="00A13075">
            <w:pPr>
              <w:framePr w:hSpace="180" w:wrap="around" w:vAnchor="text" w:hAnchor="text" w:y="1"/>
              <w:spacing w:line="240" w:lineRule="auto"/>
              <w:jc w:val="center"/>
              <w:rPr>
                <w:szCs w:val="24"/>
              </w:rPr>
            </w:pPr>
            <w:r w:rsidRPr="00E51082">
              <w:rPr>
                <w:szCs w:val="24"/>
              </w:rPr>
              <w:t>77</w:t>
            </w:r>
          </w:p>
        </w:tc>
        <w:tc>
          <w:tcPr>
            <w:tcW w:w="1918" w:type="pct"/>
            <w:tcBorders>
              <w:top w:val="single" w:sz="4" w:space="0" w:color="auto"/>
            </w:tcBorders>
          </w:tcPr>
          <w:p w14:paraId="46FAEF3A" w14:textId="5F15E538" w:rsidR="00FE1663" w:rsidRPr="00E51082" w:rsidRDefault="0060796D" w:rsidP="00A13075">
            <w:pPr>
              <w:framePr w:hSpace="180" w:wrap="around" w:vAnchor="text" w:hAnchor="text" w:y="1"/>
              <w:spacing w:line="240" w:lineRule="auto"/>
              <w:rPr>
                <w:szCs w:val="24"/>
                <w:vertAlign w:val="superscript"/>
              </w:rPr>
            </w:pPr>
            <w:r w:rsidRPr="00E51082">
              <w:rPr>
                <w:szCs w:val="24"/>
              </w:rPr>
              <w:t xml:space="preserve">Netten and Curtis </w:t>
            </w:r>
            <w:r w:rsidR="000D666E" w:rsidRPr="00E51082">
              <w:rPr>
                <w:szCs w:val="24"/>
              </w:rPr>
              <w:fldChar w:fldCharType="begin" w:fldLock="1"/>
            </w:r>
            <w:r w:rsidR="00706093">
              <w:rPr>
                <w:szCs w:val="24"/>
              </w:rPr>
              <w:instrText>ADDIN CSL_CITATION {"citationItems":[{"id":"ITEM-1","itemData":{"author":[{"dropping-particle":"","family":"Netten","given":"Ann","non-dropping-particle":"","parse-names":false,"suffix":""},{"dropping-particle":"","family":"Curtis","given":"Lesley","non-dropping-particle":"","parse-names":false,"suffix":""}],"id":"ITEM-1","issued":{"date-parts":[["2004"]]},"publisher":"Personal Social Services Research Unit (PSSRU)","publisher-place":"University of Kent, Canterbury","title":"Unit Costs of Health and Social Care 2004","type":"report"},"suppress-author":1,"uris":["http://www.mendeley.com/documents/?uuid=8b9efcff-4924-32ac-8782-7afec708fc95"]}],"mendeley":{"formattedCitation":"(2004)","plainTextFormattedCitation":"(2004)","previouslyFormattedCitation":"(2004)"},"properties":{"noteIndex":0},"schema":"https://github.com/citation-style-language/schema/raw/master/csl-citation.json"}</w:instrText>
            </w:r>
            <w:r w:rsidR="000D666E" w:rsidRPr="00E51082">
              <w:rPr>
                <w:szCs w:val="24"/>
              </w:rPr>
              <w:fldChar w:fldCharType="separate"/>
            </w:r>
            <w:r w:rsidRPr="00E51082">
              <w:rPr>
                <w:noProof/>
                <w:szCs w:val="24"/>
              </w:rPr>
              <w:t>(2004)</w:t>
            </w:r>
            <w:r w:rsidR="000D666E" w:rsidRPr="00E51082">
              <w:rPr>
                <w:szCs w:val="24"/>
              </w:rPr>
              <w:fldChar w:fldCharType="end"/>
            </w:r>
          </w:p>
        </w:tc>
      </w:tr>
      <w:tr w:rsidR="00E51082" w:rsidRPr="00E51082" w14:paraId="0DA4B0BB" w14:textId="77777777" w:rsidTr="00ED75E9">
        <w:tc>
          <w:tcPr>
            <w:tcW w:w="1975" w:type="pct"/>
          </w:tcPr>
          <w:p w14:paraId="71AFD40F" w14:textId="77777777" w:rsidR="00FE1663" w:rsidRPr="00E51082" w:rsidRDefault="00FE1663" w:rsidP="00A13075">
            <w:pPr>
              <w:framePr w:hSpace="180" w:wrap="around" w:vAnchor="text" w:hAnchor="text" w:y="1"/>
              <w:spacing w:line="240" w:lineRule="auto"/>
              <w:rPr>
                <w:szCs w:val="24"/>
              </w:rPr>
            </w:pPr>
            <w:r w:rsidRPr="00E51082">
              <w:rPr>
                <w:szCs w:val="24"/>
              </w:rPr>
              <w:t>HV hour of client contact with CBA/PCA training</w:t>
            </w:r>
          </w:p>
        </w:tc>
        <w:tc>
          <w:tcPr>
            <w:tcW w:w="1107" w:type="pct"/>
          </w:tcPr>
          <w:p w14:paraId="01672649" w14:textId="77777777" w:rsidR="00FE1663" w:rsidRPr="00E51082" w:rsidRDefault="00FE1663" w:rsidP="00A13075">
            <w:pPr>
              <w:framePr w:hSpace="180" w:wrap="around" w:vAnchor="text" w:hAnchor="text" w:y="1"/>
              <w:spacing w:line="240" w:lineRule="auto"/>
              <w:jc w:val="center"/>
              <w:rPr>
                <w:szCs w:val="24"/>
              </w:rPr>
            </w:pPr>
            <w:r w:rsidRPr="00E51082">
              <w:rPr>
                <w:szCs w:val="24"/>
              </w:rPr>
              <w:t>79</w:t>
            </w:r>
          </w:p>
        </w:tc>
        <w:tc>
          <w:tcPr>
            <w:tcW w:w="1918" w:type="pct"/>
          </w:tcPr>
          <w:p w14:paraId="6D34621C" w14:textId="77777777" w:rsidR="00FE1663" w:rsidRPr="00E51082" w:rsidRDefault="00FE1663" w:rsidP="00A13075">
            <w:pPr>
              <w:framePr w:hSpace="180" w:wrap="around" w:vAnchor="text" w:hAnchor="text" w:y="1"/>
              <w:spacing w:line="240" w:lineRule="auto"/>
              <w:rPr>
                <w:szCs w:val="24"/>
              </w:rPr>
            </w:pPr>
            <w:r w:rsidRPr="00E51082">
              <w:rPr>
                <w:szCs w:val="24"/>
              </w:rPr>
              <w:t>Study records (and using HV contacts data from Table 2)</w:t>
            </w:r>
          </w:p>
        </w:tc>
      </w:tr>
      <w:tr w:rsidR="00E51082" w:rsidRPr="00E51082" w14:paraId="3C2BB025" w14:textId="77777777" w:rsidTr="00ED75E9">
        <w:tc>
          <w:tcPr>
            <w:tcW w:w="1975" w:type="pct"/>
          </w:tcPr>
          <w:p w14:paraId="021CABD0" w14:textId="3CBB58FB" w:rsidR="00FE1663" w:rsidRPr="00E51082" w:rsidRDefault="00FE1663" w:rsidP="00A13075">
            <w:pPr>
              <w:framePr w:hSpace="180" w:wrap="around" w:vAnchor="text" w:hAnchor="text" w:y="1"/>
              <w:spacing w:line="240" w:lineRule="auto"/>
              <w:rPr>
                <w:szCs w:val="24"/>
              </w:rPr>
            </w:pPr>
            <w:r w:rsidRPr="00E51082">
              <w:rPr>
                <w:szCs w:val="24"/>
              </w:rPr>
              <w:t>GP contact</w:t>
            </w:r>
            <w:r w:rsidR="00A13075">
              <w:rPr>
                <w:szCs w:val="24"/>
                <w:vertAlign w:val="superscript"/>
              </w:rPr>
              <w:t>a</w:t>
            </w:r>
          </w:p>
        </w:tc>
        <w:tc>
          <w:tcPr>
            <w:tcW w:w="1107" w:type="pct"/>
          </w:tcPr>
          <w:p w14:paraId="20F7EEAE" w14:textId="77777777" w:rsidR="00FE1663" w:rsidRPr="00E51082" w:rsidRDefault="00FE1663" w:rsidP="00A13075">
            <w:pPr>
              <w:framePr w:hSpace="180" w:wrap="around" w:vAnchor="text" w:hAnchor="text" w:y="1"/>
              <w:spacing w:line="240" w:lineRule="auto"/>
              <w:jc w:val="center"/>
              <w:rPr>
                <w:szCs w:val="24"/>
              </w:rPr>
            </w:pPr>
            <w:r w:rsidRPr="00E51082">
              <w:rPr>
                <w:szCs w:val="24"/>
              </w:rPr>
              <w:t>30</w:t>
            </w:r>
          </w:p>
        </w:tc>
        <w:tc>
          <w:tcPr>
            <w:tcW w:w="1918" w:type="pct"/>
          </w:tcPr>
          <w:p w14:paraId="628C51D1" w14:textId="78996B7C" w:rsidR="00FE1663" w:rsidRPr="00E51082" w:rsidRDefault="0060796D" w:rsidP="00A13075">
            <w:pPr>
              <w:framePr w:hSpace="180" w:wrap="around" w:vAnchor="text" w:hAnchor="text" w:y="1"/>
              <w:spacing w:line="240" w:lineRule="auto"/>
              <w:rPr>
                <w:szCs w:val="24"/>
              </w:rPr>
            </w:pPr>
            <w:r w:rsidRPr="00E51082">
              <w:rPr>
                <w:szCs w:val="24"/>
              </w:rPr>
              <w:t xml:space="preserve">Netten and Curtis </w:t>
            </w:r>
            <w:r w:rsidRPr="00E51082">
              <w:rPr>
                <w:szCs w:val="24"/>
              </w:rPr>
              <w:fldChar w:fldCharType="begin" w:fldLock="1"/>
            </w:r>
            <w:r w:rsidR="00706093">
              <w:rPr>
                <w:szCs w:val="24"/>
              </w:rPr>
              <w:instrText>ADDIN CSL_CITATION {"citationItems":[{"id":"ITEM-1","itemData":{"author":[{"dropping-particle":"","family":"Netten","given":"Ann","non-dropping-particle":"","parse-names":false,"suffix":""},{"dropping-particle":"","family":"Curtis","given":"Lesley","non-dropping-particle":"","parse-names":false,"suffix":""}],"id":"ITEM-1","issued":{"date-parts":[["2004"]]},"publisher":"Personal Social Services Research Unit (PSSRU)","publisher-place":"University of Kent, Canterbury","title":"Unit Costs of Health and Social Care 2004","type":"report"},"suppress-author":1,"uris":["http://www.mendeley.com/documents/?uuid=8b9efcff-4924-32ac-8782-7afec708fc95"]}],"mendeley":{"formattedCitation":"(2004)","plainTextFormattedCitation":"(2004)","previouslyFormattedCitation":"(2004)"},"properties":{"noteIndex":0},"schema":"https://github.com/citation-style-language/schema/raw/master/csl-citation.json"}</w:instrText>
            </w:r>
            <w:r w:rsidRPr="00E51082">
              <w:rPr>
                <w:szCs w:val="24"/>
              </w:rPr>
              <w:fldChar w:fldCharType="separate"/>
            </w:r>
            <w:r w:rsidRPr="00E51082">
              <w:rPr>
                <w:noProof/>
                <w:szCs w:val="24"/>
              </w:rPr>
              <w:t>(2004)</w:t>
            </w:r>
            <w:r w:rsidRPr="00E51082">
              <w:rPr>
                <w:szCs w:val="24"/>
              </w:rPr>
              <w:fldChar w:fldCharType="end"/>
            </w:r>
          </w:p>
        </w:tc>
      </w:tr>
      <w:tr w:rsidR="00E51082" w:rsidRPr="00E51082" w14:paraId="38EC3DC9" w14:textId="77777777" w:rsidTr="00ED75E9">
        <w:tc>
          <w:tcPr>
            <w:tcW w:w="1975" w:type="pct"/>
          </w:tcPr>
          <w:p w14:paraId="73114086" w14:textId="7C9E8E17" w:rsidR="00FE1663" w:rsidRPr="00E51082" w:rsidRDefault="00FE1663" w:rsidP="00A13075">
            <w:pPr>
              <w:framePr w:hSpace="180" w:wrap="around" w:vAnchor="text" w:hAnchor="text" w:y="1"/>
              <w:spacing w:line="240" w:lineRule="auto"/>
              <w:rPr>
                <w:szCs w:val="24"/>
              </w:rPr>
            </w:pPr>
            <w:r w:rsidRPr="00E51082">
              <w:rPr>
                <w:szCs w:val="24"/>
              </w:rPr>
              <w:t>Social work visit</w:t>
            </w:r>
            <w:r w:rsidR="00ED75E9">
              <w:rPr>
                <w:szCs w:val="24"/>
                <w:vertAlign w:val="superscript"/>
              </w:rPr>
              <w:t>b</w:t>
            </w:r>
          </w:p>
        </w:tc>
        <w:tc>
          <w:tcPr>
            <w:tcW w:w="1107" w:type="pct"/>
          </w:tcPr>
          <w:p w14:paraId="77E540A6" w14:textId="77777777" w:rsidR="00FE1663" w:rsidRPr="00E51082" w:rsidRDefault="00FE1663" w:rsidP="00A13075">
            <w:pPr>
              <w:framePr w:hSpace="180" w:wrap="around" w:vAnchor="text" w:hAnchor="text" w:y="1"/>
              <w:spacing w:line="240" w:lineRule="auto"/>
              <w:jc w:val="center"/>
              <w:rPr>
                <w:szCs w:val="24"/>
              </w:rPr>
            </w:pPr>
            <w:r w:rsidRPr="00E51082">
              <w:rPr>
                <w:szCs w:val="24"/>
              </w:rPr>
              <w:t>108</w:t>
            </w:r>
          </w:p>
        </w:tc>
        <w:tc>
          <w:tcPr>
            <w:tcW w:w="1918" w:type="pct"/>
          </w:tcPr>
          <w:p w14:paraId="30EE16C4" w14:textId="4832AC58" w:rsidR="00FE1663" w:rsidRPr="00E51082" w:rsidRDefault="0060796D" w:rsidP="00A13075">
            <w:pPr>
              <w:framePr w:hSpace="180" w:wrap="around" w:vAnchor="text" w:hAnchor="text" w:y="1"/>
              <w:spacing w:line="240" w:lineRule="auto"/>
              <w:rPr>
                <w:szCs w:val="24"/>
              </w:rPr>
            </w:pPr>
            <w:r w:rsidRPr="00E51082">
              <w:rPr>
                <w:szCs w:val="24"/>
              </w:rPr>
              <w:t xml:space="preserve">Netten and Curtis </w:t>
            </w:r>
            <w:r w:rsidRPr="00E51082">
              <w:rPr>
                <w:szCs w:val="24"/>
              </w:rPr>
              <w:fldChar w:fldCharType="begin" w:fldLock="1"/>
            </w:r>
            <w:r w:rsidR="00706093">
              <w:rPr>
                <w:szCs w:val="24"/>
              </w:rPr>
              <w:instrText>ADDIN CSL_CITATION {"citationItems":[{"id":"ITEM-1","itemData":{"author":[{"dropping-particle":"","family":"Netten","given":"Ann","non-dropping-particle":"","parse-names":false,"suffix":""},{"dropping-particle":"","family":"Curtis","given":"Lesley","non-dropping-particle":"","parse-names":false,"suffix":""}],"id":"ITEM-1","issued":{"date-parts":[["2004"]]},"publisher":"Personal Social Services Research Unit (PSSRU)","publisher-place":"University of Kent, Canterbury","title":"Unit Costs of Health and Social Care 2004","type":"report"},"suppress-author":1,"uris":["http://www.mendeley.com/documents/?uuid=8b9efcff-4924-32ac-8782-7afec708fc95"]}],"mendeley":{"formattedCitation":"(2004)","plainTextFormattedCitation":"(2004)","previouslyFormattedCitation":"(2004)"},"properties":{"noteIndex":0},"schema":"https://github.com/citation-style-language/schema/raw/master/csl-citation.json"}</w:instrText>
            </w:r>
            <w:r w:rsidRPr="00E51082">
              <w:rPr>
                <w:szCs w:val="24"/>
              </w:rPr>
              <w:fldChar w:fldCharType="separate"/>
            </w:r>
            <w:r w:rsidRPr="00E51082">
              <w:rPr>
                <w:noProof/>
                <w:szCs w:val="24"/>
              </w:rPr>
              <w:t>(2004)</w:t>
            </w:r>
            <w:r w:rsidRPr="00E51082">
              <w:rPr>
                <w:szCs w:val="24"/>
              </w:rPr>
              <w:fldChar w:fldCharType="end"/>
            </w:r>
          </w:p>
        </w:tc>
      </w:tr>
      <w:tr w:rsidR="00E51082" w:rsidRPr="00E51082" w14:paraId="1EC822E3" w14:textId="77777777" w:rsidTr="00ED75E9">
        <w:tc>
          <w:tcPr>
            <w:tcW w:w="1975" w:type="pct"/>
          </w:tcPr>
          <w:p w14:paraId="30EA4383" w14:textId="1D99A9D2" w:rsidR="00FE1663" w:rsidRPr="00E51082" w:rsidRDefault="00FE1663" w:rsidP="00ED75E9">
            <w:pPr>
              <w:framePr w:hSpace="180" w:wrap="around" w:vAnchor="text" w:hAnchor="text" w:y="1"/>
              <w:spacing w:line="240" w:lineRule="auto"/>
              <w:rPr>
                <w:szCs w:val="24"/>
              </w:rPr>
            </w:pPr>
            <w:r w:rsidRPr="00E51082">
              <w:rPr>
                <w:szCs w:val="24"/>
              </w:rPr>
              <w:t>Clinical mental health contact</w:t>
            </w:r>
            <w:r w:rsidR="00ED75E9">
              <w:rPr>
                <w:szCs w:val="24"/>
                <w:vertAlign w:val="superscript"/>
              </w:rPr>
              <w:t>c</w:t>
            </w:r>
            <w:r w:rsidRPr="00E51082">
              <w:rPr>
                <w:szCs w:val="24"/>
                <w:vertAlign w:val="superscript"/>
              </w:rPr>
              <w:t xml:space="preserve">, </w:t>
            </w:r>
            <w:r w:rsidR="00ED75E9">
              <w:rPr>
                <w:szCs w:val="24"/>
                <w:vertAlign w:val="superscript"/>
              </w:rPr>
              <w:t>d</w:t>
            </w:r>
          </w:p>
        </w:tc>
        <w:tc>
          <w:tcPr>
            <w:tcW w:w="1107" w:type="pct"/>
          </w:tcPr>
          <w:p w14:paraId="262CBA01" w14:textId="77777777" w:rsidR="00FE1663" w:rsidRPr="00E51082" w:rsidRDefault="00FE1663" w:rsidP="00A13075">
            <w:pPr>
              <w:framePr w:hSpace="180" w:wrap="around" w:vAnchor="text" w:hAnchor="text" w:y="1"/>
              <w:spacing w:line="240" w:lineRule="auto"/>
              <w:jc w:val="center"/>
              <w:rPr>
                <w:szCs w:val="24"/>
              </w:rPr>
            </w:pPr>
            <w:r w:rsidRPr="00E51082">
              <w:rPr>
                <w:szCs w:val="24"/>
              </w:rPr>
              <w:t>129</w:t>
            </w:r>
          </w:p>
        </w:tc>
        <w:tc>
          <w:tcPr>
            <w:tcW w:w="1918" w:type="pct"/>
          </w:tcPr>
          <w:p w14:paraId="1CE881CC" w14:textId="40D3E694" w:rsidR="00FE1663" w:rsidRPr="00E51082" w:rsidRDefault="00FE1663" w:rsidP="00A13075">
            <w:pPr>
              <w:framePr w:hSpace="180" w:wrap="around" w:vAnchor="text" w:hAnchor="text" w:y="1"/>
              <w:spacing w:line="240" w:lineRule="auto"/>
              <w:rPr>
                <w:szCs w:val="24"/>
                <w:vertAlign w:val="superscript"/>
              </w:rPr>
            </w:pPr>
            <w:r w:rsidRPr="00E51082">
              <w:rPr>
                <w:szCs w:val="24"/>
              </w:rPr>
              <w:t>Trust Financial Returns 2004</w:t>
            </w:r>
            <w:r w:rsidR="0097178A" w:rsidRPr="00E51082">
              <w:rPr>
                <w:szCs w:val="24"/>
              </w:rPr>
              <w:t xml:space="preserve"> </w:t>
            </w:r>
            <w:r w:rsidR="00DF55FB" w:rsidRPr="00E51082">
              <w:rPr>
                <w:szCs w:val="24"/>
              </w:rPr>
              <w:fldChar w:fldCharType="begin" w:fldLock="1"/>
            </w:r>
            <w:r w:rsidR="00706093">
              <w:rPr>
                <w:szCs w:val="24"/>
              </w:rPr>
              <w:instrText>ADDIN CSL_CITATION {"citationItems":[{"id":"ITEM-1","itemData":{"author":[{"dropping-particle":"","family":"Department of Health","given":"","non-dropping-particle":"","parse-names":false,"suffix":""}],"id":"ITEM-1","issued":{"date-parts":[["2000"]]},"publisher":"Department of Health","title":"NHS Trust Financial Returns","type":"book"},"uris":["http://www.mendeley.com/documents/?uuid=506f4311-a7e8-4103-8ce4-5fd8fb4a49c0"]}],"mendeley":{"formattedCitation":"(Department of Health 2000)","plainTextFormattedCitation":"(Department of Health 2000)","previouslyFormattedCitation":"(Department of Health 2000)"},"properties":{"noteIndex":0},"schema":"https://github.com/citation-style-language/schema/raw/master/csl-citation.json"}</w:instrText>
            </w:r>
            <w:r w:rsidR="00DF55FB" w:rsidRPr="00E51082">
              <w:rPr>
                <w:szCs w:val="24"/>
              </w:rPr>
              <w:fldChar w:fldCharType="separate"/>
            </w:r>
            <w:r w:rsidR="00203256" w:rsidRPr="00E51082">
              <w:rPr>
                <w:noProof/>
                <w:szCs w:val="24"/>
              </w:rPr>
              <w:t>(Department of Health 2000)</w:t>
            </w:r>
            <w:r w:rsidR="00DF55FB" w:rsidRPr="00E51082">
              <w:rPr>
                <w:szCs w:val="24"/>
              </w:rPr>
              <w:fldChar w:fldCharType="end"/>
            </w:r>
            <w:r w:rsidRPr="00E51082">
              <w:rPr>
                <w:szCs w:val="24"/>
              </w:rPr>
              <w:t xml:space="preserve"> </w:t>
            </w:r>
          </w:p>
        </w:tc>
      </w:tr>
      <w:tr w:rsidR="00ED75E9" w:rsidRPr="00E51082" w14:paraId="4FA9C37D" w14:textId="77777777" w:rsidTr="00ED75E9">
        <w:tc>
          <w:tcPr>
            <w:tcW w:w="1975" w:type="pct"/>
          </w:tcPr>
          <w:p w14:paraId="0DBE046A" w14:textId="30C35B96" w:rsidR="00ED75E9" w:rsidRPr="00E51082" w:rsidRDefault="00ED75E9" w:rsidP="00ED75E9">
            <w:pPr>
              <w:framePr w:hSpace="180" w:wrap="around" w:vAnchor="text" w:hAnchor="text" w:y="1"/>
              <w:spacing w:line="240" w:lineRule="auto"/>
              <w:rPr>
                <w:szCs w:val="24"/>
              </w:rPr>
            </w:pPr>
            <w:r w:rsidRPr="00E51082">
              <w:rPr>
                <w:szCs w:val="24"/>
              </w:rPr>
              <w:t>Community mental health contact</w:t>
            </w:r>
            <w:r>
              <w:rPr>
                <w:szCs w:val="24"/>
                <w:vertAlign w:val="superscript"/>
              </w:rPr>
              <w:t>e</w:t>
            </w:r>
          </w:p>
        </w:tc>
        <w:tc>
          <w:tcPr>
            <w:tcW w:w="1107" w:type="pct"/>
          </w:tcPr>
          <w:p w14:paraId="4DBC1260" w14:textId="226CAD91" w:rsidR="00ED75E9" w:rsidRPr="00E51082" w:rsidRDefault="00ED75E9" w:rsidP="00ED75E9">
            <w:pPr>
              <w:framePr w:hSpace="180" w:wrap="around" w:vAnchor="text" w:hAnchor="text" w:y="1"/>
              <w:spacing w:line="240" w:lineRule="auto"/>
              <w:jc w:val="center"/>
              <w:rPr>
                <w:szCs w:val="24"/>
              </w:rPr>
            </w:pPr>
            <w:r w:rsidRPr="00E51082">
              <w:rPr>
                <w:szCs w:val="24"/>
              </w:rPr>
              <w:t>29</w:t>
            </w:r>
          </w:p>
        </w:tc>
        <w:tc>
          <w:tcPr>
            <w:tcW w:w="1918" w:type="pct"/>
          </w:tcPr>
          <w:p w14:paraId="4319CBBC" w14:textId="770D59FA" w:rsidR="00ED75E9" w:rsidRPr="00E51082" w:rsidRDefault="00ED75E9" w:rsidP="00ED75E9">
            <w:pPr>
              <w:framePr w:hSpace="180" w:wrap="around" w:vAnchor="text" w:hAnchor="text" w:y="1"/>
              <w:spacing w:line="240" w:lineRule="auto"/>
              <w:rPr>
                <w:szCs w:val="24"/>
              </w:rPr>
            </w:pPr>
            <w:r w:rsidRPr="00E51082">
              <w:rPr>
                <w:szCs w:val="24"/>
              </w:rPr>
              <w:t xml:space="preserve">Netten and Curtis </w:t>
            </w:r>
            <w:r w:rsidRPr="00E51082">
              <w:rPr>
                <w:szCs w:val="24"/>
              </w:rPr>
              <w:fldChar w:fldCharType="begin" w:fldLock="1"/>
            </w:r>
            <w:r w:rsidR="00706093">
              <w:rPr>
                <w:szCs w:val="24"/>
              </w:rPr>
              <w:instrText>ADDIN CSL_CITATION {"citationItems":[{"id":"ITEM-1","itemData":{"author":[{"dropping-particle":"","family":"Netten","given":"Ann","non-dropping-particle":"","parse-names":false,"suffix":""},{"dropping-particle":"","family":"Curtis","given":"Lesley","non-dropping-particle":"","parse-names":false,"suffix":""}],"id":"ITEM-1","issued":{"date-parts":[["2004"]]},"publisher":"Personal Social Services Research Unit (PSSRU)","publisher-place":"University of Kent, Canterbury","title":"Unit Costs of Health and Social Care 2004","type":"report"},"suppress-author":1,"uris":["http://www.mendeley.com/documents/?uuid=8b9efcff-4924-32ac-8782-7afec708fc95"]}],"mendeley":{"formattedCitation":"(2004)","plainTextFormattedCitation":"(2004)","previouslyFormattedCitation":"(2004)"},"properties":{"noteIndex":0},"schema":"https://github.com/citation-style-language/schema/raw/master/csl-citation.json"}</w:instrText>
            </w:r>
            <w:r w:rsidRPr="00E51082">
              <w:rPr>
                <w:szCs w:val="24"/>
              </w:rPr>
              <w:fldChar w:fldCharType="separate"/>
            </w:r>
            <w:r w:rsidRPr="00E51082">
              <w:rPr>
                <w:noProof/>
                <w:szCs w:val="24"/>
              </w:rPr>
              <w:t>(2004)</w:t>
            </w:r>
            <w:r w:rsidRPr="00E51082">
              <w:rPr>
                <w:szCs w:val="24"/>
              </w:rPr>
              <w:fldChar w:fldCharType="end"/>
            </w:r>
          </w:p>
        </w:tc>
      </w:tr>
      <w:tr w:rsidR="00ED75E9" w:rsidRPr="00E51082" w14:paraId="0FE92282" w14:textId="77777777" w:rsidTr="00ED75E9">
        <w:tc>
          <w:tcPr>
            <w:tcW w:w="1975" w:type="pct"/>
          </w:tcPr>
          <w:p w14:paraId="7EEF25A5" w14:textId="0BF9687F" w:rsidR="00ED75E9" w:rsidRPr="00E51082" w:rsidRDefault="00ED75E9" w:rsidP="00ED75E9">
            <w:pPr>
              <w:framePr w:hSpace="180" w:wrap="around" w:vAnchor="text" w:hAnchor="text" w:y="1"/>
              <w:spacing w:line="240" w:lineRule="auto"/>
              <w:rPr>
                <w:szCs w:val="24"/>
              </w:rPr>
            </w:pPr>
            <w:r w:rsidRPr="00E51082">
              <w:rPr>
                <w:szCs w:val="24"/>
              </w:rPr>
              <w:t>Mother and baby or psychiatric unit day</w:t>
            </w:r>
            <w:r>
              <w:rPr>
                <w:szCs w:val="24"/>
                <w:vertAlign w:val="superscript"/>
              </w:rPr>
              <w:t>c</w:t>
            </w:r>
          </w:p>
        </w:tc>
        <w:tc>
          <w:tcPr>
            <w:tcW w:w="1107" w:type="pct"/>
          </w:tcPr>
          <w:p w14:paraId="37841A36" w14:textId="77777777" w:rsidR="00ED75E9" w:rsidRPr="00E51082" w:rsidRDefault="00ED75E9" w:rsidP="00ED75E9">
            <w:pPr>
              <w:framePr w:hSpace="180" w:wrap="around" w:vAnchor="text" w:hAnchor="text" w:y="1"/>
              <w:spacing w:line="240" w:lineRule="auto"/>
              <w:jc w:val="center"/>
              <w:rPr>
                <w:szCs w:val="24"/>
              </w:rPr>
            </w:pPr>
            <w:r w:rsidRPr="00E51082">
              <w:rPr>
                <w:szCs w:val="24"/>
              </w:rPr>
              <w:t>458</w:t>
            </w:r>
          </w:p>
        </w:tc>
        <w:tc>
          <w:tcPr>
            <w:tcW w:w="1918" w:type="pct"/>
          </w:tcPr>
          <w:p w14:paraId="61EE596A" w14:textId="3320E330" w:rsidR="00ED75E9" w:rsidRPr="00E51082" w:rsidRDefault="00ED75E9" w:rsidP="00ED75E9">
            <w:pPr>
              <w:framePr w:hSpace="180" w:wrap="around" w:vAnchor="text" w:hAnchor="text" w:y="1"/>
              <w:spacing w:line="240" w:lineRule="auto"/>
              <w:rPr>
                <w:szCs w:val="24"/>
                <w:vertAlign w:val="superscript"/>
              </w:rPr>
            </w:pPr>
            <w:r w:rsidRPr="00E51082">
              <w:rPr>
                <w:szCs w:val="24"/>
              </w:rPr>
              <w:t xml:space="preserve">Reference costs 2004 </w:t>
            </w:r>
            <w:r w:rsidRPr="00E51082">
              <w:rPr>
                <w:szCs w:val="24"/>
              </w:rPr>
              <w:fldChar w:fldCharType="begin" w:fldLock="1"/>
            </w:r>
            <w:r w:rsidR="00706093">
              <w:rPr>
                <w:szCs w:val="24"/>
              </w:rPr>
              <w:instrText>ADDIN CSL_CITATION {"citationItems":[{"id":"ITEM-1","itemData":{"author":[{"dropping-particle":"","family":"Department of Health","given":"","non-dropping-particle":"","parse-names":false,"suffix":""}],"id":"ITEM-1","issued":{"date-parts":[["2005"]]},"publisher":"Department of Health,","title":"NHS reference costs 2004","type":"book"},"uris":["http://www.mendeley.com/documents/?uuid=071b7432-334f-4abb-be0d-f4a3bffafbc8"]}],"mendeley":{"formattedCitation":"(Department of Health 2005)","plainTextFormattedCitation":"(Department of Health 2005)","previouslyFormattedCitation":"(Department of Health 2005)"},"properties":{"noteIndex":0},"schema":"https://github.com/citation-style-language/schema/raw/master/csl-citation.json"}</w:instrText>
            </w:r>
            <w:r w:rsidRPr="00E51082">
              <w:rPr>
                <w:szCs w:val="24"/>
              </w:rPr>
              <w:fldChar w:fldCharType="separate"/>
            </w:r>
            <w:r w:rsidRPr="00E51082">
              <w:rPr>
                <w:noProof/>
                <w:szCs w:val="24"/>
              </w:rPr>
              <w:t>(Department of Health 2005)</w:t>
            </w:r>
            <w:r w:rsidRPr="00E51082">
              <w:rPr>
                <w:szCs w:val="24"/>
              </w:rPr>
              <w:fldChar w:fldCharType="end"/>
            </w:r>
          </w:p>
        </w:tc>
      </w:tr>
      <w:tr w:rsidR="00ED75E9" w:rsidRPr="00E51082" w14:paraId="011CAE9A" w14:textId="77777777" w:rsidTr="00ED75E9">
        <w:tc>
          <w:tcPr>
            <w:tcW w:w="1975" w:type="pct"/>
          </w:tcPr>
          <w:p w14:paraId="7DDD9763" w14:textId="4B8C5545" w:rsidR="00ED75E9" w:rsidRPr="00E51082" w:rsidRDefault="00ED75E9" w:rsidP="00ED75E9">
            <w:pPr>
              <w:framePr w:hSpace="180" w:wrap="around" w:vAnchor="text" w:hAnchor="text" w:y="1"/>
              <w:spacing w:line="240" w:lineRule="auto"/>
              <w:rPr>
                <w:szCs w:val="24"/>
              </w:rPr>
            </w:pPr>
            <w:r w:rsidRPr="00E51082">
              <w:rPr>
                <w:szCs w:val="24"/>
              </w:rPr>
              <w:t>Fluoxetine prescription</w:t>
            </w:r>
            <w:r>
              <w:rPr>
                <w:szCs w:val="24"/>
                <w:vertAlign w:val="superscript"/>
              </w:rPr>
              <w:t>f</w:t>
            </w:r>
          </w:p>
        </w:tc>
        <w:tc>
          <w:tcPr>
            <w:tcW w:w="1107" w:type="pct"/>
          </w:tcPr>
          <w:p w14:paraId="390599B7" w14:textId="77777777" w:rsidR="00ED75E9" w:rsidRPr="00E51082" w:rsidRDefault="00ED75E9" w:rsidP="00ED75E9">
            <w:pPr>
              <w:framePr w:hSpace="180" w:wrap="around" w:vAnchor="text" w:hAnchor="text" w:y="1"/>
              <w:spacing w:line="240" w:lineRule="auto"/>
              <w:jc w:val="center"/>
              <w:rPr>
                <w:szCs w:val="24"/>
              </w:rPr>
            </w:pPr>
            <w:r w:rsidRPr="00E51082">
              <w:rPr>
                <w:szCs w:val="24"/>
              </w:rPr>
              <w:t>2</w:t>
            </w:r>
          </w:p>
        </w:tc>
        <w:tc>
          <w:tcPr>
            <w:tcW w:w="1918" w:type="pct"/>
          </w:tcPr>
          <w:p w14:paraId="26E6D8EC" w14:textId="08E5B056" w:rsidR="00ED75E9" w:rsidRPr="00E51082" w:rsidRDefault="00ED75E9" w:rsidP="00ED75E9">
            <w:pPr>
              <w:framePr w:hSpace="180" w:wrap="around" w:vAnchor="text" w:hAnchor="text" w:y="1"/>
              <w:spacing w:line="240" w:lineRule="auto"/>
              <w:rPr>
                <w:szCs w:val="24"/>
                <w:vertAlign w:val="superscript"/>
              </w:rPr>
            </w:pPr>
            <w:r w:rsidRPr="00E51082">
              <w:rPr>
                <w:szCs w:val="24"/>
              </w:rPr>
              <w:t xml:space="preserve">British National Formulary 2005 </w:t>
            </w:r>
            <w:r w:rsidRPr="00E51082">
              <w:rPr>
                <w:szCs w:val="24"/>
              </w:rPr>
              <w:fldChar w:fldCharType="begin" w:fldLock="1"/>
            </w:r>
            <w:r w:rsidR="00706093">
              <w:rPr>
                <w:szCs w:val="24"/>
              </w:rPr>
              <w:instrText>ADDIN CSL_CITATION {"citationItems":[{"id":"ITEM-1","itemData":{"author":[{"dropping-particle":"","family":"British Medical Association and Royal Pharmaceutical Society","given":"","non-dropping-particle":"","parse-names":false,"suffix":""}],"id":"ITEM-1","issued":{"date-parts":[["2011"]]},"number-of-pages":"1036(132)","publisher":"BMA and RPS","publisher-place":"London","title":"British National Formulary (BNF)","type":"book"},"uris":["http://www.mendeley.com/documents/?uuid=4552f5c1-7b4d-44e3-9d4e-36fbba382452"]}],"mendeley":{"formattedCitation":"(British Medical Association and Royal Pharmaceutical Society 2011)","plainTextFormattedCitation":"(British Medical Association and Royal Pharmaceutical Society 2011)","previouslyFormattedCitation":"(British Medical Association and Royal Pharmaceutical Society 2011)"},"properties":{"noteIndex":0},"schema":"https://github.com/citation-style-language/schema/raw/master/csl-citation.json"}</w:instrText>
            </w:r>
            <w:r w:rsidRPr="00E51082">
              <w:rPr>
                <w:szCs w:val="24"/>
              </w:rPr>
              <w:fldChar w:fldCharType="separate"/>
            </w:r>
            <w:r w:rsidRPr="00E51082">
              <w:rPr>
                <w:noProof/>
                <w:szCs w:val="24"/>
              </w:rPr>
              <w:t>(British Medical Association and Royal Pharmaceutical Society 2011)</w:t>
            </w:r>
            <w:r w:rsidRPr="00E51082">
              <w:rPr>
                <w:szCs w:val="24"/>
              </w:rPr>
              <w:fldChar w:fldCharType="end"/>
            </w:r>
            <w:r w:rsidRPr="00E51082">
              <w:rPr>
                <w:szCs w:val="24"/>
              </w:rPr>
              <w:t xml:space="preserve"> </w:t>
            </w:r>
          </w:p>
        </w:tc>
      </w:tr>
      <w:tr w:rsidR="00ED75E9" w:rsidRPr="00E51082" w14:paraId="42D0A720" w14:textId="77777777" w:rsidTr="00ED75E9">
        <w:tc>
          <w:tcPr>
            <w:tcW w:w="1975" w:type="pct"/>
          </w:tcPr>
          <w:p w14:paraId="44630DC1" w14:textId="386CDCD2" w:rsidR="00ED75E9" w:rsidRPr="00E51082" w:rsidRDefault="00ED75E9" w:rsidP="00ED75E9">
            <w:pPr>
              <w:framePr w:hSpace="180" w:wrap="around" w:vAnchor="text" w:hAnchor="text" w:y="1"/>
              <w:spacing w:line="240" w:lineRule="auto"/>
              <w:rPr>
                <w:szCs w:val="24"/>
              </w:rPr>
            </w:pPr>
            <w:r w:rsidRPr="00E51082">
              <w:rPr>
                <w:szCs w:val="24"/>
              </w:rPr>
              <w:t>Other prescription</w:t>
            </w:r>
            <w:r>
              <w:rPr>
                <w:szCs w:val="24"/>
                <w:vertAlign w:val="superscript"/>
              </w:rPr>
              <w:t>g</w:t>
            </w:r>
          </w:p>
        </w:tc>
        <w:tc>
          <w:tcPr>
            <w:tcW w:w="1107" w:type="pct"/>
          </w:tcPr>
          <w:p w14:paraId="27138DB7" w14:textId="77777777" w:rsidR="00ED75E9" w:rsidRPr="00E51082" w:rsidRDefault="00ED75E9" w:rsidP="00ED75E9">
            <w:pPr>
              <w:framePr w:hSpace="180" w:wrap="around" w:vAnchor="text" w:hAnchor="text" w:y="1"/>
              <w:spacing w:line="240" w:lineRule="auto"/>
              <w:jc w:val="center"/>
              <w:rPr>
                <w:szCs w:val="24"/>
              </w:rPr>
            </w:pPr>
            <w:r w:rsidRPr="00E51082">
              <w:rPr>
                <w:szCs w:val="24"/>
              </w:rPr>
              <w:t>3</w:t>
            </w:r>
          </w:p>
        </w:tc>
        <w:tc>
          <w:tcPr>
            <w:tcW w:w="1918" w:type="pct"/>
          </w:tcPr>
          <w:p w14:paraId="34307A4D" w14:textId="00B21B22" w:rsidR="00ED75E9" w:rsidRPr="00E51082" w:rsidRDefault="00ED75E9" w:rsidP="00ED75E9">
            <w:pPr>
              <w:framePr w:hSpace="180" w:wrap="around" w:vAnchor="text" w:hAnchor="text" w:y="1"/>
              <w:spacing w:line="240" w:lineRule="auto"/>
              <w:rPr>
                <w:szCs w:val="24"/>
                <w:vertAlign w:val="superscript"/>
              </w:rPr>
            </w:pPr>
            <w:r w:rsidRPr="00E51082">
              <w:rPr>
                <w:szCs w:val="24"/>
              </w:rPr>
              <w:t xml:space="preserve">British National Formulary 2005 </w:t>
            </w:r>
            <w:r w:rsidRPr="00E51082">
              <w:rPr>
                <w:szCs w:val="24"/>
              </w:rPr>
              <w:fldChar w:fldCharType="begin" w:fldLock="1"/>
            </w:r>
            <w:r w:rsidR="00706093">
              <w:rPr>
                <w:szCs w:val="24"/>
              </w:rPr>
              <w:instrText>ADDIN CSL_CITATION {"citationItems":[{"id":"ITEM-1","itemData":{"author":[{"dropping-particle":"","family":"British Medical Association and Royal Pharmaceutical Society","given":"","non-dropping-particle":"","parse-names":false,"suffix":""}],"id":"ITEM-1","issued":{"date-parts":[["2011"]]},"number-of-pages":"1036(132)","publisher":"BMA and RPS","publisher-place":"London","title":"British National Formulary (BNF)","type":"book"},"uris":["http://www.mendeley.com/documents/?uuid=4552f5c1-7b4d-44e3-9d4e-36fbba382452"]}],"mendeley":{"formattedCitation":"(British Medical Association and Royal Pharmaceutical Society 2011)","plainTextFormattedCitation":"(British Medical Association and Royal Pharmaceutical Society 2011)","previouslyFormattedCitation":"(British Medical Association and Royal Pharmaceutical Society 2011)"},"properties":{"noteIndex":0},"schema":"https://github.com/citation-style-language/schema/raw/master/csl-citation.json"}</w:instrText>
            </w:r>
            <w:r w:rsidRPr="00E51082">
              <w:rPr>
                <w:szCs w:val="24"/>
              </w:rPr>
              <w:fldChar w:fldCharType="separate"/>
            </w:r>
            <w:r w:rsidRPr="00E51082">
              <w:rPr>
                <w:noProof/>
                <w:szCs w:val="24"/>
              </w:rPr>
              <w:t>(British Medical Association and Royal Pharmaceutical Society 2011)</w:t>
            </w:r>
            <w:r w:rsidRPr="00E51082">
              <w:rPr>
                <w:szCs w:val="24"/>
              </w:rPr>
              <w:fldChar w:fldCharType="end"/>
            </w:r>
          </w:p>
        </w:tc>
      </w:tr>
      <w:tr w:rsidR="00ED75E9" w:rsidRPr="00E51082" w14:paraId="34BA8930" w14:textId="77777777" w:rsidTr="00ED75E9">
        <w:tc>
          <w:tcPr>
            <w:tcW w:w="1975" w:type="pct"/>
          </w:tcPr>
          <w:p w14:paraId="59A85795" w14:textId="77777777" w:rsidR="00ED75E9" w:rsidRPr="00E51082" w:rsidRDefault="00ED75E9" w:rsidP="00ED75E9">
            <w:pPr>
              <w:framePr w:hSpace="180" w:wrap="around" w:vAnchor="text" w:hAnchor="text" w:y="1"/>
              <w:spacing w:line="240" w:lineRule="auto"/>
              <w:rPr>
                <w:szCs w:val="24"/>
              </w:rPr>
            </w:pPr>
            <w:r w:rsidRPr="00E51082">
              <w:rPr>
                <w:szCs w:val="24"/>
              </w:rPr>
              <w:t>DTwP and Hib vaccination per dose</w:t>
            </w:r>
          </w:p>
        </w:tc>
        <w:tc>
          <w:tcPr>
            <w:tcW w:w="1107" w:type="pct"/>
          </w:tcPr>
          <w:p w14:paraId="2A34CA9E" w14:textId="77777777" w:rsidR="00ED75E9" w:rsidRPr="00E51082" w:rsidRDefault="00ED75E9" w:rsidP="00ED75E9">
            <w:pPr>
              <w:framePr w:hSpace="180" w:wrap="around" w:vAnchor="text" w:hAnchor="text" w:y="1"/>
              <w:spacing w:line="240" w:lineRule="auto"/>
              <w:jc w:val="center"/>
              <w:rPr>
                <w:szCs w:val="24"/>
              </w:rPr>
            </w:pPr>
            <w:r w:rsidRPr="00E51082">
              <w:rPr>
                <w:szCs w:val="24"/>
              </w:rPr>
              <w:t>20</w:t>
            </w:r>
          </w:p>
        </w:tc>
        <w:tc>
          <w:tcPr>
            <w:tcW w:w="1918" w:type="pct"/>
          </w:tcPr>
          <w:p w14:paraId="464DE0EC" w14:textId="27F135DF" w:rsidR="00ED75E9" w:rsidRPr="00E51082" w:rsidRDefault="00ED75E9" w:rsidP="00ED75E9">
            <w:pPr>
              <w:framePr w:hSpace="180" w:wrap="around" w:vAnchor="text" w:hAnchor="text" w:y="1"/>
              <w:spacing w:line="240" w:lineRule="auto"/>
              <w:rPr>
                <w:szCs w:val="24"/>
              </w:rPr>
            </w:pPr>
            <w:r w:rsidRPr="00E51082">
              <w:rPr>
                <w:szCs w:val="24"/>
              </w:rPr>
              <w:t xml:space="preserve">British National Formulary 2005 </w:t>
            </w:r>
            <w:r w:rsidRPr="00E51082">
              <w:rPr>
                <w:szCs w:val="24"/>
              </w:rPr>
              <w:fldChar w:fldCharType="begin" w:fldLock="1"/>
            </w:r>
            <w:r w:rsidR="00706093">
              <w:rPr>
                <w:szCs w:val="24"/>
              </w:rPr>
              <w:instrText>ADDIN CSL_CITATION {"citationItems":[{"id":"ITEM-1","itemData":{"author":[{"dropping-particle":"","family":"British Medical Association and Royal Pharmaceutical Society","given":"","non-dropping-particle":"","parse-names":false,"suffix":""}],"id":"ITEM-1","issued":{"date-parts":[["2011"]]},"number-of-pages":"1036(132)","publisher":"BMA and RPS","publisher-place":"London","title":"British National Formulary (BNF)","type":"book"},"uris":["http://www.mendeley.com/documents/?uuid=4552f5c1-7b4d-44e3-9d4e-36fbba382452"]}],"mendeley":{"formattedCitation":"(British Medical Association and Royal Pharmaceutical Society 2011)","plainTextFormattedCitation":"(British Medical Association and Royal Pharmaceutical Society 2011)","previouslyFormattedCitation":"(British Medical Association and Royal Pharmaceutical Society 2011)"},"properties":{"noteIndex":0},"schema":"https://github.com/citation-style-language/schema/raw/master/csl-citation.json"}</w:instrText>
            </w:r>
            <w:r w:rsidRPr="00E51082">
              <w:rPr>
                <w:szCs w:val="24"/>
              </w:rPr>
              <w:fldChar w:fldCharType="separate"/>
            </w:r>
            <w:r w:rsidRPr="00E51082">
              <w:rPr>
                <w:noProof/>
                <w:szCs w:val="24"/>
              </w:rPr>
              <w:t>(British Medical Association and Royal Pharmaceutical Society 2011)</w:t>
            </w:r>
            <w:r w:rsidRPr="00E51082">
              <w:rPr>
                <w:szCs w:val="24"/>
              </w:rPr>
              <w:fldChar w:fldCharType="end"/>
            </w:r>
          </w:p>
        </w:tc>
      </w:tr>
      <w:tr w:rsidR="00ED75E9" w:rsidRPr="00E51082" w14:paraId="4AE78BBC" w14:textId="77777777" w:rsidTr="00ED75E9">
        <w:tc>
          <w:tcPr>
            <w:tcW w:w="1975" w:type="pct"/>
          </w:tcPr>
          <w:p w14:paraId="732DCCE7" w14:textId="77777777" w:rsidR="00ED75E9" w:rsidRPr="00E51082" w:rsidRDefault="00ED75E9" w:rsidP="00ED75E9">
            <w:pPr>
              <w:framePr w:hSpace="180" w:wrap="around" w:vAnchor="text" w:hAnchor="text" w:y="1"/>
              <w:spacing w:line="240" w:lineRule="auto"/>
              <w:rPr>
                <w:szCs w:val="24"/>
              </w:rPr>
            </w:pPr>
            <w:r w:rsidRPr="00E51082">
              <w:rPr>
                <w:szCs w:val="24"/>
              </w:rPr>
              <w:t>Men-C vaccination per dose</w:t>
            </w:r>
          </w:p>
        </w:tc>
        <w:tc>
          <w:tcPr>
            <w:tcW w:w="1107" w:type="pct"/>
          </w:tcPr>
          <w:p w14:paraId="3F1AAB49" w14:textId="77777777" w:rsidR="00ED75E9" w:rsidRPr="00E51082" w:rsidRDefault="00ED75E9" w:rsidP="00ED75E9">
            <w:pPr>
              <w:framePr w:hSpace="180" w:wrap="around" w:vAnchor="text" w:hAnchor="text" w:y="1"/>
              <w:spacing w:line="240" w:lineRule="auto"/>
              <w:jc w:val="center"/>
              <w:rPr>
                <w:szCs w:val="24"/>
              </w:rPr>
            </w:pPr>
            <w:r w:rsidRPr="00E51082">
              <w:rPr>
                <w:szCs w:val="24"/>
              </w:rPr>
              <w:t>18</w:t>
            </w:r>
          </w:p>
        </w:tc>
        <w:tc>
          <w:tcPr>
            <w:tcW w:w="1918" w:type="pct"/>
          </w:tcPr>
          <w:p w14:paraId="7D29E29D" w14:textId="14A6429F" w:rsidR="00ED75E9" w:rsidRPr="00E51082" w:rsidRDefault="00ED75E9" w:rsidP="00ED75E9">
            <w:pPr>
              <w:framePr w:hSpace="180" w:wrap="around" w:vAnchor="text" w:hAnchor="text" w:y="1"/>
              <w:spacing w:line="240" w:lineRule="auto"/>
              <w:rPr>
                <w:szCs w:val="24"/>
              </w:rPr>
            </w:pPr>
            <w:r w:rsidRPr="00E51082">
              <w:rPr>
                <w:szCs w:val="24"/>
              </w:rPr>
              <w:t xml:space="preserve">British National Formulary 2005 </w:t>
            </w:r>
            <w:r w:rsidRPr="00E51082">
              <w:rPr>
                <w:szCs w:val="24"/>
              </w:rPr>
              <w:fldChar w:fldCharType="begin" w:fldLock="1"/>
            </w:r>
            <w:r w:rsidR="00706093">
              <w:rPr>
                <w:szCs w:val="24"/>
              </w:rPr>
              <w:instrText>ADDIN CSL_CITATION {"citationItems":[{"id":"ITEM-1","itemData":{"author":[{"dropping-particle":"","family":"British Medical Association and Royal Pharmaceutical Society","given":"","non-dropping-particle":"","parse-names":false,"suffix":""}],"id":"ITEM-1","issued":{"date-parts":[["2011"]]},"number-of-pages":"1036(132)","publisher":"BMA and RPS","publisher-place":"London","title":"British National Formulary (BNF)","type":"book"},"uris":["http://www.mendeley.com/documents/?uuid=4552f5c1-7b4d-44e3-9d4e-36fbba382452"]}],"mendeley":{"formattedCitation":"(British Medical Association and Royal Pharmaceutical Society 2011)","plainTextFormattedCitation":"(British Medical Association and Royal Pharmaceutical Society 2011)","previouslyFormattedCitation":"(British Medical Association and Royal Pharmaceutical Society 2011)"},"properties":{"noteIndex":0},"schema":"https://github.com/citation-style-language/schema/raw/master/csl-citation.json"}</w:instrText>
            </w:r>
            <w:r w:rsidRPr="00E51082">
              <w:rPr>
                <w:szCs w:val="24"/>
              </w:rPr>
              <w:fldChar w:fldCharType="separate"/>
            </w:r>
            <w:r w:rsidRPr="00E51082">
              <w:rPr>
                <w:noProof/>
                <w:szCs w:val="24"/>
              </w:rPr>
              <w:t>(British Medical Association and Royal Pharmaceutical Society 2011)</w:t>
            </w:r>
            <w:r w:rsidRPr="00E51082">
              <w:rPr>
                <w:szCs w:val="24"/>
              </w:rPr>
              <w:fldChar w:fldCharType="end"/>
            </w:r>
          </w:p>
        </w:tc>
      </w:tr>
      <w:tr w:rsidR="00ED75E9" w:rsidRPr="00E51082" w14:paraId="091D099A" w14:textId="77777777" w:rsidTr="00ED75E9">
        <w:tc>
          <w:tcPr>
            <w:tcW w:w="1975" w:type="pct"/>
          </w:tcPr>
          <w:p w14:paraId="2FE877F3" w14:textId="5B342C94" w:rsidR="00ED75E9" w:rsidRPr="00E51082" w:rsidRDefault="00ED75E9" w:rsidP="00ED75E9">
            <w:pPr>
              <w:framePr w:hSpace="180" w:wrap="around" w:vAnchor="text" w:hAnchor="text" w:y="1"/>
              <w:spacing w:line="240" w:lineRule="auto"/>
              <w:rPr>
                <w:szCs w:val="24"/>
              </w:rPr>
            </w:pPr>
            <w:r w:rsidRPr="00E51082">
              <w:rPr>
                <w:szCs w:val="24"/>
              </w:rPr>
              <w:t>Inpatient admission (infant)</w:t>
            </w:r>
            <w:r>
              <w:rPr>
                <w:szCs w:val="24"/>
                <w:vertAlign w:val="superscript"/>
              </w:rPr>
              <w:t>c</w:t>
            </w:r>
          </w:p>
        </w:tc>
        <w:tc>
          <w:tcPr>
            <w:tcW w:w="1107" w:type="pct"/>
          </w:tcPr>
          <w:p w14:paraId="044E7827" w14:textId="77777777" w:rsidR="00ED75E9" w:rsidRPr="00E51082" w:rsidRDefault="00ED75E9" w:rsidP="00ED75E9">
            <w:pPr>
              <w:framePr w:hSpace="180" w:wrap="around" w:vAnchor="text" w:hAnchor="text" w:y="1"/>
              <w:spacing w:line="240" w:lineRule="auto"/>
              <w:jc w:val="center"/>
              <w:rPr>
                <w:szCs w:val="24"/>
              </w:rPr>
            </w:pPr>
            <w:r w:rsidRPr="00E51082">
              <w:rPr>
                <w:szCs w:val="24"/>
              </w:rPr>
              <w:t>516</w:t>
            </w:r>
          </w:p>
        </w:tc>
        <w:tc>
          <w:tcPr>
            <w:tcW w:w="1918" w:type="pct"/>
          </w:tcPr>
          <w:p w14:paraId="51641F99" w14:textId="58CB3B9E" w:rsidR="00ED75E9" w:rsidRPr="00E51082" w:rsidRDefault="00ED75E9" w:rsidP="00ED75E9">
            <w:pPr>
              <w:framePr w:hSpace="180" w:wrap="around" w:vAnchor="text" w:hAnchor="text" w:y="1"/>
              <w:spacing w:line="240" w:lineRule="auto"/>
              <w:rPr>
                <w:szCs w:val="24"/>
                <w:vertAlign w:val="superscript"/>
              </w:rPr>
            </w:pPr>
            <w:r w:rsidRPr="00E51082">
              <w:rPr>
                <w:szCs w:val="24"/>
              </w:rPr>
              <w:t xml:space="preserve">Trust Financial Returns 2004 </w:t>
            </w:r>
            <w:r w:rsidRPr="00E51082">
              <w:rPr>
                <w:szCs w:val="24"/>
              </w:rPr>
              <w:fldChar w:fldCharType="begin" w:fldLock="1"/>
            </w:r>
            <w:r w:rsidR="00706093">
              <w:rPr>
                <w:szCs w:val="24"/>
              </w:rPr>
              <w:instrText>ADDIN CSL_CITATION {"citationItems":[{"id":"ITEM-1","itemData":{"author":[{"dropping-particle":"","family":"Department of Health","given":"","non-dropping-particle":"","parse-names":false,"suffix":""}],"id":"ITEM-1","issued":{"date-parts":[["2000"]]},"publisher":"Department of Health","title":"NHS Trust Financial Returns","type":"book"},"uris":["http://www.mendeley.com/documents/?uuid=506f4311-a7e8-4103-8ce4-5fd8fb4a49c0"]}],"mendeley":{"formattedCitation":"(Department of Health 2000)","plainTextFormattedCitation":"(Department of Health 2000)","previouslyFormattedCitation":"(Department of Health 2000)"},"properties":{"noteIndex":0},"schema":"https://github.com/citation-style-language/schema/raw/master/csl-citation.json"}</w:instrText>
            </w:r>
            <w:r w:rsidRPr="00E51082">
              <w:rPr>
                <w:szCs w:val="24"/>
              </w:rPr>
              <w:fldChar w:fldCharType="separate"/>
            </w:r>
            <w:r w:rsidRPr="00E51082">
              <w:rPr>
                <w:noProof/>
                <w:szCs w:val="24"/>
              </w:rPr>
              <w:t>(Department of Health 2000)</w:t>
            </w:r>
            <w:r w:rsidRPr="00E51082">
              <w:rPr>
                <w:szCs w:val="24"/>
              </w:rPr>
              <w:fldChar w:fldCharType="end"/>
            </w:r>
          </w:p>
        </w:tc>
      </w:tr>
      <w:tr w:rsidR="00ED75E9" w:rsidRPr="00E51082" w14:paraId="1AD203D0" w14:textId="77777777" w:rsidTr="00ED75E9">
        <w:tc>
          <w:tcPr>
            <w:tcW w:w="1975" w:type="pct"/>
          </w:tcPr>
          <w:p w14:paraId="3A060454" w14:textId="1E4EA380" w:rsidR="00ED75E9" w:rsidRPr="00E51082" w:rsidRDefault="00ED75E9" w:rsidP="00ED75E9">
            <w:pPr>
              <w:framePr w:hSpace="180" w:wrap="around" w:vAnchor="text" w:hAnchor="text" w:y="1"/>
              <w:spacing w:line="240" w:lineRule="auto"/>
              <w:rPr>
                <w:szCs w:val="24"/>
              </w:rPr>
            </w:pPr>
            <w:r w:rsidRPr="00E51082">
              <w:rPr>
                <w:szCs w:val="24"/>
              </w:rPr>
              <w:t>A&amp;E attendance</w:t>
            </w:r>
            <w:r>
              <w:rPr>
                <w:szCs w:val="24"/>
                <w:vertAlign w:val="superscript"/>
              </w:rPr>
              <w:t>c</w:t>
            </w:r>
          </w:p>
        </w:tc>
        <w:tc>
          <w:tcPr>
            <w:tcW w:w="1107" w:type="pct"/>
          </w:tcPr>
          <w:p w14:paraId="13E0EAE0" w14:textId="77777777" w:rsidR="00ED75E9" w:rsidRPr="00E51082" w:rsidRDefault="00ED75E9" w:rsidP="00ED75E9">
            <w:pPr>
              <w:framePr w:hSpace="180" w:wrap="around" w:vAnchor="text" w:hAnchor="text" w:y="1"/>
              <w:spacing w:line="240" w:lineRule="auto"/>
              <w:jc w:val="center"/>
              <w:rPr>
                <w:szCs w:val="24"/>
              </w:rPr>
            </w:pPr>
            <w:r w:rsidRPr="00E51082">
              <w:rPr>
                <w:szCs w:val="24"/>
              </w:rPr>
              <w:t>73</w:t>
            </w:r>
          </w:p>
        </w:tc>
        <w:tc>
          <w:tcPr>
            <w:tcW w:w="1918" w:type="pct"/>
          </w:tcPr>
          <w:p w14:paraId="369F5D7B" w14:textId="16F7AEB8" w:rsidR="00ED75E9" w:rsidRPr="00E51082" w:rsidRDefault="00ED75E9" w:rsidP="00ED75E9">
            <w:pPr>
              <w:framePr w:hSpace="180" w:wrap="around" w:vAnchor="text" w:hAnchor="text" w:y="1"/>
              <w:spacing w:line="240" w:lineRule="auto"/>
              <w:rPr>
                <w:szCs w:val="24"/>
              </w:rPr>
            </w:pPr>
            <w:r w:rsidRPr="00E51082">
              <w:rPr>
                <w:szCs w:val="24"/>
              </w:rPr>
              <w:t xml:space="preserve">Reference costs 2004 </w:t>
            </w:r>
            <w:r w:rsidRPr="00E51082">
              <w:rPr>
                <w:szCs w:val="24"/>
              </w:rPr>
              <w:fldChar w:fldCharType="begin" w:fldLock="1"/>
            </w:r>
            <w:r w:rsidR="00706093">
              <w:rPr>
                <w:szCs w:val="24"/>
              </w:rPr>
              <w:instrText>ADDIN CSL_CITATION {"citationItems":[{"id":"ITEM-1","itemData":{"author":[{"dropping-particle":"","family":"Department of Health","given":"","non-dropping-particle":"","parse-names":false,"suffix":""}],"id":"ITEM-1","issued":{"date-parts":[["2005"]]},"publisher":"Department of Health,","title":"NHS reference costs 2004","type":"book"},"uris":["http://www.mendeley.com/documents/?uuid=071b7432-334f-4abb-be0d-f4a3bffafbc8"]}],"mendeley":{"formattedCitation":"(Department of Health 2005)","plainTextFormattedCitation":"(Department of Health 2005)","previouslyFormattedCitation":"(Department of Health 2005)"},"properties":{"noteIndex":0},"schema":"https://github.com/citation-style-language/schema/raw/master/csl-citation.json"}</w:instrText>
            </w:r>
            <w:r w:rsidRPr="00E51082">
              <w:rPr>
                <w:szCs w:val="24"/>
              </w:rPr>
              <w:fldChar w:fldCharType="separate"/>
            </w:r>
            <w:r w:rsidRPr="00E51082">
              <w:rPr>
                <w:noProof/>
                <w:szCs w:val="24"/>
              </w:rPr>
              <w:t>(Department of Health 2005)</w:t>
            </w:r>
            <w:r w:rsidRPr="00E51082">
              <w:rPr>
                <w:szCs w:val="24"/>
              </w:rPr>
              <w:fldChar w:fldCharType="end"/>
            </w:r>
          </w:p>
        </w:tc>
      </w:tr>
      <w:tr w:rsidR="00ED75E9" w:rsidRPr="00E51082" w14:paraId="51A79292" w14:textId="77777777" w:rsidTr="00ED75E9">
        <w:tc>
          <w:tcPr>
            <w:tcW w:w="1975" w:type="pct"/>
          </w:tcPr>
          <w:p w14:paraId="05E90B06" w14:textId="77777777" w:rsidR="00ED75E9" w:rsidRPr="00E51082" w:rsidRDefault="00ED75E9" w:rsidP="00ED75E9">
            <w:pPr>
              <w:framePr w:hSpace="180" w:wrap="around" w:vAnchor="text" w:hAnchor="text" w:y="1"/>
              <w:spacing w:line="240" w:lineRule="auto"/>
              <w:rPr>
                <w:szCs w:val="24"/>
              </w:rPr>
            </w:pPr>
            <w:r w:rsidRPr="00E51082">
              <w:rPr>
                <w:szCs w:val="24"/>
              </w:rPr>
              <w:t>NHS direct contact</w:t>
            </w:r>
          </w:p>
        </w:tc>
        <w:tc>
          <w:tcPr>
            <w:tcW w:w="1107" w:type="pct"/>
          </w:tcPr>
          <w:p w14:paraId="58588B18" w14:textId="77777777" w:rsidR="00ED75E9" w:rsidRPr="00E51082" w:rsidRDefault="00ED75E9" w:rsidP="00ED75E9">
            <w:pPr>
              <w:framePr w:hSpace="180" w:wrap="around" w:vAnchor="text" w:hAnchor="text" w:y="1"/>
              <w:spacing w:line="240" w:lineRule="auto"/>
              <w:jc w:val="center"/>
              <w:rPr>
                <w:szCs w:val="24"/>
              </w:rPr>
            </w:pPr>
            <w:r w:rsidRPr="00E51082">
              <w:rPr>
                <w:szCs w:val="24"/>
              </w:rPr>
              <w:t>25</w:t>
            </w:r>
          </w:p>
        </w:tc>
        <w:tc>
          <w:tcPr>
            <w:tcW w:w="1918" w:type="pct"/>
          </w:tcPr>
          <w:p w14:paraId="57DCEE1C" w14:textId="6FFBB565" w:rsidR="00ED75E9" w:rsidRPr="00E51082" w:rsidRDefault="00ED75E9" w:rsidP="00ED75E9">
            <w:pPr>
              <w:framePr w:hSpace="180" w:wrap="around" w:vAnchor="text" w:hAnchor="text" w:y="1"/>
              <w:spacing w:line="240" w:lineRule="auto"/>
              <w:rPr>
                <w:szCs w:val="24"/>
                <w:vertAlign w:val="superscript"/>
              </w:rPr>
            </w:pPr>
            <w:r w:rsidRPr="00E51082">
              <w:rPr>
                <w:szCs w:val="24"/>
              </w:rPr>
              <w:t xml:space="preserve">Hansard </w:t>
            </w:r>
            <w:r w:rsidRPr="00E51082">
              <w:rPr>
                <w:szCs w:val="24"/>
              </w:rPr>
              <w:fldChar w:fldCharType="begin" w:fldLock="1"/>
            </w:r>
            <w:r w:rsidR="00706093">
              <w:rPr>
                <w:szCs w:val="24"/>
              </w:rPr>
              <w:instrText>ADDIN CSL_CITATION {"citationItems":[{"id":"ITEM-1","itemData":{"URL":"http://www.theyworkforyou.com/wrans/?id=2004-10-19.191156.h","accessed":{"date-parts":[["2007","12","21"]]},"author":[{"dropping-particle":"","family":"Hansard","given":"","non-dropping-particle":"","parse-names":false,"suffix":""}],"id":"ITEM-1","issued":{"date-parts":[["2004"]]},"title":"Written answers, Tuesday 19 October 2004","type":"webpage"},"uris":["http://www.mendeley.com/documents/?uuid=afeb29bf-cd29-488e-a025-3f87503f2ec8"]},{"id":"ITEM-2","itemData":{"URL":"http://www.theyworkforyou.com/wrans/?id=2005-05-23a.480.h","accessed":{"date-parts":[["2007","12","21"]]},"author":[{"dropping-particle":"","family":"Hansard","given":"","non-dropping-particle":"","parse-names":false,"suffix":""}],"id":"ITEM-2","issued":{"date-parts":[["2004"]]},"title":"Written answers, Monday 23 May 2005","type":"webpage"},"uris":["http://www.mendeley.com/documents/?uuid=edaa9fc4-f96f-40b6-b641-30bef336571d"]}],"mendeley":{"formattedCitation":"(Hansard 2004b, 2004a)","plainTextFormattedCitation":"(Hansard 2004b, 2004a)","previouslyFormattedCitation":"(Hansard 2004b, 2004a)"},"properties":{"noteIndex":0},"schema":"https://github.com/citation-style-language/schema/raw/master/csl-citation.json"}</w:instrText>
            </w:r>
            <w:r w:rsidRPr="00E51082">
              <w:rPr>
                <w:szCs w:val="24"/>
              </w:rPr>
              <w:fldChar w:fldCharType="separate"/>
            </w:r>
            <w:r w:rsidR="001A2E66" w:rsidRPr="001A2E66">
              <w:rPr>
                <w:noProof/>
                <w:szCs w:val="24"/>
              </w:rPr>
              <w:t>(Hansard 2004b, 2004a)</w:t>
            </w:r>
            <w:r w:rsidRPr="00E51082">
              <w:rPr>
                <w:szCs w:val="24"/>
              </w:rPr>
              <w:fldChar w:fldCharType="end"/>
            </w:r>
          </w:p>
        </w:tc>
      </w:tr>
      <w:tr w:rsidR="00ED75E9" w:rsidRPr="00E51082" w14:paraId="721E94B1" w14:textId="77777777" w:rsidTr="00ED75E9">
        <w:tc>
          <w:tcPr>
            <w:tcW w:w="1975" w:type="pct"/>
            <w:tcBorders>
              <w:bottom w:val="single" w:sz="4" w:space="0" w:color="auto"/>
            </w:tcBorders>
          </w:tcPr>
          <w:p w14:paraId="24AEC22F" w14:textId="2AAEE48F" w:rsidR="00ED75E9" w:rsidRPr="00E51082" w:rsidRDefault="00ED75E9" w:rsidP="00ED75E9">
            <w:pPr>
              <w:framePr w:hSpace="180" w:wrap="around" w:vAnchor="text" w:hAnchor="text" w:y="1"/>
              <w:spacing w:line="240" w:lineRule="auto"/>
              <w:rPr>
                <w:szCs w:val="24"/>
              </w:rPr>
            </w:pPr>
            <w:r w:rsidRPr="00E51082">
              <w:rPr>
                <w:szCs w:val="24"/>
              </w:rPr>
              <w:t>Walk-in centre attendance</w:t>
            </w:r>
            <w:r>
              <w:rPr>
                <w:szCs w:val="24"/>
                <w:vertAlign w:val="superscript"/>
              </w:rPr>
              <w:t>c</w:t>
            </w:r>
          </w:p>
        </w:tc>
        <w:tc>
          <w:tcPr>
            <w:tcW w:w="1107" w:type="pct"/>
            <w:tcBorders>
              <w:bottom w:val="single" w:sz="4" w:space="0" w:color="auto"/>
            </w:tcBorders>
          </w:tcPr>
          <w:p w14:paraId="5F5C4210" w14:textId="77777777" w:rsidR="00ED75E9" w:rsidRPr="00E51082" w:rsidRDefault="00ED75E9" w:rsidP="00ED75E9">
            <w:pPr>
              <w:framePr w:hSpace="180" w:wrap="around" w:vAnchor="text" w:hAnchor="text" w:y="1"/>
              <w:spacing w:line="240" w:lineRule="auto"/>
              <w:jc w:val="center"/>
              <w:rPr>
                <w:szCs w:val="24"/>
              </w:rPr>
            </w:pPr>
            <w:r w:rsidRPr="00E51082">
              <w:rPr>
                <w:szCs w:val="24"/>
              </w:rPr>
              <w:t>39</w:t>
            </w:r>
          </w:p>
        </w:tc>
        <w:tc>
          <w:tcPr>
            <w:tcW w:w="1918" w:type="pct"/>
            <w:tcBorders>
              <w:bottom w:val="single" w:sz="4" w:space="0" w:color="auto"/>
            </w:tcBorders>
          </w:tcPr>
          <w:p w14:paraId="715F5A78" w14:textId="41AE47EC" w:rsidR="00ED75E9" w:rsidRPr="00E51082" w:rsidRDefault="00ED75E9" w:rsidP="00ED75E9">
            <w:pPr>
              <w:framePr w:hSpace="180" w:wrap="around" w:vAnchor="text" w:hAnchor="text" w:y="1"/>
              <w:spacing w:line="240" w:lineRule="auto"/>
              <w:rPr>
                <w:szCs w:val="24"/>
                <w:vertAlign w:val="superscript"/>
              </w:rPr>
            </w:pPr>
            <w:r w:rsidRPr="00E51082">
              <w:rPr>
                <w:szCs w:val="24"/>
              </w:rPr>
              <w:t xml:space="preserve">Reference costs 2004 </w:t>
            </w:r>
            <w:r w:rsidRPr="00E51082">
              <w:rPr>
                <w:szCs w:val="24"/>
              </w:rPr>
              <w:fldChar w:fldCharType="begin" w:fldLock="1"/>
            </w:r>
            <w:r w:rsidR="00706093">
              <w:rPr>
                <w:szCs w:val="24"/>
              </w:rPr>
              <w:instrText>ADDIN CSL_CITATION {"citationItems":[{"id":"ITEM-1","itemData":{"author":[{"dropping-particle":"","family":"Department of Health","given":"","non-dropping-particle":"","parse-names":false,"suffix":""}],"id":"ITEM-1","issued":{"date-parts":[["2005"]]},"publisher":"Department of Health,","title":"NHS reference costs 2004","type":"book"},"uris":["http://www.mendeley.com/documents/?uuid=071b7432-334f-4abb-be0d-f4a3bffafbc8"]}],"mendeley":{"formattedCitation":"(Department of Health 2005)","plainTextFormattedCitation":"(Department of Health 2005)","previouslyFormattedCitation":"(Department of Health 2005)"},"properties":{"noteIndex":0},"schema":"https://github.com/citation-style-language/schema/raw/master/csl-citation.json"}</w:instrText>
            </w:r>
            <w:r w:rsidRPr="00E51082">
              <w:rPr>
                <w:szCs w:val="24"/>
              </w:rPr>
              <w:fldChar w:fldCharType="separate"/>
            </w:r>
            <w:r w:rsidRPr="00E51082">
              <w:rPr>
                <w:noProof/>
                <w:szCs w:val="24"/>
              </w:rPr>
              <w:t>(Department of Health 2005)</w:t>
            </w:r>
            <w:r w:rsidRPr="00E51082">
              <w:rPr>
                <w:szCs w:val="24"/>
              </w:rPr>
              <w:fldChar w:fldCharType="end"/>
            </w:r>
          </w:p>
        </w:tc>
      </w:tr>
    </w:tbl>
    <w:p w14:paraId="1A3B481C" w14:textId="77777777" w:rsidR="00FE1663" w:rsidRPr="00E51082" w:rsidRDefault="00FE1663" w:rsidP="00FE1663">
      <w:pPr>
        <w:pStyle w:val="Caption"/>
        <w:ind w:right="-286"/>
        <w:rPr>
          <w:i/>
          <w:sz w:val="24"/>
          <w:szCs w:val="24"/>
        </w:rPr>
      </w:pPr>
      <w:r w:rsidRPr="00E51082">
        <w:rPr>
          <w:i/>
          <w:sz w:val="24"/>
          <w:szCs w:val="24"/>
        </w:rPr>
        <w:t>Notes</w:t>
      </w:r>
    </w:p>
    <w:p w14:paraId="6F4A0CBF" w14:textId="77777777" w:rsidR="00FE1663" w:rsidRPr="00E51082" w:rsidRDefault="00FE1663" w:rsidP="00A13075">
      <w:pPr>
        <w:numPr>
          <w:ilvl w:val="0"/>
          <w:numId w:val="7"/>
        </w:numPr>
        <w:spacing w:line="240" w:lineRule="auto"/>
        <w:ind w:left="357" w:right="-284" w:hanging="357"/>
        <w:rPr>
          <w:szCs w:val="24"/>
        </w:rPr>
      </w:pPr>
      <w:r w:rsidRPr="00E51082">
        <w:rPr>
          <w:szCs w:val="24"/>
        </w:rPr>
        <w:t>Includes surgery, home and telephone contacts. Unit cost based on most common type of contact; surgery contact.</w:t>
      </w:r>
    </w:p>
    <w:p w14:paraId="06D7EC88" w14:textId="77777777" w:rsidR="00FE1663" w:rsidRPr="00E51082" w:rsidRDefault="00FE1663" w:rsidP="00A13075">
      <w:pPr>
        <w:numPr>
          <w:ilvl w:val="0"/>
          <w:numId w:val="7"/>
        </w:numPr>
        <w:spacing w:line="240" w:lineRule="auto"/>
        <w:ind w:left="357" w:right="-284" w:hanging="357"/>
        <w:rPr>
          <w:szCs w:val="24"/>
        </w:rPr>
      </w:pPr>
      <w:r w:rsidRPr="00E51082">
        <w:rPr>
          <w:szCs w:val="24"/>
        </w:rPr>
        <w:t>Assuming a two-hour visit. No information was available on length of visit.</w:t>
      </w:r>
    </w:p>
    <w:p w14:paraId="2499DBAC" w14:textId="66DE85FA" w:rsidR="00FE1663" w:rsidRPr="00E51082" w:rsidRDefault="00FE1663" w:rsidP="00A13075">
      <w:pPr>
        <w:numPr>
          <w:ilvl w:val="0"/>
          <w:numId w:val="7"/>
        </w:numPr>
        <w:spacing w:line="240" w:lineRule="auto"/>
        <w:ind w:left="357" w:right="-284" w:hanging="357"/>
        <w:rPr>
          <w:szCs w:val="24"/>
        </w:rPr>
      </w:pPr>
      <w:r w:rsidRPr="00E51082">
        <w:rPr>
          <w:szCs w:val="24"/>
        </w:rPr>
        <w:t>Prices adjusted using inflation indices given in</w:t>
      </w:r>
      <w:r w:rsidR="00145C2A" w:rsidRPr="00E51082">
        <w:rPr>
          <w:szCs w:val="24"/>
        </w:rPr>
        <w:t xml:space="preserve"> Netten and Curtis 2004.</w:t>
      </w:r>
      <w:r w:rsidR="00145C2A" w:rsidRPr="00E51082">
        <w:rPr>
          <w:szCs w:val="24"/>
        </w:rPr>
        <w:fldChar w:fldCharType="begin" w:fldLock="1"/>
      </w:r>
      <w:r w:rsidR="00706093">
        <w:rPr>
          <w:szCs w:val="24"/>
        </w:rPr>
        <w:instrText>ADDIN CSL_CITATION {"citationItems":[{"id":"ITEM-1","itemData":{"author":[{"dropping-particle":"","family":"Netten","given":"Ann","non-dropping-particle":"","parse-names":false,"suffix":""},{"dropping-particle":"","family":"Curtis","given":"Lesley","non-dropping-particle":"","parse-names":false,"suffix":""}],"id":"ITEM-1","issued":{"date-parts":[["2004"]]},"publisher":"Personal Social Services Research Unit (PSSRU)","publisher-place":"University of Kent, Canterbury","title":"Unit Costs of Health and Social Care 2004","type":"report"},"uris":["http://www.mendeley.com/documents/?uuid=8b9efcff-4924-32ac-8782-7afec708fc95"]}],"mendeley":{"formattedCitation":"(Netten &amp; Curtis 2004)","plainTextFormattedCitation":"(Netten &amp; Curtis 2004)","previouslyFormattedCitation":"(Netten &amp; Curtis 2004)"},"properties":{"noteIndex":0},"schema":"https://github.com/citation-style-language/schema/raw/master/csl-citation.json"}</w:instrText>
      </w:r>
      <w:r w:rsidR="00145C2A" w:rsidRPr="00E51082">
        <w:rPr>
          <w:szCs w:val="24"/>
        </w:rPr>
        <w:fldChar w:fldCharType="separate"/>
      </w:r>
      <w:r w:rsidR="005A03D8" w:rsidRPr="00E51082">
        <w:rPr>
          <w:noProof/>
          <w:szCs w:val="24"/>
        </w:rPr>
        <w:t>(Netten &amp; Curtis 2004)</w:t>
      </w:r>
      <w:r w:rsidR="00145C2A" w:rsidRPr="00E51082">
        <w:rPr>
          <w:szCs w:val="24"/>
        </w:rPr>
        <w:fldChar w:fldCharType="end"/>
      </w:r>
    </w:p>
    <w:p w14:paraId="37FB43EB" w14:textId="599AA863" w:rsidR="00ED75E9" w:rsidRPr="00E51082" w:rsidRDefault="00ED75E9" w:rsidP="00ED75E9">
      <w:pPr>
        <w:numPr>
          <w:ilvl w:val="0"/>
          <w:numId w:val="7"/>
        </w:numPr>
        <w:spacing w:line="240" w:lineRule="auto"/>
        <w:ind w:left="357" w:right="-284" w:hanging="357"/>
        <w:rPr>
          <w:szCs w:val="24"/>
        </w:rPr>
      </w:pPr>
      <w:r w:rsidRPr="00E51082">
        <w:rPr>
          <w:szCs w:val="24"/>
        </w:rPr>
        <w:t>Includes crisis service, psychologist, psychotherapist, psychiatric outpatient and mother and baby psychiatric outpatient contacts. Unit cost based on most common type of contact; psychiatric outpatient contact.</w:t>
      </w:r>
    </w:p>
    <w:p w14:paraId="3D8D2D27" w14:textId="0D06D15E" w:rsidR="00FE1663" w:rsidRPr="00E51082" w:rsidRDefault="00ED75E9" w:rsidP="00A13075">
      <w:pPr>
        <w:numPr>
          <w:ilvl w:val="0"/>
          <w:numId w:val="7"/>
        </w:numPr>
        <w:spacing w:line="240" w:lineRule="auto"/>
        <w:ind w:left="357" w:right="-284" w:hanging="357"/>
        <w:rPr>
          <w:szCs w:val="24"/>
        </w:rPr>
      </w:pPr>
      <w:r w:rsidRPr="00E51082">
        <w:rPr>
          <w:szCs w:val="24"/>
        </w:rPr>
        <w:lastRenderedPageBreak/>
        <w:t>Includes counsellor, community psychiatric nurse (CPN), community mental health team (CMHT) and mental health nurse (MHN) contacts. Unit cost based on most common type of contact; CPN home visit.</w:t>
      </w:r>
    </w:p>
    <w:p w14:paraId="5591FD36" w14:textId="77777777" w:rsidR="00FE1663" w:rsidRPr="00E51082" w:rsidRDefault="00FE1663" w:rsidP="00A13075">
      <w:pPr>
        <w:numPr>
          <w:ilvl w:val="0"/>
          <w:numId w:val="7"/>
        </w:numPr>
        <w:spacing w:line="240" w:lineRule="auto"/>
        <w:ind w:left="357" w:right="-284" w:hanging="357"/>
        <w:rPr>
          <w:szCs w:val="24"/>
        </w:rPr>
      </w:pPr>
      <w:r w:rsidRPr="00E51082">
        <w:rPr>
          <w:szCs w:val="24"/>
        </w:rPr>
        <w:t>Based on most common drug and dosage for antidepressant prescriptions.</w:t>
      </w:r>
    </w:p>
    <w:p w14:paraId="5CABEA57" w14:textId="77777777" w:rsidR="00FE1663" w:rsidRPr="00E51082" w:rsidRDefault="00FE1663" w:rsidP="00A13075">
      <w:pPr>
        <w:numPr>
          <w:ilvl w:val="0"/>
          <w:numId w:val="7"/>
        </w:numPr>
        <w:spacing w:line="240" w:lineRule="auto"/>
        <w:ind w:left="357" w:right="-284" w:hanging="357"/>
        <w:rPr>
          <w:szCs w:val="24"/>
        </w:rPr>
        <w:sectPr w:rsidR="00FE1663" w:rsidRPr="00E51082" w:rsidSect="005A5375">
          <w:headerReference w:type="default" r:id="rId17"/>
          <w:footerReference w:type="default" r:id="rId18"/>
          <w:pgSz w:w="11906" w:h="16838" w:code="9"/>
          <w:pgMar w:top="1418" w:right="1418" w:bottom="1418" w:left="1418" w:header="720" w:footer="720" w:gutter="0"/>
          <w:pgBorders w:offsetFrom="page">
            <w:top w:val="single" w:sz="4" w:space="24" w:color="F2F2F2" w:themeColor="background1" w:themeShade="F2"/>
            <w:left w:val="single" w:sz="4" w:space="24" w:color="F2F2F2" w:themeColor="background1" w:themeShade="F2"/>
            <w:bottom w:val="single" w:sz="4" w:space="24" w:color="F2F2F2" w:themeColor="background1" w:themeShade="F2"/>
            <w:right w:val="single" w:sz="4" w:space="24" w:color="F2F2F2" w:themeColor="background1" w:themeShade="F2"/>
          </w:pgBorders>
          <w:pgNumType w:start="1"/>
          <w:cols w:space="720"/>
          <w:docGrid w:linePitch="326"/>
        </w:sectPr>
      </w:pPr>
      <w:r w:rsidRPr="00E51082">
        <w:rPr>
          <w:szCs w:val="24"/>
        </w:rPr>
        <w:t>Calculated as an average of the prescriptions for the eight most common indications.</w:t>
      </w:r>
    </w:p>
    <w:p w14:paraId="4A49F0C2" w14:textId="24781BF2" w:rsidR="00FE1663" w:rsidRPr="00E51082" w:rsidRDefault="00FE1663" w:rsidP="00FE1663">
      <w:pPr>
        <w:pStyle w:val="Caption"/>
        <w:rPr>
          <w:b w:val="0"/>
          <w:sz w:val="24"/>
          <w:szCs w:val="24"/>
        </w:rPr>
      </w:pPr>
      <w:bookmarkStart w:id="2" w:name="_Ref452720051"/>
      <w:r w:rsidRPr="00E51082">
        <w:rPr>
          <w:sz w:val="24"/>
          <w:szCs w:val="24"/>
        </w:rPr>
        <w:lastRenderedPageBreak/>
        <w:t xml:space="preserve">Table </w:t>
      </w:r>
      <w:r w:rsidRPr="00E51082">
        <w:rPr>
          <w:sz w:val="24"/>
          <w:szCs w:val="24"/>
        </w:rPr>
        <w:fldChar w:fldCharType="begin"/>
      </w:r>
      <w:r w:rsidRPr="00E51082">
        <w:rPr>
          <w:sz w:val="24"/>
          <w:szCs w:val="24"/>
        </w:rPr>
        <w:instrText xml:space="preserve"> SEQ Table \* ARABIC </w:instrText>
      </w:r>
      <w:r w:rsidRPr="00E51082">
        <w:rPr>
          <w:sz w:val="24"/>
          <w:szCs w:val="24"/>
        </w:rPr>
        <w:fldChar w:fldCharType="separate"/>
      </w:r>
      <w:r w:rsidRPr="00E51082">
        <w:rPr>
          <w:noProof/>
          <w:sz w:val="24"/>
          <w:szCs w:val="24"/>
        </w:rPr>
        <w:t>2</w:t>
      </w:r>
      <w:r w:rsidRPr="00E51082">
        <w:rPr>
          <w:sz w:val="24"/>
          <w:szCs w:val="24"/>
        </w:rPr>
        <w:fldChar w:fldCharType="end"/>
      </w:r>
      <w:bookmarkEnd w:id="2"/>
      <w:r w:rsidR="00A13075">
        <w:rPr>
          <w:sz w:val="24"/>
          <w:szCs w:val="24"/>
        </w:rPr>
        <w:t>.</w:t>
      </w:r>
      <w:r w:rsidRPr="00E51082">
        <w:rPr>
          <w:sz w:val="24"/>
          <w:szCs w:val="24"/>
        </w:rPr>
        <w:t xml:space="preserve"> </w:t>
      </w:r>
      <w:r w:rsidRPr="00A13075">
        <w:rPr>
          <w:b w:val="0"/>
          <w:sz w:val="24"/>
          <w:szCs w:val="24"/>
        </w:rPr>
        <w:t>Resource use at 6-months, available cases</w:t>
      </w:r>
    </w:p>
    <w:tbl>
      <w:tblPr>
        <w:tblW w:w="5073" w:type="pct"/>
        <w:tblCellMar>
          <w:left w:w="57" w:type="dxa"/>
          <w:right w:w="57" w:type="dxa"/>
        </w:tblCellMar>
        <w:tblLook w:val="00A0" w:firstRow="1" w:lastRow="0" w:firstColumn="1" w:lastColumn="0" w:noHBand="0" w:noVBand="0"/>
      </w:tblPr>
      <w:tblGrid>
        <w:gridCol w:w="2185"/>
        <w:gridCol w:w="1545"/>
        <w:gridCol w:w="1638"/>
        <w:gridCol w:w="1413"/>
        <w:gridCol w:w="1412"/>
        <w:gridCol w:w="2678"/>
        <w:gridCol w:w="2281"/>
        <w:gridCol w:w="2340"/>
        <w:gridCol w:w="131"/>
      </w:tblGrid>
      <w:tr w:rsidR="00E51082" w:rsidRPr="00E51082" w14:paraId="54839449" w14:textId="77777777" w:rsidTr="009541FA">
        <w:tc>
          <w:tcPr>
            <w:tcW w:w="699" w:type="pct"/>
            <w:vMerge w:val="restart"/>
            <w:tcBorders>
              <w:top w:val="single" w:sz="4" w:space="0" w:color="auto"/>
              <w:bottom w:val="single" w:sz="4" w:space="0" w:color="auto"/>
              <w:right w:val="single" w:sz="4" w:space="0" w:color="auto"/>
            </w:tcBorders>
          </w:tcPr>
          <w:p w14:paraId="11A62490" w14:textId="77777777" w:rsidR="00FE1663" w:rsidRPr="00E51082" w:rsidRDefault="00FE1663" w:rsidP="00A13075">
            <w:pPr>
              <w:spacing w:line="240" w:lineRule="auto"/>
              <w:rPr>
                <w:szCs w:val="24"/>
              </w:rPr>
            </w:pPr>
            <w:r w:rsidRPr="00E51082">
              <w:rPr>
                <w:szCs w:val="24"/>
              </w:rPr>
              <w:t>Item</w:t>
            </w:r>
          </w:p>
        </w:tc>
        <w:tc>
          <w:tcPr>
            <w:tcW w:w="494" w:type="pct"/>
            <w:tcBorders>
              <w:top w:val="single" w:sz="4" w:space="0" w:color="auto"/>
              <w:left w:val="single" w:sz="4" w:space="0" w:color="auto"/>
            </w:tcBorders>
          </w:tcPr>
          <w:p w14:paraId="2DD552E0" w14:textId="77777777" w:rsidR="00FE1663" w:rsidRPr="00E51082" w:rsidRDefault="00FE1663" w:rsidP="00A13075">
            <w:pPr>
              <w:spacing w:line="240" w:lineRule="auto"/>
              <w:rPr>
                <w:szCs w:val="24"/>
              </w:rPr>
            </w:pPr>
            <w:r w:rsidRPr="00E51082">
              <w:rPr>
                <w:szCs w:val="24"/>
              </w:rPr>
              <w:t>Control</w:t>
            </w:r>
          </w:p>
        </w:tc>
        <w:tc>
          <w:tcPr>
            <w:tcW w:w="524" w:type="pct"/>
            <w:tcBorders>
              <w:top w:val="single" w:sz="4" w:space="0" w:color="auto"/>
            </w:tcBorders>
          </w:tcPr>
          <w:p w14:paraId="6BD91571" w14:textId="77777777" w:rsidR="00FE1663" w:rsidRPr="00E51082" w:rsidRDefault="00FE1663" w:rsidP="00A13075">
            <w:pPr>
              <w:spacing w:line="240" w:lineRule="auto"/>
              <w:rPr>
                <w:szCs w:val="24"/>
              </w:rPr>
            </w:pPr>
            <w:r w:rsidRPr="00E51082">
              <w:rPr>
                <w:szCs w:val="24"/>
              </w:rPr>
              <w:t>Intervention</w:t>
            </w:r>
          </w:p>
          <w:p w14:paraId="0218877E" w14:textId="77777777" w:rsidR="00FE1663" w:rsidRPr="00E51082" w:rsidRDefault="00FE1663" w:rsidP="00A13075">
            <w:pPr>
              <w:spacing w:line="240" w:lineRule="auto"/>
              <w:rPr>
                <w:szCs w:val="24"/>
              </w:rPr>
            </w:pPr>
            <w:r w:rsidRPr="00E51082">
              <w:rPr>
                <w:szCs w:val="24"/>
              </w:rPr>
              <w:t>(combined)</w:t>
            </w:r>
          </w:p>
        </w:tc>
        <w:tc>
          <w:tcPr>
            <w:tcW w:w="452" w:type="pct"/>
            <w:tcBorders>
              <w:top w:val="single" w:sz="4" w:space="0" w:color="auto"/>
            </w:tcBorders>
          </w:tcPr>
          <w:p w14:paraId="02128E92" w14:textId="77777777" w:rsidR="00FE1663" w:rsidRPr="00E51082" w:rsidRDefault="00FE1663" w:rsidP="00A13075">
            <w:pPr>
              <w:spacing w:line="240" w:lineRule="auto"/>
              <w:rPr>
                <w:szCs w:val="24"/>
              </w:rPr>
            </w:pPr>
            <w:r w:rsidRPr="00E51082">
              <w:rPr>
                <w:szCs w:val="24"/>
              </w:rPr>
              <w:t xml:space="preserve">Intervention (CBA) </w:t>
            </w:r>
          </w:p>
        </w:tc>
        <w:tc>
          <w:tcPr>
            <w:tcW w:w="452" w:type="pct"/>
            <w:tcBorders>
              <w:top w:val="single" w:sz="4" w:space="0" w:color="auto"/>
              <w:right w:val="single" w:sz="4" w:space="0" w:color="auto"/>
            </w:tcBorders>
          </w:tcPr>
          <w:p w14:paraId="1CF42773" w14:textId="77777777" w:rsidR="00FE1663" w:rsidRPr="00E51082" w:rsidRDefault="00FE1663" w:rsidP="00A13075">
            <w:pPr>
              <w:spacing w:line="240" w:lineRule="auto"/>
              <w:rPr>
                <w:szCs w:val="24"/>
              </w:rPr>
            </w:pPr>
            <w:r w:rsidRPr="00E51082">
              <w:rPr>
                <w:szCs w:val="24"/>
              </w:rPr>
              <w:t>Intervention (PCA)</w:t>
            </w:r>
          </w:p>
        </w:tc>
        <w:tc>
          <w:tcPr>
            <w:tcW w:w="857" w:type="pct"/>
            <w:tcBorders>
              <w:top w:val="single" w:sz="4" w:space="0" w:color="auto"/>
              <w:left w:val="single" w:sz="4" w:space="0" w:color="auto"/>
            </w:tcBorders>
          </w:tcPr>
          <w:p w14:paraId="5D9A17ED" w14:textId="77777777" w:rsidR="00FE1663" w:rsidRPr="00E51082" w:rsidRDefault="00FE1663" w:rsidP="00A13075">
            <w:pPr>
              <w:spacing w:line="240" w:lineRule="auto"/>
              <w:rPr>
                <w:szCs w:val="24"/>
              </w:rPr>
            </w:pPr>
            <w:r w:rsidRPr="00E51082">
              <w:rPr>
                <w:szCs w:val="24"/>
              </w:rPr>
              <w:t>Intervention (combined)</w:t>
            </w:r>
          </w:p>
          <w:p w14:paraId="7B94B749" w14:textId="77777777" w:rsidR="00FE1663" w:rsidRPr="00E51082" w:rsidRDefault="00FE1663" w:rsidP="00A13075">
            <w:pPr>
              <w:spacing w:line="240" w:lineRule="auto"/>
              <w:rPr>
                <w:szCs w:val="24"/>
              </w:rPr>
            </w:pPr>
          </w:p>
        </w:tc>
        <w:tc>
          <w:tcPr>
            <w:tcW w:w="730" w:type="pct"/>
            <w:tcBorders>
              <w:top w:val="single" w:sz="4" w:space="0" w:color="auto"/>
            </w:tcBorders>
          </w:tcPr>
          <w:p w14:paraId="134863B5" w14:textId="77777777" w:rsidR="00FE1663" w:rsidRPr="00E51082" w:rsidRDefault="00FE1663" w:rsidP="00A13075">
            <w:pPr>
              <w:spacing w:line="240" w:lineRule="auto"/>
              <w:rPr>
                <w:szCs w:val="24"/>
              </w:rPr>
            </w:pPr>
            <w:r w:rsidRPr="00E51082">
              <w:rPr>
                <w:szCs w:val="24"/>
              </w:rPr>
              <w:t xml:space="preserve">Intervention (CBA) </w:t>
            </w:r>
          </w:p>
          <w:p w14:paraId="5B25D7B7" w14:textId="77777777" w:rsidR="00FE1663" w:rsidRPr="00E51082" w:rsidRDefault="00FE1663" w:rsidP="00A13075">
            <w:pPr>
              <w:spacing w:line="240" w:lineRule="auto"/>
              <w:rPr>
                <w:szCs w:val="24"/>
              </w:rPr>
            </w:pPr>
          </w:p>
        </w:tc>
        <w:tc>
          <w:tcPr>
            <w:tcW w:w="749" w:type="pct"/>
            <w:tcBorders>
              <w:top w:val="single" w:sz="4" w:space="0" w:color="auto"/>
            </w:tcBorders>
          </w:tcPr>
          <w:p w14:paraId="55D173D3" w14:textId="77777777" w:rsidR="00FE1663" w:rsidRPr="00E51082" w:rsidRDefault="00FE1663" w:rsidP="00A13075">
            <w:pPr>
              <w:spacing w:line="240" w:lineRule="auto"/>
              <w:rPr>
                <w:szCs w:val="24"/>
              </w:rPr>
            </w:pPr>
            <w:r w:rsidRPr="00E51082">
              <w:rPr>
                <w:szCs w:val="24"/>
              </w:rPr>
              <w:t xml:space="preserve">Intervention (PCA) </w:t>
            </w:r>
          </w:p>
          <w:p w14:paraId="5F555884" w14:textId="77777777" w:rsidR="00FE1663" w:rsidRPr="00E51082" w:rsidRDefault="00FE1663" w:rsidP="00A13075">
            <w:pPr>
              <w:spacing w:line="240" w:lineRule="auto"/>
              <w:rPr>
                <w:szCs w:val="24"/>
              </w:rPr>
            </w:pPr>
          </w:p>
        </w:tc>
        <w:tc>
          <w:tcPr>
            <w:tcW w:w="42" w:type="pct"/>
            <w:tcBorders>
              <w:top w:val="single" w:sz="4" w:space="0" w:color="auto"/>
            </w:tcBorders>
          </w:tcPr>
          <w:p w14:paraId="6831AB40" w14:textId="77777777" w:rsidR="00FE1663" w:rsidRPr="00E51082" w:rsidRDefault="00FE1663" w:rsidP="00A13075">
            <w:pPr>
              <w:spacing w:line="240" w:lineRule="auto"/>
              <w:jc w:val="center"/>
              <w:rPr>
                <w:szCs w:val="24"/>
              </w:rPr>
            </w:pPr>
          </w:p>
        </w:tc>
      </w:tr>
      <w:tr w:rsidR="00E51082" w:rsidRPr="00E51082" w14:paraId="7B76C4BB" w14:textId="77777777" w:rsidTr="009541FA">
        <w:tc>
          <w:tcPr>
            <w:tcW w:w="699" w:type="pct"/>
            <w:vMerge/>
            <w:tcBorders>
              <w:bottom w:val="single" w:sz="4" w:space="0" w:color="auto"/>
              <w:right w:val="single" w:sz="4" w:space="0" w:color="auto"/>
            </w:tcBorders>
            <w:vAlign w:val="center"/>
          </w:tcPr>
          <w:p w14:paraId="56DC8CC9" w14:textId="77777777" w:rsidR="00FE1663" w:rsidRPr="00E51082" w:rsidRDefault="00FE1663" w:rsidP="00A13075">
            <w:pPr>
              <w:spacing w:line="240" w:lineRule="auto"/>
              <w:rPr>
                <w:szCs w:val="24"/>
              </w:rPr>
            </w:pPr>
          </w:p>
        </w:tc>
        <w:tc>
          <w:tcPr>
            <w:tcW w:w="494" w:type="pct"/>
            <w:tcBorders>
              <w:left w:val="single" w:sz="4" w:space="0" w:color="auto"/>
            </w:tcBorders>
          </w:tcPr>
          <w:p w14:paraId="6611D3CF" w14:textId="77777777" w:rsidR="00FE1663" w:rsidRPr="00E51082" w:rsidRDefault="00FE1663" w:rsidP="00A13075">
            <w:pPr>
              <w:spacing w:line="240" w:lineRule="auto"/>
              <w:rPr>
                <w:szCs w:val="24"/>
              </w:rPr>
            </w:pPr>
            <w:r w:rsidRPr="00E51082">
              <w:rPr>
                <w:szCs w:val="24"/>
              </w:rPr>
              <w:t>Mean (SE) n=417</w:t>
            </w:r>
          </w:p>
        </w:tc>
        <w:tc>
          <w:tcPr>
            <w:tcW w:w="524" w:type="pct"/>
          </w:tcPr>
          <w:p w14:paraId="54F78F67" w14:textId="77777777" w:rsidR="00FE1663" w:rsidRPr="00E51082" w:rsidRDefault="00FE1663" w:rsidP="00A13075">
            <w:pPr>
              <w:spacing w:line="240" w:lineRule="auto"/>
              <w:rPr>
                <w:szCs w:val="24"/>
              </w:rPr>
            </w:pPr>
            <w:r w:rsidRPr="00E51082">
              <w:rPr>
                <w:szCs w:val="24"/>
              </w:rPr>
              <w:t>Mean (SE) n=1042</w:t>
            </w:r>
          </w:p>
        </w:tc>
        <w:tc>
          <w:tcPr>
            <w:tcW w:w="452" w:type="pct"/>
          </w:tcPr>
          <w:p w14:paraId="38454F24" w14:textId="77777777" w:rsidR="00FE1663" w:rsidRPr="00E51082" w:rsidRDefault="00FE1663" w:rsidP="00A13075">
            <w:pPr>
              <w:spacing w:line="240" w:lineRule="auto"/>
              <w:rPr>
                <w:szCs w:val="24"/>
              </w:rPr>
            </w:pPr>
            <w:r w:rsidRPr="00E51082">
              <w:rPr>
                <w:szCs w:val="24"/>
              </w:rPr>
              <w:t>Mean (SE)</w:t>
            </w:r>
          </w:p>
          <w:p w14:paraId="55F9E10F" w14:textId="77777777" w:rsidR="00FE1663" w:rsidRPr="00E51082" w:rsidRDefault="00FE1663" w:rsidP="00A13075">
            <w:pPr>
              <w:spacing w:line="240" w:lineRule="auto"/>
              <w:rPr>
                <w:szCs w:val="24"/>
              </w:rPr>
            </w:pPr>
            <w:r w:rsidRPr="00E51082">
              <w:rPr>
                <w:szCs w:val="24"/>
              </w:rPr>
              <w:t>n=553</w:t>
            </w:r>
          </w:p>
        </w:tc>
        <w:tc>
          <w:tcPr>
            <w:tcW w:w="452" w:type="pct"/>
            <w:tcBorders>
              <w:right w:val="single" w:sz="4" w:space="0" w:color="auto"/>
            </w:tcBorders>
          </w:tcPr>
          <w:p w14:paraId="6E3BD324" w14:textId="77777777" w:rsidR="00FE1663" w:rsidRPr="00E51082" w:rsidRDefault="00FE1663" w:rsidP="00A13075">
            <w:pPr>
              <w:spacing w:line="240" w:lineRule="auto"/>
              <w:rPr>
                <w:szCs w:val="24"/>
              </w:rPr>
            </w:pPr>
            <w:r w:rsidRPr="00E51082">
              <w:rPr>
                <w:szCs w:val="24"/>
              </w:rPr>
              <w:t>Mean (SE)</w:t>
            </w:r>
          </w:p>
          <w:p w14:paraId="081FEBFD" w14:textId="77777777" w:rsidR="00FE1663" w:rsidRPr="00E51082" w:rsidRDefault="00FE1663" w:rsidP="00A13075">
            <w:pPr>
              <w:spacing w:line="240" w:lineRule="auto"/>
              <w:rPr>
                <w:szCs w:val="24"/>
              </w:rPr>
            </w:pPr>
            <w:r w:rsidRPr="00E51082">
              <w:rPr>
                <w:szCs w:val="24"/>
              </w:rPr>
              <w:t>n=489</w:t>
            </w:r>
          </w:p>
        </w:tc>
        <w:tc>
          <w:tcPr>
            <w:tcW w:w="857" w:type="pct"/>
            <w:tcBorders>
              <w:left w:val="single" w:sz="4" w:space="0" w:color="auto"/>
            </w:tcBorders>
          </w:tcPr>
          <w:p w14:paraId="4BAD0F91" w14:textId="77777777" w:rsidR="00FE1663" w:rsidRPr="00E51082" w:rsidRDefault="00FE1663" w:rsidP="00A13075">
            <w:pPr>
              <w:spacing w:line="240" w:lineRule="auto"/>
              <w:rPr>
                <w:szCs w:val="24"/>
              </w:rPr>
            </w:pPr>
            <w:r w:rsidRPr="00E51082">
              <w:rPr>
                <w:szCs w:val="24"/>
              </w:rPr>
              <w:t>Mean difference from control</w:t>
            </w:r>
          </w:p>
          <w:p w14:paraId="493B1287" w14:textId="77777777" w:rsidR="00FE1663" w:rsidRPr="00E51082" w:rsidRDefault="00FE1663" w:rsidP="00A13075">
            <w:pPr>
              <w:spacing w:line="240" w:lineRule="auto"/>
              <w:rPr>
                <w:szCs w:val="24"/>
              </w:rPr>
            </w:pPr>
            <w:r w:rsidRPr="00E51082">
              <w:rPr>
                <w:szCs w:val="24"/>
              </w:rPr>
              <w:t>(95% confidence interval)</w:t>
            </w:r>
          </w:p>
        </w:tc>
        <w:tc>
          <w:tcPr>
            <w:tcW w:w="730" w:type="pct"/>
          </w:tcPr>
          <w:p w14:paraId="7A42B19C" w14:textId="77777777" w:rsidR="00FE1663" w:rsidRPr="00E51082" w:rsidRDefault="00FE1663" w:rsidP="00A13075">
            <w:pPr>
              <w:spacing w:line="240" w:lineRule="auto"/>
              <w:rPr>
                <w:szCs w:val="24"/>
              </w:rPr>
            </w:pPr>
            <w:r w:rsidRPr="00E51082">
              <w:rPr>
                <w:szCs w:val="24"/>
              </w:rPr>
              <w:t>Mean difference from control</w:t>
            </w:r>
          </w:p>
          <w:p w14:paraId="6BA4B571" w14:textId="77777777" w:rsidR="00FE1663" w:rsidRPr="00E51082" w:rsidRDefault="00FE1663" w:rsidP="00A13075">
            <w:pPr>
              <w:spacing w:line="240" w:lineRule="auto"/>
              <w:rPr>
                <w:szCs w:val="24"/>
              </w:rPr>
            </w:pPr>
            <w:r w:rsidRPr="00E51082">
              <w:rPr>
                <w:szCs w:val="24"/>
              </w:rPr>
              <w:t>(95% confidence interval)</w:t>
            </w:r>
          </w:p>
        </w:tc>
        <w:tc>
          <w:tcPr>
            <w:tcW w:w="749" w:type="pct"/>
          </w:tcPr>
          <w:p w14:paraId="28D18EFD" w14:textId="77777777" w:rsidR="00FE1663" w:rsidRPr="00E51082" w:rsidRDefault="00FE1663" w:rsidP="00A13075">
            <w:pPr>
              <w:spacing w:line="240" w:lineRule="auto"/>
              <w:rPr>
                <w:szCs w:val="24"/>
              </w:rPr>
            </w:pPr>
            <w:r w:rsidRPr="00E51082">
              <w:rPr>
                <w:szCs w:val="24"/>
              </w:rPr>
              <w:t>Mean difference from control</w:t>
            </w:r>
          </w:p>
          <w:p w14:paraId="0A6738C9" w14:textId="77777777" w:rsidR="00FE1663" w:rsidRPr="00E51082" w:rsidRDefault="00FE1663" w:rsidP="00A13075">
            <w:pPr>
              <w:spacing w:line="240" w:lineRule="auto"/>
              <w:rPr>
                <w:szCs w:val="24"/>
              </w:rPr>
            </w:pPr>
            <w:r w:rsidRPr="00E51082">
              <w:rPr>
                <w:szCs w:val="24"/>
              </w:rPr>
              <w:t>(95% confidence interval)</w:t>
            </w:r>
          </w:p>
        </w:tc>
        <w:tc>
          <w:tcPr>
            <w:tcW w:w="42" w:type="pct"/>
          </w:tcPr>
          <w:p w14:paraId="34FA2554" w14:textId="77777777" w:rsidR="00FE1663" w:rsidRPr="00E51082" w:rsidRDefault="00FE1663" w:rsidP="00A13075">
            <w:pPr>
              <w:spacing w:line="240" w:lineRule="auto"/>
              <w:rPr>
                <w:szCs w:val="24"/>
              </w:rPr>
            </w:pPr>
          </w:p>
        </w:tc>
      </w:tr>
      <w:tr w:rsidR="00E51082" w:rsidRPr="00E51082" w14:paraId="34B849D1" w14:textId="77777777" w:rsidTr="009541FA">
        <w:tc>
          <w:tcPr>
            <w:tcW w:w="699" w:type="pct"/>
            <w:tcBorders>
              <w:top w:val="single" w:sz="4" w:space="0" w:color="auto"/>
              <w:right w:val="single" w:sz="4" w:space="0" w:color="auto"/>
            </w:tcBorders>
            <w:vAlign w:val="center"/>
          </w:tcPr>
          <w:p w14:paraId="16662323" w14:textId="77777777" w:rsidR="00FE1663" w:rsidRPr="00E51082" w:rsidRDefault="00FE1663" w:rsidP="00A13075">
            <w:pPr>
              <w:spacing w:line="240" w:lineRule="auto"/>
              <w:rPr>
                <w:szCs w:val="24"/>
              </w:rPr>
            </w:pPr>
            <w:r w:rsidRPr="00E51082">
              <w:rPr>
                <w:szCs w:val="24"/>
              </w:rPr>
              <w:t>HV total contacts</w:t>
            </w:r>
            <w:r w:rsidRPr="00E51082">
              <w:rPr>
                <w:szCs w:val="24"/>
                <w:vertAlign w:val="superscript"/>
              </w:rPr>
              <w:t>a</w:t>
            </w:r>
          </w:p>
        </w:tc>
        <w:tc>
          <w:tcPr>
            <w:tcW w:w="494" w:type="pct"/>
            <w:tcBorders>
              <w:top w:val="single" w:sz="4" w:space="0" w:color="auto"/>
              <w:left w:val="single" w:sz="4" w:space="0" w:color="auto"/>
            </w:tcBorders>
            <w:vAlign w:val="center"/>
          </w:tcPr>
          <w:p w14:paraId="675EAA16" w14:textId="77D46E18" w:rsidR="00FE1663" w:rsidRPr="00E51082" w:rsidRDefault="00FE1663" w:rsidP="00A13075">
            <w:pPr>
              <w:spacing w:line="240" w:lineRule="auto"/>
              <w:rPr>
                <w:szCs w:val="24"/>
              </w:rPr>
            </w:pPr>
            <w:r w:rsidRPr="00E51082">
              <w:rPr>
                <w:szCs w:val="24"/>
              </w:rPr>
              <w:t>8</w:t>
            </w:r>
            <w:r w:rsidR="001323B8" w:rsidRPr="00E51082">
              <w:rPr>
                <w:szCs w:val="24"/>
              </w:rPr>
              <w:t>.</w:t>
            </w:r>
            <w:r w:rsidRPr="00E51082">
              <w:rPr>
                <w:szCs w:val="24"/>
              </w:rPr>
              <w:t>0 (0</w:t>
            </w:r>
            <w:r w:rsidR="001323B8" w:rsidRPr="00E51082">
              <w:rPr>
                <w:szCs w:val="24"/>
              </w:rPr>
              <w:t>.</w:t>
            </w:r>
            <w:r w:rsidRPr="00E51082">
              <w:rPr>
                <w:szCs w:val="24"/>
              </w:rPr>
              <w:t>8)</w:t>
            </w:r>
          </w:p>
        </w:tc>
        <w:tc>
          <w:tcPr>
            <w:tcW w:w="524" w:type="pct"/>
            <w:tcBorders>
              <w:top w:val="single" w:sz="4" w:space="0" w:color="auto"/>
            </w:tcBorders>
            <w:vAlign w:val="center"/>
          </w:tcPr>
          <w:p w14:paraId="35B00CEC" w14:textId="0CD99A9C" w:rsidR="00FE1663" w:rsidRPr="00E51082" w:rsidRDefault="00FE1663" w:rsidP="00A13075">
            <w:pPr>
              <w:spacing w:line="240" w:lineRule="auto"/>
              <w:rPr>
                <w:szCs w:val="24"/>
              </w:rPr>
            </w:pPr>
            <w:r w:rsidRPr="00E51082">
              <w:rPr>
                <w:szCs w:val="24"/>
              </w:rPr>
              <w:t>6</w:t>
            </w:r>
            <w:r w:rsidR="001323B8" w:rsidRPr="00E51082">
              <w:rPr>
                <w:szCs w:val="24"/>
              </w:rPr>
              <w:t>.</w:t>
            </w:r>
            <w:r w:rsidRPr="00E51082">
              <w:rPr>
                <w:szCs w:val="24"/>
              </w:rPr>
              <w:t>4 (0</w:t>
            </w:r>
            <w:r w:rsidR="001323B8" w:rsidRPr="00E51082">
              <w:rPr>
                <w:szCs w:val="24"/>
              </w:rPr>
              <w:t>.</w:t>
            </w:r>
            <w:r w:rsidRPr="00E51082">
              <w:rPr>
                <w:szCs w:val="24"/>
              </w:rPr>
              <w:t>5)</w:t>
            </w:r>
          </w:p>
        </w:tc>
        <w:tc>
          <w:tcPr>
            <w:tcW w:w="452" w:type="pct"/>
            <w:tcBorders>
              <w:top w:val="single" w:sz="4" w:space="0" w:color="auto"/>
            </w:tcBorders>
            <w:vAlign w:val="center"/>
          </w:tcPr>
          <w:p w14:paraId="3DEC8809" w14:textId="317DE112" w:rsidR="00FE1663" w:rsidRPr="00E51082" w:rsidRDefault="00FE1663" w:rsidP="00A13075">
            <w:pPr>
              <w:spacing w:line="240" w:lineRule="auto"/>
              <w:rPr>
                <w:szCs w:val="24"/>
              </w:rPr>
            </w:pPr>
            <w:r w:rsidRPr="00E51082">
              <w:rPr>
                <w:szCs w:val="24"/>
              </w:rPr>
              <w:t>6</w:t>
            </w:r>
            <w:r w:rsidR="001323B8" w:rsidRPr="00E51082">
              <w:rPr>
                <w:szCs w:val="24"/>
              </w:rPr>
              <w:t>.</w:t>
            </w:r>
            <w:r w:rsidRPr="00E51082">
              <w:rPr>
                <w:szCs w:val="24"/>
              </w:rPr>
              <w:t>7 (0</w:t>
            </w:r>
            <w:r w:rsidR="001323B8" w:rsidRPr="00E51082">
              <w:rPr>
                <w:szCs w:val="24"/>
              </w:rPr>
              <w:t>.</w:t>
            </w:r>
            <w:r w:rsidRPr="00E51082">
              <w:rPr>
                <w:szCs w:val="24"/>
              </w:rPr>
              <w:t>8)</w:t>
            </w:r>
          </w:p>
        </w:tc>
        <w:tc>
          <w:tcPr>
            <w:tcW w:w="452" w:type="pct"/>
            <w:tcBorders>
              <w:top w:val="single" w:sz="4" w:space="0" w:color="auto"/>
              <w:right w:val="single" w:sz="4" w:space="0" w:color="auto"/>
            </w:tcBorders>
            <w:vAlign w:val="center"/>
          </w:tcPr>
          <w:p w14:paraId="362B93FE" w14:textId="18996CD7" w:rsidR="00FE1663" w:rsidRPr="00E51082" w:rsidRDefault="00FE1663" w:rsidP="00A13075">
            <w:pPr>
              <w:spacing w:line="240" w:lineRule="auto"/>
              <w:rPr>
                <w:szCs w:val="24"/>
              </w:rPr>
            </w:pPr>
            <w:r w:rsidRPr="00E51082">
              <w:rPr>
                <w:szCs w:val="24"/>
              </w:rPr>
              <w:t>6</w:t>
            </w:r>
            <w:r w:rsidR="001323B8" w:rsidRPr="00E51082">
              <w:rPr>
                <w:szCs w:val="24"/>
              </w:rPr>
              <w:t>.</w:t>
            </w:r>
            <w:r w:rsidRPr="00E51082">
              <w:rPr>
                <w:szCs w:val="24"/>
              </w:rPr>
              <w:t>1 (0</w:t>
            </w:r>
            <w:r w:rsidR="001323B8" w:rsidRPr="00E51082">
              <w:rPr>
                <w:szCs w:val="24"/>
              </w:rPr>
              <w:t>.</w:t>
            </w:r>
            <w:r w:rsidRPr="00E51082">
              <w:rPr>
                <w:szCs w:val="24"/>
              </w:rPr>
              <w:t>9)</w:t>
            </w:r>
          </w:p>
        </w:tc>
        <w:tc>
          <w:tcPr>
            <w:tcW w:w="857" w:type="pct"/>
            <w:tcBorders>
              <w:top w:val="single" w:sz="4" w:space="0" w:color="auto"/>
              <w:left w:val="single" w:sz="4" w:space="0" w:color="auto"/>
            </w:tcBorders>
            <w:vAlign w:val="center"/>
          </w:tcPr>
          <w:p w14:paraId="40D93F21" w14:textId="585EC031"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6 (-3</w:t>
            </w:r>
            <w:r w:rsidR="001323B8" w:rsidRPr="00E51082">
              <w:rPr>
                <w:szCs w:val="24"/>
              </w:rPr>
              <w:t>.</w:t>
            </w:r>
            <w:r w:rsidRPr="00E51082">
              <w:rPr>
                <w:szCs w:val="24"/>
              </w:rPr>
              <w:t>5,  0</w:t>
            </w:r>
            <w:r w:rsidR="001323B8" w:rsidRPr="00E51082">
              <w:rPr>
                <w:szCs w:val="24"/>
              </w:rPr>
              <w:t>.</w:t>
            </w:r>
            <w:r w:rsidRPr="00E51082">
              <w:rPr>
                <w:szCs w:val="24"/>
              </w:rPr>
              <w:t>3)</w:t>
            </w:r>
          </w:p>
        </w:tc>
        <w:tc>
          <w:tcPr>
            <w:tcW w:w="730" w:type="pct"/>
            <w:tcBorders>
              <w:top w:val="single" w:sz="4" w:space="0" w:color="auto"/>
            </w:tcBorders>
            <w:vAlign w:val="center"/>
          </w:tcPr>
          <w:p w14:paraId="6957B63E" w14:textId="34A0AB46"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3 (-3</w:t>
            </w:r>
            <w:r w:rsidR="001323B8" w:rsidRPr="00E51082">
              <w:rPr>
                <w:szCs w:val="24"/>
              </w:rPr>
              <w:t>.</w:t>
            </w:r>
            <w:r w:rsidRPr="00E51082">
              <w:rPr>
                <w:szCs w:val="24"/>
              </w:rPr>
              <w:t>7,  1</w:t>
            </w:r>
            <w:r w:rsidR="001323B8" w:rsidRPr="00E51082">
              <w:rPr>
                <w:szCs w:val="24"/>
              </w:rPr>
              <w:t>.</w:t>
            </w:r>
            <w:r w:rsidRPr="00E51082">
              <w:rPr>
                <w:szCs w:val="24"/>
              </w:rPr>
              <w:t>1)</w:t>
            </w:r>
          </w:p>
        </w:tc>
        <w:tc>
          <w:tcPr>
            <w:tcW w:w="749" w:type="pct"/>
            <w:tcBorders>
              <w:top w:val="single" w:sz="4" w:space="0" w:color="auto"/>
            </w:tcBorders>
            <w:vAlign w:val="center"/>
          </w:tcPr>
          <w:p w14:paraId="64F75FE2" w14:textId="14CD7DDA"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9 (-4</w:t>
            </w:r>
            <w:r w:rsidR="001323B8" w:rsidRPr="00E51082">
              <w:rPr>
                <w:szCs w:val="24"/>
              </w:rPr>
              <w:t>.</w:t>
            </w:r>
            <w:r w:rsidRPr="00E51082">
              <w:rPr>
                <w:szCs w:val="24"/>
              </w:rPr>
              <w:t>4,  0</w:t>
            </w:r>
            <w:r w:rsidR="001323B8" w:rsidRPr="00E51082">
              <w:rPr>
                <w:szCs w:val="24"/>
              </w:rPr>
              <w:t>.</w:t>
            </w:r>
            <w:r w:rsidRPr="00E51082">
              <w:rPr>
                <w:szCs w:val="24"/>
              </w:rPr>
              <w:t>7)</w:t>
            </w:r>
          </w:p>
        </w:tc>
        <w:tc>
          <w:tcPr>
            <w:tcW w:w="42" w:type="pct"/>
            <w:tcBorders>
              <w:top w:val="single" w:sz="4" w:space="0" w:color="auto"/>
            </w:tcBorders>
          </w:tcPr>
          <w:p w14:paraId="01264882" w14:textId="77777777" w:rsidR="00FE1663" w:rsidRPr="00E51082" w:rsidRDefault="00FE1663" w:rsidP="00A13075">
            <w:pPr>
              <w:spacing w:line="240" w:lineRule="auto"/>
              <w:jc w:val="center"/>
              <w:rPr>
                <w:szCs w:val="24"/>
              </w:rPr>
            </w:pPr>
          </w:p>
        </w:tc>
      </w:tr>
      <w:tr w:rsidR="00E51082" w:rsidRPr="00E51082" w14:paraId="202CF387" w14:textId="77777777" w:rsidTr="009541FA">
        <w:tc>
          <w:tcPr>
            <w:tcW w:w="699" w:type="pct"/>
            <w:tcBorders>
              <w:right w:val="single" w:sz="4" w:space="0" w:color="auto"/>
            </w:tcBorders>
            <w:vAlign w:val="center"/>
          </w:tcPr>
          <w:p w14:paraId="1CF49F4F" w14:textId="77777777" w:rsidR="00FE1663" w:rsidRPr="00E51082" w:rsidRDefault="00FE1663" w:rsidP="00A13075">
            <w:pPr>
              <w:spacing w:line="240" w:lineRule="auto"/>
              <w:rPr>
                <w:szCs w:val="24"/>
              </w:rPr>
            </w:pPr>
            <w:r w:rsidRPr="00E51082">
              <w:rPr>
                <w:szCs w:val="24"/>
              </w:rPr>
              <w:t>HV contacts for baby</w:t>
            </w:r>
            <w:r w:rsidRPr="00E51082">
              <w:rPr>
                <w:szCs w:val="24"/>
                <w:vertAlign w:val="superscript"/>
              </w:rPr>
              <w:t>a</w:t>
            </w:r>
          </w:p>
        </w:tc>
        <w:tc>
          <w:tcPr>
            <w:tcW w:w="494" w:type="pct"/>
            <w:tcBorders>
              <w:left w:val="single" w:sz="4" w:space="0" w:color="auto"/>
            </w:tcBorders>
            <w:vAlign w:val="center"/>
          </w:tcPr>
          <w:p w14:paraId="6F906A82" w14:textId="663DBD1C" w:rsidR="00FE1663" w:rsidRPr="00E51082" w:rsidRDefault="00FE1663" w:rsidP="00A13075">
            <w:pPr>
              <w:spacing w:line="240" w:lineRule="auto"/>
              <w:rPr>
                <w:szCs w:val="24"/>
              </w:rPr>
            </w:pPr>
            <w:r w:rsidRPr="00E51082">
              <w:rPr>
                <w:szCs w:val="24"/>
              </w:rPr>
              <w:t>7</w:t>
            </w:r>
            <w:r w:rsidR="001323B8" w:rsidRPr="00E51082">
              <w:rPr>
                <w:szCs w:val="24"/>
              </w:rPr>
              <w:t>.</w:t>
            </w:r>
            <w:r w:rsidRPr="00E51082">
              <w:rPr>
                <w:szCs w:val="24"/>
              </w:rPr>
              <w:t>2 (0</w:t>
            </w:r>
            <w:r w:rsidR="001323B8" w:rsidRPr="00E51082">
              <w:rPr>
                <w:szCs w:val="24"/>
              </w:rPr>
              <w:t>.</w:t>
            </w:r>
            <w:r w:rsidRPr="00E51082">
              <w:rPr>
                <w:szCs w:val="24"/>
              </w:rPr>
              <w:t>7)</w:t>
            </w:r>
          </w:p>
        </w:tc>
        <w:tc>
          <w:tcPr>
            <w:tcW w:w="524" w:type="pct"/>
            <w:vAlign w:val="center"/>
          </w:tcPr>
          <w:p w14:paraId="1252E664" w14:textId="02F1C94A" w:rsidR="00FE1663" w:rsidRPr="00E51082" w:rsidRDefault="00FE1663" w:rsidP="00A13075">
            <w:pPr>
              <w:spacing w:line="240" w:lineRule="auto"/>
              <w:rPr>
                <w:szCs w:val="24"/>
              </w:rPr>
            </w:pPr>
            <w:r w:rsidRPr="00E51082">
              <w:rPr>
                <w:szCs w:val="24"/>
              </w:rPr>
              <w:t>6</w:t>
            </w:r>
            <w:r w:rsidR="001323B8" w:rsidRPr="00E51082">
              <w:rPr>
                <w:szCs w:val="24"/>
              </w:rPr>
              <w:t>.</w:t>
            </w:r>
            <w:r w:rsidRPr="00E51082">
              <w:rPr>
                <w:szCs w:val="24"/>
              </w:rPr>
              <w:t>1 (0</w:t>
            </w:r>
            <w:r w:rsidR="001323B8" w:rsidRPr="00E51082">
              <w:rPr>
                <w:szCs w:val="24"/>
              </w:rPr>
              <w:t>.</w:t>
            </w:r>
            <w:r w:rsidRPr="00E51082">
              <w:rPr>
                <w:szCs w:val="24"/>
              </w:rPr>
              <w:t>5)</w:t>
            </w:r>
          </w:p>
        </w:tc>
        <w:tc>
          <w:tcPr>
            <w:tcW w:w="452" w:type="pct"/>
            <w:vAlign w:val="center"/>
          </w:tcPr>
          <w:p w14:paraId="115D4E71" w14:textId="1CE4B429" w:rsidR="00FE1663" w:rsidRPr="00E51082" w:rsidRDefault="00FE1663" w:rsidP="00A13075">
            <w:pPr>
              <w:spacing w:line="240" w:lineRule="auto"/>
              <w:rPr>
                <w:szCs w:val="24"/>
              </w:rPr>
            </w:pPr>
            <w:r w:rsidRPr="00E51082">
              <w:rPr>
                <w:szCs w:val="24"/>
              </w:rPr>
              <w:t>6</w:t>
            </w:r>
            <w:r w:rsidR="001323B8" w:rsidRPr="00E51082">
              <w:rPr>
                <w:szCs w:val="24"/>
              </w:rPr>
              <w:t>.</w:t>
            </w:r>
            <w:r w:rsidRPr="00E51082">
              <w:rPr>
                <w:szCs w:val="24"/>
              </w:rPr>
              <w:t>4 (0</w:t>
            </w:r>
            <w:r w:rsidR="001323B8" w:rsidRPr="00E51082">
              <w:rPr>
                <w:szCs w:val="24"/>
              </w:rPr>
              <w:t>.</w:t>
            </w:r>
            <w:r w:rsidRPr="00E51082">
              <w:rPr>
                <w:szCs w:val="24"/>
              </w:rPr>
              <w:t>7)</w:t>
            </w:r>
          </w:p>
        </w:tc>
        <w:tc>
          <w:tcPr>
            <w:tcW w:w="452" w:type="pct"/>
            <w:tcBorders>
              <w:right w:val="single" w:sz="4" w:space="0" w:color="auto"/>
            </w:tcBorders>
            <w:vAlign w:val="center"/>
          </w:tcPr>
          <w:p w14:paraId="4396FCCC" w14:textId="0CCCF90E" w:rsidR="00FE1663" w:rsidRPr="00E51082" w:rsidRDefault="00FE1663" w:rsidP="00A13075">
            <w:pPr>
              <w:spacing w:line="240" w:lineRule="auto"/>
              <w:rPr>
                <w:szCs w:val="24"/>
              </w:rPr>
            </w:pPr>
            <w:r w:rsidRPr="00E51082">
              <w:rPr>
                <w:szCs w:val="24"/>
              </w:rPr>
              <w:t>5</w:t>
            </w:r>
            <w:r w:rsidR="001323B8" w:rsidRPr="00E51082">
              <w:rPr>
                <w:szCs w:val="24"/>
              </w:rPr>
              <w:t>.</w:t>
            </w:r>
            <w:r w:rsidRPr="00E51082">
              <w:rPr>
                <w:szCs w:val="24"/>
              </w:rPr>
              <w:t>7 (0</w:t>
            </w:r>
            <w:r w:rsidR="001323B8" w:rsidRPr="00E51082">
              <w:rPr>
                <w:szCs w:val="24"/>
              </w:rPr>
              <w:t>.</w:t>
            </w:r>
            <w:r w:rsidRPr="00E51082">
              <w:rPr>
                <w:szCs w:val="24"/>
              </w:rPr>
              <w:t>8)</w:t>
            </w:r>
          </w:p>
        </w:tc>
        <w:tc>
          <w:tcPr>
            <w:tcW w:w="857" w:type="pct"/>
            <w:tcBorders>
              <w:left w:val="single" w:sz="4" w:space="0" w:color="auto"/>
            </w:tcBorders>
            <w:vAlign w:val="center"/>
          </w:tcPr>
          <w:p w14:paraId="126CFD59" w14:textId="24B24471"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2 (-2</w:t>
            </w:r>
            <w:r w:rsidR="001323B8" w:rsidRPr="00E51082">
              <w:rPr>
                <w:szCs w:val="24"/>
              </w:rPr>
              <w:t>.</w:t>
            </w:r>
            <w:r w:rsidRPr="00E51082">
              <w:rPr>
                <w:szCs w:val="24"/>
              </w:rPr>
              <w:t>9,  0</w:t>
            </w:r>
            <w:r w:rsidR="001323B8" w:rsidRPr="00E51082">
              <w:rPr>
                <w:szCs w:val="24"/>
              </w:rPr>
              <w:t>.</w:t>
            </w:r>
            <w:r w:rsidRPr="00E51082">
              <w:rPr>
                <w:szCs w:val="24"/>
              </w:rPr>
              <w:t>5)</w:t>
            </w:r>
          </w:p>
        </w:tc>
        <w:tc>
          <w:tcPr>
            <w:tcW w:w="730" w:type="pct"/>
            <w:vAlign w:val="center"/>
          </w:tcPr>
          <w:p w14:paraId="7A3FEDA2" w14:textId="44CD2D6E"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8 (-2</w:t>
            </w:r>
            <w:r w:rsidR="001323B8" w:rsidRPr="00E51082">
              <w:rPr>
                <w:szCs w:val="24"/>
              </w:rPr>
              <w:t>.</w:t>
            </w:r>
            <w:r w:rsidRPr="00E51082">
              <w:rPr>
                <w:szCs w:val="24"/>
              </w:rPr>
              <w:t>9,  1</w:t>
            </w:r>
            <w:r w:rsidR="001323B8" w:rsidRPr="00E51082">
              <w:rPr>
                <w:szCs w:val="24"/>
              </w:rPr>
              <w:t>.</w:t>
            </w:r>
            <w:r w:rsidRPr="00E51082">
              <w:rPr>
                <w:szCs w:val="24"/>
              </w:rPr>
              <w:t>3)</w:t>
            </w:r>
          </w:p>
        </w:tc>
        <w:tc>
          <w:tcPr>
            <w:tcW w:w="749" w:type="pct"/>
            <w:vAlign w:val="center"/>
          </w:tcPr>
          <w:p w14:paraId="018C69CC" w14:textId="5D93A015"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6 (-3</w:t>
            </w:r>
            <w:r w:rsidR="001323B8" w:rsidRPr="00E51082">
              <w:rPr>
                <w:szCs w:val="24"/>
              </w:rPr>
              <w:t>.</w:t>
            </w:r>
            <w:r w:rsidRPr="00E51082">
              <w:rPr>
                <w:szCs w:val="24"/>
              </w:rPr>
              <w:t>7,  0</w:t>
            </w:r>
            <w:r w:rsidR="001323B8" w:rsidRPr="00E51082">
              <w:rPr>
                <w:szCs w:val="24"/>
              </w:rPr>
              <w:t>.</w:t>
            </w:r>
            <w:r w:rsidRPr="00E51082">
              <w:rPr>
                <w:szCs w:val="24"/>
              </w:rPr>
              <w:t>6)</w:t>
            </w:r>
          </w:p>
        </w:tc>
        <w:tc>
          <w:tcPr>
            <w:tcW w:w="42" w:type="pct"/>
          </w:tcPr>
          <w:p w14:paraId="02C37A06" w14:textId="77777777" w:rsidR="00FE1663" w:rsidRPr="00E51082" w:rsidRDefault="00FE1663" w:rsidP="00A13075">
            <w:pPr>
              <w:spacing w:line="240" w:lineRule="auto"/>
              <w:jc w:val="center"/>
              <w:rPr>
                <w:szCs w:val="24"/>
              </w:rPr>
            </w:pPr>
          </w:p>
        </w:tc>
      </w:tr>
      <w:tr w:rsidR="00E51082" w:rsidRPr="00E51082" w14:paraId="040AF6D2" w14:textId="77777777" w:rsidTr="009541FA">
        <w:tc>
          <w:tcPr>
            <w:tcW w:w="699" w:type="pct"/>
            <w:tcBorders>
              <w:right w:val="single" w:sz="4" w:space="0" w:color="auto"/>
            </w:tcBorders>
            <w:vAlign w:val="center"/>
          </w:tcPr>
          <w:p w14:paraId="77873B9F" w14:textId="77777777" w:rsidR="00FE1663" w:rsidRPr="00E51082" w:rsidRDefault="00FE1663" w:rsidP="00A13075">
            <w:pPr>
              <w:spacing w:line="240" w:lineRule="auto"/>
              <w:rPr>
                <w:szCs w:val="24"/>
              </w:rPr>
            </w:pPr>
            <w:r w:rsidRPr="00E51082">
              <w:rPr>
                <w:szCs w:val="24"/>
              </w:rPr>
              <w:t>HV contacts for mother</w:t>
            </w:r>
            <w:r w:rsidRPr="00E51082">
              <w:rPr>
                <w:szCs w:val="24"/>
                <w:vertAlign w:val="superscript"/>
              </w:rPr>
              <w:t>a</w:t>
            </w:r>
          </w:p>
        </w:tc>
        <w:tc>
          <w:tcPr>
            <w:tcW w:w="494" w:type="pct"/>
            <w:tcBorders>
              <w:left w:val="single" w:sz="4" w:space="0" w:color="auto"/>
            </w:tcBorders>
            <w:vAlign w:val="center"/>
          </w:tcPr>
          <w:p w14:paraId="1A072F73" w14:textId="6265C175" w:rsidR="00FE1663" w:rsidRPr="00E51082" w:rsidRDefault="00FE1663" w:rsidP="00A13075">
            <w:pPr>
              <w:spacing w:line="240" w:lineRule="auto"/>
              <w:rPr>
                <w:szCs w:val="24"/>
              </w:rPr>
            </w:pPr>
            <w:r w:rsidRPr="00E51082">
              <w:rPr>
                <w:szCs w:val="24"/>
              </w:rPr>
              <w:t>3</w:t>
            </w:r>
            <w:r w:rsidR="001323B8" w:rsidRPr="00E51082">
              <w:rPr>
                <w:szCs w:val="24"/>
              </w:rPr>
              <w:t>.</w:t>
            </w:r>
            <w:r w:rsidRPr="00E51082">
              <w:rPr>
                <w:szCs w:val="24"/>
              </w:rPr>
              <w:t>6 (0</w:t>
            </w:r>
            <w:r w:rsidR="001323B8" w:rsidRPr="00E51082">
              <w:rPr>
                <w:szCs w:val="24"/>
              </w:rPr>
              <w:t>.</w:t>
            </w:r>
            <w:r w:rsidRPr="00E51082">
              <w:rPr>
                <w:szCs w:val="24"/>
              </w:rPr>
              <w:t>5)</w:t>
            </w:r>
          </w:p>
        </w:tc>
        <w:tc>
          <w:tcPr>
            <w:tcW w:w="524" w:type="pct"/>
            <w:vAlign w:val="center"/>
          </w:tcPr>
          <w:p w14:paraId="20B40135" w14:textId="561E892A"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0 (0</w:t>
            </w:r>
            <w:r w:rsidR="001323B8" w:rsidRPr="00E51082">
              <w:rPr>
                <w:szCs w:val="24"/>
              </w:rPr>
              <w:t>.</w:t>
            </w:r>
            <w:r w:rsidRPr="00E51082">
              <w:rPr>
                <w:szCs w:val="24"/>
              </w:rPr>
              <w:t>3)</w:t>
            </w:r>
          </w:p>
        </w:tc>
        <w:tc>
          <w:tcPr>
            <w:tcW w:w="452" w:type="pct"/>
            <w:vAlign w:val="center"/>
          </w:tcPr>
          <w:p w14:paraId="349F0B19" w14:textId="6D86DED3"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4 (0</w:t>
            </w:r>
            <w:r w:rsidR="001323B8" w:rsidRPr="00E51082">
              <w:rPr>
                <w:szCs w:val="24"/>
              </w:rPr>
              <w:t>.</w:t>
            </w:r>
            <w:r w:rsidRPr="00E51082">
              <w:rPr>
                <w:szCs w:val="24"/>
              </w:rPr>
              <w:t>4)</w:t>
            </w:r>
          </w:p>
        </w:tc>
        <w:tc>
          <w:tcPr>
            <w:tcW w:w="452" w:type="pct"/>
            <w:tcBorders>
              <w:right w:val="single" w:sz="4" w:space="0" w:color="auto"/>
            </w:tcBorders>
            <w:vAlign w:val="center"/>
          </w:tcPr>
          <w:p w14:paraId="54798470" w14:textId="29F7D4E2"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7 (0</w:t>
            </w:r>
            <w:r w:rsidR="001323B8" w:rsidRPr="00E51082">
              <w:rPr>
                <w:szCs w:val="24"/>
              </w:rPr>
              <w:t>.</w:t>
            </w:r>
            <w:r w:rsidRPr="00E51082">
              <w:rPr>
                <w:szCs w:val="24"/>
              </w:rPr>
              <w:t>5)</w:t>
            </w:r>
          </w:p>
        </w:tc>
        <w:tc>
          <w:tcPr>
            <w:tcW w:w="857" w:type="pct"/>
            <w:tcBorders>
              <w:left w:val="single" w:sz="4" w:space="0" w:color="auto"/>
            </w:tcBorders>
            <w:vAlign w:val="center"/>
          </w:tcPr>
          <w:p w14:paraId="54DAAC08" w14:textId="34448563"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6 (-2</w:t>
            </w:r>
            <w:r w:rsidR="001323B8" w:rsidRPr="00E51082">
              <w:rPr>
                <w:szCs w:val="24"/>
              </w:rPr>
              <w:t>.</w:t>
            </w:r>
            <w:r w:rsidRPr="00E51082">
              <w:rPr>
                <w:szCs w:val="24"/>
              </w:rPr>
              <w:t>7, -0</w:t>
            </w:r>
            <w:r w:rsidR="001323B8" w:rsidRPr="00E51082">
              <w:rPr>
                <w:szCs w:val="24"/>
              </w:rPr>
              <w:t>.</w:t>
            </w:r>
            <w:r w:rsidRPr="00E51082">
              <w:rPr>
                <w:szCs w:val="24"/>
              </w:rPr>
              <w:t>4)**</w:t>
            </w:r>
          </w:p>
        </w:tc>
        <w:tc>
          <w:tcPr>
            <w:tcW w:w="730" w:type="pct"/>
            <w:vAlign w:val="center"/>
          </w:tcPr>
          <w:p w14:paraId="64068599" w14:textId="1DEE258D"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1 (-3</w:t>
            </w:r>
            <w:r w:rsidR="001323B8" w:rsidRPr="00E51082">
              <w:rPr>
                <w:szCs w:val="24"/>
              </w:rPr>
              <w:t>.</w:t>
            </w:r>
            <w:r w:rsidRPr="00E51082">
              <w:rPr>
                <w:szCs w:val="24"/>
              </w:rPr>
              <w:t>5, -0</w:t>
            </w:r>
            <w:r w:rsidR="001323B8" w:rsidRPr="00E51082">
              <w:rPr>
                <w:szCs w:val="24"/>
              </w:rPr>
              <w:t>.</w:t>
            </w:r>
            <w:r w:rsidRPr="00E51082">
              <w:rPr>
                <w:szCs w:val="24"/>
              </w:rPr>
              <w:t>8)**</w:t>
            </w:r>
          </w:p>
        </w:tc>
        <w:tc>
          <w:tcPr>
            <w:tcW w:w="749" w:type="pct"/>
            <w:vAlign w:val="center"/>
          </w:tcPr>
          <w:p w14:paraId="69401E7D" w14:textId="3A999DC6"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9 (-2</w:t>
            </w:r>
            <w:r w:rsidR="001323B8" w:rsidRPr="00E51082">
              <w:rPr>
                <w:szCs w:val="24"/>
              </w:rPr>
              <w:t>.</w:t>
            </w:r>
            <w:r w:rsidRPr="00E51082">
              <w:rPr>
                <w:szCs w:val="24"/>
              </w:rPr>
              <w:t>3,  0</w:t>
            </w:r>
            <w:r w:rsidR="001323B8" w:rsidRPr="00E51082">
              <w:rPr>
                <w:szCs w:val="24"/>
              </w:rPr>
              <w:t>.</w:t>
            </w:r>
            <w:r w:rsidRPr="00E51082">
              <w:rPr>
                <w:szCs w:val="24"/>
              </w:rPr>
              <w:t>5)</w:t>
            </w:r>
          </w:p>
        </w:tc>
        <w:tc>
          <w:tcPr>
            <w:tcW w:w="42" w:type="pct"/>
          </w:tcPr>
          <w:p w14:paraId="5BDE8E6E" w14:textId="77777777" w:rsidR="00FE1663" w:rsidRPr="00E51082" w:rsidRDefault="00FE1663" w:rsidP="00A13075">
            <w:pPr>
              <w:spacing w:line="240" w:lineRule="auto"/>
              <w:jc w:val="center"/>
              <w:rPr>
                <w:szCs w:val="24"/>
              </w:rPr>
            </w:pPr>
          </w:p>
        </w:tc>
      </w:tr>
      <w:tr w:rsidR="00E51082" w:rsidRPr="00E51082" w14:paraId="606C1EDC" w14:textId="77777777" w:rsidTr="009541FA">
        <w:tc>
          <w:tcPr>
            <w:tcW w:w="699" w:type="pct"/>
            <w:tcBorders>
              <w:right w:val="single" w:sz="4" w:space="0" w:color="auto"/>
            </w:tcBorders>
            <w:vAlign w:val="center"/>
          </w:tcPr>
          <w:p w14:paraId="33AB7622" w14:textId="77777777" w:rsidR="00FE1663" w:rsidRPr="00E51082" w:rsidRDefault="00FE1663" w:rsidP="00A13075">
            <w:pPr>
              <w:spacing w:line="240" w:lineRule="auto"/>
              <w:rPr>
                <w:szCs w:val="24"/>
              </w:rPr>
            </w:pPr>
            <w:r w:rsidRPr="00E51082">
              <w:rPr>
                <w:szCs w:val="24"/>
              </w:rPr>
              <w:t>HV contacts for PND</w:t>
            </w:r>
            <w:r w:rsidRPr="00E51082">
              <w:rPr>
                <w:szCs w:val="24"/>
                <w:vertAlign w:val="superscript"/>
              </w:rPr>
              <w:t>a</w:t>
            </w:r>
          </w:p>
        </w:tc>
        <w:tc>
          <w:tcPr>
            <w:tcW w:w="494" w:type="pct"/>
            <w:tcBorders>
              <w:left w:val="single" w:sz="4" w:space="0" w:color="auto"/>
            </w:tcBorders>
            <w:vAlign w:val="center"/>
          </w:tcPr>
          <w:p w14:paraId="53DFD7C2" w14:textId="4DB1551E"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3 (0</w:t>
            </w:r>
            <w:r w:rsidR="001323B8" w:rsidRPr="00E51082">
              <w:rPr>
                <w:szCs w:val="24"/>
              </w:rPr>
              <w:t>.</w:t>
            </w:r>
            <w:r w:rsidRPr="00E51082">
              <w:rPr>
                <w:szCs w:val="24"/>
              </w:rPr>
              <w:t>1)</w:t>
            </w:r>
          </w:p>
        </w:tc>
        <w:tc>
          <w:tcPr>
            <w:tcW w:w="524" w:type="pct"/>
            <w:vAlign w:val="center"/>
          </w:tcPr>
          <w:p w14:paraId="4D650C69" w14:textId="7FEF9FCA"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2 (0</w:t>
            </w:r>
            <w:r w:rsidR="001323B8" w:rsidRPr="00E51082">
              <w:rPr>
                <w:szCs w:val="24"/>
              </w:rPr>
              <w:t>.</w:t>
            </w:r>
            <w:r w:rsidRPr="00E51082">
              <w:rPr>
                <w:szCs w:val="24"/>
              </w:rPr>
              <w:t>1)</w:t>
            </w:r>
          </w:p>
        </w:tc>
        <w:tc>
          <w:tcPr>
            <w:tcW w:w="452" w:type="pct"/>
            <w:vAlign w:val="center"/>
          </w:tcPr>
          <w:p w14:paraId="3899F74E" w14:textId="40BE10A4"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2 (0</w:t>
            </w:r>
            <w:r w:rsidR="001323B8" w:rsidRPr="00E51082">
              <w:rPr>
                <w:szCs w:val="24"/>
              </w:rPr>
              <w:t>.</w:t>
            </w:r>
            <w:r w:rsidRPr="00E51082">
              <w:rPr>
                <w:szCs w:val="24"/>
              </w:rPr>
              <w:t>1)</w:t>
            </w:r>
          </w:p>
        </w:tc>
        <w:tc>
          <w:tcPr>
            <w:tcW w:w="452" w:type="pct"/>
            <w:tcBorders>
              <w:right w:val="single" w:sz="4" w:space="0" w:color="auto"/>
            </w:tcBorders>
            <w:vAlign w:val="center"/>
          </w:tcPr>
          <w:p w14:paraId="05B1390A" w14:textId="1ACBF5B7"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2 (0</w:t>
            </w:r>
            <w:r w:rsidR="001323B8" w:rsidRPr="00E51082">
              <w:rPr>
                <w:szCs w:val="24"/>
              </w:rPr>
              <w:t>.</w:t>
            </w:r>
            <w:r w:rsidRPr="00E51082">
              <w:rPr>
                <w:szCs w:val="24"/>
              </w:rPr>
              <w:t>1)</w:t>
            </w:r>
          </w:p>
        </w:tc>
        <w:tc>
          <w:tcPr>
            <w:tcW w:w="857" w:type="pct"/>
            <w:tcBorders>
              <w:left w:val="single" w:sz="4" w:space="0" w:color="auto"/>
            </w:tcBorders>
            <w:vAlign w:val="center"/>
          </w:tcPr>
          <w:p w14:paraId="7AE5F5F8" w14:textId="24B70EA9"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1 (-0</w:t>
            </w:r>
            <w:r w:rsidR="001323B8" w:rsidRPr="00E51082">
              <w:rPr>
                <w:szCs w:val="24"/>
              </w:rPr>
              <w:t>.</w:t>
            </w:r>
            <w:r w:rsidRPr="00E51082">
              <w:rPr>
                <w:szCs w:val="24"/>
              </w:rPr>
              <w:t>3,  0</w:t>
            </w:r>
            <w:r w:rsidR="001323B8" w:rsidRPr="00E51082">
              <w:rPr>
                <w:szCs w:val="24"/>
              </w:rPr>
              <w:t>.</w:t>
            </w:r>
            <w:r w:rsidRPr="00E51082">
              <w:rPr>
                <w:szCs w:val="24"/>
              </w:rPr>
              <w:t>1)</w:t>
            </w:r>
          </w:p>
        </w:tc>
        <w:tc>
          <w:tcPr>
            <w:tcW w:w="730" w:type="pct"/>
            <w:vAlign w:val="center"/>
          </w:tcPr>
          <w:p w14:paraId="631A13EB" w14:textId="5A965242"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 (-0</w:t>
            </w:r>
            <w:r w:rsidR="001323B8" w:rsidRPr="00E51082">
              <w:rPr>
                <w:szCs w:val="24"/>
              </w:rPr>
              <w:t>.</w:t>
            </w:r>
            <w:r w:rsidRPr="00E51082">
              <w:rPr>
                <w:szCs w:val="24"/>
              </w:rPr>
              <w:t>3,  0</w:t>
            </w:r>
            <w:r w:rsidR="001323B8" w:rsidRPr="00E51082">
              <w:rPr>
                <w:szCs w:val="24"/>
              </w:rPr>
              <w:t>.</w:t>
            </w:r>
            <w:r w:rsidRPr="00E51082">
              <w:rPr>
                <w:szCs w:val="24"/>
              </w:rPr>
              <w:t>2)</w:t>
            </w:r>
          </w:p>
        </w:tc>
        <w:tc>
          <w:tcPr>
            <w:tcW w:w="749" w:type="pct"/>
            <w:vAlign w:val="center"/>
          </w:tcPr>
          <w:p w14:paraId="7A7AFCB4" w14:textId="011C9EAC"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1 (-0</w:t>
            </w:r>
            <w:r w:rsidR="001323B8" w:rsidRPr="00E51082">
              <w:rPr>
                <w:szCs w:val="24"/>
              </w:rPr>
              <w:t>.</w:t>
            </w:r>
            <w:r w:rsidRPr="00E51082">
              <w:rPr>
                <w:szCs w:val="24"/>
              </w:rPr>
              <w:t>3,  0</w:t>
            </w:r>
            <w:r w:rsidR="001323B8" w:rsidRPr="00E51082">
              <w:rPr>
                <w:szCs w:val="24"/>
              </w:rPr>
              <w:t>.</w:t>
            </w:r>
            <w:r w:rsidRPr="00E51082">
              <w:rPr>
                <w:szCs w:val="24"/>
              </w:rPr>
              <w:t>1)</w:t>
            </w:r>
          </w:p>
        </w:tc>
        <w:tc>
          <w:tcPr>
            <w:tcW w:w="42" w:type="pct"/>
          </w:tcPr>
          <w:p w14:paraId="5B3D7987" w14:textId="77777777" w:rsidR="00FE1663" w:rsidRPr="00E51082" w:rsidRDefault="00FE1663" w:rsidP="00A13075">
            <w:pPr>
              <w:spacing w:line="240" w:lineRule="auto"/>
              <w:jc w:val="center"/>
              <w:rPr>
                <w:szCs w:val="24"/>
              </w:rPr>
            </w:pPr>
          </w:p>
        </w:tc>
      </w:tr>
      <w:tr w:rsidR="00E51082" w:rsidRPr="00E51082" w14:paraId="11B55288" w14:textId="77777777" w:rsidTr="009541FA">
        <w:tc>
          <w:tcPr>
            <w:tcW w:w="699" w:type="pct"/>
            <w:tcBorders>
              <w:right w:val="single" w:sz="4" w:space="0" w:color="auto"/>
            </w:tcBorders>
            <w:vAlign w:val="center"/>
          </w:tcPr>
          <w:p w14:paraId="2EE8D090" w14:textId="77777777" w:rsidR="00FE1663" w:rsidRPr="00E51082" w:rsidRDefault="00FE1663" w:rsidP="00A13075">
            <w:pPr>
              <w:spacing w:line="240" w:lineRule="auto"/>
              <w:rPr>
                <w:szCs w:val="24"/>
              </w:rPr>
            </w:pPr>
            <w:r w:rsidRPr="00E51082">
              <w:rPr>
                <w:szCs w:val="24"/>
              </w:rPr>
              <w:t>Total HV minutes</w:t>
            </w:r>
          </w:p>
        </w:tc>
        <w:tc>
          <w:tcPr>
            <w:tcW w:w="494" w:type="pct"/>
            <w:tcBorders>
              <w:left w:val="single" w:sz="4" w:space="0" w:color="auto"/>
            </w:tcBorders>
            <w:vAlign w:val="center"/>
          </w:tcPr>
          <w:p w14:paraId="3495FAB5" w14:textId="350467DC" w:rsidR="00FE1663" w:rsidRPr="00E51082" w:rsidRDefault="00FE1663" w:rsidP="00A13075">
            <w:pPr>
              <w:spacing w:line="240" w:lineRule="auto"/>
              <w:rPr>
                <w:szCs w:val="24"/>
              </w:rPr>
            </w:pPr>
            <w:r w:rsidRPr="00E51082">
              <w:rPr>
                <w:szCs w:val="24"/>
              </w:rPr>
              <w:t>172</w:t>
            </w:r>
            <w:r w:rsidR="001323B8" w:rsidRPr="00E51082">
              <w:rPr>
                <w:szCs w:val="24"/>
              </w:rPr>
              <w:t>.</w:t>
            </w:r>
            <w:r w:rsidRPr="00E51082">
              <w:rPr>
                <w:szCs w:val="24"/>
              </w:rPr>
              <w:t>7 (20</w:t>
            </w:r>
            <w:r w:rsidR="001323B8" w:rsidRPr="00E51082">
              <w:rPr>
                <w:szCs w:val="24"/>
              </w:rPr>
              <w:t>.</w:t>
            </w:r>
            <w:r w:rsidRPr="00E51082">
              <w:rPr>
                <w:szCs w:val="24"/>
              </w:rPr>
              <w:t>7)</w:t>
            </w:r>
          </w:p>
        </w:tc>
        <w:tc>
          <w:tcPr>
            <w:tcW w:w="524" w:type="pct"/>
            <w:vAlign w:val="center"/>
          </w:tcPr>
          <w:p w14:paraId="78BFB5C9" w14:textId="7EE4DA1E" w:rsidR="00FE1663" w:rsidRPr="00E51082" w:rsidRDefault="00FE1663" w:rsidP="00A13075">
            <w:pPr>
              <w:spacing w:line="240" w:lineRule="auto"/>
              <w:rPr>
                <w:szCs w:val="24"/>
              </w:rPr>
            </w:pPr>
            <w:r w:rsidRPr="00E51082">
              <w:rPr>
                <w:szCs w:val="24"/>
              </w:rPr>
              <w:t>116</w:t>
            </w:r>
            <w:r w:rsidR="001323B8" w:rsidRPr="00E51082">
              <w:rPr>
                <w:szCs w:val="24"/>
              </w:rPr>
              <w:t>.</w:t>
            </w:r>
            <w:r w:rsidRPr="00E51082">
              <w:rPr>
                <w:szCs w:val="24"/>
              </w:rPr>
              <w:t>8 (13</w:t>
            </w:r>
            <w:r w:rsidR="001323B8" w:rsidRPr="00E51082">
              <w:rPr>
                <w:szCs w:val="24"/>
              </w:rPr>
              <w:t>.</w:t>
            </w:r>
            <w:r w:rsidRPr="00E51082">
              <w:rPr>
                <w:szCs w:val="24"/>
              </w:rPr>
              <w:t>6)</w:t>
            </w:r>
          </w:p>
        </w:tc>
        <w:tc>
          <w:tcPr>
            <w:tcW w:w="452" w:type="pct"/>
            <w:vAlign w:val="center"/>
          </w:tcPr>
          <w:p w14:paraId="6DADDD86" w14:textId="68BD6175" w:rsidR="00FE1663" w:rsidRPr="00E51082" w:rsidRDefault="00FE1663" w:rsidP="00A13075">
            <w:pPr>
              <w:spacing w:line="240" w:lineRule="auto"/>
              <w:rPr>
                <w:szCs w:val="24"/>
              </w:rPr>
            </w:pPr>
            <w:r w:rsidRPr="00E51082">
              <w:rPr>
                <w:szCs w:val="24"/>
              </w:rPr>
              <w:t>110</w:t>
            </w:r>
            <w:r w:rsidR="001323B8" w:rsidRPr="00E51082">
              <w:rPr>
                <w:szCs w:val="24"/>
              </w:rPr>
              <w:t>.</w:t>
            </w:r>
            <w:r w:rsidRPr="00E51082">
              <w:rPr>
                <w:szCs w:val="24"/>
              </w:rPr>
              <w:t>7 (20</w:t>
            </w:r>
            <w:r w:rsidR="001323B8" w:rsidRPr="00E51082">
              <w:rPr>
                <w:szCs w:val="24"/>
              </w:rPr>
              <w:t>.</w:t>
            </w:r>
            <w:r w:rsidRPr="00E51082">
              <w:rPr>
                <w:szCs w:val="24"/>
              </w:rPr>
              <w:t>3)</w:t>
            </w:r>
          </w:p>
        </w:tc>
        <w:tc>
          <w:tcPr>
            <w:tcW w:w="452" w:type="pct"/>
            <w:tcBorders>
              <w:right w:val="single" w:sz="4" w:space="0" w:color="auto"/>
            </w:tcBorders>
            <w:vAlign w:val="center"/>
          </w:tcPr>
          <w:p w14:paraId="4218411C" w14:textId="7811FD9B" w:rsidR="00FE1663" w:rsidRPr="00E51082" w:rsidRDefault="00FE1663" w:rsidP="00A13075">
            <w:pPr>
              <w:spacing w:line="240" w:lineRule="auto"/>
              <w:rPr>
                <w:szCs w:val="24"/>
              </w:rPr>
            </w:pPr>
            <w:r w:rsidRPr="00E51082">
              <w:rPr>
                <w:szCs w:val="24"/>
              </w:rPr>
              <w:t>123</w:t>
            </w:r>
            <w:r w:rsidR="001323B8" w:rsidRPr="00E51082">
              <w:rPr>
                <w:szCs w:val="24"/>
              </w:rPr>
              <w:t>.</w:t>
            </w:r>
            <w:r w:rsidRPr="00E51082">
              <w:rPr>
                <w:szCs w:val="24"/>
              </w:rPr>
              <w:t>7 (23</w:t>
            </w:r>
            <w:r w:rsidR="001323B8" w:rsidRPr="00E51082">
              <w:rPr>
                <w:szCs w:val="24"/>
              </w:rPr>
              <w:t>.</w:t>
            </w:r>
            <w:r w:rsidRPr="00E51082">
              <w:rPr>
                <w:szCs w:val="24"/>
              </w:rPr>
              <w:t>8)</w:t>
            </w:r>
          </w:p>
        </w:tc>
        <w:tc>
          <w:tcPr>
            <w:tcW w:w="857" w:type="pct"/>
            <w:tcBorders>
              <w:left w:val="single" w:sz="4" w:space="0" w:color="auto"/>
            </w:tcBorders>
            <w:vAlign w:val="center"/>
          </w:tcPr>
          <w:p w14:paraId="3786AA83" w14:textId="10074091" w:rsidR="00FE1663" w:rsidRPr="00E51082" w:rsidRDefault="00FE1663" w:rsidP="00A13075">
            <w:pPr>
              <w:spacing w:line="240" w:lineRule="auto"/>
              <w:rPr>
                <w:szCs w:val="24"/>
              </w:rPr>
            </w:pPr>
            <w:r w:rsidRPr="00E51082">
              <w:rPr>
                <w:szCs w:val="24"/>
              </w:rPr>
              <w:t>-55</w:t>
            </w:r>
            <w:r w:rsidR="001323B8" w:rsidRPr="00E51082">
              <w:rPr>
                <w:szCs w:val="24"/>
              </w:rPr>
              <w:t>.</w:t>
            </w:r>
            <w:r w:rsidRPr="00E51082">
              <w:rPr>
                <w:szCs w:val="24"/>
              </w:rPr>
              <w:t>9 (-105</w:t>
            </w:r>
            <w:r w:rsidR="001323B8" w:rsidRPr="00E51082">
              <w:rPr>
                <w:szCs w:val="24"/>
              </w:rPr>
              <w:t>.</w:t>
            </w:r>
            <w:r w:rsidRPr="00E51082">
              <w:rPr>
                <w:szCs w:val="24"/>
              </w:rPr>
              <w:t>4, -6</w:t>
            </w:r>
            <w:r w:rsidR="001323B8" w:rsidRPr="00E51082">
              <w:rPr>
                <w:szCs w:val="24"/>
              </w:rPr>
              <w:t>.</w:t>
            </w:r>
            <w:r w:rsidRPr="00E51082">
              <w:rPr>
                <w:szCs w:val="24"/>
              </w:rPr>
              <w:t>5)*</w:t>
            </w:r>
          </w:p>
        </w:tc>
        <w:tc>
          <w:tcPr>
            <w:tcW w:w="730" w:type="pct"/>
            <w:vAlign w:val="center"/>
          </w:tcPr>
          <w:p w14:paraId="4448272D" w14:textId="4F6A5682" w:rsidR="00FE1663" w:rsidRPr="00E51082" w:rsidRDefault="00FE1663" w:rsidP="00A13075">
            <w:pPr>
              <w:spacing w:line="240" w:lineRule="auto"/>
              <w:rPr>
                <w:szCs w:val="24"/>
              </w:rPr>
            </w:pPr>
            <w:r w:rsidRPr="00E51082">
              <w:rPr>
                <w:szCs w:val="24"/>
              </w:rPr>
              <w:t>-62</w:t>
            </w:r>
            <w:r w:rsidR="001323B8" w:rsidRPr="00E51082">
              <w:rPr>
                <w:szCs w:val="24"/>
              </w:rPr>
              <w:t>.</w:t>
            </w:r>
            <w:r w:rsidRPr="00E51082">
              <w:rPr>
                <w:szCs w:val="24"/>
              </w:rPr>
              <w:t>1 (-123</w:t>
            </w:r>
            <w:r w:rsidR="001323B8" w:rsidRPr="00E51082">
              <w:rPr>
                <w:szCs w:val="24"/>
              </w:rPr>
              <w:t>.</w:t>
            </w:r>
            <w:r w:rsidRPr="00E51082">
              <w:rPr>
                <w:szCs w:val="24"/>
              </w:rPr>
              <w:t>9, -0</w:t>
            </w:r>
            <w:r w:rsidR="001323B8" w:rsidRPr="00E51082">
              <w:rPr>
                <w:szCs w:val="24"/>
              </w:rPr>
              <w:t>.</w:t>
            </w:r>
            <w:r w:rsidRPr="00E51082">
              <w:rPr>
                <w:szCs w:val="24"/>
              </w:rPr>
              <w:t>2)*</w:t>
            </w:r>
          </w:p>
        </w:tc>
        <w:tc>
          <w:tcPr>
            <w:tcW w:w="749" w:type="pct"/>
            <w:vAlign w:val="center"/>
          </w:tcPr>
          <w:p w14:paraId="1F13BD0B" w14:textId="6E652566" w:rsidR="00FE1663" w:rsidRPr="00E51082" w:rsidRDefault="00FE1663" w:rsidP="00A13075">
            <w:pPr>
              <w:spacing w:line="240" w:lineRule="auto"/>
              <w:rPr>
                <w:szCs w:val="24"/>
              </w:rPr>
            </w:pPr>
            <w:r w:rsidRPr="00E51082">
              <w:rPr>
                <w:szCs w:val="24"/>
              </w:rPr>
              <w:t>-49</w:t>
            </w:r>
            <w:r w:rsidR="001323B8" w:rsidRPr="00E51082">
              <w:rPr>
                <w:szCs w:val="24"/>
              </w:rPr>
              <w:t>.</w:t>
            </w:r>
            <w:r w:rsidRPr="00E51082">
              <w:rPr>
                <w:szCs w:val="24"/>
              </w:rPr>
              <w:t>0 (-117</w:t>
            </w:r>
            <w:r w:rsidR="001323B8" w:rsidRPr="00E51082">
              <w:rPr>
                <w:szCs w:val="24"/>
              </w:rPr>
              <w:t>.</w:t>
            </w:r>
            <w:r w:rsidRPr="00E51082">
              <w:rPr>
                <w:szCs w:val="24"/>
              </w:rPr>
              <w:t>4, 19</w:t>
            </w:r>
            <w:r w:rsidR="001323B8" w:rsidRPr="00E51082">
              <w:rPr>
                <w:szCs w:val="24"/>
              </w:rPr>
              <w:t>.</w:t>
            </w:r>
            <w:r w:rsidRPr="00E51082">
              <w:rPr>
                <w:szCs w:val="24"/>
              </w:rPr>
              <w:t>4)</w:t>
            </w:r>
          </w:p>
        </w:tc>
        <w:tc>
          <w:tcPr>
            <w:tcW w:w="42" w:type="pct"/>
          </w:tcPr>
          <w:p w14:paraId="534824B7" w14:textId="77777777" w:rsidR="00FE1663" w:rsidRPr="00E51082" w:rsidRDefault="00FE1663" w:rsidP="00A13075">
            <w:pPr>
              <w:spacing w:line="240" w:lineRule="auto"/>
              <w:jc w:val="center"/>
              <w:rPr>
                <w:szCs w:val="24"/>
              </w:rPr>
            </w:pPr>
          </w:p>
        </w:tc>
      </w:tr>
      <w:tr w:rsidR="00E51082" w:rsidRPr="00E51082" w14:paraId="6845881F" w14:textId="77777777" w:rsidTr="009541FA">
        <w:tc>
          <w:tcPr>
            <w:tcW w:w="699" w:type="pct"/>
            <w:tcBorders>
              <w:right w:val="single" w:sz="4" w:space="0" w:color="auto"/>
            </w:tcBorders>
            <w:vAlign w:val="center"/>
          </w:tcPr>
          <w:p w14:paraId="742BDAE8" w14:textId="77777777" w:rsidR="00FE1663" w:rsidRPr="00E51082" w:rsidRDefault="00FE1663" w:rsidP="00A13075">
            <w:pPr>
              <w:spacing w:line="240" w:lineRule="auto"/>
              <w:rPr>
                <w:szCs w:val="24"/>
              </w:rPr>
            </w:pPr>
            <w:r w:rsidRPr="00E51082">
              <w:rPr>
                <w:szCs w:val="24"/>
              </w:rPr>
              <w:t>GP contacts</w:t>
            </w:r>
          </w:p>
        </w:tc>
        <w:tc>
          <w:tcPr>
            <w:tcW w:w="494" w:type="pct"/>
            <w:tcBorders>
              <w:left w:val="single" w:sz="4" w:space="0" w:color="auto"/>
            </w:tcBorders>
            <w:vAlign w:val="center"/>
          </w:tcPr>
          <w:p w14:paraId="5179FCA0" w14:textId="5BC4CF3D"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5 (0</w:t>
            </w:r>
            <w:r w:rsidR="001323B8" w:rsidRPr="00E51082">
              <w:rPr>
                <w:szCs w:val="24"/>
              </w:rPr>
              <w:t>.</w:t>
            </w:r>
            <w:r w:rsidRPr="00E51082">
              <w:rPr>
                <w:szCs w:val="24"/>
              </w:rPr>
              <w:t>2)</w:t>
            </w:r>
          </w:p>
        </w:tc>
        <w:tc>
          <w:tcPr>
            <w:tcW w:w="524" w:type="pct"/>
            <w:vAlign w:val="center"/>
          </w:tcPr>
          <w:p w14:paraId="4FDD7A30" w14:textId="3B4E15E5"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3 (0</w:t>
            </w:r>
            <w:r w:rsidR="001323B8" w:rsidRPr="00E51082">
              <w:rPr>
                <w:szCs w:val="24"/>
              </w:rPr>
              <w:t>.</w:t>
            </w:r>
            <w:r w:rsidRPr="00E51082">
              <w:rPr>
                <w:szCs w:val="24"/>
              </w:rPr>
              <w:t>1)</w:t>
            </w:r>
          </w:p>
        </w:tc>
        <w:tc>
          <w:tcPr>
            <w:tcW w:w="452" w:type="pct"/>
            <w:vAlign w:val="center"/>
          </w:tcPr>
          <w:p w14:paraId="7EA56B22" w14:textId="56804D94"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3 (0</w:t>
            </w:r>
            <w:r w:rsidR="001323B8" w:rsidRPr="00E51082">
              <w:rPr>
                <w:szCs w:val="24"/>
              </w:rPr>
              <w:t>.</w:t>
            </w:r>
            <w:r w:rsidRPr="00E51082">
              <w:rPr>
                <w:szCs w:val="24"/>
              </w:rPr>
              <w:t>2)</w:t>
            </w:r>
          </w:p>
        </w:tc>
        <w:tc>
          <w:tcPr>
            <w:tcW w:w="452" w:type="pct"/>
            <w:tcBorders>
              <w:right w:val="single" w:sz="4" w:space="0" w:color="auto"/>
            </w:tcBorders>
            <w:vAlign w:val="center"/>
          </w:tcPr>
          <w:p w14:paraId="2B0C068B" w14:textId="6D2CE20E"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3 (0</w:t>
            </w:r>
            <w:r w:rsidR="001323B8" w:rsidRPr="00E51082">
              <w:rPr>
                <w:szCs w:val="24"/>
              </w:rPr>
              <w:t>.</w:t>
            </w:r>
            <w:r w:rsidRPr="00E51082">
              <w:rPr>
                <w:szCs w:val="24"/>
              </w:rPr>
              <w:t>2)</w:t>
            </w:r>
          </w:p>
        </w:tc>
        <w:tc>
          <w:tcPr>
            <w:tcW w:w="857" w:type="pct"/>
            <w:tcBorders>
              <w:left w:val="single" w:sz="4" w:space="0" w:color="auto"/>
            </w:tcBorders>
            <w:vAlign w:val="center"/>
          </w:tcPr>
          <w:p w14:paraId="0763BA79" w14:textId="66AEF0DB"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2 (-0</w:t>
            </w:r>
            <w:r w:rsidR="001323B8" w:rsidRPr="00E51082">
              <w:rPr>
                <w:szCs w:val="24"/>
              </w:rPr>
              <w:t>.</w:t>
            </w:r>
            <w:r w:rsidRPr="00E51082">
              <w:rPr>
                <w:szCs w:val="24"/>
              </w:rPr>
              <w:t>7,  0</w:t>
            </w:r>
            <w:r w:rsidR="001323B8" w:rsidRPr="00E51082">
              <w:rPr>
                <w:szCs w:val="24"/>
              </w:rPr>
              <w:t>.</w:t>
            </w:r>
            <w:r w:rsidRPr="00E51082">
              <w:rPr>
                <w:szCs w:val="24"/>
              </w:rPr>
              <w:t>3)</w:t>
            </w:r>
          </w:p>
        </w:tc>
        <w:tc>
          <w:tcPr>
            <w:tcW w:w="730" w:type="pct"/>
            <w:vAlign w:val="center"/>
          </w:tcPr>
          <w:p w14:paraId="17F55B5F" w14:textId="44E324EC"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2 (-0</w:t>
            </w:r>
            <w:r w:rsidR="001323B8" w:rsidRPr="00E51082">
              <w:rPr>
                <w:szCs w:val="24"/>
              </w:rPr>
              <w:t>.</w:t>
            </w:r>
            <w:r w:rsidRPr="00E51082">
              <w:rPr>
                <w:szCs w:val="24"/>
              </w:rPr>
              <w:t>8,  0</w:t>
            </w:r>
            <w:r w:rsidR="001323B8" w:rsidRPr="00E51082">
              <w:rPr>
                <w:szCs w:val="24"/>
              </w:rPr>
              <w:t>.</w:t>
            </w:r>
            <w:r w:rsidRPr="00E51082">
              <w:rPr>
                <w:szCs w:val="24"/>
              </w:rPr>
              <w:t>4)</w:t>
            </w:r>
          </w:p>
        </w:tc>
        <w:tc>
          <w:tcPr>
            <w:tcW w:w="749" w:type="pct"/>
            <w:vAlign w:val="center"/>
          </w:tcPr>
          <w:p w14:paraId="3ABF13D1" w14:textId="40DD8578"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1 (-0</w:t>
            </w:r>
            <w:r w:rsidR="001323B8" w:rsidRPr="00E51082">
              <w:rPr>
                <w:szCs w:val="24"/>
              </w:rPr>
              <w:t>.</w:t>
            </w:r>
            <w:r w:rsidRPr="00E51082">
              <w:rPr>
                <w:szCs w:val="24"/>
              </w:rPr>
              <w:t>7, 0</w:t>
            </w:r>
            <w:r w:rsidR="001323B8" w:rsidRPr="00E51082">
              <w:rPr>
                <w:szCs w:val="24"/>
              </w:rPr>
              <w:t>.</w:t>
            </w:r>
            <w:r w:rsidRPr="00E51082">
              <w:rPr>
                <w:szCs w:val="24"/>
              </w:rPr>
              <w:t>5)</w:t>
            </w:r>
          </w:p>
        </w:tc>
        <w:tc>
          <w:tcPr>
            <w:tcW w:w="42" w:type="pct"/>
          </w:tcPr>
          <w:p w14:paraId="4F681DA1" w14:textId="77777777" w:rsidR="00FE1663" w:rsidRPr="00E51082" w:rsidRDefault="00FE1663" w:rsidP="00A13075">
            <w:pPr>
              <w:spacing w:line="240" w:lineRule="auto"/>
              <w:jc w:val="center"/>
              <w:rPr>
                <w:szCs w:val="24"/>
              </w:rPr>
            </w:pPr>
          </w:p>
        </w:tc>
      </w:tr>
      <w:tr w:rsidR="00E51082" w:rsidRPr="00E51082" w14:paraId="6F8524AE" w14:textId="77777777" w:rsidTr="009541FA">
        <w:tc>
          <w:tcPr>
            <w:tcW w:w="699" w:type="pct"/>
            <w:tcBorders>
              <w:right w:val="single" w:sz="4" w:space="0" w:color="auto"/>
            </w:tcBorders>
            <w:vAlign w:val="center"/>
          </w:tcPr>
          <w:p w14:paraId="4E83F6E9" w14:textId="77777777" w:rsidR="00FE1663" w:rsidRPr="00E51082" w:rsidRDefault="00FE1663" w:rsidP="00A13075">
            <w:pPr>
              <w:spacing w:line="240" w:lineRule="auto"/>
              <w:rPr>
                <w:szCs w:val="24"/>
              </w:rPr>
            </w:pPr>
            <w:r w:rsidRPr="00E51082">
              <w:rPr>
                <w:szCs w:val="24"/>
              </w:rPr>
              <w:t>Mother and baby unit days</w:t>
            </w:r>
          </w:p>
        </w:tc>
        <w:tc>
          <w:tcPr>
            <w:tcW w:w="494" w:type="pct"/>
            <w:tcBorders>
              <w:left w:val="single" w:sz="4" w:space="0" w:color="auto"/>
            </w:tcBorders>
            <w:vAlign w:val="center"/>
          </w:tcPr>
          <w:p w14:paraId="37A426D5" w14:textId="77777777" w:rsidR="00FE1663" w:rsidRPr="00E51082" w:rsidRDefault="00FE1663" w:rsidP="00A13075">
            <w:pPr>
              <w:spacing w:line="240" w:lineRule="auto"/>
              <w:rPr>
                <w:szCs w:val="24"/>
              </w:rPr>
            </w:pPr>
            <w:r w:rsidRPr="00E51082">
              <w:rPr>
                <w:szCs w:val="24"/>
              </w:rPr>
              <w:t>0</w:t>
            </w:r>
          </w:p>
        </w:tc>
        <w:tc>
          <w:tcPr>
            <w:tcW w:w="524" w:type="pct"/>
            <w:vAlign w:val="center"/>
          </w:tcPr>
          <w:p w14:paraId="2F727938" w14:textId="77777777" w:rsidR="00FE1663" w:rsidRPr="00E51082" w:rsidRDefault="00FE1663" w:rsidP="00A13075">
            <w:pPr>
              <w:spacing w:line="240" w:lineRule="auto"/>
              <w:rPr>
                <w:szCs w:val="24"/>
              </w:rPr>
            </w:pPr>
            <w:r w:rsidRPr="00E51082">
              <w:rPr>
                <w:szCs w:val="24"/>
              </w:rPr>
              <w:t>0</w:t>
            </w:r>
          </w:p>
        </w:tc>
        <w:tc>
          <w:tcPr>
            <w:tcW w:w="452" w:type="pct"/>
            <w:vAlign w:val="center"/>
          </w:tcPr>
          <w:p w14:paraId="55A129E4" w14:textId="77777777" w:rsidR="00FE1663" w:rsidRPr="00E51082" w:rsidRDefault="00FE1663" w:rsidP="00A13075">
            <w:pPr>
              <w:spacing w:line="240" w:lineRule="auto"/>
              <w:rPr>
                <w:szCs w:val="24"/>
              </w:rPr>
            </w:pPr>
            <w:r w:rsidRPr="00E51082">
              <w:rPr>
                <w:szCs w:val="24"/>
              </w:rPr>
              <w:t>0</w:t>
            </w:r>
          </w:p>
        </w:tc>
        <w:tc>
          <w:tcPr>
            <w:tcW w:w="452" w:type="pct"/>
            <w:tcBorders>
              <w:right w:val="single" w:sz="4" w:space="0" w:color="auto"/>
            </w:tcBorders>
            <w:vAlign w:val="center"/>
          </w:tcPr>
          <w:p w14:paraId="22D0F3C9" w14:textId="77777777" w:rsidR="00FE1663" w:rsidRPr="00E51082" w:rsidRDefault="00FE1663" w:rsidP="00A13075">
            <w:pPr>
              <w:spacing w:line="240" w:lineRule="auto"/>
              <w:rPr>
                <w:szCs w:val="24"/>
              </w:rPr>
            </w:pPr>
            <w:r w:rsidRPr="00E51082">
              <w:rPr>
                <w:szCs w:val="24"/>
              </w:rPr>
              <w:t>0</w:t>
            </w:r>
          </w:p>
        </w:tc>
        <w:tc>
          <w:tcPr>
            <w:tcW w:w="857" w:type="pct"/>
            <w:tcBorders>
              <w:left w:val="single" w:sz="4" w:space="0" w:color="auto"/>
            </w:tcBorders>
            <w:vAlign w:val="center"/>
          </w:tcPr>
          <w:p w14:paraId="45252555" w14:textId="77777777" w:rsidR="00FE1663" w:rsidRPr="00E51082" w:rsidRDefault="00FE1663" w:rsidP="00A13075">
            <w:pPr>
              <w:spacing w:line="240" w:lineRule="auto"/>
              <w:rPr>
                <w:szCs w:val="24"/>
              </w:rPr>
            </w:pPr>
            <w:r w:rsidRPr="00E51082">
              <w:rPr>
                <w:szCs w:val="24"/>
              </w:rPr>
              <w:t>0</w:t>
            </w:r>
          </w:p>
        </w:tc>
        <w:tc>
          <w:tcPr>
            <w:tcW w:w="730" w:type="pct"/>
            <w:vAlign w:val="center"/>
          </w:tcPr>
          <w:p w14:paraId="3D161A60" w14:textId="77777777" w:rsidR="00FE1663" w:rsidRPr="00E51082" w:rsidRDefault="00FE1663" w:rsidP="00A13075">
            <w:pPr>
              <w:spacing w:line="240" w:lineRule="auto"/>
              <w:rPr>
                <w:szCs w:val="24"/>
              </w:rPr>
            </w:pPr>
            <w:r w:rsidRPr="00E51082">
              <w:rPr>
                <w:szCs w:val="24"/>
              </w:rPr>
              <w:t>0</w:t>
            </w:r>
          </w:p>
        </w:tc>
        <w:tc>
          <w:tcPr>
            <w:tcW w:w="749" w:type="pct"/>
            <w:vAlign w:val="center"/>
          </w:tcPr>
          <w:p w14:paraId="13FEAF51" w14:textId="77777777" w:rsidR="00FE1663" w:rsidRPr="00E51082" w:rsidRDefault="00FE1663" w:rsidP="00A13075">
            <w:pPr>
              <w:spacing w:line="240" w:lineRule="auto"/>
              <w:rPr>
                <w:szCs w:val="24"/>
              </w:rPr>
            </w:pPr>
            <w:r w:rsidRPr="00E51082">
              <w:rPr>
                <w:szCs w:val="24"/>
              </w:rPr>
              <w:t>0</w:t>
            </w:r>
          </w:p>
        </w:tc>
        <w:tc>
          <w:tcPr>
            <w:tcW w:w="42" w:type="pct"/>
          </w:tcPr>
          <w:p w14:paraId="2C98731F" w14:textId="77777777" w:rsidR="00FE1663" w:rsidRPr="00E51082" w:rsidRDefault="00FE1663" w:rsidP="00A13075">
            <w:pPr>
              <w:spacing w:line="240" w:lineRule="auto"/>
              <w:jc w:val="center"/>
              <w:rPr>
                <w:szCs w:val="24"/>
              </w:rPr>
            </w:pPr>
          </w:p>
        </w:tc>
      </w:tr>
      <w:tr w:rsidR="00E51082" w:rsidRPr="00E51082" w14:paraId="093DD7D0" w14:textId="77777777" w:rsidTr="009541FA">
        <w:tc>
          <w:tcPr>
            <w:tcW w:w="699" w:type="pct"/>
            <w:tcBorders>
              <w:right w:val="single" w:sz="4" w:space="0" w:color="auto"/>
            </w:tcBorders>
            <w:vAlign w:val="center"/>
          </w:tcPr>
          <w:p w14:paraId="61DD1ECB" w14:textId="77777777" w:rsidR="00FE1663" w:rsidRPr="00E51082" w:rsidRDefault="00FE1663" w:rsidP="00A13075">
            <w:pPr>
              <w:spacing w:line="240" w:lineRule="auto"/>
              <w:rPr>
                <w:szCs w:val="24"/>
              </w:rPr>
            </w:pPr>
            <w:r w:rsidRPr="00E51082">
              <w:rPr>
                <w:szCs w:val="24"/>
              </w:rPr>
              <w:t>Community mental health contacts</w:t>
            </w:r>
            <w:r w:rsidR="005E0522" w:rsidRPr="00E51082">
              <w:rPr>
                <w:bCs/>
                <w:szCs w:val="24"/>
                <w:vertAlign w:val="superscript"/>
              </w:rPr>
              <w:t>b</w:t>
            </w:r>
          </w:p>
        </w:tc>
        <w:tc>
          <w:tcPr>
            <w:tcW w:w="494" w:type="pct"/>
            <w:tcBorders>
              <w:left w:val="single" w:sz="4" w:space="0" w:color="auto"/>
            </w:tcBorders>
            <w:vAlign w:val="center"/>
          </w:tcPr>
          <w:p w14:paraId="7AF34E0D" w14:textId="77777777" w:rsidR="00FE1663" w:rsidRPr="00E51082" w:rsidRDefault="00FE1663" w:rsidP="00A13075">
            <w:pPr>
              <w:spacing w:line="240" w:lineRule="auto"/>
              <w:rPr>
                <w:szCs w:val="24"/>
              </w:rPr>
            </w:pPr>
            <w:r w:rsidRPr="00E51082">
              <w:rPr>
                <w:szCs w:val="24"/>
              </w:rPr>
              <w:t>0</w:t>
            </w:r>
          </w:p>
        </w:tc>
        <w:tc>
          <w:tcPr>
            <w:tcW w:w="524" w:type="pct"/>
            <w:vAlign w:val="center"/>
          </w:tcPr>
          <w:p w14:paraId="63062FAC" w14:textId="77777777" w:rsidR="00FE1663" w:rsidRPr="00E51082" w:rsidRDefault="00FE1663" w:rsidP="00A13075">
            <w:pPr>
              <w:spacing w:line="240" w:lineRule="auto"/>
              <w:rPr>
                <w:szCs w:val="24"/>
              </w:rPr>
            </w:pPr>
            <w:r w:rsidRPr="00E51082">
              <w:rPr>
                <w:szCs w:val="24"/>
              </w:rPr>
              <w:t>0</w:t>
            </w:r>
          </w:p>
        </w:tc>
        <w:tc>
          <w:tcPr>
            <w:tcW w:w="452" w:type="pct"/>
            <w:vAlign w:val="center"/>
          </w:tcPr>
          <w:p w14:paraId="7F5FC980" w14:textId="77777777" w:rsidR="00FE1663" w:rsidRPr="00E51082" w:rsidRDefault="00FE1663" w:rsidP="00A13075">
            <w:pPr>
              <w:spacing w:line="240" w:lineRule="auto"/>
              <w:rPr>
                <w:szCs w:val="24"/>
              </w:rPr>
            </w:pPr>
            <w:r w:rsidRPr="00E51082">
              <w:rPr>
                <w:szCs w:val="24"/>
              </w:rPr>
              <w:t>0</w:t>
            </w:r>
          </w:p>
        </w:tc>
        <w:tc>
          <w:tcPr>
            <w:tcW w:w="452" w:type="pct"/>
            <w:tcBorders>
              <w:right w:val="single" w:sz="4" w:space="0" w:color="auto"/>
            </w:tcBorders>
            <w:vAlign w:val="center"/>
          </w:tcPr>
          <w:p w14:paraId="18C2228C" w14:textId="77777777" w:rsidR="00FE1663" w:rsidRPr="00E51082" w:rsidRDefault="00FE1663" w:rsidP="00A13075">
            <w:pPr>
              <w:spacing w:line="240" w:lineRule="auto"/>
              <w:rPr>
                <w:szCs w:val="24"/>
              </w:rPr>
            </w:pPr>
            <w:r w:rsidRPr="00E51082">
              <w:rPr>
                <w:szCs w:val="24"/>
              </w:rPr>
              <w:t>0</w:t>
            </w:r>
          </w:p>
        </w:tc>
        <w:tc>
          <w:tcPr>
            <w:tcW w:w="857" w:type="pct"/>
            <w:tcBorders>
              <w:left w:val="single" w:sz="4" w:space="0" w:color="auto"/>
            </w:tcBorders>
            <w:vAlign w:val="center"/>
          </w:tcPr>
          <w:p w14:paraId="6AB40FD3" w14:textId="77777777" w:rsidR="00FE1663" w:rsidRPr="00E51082" w:rsidRDefault="00FE1663" w:rsidP="00A13075">
            <w:pPr>
              <w:spacing w:line="240" w:lineRule="auto"/>
              <w:rPr>
                <w:szCs w:val="24"/>
              </w:rPr>
            </w:pPr>
            <w:r w:rsidRPr="00E51082">
              <w:rPr>
                <w:szCs w:val="24"/>
              </w:rPr>
              <w:t>0</w:t>
            </w:r>
          </w:p>
        </w:tc>
        <w:tc>
          <w:tcPr>
            <w:tcW w:w="730" w:type="pct"/>
            <w:vAlign w:val="center"/>
          </w:tcPr>
          <w:p w14:paraId="18D00FFC" w14:textId="77777777" w:rsidR="00FE1663" w:rsidRPr="00E51082" w:rsidRDefault="00FE1663" w:rsidP="00A13075">
            <w:pPr>
              <w:spacing w:line="240" w:lineRule="auto"/>
              <w:rPr>
                <w:szCs w:val="24"/>
              </w:rPr>
            </w:pPr>
            <w:r w:rsidRPr="00E51082">
              <w:rPr>
                <w:szCs w:val="24"/>
              </w:rPr>
              <w:t>0</w:t>
            </w:r>
          </w:p>
        </w:tc>
        <w:tc>
          <w:tcPr>
            <w:tcW w:w="749" w:type="pct"/>
            <w:vAlign w:val="center"/>
          </w:tcPr>
          <w:p w14:paraId="0101F378" w14:textId="77777777" w:rsidR="00FE1663" w:rsidRPr="00E51082" w:rsidRDefault="00FE1663" w:rsidP="00A13075">
            <w:pPr>
              <w:spacing w:line="240" w:lineRule="auto"/>
              <w:rPr>
                <w:szCs w:val="24"/>
              </w:rPr>
            </w:pPr>
            <w:r w:rsidRPr="00E51082">
              <w:rPr>
                <w:szCs w:val="24"/>
              </w:rPr>
              <w:t>0</w:t>
            </w:r>
          </w:p>
        </w:tc>
        <w:tc>
          <w:tcPr>
            <w:tcW w:w="42" w:type="pct"/>
          </w:tcPr>
          <w:p w14:paraId="42E5E98E" w14:textId="77777777" w:rsidR="00FE1663" w:rsidRPr="00E51082" w:rsidRDefault="00FE1663" w:rsidP="00A13075">
            <w:pPr>
              <w:spacing w:line="240" w:lineRule="auto"/>
              <w:jc w:val="center"/>
              <w:rPr>
                <w:szCs w:val="24"/>
              </w:rPr>
            </w:pPr>
          </w:p>
        </w:tc>
      </w:tr>
      <w:tr w:rsidR="00E51082" w:rsidRPr="00E51082" w14:paraId="7AF102C7" w14:textId="77777777" w:rsidTr="009541FA">
        <w:tc>
          <w:tcPr>
            <w:tcW w:w="699" w:type="pct"/>
            <w:tcBorders>
              <w:right w:val="single" w:sz="4" w:space="0" w:color="auto"/>
            </w:tcBorders>
            <w:vAlign w:val="center"/>
          </w:tcPr>
          <w:p w14:paraId="248D02BB" w14:textId="77777777" w:rsidR="00FE1663" w:rsidRPr="00E51082" w:rsidRDefault="00FE1663" w:rsidP="00A13075">
            <w:pPr>
              <w:spacing w:line="240" w:lineRule="auto"/>
              <w:rPr>
                <w:szCs w:val="24"/>
              </w:rPr>
            </w:pPr>
            <w:r w:rsidRPr="00E51082">
              <w:rPr>
                <w:szCs w:val="24"/>
              </w:rPr>
              <w:t>Clinical mental health contacts</w:t>
            </w:r>
            <w:r w:rsidR="005E0522" w:rsidRPr="00E51082">
              <w:rPr>
                <w:bCs/>
                <w:szCs w:val="24"/>
                <w:vertAlign w:val="superscript"/>
              </w:rPr>
              <w:t>c</w:t>
            </w:r>
          </w:p>
        </w:tc>
        <w:tc>
          <w:tcPr>
            <w:tcW w:w="494" w:type="pct"/>
            <w:tcBorders>
              <w:left w:val="single" w:sz="4" w:space="0" w:color="auto"/>
            </w:tcBorders>
            <w:vAlign w:val="center"/>
          </w:tcPr>
          <w:p w14:paraId="50AE944D" w14:textId="77777777" w:rsidR="00FE1663" w:rsidRPr="00E51082" w:rsidRDefault="00FE1663" w:rsidP="00A13075">
            <w:pPr>
              <w:spacing w:line="240" w:lineRule="auto"/>
              <w:rPr>
                <w:szCs w:val="24"/>
              </w:rPr>
            </w:pPr>
            <w:r w:rsidRPr="00E51082">
              <w:rPr>
                <w:szCs w:val="24"/>
              </w:rPr>
              <w:t>0</w:t>
            </w:r>
          </w:p>
        </w:tc>
        <w:tc>
          <w:tcPr>
            <w:tcW w:w="524" w:type="pct"/>
            <w:vAlign w:val="center"/>
          </w:tcPr>
          <w:p w14:paraId="547C3C0B" w14:textId="77777777" w:rsidR="00FE1663" w:rsidRPr="00E51082" w:rsidRDefault="00FE1663" w:rsidP="00A13075">
            <w:pPr>
              <w:spacing w:line="240" w:lineRule="auto"/>
              <w:rPr>
                <w:szCs w:val="24"/>
              </w:rPr>
            </w:pPr>
            <w:r w:rsidRPr="00E51082">
              <w:rPr>
                <w:szCs w:val="24"/>
              </w:rPr>
              <w:t>0</w:t>
            </w:r>
          </w:p>
        </w:tc>
        <w:tc>
          <w:tcPr>
            <w:tcW w:w="452" w:type="pct"/>
            <w:vAlign w:val="center"/>
          </w:tcPr>
          <w:p w14:paraId="3D184551" w14:textId="77777777" w:rsidR="00FE1663" w:rsidRPr="00E51082" w:rsidRDefault="00FE1663" w:rsidP="00A13075">
            <w:pPr>
              <w:spacing w:line="240" w:lineRule="auto"/>
              <w:rPr>
                <w:szCs w:val="24"/>
              </w:rPr>
            </w:pPr>
            <w:r w:rsidRPr="00E51082">
              <w:rPr>
                <w:szCs w:val="24"/>
              </w:rPr>
              <w:t>0</w:t>
            </w:r>
          </w:p>
        </w:tc>
        <w:tc>
          <w:tcPr>
            <w:tcW w:w="452" w:type="pct"/>
            <w:tcBorders>
              <w:right w:val="single" w:sz="4" w:space="0" w:color="auto"/>
            </w:tcBorders>
            <w:vAlign w:val="center"/>
          </w:tcPr>
          <w:p w14:paraId="67280DAA" w14:textId="77777777" w:rsidR="00FE1663" w:rsidRPr="00E51082" w:rsidRDefault="00FE1663" w:rsidP="00A13075">
            <w:pPr>
              <w:spacing w:line="240" w:lineRule="auto"/>
              <w:rPr>
                <w:szCs w:val="24"/>
              </w:rPr>
            </w:pPr>
            <w:r w:rsidRPr="00E51082">
              <w:rPr>
                <w:szCs w:val="24"/>
              </w:rPr>
              <w:t>0</w:t>
            </w:r>
          </w:p>
        </w:tc>
        <w:tc>
          <w:tcPr>
            <w:tcW w:w="857" w:type="pct"/>
            <w:tcBorders>
              <w:left w:val="single" w:sz="4" w:space="0" w:color="auto"/>
            </w:tcBorders>
            <w:vAlign w:val="center"/>
          </w:tcPr>
          <w:p w14:paraId="06A1196A" w14:textId="77777777" w:rsidR="00FE1663" w:rsidRPr="00E51082" w:rsidRDefault="00FE1663" w:rsidP="00A13075">
            <w:pPr>
              <w:spacing w:line="240" w:lineRule="auto"/>
              <w:rPr>
                <w:szCs w:val="24"/>
              </w:rPr>
            </w:pPr>
            <w:r w:rsidRPr="00E51082">
              <w:rPr>
                <w:szCs w:val="24"/>
              </w:rPr>
              <w:t>0</w:t>
            </w:r>
          </w:p>
        </w:tc>
        <w:tc>
          <w:tcPr>
            <w:tcW w:w="730" w:type="pct"/>
            <w:vAlign w:val="center"/>
          </w:tcPr>
          <w:p w14:paraId="6D58A523" w14:textId="77777777" w:rsidR="00FE1663" w:rsidRPr="00E51082" w:rsidRDefault="00FE1663" w:rsidP="00A13075">
            <w:pPr>
              <w:spacing w:line="240" w:lineRule="auto"/>
              <w:rPr>
                <w:szCs w:val="24"/>
              </w:rPr>
            </w:pPr>
            <w:r w:rsidRPr="00E51082">
              <w:rPr>
                <w:szCs w:val="24"/>
              </w:rPr>
              <w:t>0</w:t>
            </w:r>
          </w:p>
        </w:tc>
        <w:tc>
          <w:tcPr>
            <w:tcW w:w="749" w:type="pct"/>
            <w:vAlign w:val="center"/>
          </w:tcPr>
          <w:p w14:paraId="7CC4214E" w14:textId="77777777" w:rsidR="00FE1663" w:rsidRPr="00E51082" w:rsidRDefault="00FE1663" w:rsidP="00A13075">
            <w:pPr>
              <w:spacing w:line="240" w:lineRule="auto"/>
              <w:rPr>
                <w:szCs w:val="24"/>
              </w:rPr>
            </w:pPr>
            <w:r w:rsidRPr="00E51082">
              <w:rPr>
                <w:szCs w:val="24"/>
              </w:rPr>
              <w:t>0</w:t>
            </w:r>
          </w:p>
        </w:tc>
        <w:tc>
          <w:tcPr>
            <w:tcW w:w="42" w:type="pct"/>
          </w:tcPr>
          <w:p w14:paraId="0B3E9544" w14:textId="77777777" w:rsidR="00FE1663" w:rsidRPr="00E51082" w:rsidRDefault="00FE1663" w:rsidP="00A13075">
            <w:pPr>
              <w:spacing w:line="240" w:lineRule="auto"/>
              <w:jc w:val="center"/>
              <w:rPr>
                <w:szCs w:val="24"/>
              </w:rPr>
            </w:pPr>
          </w:p>
        </w:tc>
      </w:tr>
      <w:tr w:rsidR="00E51082" w:rsidRPr="00E51082" w14:paraId="510A9FF9" w14:textId="77777777" w:rsidTr="009541FA">
        <w:tc>
          <w:tcPr>
            <w:tcW w:w="699" w:type="pct"/>
            <w:tcBorders>
              <w:right w:val="single" w:sz="4" w:space="0" w:color="auto"/>
            </w:tcBorders>
            <w:vAlign w:val="center"/>
          </w:tcPr>
          <w:p w14:paraId="0B048B86" w14:textId="77777777" w:rsidR="00FE1663" w:rsidRPr="00E51082" w:rsidRDefault="00FE1663" w:rsidP="00A13075">
            <w:pPr>
              <w:spacing w:line="240" w:lineRule="auto"/>
              <w:rPr>
                <w:szCs w:val="24"/>
              </w:rPr>
            </w:pPr>
            <w:r w:rsidRPr="00E51082">
              <w:rPr>
                <w:szCs w:val="24"/>
              </w:rPr>
              <w:t>A&amp;E attendances</w:t>
            </w:r>
          </w:p>
        </w:tc>
        <w:tc>
          <w:tcPr>
            <w:tcW w:w="494" w:type="pct"/>
            <w:tcBorders>
              <w:left w:val="single" w:sz="4" w:space="0" w:color="auto"/>
            </w:tcBorders>
            <w:vAlign w:val="center"/>
          </w:tcPr>
          <w:p w14:paraId="486957A4" w14:textId="77777777" w:rsidR="00FE1663" w:rsidRPr="00E51082" w:rsidRDefault="00FE1663" w:rsidP="00A13075">
            <w:pPr>
              <w:spacing w:line="240" w:lineRule="auto"/>
              <w:rPr>
                <w:szCs w:val="24"/>
              </w:rPr>
            </w:pPr>
            <w:r w:rsidRPr="00E51082">
              <w:rPr>
                <w:szCs w:val="24"/>
              </w:rPr>
              <w:t>0</w:t>
            </w:r>
          </w:p>
        </w:tc>
        <w:tc>
          <w:tcPr>
            <w:tcW w:w="524" w:type="pct"/>
            <w:vAlign w:val="center"/>
          </w:tcPr>
          <w:p w14:paraId="0C53FEC1" w14:textId="77777777" w:rsidR="00FE1663" w:rsidRPr="00E51082" w:rsidRDefault="00FE1663" w:rsidP="00A13075">
            <w:pPr>
              <w:spacing w:line="240" w:lineRule="auto"/>
              <w:rPr>
                <w:szCs w:val="24"/>
              </w:rPr>
            </w:pPr>
            <w:r w:rsidRPr="00E51082">
              <w:rPr>
                <w:szCs w:val="24"/>
              </w:rPr>
              <w:t>0</w:t>
            </w:r>
          </w:p>
        </w:tc>
        <w:tc>
          <w:tcPr>
            <w:tcW w:w="452" w:type="pct"/>
            <w:vAlign w:val="center"/>
          </w:tcPr>
          <w:p w14:paraId="0D60F33B" w14:textId="77777777" w:rsidR="00FE1663" w:rsidRPr="00E51082" w:rsidRDefault="00FE1663" w:rsidP="00A13075">
            <w:pPr>
              <w:spacing w:line="240" w:lineRule="auto"/>
              <w:rPr>
                <w:szCs w:val="24"/>
              </w:rPr>
            </w:pPr>
            <w:r w:rsidRPr="00E51082">
              <w:rPr>
                <w:szCs w:val="24"/>
              </w:rPr>
              <w:t>0</w:t>
            </w:r>
          </w:p>
        </w:tc>
        <w:tc>
          <w:tcPr>
            <w:tcW w:w="452" w:type="pct"/>
            <w:tcBorders>
              <w:right w:val="single" w:sz="4" w:space="0" w:color="auto"/>
            </w:tcBorders>
            <w:vAlign w:val="center"/>
          </w:tcPr>
          <w:p w14:paraId="5B5FCBFD" w14:textId="77777777" w:rsidR="00FE1663" w:rsidRPr="00E51082" w:rsidRDefault="00FE1663" w:rsidP="00A13075">
            <w:pPr>
              <w:spacing w:line="240" w:lineRule="auto"/>
              <w:rPr>
                <w:szCs w:val="24"/>
              </w:rPr>
            </w:pPr>
            <w:r w:rsidRPr="00E51082">
              <w:rPr>
                <w:szCs w:val="24"/>
              </w:rPr>
              <w:t>0</w:t>
            </w:r>
          </w:p>
        </w:tc>
        <w:tc>
          <w:tcPr>
            <w:tcW w:w="857" w:type="pct"/>
            <w:tcBorders>
              <w:left w:val="single" w:sz="4" w:space="0" w:color="auto"/>
            </w:tcBorders>
            <w:vAlign w:val="center"/>
          </w:tcPr>
          <w:p w14:paraId="05219389" w14:textId="77777777" w:rsidR="00FE1663" w:rsidRPr="00E51082" w:rsidRDefault="00FE1663" w:rsidP="00A13075">
            <w:pPr>
              <w:spacing w:line="240" w:lineRule="auto"/>
              <w:rPr>
                <w:szCs w:val="24"/>
              </w:rPr>
            </w:pPr>
            <w:r w:rsidRPr="00E51082">
              <w:rPr>
                <w:szCs w:val="24"/>
              </w:rPr>
              <w:t>0</w:t>
            </w:r>
          </w:p>
        </w:tc>
        <w:tc>
          <w:tcPr>
            <w:tcW w:w="730" w:type="pct"/>
            <w:vAlign w:val="center"/>
          </w:tcPr>
          <w:p w14:paraId="7425B473" w14:textId="77777777" w:rsidR="00FE1663" w:rsidRPr="00E51082" w:rsidRDefault="00FE1663" w:rsidP="00A13075">
            <w:pPr>
              <w:spacing w:line="240" w:lineRule="auto"/>
              <w:rPr>
                <w:szCs w:val="24"/>
              </w:rPr>
            </w:pPr>
            <w:r w:rsidRPr="00E51082">
              <w:rPr>
                <w:szCs w:val="24"/>
              </w:rPr>
              <w:t>0</w:t>
            </w:r>
          </w:p>
        </w:tc>
        <w:tc>
          <w:tcPr>
            <w:tcW w:w="749" w:type="pct"/>
            <w:vAlign w:val="center"/>
          </w:tcPr>
          <w:p w14:paraId="65889D21" w14:textId="77777777" w:rsidR="00FE1663" w:rsidRPr="00E51082" w:rsidRDefault="00FE1663" w:rsidP="00A13075">
            <w:pPr>
              <w:spacing w:line="240" w:lineRule="auto"/>
              <w:rPr>
                <w:szCs w:val="24"/>
              </w:rPr>
            </w:pPr>
            <w:r w:rsidRPr="00E51082">
              <w:rPr>
                <w:szCs w:val="24"/>
              </w:rPr>
              <w:t>0</w:t>
            </w:r>
          </w:p>
        </w:tc>
        <w:tc>
          <w:tcPr>
            <w:tcW w:w="42" w:type="pct"/>
          </w:tcPr>
          <w:p w14:paraId="4500F6D8" w14:textId="77777777" w:rsidR="00FE1663" w:rsidRPr="00E51082" w:rsidRDefault="00FE1663" w:rsidP="00A13075">
            <w:pPr>
              <w:spacing w:line="240" w:lineRule="auto"/>
              <w:jc w:val="center"/>
              <w:rPr>
                <w:szCs w:val="24"/>
              </w:rPr>
            </w:pPr>
          </w:p>
        </w:tc>
      </w:tr>
      <w:tr w:rsidR="00E51082" w:rsidRPr="00E51082" w14:paraId="1F6FC81C" w14:textId="77777777" w:rsidTr="009541FA">
        <w:tc>
          <w:tcPr>
            <w:tcW w:w="699" w:type="pct"/>
            <w:tcBorders>
              <w:right w:val="single" w:sz="4" w:space="0" w:color="auto"/>
            </w:tcBorders>
            <w:vAlign w:val="center"/>
          </w:tcPr>
          <w:p w14:paraId="1FA7F5B1" w14:textId="77777777" w:rsidR="00FE1663" w:rsidRPr="00E51082" w:rsidRDefault="00FE1663" w:rsidP="00A13075">
            <w:pPr>
              <w:spacing w:line="240" w:lineRule="auto"/>
              <w:rPr>
                <w:szCs w:val="24"/>
              </w:rPr>
            </w:pPr>
            <w:r w:rsidRPr="00E51082">
              <w:rPr>
                <w:szCs w:val="24"/>
              </w:rPr>
              <w:t>Social services contacts</w:t>
            </w:r>
            <w:r w:rsidR="005E0522" w:rsidRPr="00E51082">
              <w:rPr>
                <w:bCs/>
                <w:szCs w:val="24"/>
                <w:vertAlign w:val="superscript"/>
              </w:rPr>
              <w:t>d</w:t>
            </w:r>
          </w:p>
        </w:tc>
        <w:tc>
          <w:tcPr>
            <w:tcW w:w="494" w:type="pct"/>
            <w:tcBorders>
              <w:left w:val="single" w:sz="4" w:space="0" w:color="auto"/>
            </w:tcBorders>
            <w:vAlign w:val="center"/>
          </w:tcPr>
          <w:p w14:paraId="09893FCD" w14:textId="77777777" w:rsidR="00FE1663" w:rsidRPr="00E51082" w:rsidRDefault="00FE1663" w:rsidP="00A13075">
            <w:pPr>
              <w:spacing w:line="240" w:lineRule="auto"/>
              <w:rPr>
                <w:szCs w:val="24"/>
              </w:rPr>
            </w:pPr>
            <w:r w:rsidRPr="00E51082">
              <w:rPr>
                <w:szCs w:val="24"/>
              </w:rPr>
              <w:t>0</w:t>
            </w:r>
          </w:p>
        </w:tc>
        <w:tc>
          <w:tcPr>
            <w:tcW w:w="524" w:type="pct"/>
            <w:vAlign w:val="center"/>
          </w:tcPr>
          <w:p w14:paraId="71614D4C" w14:textId="77777777" w:rsidR="00FE1663" w:rsidRPr="00E51082" w:rsidRDefault="00FE1663" w:rsidP="00A13075">
            <w:pPr>
              <w:spacing w:line="240" w:lineRule="auto"/>
              <w:rPr>
                <w:szCs w:val="24"/>
              </w:rPr>
            </w:pPr>
            <w:r w:rsidRPr="00E51082">
              <w:rPr>
                <w:szCs w:val="24"/>
              </w:rPr>
              <w:t>0</w:t>
            </w:r>
          </w:p>
        </w:tc>
        <w:tc>
          <w:tcPr>
            <w:tcW w:w="452" w:type="pct"/>
            <w:vAlign w:val="center"/>
          </w:tcPr>
          <w:p w14:paraId="3CDF54CB" w14:textId="77777777" w:rsidR="00FE1663" w:rsidRPr="00E51082" w:rsidRDefault="00FE1663" w:rsidP="00A13075">
            <w:pPr>
              <w:spacing w:line="240" w:lineRule="auto"/>
              <w:rPr>
                <w:szCs w:val="24"/>
              </w:rPr>
            </w:pPr>
            <w:r w:rsidRPr="00E51082">
              <w:rPr>
                <w:szCs w:val="24"/>
              </w:rPr>
              <w:t>0</w:t>
            </w:r>
          </w:p>
        </w:tc>
        <w:tc>
          <w:tcPr>
            <w:tcW w:w="452" w:type="pct"/>
            <w:tcBorders>
              <w:right w:val="single" w:sz="4" w:space="0" w:color="auto"/>
            </w:tcBorders>
            <w:vAlign w:val="center"/>
          </w:tcPr>
          <w:p w14:paraId="5EC4D712" w14:textId="77777777" w:rsidR="00FE1663" w:rsidRPr="00E51082" w:rsidRDefault="00FE1663" w:rsidP="00A13075">
            <w:pPr>
              <w:spacing w:line="240" w:lineRule="auto"/>
              <w:rPr>
                <w:szCs w:val="24"/>
              </w:rPr>
            </w:pPr>
            <w:r w:rsidRPr="00E51082">
              <w:rPr>
                <w:szCs w:val="24"/>
              </w:rPr>
              <w:t>0</w:t>
            </w:r>
          </w:p>
        </w:tc>
        <w:tc>
          <w:tcPr>
            <w:tcW w:w="857" w:type="pct"/>
            <w:tcBorders>
              <w:left w:val="single" w:sz="4" w:space="0" w:color="auto"/>
            </w:tcBorders>
            <w:vAlign w:val="center"/>
          </w:tcPr>
          <w:p w14:paraId="407BB9E3" w14:textId="77777777" w:rsidR="00FE1663" w:rsidRPr="00E51082" w:rsidRDefault="00FE1663" w:rsidP="00A13075">
            <w:pPr>
              <w:spacing w:line="240" w:lineRule="auto"/>
              <w:rPr>
                <w:szCs w:val="24"/>
              </w:rPr>
            </w:pPr>
            <w:r w:rsidRPr="00E51082">
              <w:rPr>
                <w:szCs w:val="24"/>
              </w:rPr>
              <w:t>0</w:t>
            </w:r>
          </w:p>
        </w:tc>
        <w:tc>
          <w:tcPr>
            <w:tcW w:w="730" w:type="pct"/>
            <w:vAlign w:val="center"/>
          </w:tcPr>
          <w:p w14:paraId="659705F7" w14:textId="77777777" w:rsidR="00FE1663" w:rsidRPr="00E51082" w:rsidRDefault="00FE1663" w:rsidP="00A13075">
            <w:pPr>
              <w:spacing w:line="240" w:lineRule="auto"/>
              <w:rPr>
                <w:szCs w:val="24"/>
              </w:rPr>
            </w:pPr>
            <w:r w:rsidRPr="00E51082">
              <w:rPr>
                <w:szCs w:val="24"/>
              </w:rPr>
              <w:t>0</w:t>
            </w:r>
          </w:p>
        </w:tc>
        <w:tc>
          <w:tcPr>
            <w:tcW w:w="749" w:type="pct"/>
            <w:vAlign w:val="center"/>
          </w:tcPr>
          <w:p w14:paraId="6DCCC006" w14:textId="77777777" w:rsidR="00FE1663" w:rsidRPr="00E51082" w:rsidRDefault="00FE1663" w:rsidP="00A13075">
            <w:pPr>
              <w:spacing w:line="240" w:lineRule="auto"/>
              <w:rPr>
                <w:szCs w:val="24"/>
              </w:rPr>
            </w:pPr>
            <w:r w:rsidRPr="00E51082">
              <w:rPr>
                <w:szCs w:val="24"/>
              </w:rPr>
              <w:t>0</w:t>
            </w:r>
          </w:p>
        </w:tc>
        <w:tc>
          <w:tcPr>
            <w:tcW w:w="42" w:type="pct"/>
          </w:tcPr>
          <w:p w14:paraId="62EFAA94" w14:textId="77777777" w:rsidR="00FE1663" w:rsidRPr="00E51082" w:rsidRDefault="00FE1663" w:rsidP="00A13075">
            <w:pPr>
              <w:spacing w:line="240" w:lineRule="auto"/>
              <w:jc w:val="center"/>
              <w:rPr>
                <w:szCs w:val="24"/>
              </w:rPr>
            </w:pPr>
          </w:p>
        </w:tc>
      </w:tr>
      <w:tr w:rsidR="00E51082" w:rsidRPr="00E51082" w14:paraId="17466B46" w14:textId="77777777" w:rsidTr="009541FA">
        <w:tc>
          <w:tcPr>
            <w:tcW w:w="699" w:type="pct"/>
            <w:tcBorders>
              <w:right w:val="single" w:sz="4" w:space="0" w:color="auto"/>
            </w:tcBorders>
            <w:vAlign w:val="center"/>
          </w:tcPr>
          <w:p w14:paraId="1E5C9392" w14:textId="77777777" w:rsidR="00FE1663" w:rsidRPr="00E51082" w:rsidRDefault="00FE1663" w:rsidP="00A13075">
            <w:pPr>
              <w:spacing w:line="240" w:lineRule="auto"/>
              <w:rPr>
                <w:szCs w:val="24"/>
              </w:rPr>
            </w:pPr>
            <w:r w:rsidRPr="00E51082">
              <w:rPr>
                <w:szCs w:val="24"/>
              </w:rPr>
              <w:t>Antidepressant prescriptions</w:t>
            </w:r>
          </w:p>
        </w:tc>
        <w:tc>
          <w:tcPr>
            <w:tcW w:w="494" w:type="pct"/>
            <w:tcBorders>
              <w:left w:val="single" w:sz="4" w:space="0" w:color="auto"/>
            </w:tcBorders>
            <w:vAlign w:val="center"/>
          </w:tcPr>
          <w:p w14:paraId="609600C2" w14:textId="02F1E6DA"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1 (0</w:t>
            </w:r>
            <w:r w:rsidR="001323B8" w:rsidRPr="00E51082">
              <w:rPr>
                <w:szCs w:val="24"/>
              </w:rPr>
              <w:t>.</w:t>
            </w:r>
            <w:r w:rsidRPr="00E51082">
              <w:rPr>
                <w:szCs w:val="24"/>
              </w:rPr>
              <w:t>0)</w:t>
            </w:r>
          </w:p>
        </w:tc>
        <w:tc>
          <w:tcPr>
            <w:tcW w:w="524" w:type="pct"/>
            <w:vAlign w:val="center"/>
          </w:tcPr>
          <w:p w14:paraId="75A7FF92" w14:textId="77777777" w:rsidR="00FE1663" w:rsidRPr="00E51082" w:rsidRDefault="00FE1663" w:rsidP="00A13075">
            <w:pPr>
              <w:spacing w:line="240" w:lineRule="auto"/>
              <w:rPr>
                <w:szCs w:val="24"/>
              </w:rPr>
            </w:pPr>
            <w:r w:rsidRPr="00E51082">
              <w:rPr>
                <w:szCs w:val="24"/>
              </w:rPr>
              <w:t>0</w:t>
            </w:r>
          </w:p>
        </w:tc>
        <w:tc>
          <w:tcPr>
            <w:tcW w:w="452" w:type="pct"/>
            <w:vAlign w:val="center"/>
          </w:tcPr>
          <w:p w14:paraId="49046FDC" w14:textId="77777777" w:rsidR="00FE1663" w:rsidRPr="00E51082" w:rsidRDefault="00FE1663" w:rsidP="00A13075">
            <w:pPr>
              <w:spacing w:line="240" w:lineRule="auto"/>
              <w:rPr>
                <w:szCs w:val="24"/>
              </w:rPr>
            </w:pPr>
            <w:r w:rsidRPr="00E51082">
              <w:rPr>
                <w:szCs w:val="24"/>
              </w:rPr>
              <w:t>0</w:t>
            </w:r>
          </w:p>
        </w:tc>
        <w:tc>
          <w:tcPr>
            <w:tcW w:w="452" w:type="pct"/>
            <w:tcBorders>
              <w:right w:val="single" w:sz="4" w:space="0" w:color="auto"/>
            </w:tcBorders>
            <w:vAlign w:val="center"/>
          </w:tcPr>
          <w:p w14:paraId="4A443372" w14:textId="77777777" w:rsidR="00FE1663" w:rsidRPr="00E51082" w:rsidRDefault="00FE1663" w:rsidP="00A13075">
            <w:pPr>
              <w:spacing w:line="240" w:lineRule="auto"/>
              <w:rPr>
                <w:szCs w:val="24"/>
              </w:rPr>
            </w:pPr>
            <w:r w:rsidRPr="00E51082">
              <w:rPr>
                <w:szCs w:val="24"/>
              </w:rPr>
              <w:t>0</w:t>
            </w:r>
          </w:p>
        </w:tc>
        <w:tc>
          <w:tcPr>
            <w:tcW w:w="857" w:type="pct"/>
            <w:tcBorders>
              <w:left w:val="single" w:sz="4" w:space="0" w:color="auto"/>
            </w:tcBorders>
            <w:vAlign w:val="center"/>
          </w:tcPr>
          <w:p w14:paraId="3576852A" w14:textId="39135D5F"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 (-0</w:t>
            </w:r>
            <w:r w:rsidR="001323B8" w:rsidRPr="00E51082">
              <w:rPr>
                <w:szCs w:val="24"/>
              </w:rPr>
              <w:t>.</w:t>
            </w:r>
            <w:r w:rsidRPr="00E51082">
              <w:rPr>
                <w:szCs w:val="24"/>
              </w:rPr>
              <w:t>1,  0</w:t>
            </w:r>
            <w:r w:rsidR="001323B8" w:rsidRPr="00E51082">
              <w:rPr>
                <w:szCs w:val="24"/>
              </w:rPr>
              <w:t>.</w:t>
            </w:r>
            <w:r w:rsidRPr="00E51082">
              <w:rPr>
                <w:szCs w:val="24"/>
              </w:rPr>
              <w:t>0)</w:t>
            </w:r>
          </w:p>
        </w:tc>
        <w:tc>
          <w:tcPr>
            <w:tcW w:w="730" w:type="pct"/>
            <w:vAlign w:val="center"/>
          </w:tcPr>
          <w:p w14:paraId="1EDF738D" w14:textId="1A01ABC4"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 (-0</w:t>
            </w:r>
            <w:r w:rsidR="001323B8" w:rsidRPr="00E51082">
              <w:rPr>
                <w:szCs w:val="24"/>
              </w:rPr>
              <w:t>.</w:t>
            </w:r>
            <w:r w:rsidRPr="00E51082">
              <w:rPr>
                <w:szCs w:val="24"/>
              </w:rPr>
              <w:t>1,  0</w:t>
            </w:r>
            <w:r w:rsidR="001323B8" w:rsidRPr="00E51082">
              <w:rPr>
                <w:szCs w:val="24"/>
              </w:rPr>
              <w:t>.</w:t>
            </w:r>
            <w:r w:rsidRPr="00E51082">
              <w:rPr>
                <w:szCs w:val="24"/>
              </w:rPr>
              <w:t>0)</w:t>
            </w:r>
          </w:p>
        </w:tc>
        <w:tc>
          <w:tcPr>
            <w:tcW w:w="749" w:type="pct"/>
            <w:vAlign w:val="center"/>
          </w:tcPr>
          <w:p w14:paraId="7D60B326" w14:textId="0EE0021B"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 (-0</w:t>
            </w:r>
            <w:r w:rsidR="001323B8" w:rsidRPr="00E51082">
              <w:rPr>
                <w:szCs w:val="24"/>
              </w:rPr>
              <w:t>.</w:t>
            </w:r>
            <w:r w:rsidRPr="00E51082">
              <w:rPr>
                <w:szCs w:val="24"/>
              </w:rPr>
              <w:t>1,  0</w:t>
            </w:r>
            <w:r w:rsidR="001323B8" w:rsidRPr="00E51082">
              <w:rPr>
                <w:szCs w:val="24"/>
              </w:rPr>
              <w:t>.</w:t>
            </w:r>
            <w:r w:rsidRPr="00E51082">
              <w:rPr>
                <w:szCs w:val="24"/>
              </w:rPr>
              <w:t>0)</w:t>
            </w:r>
          </w:p>
        </w:tc>
        <w:tc>
          <w:tcPr>
            <w:tcW w:w="42" w:type="pct"/>
          </w:tcPr>
          <w:p w14:paraId="01C5AB39" w14:textId="77777777" w:rsidR="00FE1663" w:rsidRPr="00E51082" w:rsidRDefault="00FE1663" w:rsidP="00A13075">
            <w:pPr>
              <w:spacing w:line="240" w:lineRule="auto"/>
              <w:jc w:val="center"/>
              <w:rPr>
                <w:szCs w:val="24"/>
              </w:rPr>
            </w:pPr>
          </w:p>
        </w:tc>
      </w:tr>
      <w:tr w:rsidR="00E51082" w:rsidRPr="00E51082" w14:paraId="1F592190" w14:textId="77777777" w:rsidTr="009541FA">
        <w:tc>
          <w:tcPr>
            <w:tcW w:w="699" w:type="pct"/>
            <w:tcBorders>
              <w:bottom w:val="single" w:sz="4" w:space="0" w:color="auto"/>
              <w:right w:val="single" w:sz="4" w:space="0" w:color="auto"/>
            </w:tcBorders>
            <w:vAlign w:val="center"/>
          </w:tcPr>
          <w:p w14:paraId="038E0D70" w14:textId="77777777" w:rsidR="00FE1663" w:rsidRPr="00E51082" w:rsidRDefault="00FE1663" w:rsidP="00A13075">
            <w:pPr>
              <w:spacing w:line="240" w:lineRule="auto"/>
              <w:rPr>
                <w:szCs w:val="24"/>
              </w:rPr>
            </w:pPr>
            <w:r w:rsidRPr="00E51082">
              <w:rPr>
                <w:szCs w:val="24"/>
              </w:rPr>
              <w:t>Other prescriptions</w:t>
            </w:r>
          </w:p>
        </w:tc>
        <w:tc>
          <w:tcPr>
            <w:tcW w:w="494" w:type="pct"/>
            <w:tcBorders>
              <w:left w:val="single" w:sz="4" w:space="0" w:color="auto"/>
              <w:bottom w:val="single" w:sz="4" w:space="0" w:color="auto"/>
            </w:tcBorders>
            <w:vAlign w:val="center"/>
          </w:tcPr>
          <w:p w14:paraId="7BA64438" w14:textId="12CE615E"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3 (0</w:t>
            </w:r>
            <w:r w:rsidR="001323B8" w:rsidRPr="00E51082">
              <w:rPr>
                <w:szCs w:val="24"/>
              </w:rPr>
              <w:t>.</w:t>
            </w:r>
            <w:r w:rsidRPr="00E51082">
              <w:rPr>
                <w:szCs w:val="24"/>
              </w:rPr>
              <w:t>1)</w:t>
            </w:r>
          </w:p>
        </w:tc>
        <w:tc>
          <w:tcPr>
            <w:tcW w:w="524" w:type="pct"/>
            <w:tcBorders>
              <w:bottom w:val="single" w:sz="4" w:space="0" w:color="auto"/>
            </w:tcBorders>
            <w:vAlign w:val="center"/>
          </w:tcPr>
          <w:p w14:paraId="349423F0" w14:textId="26708F0D"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3 (0</w:t>
            </w:r>
            <w:r w:rsidR="001323B8" w:rsidRPr="00E51082">
              <w:rPr>
                <w:szCs w:val="24"/>
              </w:rPr>
              <w:t>.</w:t>
            </w:r>
            <w:r w:rsidRPr="00E51082">
              <w:rPr>
                <w:szCs w:val="24"/>
              </w:rPr>
              <w:t>1)</w:t>
            </w:r>
          </w:p>
        </w:tc>
        <w:tc>
          <w:tcPr>
            <w:tcW w:w="452" w:type="pct"/>
            <w:tcBorders>
              <w:bottom w:val="single" w:sz="4" w:space="0" w:color="auto"/>
            </w:tcBorders>
            <w:vAlign w:val="center"/>
          </w:tcPr>
          <w:p w14:paraId="323370F3" w14:textId="6021BAFA"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3 (0</w:t>
            </w:r>
            <w:r w:rsidR="001323B8" w:rsidRPr="00E51082">
              <w:rPr>
                <w:szCs w:val="24"/>
              </w:rPr>
              <w:t>.</w:t>
            </w:r>
            <w:r w:rsidRPr="00E51082">
              <w:rPr>
                <w:szCs w:val="24"/>
              </w:rPr>
              <w:t>1)</w:t>
            </w:r>
          </w:p>
        </w:tc>
        <w:tc>
          <w:tcPr>
            <w:tcW w:w="452" w:type="pct"/>
            <w:tcBorders>
              <w:bottom w:val="single" w:sz="4" w:space="0" w:color="auto"/>
              <w:right w:val="single" w:sz="4" w:space="0" w:color="auto"/>
            </w:tcBorders>
            <w:vAlign w:val="center"/>
          </w:tcPr>
          <w:p w14:paraId="7A80EE0B" w14:textId="32B3A4D4"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4 (0</w:t>
            </w:r>
            <w:r w:rsidR="001323B8" w:rsidRPr="00E51082">
              <w:rPr>
                <w:szCs w:val="24"/>
              </w:rPr>
              <w:t>.</w:t>
            </w:r>
            <w:r w:rsidRPr="00E51082">
              <w:rPr>
                <w:szCs w:val="24"/>
              </w:rPr>
              <w:t>1)</w:t>
            </w:r>
          </w:p>
        </w:tc>
        <w:tc>
          <w:tcPr>
            <w:tcW w:w="857" w:type="pct"/>
            <w:tcBorders>
              <w:left w:val="single" w:sz="4" w:space="0" w:color="auto"/>
              <w:bottom w:val="single" w:sz="4" w:space="0" w:color="auto"/>
            </w:tcBorders>
            <w:vAlign w:val="center"/>
          </w:tcPr>
          <w:p w14:paraId="3F391F0C" w14:textId="3A9AEC75"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1 (-0</w:t>
            </w:r>
            <w:r w:rsidR="001323B8" w:rsidRPr="00E51082">
              <w:rPr>
                <w:szCs w:val="24"/>
              </w:rPr>
              <w:t>.</w:t>
            </w:r>
            <w:r w:rsidRPr="00E51082">
              <w:rPr>
                <w:szCs w:val="24"/>
              </w:rPr>
              <w:t>3,  0</w:t>
            </w:r>
            <w:r w:rsidR="001323B8" w:rsidRPr="00E51082">
              <w:rPr>
                <w:szCs w:val="24"/>
              </w:rPr>
              <w:t>.</w:t>
            </w:r>
            <w:r w:rsidRPr="00E51082">
              <w:rPr>
                <w:szCs w:val="24"/>
              </w:rPr>
              <w:t>4)</w:t>
            </w:r>
          </w:p>
        </w:tc>
        <w:tc>
          <w:tcPr>
            <w:tcW w:w="730" w:type="pct"/>
            <w:tcBorders>
              <w:bottom w:val="single" w:sz="4" w:space="0" w:color="auto"/>
            </w:tcBorders>
            <w:vAlign w:val="center"/>
          </w:tcPr>
          <w:p w14:paraId="0D68DD5D" w14:textId="3BE4F16E"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 (-0</w:t>
            </w:r>
            <w:r w:rsidR="001323B8" w:rsidRPr="00E51082">
              <w:rPr>
                <w:szCs w:val="24"/>
              </w:rPr>
              <w:t>.</w:t>
            </w:r>
            <w:r w:rsidRPr="00E51082">
              <w:rPr>
                <w:szCs w:val="24"/>
              </w:rPr>
              <w:t>3,  0</w:t>
            </w:r>
            <w:r w:rsidR="001323B8" w:rsidRPr="00E51082">
              <w:rPr>
                <w:szCs w:val="24"/>
              </w:rPr>
              <w:t>.</w:t>
            </w:r>
            <w:r w:rsidRPr="00E51082">
              <w:rPr>
                <w:szCs w:val="24"/>
              </w:rPr>
              <w:t>4)</w:t>
            </w:r>
          </w:p>
        </w:tc>
        <w:tc>
          <w:tcPr>
            <w:tcW w:w="749" w:type="pct"/>
            <w:tcBorders>
              <w:bottom w:val="single" w:sz="4" w:space="0" w:color="auto"/>
            </w:tcBorders>
            <w:vAlign w:val="center"/>
          </w:tcPr>
          <w:p w14:paraId="0B00EFA3" w14:textId="3E8AA3FB"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1 (-0</w:t>
            </w:r>
            <w:r w:rsidR="001323B8" w:rsidRPr="00E51082">
              <w:rPr>
                <w:szCs w:val="24"/>
              </w:rPr>
              <w:t>.</w:t>
            </w:r>
            <w:r w:rsidRPr="00E51082">
              <w:rPr>
                <w:szCs w:val="24"/>
              </w:rPr>
              <w:t>3,  0</w:t>
            </w:r>
            <w:r w:rsidR="001323B8" w:rsidRPr="00E51082">
              <w:rPr>
                <w:szCs w:val="24"/>
              </w:rPr>
              <w:t>.</w:t>
            </w:r>
            <w:r w:rsidRPr="00E51082">
              <w:rPr>
                <w:szCs w:val="24"/>
              </w:rPr>
              <w:t>5)</w:t>
            </w:r>
          </w:p>
        </w:tc>
        <w:tc>
          <w:tcPr>
            <w:tcW w:w="42" w:type="pct"/>
            <w:tcBorders>
              <w:bottom w:val="single" w:sz="4" w:space="0" w:color="auto"/>
            </w:tcBorders>
          </w:tcPr>
          <w:p w14:paraId="3DF5F231" w14:textId="77777777" w:rsidR="00FE1663" w:rsidRPr="00E51082" w:rsidRDefault="00FE1663" w:rsidP="00A13075">
            <w:pPr>
              <w:spacing w:line="240" w:lineRule="auto"/>
              <w:jc w:val="center"/>
              <w:rPr>
                <w:szCs w:val="24"/>
              </w:rPr>
            </w:pPr>
          </w:p>
        </w:tc>
      </w:tr>
    </w:tbl>
    <w:p w14:paraId="39694A09" w14:textId="77777777" w:rsidR="00FE1663" w:rsidRPr="00E51082" w:rsidRDefault="00FE1663" w:rsidP="00FE1663">
      <w:pPr>
        <w:rPr>
          <w:szCs w:val="24"/>
        </w:rPr>
      </w:pPr>
      <w:r w:rsidRPr="00E51082">
        <w:rPr>
          <w:szCs w:val="24"/>
        </w:rPr>
        <w:t>Note: Means (cluster adjusted standard errors and confidence intervals)</w:t>
      </w:r>
    </w:p>
    <w:p w14:paraId="174A0201" w14:textId="77777777" w:rsidR="00FE1663" w:rsidRPr="00E51082" w:rsidRDefault="005E0522" w:rsidP="00A13075">
      <w:pPr>
        <w:spacing w:line="240" w:lineRule="auto"/>
        <w:rPr>
          <w:szCs w:val="24"/>
        </w:rPr>
      </w:pPr>
      <w:r w:rsidRPr="00E51082">
        <w:rPr>
          <w:bCs/>
          <w:szCs w:val="24"/>
          <w:vertAlign w:val="superscript"/>
        </w:rPr>
        <w:t>a</w:t>
      </w:r>
      <w:r w:rsidRPr="00E51082">
        <w:rPr>
          <w:szCs w:val="24"/>
        </w:rPr>
        <w:t xml:space="preserve"> </w:t>
      </w:r>
      <w:r w:rsidR="00FE1663" w:rsidRPr="00E51082">
        <w:rPr>
          <w:szCs w:val="24"/>
        </w:rPr>
        <w:t>Number of baby, mother and PND visits sum to greater than the total number of visits due to some visits being for more than one purpose</w:t>
      </w:r>
    </w:p>
    <w:p w14:paraId="0D3BA5D3" w14:textId="36090731" w:rsidR="00203D5C" w:rsidRPr="00E51082" w:rsidRDefault="005E0522" w:rsidP="00A13075">
      <w:pPr>
        <w:spacing w:line="240" w:lineRule="auto"/>
        <w:rPr>
          <w:szCs w:val="24"/>
        </w:rPr>
      </w:pPr>
      <w:r w:rsidRPr="00E51082">
        <w:rPr>
          <w:bCs/>
          <w:szCs w:val="24"/>
          <w:vertAlign w:val="superscript"/>
        </w:rPr>
        <w:t>b</w:t>
      </w:r>
      <w:r w:rsidR="00203D5C" w:rsidRPr="00E51082">
        <w:rPr>
          <w:szCs w:val="24"/>
        </w:rPr>
        <w:t xml:space="preserve"> </w:t>
      </w:r>
      <w:r w:rsidR="002A4D4B">
        <w:rPr>
          <w:szCs w:val="24"/>
        </w:rPr>
        <w:t xml:space="preserve">5 or fewer contacts </w:t>
      </w:r>
      <w:r w:rsidR="00203D5C" w:rsidRPr="00E51082">
        <w:rPr>
          <w:szCs w:val="24"/>
        </w:rPr>
        <w:t xml:space="preserve">in the control </w:t>
      </w:r>
      <w:r w:rsidR="002A4D4B">
        <w:rPr>
          <w:szCs w:val="24"/>
        </w:rPr>
        <w:t xml:space="preserve">and </w:t>
      </w:r>
      <w:r w:rsidR="00203D5C" w:rsidRPr="00E51082">
        <w:rPr>
          <w:szCs w:val="24"/>
        </w:rPr>
        <w:t>combined intervention</w:t>
      </w:r>
      <w:r w:rsidR="002F585F" w:rsidRPr="00E51082">
        <w:rPr>
          <w:szCs w:val="24"/>
        </w:rPr>
        <w:t xml:space="preserve"> </w:t>
      </w:r>
      <w:r w:rsidR="00A73A8A" w:rsidRPr="00E51082">
        <w:rPr>
          <w:szCs w:val="24"/>
        </w:rPr>
        <w:t>group</w:t>
      </w:r>
      <w:r w:rsidR="002A4D4B">
        <w:rPr>
          <w:szCs w:val="24"/>
        </w:rPr>
        <w:t>s</w:t>
      </w:r>
      <w:r w:rsidR="00F531B2" w:rsidRPr="00E51082">
        <w:rPr>
          <w:szCs w:val="24"/>
        </w:rPr>
        <w:t xml:space="preserve">. Means </w:t>
      </w:r>
      <w:r w:rsidR="00A73A8A" w:rsidRPr="00E51082">
        <w:rPr>
          <w:szCs w:val="24"/>
        </w:rPr>
        <w:t>for</w:t>
      </w:r>
      <w:r w:rsidR="002F585F" w:rsidRPr="00E51082">
        <w:rPr>
          <w:szCs w:val="24"/>
        </w:rPr>
        <w:t xml:space="preserve"> both</w:t>
      </w:r>
      <w:r w:rsidR="00203D5C" w:rsidRPr="00E51082">
        <w:rPr>
          <w:szCs w:val="24"/>
        </w:rPr>
        <w:t xml:space="preserve"> groups </w:t>
      </w:r>
      <w:r w:rsidR="002F585F" w:rsidRPr="00E51082">
        <w:rPr>
          <w:szCs w:val="24"/>
        </w:rPr>
        <w:t>round</w:t>
      </w:r>
      <w:r w:rsidR="00203D5C" w:rsidRPr="00E51082">
        <w:rPr>
          <w:szCs w:val="24"/>
        </w:rPr>
        <w:t xml:space="preserve"> to zero</w:t>
      </w:r>
      <w:r w:rsidR="002F585F" w:rsidRPr="00E51082">
        <w:rPr>
          <w:szCs w:val="24"/>
        </w:rPr>
        <w:t xml:space="preserve">. </w:t>
      </w:r>
      <w:r w:rsidR="00203D5C" w:rsidRPr="00E51082">
        <w:rPr>
          <w:szCs w:val="24"/>
        </w:rPr>
        <w:t xml:space="preserve"> </w:t>
      </w:r>
    </w:p>
    <w:p w14:paraId="445551BD" w14:textId="72C92E0E" w:rsidR="00203D5C" w:rsidRPr="00E51082" w:rsidRDefault="005E0522" w:rsidP="00A13075">
      <w:pPr>
        <w:spacing w:line="240" w:lineRule="auto"/>
        <w:rPr>
          <w:szCs w:val="24"/>
        </w:rPr>
      </w:pPr>
      <w:r w:rsidRPr="00E51082">
        <w:rPr>
          <w:bCs/>
          <w:szCs w:val="24"/>
          <w:vertAlign w:val="superscript"/>
        </w:rPr>
        <w:t>c</w:t>
      </w:r>
      <w:r w:rsidR="00203D5C" w:rsidRPr="00E51082">
        <w:rPr>
          <w:szCs w:val="24"/>
        </w:rPr>
        <w:t xml:space="preserve"> </w:t>
      </w:r>
      <w:r w:rsidR="002A4D4B">
        <w:rPr>
          <w:szCs w:val="24"/>
        </w:rPr>
        <w:t xml:space="preserve">5 or fewer contacts </w:t>
      </w:r>
      <w:r w:rsidR="00203D5C" w:rsidRPr="00E51082">
        <w:rPr>
          <w:szCs w:val="24"/>
        </w:rPr>
        <w:t xml:space="preserve">in </w:t>
      </w:r>
      <w:r w:rsidR="00A27B3C" w:rsidRPr="00E51082">
        <w:rPr>
          <w:szCs w:val="24"/>
        </w:rPr>
        <w:t xml:space="preserve">the control </w:t>
      </w:r>
      <w:r w:rsidR="002A4D4B">
        <w:rPr>
          <w:szCs w:val="24"/>
        </w:rPr>
        <w:t xml:space="preserve">and </w:t>
      </w:r>
      <w:r w:rsidR="00A27B3C" w:rsidRPr="00E51082">
        <w:rPr>
          <w:szCs w:val="24"/>
        </w:rPr>
        <w:t>combined intervention group</w:t>
      </w:r>
      <w:r w:rsidR="002A4D4B">
        <w:rPr>
          <w:szCs w:val="24"/>
        </w:rPr>
        <w:t>s</w:t>
      </w:r>
      <w:r w:rsidR="00A73A8A" w:rsidRPr="00E51082">
        <w:rPr>
          <w:szCs w:val="24"/>
        </w:rPr>
        <w:t>; m</w:t>
      </w:r>
      <w:r w:rsidR="00A27B3C" w:rsidRPr="00E51082">
        <w:rPr>
          <w:szCs w:val="24"/>
        </w:rPr>
        <w:t xml:space="preserve">ean </w:t>
      </w:r>
      <w:r w:rsidR="00203D5C" w:rsidRPr="00E51082">
        <w:rPr>
          <w:szCs w:val="24"/>
        </w:rPr>
        <w:t>round</w:t>
      </w:r>
      <w:r w:rsidR="00A73A8A" w:rsidRPr="00E51082">
        <w:rPr>
          <w:szCs w:val="24"/>
        </w:rPr>
        <w:t>s</w:t>
      </w:r>
      <w:r w:rsidR="00203D5C" w:rsidRPr="00E51082">
        <w:rPr>
          <w:szCs w:val="24"/>
        </w:rPr>
        <w:t xml:space="preserve"> to zero</w:t>
      </w:r>
      <w:r w:rsidR="00A27B3C" w:rsidRPr="00E51082">
        <w:rPr>
          <w:szCs w:val="24"/>
        </w:rPr>
        <w:t>.</w:t>
      </w:r>
    </w:p>
    <w:p w14:paraId="182DA172" w14:textId="25B3C187" w:rsidR="00A73A8A" w:rsidRDefault="005E0522" w:rsidP="00A13075">
      <w:pPr>
        <w:spacing w:line="240" w:lineRule="auto"/>
        <w:rPr>
          <w:szCs w:val="24"/>
        </w:rPr>
      </w:pPr>
      <w:r w:rsidRPr="00E51082">
        <w:rPr>
          <w:bCs/>
          <w:szCs w:val="24"/>
          <w:vertAlign w:val="superscript"/>
        </w:rPr>
        <w:lastRenderedPageBreak/>
        <w:t>d</w:t>
      </w:r>
      <w:r w:rsidR="00A73A8A" w:rsidRPr="00E51082">
        <w:rPr>
          <w:szCs w:val="24"/>
        </w:rPr>
        <w:t xml:space="preserve"> </w:t>
      </w:r>
      <w:r w:rsidR="00735898">
        <w:rPr>
          <w:szCs w:val="24"/>
        </w:rPr>
        <w:t>5 or fewer contacts</w:t>
      </w:r>
      <w:r w:rsidR="00A73A8A" w:rsidRPr="00E51082">
        <w:rPr>
          <w:szCs w:val="24"/>
        </w:rPr>
        <w:t xml:space="preserve"> contacts in the control group </w:t>
      </w:r>
      <w:r w:rsidR="00735898">
        <w:rPr>
          <w:szCs w:val="24"/>
        </w:rPr>
        <w:t>and</w:t>
      </w:r>
      <w:r w:rsidR="00A73A8A" w:rsidRPr="00E51082">
        <w:rPr>
          <w:szCs w:val="24"/>
        </w:rPr>
        <w:t xml:space="preserve"> combined intervention group</w:t>
      </w:r>
      <w:r w:rsidR="00735898">
        <w:rPr>
          <w:szCs w:val="24"/>
        </w:rPr>
        <w:t>s</w:t>
      </w:r>
      <w:r w:rsidR="00A73A8A" w:rsidRPr="00E51082">
        <w:rPr>
          <w:szCs w:val="24"/>
        </w:rPr>
        <w:t>; mean rounds to zero.</w:t>
      </w:r>
    </w:p>
    <w:p w14:paraId="0497144F" w14:textId="77777777" w:rsidR="001C3FBD" w:rsidRPr="00E51082" w:rsidRDefault="001C3FBD" w:rsidP="00A13075">
      <w:pPr>
        <w:spacing w:line="240" w:lineRule="auto"/>
        <w:rPr>
          <w:szCs w:val="24"/>
        </w:rPr>
      </w:pPr>
    </w:p>
    <w:p w14:paraId="2B9D6AC9" w14:textId="77777777" w:rsidR="00FE1663" w:rsidRPr="00E51082" w:rsidRDefault="00FE1663" w:rsidP="00A13075">
      <w:pPr>
        <w:pStyle w:val="EndNoteBibliography"/>
        <w:spacing w:line="240" w:lineRule="auto"/>
        <w:rPr>
          <w:szCs w:val="24"/>
        </w:rPr>
      </w:pPr>
      <w:r w:rsidRPr="00E51082">
        <w:rPr>
          <w:szCs w:val="24"/>
        </w:rPr>
        <w:t>*p&lt;0.05</w:t>
      </w:r>
    </w:p>
    <w:p w14:paraId="51167098" w14:textId="77777777" w:rsidR="00FE1663" w:rsidRPr="00E51082" w:rsidRDefault="00FE1663" w:rsidP="00A13075">
      <w:pPr>
        <w:pStyle w:val="EndNoteBibliography"/>
        <w:spacing w:line="240" w:lineRule="auto"/>
        <w:rPr>
          <w:szCs w:val="24"/>
        </w:rPr>
      </w:pPr>
      <w:r w:rsidRPr="00E51082">
        <w:rPr>
          <w:szCs w:val="24"/>
        </w:rPr>
        <w:t>**p&lt;0.01</w:t>
      </w:r>
    </w:p>
    <w:p w14:paraId="5BD316FA" w14:textId="77777777" w:rsidR="00894344" w:rsidRPr="00E51082" w:rsidRDefault="00FE1663" w:rsidP="00A13075">
      <w:pPr>
        <w:pStyle w:val="Caption"/>
        <w:keepNext/>
        <w:spacing w:line="240" w:lineRule="auto"/>
        <w:rPr>
          <w:b w:val="0"/>
          <w:bCs w:val="0"/>
          <w:noProof/>
          <w:kern w:val="32"/>
          <w:sz w:val="24"/>
          <w:szCs w:val="24"/>
          <w:lang w:val="en-US"/>
        </w:rPr>
      </w:pPr>
      <w:r w:rsidRPr="00E51082">
        <w:rPr>
          <w:b w:val="0"/>
          <w:bCs w:val="0"/>
          <w:noProof/>
          <w:kern w:val="32"/>
          <w:sz w:val="24"/>
          <w:szCs w:val="24"/>
          <w:lang w:val="en-US"/>
        </w:rPr>
        <w:t>***p&lt;0.001</w:t>
      </w:r>
      <w:bookmarkStart w:id="3" w:name="_Ref452720070"/>
    </w:p>
    <w:p w14:paraId="4DAC420D" w14:textId="7FD259A4" w:rsidR="00A13075" w:rsidRDefault="00A13075">
      <w:pPr>
        <w:spacing w:line="240" w:lineRule="auto"/>
        <w:rPr>
          <w:b/>
          <w:bCs/>
          <w:sz w:val="20"/>
          <w:szCs w:val="24"/>
        </w:rPr>
      </w:pPr>
      <w:r>
        <w:rPr>
          <w:szCs w:val="24"/>
        </w:rPr>
        <w:br w:type="page"/>
      </w:r>
    </w:p>
    <w:p w14:paraId="0BA4C497" w14:textId="7DF8F829" w:rsidR="00FE1663" w:rsidRPr="00E51082" w:rsidRDefault="00FE1663" w:rsidP="00FE1663">
      <w:pPr>
        <w:pStyle w:val="Caption"/>
        <w:keepNext/>
        <w:rPr>
          <w:b w:val="0"/>
          <w:sz w:val="24"/>
          <w:szCs w:val="24"/>
        </w:rPr>
      </w:pPr>
      <w:r w:rsidRPr="00E51082">
        <w:rPr>
          <w:sz w:val="24"/>
          <w:szCs w:val="24"/>
        </w:rPr>
        <w:lastRenderedPageBreak/>
        <w:t xml:space="preserve">Table </w:t>
      </w:r>
      <w:r w:rsidRPr="00E51082">
        <w:rPr>
          <w:sz w:val="24"/>
          <w:szCs w:val="24"/>
        </w:rPr>
        <w:fldChar w:fldCharType="begin"/>
      </w:r>
      <w:r w:rsidRPr="00E51082">
        <w:rPr>
          <w:sz w:val="24"/>
          <w:szCs w:val="24"/>
        </w:rPr>
        <w:instrText xml:space="preserve"> SEQ Table \* ARABIC </w:instrText>
      </w:r>
      <w:r w:rsidRPr="00E51082">
        <w:rPr>
          <w:sz w:val="24"/>
          <w:szCs w:val="24"/>
        </w:rPr>
        <w:fldChar w:fldCharType="separate"/>
      </w:r>
      <w:r w:rsidRPr="00E51082">
        <w:rPr>
          <w:noProof/>
          <w:sz w:val="24"/>
          <w:szCs w:val="24"/>
        </w:rPr>
        <w:t>3</w:t>
      </w:r>
      <w:r w:rsidRPr="00E51082">
        <w:rPr>
          <w:sz w:val="24"/>
          <w:szCs w:val="24"/>
        </w:rPr>
        <w:fldChar w:fldCharType="end"/>
      </w:r>
      <w:bookmarkEnd w:id="3"/>
      <w:r w:rsidR="00A13075">
        <w:rPr>
          <w:sz w:val="24"/>
          <w:szCs w:val="24"/>
        </w:rPr>
        <w:t>.</w:t>
      </w:r>
      <w:r w:rsidRPr="00E51082">
        <w:rPr>
          <w:sz w:val="24"/>
          <w:szCs w:val="24"/>
        </w:rPr>
        <w:t xml:space="preserve">  </w:t>
      </w:r>
      <w:r w:rsidRPr="00A13075">
        <w:rPr>
          <w:b w:val="0"/>
          <w:sz w:val="24"/>
          <w:szCs w:val="24"/>
        </w:rPr>
        <w:t>Costs at 6-months (£), available cases</w:t>
      </w:r>
    </w:p>
    <w:tbl>
      <w:tblPr>
        <w:tblW w:w="5000" w:type="pct"/>
        <w:tblCellMar>
          <w:left w:w="57" w:type="dxa"/>
          <w:right w:w="57" w:type="dxa"/>
        </w:tblCellMar>
        <w:tblLook w:val="00A0" w:firstRow="1" w:lastRow="0" w:firstColumn="1" w:lastColumn="0" w:noHBand="0" w:noVBand="0"/>
      </w:tblPr>
      <w:tblGrid>
        <w:gridCol w:w="2338"/>
        <w:gridCol w:w="1334"/>
        <w:gridCol w:w="1441"/>
        <w:gridCol w:w="1444"/>
        <w:gridCol w:w="1447"/>
        <w:gridCol w:w="2747"/>
        <w:gridCol w:w="2451"/>
        <w:gridCol w:w="2196"/>
      </w:tblGrid>
      <w:tr w:rsidR="00E51082" w:rsidRPr="00E51082" w14:paraId="411A5113" w14:textId="77777777" w:rsidTr="009541FA">
        <w:tc>
          <w:tcPr>
            <w:tcW w:w="759" w:type="pct"/>
            <w:vMerge w:val="restart"/>
            <w:tcBorders>
              <w:top w:val="single" w:sz="4" w:space="0" w:color="auto"/>
              <w:bottom w:val="single" w:sz="4" w:space="0" w:color="auto"/>
              <w:right w:val="single" w:sz="4" w:space="0" w:color="auto"/>
            </w:tcBorders>
          </w:tcPr>
          <w:p w14:paraId="4B16961E" w14:textId="77777777" w:rsidR="00FE1663" w:rsidRPr="00E51082" w:rsidRDefault="00FE1663" w:rsidP="00A13075">
            <w:pPr>
              <w:spacing w:line="240" w:lineRule="auto"/>
              <w:rPr>
                <w:szCs w:val="24"/>
              </w:rPr>
            </w:pPr>
            <w:r w:rsidRPr="00E51082">
              <w:rPr>
                <w:szCs w:val="24"/>
              </w:rPr>
              <w:t>Item</w:t>
            </w:r>
          </w:p>
        </w:tc>
        <w:tc>
          <w:tcPr>
            <w:tcW w:w="433" w:type="pct"/>
            <w:tcBorders>
              <w:top w:val="single" w:sz="4" w:space="0" w:color="auto"/>
              <w:left w:val="single" w:sz="4" w:space="0" w:color="auto"/>
            </w:tcBorders>
          </w:tcPr>
          <w:p w14:paraId="3C89DEC1" w14:textId="77777777" w:rsidR="00FE1663" w:rsidRPr="00E51082" w:rsidRDefault="00FE1663" w:rsidP="00A13075">
            <w:pPr>
              <w:spacing w:line="240" w:lineRule="auto"/>
              <w:rPr>
                <w:szCs w:val="24"/>
              </w:rPr>
            </w:pPr>
            <w:r w:rsidRPr="00E51082">
              <w:rPr>
                <w:szCs w:val="24"/>
              </w:rPr>
              <w:t>Control</w:t>
            </w:r>
          </w:p>
        </w:tc>
        <w:tc>
          <w:tcPr>
            <w:tcW w:w="468" w:type="pct"/>
            <w:tcBorders>
              <w:top w:val="single" w:sz="4" w:space="0" w:color="auto"/>
            </w:tcBorders>
          </w:tcPr>
          <w:p w14:paraId="1033747F" w14:textId="77777777" w:rsidR="00FE1663" w:rsidRPr="00E51082" w:rsidRDefault="00FE1663" w:rsidP="00A13075">
            <w:pPr>
              <w:spacing w:line="240" w:lineRule="auto"/>
              <w:rPr>
                <w:szCs w:val="24"/>
              </w:rPr>
            </w:pPr>
            <w:r w:rsidRPr="00E51082">
              <w:rPr>
                <w:szCs w:val="24"/>
              </w:rPr>
              <w:t>Intervention</w:t>
            </w:r>
          </w:p>
          <w:p w14:paraId="2108F292" w14:textId="77777777" w:rsidR="00FE1663" w:rsidRPr="00E51082" w:rsidRDefault="00FE1663" w:rsidP="00A13075">
            <w:pPr>
              <w:spacing w:line="240" w:lineRule="auto"/>
              <w:rPr>
                <w:szCs w:val="24"/>
              </w:rPr>
            </w:pPr>
            <w:r w:rsidRPr="00E51082">
              <w:rPr>
                <w:szCs w:val="24"/>
              </w:rPr>
              <w:t>(combined)</w:t>
            </w:r>
          </w:p>
        </w:tc>
        <w:tc>
          <w:tcPr>
            <w:tcW w:w="469" w:type="pct"/>
            <w:tcBorders>
              <w:top w:val="single" w:sz="4" w:space="0" w:color="auto"/>
            </w:tcBorders>
          </w:tcPr>
          <w:p w14:paraId="6F4E9AFC" w14:textId="77777777" w:rsidR="00FE1663" w:rsidRPr="00E51082" w:rsidRDefault="00FE1663" w:rsidP="00A13075">
            <w:pPr>
              <w:spacing w:line="240" w:lineRule="auto"/>
              <w:rPr>
                <w:szCs w:val="24"/>
              </w:rPr>
            </w:pPr>
            <w:r w:rsidRPr="00E51082">
              <w:rPr>
                <w:szCs w:val="24"/>
              </w:rPr>
              <w:t xml:space="preserve">Intervention (CBA) </w:t>
            </w:r>
          </w:p>
        </w:tc>
        <w:tc>
          <w:tcPr>
            <w:tcW w:w="470" w:type="pct"/>
            <w:tcBorders>
              <w:top w:val="single" w:sz="4" w:space="0" w:color="auto"/>
              <w:right w:val="single" w:sz="4" w:space="0" w:color="auto"/>
            </w:tcBorders>
          </w:tcPr>
          <w:p w14:paraId="359CAE7B" w14:textId="77777777" w:rsidR="00FE1663" w:rsidRPr="00E51082" w:rsidRDefault="00FE1663" w:rsidP="00A13075">
            <w:pPr>
              <w:spacing w:line="240" w:lineRule="auto"/>
              <w:rPr>
                <w:szCs w:val="24"/>
              </w:rPr>
            </w:pPr>
            <w:r w:rsidRPr="00E51082">
              <w:rPr>
                <w:szCs w:val="24"/>
              </w:rPr>
              <w:t>Intervention (PCA)</w:t>
            </w:r>
          </w:p>
        </w:tc>
        <w:tc>
          <w:tcPr>
            <w:tcW w:w="892" w:type="pct"/>
            <w:tcBorders>
              <w:top w:val="single" w:sz="4" w:space="0" w:color="auto"/>
              <w:left w:val="single" w:sz="4" w:space="0" w:color="auto"/>
            </w:tcBorders>
          </w:tcPr>
          <w:p w14:paraId="56DE851E" w14:textId="77777777" w:rsidR="00FE1663" w:rsidRPr="00E51082" w:rsidRDefault="00FE1663" w:rsidP="00A13075">
            <w:pPr>
              <w:spacing w:line="240" w:lineRule="auto"/>
              <w:rPr>
                <w:szCs w:val="24"/>
              </w:rPr>
            </w:pPr>
            <w:r w:rsidRPr="00E51082">
              <w:rPr>
                <w:szCs w:val="24"/>
              </w:rPr>
              <w:t xml:space="preserve">Intervention </w:t>
            </w:r>
          </w:p>
          <w:p w14:paraId="31A5A0F9" w14:textId="77777777" w:rsidR="00FE1663" w:rsidRPr="00E51082" w:rsidRDefault="00FE1663" w:rsidP="00A13075">
            <w:pPr>
              <w:spacing w:line="240" w:lineRule="auto"/>
              <w:rPr>
                <w:szCs w:val="24"/>
              </w:rPr>
            </w:pPr>
            <w:r w:rsidRPr="00E51082">
              <w:rPr>
                <w:szCs w:val="24"/>
              </w:rPr>
              <w:t>(combined)</w:t>
            </w:r>
          </w:p>
        </w:tc>
        <w:tc>
          <w:tcPr>
            <w:tcW w:w="796" w:type="pct"/>
            <w:tcBorders>
              <w:top w:val="single" w:sz="4" w:space="0" w:color="auto"/>
            </w:tcBorders>
          </w:tcPr>
          <w:p w14:paraId="3A1D3877" w14:textId="77777777" w:rsidR="00FE1663" w:rsidRPr="00E51082" w:rsidRDefault="00FE1663" w:rsidP="00A13075">
            <w:pPr>
              <w:spacing w:line="240" w:lineRule="auto"/>
              <w:rPr>
                <w:szCs w:val="24"/>
              </w:rPr>
            </w:pPr>
            <w:r w:rsidRPr="00E51082">
              <w:rPr>
                <w:szCs w:val="24"/>
              </w:rPr>
              <w:t xml:space="preserve">Intervention </w:t>
            </w:r>
          </w:p>
          <w:p w14:paraId="0E0BF610" w14:textId="77777777" w:rsidR="00FE1663" w:rsidRPr="00E51082" w:rsidRDefault="00FE1663" w:rsidP="00A13075">
            <w:pPr>
              <w:spacing w:line="240" w:lineRule="auto"/>
              <w:rPr>
                <w:szCs w:val="24"/>
              </w:rPr>
            </w:pPr>
            <w:r w:rsidRPr="00E51082">
              <w:rPr>
                <w:szCs w:val="24"/>
              </w:rPr>
              <w:t>(CBA)</w:t>
            </w:r>
          </w:p>
        </w:tc>
        <w:tc>
          <w:tcPr>
            <w:tcW w:w="713" w:type="pct"/>
            <w:tcBorders>
              <w:top w:val="single" w:sz="4" w:space="0" w:color="auto"/>
            </w:tcBorders>
          </w:tcPr>
          <w:p w14:paraId="7BEB8C91" w14:textId="77777777" w:rsidR="00FE1663" w:rsidRPr="00E51082" w:rsidRDefault="00FE1663" w:rsidP="00A13075">
            <w:pPr>
              <w:spacing w:line="240" w:lineRule="auto"/>
              <w:rPr>
                <w:szCs w:val="24"/>
              </w:rPr>
            </w:pPr>
            <w:r w:rsidRPr="00E51082">
              <w:rPr>
                <w:szCs w:val="24"/>
              </w:rPr>
              <w:t>Intervention</w:t>
            </w:r>
          </w:p>
          <w:p w14:paraId="167C7ED4" w14:textId="77777777" w:rsidR="00FE1663" w:rsidRPr="00E51082" w:rsidRDefault="00FE1663" w:rsidP="00A13075">
            <w:pPr>
              <w:spacing w:line="240" w:lineRule="auto"/>
              <w:rPr>
                <w:szCs w:val="24"/>
              </w:rPr>
            </w:pPr>
            <w:r w:rsidRPr="00E51082">
              <w:rPr>
                <w:szCs w:val="24"/>
              </w:rPr>
              <w:t>(PCA)</w:t>
            </w:r>
          </w:p>
        </w:tc>
      </w:tr>
      <w:tr w:rsidR="00E51082" w:rsidRPr="00E51082" w14:paraId="267E4CF2" w14:textId="77777777" w:rsidTr="009541FA">
        <w:tc>
          <w:tcPr>
            <w:tcW w:w="759" w:type="pct"/>
            <w:vMerge/>
            <w:tcBorders>
              <w:bottom w:val="single" w:sz="4" w:space="0" w:color="auto"/>
              <w:right w:val="single" w:sz="4" w:space="0" w:color="auto"/>
            </w:tcBorders>
            <w:vAlign w:val="center"/>
          </w:tcPr>
          <w:p w14:paraId="29A51960" w14:textId="77777777" w:rsidR="00FE1663" w:rsidRPr="00E51082" w:rsidRDefault="00FE1663" w:rsidP="00A13075">
            <w:pPr>
              <w:spacing w:line="240" w:lineRule="auto"/>
              <w:rPr>
                <w:szCs w:val="24"/>
              </w:rPr>
            </w:pPr>
          </w:p>
        </w:tc>
        <w:tc>
          <w:tcPr>
            <w:tcW w:w="433" w:type="pct"/>
            <w:tcBorders>
              <w:left w:val="single" w:sz="4" w:space="0" w:color="auto"/>
              <w:bottom w:val="single" w:sz="4" w:space="0" w:color="auto"/>
            </w:tcBorders>
          </w:tcPr>
          <w:p w14:paraId="3DCB38B0" w14:textId="77777777" w:rsidR="00FE1663" w:rsidRPr="00E51082" w:rsidRDefault="00FE1663" w:rsidP="00A13075">
            <w:pPr>
              <w:spacing w:line="240" w:lineRule="auto"/>
              <w:rPr>
                <w:szCs w:val="24"/>
              </w:rPr>
            </w:pPr>
            <w:r w:rsidRPr="00E51082">
              <w:rPr>
                <w:szCs w:val="24"/>
              </w:rPr>
              <w:t>Mean (SE) n=417</w:t>
            </w:r>
          </w:p>
        </w:tc>
        <w:tc>
          <w:tcPr>
            <w:tcW w:w="468" w:type="pct"/>
            <w:tcBorders>
              <w:bottom w:val="single" w:sz="4" w:space="0" w:color="auto"/>
            </w:tcBorders>
          </w:tcPr>
          <w:p w14:paraId="384A9659" w14:textId="77777777" w:rsidR="00FE1663" w:rsidRPr="00E51082" w:rsidRDefault="00FE1663" w:rsidP="00A13075">
            <w:pPr>
              <w:spacing w:line="240" w:lineRule="auto"/>
              <w:rPr>
                <w:szCs w:val="24"/>
              </w:rPr>
            </w:pPr>
            <w:r w:rsidRPr="00E51082">
              <w:rPr>
                <w:szCs w:val="24"/>
              </w:rPr>
              <w:t>Mean (SE) n=1042</w:t>
            </w:r>
          </w:p>
        </w:tc>
        <w:tc>
          <w:tcPr>
            <w:tcW w:w="469" w:type="pct"/>
            <w:tcBorders>
              <w:bottom w:val="single" w:sz="4" w:space="0" w:color="auto"/>
            </w:tcBorders>
          </w:tcPr>
          <w:p w14:paraId="2076A914" w14:textId="77777777" w:rsidR="00FE1663" w:rsidRPr="00E51082" w:rsidRDefault="00FE1663" w:rsidP="00A13075">
            <w:pPr>
              <w:spacing w:line="240" w:lineRule="auto"/>
              <w:rPr>
                <w:szCs w:val="24"/>
              </w:rPr>
            </w:pPr>
            <w:r w:rsidRPr="00E51082">
              <w:rPr>
                <w:szCs w:val="24"/>
              </w:rPr>
              <w:t>Mean (SE)</w:t>
            </w:r>
          </w:p>
          <w:p w14:paraId="03412874" w14:textId="77777777" w:rsidR="00FE1663" w:rsidRPr="00E51082" w:rsidRDefault="00FE1663" w:rsidP="00A13075">
            <w:pPr>
              <w:spacing w:line="240" w:lineRule="auto"/>
              <w:rPr>
                <w:szCs w:val="24"/>
              </w:rPr>
            </w:pPr>
            <w:r w:rsidRPr="00E51082">
              <w:rPr>
                <w:szCs w:val="24"/>
              </w:rPr>
              <w:t>n=553</w:t>
            </w:r>
          </w:p>
        </w:tc>
        <w:tc>
          <w:tcPr>
            <w:tcW w:w="470" w:type="pct"/>
            <w:tcBorders>
              <w:bottom w:val="single" w:sz="4" w:space="0" w:color="auto"/>
              <w:right w:val="single" w:sz="4" w:space="0" w:color="auto"/>
            </w:tcBorders>
          </w:tcPr>
          <w:p w14:paraId="75B9A8DA" w14:textId="77777777" w:rsidR="00FE1663" w:rsidRPr="00E51082" w:rsidRDefault="00FE1663" w:rsidP="00A13075">
            <w:pPr>
              <w:spacing w:line="240" w:lineRule="auto"/>
              <w:rPr>
                <w:szCs w:val="24"/>
              </w:rPr>
            </w:pPr>
            <w:r w:rsidRPr="00E51082">
              <w:rPr>
                <w:szCs w:val="24"/>
              </w:rPr>
              <w:t>Mean (SE)</w:t>
            </w:r>
          </w:p>
          <w:p w14:paraId="6E8FB4AC" w14:textId="77777777" w:rsidR="00FE1663" w:rsidRPr="00E51082" w:rsidRDefault="00FE1663" w:rsidP="00A13075">
            <w:pPr>
              <w:spacing w:line="240" w:lineRule="auto"/>
              <w:rPr>
                <w:szCs w:val="24"/>
              </w:rPr>
            </w:pPr>
            <w:r w:rsidRPr="00E51082">
              <w:rPr>
                <w:szCs w:val="24"/>
              </w:rPr>
              <w:t>n=489</w:t>
            </w:r>
          </w:p>
        </w:tc>
        <w:tc>
          <w:tcPr>
            <w:tcW w:w="892" w:type="pct"/>
            <w:tcBorders>
              <w:left w:val="single" w:sz="4" w:space="0" w:color="auto"/>
              <w:bottom w:val="single" w:sz="4" w:space="0" w:color="auto"/>
            </w:tcBorders>
          </w:tcPr>
          <w:p w14:paraId="1A13169C" w14:textId="77777777" w:rsidR="00FE1663" w:rsidRPr="00E51082" w:rsidRDefault="00FE1663" w:rsidP="00A13075">
            <w:pPr>
              <w:spacing w:line="240" w:lineRule="auto"/>
              <w:rPr>
                <w:szCs w:val="24"/>
              </w:rPr>
            </w:pPr>
            <w:r w:rsidRPr="00E51082">
              <w:rPr>
                <w:szCs w:val="24"/>
              </w:rPr>
              <w:t>Mean difference from control</w:t>
            </w:r>
          </w:p>
          <w:p w14:paraId="69571657" w14:textId="77777777" w:rsidR="00FE1663" w:rsidRPr="00E51082" w:rsidRDefault="00FE1663" w:rsidP="00A13075">
            <w:pPr>
              <w:spacing w:line="240" w:lineRule="auto"/>
              <w:rPr>
                <w:szCs w:val="24"/>
              </w:rPr>
            </w:pPr>
            <w:r w:rsidRPr="00E51082">
              <w:rPr>
                <w:szCs w:val="24"/>
              </w:rPr>
              <w:t>(95% confidence interval)</w:t>
            </w:r>
          </w:p>
        </w:tc>
        <w:tc>
          <w:tcPr>
            <w:tcW w:w="796" w:type="pct"/>
            <w:tcBorders>
              <w:bottom w:val="single" w:sz="4" w:space="0" w:color="auto"/>
            </w:tcBorders>
          </w:tcPr>
          <w:p w14:paraId="4D01063C" w14:textId="77777777" w:rsidR="00FE1663" w:rsidRPr="00E51082" w:rsidRDefault="00FE1663" w:rsidP="00A13075">
            <w:pPr>
              <w:spacing w:line="240" w:lineRule="auto"/>
              <w:rPr>
                <w:szCs w:val="24"/>
              </w:rPr>
            </w:pPr>
            <w:r w:rsidRPr="00E51082">
              <w:rPr>
                <w:szCs w:val="24"/>
              </w:rPr>
              <w:t>Mean difference from control</w:t>
            </w:r>
          </w:p>
          <w:p w14:paraId="3B590496" w14:textId="77777777" w:rsidR="00FE1663" w:rsidRPr="00E51082" w:rsidRDefault="00FE1663" w:rsidP="00A13075">
            <w:pPr>
              <w:spacing w:line="240" w:lineRule="auto"/>
              <w:rPr>
                <w:szCs w:val="24"/>
              </w:rPr>
            </w:pPr>
            <w:r w:rsidRPr="00E51082">
              <w:rPr>
                <w:szCs w:val="24"/>
              </w:rPr>
              <w:t>(95% confidence interval)</w:t>
            </w:r>
          </w:p>
        </w:tc>
        <w:tc>
          <w:tcPr>
            <w:tcW w:w="713" w:type="pct"/>
            <w:tcBorders>
              <w:bottom w:val="single" w:sz="4" w:space="0" w:color="auto"/>
            </w:tcBorders>
          </w:tcPr>
          <w:p w14:paraId="6111D1B2" w14:textId="77777777" w:rsidR="00FE1663" w:rsidRPr="00E51082" w:rsidRDefault="00FE1663" w:rsidP="00A13075">
            <w:pPr>
              <w:spacing w:line="240" w:lineRule="auto"/>
              <w:rPr>
                <w:szCs w:val="24"/>
              </w:rPr>
            </w:pPr>
            <w:r w:rsidRPr="00E51082">
              <w:rPr>
                <w:szCs w:val="24"/>
              </w:rPr>
              <w:t>Mean difference from control</w:t>
            </w:r>
          </w:p>
          <w:p w14:paraId="03A68664" w14:textId="77777777" w:rsidR="00FE1663" w:rsidRPr="00E51082" w:rsidRDefault="00FE1663" w:rsidP="00A13075">
            <w:pPr>
              <w:spacing w:line="240" w:lineRule="auto"/>
              <w:rPr>
                <w:szCs w:val="24"/>
              </w:rPr>
            </w:pPr>
            <w:r w:rsidRPr="00E51082">
              <w:rPr>
                <w:szCs w:val="24"/>
              </w:rPr>
              <w:t>(95% confidence interval)</w:t>
            </w:r>
          </w:p>
        </w:tc>
      </w:tr>
      <w:tr w:rsidR="00E51082" w:rsidRPr="00E51082" w14:paraId="4486FAC9" w14:textId="77777777" w:rsidTr="009541FA">
        <w:tc>
          <w:tcPr>
            <w:tcW w:w="759" w:type="pct"/>
            <w:tcBorders>
              <w:top w:val="single" w:sz="4" w:space="0" w:color="auto"/>
              <w:bottom w:val="single" w:sz="4" w:space="0" w:color="auto"/>
              <w:right w:val="single" w:sz="4" w:space="0" w:color="auto"/>
            </w:tcBorders>
          </w:tcPr>
          <w:p w14:paraId="565AB69B" w14:textId="77777777" w:rsidR="00FE1663" w:rsidRPr="00E51082" w:rsidRDefault="00FE1663" w:rsidP="00A13075">
            <w:pPr>
              <w:spacing w:line="240" w:lineRule="auto"/>
              <w:rPr>
                <w:szCs w:val="24"/>
              </w:rPr>
            </w:pPr>
            <w:r w:rsidRPr="00E51082">
              <w:rPr>
                <w:szCs w:val="24"/>
              </w:rPr>
              <w:t>HV contacts</w:t>
            </w:r>
          </w:p>
        </w:tc>
        <w:tc>
          <w:tcPr>
            <w:tcW w:w="433" w:type="pct"/>
            <w:tcBorders>
              <w:top w:val="single" w:sz="4" w:space="0" w:color="auto"/>
              <w:left w:val="single" w:sz="4" w:space="0" w:color="auto"/>
              <w:bottom w:val="single" w:sz="4" w:space="0" w:color="auto"/>
            </w:tcBorders>
            <w:vAlign w:val="bottom"/>
          </w:tcPr>
          <w:p w14:paraId="711C3837" w14:textId="77777777" w:rsidR="00FE1663" w:rsidRPr="00E51082" w:rsidRDefault="00FE1663" w:rsidP="00A13075">
            <w:pPr>
              <w:spacing w:line="240" w:lineRule="auto"/>
              <w:rPr>
                <w:szCs w:val="24"/>
              </w:rPr>
            </w:pPr>
            <w:r w:rsidRPr="00E51082">
              <w:rPr>
                <w:szCs w:val="24"/>
              </w:rPr>
              <w:t>222 (27)</w:t>
            </w:r>
          </w:p>
        </w:tc>
        <w:tc>
          <w:tcPr>
            <w:tcW w:w="468" w:type="pct"/>
            <w:tcBorders>
              <w:top w:val="single" w:sz="4" w:space="0" w:color="auto"/>
              <w:bottom w:val="single" w:sz="4" w:space="0" w:color="auto"/>
            </w:tcBorders>
            <w:vAlign w:val="bottom"/>
          </w:tcPr>
          <w:p w14:paraId="62A58300" w14:textId="77777777" w:rsidR="00FE1663" w:rsidRPr="00E51082" w:rsidRDefault="00FE1663" w:rsidP="00A13075">
            <w:pPr>
              <w:spacing w:line="240" w:lineRule="auto"/>
              <w:rPr>
                <w:szCs w:val="24"/>
              </w:rPr>
            </w:pPr>
            <w:r w:rsidRPr="00E51082">
              <w:rPr>
                <w:szCs w:val="24"/>
              </w:rPr>
              <w:t>154 (18)</w:t>
            </w:r>
          </w:p>
        </w:tc>
        <w:tc>
          <w:tcPr>
            <w:tcW w:w="469" w:type="pct"/>
            <w:tcBorders>
              <w:top w:val="single" w:sz="4" w:space="0" w:color="auto"/>
              <w:bottom w:val="single" w:sz="4" w:space="0" w:color="auto"/>
            </w:tcBorders>
            <w:vAlign w:val="bottom"/>
          </w:tcPr>
          <w:p w14:paraId="029F7BEF" w14:textId="77777777" w:rsidR="00FE1663" w:rsidRPr="00E51082" w:rsidRDefault="00FE1663" w:rsidP="00A13075">
            <w:pPr>
              <w:spacing w:line="240" w:lineRule="auto"/>
              <w:rPr>
                <w:szCs w:val="24"/>
              </w:rPr>
            </w:pPr>
            <w:r w:rsidRPr="00E51082">
              <w:rPr>
                <w:szCs w:val="24"/>
              </w:rPr>
              <w:t>146 (26)</w:t>
            </w:r>
          </w:p>
        </w:tc>
        <w:tc>
          <w:tcPr>
            <w:tcW w:w="470" w:type="pct"/>
            <w:tcBorders>
              <w:top w:val="single" w:sz="4" w:space="0" w:color="auto"/>
              <w:bottom w:val="single" w:sz="4" w:space="0" w:color="auto"/>
              <w:right w:val="single" w:sz="4" w:space="0" w:color="auto"/>
            </w:tcBorders>
            <w:vAlign w:val="bottom"/>
          </w:tcPr>
          <w:p w14:paraId="3B6226A3" w14:textId="77777777" w:rsidR="00FE1663" w:rsidRPr="00E51082" w:rsidRDefault="00FE1663" w:rsidP="00A13075">
            <w:pPr>
              <w:spacing w:line="240" w:lineRule="auto"/>
              <w:rPr>
                <w:szCs w:val="24"/>
              </w:rPr>
            </w:pPr>
            <w:r w:rsidRPr="00E51082">
              <w:rPr>
                <w:szCs w:val="24"/>
              </w:rPr>
              <w:t>163 (31)</w:t>
            </w:r>
          </w:p>
        </w:tc>
        <w:tc>
          <w:tcPr>
            <w:tcW w:w="892" w:type="pct"/>
            <w:tcBorders>
              <w:top w:val="single" w:sz="4" w:space="0" w:color="auto"/>
              <w:left w:val="single" w:sz="4" w:space="0" w:color="auto"/>
              <w:bottom w:val="single" w:sz="4" w:space="0" w:color="auto"/>
            </w:tcBorders>
            <w:vAlign w:val="bottom"/>
          </w:tcPr>
          <w:p w14:paraId="3F711881" w14:textId="77777777" w:rsidR="00FE1663" w:rsidRPr="00E51082" w:rsidRDefault="00FE1663" w:rsidP="00A13075">
            <w:pPr>
              <w:spacing w:line="240" w:lineRule="auto"/>
              <w:rPr>
                <w:szCs w:val="24"/>
              </w:rPr>
            </w:pPr>
            <w:r w:rsidRPr="00E51082">
              <w:rPr>
                <w:szCs w:val="24"/>
              </w:rPr>
              <w:t>-68 (-132,  -4)*</w:t>
            </w:r>
          </w:p>
        </w:tc>
        <w:tc>
          <w:tcPr>
            <w:tcW w:w="796" w:type="pct"/>
            <w:tcBorders>
              <w:top w:val="single" w:sz="4" w:space="0" w:color="auto"/>
              <w:bottom w:val="single" w:sz="4" w:space="0" w:color="auto"/>
            </w:tcBorders>
            <w:vAlign w:val="bottom"/>
          </w:tcPr>
          <w:p w14:paraId="70C5DCCF" w14:textId="77777777" w:rsidR="00FE1663" w:rsidRPr="00E51082" w:rsidRDefault="00FE1663" w:rsidP="00A13075">
            <w:pPr>
              <w:spacing w:line="240" w:lineRule="auto"/>
              <w:rPr>
                <w:szCs w:val="24"/>
              </w:rPr>
            </w:pPr>
            <w:r w:rsidRPr="00E51082">
              <w:rPr>
                <w:szCs w:val="24"/>
              </w:rPr>
              <w:t>-76 (-156, 4)</w:t>
            </w:r>
          </w:p>
        </w:tc>
        <w:tc>
          <w:tcPr>
            <w:tcW w:w="713" w:type="pct"/>
            <w:tcBorders>
              <w:top w:val="single" w:sz="4" w:space="0" w:color="auto"/>
              <w:bottom w:val="single" w:sz="4" w:space="0" w:color="auto"/>
            </w:tcBorders>
            <w:vAlign w:val="bottom"/>
          </w:tcPr>
          <w:p w14:paraId="71B4EA21" w14:textId="77777777" w:rsidR="00FE1663" w:rsidRPr="00E51082" w:rsidRDefault="00FE1663" w:rsidP="00A13075">
            <w:pPr>
              <w:spacing w:line="240" w:lineRule="auto"/>
              <w:rPr>
                <w:szCs w:val="24"/>
              </w:rPr>
            </w:pPr>
            <w:r w:rsidRPr="00E51082">
              <w:rPr>
                <w:szCs w:val="24"/>
              </w:rPr>
              <w:t>-59 (-147, 30)</w:t>
            </w:r>
          </w:p>
        </w:tc>
      </w:tr>
      <w:tr w:rsidR="00E51082" w:rsidRPr="00E51082" w14:paraId="3CC6D83C" w14:textId="77777777" w:rsidTr="009541FA">
        <w:tc>
          <w:tcPr>
            <w:tcW w:w="759" w:type="pct"/>
            <w:tcBorders>
              <w:top w:val="single" w:sz="4" w:space="0" w:color="auto"/>
              <w:bottom w:val="single" w:sz="4" w:space="0" w:color="auto"/>
              <w:right w:val="single" w:sz="4" w:space="0" w:color="auto"/>
            </w:tcBorders>
          </w:tcPr>
          <w:p w14:paraId="094FC22C" w14:textId="77777777" w:rsidR="00FE1663" w:rsidRPr="00E51082" w:rsidRDefault="00FE1663" w:rsidP="00A13075">
            <w:pPr>
              <w:spacing w:line="240" w:lineRule="auto"/>
              <w:rPr>
                <w:szCs w:val="24"/>
              </w:rPr>
            </w:pPr>
            <w:r w:rsidRPr="00E51082">
              <w:rPr>
                <w:szCs w:val="24"/>
              </w:rPr>
              <w:t>GP contacts</w:t>
            </w:r>
          </w:p>
        </w:tc>
        <w:tc>
          <w:tcPr>
            <w:tcW w:w="433" w:type="pct"/>
            <w:tcBorders>
              <w:top w:val="single" w:sz="4" w:space="0" w:color="auto"/>
              <w:left w:val="single" w:sz="4" w:space="0" w:color="auto"/>
              <w:bottom w:val="single" w:sz="4" w:space="0" w:color="auto"/>
            </w:tcBorders>
            <w:vAlign w:val="bottom"/>
          </w:tcPr>
          <w:p w14:paraId="53D8BA98" w14:textId="77777777" w:rsidR="00FE1663" w:rsidRPr="00E51082" w:rsidRDefault="00FE1663" w:rsidP="00A13075">
            <w:pPr>
              <w:spacing w:line="240" w:lineRule="auto"/>
              <w:rPr>
                <w:szCs w:val="24"/>
              </w:rPr>
            </w:pPr>
            <w:r w:rsidRPr="00E51082">
              <w:rPr>
                <w:szCs w:val="24"/>
              </w:rPr>
              <w:t>74 (6)</w:t>
            </w:r>
          </w:p>
        </w:tc>
        <w:tc>
          <w:tcPr>
            <w:tcW w:w="468" w:type="pct"/>
            <w:tcBorders>
              <w:top w:val="single" w:sz="4" w:space="0" w:color="auto"/>
              <w:bottom w:val="single" w:sz="4" w:space="0" w:color="auto"/>
            </w:tcBorders>
            <w:vAlign w:val="bottom"/>
          </w:tcPr>
          <w:p w14:paraId="3C7B444B" w14:textId="77777777" w:rsidR="00FE1663" w:rsidRPr="00E51082" w:rsidRDefault="00FE1663" w:rsidP="00A13075">
            <w:pPr>
              <w:spacing w:line="240" w:lineRule="auto"/>
              <w:rPr>
                <w:szCs w:val="24"/>
              </w:rPr>
            </w:pPr>
            <w:r w:rsidRPr="00E51082">
              <w:rPr>
                <w:szCs w:val="24"/>
              </w:rPr>
              <w:t>69 (4)</w:t>
            </w:r>
          </w:p>
        </w:tc>
        <w:tc>
          <w:tcPr>
            <w:tcW w:w="469" w:type="pct"/>
            <w:tcBorders>
              <w:top w:val="single" w:sz="4" w:space="0" w:color="auto"/>
              <w:bottom w:val="single" w:sz="4" w:space="0" w:color="auto"/>
            </w:tcBorders>
            <w:vAlign w:val="bottom"/>
          </w:tcPr>
          <w:p w14:paraId="5FF7BA60" w14:textId="77777777" w:rsidR="00FE1663" w:rsidRPr="00E51082" w:rsidRDefault="00FE1663" w:rsidP="00A13075">
            <w:pPr>
              <w:spacing w:line="240" w:lineRule="auto"/>
              <w:rPr>
                <w:szCs w:val="24"/>
              </w:rPr>
            </w:pPr>
            <w:r w:rsidRPr="00E51082">
              <w:rPr>
                <w:szCs w:val="24"/>
              </w:rPr>
              <w:t>68 (6)</w:t>
            </w:r>
          </w:p>
        </w:tc>
        <w:tc>
          <w:tcPr>
            <w:tcW w:w="470" w:type="pct"/>
            <w:tcBorders>
              <w:top w:val="single" w:sz="4" w:space="0" w:color="auto"/>
              <w:bottom w:val="single" w:sz="4" w:space="0" w:color="auto"/>
              <w:right w:val="single" w:sz="4" w:space="0" w:color="auto"/>
            </w:tcBorders>
            <w:vAlign w:val="bottom"/>
          </w:tcPr>
          <w:p w14:paraId="3DB5D981" w14:textId="77777777" w:rsidR="00FE1663" w:rsidRPr="00E51082" w:rsidRDefault="00FE1663" w:rsidP="00A13075">
            <w:pPr>
              <w:spacing w:line="240" w:lineRule="auto"/>
              <w:rPr>
                <w:szCs w:val="24"/>
              </w:rPr>
            </w:pPr>
            <w:r w:rsidRPr="00E51082">
              <w:rPr>
                <w:szCs w:val="24"/>
              </w:rPr>
              <w:t>70 (6)</w:t>
            </w:r>
          </w:p>
        </w:tc>
        <w:tc>
          <w:tcPr>
            <w:tcW w:w="892" w:type="pct"/>
            <w:tcBorders>
              <w:top w:val="single" w:sz="4" w:space="0" w:color="auto"/>
              <w:left w:val="single" w:sz="4" w:space="0" w:color="auto"/>
              <w:bottom w:val="single" w:sz="4" w:space="0" w:color="auto"/>
            </w:tcBorders>
            <w:vAlign w:val="bottom"/>
          </w:tcPr>
          <w:p w14:paraId="04660189" w14:textId="77777777" w:rsidR="00FE1663" w:rsidRPr="00E51082" w:rsidRDefault="00FE1663" w:rsidP="00A13075">
            <w:pPr>
              <w:spacing w:line="240" w:lineRule="auto"/>
              <w:rPr>
                <w:szCs w:val="24"/>
              </w:rPr>
            </w:pPr>
            <w:r w:rsidRPr="00E51082">
              <w:rPr>
                <w:szCs w:val="24"/>
              </w:rPr>
              <w:t>-5 (-21,10)</w:t>
            </w:r>
          </w:p>
        </w:tc>
        <w:tc>
          <w:tcPr>
            <w:tcW w:w="796" w:type="pct"/>
            <w:tcBorders>
              <w:top w:val="single" w:sz="4" w:space="0" w:color="auto"/>
              <w:bottom w:val="single" w:sz="4" w:space="0" w:color="auto"/>
            </w:tcBorders>
            <w:vAlign w:val="bottom"/>
          </w:tcPr>
          <w:p w14:paraId="585585D0" w14:textId="77777777" w:rsidR="00FE1663" w:rsidRPr="00E51082" w:rsidRDefault="00FE1663" w:rsidP="00A13075">
            <w:pPr>
              <w:spacing w:line="240" w:lineRule="auto"/>
              <w:rPr>
                <w:szCs w:val="24"/>
              </w:rPr>
            </w:pPr>
            <w:r w:rsidRPr="00E51082">
              <w:rPr>
                <w:szCs w:val="24"/>
              </w:rPr>
              <w:t>-6 (-24, 11)</w:t>
            </w:r>
          </w:p>
        </w:tc>
        <w:tc>
          <w:tcPr>
            <w:tcW w:w="713" w:type="pct"/>
            <w:tcBorders>
              <w:top w:val="single" w:sz="4" w:space="0" w:color="auto"/>
              <w:bottom w:val="single" w:sz="4" w:space="0" w:color="auto"/>
            </w:tcBorders>
            <w:vAlign w:val="bottom"/>
          </w:tcPr>
          <w:p w14:paraId="63FB5A5F" w14:textId="77777777" w:rsidR="00FE1663" w:rsidRPr="00E51082" w:rsidRDefault="00FE1663" w:rsidP="00A13075">
            <w:pPr>
              <w:spacing w:line="240" w:lineRule="auto"/>
              <w:rPr>
                <w:szCs w:val="24"/>
              </w:rPr>
            </w:pPr>
            <w:r w:rsidRPr="00E51082">
              <w:rPr>
                <w:szCs w:val="24"/>
              </w:rPr>
              <w:t>-4 (-22, 14)</w:t>
            </w:r>
          </w:p>
        </w:tc>
      </w:tr>
      <w:tr w:rsidR="00E51082" w:rsidRPr="00E51082" w14:paraId="7D86ED7B" w14:textId="77777777" w:rsidTr="009541FA">
        <w:tc>
          <w:tcPr>
            <w:tcW w:w="759" w:type="pct"/>
            <w:tcBorders>
              <w:top w:val="single" w:sz="4" w:space="0" w:color="auto"/>
              <w:bottom w:val="single" w:sz="4" w:space="0" w:color="auto"/>
              <w:right w:val="single" w:sz="4" w:space="0" w:color="auto"/>
            </w:tcBorders>
          </w:tcPr>
          <w:p w14:paraId="33625AF3" w14:textId="77777777" w:rsidR="00FE1663" w:rsidRPr="00E51082" w:rsidRDefault="00FE1663" w:rsidP="00A13075">
            <w:pPr>
              <w:spacing w:line="240" w:lineRule="auto"/>
              <w:rPr>
                <w:szCs w:val="24"/>
              </w:rPr>
            </w:pPr>
            <w:r w:rsidRPr="00E51082">
              <w:rPr>
                <w:szCs w:val="24"/>
              </w:rPr>
              <w:t>Mother and baby unit admissions</w:t>
            </w:r>
          </w:p>
        </w:tc>
        <w:tc>
          <w:tcPr>
            <w:tcW w:w="433" w:type="pct"/>
            <w:tcBorders>
              <w:top w:val="single" w:sz="4" w:space="0" w:color="auto"/>
              <w:left w:val="single" w:sz="4" w:space="0" w:color="auto"/>
              <w:bottom w:val="single" w:sz="4" w:space="0" w:color="auto"/>
            </w:tcBorders>
            <w:vAlign w:val="bottom"/>
          </w:tcPr>
          <w:p w14:paraId="5F47FE5B" w14:textId="77777777" w:rsidR="00FE1663" w:rsidRPr="00E51082" w:rsidRDefault="00FE1663" w:rsidP="00A13075">
            <w:pPr>
              <w:spacing w:line="240" w:lineRule="auto"/>
              <w:rPr>
                <w:szCs w:val="24"/>
              </w:rPr>
            </w:pPr>
            <w:r w:rsidRPr="00E51082">
              <w:rPr>
                <w:szCs w:val="24"/>
              </w:rPr>
              <w:t>0</w:t>
            </w:r>
          </w:p>
        </w:tc>
        <w:tc>
          <w:tcPr>
            <w:tcW w:w="468" w:type="pct"/>
            <w:tcBorders>
              <w:top w:val="single" w:sz="4" w:space="0" w:color="auto"/>
              <w:bottom w:val="single" w:sz="4" w:space="0" w:color="auto"/>
            </w:tcBorders>
            <w:vAlign w:val="bottom"/>
          </w:tcPr>
          <w:p w14:paraId="67F5E058" w14:textId="77777777" w:rsidR="00FE1663" w:rsidRPr="00E51082" w:rsidRDefault="00FE1663" w:rsidP="00A13075">
            <w:pPr>
              <w:spacing w:line="240" w:lineRule="auto"/>
              <w:rPr>
                <w:szCs w:val="24"/>
              </w:rPr>
            </w:pPr>
            <w:r w:rsidRPr="00E51082">
              <w:rPr>
                <w:szCs w:val="24"/>
              </w:rPr>
              <w:t>0</w:t>
            </w:r>
          </w:p>
        </w:tc>
        <w:tc>
          <w:tcPr>
            <w:tcW w:w="469" w:type="pct"/>
            <w:tcBorders>
              <w:top w:val="single" w:sz="4" w:space="0" w:color="auto"/>
              <w:bottom w:val="single" w:sz="4" w:space="0" w:color="auto"/>
            </w:tcBorders>
            <w:vAlign w:val="bottom"/>
          </w:tcPr>
          <w:p w14:paraId="5EAC7066" w14:textId="77777777" w:rsidR="00FE1663" w:rsidRPr="00E51082" w:rsidRDefault="00FE1663" w:rsidP="00A13075">
            <w:pPr>
              <w:spacing w:line="240" w:lineRule="auto"/>
              <w:rPr>
                <w:szCs w:val="24"/>
              </w:rPr>
            </w:pPr>
            <w:r w:rsidRPr="00E51082">
              <w:rPr>
                <w:szCs w:val="24"/>
              </w:rPr>
              <w:t>0</w:t>
            </w:r>
          </w:p>
        </w:tc>
        <w:tc>
          <w:tcPr>
            <w:tcW w:w="470" w:type="pct"/>
            <w:tcBorders>
              <w:top w:val="single" w:sz="4" w:space="0" w:color="auto"/>
              <w:bottom w:val="single" w:sz="4" w:space="0" w:color="auto"/>
              <w:right w:val="single" w:sz="4" w:space="0" w:color="auto"/>
            </w:tcBorders>
            <w:vAlign w:val="bottom"/>
          </w:tcPr>
          <w:p w14:paraId="1860F07E" w14:textId="77777777" w:rsidR="00FE1663" w:rsidRPr="00E51082" w:rsidRDefault="00FE1663" w:rsidP="00A13075">
            <w:pPr>
              <w:spacing w:line="240" w:lineRule="auto"/>
              <w:rPr>
                <w:szCs w:val="24"/>
              </w:rPr>
            </w:pPr>
            <w:r w:rsidRPr="00E51082">
              <w:rPr>
                <w:szCs w:val="24"/>
              </w:rPr>
              <w:t>0</w:t>
            </w:r>
          </w:p>
        </w:tc>
        <w:tc>
          <w:tcPr>
            <w:tcW w:w="892" w:type="pct"/>
            <w:tcBorders>
              <w:top w:val="single" w:sz="4" w:space="0" w:color="auto"/>
              <w:left w:val="single" w:sz="4" w:space="0" w:color="auto"/>
              <w:bottom w:val="single" w:sz="4" w:space="0" w:color="auto"/>
            </w:tcBorders>
            <w:vAlign w:val="bottom"/>
          </w:tcPr>
          <w:p w14:paraId="59F6D9C7" w14:textId="77777777" w:rsidR="00FE1663" w:rsidRPr="00E51082" w:rsidRDefault="00FE1663" w:rsidP="00A13075">
            <w:pPr>
              <w:spacing w:line="240" w:lineRule="auto"/>
              <w:rPr>
                <w:szCs w:val="24"/>
              </w:rPr>
            </w:pPr>
            <w:r w:rsidRPr="00E51082">
              <w:rPr>
                <w:szCs w:val="24"/>
              </w:rPr>
              <w:t>0</w:t>
            </w:r>
          </w:p>
        </w:tc>
        <w:tc>
          <w:tcPr>
            <w:tcW w:w="796" w:type="pct"/>
            <w:tcBorders>
              <w:top w:val="single" w:sz="4" w:space="0" w:color="auto"/>
              <w:bottom w:val="single" w:sz="4" w:space="0" w:color="auto"/>
            </w:tcBorders>
            <w:vAlign w:val="bottom"/>
          </w:tcPr>
          <w:p w14:paraId="6E0D967C" w14:textId="77777777" w:rsidR="00FE1663" w:rsidRPr="00E51082" w:rsidRDefault="00FE1663" w:rsidP="00A13075">
            <w:pPr>
              <w:spacing w:line="240" w:lineRule="auto"/>
              <w:rPr>
                <w:szCs w:val="24"/>
              </w:rPr>
            </w:pPr>
            <w:r w:rsidRPr="00E51082">
              <w:rPr>
                <w:szCs w:val="24"/>
              </w:rPr>
              <w:t>0</w:t>
            </w:r>
          </w:p>
        </w:tc>
        <w:tc>
          <w:tcPr>
            <w:tcW w:w="713" w:type="pct"/>
            <w:tcBorders>
              <w:top w:val="single" w:sz="4" w:space="0" w:color="auto"/>
              <w:bottom w:val="single" w:sz="4" w:space="0" w:color="auto"/>
            </w:tcBorders>
            <w:vAlign w:val="bottom"/>
          </w:tcPr>
          <w:p w14:paraId="1A53022B" w14:textId="77777777" w:rsidR="00FE1663" w:rsidRPr="00E51082" w:rsidRDefault="00FE1663" w:rsidP="00A13075">
            <w:pPr>
              <w:spacing w:line="240" w:lineRule="auto"/>
              <w:rPr>
                <w:szCs w:val="24"/>
              </w:rPr>
            </w:pPr>
            <w:r w:rsidRPr="00E51082">
              <w:rPr>
                <w:szCs w:val="24"/>
              </w:rPr>
              <w:t>0</w:t>
            </w:r>
          </w:p>
        </w:tc>
      </w:tr>
      <w:tr w:rsidR="00E51082" w:rsidRPr="00E51082" w14:paraId="70823AE5" w14:textId="77777777" w:rsidTr="009541FA">
        <w:tc>
          <w:tcPr>
            <w:tcW w:w="759" w:type="pct"/>
            <w:tcBorders>
              <w:top w:val="single" w:sz="4" w:space="0" w:color="auto"/>
              <w:bottom w:val="single" w:sz="4" w:space="0" w:color="auto"/>
              <w:right w:val="single" w:sz="4" w:space="0" w:color="auto"/>
            </w:tcBorders>
          </w:tcPr>
          <w:p w14:paraId="3C517AED" w14:textId="77777777" w:rsidR="00FE1663" w:rsidRPr="00E51082" w:rsidRDefault="00FE1663" w:rsidP="00A13075">
            <w:pPr>
              <w:spacing w:line="240" w:lineRule="auto"/>
              <w:rPr>
                <w:szCs w:val="24"/>
              </w:rPr>
            </w:pPr>
            <w:r w:rsidRPr="00E51082">
              <w:rPr>
                <w:szCs w:val="24"/>
              </w:rPr>
              <w:t>Community mental health contacts</w:t>
            </w:r>
          </w:p>
        </w:tc>
        <w:tc>
          <w:tcPr>
            <w:tcW w:w="433" w:type="pct"/>
            <w:tcBorders>
              <w:top w:val="single" w:sz="4" w:space="0" w:color="auto"/>
              <w:left w:val="single" w:sz="4" w:space="0" w:color="auto"/>
              <w:bottom w:val="single" w:sz="4" w:space="0" w:color="auto"/>
            </w:tcBorders>
            <w:vAlign w:val="bottom"/>
          </w:tcPr>
          <w:p w14:paraId="1CE597AA" w14:textId="77777777" w:rsidR="00FE1663" w:rsidRPr="00E51082" w:rsidRDefault="00FE1663" w:rsidP="00A13075">
            <w:pPr>
              <w:spacing w:line="240" w:lineRule="auto"/>
              <w:rPr>
                <w:szCs w:val="24"/>
              </w:rPr>
            </w:pPr>
            <w:r w:rsidRPr="00E51082">
              <w:rPr>
                <w:szCs w:val="24"/>
              </w:rPr>
              <w:t>0</w:t>
            </w:r>
          </w:p>
        </w:tc>
        <w:tc>
          <w:tcPr>
            <w:tcW w:w="468" w:type="pct"/>
            <w:tcBorders>
              <w:top w:val="single" w:sz="4" w:space="0" w:color="auto"/>
              <w:bottom w:val="single" w:sz="4" w:space="0" w:color="auto"/>
            </w:tcBorders>
            <w:vAlign w:val="bottom"/>
          </w:tcPr>
          <w:p w14:paraId="2EF805C3" w14:textId="77777777" w:rsidR="00FE1663" w:rsidRPr="00E51082" w:rsidRDefault="00FE1663" w:rsidP="00A13075">
            <w:pPr>
              <w:spacing w:line="240" w:lineRule="auto"/>
              <w:rPr>
                <w:szCs w:val="24"/>
              </w:rPr>
            </w:pPr>
            <w:r w:rsidRPr="00E51082">
              <w:rPr>
                <w:szCs w:val="24"/>
              </w:rPr>
              <w:t>0</w:t>
            </w:r>
          </w:p>
        </w:tc>
        <w:tc>
          <w:tcPr>
            <w:tcW w:w="469" w:type="pct"/>
            <w:tcBorders>
              <w:top w:val="single" w:sz="4" w:space="0" w:color="auto"/>
              <w:bottom w:val="single" w:sz="4" w:space="0" w:color="auto"/>
            </w:tcBorders>
            <w:vAlign w:val="bottom"/>
          </w:tcPr>
          <w:p w14:paraId="7C01DBBC" w14:textId="77777777" w:rsidR="00FE1663" w:rsidRPr="00E51082" w:rsidRDefault="00FE1663" w:rsidP="00A13075">
            <w:pPr>
              <w:spacing w:line="240" w:lineRule="auto"/>
              <w:rPr>
                <w:szCs w:val="24"/>
              </w:rPr>
            </w:pPr>
            <w:r w:rsidRPr="00E51082">
              <w:rPr>
                <w:szCs w:val="24"/>
              </w:rPr>
              <w:t>0</w:t>
            </w:r>
          </w:p>
        </w:tc>
        <w:tc>
          <w:tcPr>
            <w:tcW w:w="470" w:type="pct"/>
            <w:tcBorders>
              <w:top w:val="single" w:sz="4" w:space="0" w:color="auto"/>
              <w:bottom w:val="single" w:sz="4" w:space="0" w:color="auto"/>
              <w:right w:val="single" w:sz="4" w:space="0" w:color="auto"/>
            </w:tcBorders>
            <w:vAlign w:val="bottom"/>
          </w:tcPr>
          <w:p w14:paraId="6E57A997" w14:textId="77777777" w:rsidR="00FE1663" w:rsidRPr="00E51082" w:rsidRDefault="00FE1663" w:rsidP="00A13075">
            <w:pPr>
              <w:spacing w:line="240" w:lineRule="auto"/>
              <w:rPr>
                <w:szCs w:val="24"/>
              </w:rPr>
            </w:pPr>
            <w:r w:rsidRPr="00E51082">
              <w:rPr>
                <w:szCs w:val="24"/>
              </w:rPr>
              <w:t>0</w:t>
            </w:r>
          </w:p>
        </w:tc>
        <w:tc>
          <w:tcPr>
            <w:tcW w:w="892" w:type="pct"/>
            <w:tcBorders>
              <w:top w:val="single" w:sz="4" w:space="0" w:color="auto"/>
              <w:left w:val="single" w:sz="4" w:space="0" w:color="auto"/>
              <w:bottom w:val="single" w:sz="4" w:space="0" w:color="auto"/>
            </w:tcBorders>
            <w:vAlign w:val="bottom"/>
          </w:tcPr>
          <w:p w14:paraId="3411EE15" w14:textId="77777777" w:rsidR="00FE1663" w:rsidRPr="00E51082" w:rsidRDefault="00FE1663" w:rsidP="00A13075">
            <w:pPr>
              <w:spacing w:line="240" w:lineRule="auto"/>
              <w:rPr>
                <w:szCs w:val="24"/>
              </w:rPr>
            </w:pPr>
            <w:r w:rsidRPr="00E51082">
              <w:rPr>
                <w:szCs w:val="24"/>
              </w:rPr>
              <w:t>0</w:t>
            </w:r>
          </w:p>
        </w:tc>
        <w:tc>
          <w:tcPr>
            <w:tcW w:w="796" w:type="pct"/>
            <w:tcBorders>
              <w:top w:val="single" w:sz="4" w:space="0" w:color="auto"/>
              <w:bottom w:val="single" w:sz="4" w:space="0" w:color="auto"/>
            </w:tcBorders>
            <w:vAlign w:val="bottom"/>
          </w:tcPr>
          <w:p w14:paraId="2EE76895" w14:textId="77777777" w:rsidR="00FE1663" w:rsidRPr="00E51082" w:rsidRDefault="00FE1663" w:rsidP="00A13075">
            <w:pPr>
              <w:spacing w:line="240" w:lineRule="auto"/>
              <w:rPr>
                <w:szCs w:val="24"/>
              </w:rPr>
            </w:pPr>
            <w:r w:rsidRPr="00E51082">
              <w:rPr>
                <w:szCs w:val="24"/>
              </w:rPr>
              <w:t>0</w:t>
            </w:r>
          </w:p>
        </w:tc>
        <w:tc>
          <w:tcPr>
            <w:tcW w:w="713" w:type="pct"/>
            <w:tcBorders>
              <w:top w:val="single" w:sz="4" w:space="0" w:color="auto"/>
              <w:bottom w:val="single" w:sz="4" w:space="0" w:color="auto"/>
            </w:tcBorders>
            <w:vAlign w:val="bottom"/>
          </w:tcPr>
          <w:p w14:paraId="7EA3E482" w14:textId="77777777" w:rsidR="00FE1663" w:rsidRPr="00E51082" w:rsidRDefault="00FE1663" w:rsidP="00A13075">
            <w:pPr>
              <w:spacing w:line="240" w:lineRule="auto"/>
              <w:rPr>
                <w:szCs w:val="24"/>
              </w:rPr>
            </w:pPr>
            <w:r w:rsidRPr="00E51082">
              <w:rPr>
                <w:szCs w:val="24"/>
              </w:rPr>
              <w:t>0</w:t>
            </w:r>
          </w:p>
        </w:tc>
      </w:tr>
      <w:tr w:rsidR="00E51082" w:rsidRPr="00E51082" w14:paraId="794E25D8" w14:textId="77777777" w:rsidTr="009541FA">
        <w:tc>
          <w:tcPr>
            <w:tcW w:w="759" w:type="pct"/>
            <w:tcBorders>
              <w:top w:val="single" w:sz="4" w:space="0" w:color="auto"/>
              <w:bottom w:val="single" w:sz="4" w:space="0" w:color="auto"/>
              <w:right w:val="single" w:sz="4" w:space="0" w:color="auto"/>
            </w:tcBorders>
          </w:tcPr>
          <w:p w14:paraId="4F1A6424" w14:textId="77777777" w:rsidR="00FE1663" w:rsidRPr="00E51082" w:rsidRDefault="00FE1663" w:rsidP="00A13075">
            <w:pPr>
              <w:spacing w:line="240" w:lineRule="auto"/>
              <w:rPr>
                <w:szCs w:val="24"/>
              </w:rPr>
            </w:pPr>
            <w:r w:rsidRPr="00E51082">
              <w:rPr>
                <w:szCs w:val="24"/>
              </w:rPr>
              <w:t>Clinical mental health contacts</w:t>
            </w:r>
          </w:p>
        </w:tc>
        <w:tc>
          <w:tcPr>
            <w:tcW w:w="433" w:type="pct"/>
            <w:tcBorders>
              <w:top w:val="single" w:sz="4" w:space="0" w:color="auto"/>
              <w:left w:val="single" w:sz="4" w:space="0" w:color="auto"/>
              <w:bottom w:val="single" w:sz="4" w:space="0" w:color="auto"/>
            </w:tcBorders>
            <w:vAlign w:val="bottom"/>
          </w:tcPr>
          <w:p w14:paraId="4280AA25" w14:textId="77777777" w:rsidR="00FE1663" w:rsidRPr="00E51082" w:rsidRDefault="00FE1663" w:rsidP="00A13075">
            <w:pPr>
              <w:spacing w:line="240" w:lineRule="auto"/>
              <w:rPr>
                <w:szCs w:val="24"/>
              </w:rPr>
            </w:pPr>
            <w:r w:rsidRPr="00E51082">
              <w:rPr>
                <w:szCs w:val="24"/>
              </w:rPr>
              <w:t>0 (1)</w:t>
            </w:r>
          </w:p>
        </w:tc>
        <w:tc>
          <w:tcPr>
            <w:tcW w:w="468" w:type="pct"/>
            <w:tcBorders>
              <w:top w:val="single" w:sz="4" w:space="0" w:color="auto"/>
              <w:bottom w:val="single" w:sz="4" w:space="0" w:color="auto"/>
            </w:tcBorders>
            <w:vAlign w:val="bottom"/>
          </w:tcPr>
          <w:p w14:paraId="5D0C2AF3" w14:textId="77777777" w:rsidR="00FE1663" w:rsidRPr="00E51082" w:rsidRDefault="00FE1663" w:rsidP="00A13075">
            <w:pPr>
              <w:spacing w:line="240" w:lineRule="auto"/>
              <w:rPr>
                <w:szCs w:val="24"/>
              </w:rPr>
            </w:pPr>
            <w:r w:rsidRPr="00E51082">
              <w:rPr>
                <w:szCs w:val="24"/>
              </w:rPr>
              <w:t>1 (0)</w:t>
            </w:r>
          </w:p>
        </w:tc>
        <w:tc>
          <w:tcPr>
            <w:tcW w:w="469" w:type="pct"/>
            <w:tcBorders>
              <w:top w:val="single" w:sz="4" w:space="0" w:color="auto"/>
              <w:bottom w:val="single" w:sz="4" w:space="0" w:color="auto"/>
            </w:tcBorders>
            <w:vAlign w:val="bottom"/>
          </w:tcPr>
          <w:p w14:paraId="36D8A07E" w14:textId="77777777" w:rsidR="00FE1663" w:rsidRPr="00E51082" w:rsidRDefault="00FE1663" w:rsidP="00A13075">
            <w:pPr>
              <w:spacing w:line="240" w:lineRule="auto"/>
              <w:rPr>
                <w:szCs w:val="24"/>
              </w:rPr>
            </w:pPr>
            <w:r w:rsidRPr="00E51082">
              <w:rPr>
                <w:szCs w:val="24"/>
              </w:rPr>
              <w:t>0</w:t>
            </w:r>
          </w:p>
        </w:tc>
        <w:tc>
          <w:tcPr>
            <w:tcW w:w="470" w:type="pct"/>
            <w:tcBorders>
              <w:top w:val="single" w:sz="4" w:space="0" w:color="auto"/>
              <w:bottom w:val="single" w:sz="4" w:space="0" w:color="auto"/>
              <w:right w:val="single" w:sz="4" w:space="0" w:color="auto"/>
            </w:tcBorders>
            <w:vAlign w:val="bottom"/>
          </w:tcPr>
          <w:p w14:paraId="2F91D10D" w14:textId="77777777" w:rsidR="00FE1663" w:rsidRPr="00E51082" w:rsidRDefault="00FE1663" w:rsidP="00A13075">
            <w:pPr>
              <w:spacing w:line="240" w:lineRule="auto"/>
              <w:rPr>
                <w:szCs w:val="24"/>
              </w:rPr>
            </w:pPr>
            <w:r w:rsidRPr="00E51082">
              <w:rPr>
                <w:szCs w:val="24"/>
              </w:rPr>
              <w:t>1 (1)</w:t>
            </w:r>
          </w:p>
        </w:tc>
        <w:tc>
          <w:tcPr>
            <w:tcW w:w="892" w:type="pct"/>
            <w:tcBorders>
              <w:top w:val="single" w:sz="4" w:space="0" w:color="auto"/>
              <w:left w:val="single" w:sz="4" w:space="0" w:color="auto"/>
              <w:bottom w:val="single" w:sz="4" w:space="0" w:color="auto"/>
            </w:tcBorders>
            <w:vAlign w:val="bottom"/>
          </w:tcPr>
          <w:p w14:paraId="080D99F2" w14:textId="77777777" w:rsidR="00FE1663" w:rsidRPr="00E51082" w:rsidRDefault="00FE1663" w:rsidP="00A13075">
            <w:pPr>
              <w:spacing w:line="240" w:lineRule="auto"/>
              <w:rPr>
                <w:szCs w:val="24"/>
              </w:rPr>
            </w:pPr>
            <w:r w:rsidRPr="00E51082">
              <w:rPr>
                <w:szCs w:val="24"/>
              </w:rPr>
              <w:t>1 (-1, 2)</w:t>
            </w:r>
          </w:p>
        </w:tc>
        <w:tc>
          <w:tcPr>
            <w:tcW w:w="796" w:type="pct"/>
            <w:tcBorders>
              <w:top w:val="single" w:sz="4" w:space="0" w:color="auto"/>
              <w:bottom w:val="single" w:sz="4" w:space="0" w:color="auto"/>
            </w:tcBorders>
            <w:vAlign w:val="bottom"/>
          </w:tcPr>
          <w:p w14:paraId="0CD79190" w14:textId="77777777" w:rsidR="00FE1663" w:rsidRPr="00E51082" w:rsidRDefault="00FE1663" w:rsidP="00A13075">
            <w:pPr>
              <w:spacing w:line="240" w:lineRule="auto"/>
              <w:rPr>
                <w:szCs w:val="24"/>
              </w:rPr>
            </w:pPr>
            <w:r w:rsidRPr="00E51082">
              <w:rPr>
                <w:szCs w:val="24"/>
              </w:rPr>
              <w:t>0</w:t>
            </w:r>
          </w:p>
        </w:tc>
        <w:tc>
          <w:tcPr>
            <w:tcW w:w="713" w:type="pct"/>
            <w:tcBorders>
              <w:top w:val="single" w:sz="4" w:space="0" w:color="auto"/>
              <w:bottom w:val="single" w:sz="4" w:space="0" w:color="auto"/>
            </w:tcBorders>
            <w:vAlign w:val="bottom"/>
          </w:tcPr>
          <w:p w14:paraId="44F80114" w14:textId="77777777" w:rsidR="00FE1663" w:rsidRPr="00E51082" w:rsidRDefault="00FE1663" w:rsidP="00A13075">
            <w:pPr>
              <w:spacing w:line="240" w:lineRule="auto"/>
              <w:rPr>
                <w:szCs w:val="24"/>
              </w:rPr>
            </w:pPr>
            <w:r w:rsidRPr="00E51082">
              <w:rPr>
                <w:szCs w:val="24"/>
              </w:rPr>
              <w:t>1 (-1, 4)</w:t>
            </w:r>
          </w:p>
        </w:tc>
      </w:tr>
      <w:tr w:rsidR="00E51082" w:rsidRPr="00E51082" w14:paraId="299721B2" w14:textId="77777777" w:rsidTr="009541FA">
        <w:tc>
          <w:tcPr>
            <w:tcW w:w="759" w:type="pct"/>
            <w:tcBorders>
              <w:top w:val="single" w:sz="4" w:space="0" w:color="auto"/>
              <w:bottom w:val="single" w:sz="4" w:space="0" w:color="auto"/>
              <w:right w:val="single" w:sz="4" w:space="0" w:color="auto"/>
            </w:tcBorders>
          </w:tcPr>
          <w:p w14:paraId="460EB78B" w14:textId="77777777" w:rsidR="00FE1663" w:rsidRPr="00E51082" w:rsidRDefault="00FE1663" w:rsidP="00A13075">
            <w:pPr>
              <w:spacing w:line="240" w:lineRule="auto"/>
              <w:rPr>
                <w:szCs w:val="24"/>
              </w:rPr>
            </w:pPr>
            <w:r w:rsidRPr="00E51082">
              <w:rPr>
                <w:szCs w:val="24"/>
              </w:rPr>
              <w:t>A&amp;E attendances</w:t>
            </w:r>
          </w:p>
        </w:tc>
        <w:tc>
          <w:tcPr>
            <w:tcW w:w="433" w:type="pct"/>
            <w:tcBorders>
              <w:top w:val="single" w:sz="4" w:space="0" w:color="auto"/>
              <w:left w:val="single" w:sz="4" w:space="0" w:color="auto"/>
              <w:bottom w:val="single" w:sz="4" w:space="0" w:color="auto"/>
            </w:tcBorders>
            <w:vAlign w:val="bottom"/>
          </w:tcPr>
          <w:p w14:paraId="3DA434E0" w14:textId="77777777" w:rsidR="00FE1663" w:rsidRPr="00E51082" w:rsidRDefault="00FE1663" w:rsidP="00A13075">
            <w:pPr>
              <w:spacing w:line="240" w:lineRule="auto"/>
              <w:rPr>
                <w:szCs w:val="24"/>
              </w:rPr>
            </w:pPr>
            <w:r w:rsidRPr="00E51082">
              <w:rPr>
                <w:szCs w:val="24"/>
              </w:rPr>
              <w:t>0</w:t>
            </w:r>
          </w:p>
        </w:tc>
        <w:tc>
          <w:tcPr>
            <w:tcW w:w="468" w:type="pct"/>
            <w:tcBorders>
              <w:top w:val="single" w:sz="4" w:space="0" w:color="auto"/>
              <w:bottom w:val="single" w:sz="4" w:space="0" w:color="auto"/>
            </w:tcBorders>
            <w:vAlign w:val="bottom"/>
          </w:tcPr>
          <w:p w14:paraId="5F8D45FF" w14:textId="77777777" w:rsidR="00FE1663" w:rsidRPr="00E51082" w:rsidRDefault="00FE1663" w:rsidP="00A13075">
            <w:pPr>
              <w:spacing w:line="240" w:lineRule="auto"/>
              <w:rPr>
                <w:szCs w:val="24"/>
              </w:rPr>
            </w:pPr>
            <w:r w:rsidRPr="00E51082">
              <w:rPr>
                <w:szCs w:val="24"/>
              </w:rPr>
              <w:t>0</w:t>
            </w:r>
          </w:p>
        </w:tc>
        <w:tc>
          <w:tcPr>
            <w:tcW w:w="469" w:type="pct"/>
            <w:tcBorders>
              <w:top w:val="single" w:sz="4" w:space="0" w:color="auto"/>
              <w:bottom w:val="single" w:sz="4" w:space="0" w:color="auto"/>
            </w:tcBorders>
            <w:vAlign w:val="bottom"/>
          </w:tcPr>
          <w:p w14:paraId="49C3328F" w14:textId="77777777" w:rsidR="00FE1663" w:rsidRPr="00E51082" w:rsidRDefault="00FE1663" w:rsidP="00A13075">
            <w:pPr>
              <w:spacing w:line="240" w:lineRule="auto"/>
              <w:rPr>
                <w:szCs w:val="24"/>
              </w:rPr>
            </w:pPr>
            <w:r w:rsidRPr="00E51082">
              <w:rPr>
                <w:szCs w:val="24"/>
              </w:rPr>
              <w:t>0</w:t>
            </w:r>
          </w:p>
        </w:tc>
        <w:tc>
          <w:tcPr>
            <w:tcW w:w="470" w:type="pct"/>
            <w:tcBorders>
              <w:top w:val="single" w:sz="4" w:space="0" w:color="auto"/>
              <w:bottom w:val="single" w:sz="4" w:space="0" w:color="auto"/>
              <w:right w:val="single" w:sz="4" w:space="0" w:color="auto"/>
            </w:tcBorders>
            <w:vAlign w:val="bottom"/>
          </w:tcPr>
          <w:p w14:paraId="60777981" w14:textId="77777777" w:rsidR="00FE1663" w:rsidRPr="00E51082" w:rsidRDefault="00FE1663" w:rsidP="00A13075">
            <w:pPr>
              <w:spacing w:line="240" w:lineRule="auto"/>
              <w:rPr>
                <w:szCs w:val="24"/>
              </w:rPr>
            </w:pPr>
            <w:r w:rsidRPr="00E51082">
              <w:rPr>
                <w:szCs w:val="24"/>
              </w:rPr>
              <w:t>0</w:t>
            </w:r>
          </w:p>
        </w:tc>
        <w:tc>
          <w:tcPr>
            <w:tcW w:w="892" w:type="pct"/>
            <w:tcBorders>
              <w:top w:val="single" w:sz="4" w:space="0" w:color="auto"/>
              <w:left w:val="single" w:sz="4" w:space="0" w:color="auto"/>
              <w:bottom w:val="single" w:sz="4" w:space="0" w:color="auto"/>
            </w:tcBorders>
            <w:vAlign w:val="bottom"/>
          </w:tcPr>
          <w:p w14:paraId="627D36BB" w14:textId="77777777" w:rsidR="00FE1663" w:rsidRPr="00E51082" w:rsidRDefault="00FE1663" w:rsidP="00A13075">
            <w:pPr>
              <w:spacing w:line="240" w:lineRule="auto"/>
              <w:rPr>
                <w:szCs w:val="24"/>
              </w:rPr>
            </w:pPr>
            <w:r w:rsidRPr="00E51082">
              <w:rPr>
                <w:szCs w:val="24"/>
              </w:rPr>
              <w:t>0</w:t>
            </w:r>
          </w:p>
        </w:tc>
        <w:tc>
          <w:tcPr>
            <w:tcW w:w="796" w:type="pct"/>
            <w:tcBorders>
              <w:top w:val="single" w:sz="4" w:space="0" w:color="auto"/>
              <w:bottom w:val="single" w:sz="4" w:space="0" w:color="auto"/>
            </w:tcBorders>
            <w:vAlign w:val="bottom"/>
          </w:tcPr>
          <w:p w14:paraId="78A9A136" w14:textId="77777777" w:rsidR="00FE1663" w:rsidRPr="00E51082" w:rsidRDefault="00FE1663" w:rsidP="00A13075">
            <w:pPr>
              <w:spacing w:line="240" w:lineRule="auto"/>
              <w:rPr>
                <w:szCs w:val="24"/>
              </w:rPr>
            </w:pPr>
            <w:r w:rsidRPr="00E51082">
              <w:rPr>
                <w:szCs w:val="24"/>
              </w:rPr>
              <w:t>0</w:t>
            </w:r>
          </w:p>
        </w:tc>
        <w:tc>
          <w:tcPr>
            <w:tcW w:w="713" w:type="pct"/>
            <w:tcBorders>
              <w:top w:val="single" w:sz="4" w:space="0" w:color="auto"/>
              <w:bottom w:val="single" w:sz="4" w:space="0" w:color="auto"/>
            </w:tcBorders>
            <w:vAlign w:val="bottom"/>
          </w:tcPr>
          <w:p w14:paraId="1E9A896F" w14:textId="77777777" w:rsidR="00FE1663" w:rsidRPr="00E51082" w:rsidRDefault="00FE1663" w:rsidP="00A13075">
            <w:pPr>
              <w:spacing w:line="240" w:lineRule="auto"/>
              <w:rPr>
                <w:szCs w:val="24"/>
              </w:rPr>
            </w:pPr>
            <w:r w:rsidRPr="00E51082">
              <w:rPr>
                <w:szCs w:val="24"/>
              </w:rPr>
              <w:t>0</w:t>
            </w:r>
          </w:p>
        </w:tc>
      </w:tr>
      <w:tr w:rsidR="00E51082" w:rsidRPr="00E51082" w14:paraId="7D5C9E82" w14:textId="77777777" w:rsidTr="009541FA">
        <w:tc>
          <w:tcPr>
            <w:tcW w:w="759" w:type="pct"/>
            <w:tcBorders>
              <w:top w:val="single" w:sz="4" w:space="0" w:color="auto"/>
              <w:bottom w:val="single" w:sz="4" w:space="0" w:color="auto"/>
              <w:right w:val="single" w:sz="4" w:space="0" w:color="auto"/>
            </w:tcBorders>
          </w:tcPr>
          <w:p w14:paraId="25F47040" w14:textId="77777777" w:rsidR="00FE1663" w:rsidRPr="00E51082" w:rsidRDefault="00FE1663" w:rsidP="00A13075">
            <w:pPr>
              <w:spacing w:line="240" w:lineRule="auto"/>
              <w:rPr>
                <w:szCs w:val="24"/>
              </w:rPr>
            </w:pPr>
            <w:r w:rsidRPr="00E51082">
              <w:rPr>
                <w:szCs w:val="24"/>
              </w:rPr>
              <w:t>Social services contacts</w:t>
            </w:r>
          </w:p>
        </w:tc>
        <w:tc>
          <w:tcPr>
            <w:tcW w:w="433" w:type="pct"/>
            <w:tcBorders>
              <w:top w:val="single" w:sz="4" w:space="0" w:color="auto"/>
              <w:left w:val="single" w:sz="4" w:space="0" w:color="auto"/>
              <w:bottom w:val="single" w:sz="4" w:space="0" w:color="auto"/>
            </w:tcBorders>
            <w:vAlign w:val="bottom"/>
          </w:tcPr>
          <w:p w14:paraId="2D82FEC6" w14:textId="77777777" w:rsidR="00FE1663" w:rsidRPr="00E51082" w:rsidRDefault="00FE1663" w:rsidP="00A13075">
            <w:pPr>
              <w:spacing w:line="240" w:lineRule="auto"/>
              <w:rPr>
                <w:szCs w:val="24"/>
              </w:rPr>
            </w:pPr>
            <w:r w:rsidRPr="00E51082">
              <w:rPr>
                <w:szCs w:val="24"/>
              </w:rPr>
              <w:t>0</w:t>
            </w:r>
          </w:p>
        </w:tc>
        <w:tc>
          <w:tcPr>
            <w:tcW w:w="468" w:type="pct"/>
            <w:tcBorders>
              <w:top w:val="single" w:sz="4" w:space="0" w:color="auto"/>
              <w:bottom w:val="single" w:sz="4" w:space="0" w:color="auto"/>
            </w:tcBorders>
            <w:vAlign w:val="bottom"/>
          </w:tcPr>
          <w:p w14:paraId="1574BC43" w14:textId="77777777" w:rsidR="00FE1663" w:rsidRPr="00E51082" w:rsidRDefault="00FE1663" w:rsidP="00A13075">
            <w:pPr>
              <w:spacing w:line="240" w:lineRule="auto"/>
              <w:rPr>
                <w:szCs w:val="24"/>
              </w:rPr>
            </w:pPr>
            <w:r w:rsidRPr="00E51082">
              <w:rPr>
                <w:szCs w:val="24"/>
              </w:rPr>
              <w:t>0</w:t>
            </w:r>
          </w:p>
        </w:tc>
        <w:tc>
          <w:tcPr>
            <w:tcW w:w="469" w:type="pct"/>
            <w:tcBorders>
              <w:top w:val="single" w:sz="4" w:space="0" w:color="auto"/>
              <w:bottom w:val="single" w:sz="4" w:space="0" w:color="auto"/>
            </w:tcBorders>
            <w:vAlign w:val="bottom"/>
          </w:tcPr>
          <w:p w14:paraId="3A671102" w14:textId="77777777" w:rsidR="00FE1663" w:rsidRPr="00E51082" w:rsidRDefault="00FE1663" w:rsidP="00A13075">
            <w:pPr>
              <w:spacing w:line="240" w:lineRule="auto"/>
              <w:rPr>
                <w:szCs w:val="24"/>
              </w:rPr>
            </w:pPr>
            <w:r w:rsidRPr="00E51082">
              <w:rPr>
                <w:szCs w:val="24"/>
              </w:rPr>
              <w:t>0</w:t>
            </w:r>
          </w:p>
        </w:tc>
        <w:tc>
          <w:tcPr>
            <w:tcW w:w="470" w:type="pct"/>
            <w:tcBorders>
              <w:top w:val="single" w:sz="4" w:space="0" w:color="auto"/>
              <w:bottom w:val="single" w:sz="4" w:space="0" w:color="auto"/>
              <w:right w:val="single" w:sz="4" w:space="0" w:color="auto"/>
            </w:tcBorders>
            <w:vAlign w:val="bottom"/>
          </w:tcPr>
          <w:p w14:paraId="1F045C2F" w14:textId="77777777" w:rsidR="00FE1663" w:rsidRPr="00E51082" w:rsidRDefault="00FE1663" w:rsidP="00A13075">
            <w:pPr>
              <w:spacing w:line="240" w:lineRule="auto"/>
              <w:rPr>
                <w:szCs w:val="24"/>
              </w:rPr>
            </w:pPr>
            <w:r w:rsidRPr="00E51082">
              <w:rPr>
                <w:szCs w:val="24"/>
              </w:rPr>
              <w:t>0</w:t>
            </w:r>
          </w:p>
        </w:tc>
        <w:tc>
          <w:tcPr>
            <w:tcW w:w="892" w:type="pct"/>
            <w:tcBorders>
              <w:top w:val="single" w:sz="4" w:space="0" w:color="auto"/>
              <w:left w:val="single" w:sz="4" w:space="0" w:color="auto"/>
              <w:bottom w:val="single" w:sz="4" w:space="0" w:color="auto"/>
            </w:tcBorders>
            <w:vAlign w:val="bottom"/>
          </w:tcPr>
          <w:p w14:paraId="0551447B" w14:textId="77777777" w:rsidR="00FE1663" w:rsidRPr="00E51082" w:rsidRDefault="00FE1663" w:rsidP="00A13075">
            <w:pPr>
              <w:spacing w:line="240" w:lineRule="auto"/>
              <w:rPr>
                <w:szCs w:val="24"/>
              </w:rPr>
            </w:pPr>
            <w:r w:rsidRPr="00E51082">
              <w:rPr>
                <w:szCs w:val="24"/>
              </w:rPr>
              <w:t>0</w:t>
            </w:r>
          </w:p>
        </w:tc>
        <w:tc>
          <w:tcPr>
            <w:tcW w:w="796" w:type="pct"/>
            <w:tcBorders>
              <w:top w:val="single" w:sz="4" w:space="0" w:color="auto"/>
              <w:bottom w:val="single" w:sz="4" w:space="0" w:color="auto"/>
            </w:tcBorders>
            <w:vAlign w:val="bottom"/>
          </w:tcPr>
          <w:p w14:paraId="19BCC827" w14:textId="77777777" w:rsidR="00FE1663" w:rsidRPr="00E51082" w:rsidRDefault="00FE1663" w:rsidP="00A13075">
            <w:pPr>
              <w:spacing w:line="240" w:lineRule="auto"/>
              <w:rPr>
                <w:szCs w:val="24"/>
              </w:rPr>
            </w:pPr>
            <w:r w:rsidRPr="00E51082">
              <w:rPr>
                <w:szCs w:val="24"/>
              </w:rPr>
              <w:t>0 (-0, 1)</w:t>
            </w:r>
          </w:p>
        </w:tc>
        <w:tc>
          <w:tcPr>
            <w:tcW w:w="713" w:type="pct"/>
            <w:tcBorders>
              <w:top w:val="single" w:sz="4" w:space="0" w:color="auto"/>
              <w:bottom w:val="single" w:sz="4" w:space="0" w:color="auto"/>
            </w:tcBorders>
            <w:vAlign w:val="bottom"/>
          </w:tcPr>
          <w:p w14:paraId="7A572CBF" w14:textId="77777777" w:rsidR="00FE1663" w:rsidRPr="00E51082" w:rsidRDefault="00FE1663" w:rsidP="00A13075">
            <w:pPr>
              <w:spacing w:line="240" w:lineRule="auto"/>
              <w:rPr>
                <w:szCs w:val="24"/>
              </w:rPr>
            </w:pPr>
            <w:r w:rsidRPr="00E51082">
              <w:rPr>
                <w:szCs w:val="24"/>
              </w:rPr>
              <w:t>0</w:t>
            </w:r>
          </w:p>
        </w:tc>
      </w:tr>
      <w:tr w:rsidR="00E51082" w:rsidRPr="00E51082" w14:paraId="63871A47" w14:textId="77777777" w:rsidTr="009541FA">
        <w:tc>
          <w:tcPr>
            <w:tcW w:w="759" w:type="pct"/>
            <w:tcBorders>
              <w:top w:val="single" w:sz="4" w:space="0" w:color="auto"/>
              <w:bottom w:val="single" w:sz="4" w:space="0" w:color="auto"/>
              <w:right w:val="single" w:sz="4" w:space="0" w:color="auto"/>
            </w:tcBorders>
          </w:tcPr>
          <w:p w14:paraId="6539DCA2" w14:textId="77777777" w:rsidR="00FE1663" w:rsidRPr="00E51082" w:rsidRDefault="00FE1663" w:rsidP="00A13075">
            <w:pPr>
              <w:spacing w:line="240" w:lineRule="auto"/>
              <w:rPr>
                <w:szCs w:val="24"/>
              </w:rPr>
            </w:pPr>
            <w:r w:rsidRPr="00E51082">
              <w:rPr>
                <w:szCs w:val="24"/>
              </w:rPr>
              <w:t>Antidepressant prescriptions</w:t>
            </w:r>
          </w:p>
        </w:tc>
        <w:tc>
          <w:tcPr>
            <w:tcW w:w="433" w:type="pct"/>
            <w:tcBorders>
              <w:top w:val="single" w:sz="4" w:space="0" w:color="auto"/>
              <w:left w:val="single" w:sz="4" w:space="0" w:color="auto"/>
              <w:bottom w:val="single" w:sz="4" w:space="0" w:color="auto"/>
            </w:tcBorders>
            <w:vAlign w:val="bottom"/>
          </w:tcPr>
          <w:p w14:paraId="77D212FB" w14:textId="77777777" w:rsidR="00FE1663" w:rsidRPr="00E51082" w:rsidRDefault="00FE1663" w:rsidP="00A13075">
            <w:pPr>
              <w:spacing w:line="240" w:lineRule="auto"/>
              <w:rPr>
                <w:szCs w:val="24"/>
              </w:rPr>
            </w:pPr>
            <w:r w:rsidRPr="00E51082">
              <w:rPr>
                <w:szCs w:val="24"/>
              </w:rPr>
              <w:t>0</w:t>
            </w:r>
          </w:p>
        </w:tc>
        <w:tc>
          <w:tcPr>
            <w:tcW w:w="468" w:type="pct"/>
            <w:tcBorders>
              <w:top w:val="single" w:sz="4" w:space="0" w:color="auto"/>
              <w:bottom w:val="single" w:sz="4" w:space="0" w:color="auto"/>
            </w:tcBorders>
            <w:vAlign w:val="bottom"/>
          </w:tcPr>
          <w:p w14:paraId="512F291C" w14:textId="77777777" w:rsidR="00FE1663" w:rsidRPr="00E51082" w:rsidRDefault="00FE1663" w:rsidP="00A13075">
            <w:pPr>
              <w:spacing w:line="240" w:lineRule="auto"/>
              <w:rPr>
                <w:szCs w:val="24"/>
              </w:rPr>
            </w:pPr>
            <w:r w:rsidRPr="00E51082">
              <w:rPr>
                <w:szCs w:val="24"/>
              </w:rPr>
              <w:t>0</w:t>
            </w:r>
          </w:p>
        </w:tc>
        <w:tc>
          <w:tcPr>
            <w:tcW w:w="469" w:type="pct"/>
            <w:tcBorders>
              <w:top w:val="single" w:sz="4" w:space="0" w:color="auto"/>
              <w:bottom w:val="single" w:sz="4" w:space="0" w:color="auto"/>
            </w:tcBorders>
            <w:vAlign w:val="bottom"/>
          </w:tcPr>
          <w:p w14:paraId="1948EFD1" w14:textId="77777777" w:rsidR="00FE1663" w:rsidRPr="00E51082" w:rsidRDefault="00FE1663" w:rsidP="00A13075">
            <w:pPr>
              <w:spacing w:line="240" w:lineRule="auto"/>
              <w:rPr>
                <w:szCs w:val="24"/>
              </w:rPr>
            </w:pPr>
            <w:r w:rsidRPr="00E51082">
              <w:rPr>
                <w:szCs w:val="24"/>
              </w:rPr>
              <w:t>0</w:t>
            </w:r>
          </w:p>
        </w:tc>
        <w:tc>
          <w:tcPr>
            <w:tcW w:w="470" w:type="pct"/>
            <w:tcBorders>
              <w:top w:val="single" w:sz="4" w:space="0" w:color="auto"/>
              <w:bottom w:val="single" w:sz="4" w:space="0" w:color="auto"/>
              <w:right w:val="single" w:sz="4" w:space="0" w:color="auto"/>
            </w:tcBorders>
            <w:vAlign w:val="bottom"/>
          </w:tcPr>
          <w:p w14:paraId="1E24D3D5" w14:textId="77777777" w:rsidR="00FE1663" w:rsidRPr="00E51082" w:rsidRDefault="00FE1663" w:rsidP="00A13075">
            <w:pPr>
              <w:spacing w:line="240" w:lineRule="auto"/>
              <w:rPr>
                <w:szCs w:val="24"/>
              </w:rPr>
            </w:pPr>
            <w:r w:rsidRPr="00E51082">
              <w:rPr>
                <w:szCs w:val="24"/>
              </w:rPr>
              <w:t>0</w:t>
            </w:r>
          </w:p>
        </w:tc>
        <w:tc>
          <w:tcPr>
            <w:tcW w:w="892" w:type="pct"/>
            <w:tcBorders>
              <w:top w:val="single" w:sz="4" w:space="0" w:color="auto"/>
              <w:left w:val="single" w:sz="4" w:space="0" w:color="auto"/>
              <w:bottom w:val="single" w:sz="4" w:space="0" w:color="auto"/>
            </w:tcBorders>
            <w:vAlign w:val="bottom"/>
          </w:tcPr>
          <w:p w14:paraId="05DF60FC" w14:textId="77777777" w:rsidR="00FE1663" w:rsidRPr="00E51082" w:rsidRDefault="00FE1663" w:rsidP="00A13075">
            <w:pPr>
              <w:spacing w:line="240" w:lineRule="auto"/>
              <w:rPr>
                <w:szCs w:val="24"/>
              </w:rPr>
            </w:pPr>
            <w:r w:rsidRPr="00E51082">
              <w:rPr>
                <w:szCs w:val="24"/>
              </w:rPr>
              <w:t>-0</w:t>
            </w:r>
          </w:p>
        </w:tc>
        <w:tc>
          <w:tcPr>
            <w:tcW w:w="796" w:type="pct"/>
            <w:tcBorders>
              <w:top w:val="single" w:sz="4" w:space="0" w:color="auto"/>
              <w:bottom w:val="single" w:sz="4" w:space="0" w:color="auto"/>
            </w:tcBorders>
            <w:vAlign w:val="bottom"/>
          </w:tcPr>
          <w:p w14:paraId="6598456A" w14:textId="77777777" w:rsidR="00FE1663" w:rsidRPr="00E51082" w:rsidRDefault="00FE1663" w:rsidP="00A13075">
            <w:pPr>
              <w:spacing w:line="240" w:lineRule="auto"/>
              <w:rPr>
                <w:szCs w:val="24"/>
              </w:rPr>
            </w:pPr>
            <w:r w:rsidRPr="00E51082">
              <w:rPr>
                <w:szCs w:val="24"/>
              </w:rPr>
              <w:t>-0</w:t>
            </w:r>
          </w:p>
        </w:tc>
        <w:tc>
          <w:tcPr>
            <w:tcW w:w="713" w:type="pct"/>
            <w:tcBorders>
              <w:top w:val="single" w:sz="4" w:space="0" w:color="auto"/>
              <w:bottom w:val="single" w:sz="4" w:space="0" w:color="auto"/>
            </w:tcBorders>
            <w:vAlign w:val="bottom"/>
          </w:tcPr>
          <w:p w14:paraId="1DABD13F" w14:textId="77777777" w:rsidR="00FE1663" w:rsidRPr="00E51082" w:rsidRDefault="00FE1663" w:rsidP="00A13075">
            <w:pPr>
              <w:spacing w:line="240" w:lineRule="auto"/>
              <w:rPr>
                <w:szCs w:val="24"/>
              </w:rPr>
            </w:pPr>
            <w:r w:rsidRPr="00E51082">
              <w:rPr>
                <w:szCs w:val="24"/>
              </w:rPr>
              <w:t>-0</w:t>
            </w:r>
          </w:p>
        </w:tc>
      </w:tr>
      <w:tr w:rsidR="00E51082" w:rsidRPr="00E51082" w14:paraId="16E802B0" w14:textId="77777777" w:rsidTr="009541FA">
        <w:tc>
          <w:tcPr>
            <w:tcW w:w="759" w:type="pct"/>
            <w:tcBorders>
              <w:top w:val="single" w:sz="4" w:space="0" w:color="auto"/>
              <w:bottom w:val="single" w:sz="4" w:space="0" w:color="auto"/>
              <w:right w:val="single" w:sz="4" w:space="0" w:color="auto"/>
            </w:tcBorders>
          </w:tcPr>
          <w:p w14:paraId="5107FF11" w14:textId="77777777" w:rsidR="00FE1663" w:rsidRPr="00E51082" w:rsidRDefault="00FE1663" w:rsidP="00A13075">
            <w:pPr>
              <w:spacing w:line="240" w:lineRule="auto"/>
              <w:rPr>
                <w:szCs w:val="24"/>
              </w:rPr>
            </w:pPr>
            <w:r w:rsidRPr="00E51082">
              <w:rPr>
                <w:szCs w:val="24"/>
              </w:rPr>
              <w:t>Other prescriptions</w:t>
            </w:r>
          </w:p>
        </w:tc>
        <w:tc>
          <w:tcPr>
            <w:tcW w:w="433" w:type="pct"/>
            <w:tcBorders>
              <w:top w:val="single" w:sz="4" w:space="0" w:color="auto"/>
              <w:left w:val="single" w:sz="4" w:space="0" w:color="auto"/>
              <w:bottom w:val="single" w:sz="4" w:space="0" w:color="auto"/>
            </w:tcBorders>
            <w:vAlign w:val="bottom"/>
          </w:tcPr>
          <w:p w14:paraId="3AD110E2" w14:textId="77777777" w:rsidR="00FE1663" w:rsidRPr="00E51082" w:rsidRDefault="00FE1663" w:rsidP="00A13075">
            <w:pPr>
              <w:spacing w:line="240" w:lineRule="auto"/>
              <w:rPr>
                <w:szCs w:val="24"/>
              </w:rPr>
            </w:pPr>
            <w:r w:rsidRPr="00E51082">
              <w:rPr>
                <w:szCs w:val="24"/>
              </w:rPr>
              <w:t>4 (0)</w:t>
            </w:r>
          </w:p>
        </w:tc>
        <w:tc>
          <w:tcPr>
            <w:tcW w:w="468" w:type="pct"/>
            <w:tcBorders>
              <w:top w:val="single" w:sz="4" w:space="0" w:color="auto"/>
              <w:bottom w:val="single" w:sz="4" w:space="0" w:color="auto"/>
            </w:tcBorders>
            <w:vAlign w:val="bottom"/>
          </w:tcPr>
          <w:p w14:paraId="0181828D" w14:textId="77777777" w:rsidR="00FE1663" w:rsidRPr="00E51082" w:rsidRDefault="00FE1663" w:rsidP="00A13075">
            <w:pPr>
              <w:spacing w:line="240" w:lineRule="auto"/>
              <w:rPr>
                <w:szCs w:val="24"/>
              </w:rPr>
            </w:pPr>
            <w:r w:rsidRPr="00E51082">
              <w:rPr>
                <w:szCs w:val="24"/>
              </w:rPr>
              <w:t>4 (0)</w:t>
            </w:r>
          </w:p>
        </w:tc>
        <w:tc>
          <w:tcPr>
            <w:tcW w:w="469" w:type="pct"/>
            <w:tcBorders>
              <w:top w:val="single" w:sz="4" w:space="0" w:color="auto"/>
              <w:bottom w:val="single" w:sz="4" w:space="0" w:color="auto"/>
            </w:tcBorders>
            <w:vAlign w:val="bottom"/>
          </w:tcPr>
          <w:p w14:paraId="607A0388" w14:textId="77777777" w:rsidR="00FE1663" w:rsidRPr="00E51082" w:rsidRDefault="00FE1663" w:rsidP="00A13075">
            <w:pPr>
              <w:spacing w:line="240" w:lineRule="auto"/>
              <w:rPr>
                <w:szCs w:val="24"/>
              </w:rPr>
            </w:pPr>
            <w:r w:rsidRPr="00E51082">
              <w:rPr>
                <w:szCs w:val="24"/>
              </w:rPr>
              <w:t>4 (0)</w:t>
            </w:r>
          </w:p>
        </w:tc>
        <w:tc>
          <w:tcPr>
            <w:tcW w:w="470" w:type="pct"/>
            <w:tcBorders>
              <w:top w:val="single" w:sz="4" w:space="0" w:color="auto"/>
              <w:bottom w:val="single" w:sz="4" w:space="0" w:color="auto"/>
              <w:right w:val="single" w:sz="4" w:space="0" w:color="auto"/>
            </w:tcBorders>
            <w:vAlign w:val="bottom"/>
          </w:tcPr>
          <w:p w14:paraId="43E66DF8" w14:textId="77777777" w:rsidR="00FE1663" w:rsidRPr="00E51082" w:rsidRDefault="00FE1663" w:rsidP="00A13075">
            <w:pPr>
              <w:spacing w:line="240" w:lineRule="auto"/>
              <w:rPr>
                <w:szCs w:val="24"/>
              </w:rPr>
            </w:pPr>
            <w:r w:rsidRPr="00E51082">
              <w:rPr>
                <w:szCs w:val="24"/>
              </w:rPr>
              <w:t>4 (0)</w:t>
            </w:r>
          </w:p>
        </w:tc>
        <w:tc>
          <w:tcPr>
            <w:tcW w:w="892" w:type="pct"/>
            <w:tcBorders>
              <w:top w:val="single" w:sz="4" w:space="0" w:color="auto"/>
              <w:left w:val="single" w:sz="4" w:space="0" w:color="auto"/>
              <w:bottom w:val="single" w:sz="4" w:space="0" w:color="auto"/>
            </w:tcBorders>
            <w:vAlign w:val="bottom"/>
          </w:tcPr>
          <w:p w14:paraId="7A15A82B" w14:textId="77777777" w:rsidR="00FE1663" w:rsidRPr="00E51082" w:rsidRDefault="00FE1663" w:rsidP="00A13075">
            <w:pPr>
              <w:spacing w:line="240" w:lineRule="auto"/>
              <w:rPr>
                <w:szCs w:val="24"/>
              </w:rPr>
            </w:pPr>
            <w:r w:rsidRPr="00E51082">
              <w:rPr>
                <w:szCs w:val="24"/>
              </w:rPr>
              <w:t>0 (-1, 1)</w:t>
            </w:r>
          </w:p>
        </w:tc>
        <w:tc>
          <w:tcPr>
            <w:tcW w:w="796" w:type="pct"/>
            <w:tcBorders>
              <w:top w:val="single" w:sz="4" w:space="0" w:color="auto"/>
              <w:bottom w:val="single" w:sz="4" w:space="0" w:color="auto"/>
            </w:tcBorders>
            <w:vAlign w:val="bottom"/>
          </w:tcPr>
          <w:p w14:paraId="2BE17B19" w14:textId="77777777" w:rsidR="00FE1663" w:rsidRPr="00E51082" w:rsidRDefault="00FE1663" w:rsidP="00A13075">
            <w:pPr>
              <w:spacing w:line="240" w:lineRule="auto"/>
              <w:rPr>
                <w:szCs w:val="24"/>
              </w:rPr>
            </w:pPr>
            <w:r w:rsidRPr="00E51082">
              <w:rPr>
                <w:szCs w:val="24"/>
              </w:rPr>
              <w:t>0 (-1, 1)</w:t>
            </w:r>
          </w:p>
        </w:tc>
        <w:tc>
          <w:tcPr>
            <w:tcW w:w="713" w:type="pct"/>
            <w:tcBorders>
              <w:top w:val="single" w:sz="4" w:space="0" w:color="auto"/>
              <w:bottom w:val="single" w:sz="4" w:space="0" w:color="auto"/>
            </w:tcBorders>
            <w:vAlign w:val="bottom"/>
          </w:tcPr>
          <w:p w14:paraId="043C4321" w14:textId="77777777" w:rsidR="00FE1663" w:rsidRPr="00E51082" w:rsidRDefault="00FE1663" w:rsidP="00A13075">
            <w:pPr>
              <w:spacing w:line="240" w:lineRule="auto"/>
              <w:rPr>
                <w:szCs w:val="24"/>
              </w:rPr>
            </w:pPr>
            <w:r w:rsidRPr="00E51082">
              <w:rPr>
                <w:szCs w:val="24"/>
              </w:rPr>
              <w:t>0 (-1,1)</w:t>
            </w:r>
          </w:p>
        </w:tc>
      </w:tr>
      <w:tr w:rsidR="00E51082" w:rsidRPr="00E51082" w14:paraId="6CEB8E63" w14:textId="77777777" w:rsidTr="009541FA">
        <w:tc>
          <w:tcPr>
            <w:tcW w:w="759" w:type="pct"/>
            <w:tcBorders>
              <w:top w:val="single" w:sz="4" w:space="0" w:color="auto"/>
              <w:bottom w:val="single" w:sz="4" w:space="0" w:color="auto"/>
              <w:right w:val="single" w:sz="4" w:space="0" w:color="auto"/>
            </w:tcBorders>
          </w:tcPr>
          <w:p w14:paraId="5DBBC82B" w14:textId="77777777" w:rsidR="00FE1663" w:rsidRPr="00E51082" w:rsidRDefault="00FE1663" w:rsidP="00A13075">
            <w:pPr>
              <w:spacing w:line="240" w:lineRule="auto"/>
              <w:rPr>
                <w:szCs w:val="24"/>
              </w:rPr>
            </w:pPr>
            <w:r w:rsidRPr="00E51082">
              <w:rPr>
                <w:szCs w:val="24"/>
              </w:rPr>
              <w:t>Total cost</w:t>
            </w:r>
          </w:p>
        </w:tc>
        <w:tc>
          <w:tcPr>
            <w:tcW w:w="433" w:type="pct"/>
            <w:tcBorders>
              <w:top w:val="single" w:sz="4" w:space="0" w:color="auto"/>
              <w:left w:val="single" w:sz="4" w:space="0" w:color="auto"/>
              <w:bottom w:val="single" w:sz="4" w:space="0" w:color="auto"/>
            </w:tcBorders>
            <w:vAlign w:val="bottom"/>
          </w:tcPr>
          <w:p w14:paraId="07FAF63C" w14:textId="77777777" w:rsidR="00FE1663" w:rsidRPr="00E51082" w:rsidRDefault="00FE1663" w:rsidP="00A13075">
            <w:pPr>
              <w:spacing w:line="240" w:lineRule="auto"/>
              <w:rPr>
                <w:szCs w:val="24"/>
              </w:rPr>
            </w:pPr>
            <w:r w:rsidRPr="00E51082">
              <w:rPr>
                <w:szCs w:val="24"/>
              </w:rPr>
              <w:t>300 (27)</w:t>
            </w:r>
          </w:p>
        </w:tc>
        <w:tc>
          <w:tcPr>
            <w:tcW w:w="468" w:type="pct"/>
            <w:tcBorders>
              <w:top w:val="single" w:sz="4" w:space="0" w:color="auto"/>
              <w:bottom w:val="single" w:sz="4" w:space="0" w:color="auto"/>
            </w:tcBorders>
            <w:vAlign w:val="bottom"/>
          </w:tcPr>
          <w:p w14:paraId="41C522C1" w14:textId="77777777" w:rsidR="00FE1663" w:rsidRPr="00E51082" w:rsidRDefault="00FE1663" w:rsidP="00A13075">
            <w:pPr>
              <w:spacing w:line="240" w:lineRule="auto"/>
              <w:rPr>
                <w:szCs w:val="24"/>
              </w:rPr>
            </w:pPr>
            <w:r w:rsidRPr="00E51082">
              <w:rPr>
                <w:szCs w:val="24"/>
              </w:rPr>
              <w:t>227 (18)</w:t>
            </w:r>
          </w:p>
        </w:tc>
        <w:tc>
          <w:tcPr>
            <w:tcW w:w="469" w:type="pct"/>
            <w:tcBorders>
              <w:top w:val="single" w:sz="4" w:space="0" w:color="auto"/>
              <w:bottom w:val="single" w:sz="4" w:space="0" w:color="auto"/>
            </w:tcBorders>
            <w:vAlign w:val="bottom"/>
          </w:tcPr>
          <w:p w14:paraId="42D3207A" w14:textId="77777777" w:rsidR="00FE1663" w:rsidRPr="00E51082" w:rsidRDefault="00FE1663" w:rsidP="00A13075">
            <w:pPr>
              <w:spacing w:line="240" w:lineRule="auto"/>
              <w:rPr>
                <w:szCs w:val="24"/>
              </w:rPr>
            </w:pPr>
            <w:r w:rsidRPr="00E51082">
              <w:rPr>
                <w:szCs w:val="24"/>
              </w:rPr>
              <w:t>218 (27)</w:t>
            </w:r>
          </w:p>
        </w:tc>
        <w:tc>
          <w:tcPr>
            <w:tcW w:w="470" w:type="pct"/>
            <w:tcBorders>
              <w:top w:val="single" w:sz="4" w:space="0" w:color="auto"/>
              <w:bottom w:val="single" w:sz="4" w:space="0" w:color="auto"/>
              <w:right w:val="single" w:sz="4" w:space="0" w:color="auto"/>
            </w:tcBorders>
            <w:vAlign w:val="bottom"/>
          </w:tcPr>
          <w:p w14:paraId="3891C468" w14:textId="77777777" w:rsidR="00FE1663" w:rsidRPr="00E51082" w:rsidRDefault="00FE1663" w:rsidP="00A13075">
            <w:pPr>
              <w:spacing w:line="240" w:lineRule="auto"/>
              <w:rPr>
                <w:szCs w:val="24"/>
              </w:rPr>
            </w:pPr>
            <w:r w:rsidRPr="00E51082">
              <w:rPr>
                <w:szCs w:val="24"/>
              </w:rPr>
              <w:t>238 (31)</w:t>
            </w:r>
          </w:p>
        </w:tc>
        <w:tc>
          <w:tcPr>
            <w:tcW w:w="892" w:type="pct"/>
            <w:tcBorders>
              <w:top w:val="single" w:sz="4" w:space="0" w:color="auto"/>
              <w:left w:val="single" w:sz="4" w:space="0" w:color="auto"/>
              <w:bottom w:val="single" w:sz="4" w:space="0" w:color="auto"/>
            </w:tcBorders>
            <w:vAlign w:val="bottom"/>
          </w:tcPr>
          <w:p w14:paraId="4B28ACB0" w14:textId="77777777" w:rsidR="00FE1663" w:rsidRPr="00E51082" w:rsidRDefault="00FE1663" w:rsidP="00A13075">
            <w:pPr>
              <w:spacing w:line="240" w:lineRule="auto"/>
              <w:rPr>
                <w:szCs w:val="24"/>
              </w:rPr>
            </w:pPr>
            <w:r w:rsidRPr="00E51082">
              <w:rPr>
                <w:szCs w:val="24"/>
              </w:rPr>
              <w:t>-72 (-137,  -8)*</w:t>
            </w:r>
          </w:p>
        </w:tc>
        <w:tc>
          <w:tcPr>
            <w:tcW w:w="796" w:type="pct"/>
            <w:tcBorders>
              <w:top w:val="single" w:sz="4" w:space="0" w:color="auto"/>
              <w:bottom w:val="single" w:sz="4" w:space="0" w:color="auto"/>
            </w:tcBorders>
            <w:vAlign w:val="bottom"/>
          </w:tcPr>
          <w:p w14:paraId="7275ACC8" w14:textId="77777777" w:rsidR="00FE1663" w:rsidRPr="00E51082" w:rsidRDefault="00FE1663" w:rsidP="00A13075">
            <w:pPr>
              <w:spacing w:line="240" w:lineRule="auto"/>
              <w:rPr>
                <w:szCs w:val="24"/>
              </w:rPr>
            </w:pPr>
            <w:r w:rsidRPr="00E51082">
              <w:rPr>
                <w:szCs w:val="24"/>
              </w:rPr>
              <w:t>-82 (-163, -1)*</w:t>
            </w:r>
          </w:p>
        </w:tc>
        <w:tc>
          <w:tcPr>
            <w:tcW w:w="713" w:type="pct"/>
            <w:tcBorders>
              <w:top w:val="single" w:sz="4" w:space="0" w:color="auto"/>
              <w:bottom w:val="single" w:sz="4" w:space="0" w:color="auto"/>
            </w:tcBorders>
            <w:vAlign w:val="bottom"/>
          </w:tcPr>
          <w:p w14:paraId="2772747C" w14:textId="77777777" w:rsidR="00FE1663" w:rsidRPr="00E51082" w:rsidRDefault="00FE1663" w:rsidP="00A13075">
            <w:pPr>
              <w:spacing w:line="240" w:lineRule="auto"/>
              <w:rPr>
                <w:szCs w:val="24"/>
              </w:rPr>
            </w:pPr>
            <w:r w:rsidRPr="00E51082">
              <w:rPr>
                <w:szCs w:val="24"/>
              </w:rPr>
              <w:t>-61 (-149, 27)</w:t>
            </w:r>
          </w:p>
        </w:tc>
      </w:tr>
    </w:tbl>
    <w:p w14:paraId="23C267E6" w14:textId="6199F85B" w:rsidR="00FE1663" w:rsidRPr="00E51082" w:rsidRDefault="00A13075" w:rsidP="00FE1663">
      <w:pPr>
        <w:rPr>
          <w:szCs w:val="24"/>
        </w:rPr>
      </w:pPr>
      <w:r w:rsidRPr="00E51082">
        <w:rPr>
          <w:szCs w:val="24"/>
        </w:rPr>
        <w:t xml:space="preserve">Note: </w:t>
      </w:r>
      <w:r w:rsidR="00FE1663" w:rsidRPr="00E51082">
        <w:rPr>
          <w:szCs w:val="24"/>
        </w:rPr>
        <w:t>Means (cluster adjusted standard errors and confidence intervals)</w:t>
      </w:r>
    </w:p>
    <w:p w14:paraId="7418A6D0" w14:textId="77777777" w:rsidR="00FE1663" w:rsidRPr="00E51082" w:rsidRDefault="00FE1663" w:rsidP="00FE1663">
      <w:pPr>
        <w:rPr>
          <w:szCs w:val="24"/>
        </w:rPr>
      </w:pPr>
      <w:r w:rsidRPr="00E51082">
        <w:rPr>
          <w:szCs w:val="24"/>
        </w:rPr>
        <w:t>*p&lt;0.05</w:t>
      </w:r>
    </w:p>
    <w:p w14:paraId="70C4659B" w14:textId="77777777" w:rsidR="00FE1663" w:rsidRPr="00E51082" w:rsidRDefault="00FE1663" w:rsidP="00FE1663">
      <w:pPr>
        <w:rPr>
          <w:b/>
          <w:szCs w:val="24"/>
        </w:rPr>
      </w:pPr>
    </w:p>
    <w:p w14:paraId="397AE8D0" w14:textId="77777777" w:rsidR="00FE1663" w:rsidRPr="00E51082" w:rsidRDefault="00FE1663" w:rsidP="00FE1663">
      <w:pPr>
        <w:spacing w:after="200" w:line="276" w:lineRule="auto"/>
        <w:rPr>
          <w:b/>
          <w:szCs w:val="24"/>
        </w:rPr>
      </w:pPr>
    </w:p>
    <w:p w14:paraId="3B4256FE" w14:textId="638B9C53" w:rsidR="00FE1663" w:rsidRPr="00E51082" w:rsidRDefault="00FE1663" w:rsidP="00FE1663">
      <w:pPr>
        <w:rPr>
          <w:szCs w:val="24"/>
        </w:rPr>
      </w:pPr>
      <w:r w:rsidRPr="00E51082">
        <w:rPr>
          <w:b/>
          <w:szCs w:val="24"/>
        </w:rPr>
        <w:br w:type="page"/>
      </w:r>
      <w:r w:rsidRPr="00E51082">
        <w:rPr>
          <w:b/>
          <w:szCs w:val="24"/>
        </w:rPr>
        <w:lastRenderedPageBreak/>
        <w:t xml:space="preserve"> </w:t>
      </w:r>
      <w:bookmarkStart w:id="4" w:name="_Ref452720092"/>
      <w:r w:rsidRPr="00E51082">
        <w:rPr>
          <w:b/>
          <w:szCs w:val="24"/>
        </w:rPr>
        <w:t xml:space="preserve">Table </w:t>
      </w:r>
      <w:r w:rsidRPr="00E51082">
        <w:rPr>
          <w:b/>
          <w:szCs w:val="24"/>
        </w:rPr>
        <w:fldChar w:fldCharType="begin"/>
      </w:r>
      <w:r w:rsidRPr="00E51082">
        <w:rPr>
          <w:b/>
          <w:szCs w:val="24"/>
        </w:rPr>
        <w:instrText xml:space="preserve"> SEQ Table \* ARABIC </w:instrText>
      </w:r>
      <w:r w:rsidRPr="00E51082">
        <w:rPr>
          <w:b/>
          <w:szCs w:val="24"/>
        </w:rPr>
        <w:fldChar w:fldCharType="separate"/>
      </w:r>
      <w:r w:rsidRPr="00E51082">
        <w:rPr>
          <w:b/>
          <w:noProof/>
          <w:szCs w:val="24"/>
        </w:rPr>
        <w:t>4</w:t>
      </w:r>
      <w:r w:rsidRPr="00E51082">
        <w:rPr>
          <w:b/>
          <w:szCs w:val="24"/>
        </w:rPr>
        <w:fldChar w:fldCharType="end"/>
      </w:r>
      <w:bookmarkEnd w:id="4"/>
      <w:r w:rsidR="00A13075">
        <w:rPr>
          <w:b/>
          <w:szCs w:val="24"/>
        </w:rPr>
        <w:t>.</w:t>
      </w:r>
      <w:r w:rsidRPr="00E51082">
        <w:rPr>
          <w:b/>
          <w:szCs w:val="24"/>
        </w:rPr>
        <w:t xml:space="preserve"> </w:t>
      </w:r>
      <w:r w:rsidRPr="00A13075">
        <w:rPr>
          <w:szCs w:val="24"/>
        </w:rPr>
        <w:t xml:space="preserve">Outcome measures </w:t>
      </w:r>
      <w:r w:rsidRPr="00A13075">
        <w:rPr>
          <w:noProof/>
          <w:szCs w:val="24"/>
        </w:rPr>
        <w:t>in the sample of cases available for cost-effectiveness analyses</w:t>
      </w:r>
    </w:p>
    <w:tbl>
      <w:tblPr>
        <w:tblW w:w="14493" w:type="dxa"/>
        <w:tblCellMar>
          <w:left w:w="57" w:type="dxa"/>
          <w:right w:w="57" w:type="dxa"/>
        </w:tblCellMar>
        <w:tblLook w:val="00A0" w:firstRow="1" w:lastRow="0" w:firstColumn="1" w:lastColumn="0" w:noHBand="0" w:noVBand="0"/>
      </w:tblPr>
      <w:tblGrid>
        <w:gridCol w:w="1384"/>
        <w:gridCol w:w="1696"/>
        <w:gridCol w:w="1635"/>
        <w:gridCol w:w="1659"/>
        <w:gridCol w:w="1645"/>
        <w:gridCol w:w="2158"/>
        <w:gridCol w:w="2158"/>
        <w:gridCol w:w="2158"/>
      </w:tblGrid>
      <w:tr w:rsidR="00E51082" w:rsidRPr="00E51082" w14:paraId="4015C5D0" w14:textId="77777777" w:rsidTr="009541FA">
        <w:tc>
          <w:tcPr>
            <w:tcW w:w="0" w:type="auto"/>
            <w:vMerge w:val="restart"/>
            <w:tcBorders>
              <w:top w:val="single" w:sz="4" w:space="0" w:color="auto"/>
              <w:bottom w:val="single" w:sz="4" w:space="0" w:color="auto"/>
            </w:tcBorders>
          </w:tcPr>
          <w:p w14:paraId="7B102988" w14:textId="77777777" w:rsidR="00FE1663" w:rsidRPr="00E51082" w:rsidRDefault="00FE1663" w:rsidP="00A13075">
            <w:pPr>
              <w:spacing w:line="240" w:lineRule="auto"/>
              <w:rPr>
                <w:szCs w:val="24"/>
              </w:rPr>
            </w:pPr>
            <w:r w:rsidRPr="00E51082">
              <w:rPr>
                <w:szCs w:val="24"/>
              </w:rPr>
              <w:t>Item</w:t>
            </w:r>
          </w:p>
        </w:tc>
        <w:tc>
          <w:tcPr>
            <w:tcW w:w="1696" w:type="dxa"/>
            <w:tcBorders>
              <w:top w:val="single" w:sz="4" w:space="0" w:color="auto"/>
            </w:tcBorders>
          </w:tcPr>
          <w:p w14:paraId="36164FC0" w14:textId="77777777" w:rsidR="00FE1663" w:rsidRPr="00E51082" w:rsidRDefault="00FE1663" w:rsidP="00A13075">
            <w:pPr>
              <w:spacing w:line="240" w:lineRule="auto"/>
              <w:rPr>
                <w:szCs w:val="24"/>
              </w:rPr>
            </w:pPr>
            <w:r w:rsidRPr="00E51082">
              <w:rPr>
                <w:szCs w:val="24"/>
              </w:rPr>
              <w:t>Control</w:t>
            </w:r>
          </w:p>
        </w:tc>
        <w:tc>
          <w:tcPr>
            <w:tcW w:w="0" w:type="auto"/>
            <w:tcBorders>
              <w:top w:val="single" w:sz="4" w:space="0" w:color="auto"/>
            </w:tcBorders>
          </w:tcPr>
          <w:p w14:paraId="10FE50A5" w14:textId="77777777" w:rsidR="00FE1663" w:rsidRPr="00E51082" w:rsidRDefault="00FE1663" w:rsidP="00A13075">
            <w:pPr>
              <w:spacing w:line="240" w:lineRule="auto"/>
              <w:rPr>
                <w:szCs w:val="24"/>
              </w:rPr>
            </w:pPr>
            <w:r w:rsidRPr="00E51082">
              <w:rPr>
                <w:szCs w:val="24"/>
              </w:rPr>
              <w:t>Intervention</w:t>
            </w:r>
          </w:p>
          <w:p w14:paraId="07687FE5" w14:textId="77777777" w:rsidR="00FE1663" w:rsidRPr="00E51082" w:rsidRDefault="00FE1663" w:rsidP="00A13075">
            <w:pPr>
              <w:spacing w:line="240" w:lineRule="auto"/>
              <w:rPr>
                <w:szCs w:val="24"/>
              </w:rPr>
            </w:pPr>
            <w:r w:rsidRPr="00E51082">
              <w:rPr>
                <w:szCs w:val="24"/>
              </w:rPr>
              <w:t>(combined)</w:t>
            </w:r>
          </w:p>
        </w:tc>
        <w:tc>
          <w:tcPr>
            <w:tcW w:w="0" w:type="auto"/>
            <w:tcBorders>
              <w:top w:val="single" w:sz="4" w:space="0" w:color="auto"/>
            </w:tcBorders>
          </w:tcPr>
          <w:p w14:paraId="4EFF1F46" w14:textId="77777777" w:rsidR="00FE1663" w:rsidRPr="00E51082" w:rsidRDefault="00FE1663" w:rsidP="00A13075">
            <w:pPr>
              <w:spacing w:line="240" w:lineRule="auto"/>
              <w:rPr>
                <w:szCs w:val="24"/>
              </w:rPr>
            </w:pPr>
            <w:r w:rsidRPr="00E51082">
              <w:rPr>
                <w:szCs w:val="24"/>
              </w:rPr>
              <w:t xml:space="preserve">Intervention (CBA) </w:t>
            </w:r>
          </w:p>
        </w:tc>
        <w:tc>
          <w:tcPr>
            <w:tcW w:w="0" w:type="auto"/>
            <w:tcBorders>
              <w:top w:val="single" w:sz="4" w:space="0" w:color="auto"/>
            </w:tcBorders>
          </w:tcPr>
          <w:p w14:paraId="2C5FAB47" w14:textId="77777777" w:rsidR="00FE1663" w:rsidRPr="00E51082" w:rsidRDefault="00FE1663" w:rsidP="00A13075">
            <w:pPr>
              <w:spacing w:line="240" w:lineRule="auto"/>
              <w:rPr>
                <w:szCs w:val="24"/>
              </w:rPr>
            </w:pPr>
            <w:r w:rsidRPr="00E51082">
              <w:rPr>
                <w:szCs w:val="24"/>
              </w:rPr>
              <w:t>Intervention (PCA)</w:t>
            </w:r>
          </w:p>
        </w:tc>
        <w:tc>
          <w:tcPr>
            <w:tcW w:w="0" w:type="auto"/>
            <w:tcBorders>
              <w:top w:val="single" w:sz="4" w:space="0" w:color="auto"/>
            </w:tcBorders>
          </w:tcPr>
          <w:p w14:paraId="6D3A9D61" w14:textId="77777777" w:rsidR="00FE1663" w:rsidRPr="00E51082" w:rsidRDefault="00FE1663" w:rsidP="00A13075">
            <w:pPr>
              <w:spacing w:line="240" w:lineRule="auto"/>
              <w:rPr>
                <w:szCs w:val="24"/>
              </w:rPr>
            </w:pPr>
            <w:r w:rsidRPr="00E51082">
              <w:rPr>
                <w:szCs w:val="24"/>
              </w:rPr>
              <w:t>Intervention (combined)</w:t>
            </w:r>
          </w:p>
          <w:p w14:paraId="7CB4833A" w14:textId="77777777" w:rsidR="00FE1663" w:rsidRPr="00E51082" w:rsidRDefault="00FE1663" w:rsidP="00A13075">
            <w:pPr>
              <w:spacing w:line="240" w:lineRule="auto"/>
              <w:rPr>
                <w:szCs w:val="24"/>
              </w:rPr>
            </w:pPr>
          </w:p>
        </w:tc>
        <w:tc>
          <w:tcPr>
            <w:tcW w:w="0" w:type="auto"/>
            <w:tcBorders>
              <w:top w:val="single" w:sz="4" w:space="0" w:color="auto"/>
            </w:tcBorders>
          </w:tcPr>
          <w:p w14:paraId="341B44FA" w14:textId="77777777" w:rsidR="00FE1663" w:rsidRPr="00E51082" w:rsidRDefault="00FE1663" w:rsidP="00A13075">
            <w:pPr>
              <w:spacing w:line="240" w:lineRule="auto"/>
              <w:rPr>
                <w:szCs w:val="24"/>
              </w:rPr>
            </w:pPr>
            <w:r w:rsidRPr="00E51082">
              <w:rPr>
                <w:szCs w:val="24"/>
              </w:rPr>
              <w:t xml:space="preserve">Intervention (CBA) </w:t>
            </w:r>
          </w:p>
          <w:p w14:paraId="1531FCDF" w14:textId="77777777" w:rsidR="00FE1663" w:rsidRPr="00E51082" w:rsidRDefault="00FE1663" w:rsidP="00A13075">
            <w:pPr>
              <w:spacing w:line="240" w:lineRule="auto"/>
              <w:rPr>
                <w:szCs w:val="24"/>
              </w:rPr>
            </w:pPr>
          </w:p>
        </w:tc>
        <w:tc>
          <w:tcPr>
            <w:tcW w:w="0" w:type="auto"/>
            <w:tcBorders>
              <w:top w:val="single" w:sz="4" w:space="0" w:color="auto"/>
            </w:tcBorders>
          </w:tcPr>
          <w:p w14:paraId="39BEA684" w14:textId="77777777" w:rsidR="00FE1663" w:rsidRPr="00E51082" w:rsidRDefault="00FE1663" w:rsidP="00A13075">
            <w:pPr>
              <w:spacing w:line="240" w:lineRule="auto"/>
              <w:rPr>
                <w:szCs w:val="24"/>
              </w:rPr>
            </w:pPr>
            <w:r w:rsidRPr="00E51082">
              <w:rPr>
                <w:szCs w:val="24"/>
              </w:rPr>
              <w:t xml:space="preserve">Intervention (PCA) </w:t>
            </w:r>
          </w:p>
          <w:p w14:paraId="6206F5EF" w14:textId="77777777" w:rsidR="00FE1663" w:rsidRPr="00E51082" w:rsidRDefault="00FE1663" w:rsidP="00A13075">
            <w:pPr>
              <w:spacing w:line="240" w:lineRule="auto"/>
              <w:rPr>
                <w:szCs w:val="24"/>
              </w:rPr>
            </w:pPr>
          </w:p>
        </w:tc>
      </w:tr>
      <w:tr w:rsidR="00E51082" w:rsidRPr="00E51082" w14:paraId="59C9FED0" w14:textId="77777777" w:rsidTr="009541FA">
        <w:tc>
          <w:tcPr>
            <w:tcW w:w="0" w:type="auto"/>
            <w:vMerge/>
            <w:tcBorders>
              <w:bottom w:val="single" w:sz="4" w:space="0" w:color="auto"/>
            </w:tcBorders>
            <w:vAlign w:val="center"/>
          </w:tcPr>
          <w:p w14:paraId="1E529D4C" w14:textId="77777777" w:rsidR="00FE1663" w:rsidRPr="00E51082" w:rsidRDefault="00FE1663" w:rsidP="00A13075">
            <w:pPr>
              <w:spacing w:line="240" w:lineRule="auto"/>
              <w:rPr>
                <w:szCs w:val="24"/>
              </w:rPr>
            </w:pPr>
          </w:p>
        </w:tc>
        <w:tc>
          <w:tcPr>
            <w:tcW w:w="1696" w:type="dxa"/>
            <w:tcBorders>
              <w:bottom w:val="single" w:sz="4" w:space="0" w:color="auto"/>
            </w:tcBorders>
          </w:tcPr>
          <w:p w14:paraId="62693331" w14:textId="77777777" w:rsidR="00FE1663" w:rsidRPr="00E51082" w:rsidRDefault="00FE1663" w:rsidP="00A13075">
            <w:pPr>
              <w:spacing w:line="240" w:lineRule="auto"/>
              <w:rPr>
                <w:szCs w:val="24"/>
              </w:rPr>
            </w:pPr>
            <w:r w:rsidRPr="00E51082">
              <w:rPr>
                <w:szCs w:val="24"/>
              </w:rPr>
              <w:t>Mean (SE) n=411</w:t>
            </w:r>
          </w:p>
        </w:tc>
        <w:tc>
          <w:tcPr>
            <w:tcW w:w="0" w:type="auto"/>
            <w:tcBorders>
              <w:bottom w:val="single" w:sz="4" w:space="0" w:color="auto"/>
            </w:tcBorders>
          </w:tcPr>
          <w:p w14:paraId="78DDBCAF" w14:textId="77777777" w:rsidR="00FE1663" w:rsidRPr="00E51082" w:rsidRDefault="00FE1663" w:rsidP="00A13075">
            <w:pPr>
              <w:spacing w:line="240" w:lineRule="auto"/>
              <w:rPr>
                <w:szCs w:val="24"/>
              </w:rPr>
            </w:pPr>
            <w:r w:rsidRPr="00E51082">
              <w:rPr>
                <w:szCs w:val="24"/>
              </w:rPr>
              <w:t>Mean (SE) n=1035</w:t>
            </w:r>
          </w:p>
        </w:tc>
        <w:tc>
          <w:tcPr>
            <w:tcW w:w="0" w:type="auto"/>
            <w:tcBorders>
              <w:bottom w:val="single" w:sz="4" w:space="0" w:color="auto"/>
            </w:tcBorders>
          </w:tcPr>
          <w:p w14:paraId="6D9C7644" w14:textId="77777777" w:rsidR="00FE1663" w:rsidRPr="00E51082" w:rsidRDefault="00FE1663" w:rsidP="00A13075">
            <w:pPr>
              <w:spacing w:line="240" w:lineRule="auto"/>
              <w:rPr>
                <w:szCs w:val="24"/>
              </w:rPr>
            </w:pPr>
            <w:r w:rsidRPr="00E51082">
              <w:rPr>
                <w:szCs w:val="24"/>
              </w:rPr>
              <w:t>Mean (SE)</w:t>
            </w:r>
          </w:p>
          <w:p w14:paraId="2671EFBD" w14:textId="77777777" w:rsidR="00FE1663" w:rsidRPr="00E51082" w:rsidRDefault="00FE1663" w:rsidP="00A13075">
            <w:pPr>
              <w:spacing w:line="240" w:lineRule="auto"/>
              <w:rPr>
                <w:szCs w:val="24"/>
              </w:rPr>
            </w:pPr>
            <w:r w:rsidRPr="00E51082">
              <w:rPr>
                <w:szCs w:val="24"/>
              </w:rPr>
              <w:t>n=548</w:t>
            </w:r>
          </w:p>
        </w:tc>
        <w:tc>
          <w:tcPr>
            <w:tcW w:w="0" w:type="auto"/>
            <w:tcBorders>
              <w:bottom w:val="single" w:sz="4" w:space="0" w:color="auto"/>
            </w:tcBorders>
          </w:tcPr>
          <w:p w14:paraId="7C06E1D3" w14:textId="77777777" w:rsidR="00FE1663" w:rsidRPr="00E51082" w:rsidRDefault="00FE1663" w:rsidP="00A13075">
            <w:pPr>
              <w:spacing w:line="240" w:lineRule="auto"/>
              <w:rPr>
                <w:szCs w:val="24"/>
              </w:rPr>
            </w:pPr>
            <w:r w:rsidRPr="00E51082">
              <w:rPr>
                <w:szCs w:val="24"/>
              </w:rPr>
              <w:t>Mean (SE)</w:t>
            </w:r>
          </w:p>
          <w:p w14:paraId="2F125663" w14:textId="77777777" w:rsidR="00FE1663" w:rsidRPr="00E51082" w:rsidRDefault="00FE1663" w:rsidP="00A13075">
            <w:pPr>
              <w:spacing w:line="240" w:lineRule="auto"/>
              <w:rPr>
                <w:szCs w:val="24"/>
              </w:rPr>
            </w:pPr>
            <w:r w:rsidRPr="00E51082">
              <w:rPr>
                <w:szCs w:val="24"/>
              </w:rPr>
              <w:t>n=487</w:t>
            </w:r>
          </w:p>
        </w:tc>
        <w:tc>
          <w:tcPr>
            <w:tcW w:w="0" w:type="auto"/>
            <w:tcBorders>
              <w:bottom w:val="single" w:sz="4" w:space="0" w:color="auto"/>
            </w:tcBorders>
          </w:tcPr>
          <w:p w14:paraId="6D88DBD2" w14:textId="77777777" w:rsidR="00FE1663" w:rsidRPr="00E51082" w:rsidRDefault="00FE1663" w:rsidP="00A13075">
            <w:pPr>
              <w:spacing w:line="240" w:lineRule="auto"/>
              <w:rPr>
                <w:szCs w:val="24"/>
              </w:rPr>
            </w:pPr>
            <w:r w:rsidRPr="00E51082">
              <w:rPr>
                <w:szCs w:val="24"/>
              </w:rPr>
              <w:t>Mean difference from control</w:t>
            </w:r>
          </w:p>
          <w:p w14:paraId="3665E88C" w14:textId="77777777" w:rsidR="00FE1663" w:rsidRPr="00E51082" w:rsidRDefault="00FE1663" w:rsidP="00A13075">
            <w:pPr>
              <w:spacing w:line="240" w:lineRule="auto"/>
              <w:rPr>
                <w:szCs w:val="24"/>
              </w:rPr>
            </w:pPr>
            <w:r w:rsidRPr="00E51082">
              <w:rPr>
                <w:szCs w:val="24"/>
              </w:rPr>
              <w:t>(95% confidence interval)</w:t>
            </w:r>
          </w:p>
        </w:tc>
        <w:tc>
          <w:tcPr>
            <w:tcW w:w="0" w:type="auto"/>
            <w:tcBorders>
              <w:bottom w:val="single" w:sz="4" w:space="0" w:color="auto"/>
            </w:tcBorders>
          </w:tcPr>
          <w:p w14:paraId="7E971401" w14:textId="77777777" w:rsidR="00FE1663" w:rsidRPr="00E51082" w:rsidRDefault="00FE1663" w:rsidP="00A13075">
            <w:pPr>
              <w:spacing w:line="240" w:lineRule="auto"/>
              <w:rPr>
                <w:szCs w:val="24"/>
              </w:rPr>
            </w:pPr>
            <w:r w:rsidRPr="00E51082">
              <w:rPr>
                <w:szCs w:val="24"/>
              </w:rPr>
              <w:t>Mean difference from control</w:t>
            </w:r>
          </w:p>
          <w:p w14:paraId="04E75FB4" w14:textId="77777777" w:rsidR="00FE1663" w:rsidRPr="00E51082" w:rsidRDefault="00FE1663" w:rsidP="00A13075">
            <w:pPr>
              <w:spacing w:line="240" w:lineRule="auto"/>
              <w:rPr>
                <w:szCs w:val="24"/>
              </w:rPr>
            </w:pPr>
            <w:r w:rsidRPr="00E51082">
              <w:rPr>
                <w:szCs w:val="24"/>
              </w:rPr>
              <w:t>(95% confidence interval)</w:t>
            </w:r>
          </w:p>
        </w:tc>
        <w:tc>
          <w:tcPr>
            <w:tcW w:w="0" w:type="auto"/>
            <w:tcBorders>
              <w:bottom w:val="single" w:sz="4" w:space="0" w:color="auto"/>
            </w:tcBorders>
          </w:tcPr>
          <w:p w14:paraId="3B4F4140" w14:textId="77777777" w:rsidR="00FE1663" w:rsidRPr="00E51082" w:rsidRDefault="00FE1663" w:rsidP="00A13075">
            <w:pPr>
              <w:spacing w:line="240" w:lineRule="auto"/>
              <w:rPr>
                <w:szCs w:val="24"/>
              </w:rPr>
            </w:pPr>
            <w:r w:rsidRPr="00E51082">
              <w:rPr>
                <w:szCs w:val="24"/>
              </w:rPr>
              <w:t>Mean difference from control</w:t>
            </w:r>
          </w:p>
          <w:p w14:paraId="6A870B50" w14:textId="77777777" w:rsidR="00FE1663" w:rsidRPr="00E51082" w:rsidRDefault="00FE1663" w:rsidP="00A13075">
            <w:pPr>
              <w:spacing w:line="240" w:lineRule="auto"/>
              <w:rPr>
                <w:szCs w:val="24"/>
              </w:rPr>
            </w:pPr>
            <w:r w:rsidRPr="00E51082">
              <w:rPr>
                <w:szCs w:val="24"/>
              </w:rPr>
              <w:t>(95% confidence interval)</w:t>
            </w:r>
          </w:p>
        </w:tc>
      </w:tr>
      <w:tr w:rsidR="00E51082" w:rsidRPr="00E51082" w14:paraId="33E09EA4" w14:textId="77777777" w:rsidTr="009541FA">
        <w:tc>
          <w:tcPr>
            <w:tcW w:w="0" w:type="auto"/>
            <w:tcBorders>
              <w:top w:val="single" w:sz="4" w:space="0" w:color="auto"/>
              <w:bottom w:val="single" w:sz="4" w:space="0" w:color="auto"/>
            </w:tcBorders>
          </w:tcPr>
          <w:p w14:paraId="354149FB" w14:textId="77777777" w:rsidR="00FE1663" w:rsidRPr="00E51082" w:rsidRDefault="00FE1663" w:rsidP="00A13075">
            <w:pPr>
              <w:spacing w:line="240" w:lineRule="auto"/>
              <w:rPr>
                <w:szCs w:val="24"/>
              </w:rPr>
            </w:pPr>
            <w:r w:rsidRPr="00E51082">
              <w:rPr>
                <w:szCs w:val="24"/>
              </w:rPr>
              <w:t>6 week utility</w:t>
            </w:r>
          </w:p>
        </w:tc>
        <w:tc>
          <w:tcPr>
            <w:tcW w:w="1696" w:type="dxa"/>
            <w:tcBorders>
              <w:top w:val="single" w:sz="4" w:space="0" w:color="auto"/>
              <w:bottom w:val="single" w:sz="4" w:space="0" w:color="auto"/>
            </w:tcBorders>
          </w:tcPr>
          <w:p w14:paraId="24BFE28D" w14:textId="08FF333B"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679 </w:t>
            </w:r>
          </w:p>
          <w:p w14:paraId="7062EFD2" w14:textId="2AB5C71F"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004)</w:t>
            </w:r>
          </w:p>
        </w:tc>
        <w:tc>
          <w:tcPr>
            <w:tcW w:w="0" w:type="auto"/>
            <w:tcBorders>
              <w:top w:val="single" w:sz="4" w:space="0" w:color="auto"/>
              <w:bottom w:val="single" w:sz="4" w:space="0" w:color="auto"/>
            </w:tcBorders>
          </w:tcPr>
          <w:p w14:paraId="1E9738C3" w14:textId="3A18F099"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685 </w:t>
            </w:r>
          </w:p>
          <w:p w14:paraId="2A6952DA" w14:textId="5DD5171F"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003)</w:t>
            </w:r>
          </w:p>
        </w:tc>
        <w:tc>
          <w:tcPr>
            <w:tcW w:w="0" w:type="auto"/>
            <w:tcBorders>
              <w:top w:val="single" w:sz="4" w:space="0" w:color="auto"/>
              <w:bottom w:val="single" w:sz="4" w:space="0" w:color="auto"/>
            </w:tcBorders>
          </w:tcPr>
          <w:p w14:paraId="259C5003" w14:textId="30A40837"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685 </w:t>
            </w:r>
          </w:p>
          <w:p w14:paraId="78B63C42" w14:textId="518DFF87"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004)</w:t>
            </w:r>
          </w:p>
        </w:tc>
        <w:tc>
          <w:tcPr>
            <w:tcW w:w="0" w:type="auto"/>
            <w:tcBorders>
              <w:top w:val="single" w:sz="4" w:space="0" w:color="auto"/>
              <w:bottom w:val="single" w:sz="4" w:space="0" w:color="auto"/>
            </w:tcBorders>
          </w:tcPr>
          <w:p w14:paraId="0232A086" w14:textId="7DDCCB6B"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685 </w:t>
            </w:r>
          </w:p>
          <w:p w14:paraId="6B44E18F" w14:textId="0A71D201"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004)</w:t>
            </w:r>
          </w:p>
        </w:tc>
        <w:tc>
          <w:tcPr>
            <w:tcW w:w="0" w:type="auto"/>
            <w:tcBorders>
              <w:top w:val="single" w:sz="4" w:space="0" w:color="auto"/>
              <w:bottom w:val="single" w:sz="4" w:space="0" w:color="auto"/>
            </w:tcBorders>
          </w:tcPr>
          <w:p w14:paraId="4C8E2396" w14:textId="40FCDAB3"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006 </w:t>
            </w:r>
          </w:p>
          <w:p w14:paraId="03F80CFC" w14:textId="63E14FA6"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004, 0</w:t>
            </w:r>
            <w:r w:rsidR="001323B8" w:rsidRPr="00E51082">
              <w:rPr>
                <w:szCs w:val="24"/>
              </w:rPr>
              <w:t>.</w:t>
            </w:r>
            <w:r w:rsidRPr="00E51082">
              <w:rPr>
                <w:szCs w:val="24"/>
              </w:rPr>
              <w:t>016)</w:t>
            </w:r>
          </w:p>
        </w:tc>
        <w:tc>
          <w:tcPr>
            <w:tcW w:w="0" w:type="auto"/>
            <w:tcBorders>
              <w:top w:val="single" w:sz="4" w:space="0" w:color="auto"/>
              <w:bottom w:val="single" w:sz="4" w:space="0" w:color="auto"/>
            </w:tcBorders>
            <w:vAlign w:val="bottom"/>
          </w:tcPr>
          <w:p w14:paraId="5E16CAB4" w14:textId="485D366E"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006 </w:t>
            </w:r>
          </w:p>
          <w:p w14:paraId="2B6B4D35" w14:textId="44313456"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005, 0</w:t>
            </w:r>
            <w:r w:rsidR="001323B8" w:rsidRPr="00E51082">
              <w:rPr>
                <w:szCs w:val="24"/>
              </w:rPr>
              <w:t>.</w:t>
            </w:r>
            <w:r w:rsidRPr="00E51082">
              <w:rPr>
                <w:szCs w:val="24"/>
              </w:rPr>
              <w:t>017)</w:t>
            </w:r>
          </w:p>
        </w:tc>
        <w:tc>
          <w:tcPr>
            <w:tcW w:w="0" w:type="auto"/>
            <w:tcBorders>
              <w:top w:val="single" w:sz="4" w:space="0" w:color="auto"/>
              <w:bottom w:val="single" w:sz="4" w:space="0" w:color="auto"/>
            </w:tcBorders>
          </w:tcPr>
          <w:p w14:paraId="4E7DC0B8" w14:textId="70550A99"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006 </w:t>
            </w:r>
          </w:p>
          <w:p w14:paraId="49574436" w14:textId="11551B6F" w:rsidR="00FE1663" w:rsidRPr="00E51082" w:rsidRDefault="00FE1663" w:rsidP="00A13075">
            <w:pPr>
              <w:spacing w:line="240" w:lineRule="auto"/>
              <w:rPr>
                <w:szCs w:val="24"/>
              </w:rPr>
            </w:pPr>
            <w:r w:rsidRPr="00E51082">
              <w:rPr>
                <w:szCs w:val="24"/>
              </w:rPr>
              <w:t>( -0</w:t>
            </w:r>
            <w:r w:rsidR="001323B8" w:rsidRPr="00E51082">
              <w:rPr>
                <w:szCs w:val="24"/>
              </w:rPr>
              <w:t>.</w:t>
            </w:r>
            <w:r w:rsidRPr="00E51082">
              <w:rPr>
                <w:szCs w:val="24"/>
              </w:rPr>
              <w:t>005, 0</w:t>
            </w:r>
            <w:r w:rsidR="001323B8" w:rsidRPr="00E51082">
              <w:rPr>
                <w:szCs w:val="24"/>
              </w:rPr>
              <w:t>.</w:t>
            </w:r>
            <w:r w:rsidRPr="00E51082">
              <w:rPr>
                <w:szCs w:val="24"/>
              </w:rPr>
              <w:t>018)</w:t>
            </w:r>
          </w:p>
        </w:tc>
      </w:tr>
      <w:tr w:rsidR="00E51082" w:rsidRPr="00E51082" w14:paraId="4BD0EE06" w14:textId="77777777" w:rsidTr="009541FA">
        <w:tc>
          <w:tcPr>
            <w:tcW w:w="0" w:type="auto"/>
            <w:tcBorders>
              <w:top w:val="single" w:sz="4" w:space="0" w:color="auto"/>
              <w:bottom w:val="single" w:sz="4" w:space="0" w:color="auto"/>
            </w:tcBorders>
          </w:tcPr>
          <w:p w14:paraId="4B32B6F2" w14:textId="77777777" w:rsidR="00FE1663" w:rsidRPr="00E51082" w:rsidRDefault="00FE1663" w:rsidP="00A13075">
            <w:pPr>
              <w:spacing w:line="240" w:lineRule="auto"/>
              <w:rPr>
                <w:szCs w:val="24"/>
              </w:rPr>
            </w:pPr>
            <w:r w:rsidRPr="00E51082">
              <w:rPr>
                <w:szCs w:val="24"/>
              </w:rPr>
              <w:t>6 month utility</w:t>
            </w:r>
          </w:p>
        </w:tc>
        <w:tc>
          <w:tcPr>
            <w:tcW w:w="1696" w:type="dxa"/>
            <w:tcBorders>
              <w:top w:val="single" w:sz="4" w:space="0" w:color="auto"/>
              <w:bottom w:val="single" w:sz="4" w:space="0" w:color="auto"/>
            </w:tcBorders>
          </w:tcPr>
          <w:p w14:paraId="73A132AF" w14:textId="644F885C"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831 </w:t>
            </w:r>
          </w:p>
          <w:p w14:paraId="0A225C70" w14:textId="5C8A5B96"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007)</w:t>
            </w:r>
          </w:p>
        </w:tc>
        <w:tc>
          <w:tcPr>
            <w:tcW w:w="0" w:type="auto"/>
            <w:tcBorders>
              <w:top w:val="single" w:sz="4" w:space="0" w:color="auto"/>
              <w:bottom w:val="single" w:sz="4" w:space="0" w:color="auto"/>
            </w:tcBorders>
          </w:tcPr>
          <w:p w14:paraId="6340E7B6" w14:textId="678DED2E"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846 </w:t>
            </w:r>
          </w:p>
          <w:p w14:paraId="4C0625B5" w14:textId="4ACA184C"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004)</w:t>
            </w:r>
          </w:p>
        </w:tc>
        <w:tc>
          <w:tcPr>
            <w:tcW w:w="0" w:type="auto"/>
            <w:tcBorders>
              <w:top w:val="single" w:sz="4" w:space="0" w:color="auto"/>
              <w:bottom w:val="single" w:sz="4" w:space="0" w:color="auto"/>
            </w:tcBorders>
          </w:tcPr>
          <w:p w14:paraId="22E15C82" w14:textId="60A6EB37"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846 </w:t>
            </w:r>
          </w:p>
          <w:p w14:paraId="3AA6B334" w14:textId="088AB3EB"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007)</w:t>
            </w:r>
          </w:p>
        </w:tc>
        <w:tc>
          <w:tcPr>
            <w:tcW w:w="0" w:type="auto"/>
            <w:tcBorders>
              <w:top w:val="single" w:sz="4" w:space="0" w:color="auto"/>
              <w:bottom w:val="single" w:sz="4" w:space="0" w:color="auto"/>
            </w:tcBorders>
          </w:tcPr>
          <w:p w14:paraId="2835B2C6" w14:textId="42530D00"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846</w:t>
            </w:r>
          </w:p>
          <w:p w14:paraId="2F182A73" w14:textId="6F91001E"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006)</w:t>
            </w:r>
          </w:p>
        </w:tc>
        <w:tc>
          <w:tcPr>
            <w:tcW w:w="0" w:type="auto"/>
            <w:tcBorders>
              <w:top w:val="single" w:sz="4" w:space="0" w:color="auto"/>
              <w:bottom w:val="single" w:sz="4" w:space="0" w:color="auto"/>
            </w:tcBorders>
          </w:tcPr>
          <w:p w14:paraId="4D21536B" w14:textId="2D2AB0B2"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015 </w:t>
            </w:r>
          </w:p>
          <w:p w14:paraId="128A2151" w14:textId="49DA15B9" w:rsidR="00FE1663" w:rsidRPr="00E51082" w:rsidRDefault="00FE1663" w:rsidP="00A13075">
            <w:pPr>
              <w:spacing w:line="240" w:lineRule="auto"/>
              <w:rPr>
                <w:szCs w:val="24"/>
              </w:rPr>
            </w:pPr>
            <w:r w:rsidRPr="00E51082">
              <w:rPr>
                <w:szCs w:val="24"/>
              </w:rPr>
              <w:t>( -0</w:t>
            </w:r>
            <w:r w:rsidR="001323B8" w:rsidRPr="00E51082">
              <w:rPr>
                <w:szCs w:val="24"/>
              </w:rPr>
              <w:t>.</w:t>
            </w:r>
            <w:r w:rsidRPr="00E51082">
              <w:rPr>
                <w:szCs w:val="24"/>
              </w:rPr>
              <w:t>002, 0</w:t>
            </w:r>
            <w:r w:rsidR="001323B8" w:rsidRPr="00E51082">
              <w:rPr>
                <w:szCs w:val="24"/>
              </w:rPr>
              <w:t>.</w:t>
            </w:r>
            <w:r w:rsidRPr="00E51082">
              <w:rPr>
                <w:szCs w:val="24"/>
              </w:rPr>
              <w:t>031)</w:t>
            </w:r>
          </w:p>
        </w:tc>
        <w:tc>
          <w:tcPr>
            <w:tcW w:w="0" w:type="auto"/>
            <w:tcBorders>
              <w:top w:val="single" w:sz="4" w:space="0" w:color="auto"/>
              <w:bottom w:val="single" w:sz="4" w:space="0" w:color="auto"/>
            </w:tcBorders>
            <w:vAlign w:val="bottom"/>
          </w:tcPr>
          <w:p w14:paraId="582CD40D" w14:textId="2839B7F2"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015 </w:t>
            </w:r>
          </w:p>
          <w:p w14:paraId="4ACFD655" w14:textId="2B9556E5"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006, 0</w:t>
            </w:r>
            <w:r w:rsidR="001323B8" w:rsidRPr="00E51082">
              <w:rPr>
                <w:szCs w:val="24"/>
              </w:rPr>
              <w:t>.</w:t>
            </w:r>
            <w:r w:rsidRPr="00E51082">
              <w:rPr>
                <w:szCs w:val="24"/>
              </w:rPr>
              <w:t>036)</w:t>
            </w:r>
          </w:p>
        </w:tc>
        <w:tc>
          <w:tcPr>
            <w:tcW w:w="0" w:type="auto"/>
            <w:tcBorders>
              <w:top w:val="single" w:sz="4" w:space="0" w:color="auto"/>
              <w:bottom w:val="single" w:sz="4" w:space="0" w:color="auto"/>
            </w:tcBorders>
          </w:tcPr>
          <w:p w14:paraId="225E4C07" w14:textId="19942028"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015 </w:t>
            </w:r>
          </w:p>
          <w:p w14:paraId="16977785" w14:textId="5FF3C6E4" w:rsidR="00FE1663" w:rsidRPr="00E51082" w:rsidRDefault="00FE1663" w:rsidP="00A13075">
            <w:pPr>
              <w:spacing w:line="240" w:lineRule="auto"/>
              <w:rPr>
                <w:szCs w:val="24"/>
              </w:rPr>
            </w:pPr>
            <w:r w:rsidRPr="00E51082">
              <w:rPr>
                <w:szCs w:val="24"/>
              </w:rPr>
              <w:t>( -0</w:t>
            </w:r>
            <w:r w:rsidR="001323B8" w:rsidRPr="00E51082">
              <w:rPr>
                <w:szCs w:val="24"/>
              </w:rPr>
              <w:t>.</w:t>
            </w:r>
            <w:r w:rsidRPr="00E51082">
              <w:rPr>
                <w:szCs w:val="24"/>
              </w:rPr>
              <w:t>003,</w:t>
            </w:r>
            <w:r w:rsidR="000A0F37" w:rsidRPr="00E51082">
              <w:rPr>
                <w:szCs w:val="24"/>
              </w:rPr>
              <w:t xml:space="preserve"> </w:t>
            </w:r>
            <w:r w:rsidRPr="00E51082">
              <w:rPr>
                <w:szCs w:val="24"/>
              </w:rPr>
              <w:t>0</w:t>
            </w:r>
            <w:r w:rsidR="001323B8" w:rsidRPr="00E51082">
              <w:rPr>
                <w:szCs w:val="24"/>
              </w:rPr>
              <w:t>.</w:t>
            </w:r>
            <w:r w:rsidRPr="00E51082">
              <w:rPr>
                <w:szCs w:val="24"/>
              </w:rPr>
              <w:t>032)</w:t>
            </w:r>
          </w:p>
        </w:tc>
      </w:tr>
      <w:tr w:rsidR="00E51082" w:rsidRPr="00E51082" w14:paraId="167E5C42" w14:textId="77777777" w:rsidTr="009541FA">
        <w:tc>
          <w:tcPr>
            <w:tcW w:w="0" w:type="auto"/>
            <w:tcBorders>
              <w:top w:val="single" w:sz="4" w:space="0" w:color="auto"/>
              <w:bottom w:val="single" w:sz="4" w:space="0" w:color="auto"/>
            </w:tcBorders>
          </w:tcPr>
          <w:p w14:paraId="29484BAD" w14:textId="77777777" w:rsidR="00FE1663" w:rsidRPr="00E51082" w:rsidRDefault="00FE1663" w:rsidP="00A13075">
            <w:pPr>
              <w:spacing w:line="240" w:lineRule="auto"/>
              <w:rPr>
                <w:szCs w:val="24"/>
              </w:rPr>
            </w:pPr>
            <w:r w:rsidRPr="00E51082">
              <w:rPr>
                <w:szCs w:val="24"/>
              </w:rPr>
              <w:t>QALY</w:t>
            </w:r>
          </w:p>
        </w:tc>
        <w:tc>
          <w:tcPr>
            <w:tcW w:w="1696" w:type="dxa"/>
            <w:tcBorders>
              <w:top w:val="single" w:sz="4" w:space="0" w:color="auto"/>
              <w:bottom w:val="single" w:sz="4" w:space="0" w:color="auto"/>
            </w:tcBorders>
            <w:vAlign w:val="bottom"/>
          </w:tcPr>
          <w:p w14:paraId="558BEA1D" w14:textId="02BA3584"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290 </w:t>
            </w:r>
          </w:p>
          <w:p w14:paraId="73A13233" w14:textId="719A4CF5"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002)</w:t>
            </w:r>
          </w:p>
        </w:tc>
        <w:tc>
          <w:tcPr>
            <w:tcW w:w="0" w:type="auto"/>
            <w:tcBorders>
              <w:top w:val="single" w:sz="4" w:space="0" w:color="auto"/>
              <w:bottom w:val="single" w:sz="4" w:space="0" w:color="auto"/>
            </w:tcBorders>
            <w:vAlign w:val="bottom"/>
          </w:tcPr>
          <w:p w14:paraId="0A0FBC4D" w14:textId="2DE90611"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294 </w:t>
            </w:r>
          </w:p>
          <w:p w14:paraId="18B78D7F" w14:textId="484CCDB4"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001)</w:t>
            </w:r>
          </w:p>
        </w:tc>
        <w:tc>
          <w:tcPr>
            <w:tcW w:w="0" w:type="auto"/>
            <w:tcBorders>
              <w:top w:val="single" w:sz="4" w:space="0" w:color="auto"/>
              <w:bottom w:val="single" w:sz="4" w:space="0" w:color="auto"/>
            </w:tcBorders>
          </w:tcPr>
          <w:p w14:paraId="54BC0B77" w14:textId="4B68B1E9"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294 </w:t>
            </w:r>
          </w:p>
          <w:p w14:paraId="4D10B543" w14:textId="1F46CCAE"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002)</w:t>
            </w:r>
          </w:p>
        </w:tc>
        <w:tc>
          <w:tcPr>
            <w:tcW w:w="0" w:type="auto"/>
            <w:tcBorders>
              <w:top w:val="single" w:sz="4" w:space="0" w:color="auto"/>
              <w:bottom w:val="single" w:sz="4" w:space="0" w:color="auto"/>
            </w:tcBorders>
          </w:tcPr>
          <w:p w14:paraId="1506ADCC" w14:textId="44F7FBE3"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294 </w:t>
            </w:r>
          </w:p>
          <w:p w14:paraId="3C463883" w14:textId="721BA3BA"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002)</w:t>
            </w:r>
          </w:p>
        </w:tc>
        <w:tc>
          <w:tcPr>
            <w:tcW w:w="0" w:type="auto"/>
            <w:tcBorders>
              <w:top w:val="single" w:sz="4" w:space="0" w:color="auto"/>
              <w:bottom w:val="single" w:sz="4" w:space="0" w:color="auto"/>
            </w:tcBorders>
          </w:tcPr>
          <w:p w14:paraId="6CF2C56A" w14:textId="242D9271"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004 </w:t>
            </w:r>
          </w:p>
          <w:p w14:paraId="388C6CD1" w14:textId="6D924A24"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000,</w:t>
            </w:r>
            <w:r w:rsidR="000A0F37" w:rsidRPr="00E51082">
              <w:rPr>
                <w:szCs w:val="24"/>
              </w:rPr>
              <w:t xml:space="preserve"> </w:t>
            </w:r>
            <w:r w:rsidRPr="00E51082">
              <w:rPr>
                <w:szCs w:val="24"/>
              </w:rPr>
              <w:t>0</w:t>
            </w:r>
            <w:r w:rsidR="001323B8" w:rsidRPr="00E51082">
              <w:rPr>
                <w:szCs w:val="24"/>
              </w:rPr>
              <w:t>.</w:t>
            </w:r>
            <w:r w:rsidRPr="00E51082">
              <w:rPr>
                <w:szCs w:val="24"/>
              </w:rPr>
              <w:t>008)*</w:t>
            </w:r>
          </w:p>
        </w:tc>
        <w:tc>
          <w:tcPr>
            <w:tcW w:w="0" w:type="auto"/>
            <w:tcBorders>
              <w:top w:val="single" w:sz="4" w:space="0" w:color="auto"/>
              <w:bottom w:val="single" w:sz="4" w:space="0" w:color="auto"/>
            </w:tcBorders>
            <w:vAlign w:val="bottom"/>
          </w:tcPr>
          <w:p w14:paraId="7E376AC2" w14:textId="6A90037C"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004 </w:t>
            </w:r>
          </w:p>
          <w:p w14:paraId="2F0796B4" w14:textId="40288FE0"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001,</w:t>
            </w:r>
            <w:r w:rsidR="000A0F37" w:rsidRPr="00E51082">
              <w:rPr>
                <w:szCs w:val="24"/>
              </w:rPr>
              <w:t xml:space="preserve"> </w:t>
            </w:r>
            <w:r w:rsidRPr="00E51082">
              <w:rPr>
                <w:szCs w:val="24"/>
              </w:rPr>
              <w:t>0</w:t>
            </w:r>
            <w:r w:rsidR="001323B8" w:rsidRPr="00E51082">
              <w:rPr>
                <w:szCs w:val="24"/>
              </w:rPr>
              <w:t>.</w:t>
            </w:r>
            <w:r w:rsidRPr="00E51082">
              <w:rPr>
                <w:szCs w:val="24"/>
              </w:rPr>
              <w:t>009)</w:t>
            </w:r>
          </w:p>
        </w:tc>
        <w:tc>
          <w:tcPr>
            <w:tcW w:w="0" w:type="auto"/>
            <w:tcBorders>
              <w:top w:val="single" w:sz="4" w:space="0" w:color="auto"/>
              <w:bottom w:val="single" w:sz="4" w:space="0" w:color="auto"/>
            </w:tcBorders>
          </w:tcPr>
          <w:p w14:paraId="512D458A" w14:textId="5DF4FB8B"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004 </w:t>
            </w:r>
          </w:p>
          <w:p w14:paraId="50D1AA48" w14:textId="1DDB4E8A"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001,</w:t>
            </w:r>
            <w:r w:rsidR="000A0F37" w:rsidRPr="00E51082">
              <w:rPr>
                <w:szCs w:val="24"/>
              </w:rPr>
              <w:t xml:space="preserve"> </w:t>
            </w:r>
            <w:r w:rsidRPr="00E51082">
              <w:rPr>
                <w:szCs w:val="24"/>
              </w:rPr>
              <w:t>0</w:t>
            </w:r>
            <w:r w:rsidR="001323B8" w:rsidRPr="00E51082">
              <w:rPr>
                <w:szCs w:val="24"/>
              </w:rPr>
              <w:t>.</w:t>
            </w:r>
            <w:r w:rsidRPr="00E51082">
              <w:rPr>
                <w:szCs w:val="24"/>
              </w:rPr>
              <w:t>009)</w:t>
            </w:r>
          </w:p>
        </w:tc>
      </w:tr>
      <w:tr w:rsidR="00E51082" w:rsidRPr="00E51082" w14:paraId="0352E0B7" w14:textId="77777777" w:rsidTr="009541FA">
        <w:tc>
          <w:tcPr>
            <w:tcW w:w="0" w:type="auto"/>
            <w:tcBorders>
              <w:top w:val="single" w:sz="4" w:space="0" w:color="auto"/>
              <w:bottom w:val="single" w:sz="4" w:space="0" w:color="auto"/>
            </w:tcBorders>
          </w:tcPr>
          <w:p w14:paraId="08A60A20" w14:textId="77777777" w:rsidR="00FE1663" w:rsidRPr="00E51082" w:rsidRDefault="00FE1663" w:rsidP="00A13075">
            <w:pPr>
              <w:spacing w:line="240" w:lineRule="auto"/>
              <w:rPr>
                <w:szCs w:val="24"/>
              </w:rPr>
            </w:pPr>
            <w:r w:rsidRPr="00E51082">
              <w:rPr>
                <w:szCs w:val="24"/>
              </w:rPr>
              <w:t xml:space="preserve">Low-risk status at </w:t>
            </w:r>
          </w:p>
          <w:p w14:paraId="64DF1F4D" w14:textId="77777777" w:rsidR="00FE1663" w:rsidRPr="00E51082" w:rsidRDefault="00FE1663" w:rsidP="00A13075">
            <w:pPr>
              <w:spacing w:line="240" w:lineRule="auto"/>
              <w:rPr>
                <w:szCs w:val="24"/>
              </w:rPr>
            </w:pPr>
            <w:r w:rsidRPr="00E51082">
              <w:rPr>
                <w:szCs w:val="24"/>
              </w:rPr>
              <w:t>6 months</w:t>
            </w:r>
            <w:r w:rsidRPr="00E51082">
              <w:rPr>
                <w:bCs/>
                <w:szCs w:val="24"/>
                <w:vertAlign w:val="superscript"/>
              </w:rPr>
              <w:t>a</w:t>
            </w:r>
            <w:r w:rsidRPr="00E51082">
              <w:rPr>
                <w:szCs w:val="24"/>
              </w:rPr>
              <w:t xml:space="preserve"> </w:t>
            </w:r>
          </w:p>
        </w:tc>
        <w:tc>
          <w:tcPr>
            <w:tcW w:w="1696" w:type="dxa"/>
            <w:tcBorders>
              <w:top w:val="single" w:sz="4" w:space="0" w:color="auto"/>
              <w:bottom w:val="single" w:sz="4" w:space="0" w:color="auto"/>
            </w:tcBorders>
          </w:tcPr>
          <w:p w14:paraId="5EC0B738" w14:textId="7AF4395A" w:rsidR="00FE1663" w:rsidRPr="00E51082" w:rsidRDefault="00FE1663" w:rsidP="00A13075">
            <w:pPr>
              <w:spacing w:line="240" w:lineRule="auto"/>
              <w:rPr>
                <w:szCs w:val="24"/>
              </w:rPr>
            </w:pPr>
            <w:r w:rsidRPr="00E51082">
              <w:rPr>
                <w:szCs w:val="24"/>
              </w:rPr>
              <w:t>89</w:t>
            </w:r>
            <w:r w:rsidR="001323B8" w:rsidRPr="00E51082">
              <w:rPr>
                <w:szCs w:val="24"/>
              </w:rPr>
              <w:t>.</w:t>
            </w:r>
            <w:r w:rsidRPr="00E51082">
              <w:rPr>
                <w:szCs w:val="24"/>
              </w:rPr>
              <w:t>1%</w:t>
            </w:r>
          </w:p>
          <w:p w14:paraId="2241CEEA" w14:textId="3FECAEC6"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4%)</w:t>
            </w:r>
          </w:p>
        </w:tc>
        <w:tc>
          <w:tcPr>
            <w:tcW w:w="0" w:type="auto"/>
            <w:tcBorders>
              <w:top w:val="single" w:sz="4" w:space="0" w:color="auto"/>
              <w:bottom w:val="single" w:sz="4" w:space="0" w:color="auto"/>
            </w:tcBorders>
          </w:tcPr>
          <w:p w14:paraId="51ABAC3E" w14:textId="07FBADDF" w:rsidR="00FE1663" w:rsidRPr="00E51082" w:rsidRDefault="00FE1663" w:rsidP="00A13075">
            <w:pPr>
              <w:spacing w:line="240" w:lineRule="auto"/>
              <w:rPr>
                <w:szCs w:val="24"/>
              </w:rPr>
            </w:pPr>
            <w:r w:rsidRPr="00E51082">
              <w:rPr>
                <w:szCs w:val="24"/>
              </w:rPr>
              <w:t>91</w:t>
            </w:r>
            <w:r w:rsidR="001323B8" w:rsidRPr="00E51082">
              <w:rPr>
                <w:szCs w:val="24"/>
              </w:rPr>
              <w:t>.</w:t>
            </w:r>
            <w:r w:rsidRPr="00E51082">
              <w:rPr>
                <w:szCs w:val="24"/>
              </w:rPr>
              <w:t xml:space="preserve">9% </w:t>
            </w:r>
          </w:p>
          <w:p w14:paraId="41FB9A12" w14:textId="7B8B325A"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9%)</w:t>
            </w:r>
          </w:p>
        </w:tc>
        <w:tc>
          <w:tcPr>
            <w:tcW w:w="0" w:type="auto"/>
            <w:tcBorders>
              <w:top w:val="single" w:sz="4" w:space="0" w:color="auto"/>
              <w:bottom w:val="single" w:sz="4" w:space="0" w:color="auto"/>
            </w:tcBorders>
          </w:tcPr>
          <w:p w14:paraId="6C526C51" w14:textId="74145B2E" w:rsidR="00FE1663" w:rsidRPr="00E51082" w:rsidRDefault="00FE1663" w:rsidP="00A13075">
            <w:pPr>
              <w:spacing w:line="240" w:lineRule="auto"/>
              <w:rPr>
                <w:szCs w:val="24"/>
              </w:rPr>
            </w:pPr>
            <w:r w:rsidRPr="00E51082">
              <w:rPr>
                <w:szCs w:val="24"/>
              </w:rPr>
              <w:t>92</w:t>
            </w:r>
            <w:r w:rsidR="001323B8" w:rsidRPr="00E51082">
              <w:rPr>
                <w:szCs w:val="24"/>
              </w:rPr>
              <w:t>.</w:t>
            </w:r>
            <w:r w:rsidRPr="00E51082">
              <w:rPr>
                <w:szCs w:val="24"/>
              </w:rPr>
              <w:t xml:space="preserve">0% </w:t>
            </w:r>
          </w:p>
          <w:p w14:paraId="31126014" w14:textId="71EE31E6"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3%)</w:t>
            </w:r>
          </w:p>
        </w:tc>
        <w:tc>
          <w:tcPr>
            <w:tcW w:w="0" w:type="auto"/>
            <w:tcBorders>
              <w:top w:val="single" w:sz="4" w:space="0" w:color="auto"/>
              <w:bottom w:val="single" w:sz="4" w:space="0" w:color="auto"/>
            </w:tcBorders>
          </w:tcPr>
          <w:p w14:paraId="28FCB476" w14:textId="60CB6042" w:rsidR="00FE1663" w:rsidRPr="00E51082" w:rsidRDefault="00FE1663" w:rsidP="00A13075">
            <w:pPr>
              <w:spacing w:line="240" w:lineRule="auto"/>
              <w:rPr>
                <w:szCs w:val="24"/>
              </w:rPr>
            </w:pPr>
            <w:r w:rsidRPr="00E51082">
              <w:rPr>
                <w:szCs w:val="24"/>
              </w:rPr>
              <w:t>91</w:t>
            </w:r>
            <w:r w:rsidR="001323B8" w:rsidRPr="00E51082">
              <w:rPr>
                <w:szCs w:val="24"/>
              </w:rPr>
              <w:t>.</w:t>
            </w:r>
            <w:r w:rsidRPr="00E51082">
              <w:rPr>
                <w:szCs w:val="24"/>
              </w:rPr>
              <w:t xml:space="preserve">8% </w:t>
            </w:r>
          </w:p>
          <w:p w14:paraId="01A3DA81" w14:textId="1B2D2885"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3%)</w:t>
            </w:r>
          </w:p>
        </w:tc>
        <w:tc>
          <w:tcPr>
            <w:tcW w:w="0" w:type="auto"/>
            <w:tcBorders>
              <w:top w:val="single" w:sz="4" w:space="0" w:color="auto"/>
              <w:bottom w:val="single" w:sz="4" w:space="0" w:color="auto"/>
            </w:tcBorders>
          </w:tcPr>
          <w:p w14:paraId="06022CDB" w14:textId="5304E120"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 xml:space="preserve">8% </w:t>
            </w:r>
          </w:p>
          <w:p w14:paraId="1C7F848F" w14:textId="684A16BE"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5%, 6</w:t>
            </w:r>
            <w:r w:rsidR="001323B8" w:rsidRPr="00E51082">
              <w:rPr>
                <w:szCs w:val="24"/>
              </w:rPr>
              <w:t>.</w:t>
            </w:r>
            <w:r w:rsidRPr="00E51082">
              <w:rPr>
                <w:szCs w:val="24"/>
              </w:rPr>
              <w:t>1%)</w:t>
            </w:r>
          </w:p>
        </w:tc>
        <w:tc>
          <w:tcPr>
            <w:tcW w:w="0" w:type="auto"/>
            <w:tcBorders>
              <w:top w:val="single" w:sz="4" w:space="0" w:color="auto"/>
              <w:bottom w:val="single" w:sz="4" w:space="0" w:color="auto"/>
            </w:tcBorders>
          </w:tcPr>
          <w:p w14:paraId="630D2D5C" w14:textId="1C66A1B2" w:rsidR="00FE1663" w:rsidRPr="00E51082" w:rsidRDefault="00FE1663" w:rsidP="00A13075">
            <w:pPr>
              <w:spacing w:line="240" w:lineRule="auto"/>
              <w:rPr>
                <w:szCs w:val="24"/>
              </w:rPr>
            </w:pPr>
            <w:r w:rsidRPr="00E51082">
              <w:rPr>
                <w:szCs w:val="24"/>
              </w:rPr>
              <w:t xml:space="preserve"> 2</w:t>
            </w:r>
            <w:r w:rsidR="001323B8" w:rsidRPr="00E51082">
              <w:rPr>
                <w:szCs w:val="24"/>
              </w:rPr>
              <w:t>.</w:t>
            </w:r>
            <w:r w:rsidRPr="00E51082">
              <w:rPr>
                <w:szCs w:val="24"/>
              </w:rPr>
              <w:t>9%</w:t>
            </w:r>
          </w:p>
          <w:p w14:paraId="0B9200F3" w14:textId="474345B6" w:rsidR="00FE1663" w:rsidRPr="00E51082" w:rsidRDefault="00FE1663" w:rsidP="00A13075">
            <w:pPr>
              <w:spacing w:line="240" w:lineRule="auto"/>
              <w:rPr>
                <w:szCs w:val="24"/>
              </w:rPr>
            </w:pPr>
            <w:r w:rsidRPr="00E51082">
              <w:rPr>
                <w:szCs w:val="24"/>
              </w:rPr>
              <w:t>(-01</w:t>
            </w:r>
            <w:r w:rsidR="001323B8" w:rsidRPr="00E51082">
              <w:rPr>
                <w:szCs w:val="24"/>
              </w:rPr>
              <w:t>.</w:t>
            </w:r>
            <w:r w:rsidRPr="00E51082">
              <w:rPr>
                <w:szCs w:val="24"/>
              </w:rPr>
              <w:t>2, 7</w:t>
            </w:r>
            <w:r w:rsidR="001323B8" w:rsidRPr="00E51082">
              <w:rPr>
                <w:szCs w:val="24"/>
              </w:rPr>
              <w:t>.</w:t>
            </w:r>
            <w:r w:rsidRPr="00E51082">
              <w:rPr>
                <w:szCs w:val="24"/>
              </w:rPr>
              <w:t>0%)</w:t>
            </w:r>
          </w:p>
        </w:tc>
        <w:tc>
          <w:tcPr>
            <w:tcW w:w="0" w:type="auto"/>
            <w:tcBorders>
              <w:top w:val="single" w:sz="4" w:space="0" w:color="auto"/>
              <w:bottom w:val="single" w:sz="4" w:space="0" w:color="auto"/>
            </w:tcBorders>
          </w:tcPr>
          <w:p w14:paraId="7B3B0FE3" w14:textId="03E2128C"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7%</w:t>
            </w:r>
          </w:p>
          <w:p w14:paraId="23DD7EB6" w14:textId="53D58EF0" w:rsidR="00FE1663" w:rsidRPr="00E51082" w:rsidRDefault="00FE1663" w:rsidP="00A13075">
            <w:pPr>
              <w:spacing w:line="240" w:lineRule="auto"/>
              <w:rPr>
                <w:szCs w:val="24"/>
              </w:rPr>
            </w:pPr>
            <w:r w:rsidRPr="00E51082">
              <w:rPr>
                <w:szCs w:val="24"/>
              </w:rPr>
              <w:t>(-1</w:t>
            </w:r>
            <w:r w:rsidR="001323B8" w:rsidRPr="00E51082">
              <w:rPr>
                <w:szCs w:val="24"/>
              </w:rPr>
              <w:t>.</w:t>
            </w:r>
            <w:r w:rsidRPr="00E51082">
              <w:rPr>
                <w:szCs w:val="24"/>
              </w:rPr>
              <w:t>2%, 6</w:t>
            </w:r>
            <w:r w:rsidR="001323B8" w:rsidRPr="00E51082">
              <w:rPr>
                <w:szCs w:val="24"/>
              </w:rPr>
              <w:t>.</w:t>
            </w:r>
            <w:r w:rsidRPr="00E51082">
              <w:rPr>
                <w:szCs w:val="24"/>
              </w:rPr>
              <w:t>7%)</w:t>
            </w:r>
          </w:p>
        </w:tc>
      </w:tr>
    </w:tbl>
    <w:p w14:paraId="1D8382BB" w14:textId="77777777" w:rsidR="00FE1663" w:rsidRPr="00E51082" w:rsidRDefault="00FE1663" w:rsidP="00FE1663">
      <w:pPr>
        <w:rPr>
          <w:szCs w:val="24"/>
        </w:rPr>
      </w:pPr>
      <w:r w:rsidRPr="00E51082">
        <w:rPr>
          <w:szCs w:val="24"/>
        </w:rPr>
        <w:t>Note: Means (cluster adjusted standard errors and confidence intervals)</w:t>
      </w:r>
    </w:p>
    <w:p w14:paraId="593B06E4" w14:textId="77777777" w:rsidR="00B5347B" w:rsidRPr="00E51082" w:rsidRDefault="00FE1663" w:rsidP="00A13075">
      <w:pPr>
        <w:spacing w:line="240" w:lineRule="auto"/>
        <w:rPr>
          <w:szCs w:val="24"/>
        </w:rPr>
      </w:pPr>
      <w:r w:rsidRPr="00E51082">
        <w:rPr>
          <w:bCs/>
          <w:szCs w:val="24"/>
          <w:vertAlign w:val="superscript"/>
        </w:rPr>
        <w:t xml:space="preserve">a </w:t>
      </w:r>
      <w:r w:rsidRPr="00E51082">
        <w:rPr>
          <w:szCs w:val="24"/>
        </w:rPr>
        <w:t>Binary variable representing whether the participant was at risk of depression, where EPDS≥12 is coded as 0 and EPDS&lt;12 is coded as 1. The variable is here treated as continuous, and results are expressed in percentage terms.</w:t>
      </w:r>
    </w:p>
    <w:p w14:paraId="48844A32" w14:textId="77777777" w:rsidR="00FE1663" w:rsidRPr="00E51082" w:rsidRDefault="00FE1663" w:rsidP="00A13075">
      <w:pPr>
        <w:spacing w:line="240" w:lineRule="auto"/>
        <w:rPr>
          <w:szCs w:val="24"/>
        </w:rPr>
      </w:pPr>
      <w:r w:rsidRPr="00E51082">
        <w:rPr>
          <w:szCs w:val="24"/>
        </w:rPr>
        <w:t>*p&lt;0.05</w:t>
      </w:r>
    </w:p>
    <w:p w14:paraId="161F3330" w14:textId="32F2D19F" w:rsidR="00FE1663" w:rsidRPr="00E51082" w:rsidRDefault="00FE1663" w:rsidP="00FE1663">
      <w:pPr>
        <w:rPr>
          <w:szCs w:val="24"/>
        </w:rPr>
      </w:pPr>
      <w:r w:rsidRPr="00E51082">
        <w:rPr>
          <w:b/>
          <w:szCs w:val="24"/>
        </w:rPr>
        <w:br w:type="page"/>
      </w:r>
      <w:bookmarkStart w:id="5" w:name="_Ref452720109"/>
      <w:r w:rsidRPr="00E51082">
        <w:rPr>
          <w:b/>
          <w:szCs w:val="24"/>
        </w:rPr>
        <w:lastRenderedPageBreak/>
        <w:t xml:space="preserve">Table </w:t>
      </w:r>
      <w:r w:rsidRPr="00E51082">
        <w:rPr>
          <w:b/>
          <w:szCs w:val="24"/>
        </w:rPr>
        <w:fldChar w:fldCharType="begin"/>
      </w:r>
      <w:r w:rsidRPr="00E51082">
        <w:rPr>
          <w:b/>
          <w:szCs w:val="24"/>
        </w:rPr>
        <w:instrText xml:space="preserve"> SEQ Table \* ARABIC </w:instrText>
      </w:r>
      <w:r w:rsidRPr="00E51082">
        <w:rPr>
          <w:b/>
          <w:szCs w:val="24"/>
        </w:rPr>
        <w:fldChar w:fldCharType="separate"/>
      </w:r>
      <w:r w:rsidRPr="00E51082">
        <w:rPr>
          <w:b/>
          <w:noProof/>
          <w:szCs w:val="24"/>
        </w:rPr>
        <w:t>5</w:t>
      </w:r>
      <w:r w:rsidRPr="00E51082">
        <w:rPr>
          <w:b/>
          <w:szCs w:val="24"/>
        </w:rPr>
        <w:fldChar w:fldCharType="end"/>
      </w:r>
      <w:bookmarkEnd w:id="5"/>
      <w:r w:rsidR="001C3FBD">
        <w:rPr>
          <w:b/>
          <w:szCs w:val="24"/>
        </w:rPr>
        <w:t>.</w:t>
      </w:r>
      <w:r w:rsidRPr="00E51082">
        <w:rPr>
          <w:b/>
          <w:szCs w:val="24"/>
        </w:rPr>
        <w:t xml:space="preserve"> </w:t>
      </w:r>
      <w:r w:rsidRPr="001C3FBD">
        <w:rPr>
          <w:szCs w:val="24"/>
        </w:rPr>
        <w:t>Cost-effectiveness analyses: costs, outcomes and ICERs at 6-months</w:t>
      </w:r>
    </w:p>
    <w:tbl>
      <w:tblPr>
        <w:tblW w:w="5000" w:type="pct"/>
        <w:tblCellMar>
          <w:left w:w="57" w:type="dxa"/>
          <w:right w:w="57" w:type="dxa"/>
        </w:tblCellMar>
        <w:tblLook w:val="00A0" w:firstRow="1" w:lastRow="0" w:firstColumn="1" w:lastColumn="0" w:noHBand="0" w:noVBand="0"/>
      </w:tblPr>
      <w:tblGrid>
        <w:gridCol w:w="2536"/>
        <w:gridCol w:w="1444"/>
        <w:gridCol w:w="1444"/>
        <w:gridCol w:w="1444"/>
        <w:gridCol w:w="1447"/>
        <w:gridCol w:w="2362"/>
        <w:gridCol w:w="2362"/>
        <w:gridCol w:w="2359"/>
      </w:tblGrid>
      <w:tr w:rsidR="00E51082" w:rsidRPr="00E51082" w14:paraId="62253449" w14:textId="77777777" w:rsidTr="009541FA">
        <w:tc>
          <w:tcPr>
            <w:tcW w:w="823" w:type="pct"/>
            <w:tcBorders>
              <w:top w:val="single" w:sz="4" w:space="0" w:color="auto"/>
              <w:bottom w:val="single" w:sz="4" w:space="0" w:color="auto"/>
              <w:right w:val="single" w:sz="4" w:space="0" w:color="auto"/>
            </w:tcBorders>
          </w:tcPr>
          <w:p w14:paraId="45FB75CE" w14:textId="77777777" w:rsidR="00FE1663" w:rsidRPr="00E51082" w:rsidRDefault="00FE1663" w:rsidP="00A13075">
            <w:pPr>
              <w:spacing w:line="240" w:lineRule="auto"/>
              <w:rPr>
                <w:szCs w:val="24"/>
              </w:rPr>
            </w:pPr>
          </w:p>
        </w:tc>
        <w:tc>
          <w:tcPr>
            <w:tcW w:w="1877" w:type="pct"/>
            <w:gridSpan w:val="4"/>
            <w:tcBorders>
              <w:top w:val="single" w:sz="4" w:space="0" w:color="auto"/>
              <w:left w:val="single" w:sz="4" w:space="0" w:color="auto"/>
              <w:right w:val="single" w:sz="4" w:space="0" w:color="auto"/>
            </w:tcBorders>
            <w:vAlign w:val="center"/>
          </w:tcPr>
          <w:p w14:paraId="5AE3309B" w14:textId="77777777" w:rsidR="00FE1663" w:rsidRPr="00E51082" w:rsidRDefault="00FE1663" w:rsidP="00A13075">
            <w:pPr>
              <w:spacing w:line="240" w:lineRule="auto"/>
              <w:rPr>
                <w:szCs w:val="24"/>
              </w:rPr>
            </w:pPr>
            <w:r w:rsidRPr="00E51082">
              <w:rPr>
                <w:szCs w:val="24"/>
              </w:rPr>
              <w:t>Group means</w:t>
            </w:r>
            <w:r w:rsidRPr="00E51082">
              <w:rPr>
                <w:szCs w:val="24"/>
                <w:vertAlign w:val="superscript"/>
              </w:rPr>
              <w:t>a</w:t>
            </w:r>
          </w:p>
          <w:p w14:paraId="58CCA32B" w14:textId="77777777" w:rsidR="00FE1663" w:rsidRPr="00E51082" w:rsidRDefault="00FE1663" w:rsidP="00A13075">
            <w:pPr>
              <w:spacing w:line="240" w:lineRule="auto"/>
              <w:rPr>
                <w:szCs w:val="24"/>
              </w:rPr>
            </w:pPr>
            <w:r w:rsidRPr="00E51082">
              <w:rPr>
                <w:szCs w:val="24"/>
              </w:rPr>
              <w:t>(SE)</w:t>
            </w:r>
          </w:p>
        </w:tc>
        <w:tc>
          <w:tcPr>
            <w:tcW w:w="2300" w:type="pct"/>
            <w:gridSpan w:val="3"/>
            <w:tcBorders>
              <w:top w:val="single" w:sz="4" w:space="0" w:color="auto"/>
              <w:left w:val="single" w:sz="4" w:space="0" w:color="auto"/>
              <w:bottom w:val="single" w:sz="4" w:space="0" w:color="auto"/>
            </w:tcBorders>
          </w:tcPr>
          <w:p w14:paraId="3D9C81F0" w14:textId="77777777" w:rsidR="00FE1663" w:rsidRPr="00E51082" w:rsidRDefault="00FE1663" w:rsidP="00A13075">
            <w:pPr>
              <w:spacing w:line="240" w:lineRule="auto"/>
              <w:rPr>
                <w:szCs w:val="24"/>
              </w:rPr>
            </w:pPr>
            <w:r w:rsidRPr="00E51082">
              <w:rPr>
                <w:szCs w:val="24"/>
              </w:rPr>
              <w:t xml:space="preserve">Adjusted estimates (Mean difference from control) </w:t>
            </w:r>
          </w:p>
          <w:p w14:paraId="38319B72" w14:textId="77777777" w:rsidR="00FE1663" w:rsidRPr="00E51082" w:rsidRDefault="00FE1663" w:rsidP="00A13075">
            <w:pPr>
              <w:spacing w:line="240" w:lineRule="auto"/>
              <w:rPr>
                <w:szCs w:val="24"/>
              </w:rPr>
            </w:pPr>
            <w:r w:rsidRPr="00E51082">
              <w:rPr>
                <w:szCs w:val="24"/>
              </w:rPr>
              <w:t>(95% CI)</w:t>
            </w:r>
          </w:p>
        </w:tc>
      </w:tr>
      <w:tr w:rsidR="00E51082" w:rsidRPr="00E51082" w14:paraId="59C47895" w14:textId="77777777" w:rsidTr="009541FA">
        <w:tc>
          <w:tcPr>
            <w:tcW w:w="823" w:type="pct"/>
            <w:vMerge w:val="restart"/>
            <w:tcBorders>
              <w:top w:val="single" w:sz="4" w:space="0" w:color="auto"/>
              <w:bottom w:val="single" w:sz="4" w:space="0" w:color="auto"/>
              <w:right w:val="single" w:sz="4" w:space="0" w:color="auto"/>
            </w:tcBorders>
          </w:tcPr>
          <w:p w14:paraId="4853C67C" w14:textId="77777777" w:rsidR="00FE1663" w:rsidRPr="00E51082" w:rsidRDefault="00FE1663" w:rsidP="00A13075">
            <w:pPr>
              <w:spacing w:line="240" w:lineRule="auto"/>
              <w:ind w:right="-121"/>
              <w:rPr>
                <w:szCs w:val="24"/>
              </w:rPr>
            </w:pPr>
            <w:r w:rsidRPr="00E51082">
              <w:rPr>
                <w:szCs w:val="24"/>
              </w:rPr>
              <w:t>Item</w:t>
            </w:r>
          </w:p>
        </w:tc>
        <w:tc>
          <w:tcPr>
            <w:tcW w:w="469" w:type="pct"/>
            <w:tcBorders>
              <w:top w:val="single" w:sz="4" w:space="0" w:color="auto"/>
              <w:left w:val="single" w:sz="4" w:space="0" w:color="auto"/>
              <w:bottom w:val="single" w:sz="4" w:space="0" w:color="auto"/>
            </w:tcBorders>
          </w:tcPr>
          <w:p w14:paraId="50F26773" w14:textId="77777777" w:rsidR="00FE1663" w:rsidRPr="00E51082" w:rsidRDefault="00FE1663" w:rsidP="00A13075">
            <w:pPr>
              <w:spacing w:line="240" w:lineRule="auto"/>
              <w:rPr>
                <w:szCs w:val="24"/>
              </w:rPr>
            </w:pPr>
            <w:r w:rsidRPr="00E51082">
              <w:rPr>
                <w:szCs w:val="24"/>
              </w:rPr>
              <w:t>Control</w:t>
            </w:r>
          </w:p>
        </w:tc>
        <w:tc>
          <w:tcPr>
            <w:tcW w:w="469" w:type="pct"/>
            <w:tcBorders>
              <w:top w:val="single" w:sz="4" w:space="0" w:color="auto"/>
              <w:bottom w:val="single" w:sz="4" w:space="0" w:color="auto"/>
            </w:tcBorders>
          </w:tcPr>
          <w:p w14:paraId="7E778FE6" w14:textId="77777777" w:rsidR="00FE1663" w:rsidRPr="00E51082" w:rsidRDefault="00FE1663" w:rsidP="00A13075">
            <w:pPr>
              <w:spacing w:line="240" w:lineRule="auto"/>
              <w:rPr>
                <w:szCs w:val="24"/>
              </w:rPr>
            </w:pPr>
            <w:r w:rsidRPr="00E51082">
              <w:rPr>
                <w:szCs w:val="24"/>
              </w:rPr>
              <w:t>Intervention</w:t>
            </w:r>
          </w:p>
          <w:p w14:paraId="4BD864B0" w14:textId="77777777" w:rsidR="00FE1663" w:rsidRPr="00E51082" w:rsidRDefault="00FE1663" w:rsidP="00A13075">
            <w:pPr>
              <w:spacing w:line="240" w:lineRule="auto"/>
              <w:rPr>
                <w:szCs w:val="24"/>
              </w:rPr>
            </w:pPr>
            <w:r w:rsidRPr="00E51082">
              <w:rPr>
                <w:szCs w:val="24"/>
              </w:rPr>
              <w:t>(combined)</w:t>
            </w:r>
          </w:p>
        </w:tc>
        <w:tc>
          <w:tcPr>
            <w:tcW w:w="469" w:type="pct"/>
            <w:tcBorders>
              <w:top w:val="single" w:sz="4" w:space="0" w:color="auto"/>
              <w:bottom w:val="single" w:sz="4" w:space="0" w:color="auto"/>
            </w:tcBorders>
          </w:tcPr>
          <w:p w14:paraId="479B90C6" w14:textId="77777777" w:rsidR="00FE1663" w:rsidRPr="00E51082" w:rsidRDefault="00FE1663" w:rsidP="00A13075">
            <w:pPr>
              <w:spacing w:line="240" w:lineRule="auto"/>
              <w:rPr>
                <w:szCs w:val="24"/>
              </w:rPr>
            </w:pPr>
            <w:r w:rsidRPr="00E51082">
              <w:rPr>
                <w:szCs w:val="24"/>
              </w:rPr>
              <w:t xml:space="preserve">Intervention (CBA) </w:t>
            </w:r>
          </w:p>
        </w:tc>
        <w:tc>
          <w:tcPr>
            <w:tcW w:w="470" w:type="pct"/>
            <w:tcBorders>
              <w:top w:val="single" w:sz="4" w:space="0" w:color="auto"/>
              <w:bottom w:val="single" w:sz="4" w:space="0" w:color="auto"/>
              <w:right w:val="single" w:sz="4" w:space="0" w:color="auto"/>
            </w:tcBorders>
          </w:tcPr>
          <w:p w14:paraId="360DD7CB" w14:textId="77777777" w:rsidR="00FE1663" w:rsidRPr="00E51082" w:rsidRDefault="00FE1663" w:rsidP="00A13075">
            <w:pPr>
              <w:spacing w:line="240" w:lineRule="auto"/>
              <w:rPr>
                <w:szCs w:val="24"/>
              </w:rPr>
            </w:pPr>
            <w:r w:rsidRPr="00E51082">
              <w:rPr>
                <w:szCs w:val="24"/>
              </w:rPr>
              <w:t>Intervention (PCA)</w:t>
            </w:r>
          </w:p>
        </w:tc>
        <w:tc>
          <w:tcPr>
            <w:tcW w:w="767" w:type="pct"/>
            <w:tcBorders>
              <w:top w:val="single" w:sz="4" w:space="0" w:color="auto"/>
              <w:left w:val="single" w:sz="4" w:space="0" w:color="auto"/>
              <w:bottom w:val="single" w:sz="4" w:space="0" w:color="auto"/>
            </w:tcBorders>
          </w:tcPr>
          <w:p w14:paraId="4C1C54BF" w14:textId="77777777" w:rsidR="00FE1663" w:rsidRPr="00E51082" w:rsidRDefault="00FE1663" w:rsidP="00A13075">
            <w:pPr>
              <w:spacing w:line="240" w:lineRule="auto"/>
              <w:rPr>
                <w:szCs w:val="24"/>
              </w:rPr>
            </w:pPr>
            <w:r w:rsidRPr="00E51082">
              <w:rPr>
                <w:szCs w:val="24"/>
              </w:rPr>
              <w:t>Intervention (combined)</w:t>
            </w:r>
          </w:p>
          <w:p w14:paraId="75EC0098" w14:textId="77777777" w:rsidR="00FE1663" w:rsidRPr="00E51082" w:rsidRDefault="00FE1663" w:rsidP="00A13075">
            <w:pPr>
              <w:spacing w:line="240" w:lineRule="auto"/>
              <w:rPr>
                <w:szCs w:val="24"/>
              </w:rPr>
            </w:pPr>
          </w:p>
        </w:tc>
        <w:tc>
          <w:tcPr>
            <w:tcW w:w="767" w:type="pct"/>
            <w:tcBorders>
              <w:top w:val="single" w:sz="4" w:space="0" w:color="auto"/>
              <w:bottom w:val="single" w:sz="4" w:space="0" w:color="auto"/>
            </w:tcBorders>
          </w:tcPr>
          <w:p w14:paraId="79DFC5EB" w14:textId="77777777" w:rsidR="00FE1663" w:rsidRPr="00E51082" w:rsidRDefault="00FE1663" w:rsidP="00A13075">
            <w:pPr>
              <w:spacing w:line="240" w:lineRule="auto"/>
              <w:rPr>
                <w:szCs w:val="24"/>
              </w:rPr>
            </w:pPr>
            <w:r w:rsidRPr="00E51082">
              <w:rPr>
                <w:szCs w:val="24"/>
              </w:rPr>
              <w:t xml:space="preserve">Intervention (CBA) </w:t>
            </w:r>
          </w:p>
          <w:p w14:paraId="18B8CE92" w14:textId="77777777" w:rsidR="00FE1663" w:rsidRPr="00E51082" w:rsidRDefault="00FE1663" w:rsidP="00A13075">
            <w:pPr>
              <w:spacing w:line="240" w:lineRule="auto"/>
              <w:rPr>
                <w:szCs w:val="24"/>
              </w:rPr>
            </w:pPr>
          </w:p>
        </w:tc>
        <w:tc>
          <w:tcPr>
            <w:tcW w:w="766" w:type="pct"/>
            <w:tcBorders>
              <w:top w:val="single" w:sz="4" w:space="0" w:color="auto"/>
              <w:bottom w:val="single" w:sz="4" w:space="0" w:color="auto"/>
            </w:tcBorders>
          </w:tcPr>
          <w:p w14:paraId="04D976CF" w14:textId="77777777" w:rsidR="00FE1663" w:rsidRPr="00E51082" w:rsidRDefault="00FE1663" w:rsidP="00A13075">
            <w:pPr>
              <w:spacing w:line="240" w:lineRule="auto"/>
              <w:rPr>
                <w:szCs w:val="24"/>
              </w:rPr>
            </w:pPr>
            <w:r w:rsidRPr="00E51082">
              <w:rPr>
                <w:szCs w:val="24"/>
              </w:rPr>
              <w:t xml:space="preserve">Intervention (PCA) </w:t>
            </w:r>
          </w:p>
          <w:p w14:paraId="25AF866B" w14:textId="77777777" w:rsidR="00FE1663" w:rsidRPr="00E51082" w:rsidRDefault="00FE1663" w:rsidP="00A13075">
            <w:pPr>
              <w:spacing w:line="240" w:lineRule="auto"/>
              <w:rPr>
                <w:szCs w:val="24"/>
              </w:rPr>
            </w:pPr>
          </w:p>
        </w:tc>
      </w:tr>
      <w:tr w:rsidR="00E51082" w:rsidRPr="00E51082" w14:paraId="64DFDC89" w14:textId="77777777" w:rsidTr="009541FA">
        <w:tc>
          <w:tcPr>
            <w:tcW w:w="823" w:type="pct"/>
            <w:vMerge/>
            <w:tcBorders>
              <w:bottom w:val="single" w:sz="4" w:space="0" w:color="auto"/>
              <w:right w:val="single" w:sz="4" w:space="0" w:color="auto"/>
            </w:tcBorders>
            <w:vAlign w:val="center"/>
          </w:tcPr>
          <w:p w14:paraId="6152D16E" w14:textId="77777777" w:rsidR="00FE1663" w:rsidRPr="00E51082" w:rsidRDefault="00FE1663" w:rsidP="00A13075">
            <w:pPr>
              <w:spacing w:line="240" w:lineRule="auto"/>
              <w:rPr>
                <w:szCs w:val="24"/>
              </w:rPr>
            </w:pPr>
          </w:p>
        </w:tc>
        <w:tc>
          <w:tcPr>
            <w:tcW w:w="469" w:type="pct"/>
            <w:tcBorders>
              <w:top w:val="single" w:sz="4" w:space="0" w:color="auto"/>
              <w:left w:val="single" w:sz="4" w:space="0" w:color="auto"/>
              <w:bottom w:val="single" w:sz="4" w:space="0" w:color="auto"/>
            </w:tcBorders>
          </w:tcPr>
          <w:p w14:paraId="413958FB" w14:textId="77777777" w:rsidR="00FE1663" w:rsidRPr="00E51082" w:rsidRDefault="00FE1663" w:rsidP="00A13075">
            <w:pPr>
              <w:spacing w:line="240" w:lineRule="auto"/>
              <w:rPr>
                <w:szCs w:val="24"/>
              </w:rPr>
            </w:pPr>
            <w:r w:rsidRPr="00E51082">
              <w:rPr>
                <w:szCs w:val="24"/>
              </w:rPr>
              <w:t>n=411</w:t>
            </w:r>
          </w:p>
        </w:tc>
        <w:tc>
          <w:tcPr>
            <w:tcW w:w="469" w:type="pct"/>
            <w:tcBorders>
              <w:top w:val="single" w:sz="4" w:space="0" w:color="auto"/>
              <w:bottom w:val="single" w:sz="4" w:space="0" w:color="auto"/>
            </w:tcBorders>
          </w:tcPr>
          <w:p w14:paraId="50175DDD" w14:textId="77777777" w:rsidR="00FE1663" w:rsidRPr="00E51082" w:rsidRDefault="00FE1663" w:rsidP="00A13075">
            <w:pPr>
              <w:spacing w:line="240" w:lineRule="auto"/>
              <w:rPr>
                <w:szCs w:val="24"/>
              </w:rPr>
            </w:pPr>
            <w:r w:rsidRPr="00E51082">
              <w:rPr>
                <w:szCs w:val="24"/>
              </w:rPr>
              <w:t>n=1035</w:t>
            </w:r>
          </w:p>
        </w:tc>
        <w:tc>
          <w:tcPr>
            <w:tcW w:w="469" w:type="pct"/>
            <w:tcBorders>
              <w:top w:val="single" w:sz="4" w:space="0" w:color="auto"/>
              <w:bottom w:val="single" w:sz="4" w:space="0" w:color="auto"/>
            </w:tcBorders>
          </w:tcPr>
          <w:p w14:paraId="2B78C878" w14:textId="77777777" w:rsidR="00FE1663" w:rsidRPr="00E51082" w:rsidRDefault="00FE1663" w:rsidP="00A13075">
            <w:pPr>
              <w:spacing w:line="240" w:lineRule="auto"/>
              <w:rPr>
                <w:szCs w:val="24"/>
              </w:rPr>
            </w:pPr>
            <w:r w:rsidRPr="00E51082">
              <w:rPr>
                <w:szCs w:val="24"/>
              </w:rPr>
              <w:t>n=548</w:t>
            </w:r>
          </w:p>
        </w:tc>
        <w:tc>
          <w:tcPr>
            <w:tcW w:w="470" w:type="pct"/>
            <w:tcBorders>
              <w:top w:val="single" w:sz="4" w:space="0" w:color="auto"/>
              <w:bottom w:val="single" w:sz="4" w:space="0" w:color="auto"/>
              <w:right w:val="single" w:sz="4" w:space="0" w:color="auto"/>
            </w:tcBorders>
          </w:tcPr>
          <w:p w14:paraId="53AF6D9F" w14:textId="77777777" w:rsidR="00FE1663" w:rsidRPr="00E51082" w:rsidRDefault="00FE1663" w:rsidP="00A13075">
            <w:pPr>
              <w:spacing w:line="240" w:lineRule="auto"/>
              <w:rPr>
                <w:szCs w:val="24"/>
              </w:rPr>
            </w:pPr>
            <w:r w:rsidRPr="00E51082">
              <w:rPr>
                <w:szCs w:val="24"/>
              </w:rPr>
              <w:t>n=487</w:t>
            </w:r>
          </w:p>
        </w:tc>
        <w:tc>
          <w:tcPr>
            <w:tcW w:w="767" w:type="pct"/>
            <w:tcBorders>
              <w:top w:val="single" w:sz="4" w:space="0" w:color="auto"/>
              <w:left w:val="single" w:sz="4" w:space="0" w:color="auto"/>
              <w:bottom w:val="single" w:sz="4" w:space="0" w:color="auto"/>
            </w:tcBorders>
          </w:tcPr>
          <w:p w14:paraId="0C0D584A" w14:textId="77777777" w:rsidR="00FE1663" w:rsidRPr="00E51082" w:rsidRDefault="00FE1663" w:rsidP="00A13075">
            <w:pPr>
              <w:spacing w:line="240" w:lineRule="auto"/>
              <w:rPr>
                <w:szCs w:val="24"/>
              </w:rPr>
            </w:pPr>
            <w:r w:rsidRPr="00E51082">
              <w:rPr>
                <w:szCs w:val="24"/>
              </w:rPr>
              <w:t>n=1446</w:t>
            </w:r>
          </w:p>
        </w:tc>
        <w:tc>
          <w:tcPr>
            <w:tcW w:w="767" w:type="pct"/>
            <w:tcBorders>
              <w:top w:val="single" w:sz="4" w:space="0" w:color="auto"/>
              <w:bottom w:val="single" w:sz="4" w:space="0" w:color="auto"/>
            </w:tcBorders>
          </w:tcPr>
          <w:p w14:paraId="7700B518" w14:textId="77777777" w:rsidR="00FE1663" w:rsidRPr="00E51082" w:rsidRDefault="00FE1663" w:rsidP="00A13075">
            <w:pPr>
              <w:spacing w:line="240" w:lineRule="auto"/>
              <w:rPr>
                <w:szCs w:val="24"/>
              </w:rPr>
            </w:pPr>
            <w:r w:rsidRPr="00E51082">
              <w:rPr>
                <w:szCs w:val="24"/>
              </w:rPr>
              <w:t>n=1446</w:t>
            </w:r>
          </w:p>
        </w:tc>
        <w:tc>
          <w:tcPr>
            <w:tcW w:w="766" w:type="pct"/>
            <w:tcBorders>
              <w:top w:val="single" w:sz="4" w:space="0" w:color="auto"/>
              <w:bottom w:val="single" w:sz="4" w:space="0" w:color="auto"/>
            </w:tcBorders>
          </w:tcPr>
          <w:p w14:paraId="71304BFB" w14:textId="77777777" w:rsidR="00FE1663" w:rsidRPr="00E51082" w:rsidRDefault="00FE1663" w:rsidP="00A13075">
            <w:pPr>
              <w:spacing w:line="240" w:lineRule="auto"/>
              <w:rPr>
                <w:szCs w:val="24"/>
              </w:rPr>
            </w:pPr>
            <w:r w:rsidRPr="00E51082">
              <w:rPr>
                <w:szCs w:val="24"/>
              </w:rPr>
              <w:t>n=1446</w:t>
            </w:r>
          </w:p>
        </w:tc>
      </w:tr>
      <w:tr w:rsidR="00E51082" w:rsidRPr="00E51082" w14:paraId="07ACD4EE" w14:textId="77777777" w:rsidTr="009541FA">
        <w:tc>
          <w:tcPr>
            <w:tcW w:w="823" w:type="pct"/>
            <w:tcBorders>
              <w:top w:val="single" w:sz="4" w:space="0" w:color="auto"/>
              <w:bottom w:val="single" w:sz="4" w:space="0" w:color="auto"/>
              <w:right w:val="single" w:sz="4" w:space="0" w:color="auto"/>
            </w:tcBorders>
          </w:tcPr>
          <w:p w14:paraId="7B1C5373" w14:textId="77777777" w:rsidR="00FE1663" w:rsidRPr="00E51082" w:rsidRDefault="00FE1663" w:rsidP="00A13075">
            <w:pPr>
              <w:spacing w:line="240" w:lineRule="auto"/>
              <w:rPr>
                <w:szCs w:val="24"/>
              </w:rPr>
            </w:pPr>
            <w:r w:rsidRPr="00E51082">
              <w:rPr>
                <w:szCs w:val="24"/>
              </w:rPr>
              <w:t>QALY</w:t>
            </w:r>
            <w:r w:rsidRPr="00E51082">
              <w:rPr>
                <w:szCs w:val="24"/>
                <w:vertAlign w:val="superscript"/>
              </w:rPr>
              <w:t>b</w:t>
            </w:r>
            <w:r w:rsidRPr="00E51082">
              <w:rPr>
                <w:szCs w:val="24"/>
              </w:rPr>
              <w:t xml:space="preserve"> </w:t>
            </w:r>
          </w:p>
        </w:tc>
        <w:tc>
          <w:tcPr>
            <w:tcW w:w="469" w:type="pct"/>
            <w:tcBorders>
              <w:top w:val="single" w:sz="4" w:space="0" w:color="auto"/>
              <w:left w:val="single" w:sz="4" w:space="0" w:color="auto"/>
              <w:bottom w:val="single" w:sz="4" w:space="0" w:color="auto"/>
            </w:tcBorders>
          </w:tcPr>
          <w:p w14:paraId="08BA6143" w14:textId="2AAB39B3" w:rsidR="007A30C4" w:rsidRPr="00E51082" w:rsidRDefault="00FE1663" w:rsidP="00A13075">
            <w:pPr>
              <w:spacing w:line="240" w:lineRule="auto"/>
              <w:rPr>
                <w:szCs w:val="24"/>
              </w:rPr>
            </w:pPr>
            <w:r w:rsidRPr="00E51082">
              <w:rPr>
                <w:szCs w:val="24"/>
              </w:rPr>
              <w:t>0</w:t>
            </w:r>
            <w:r w:rsidR="001323B8" w:rsidRPr="00E51082">
              <w:rPr>
                <w:szCs w:val="24"/>
              </w:rPr>
              <w:t>.</w:t>
            </w:r>
            <w:r w:rsidR="007A30C4" w:rsidRPr="00E51082">
              <w:rPr>
                <w:szCs w:val="24"/>
              </w:rPr>
              <w:t xml:space="preserve">292 </w:t>
            </w:r>
          </w:p>
          <w:p w14:paraId="7131EBD4" w14:textId="47744F12" w:rsidR="00FE1663" w:rsidRPr="00E51082" w:rsidRDefault="00FE1663" w:rsidP="00A13075">
            <w:pPr>
              <w:spacing w:line="240" w:lineRule="auto"/>
              <w:rPr>
                <w:szCs w:val="24"/>
              </w:rPr>
            </w:pPr>
            <w:r w:rsidRPr="00E51082">
              <w:rPr>
                <w:szCs w:val="24"/>
              </w:rPr>
              <w:t>(0</w:t>
            </w:r>
            <w:r w:rsidR="001323B8" w:rsidRPr="00E51082">
              <w:rPr>
                <w:szCs w:val="24"/>
              </w:rPr>
              <w:t>.</w:t>
            </w:r>
            <w:r w:rsidR="007A30C4" w:rsidRPr="00E51082">
              <w:rPr>
                <w:szCs w:val="24"/>
              </w:rPr>
              <w:t>001</w:t>
            </w:r>
            <w:r w:rsidRPr="00E51082">
              <w:rPr>
                <w:szCs w:val="24"/>
              </w:rPr>
              <w:t>)</w:t>
            </w:r>
          </w:p>
        </w:tc>
        <w:tc>
          <w:tcPr>
            <w:tcW w:w="469" w:type="pct"/>
            <w:tcBorders>
              <w:top w:val="single" w:sz="4" w:space="0" w:color="auto"/>
              <w:bottom w:val="single" w:sz="4" w:space="0" w:color="auto"/>
            </w:tcBorders>
          </w:tcPr>
          <w:p w14:paraId="23310F77" w14:textId="25FAD743"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294 </w:t>
            </w:r>
          </w:p>
          <w:p w14:paraId="2C2B0DFE" w14:textId="3E69D8C1"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001)</w:t>
            </w:r>
          </w:p>
        </w:tc>
        <w:tc>
          <w:tcPr>
            <w:tcW w:w="469" w:type="pct"/>
            <w:tcBorders>
              <w:top w:val="single" w:sz="4" w:space="0" w:color="auto"/>
              <w:bottom w:val="single" w:sz="4" w:space="0" w:color="auto"/>
            </w:tcBorders>
          </w:tcPr>
          <w:p w14:paraId="0AC480E0" w14:textId="7806A424"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294 </w:t>
            </w:r>
          </w:p>
          <w:p w14:paraId="2F90BC4F" w14:textId="29DBAA41" w:rsidR="00FE1663" w:rsidRPr="00E51082" w:rsidRDefault="00FE1663" w:rsidP="00A13075">
            <w:pPr>
              <w:spacing w:line="240" w:lineRule="auto"/>
              <w:rPr>
                <w:szCs w:val="24"/>
              </w:rPr>
            </w:pPr>
            <w:r w:rsidRPr="00E51082">
              <w:rPr>
                <w:szCs w:val="24"/>
              </w:rPr>
              <w:t>(0</w:t>
            </w:r>
            <w:r w:rsidR="001323B8" w:rsidRPr="00E51082">
              <w:rPr>
                <w:szCs w:val="24"/>
              </w:rPr>
              <w:t>.</w:t>
            </w:r>
            <w:r w:rsidR="00C70F94" w:rsidRPr="00E51082">
              <w:rPr>
                <w:szCs w:val="24"/>
              </w:rPr>
              <w:t>001</w:t>
            </w:r>
            <w:r w:rsidRPr="00E51082">
              <w:rPr>
                <w:szCs w:val="24"/>
              </w:rPr>
              <w:t>)</w:t>
            </w:r>
          </w:p>
        </w:tc>
        <w:tc>
          <w:tcPr>
            <w:tcW w:w="470" w:type="pct"/>
            <w:tcBorders>
              <w:top w:val="single" w:sz="4" w:space="0" w:color="auto"/>
              <w:bottom w:val="single" w:sz="4" w:space="0" w:color="auto"/>
              <w:right w:val="single" w:sz="4" w:space="0" w:color="auto"/>
            </w:tcBorders>
          </w:tcPr>
          <w:p w14:paraId="5E94FF9C" w14:textId="28425C28"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294</w:t>
            </w:r>
          </w:p>
          <w:p w14:paraId="151EE681" w14:textId="78F31A3C" w:rsidR="00FE1663" w:rsidRPr="00E51082" w:rsidRDefault="00FE1663" w:rsidP="00A13075">
            <w:pPr>
              <w:spacing w:line="240" w:lineRule="auto"/>
              <w:rPr>
                <w:szCs w:val="24"/>
              </w:rPr>
            </w:pPr>
            <w:r w:rsidRPr="00E51082">
              <w:rPr>
                <w:szCs w:val="24"/>
              </w:rPr>
              <w:t>(0</w:t>
            </w:r>
            <w:r w:rsidR="001323B8" w:rsidRPr="00E51082">
              <w:rPr>
                <w:szCs w:val="24"/>
              </w:rPr>
              <w:t>.</w:t>
            </w:r>
            <w:r w:rsidR="00C70F94" w:rsidRPr="00E51082">
              <w:rPr>
                <w:szCs w:val="24"/>
              </w:rPr>
              <w:t>001</w:t>
            </w:r>
            <w:r w:rsidRPr="00E51082">
              <w:rPr>
                <w:szCs w:val="24"/>
              </w:rPr>
              <w:t>)</w:t>
            </w:r>
          </w:p>
        </w:tc>
        <w:tc>
          <w:tcPr>
            <w:tcW w:w="767" w:type="pct"/>
            <w:tcBorders>
              <w:top w:val="single" w:sz="4" w:space="0" w:color="auto"/>
              <w:left w:val="single" w:sz="4" w:space="0" w:color="auto"/>
              <w:bottom w:val="single" w:sz="4" w:space="0" w:color="auto"/>
            </w:tcBorders>
          </w:tcPr>
          <w:p w14:paraId="5D7DACBE" w14:textId="0CA183D2" w:rsidR="00FE1663" w:rsidRPr="00E51082" w:rsidRDefault="00FE1663" w:rsidP="00A13075">
            <w:pPr>
              <w:widowControl w:val="0"/>
              <w:autoSpaceDE w:val="0"/>
              <w:autoSpaceDN w:val="0"/>
              <w:adjustRightInd w:val="0"/>
              <w:spacing w:line="240" w:lineRule="auto"/>
              <w:rPr>
                <w:szCs w:val="24"/>
                <w:lang w:val="en-US"/>
              </w:rPr>
            </w:pPr>
            <w:r w:rsidRPr="00E51082">
              <w:rPr>
                <w:szCs w:val="24"/>
                <w:lang w:val="en-US"/>
              </w:rPr>
              <w:t>0</w:t>
            </w:r>
            <w:r w:rsidR="001323B8" w:rsidRPr="00E51082">
              <w:rPr>
                <w:szCs w:val="24"/>
                <w:lang w:val="en-US"/>
              </w:rPr>
              <w:t>.</w:t>
            </w:r>
            <w:r w:rsidRPr="00E51082">
              <w:rPr>
                <w:szCs w:val="24"/>
                <w:lang w:val="en-US"/>
              </w:rPr>
              <w:t>002</w:t>
            </w:r>
          </w:p>
          <w:p w14:paraId="3958D29C" w14:textId="125A4DE0" w:rsidR="00FE1663" w:rsidRPr="00E51082" w:rsidRDefault="00FE1663" w:rsidP="00A13075">
            <w:pPr>
              <w:widowControl w:val="0"/>
              <w:autoSpaceDE w:val="0"/>
              <w:autoSpaceDN w:val="0"/>
              <w:adjustRightInd w:val="0"/>
              <w:spacing w:line="240" w:lineRule="auto"/>
              <w:rPr>
                <w:szCs w:val="24"/>
                <w:lang w:val="en-US"/>
              </w:rPr>
            </w:pPr>
            <w:r w:rsidRPr="00E51082">
              <w:rPr>
                <w:szCs w:val="24"/>
                <w:lang w:val="en-US"/>
              </w:rPr>
              <w:t>(-0</w:t>
            </w:r>
            <w:r w:rsidR="001323B8" w:rsidRPr="00E51082">
              <w:rPr>
                <w:szCs w:val="24"/>
                <w:lang w:val="en-US"/>
              </w:rPr>
              <w:t>.</w:t>
            </w:r>
            <w:r w:rsidRPr="00E51082">
              <w:rPr>
                <w:szCs w:val="24"/>
                <w:lang w:val="en-US"/>
              </w:rPr>
              <w:t>001,0</w:t>
            </w:r>
            <w:r w:rsidR="001323B8" w:rsidRPr="00E51082">
              <w:rPr>
                <w:szCs w:val="24"/>
                <w:lang w:val="en-US"/>
              </w:rPr>
              <w:t>.</w:t>
            </w:r>
            <w:r w:rsidRPr="00E51082">
              <w:rPr>
                <w:szCs w:val="24"/>
                <w:lang w:val="en-US"/>
              </w:rPr>
              <w:t>004)</w:t>
            </w:r>
          </w:p>
        </w:tc>
        <w:tc>
          <w:tcPr>
            <w:tcW w:w="767" w:type="pct"/>
            <w:tcBorders>
              <w:top w:val="single" w:sz="4" w:space="0" w:color="auto"/>
              <w:bottom w:val="single" w:sz="4" w:space="0" w:color="auto"/>
            </w:tcBorders>
            <w:vAlign w:val="bottom"/>
          </w:tcPr>
          <w:p w14:paraId="1F947F7E" w14:textId="5F0D4ECA"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002</w:t>
            </w:r>
          </w:p>
          <w:p w14:paraId="1EEBCFEE" w14:textId="4EBF4748" w:rsidR="00FE1663" w:rsidRPr="00E51082" w:rsidRDefault="00FE1663" w:rsidP="00A13075">
            <w:pPr>
              <w:spacing w:line="240" w:lineRule="auto"/>
              <w:rPr>
                <w:szCs w:val="24"/>
              </w:rPr>
            </w:pPr>
            <w:r w:rsidRPr="00E51082">
              <w:rPr>
                <w:szCs w:val="24"/>
              </w:rPr>
              <w:t xml:space="preserve"> (-0</w:t>
            </w:r>
            <w:r w:rsidR="001323B8" w:rsidRPr="00E51082">
              <w:rPr>
                <w:szCs w:val="24"/>
              </w:rPr>
              <w:t>.</w:t>
            </w:r>
            <w:r w:rsidRPr="00E51082">
              <w:rPr>
                <w:szCs w:val="24"/>
              </w:rPr>
              <w:t>001,0</w:t>
            </w:r>
            <w:r w:rsidR="001323B8" w:rsidRPr="00E51082">
              <w:rPr>
                <w:szCs w:val="24"/>
              </w:rPr>
              <w:t>.</w:t>
            </w:r>
            <w:r w:rsidRPr="00E51082">
              <w:rPr>
                <w:szCs w:val="24"/>
              </w:rPr>
              <w:t>005)</w:t>
            </w:r>
          </w:p>
        </w:tc>
        <w:tc>
          <w:tcPr>
            <w:tcW w:w="766" w:type="pct"/>
            <w:tcBorders>
              <w:top w:val="single" w:sz="4" w:space="0" w:color="auto"/>
              <w:bottom w:val="single" w:sz="4" w:space="0" w:color="auto"/>
            </w:tcBorders>
          </w:tcPr>
          <w:p w14:paraId="5794980E" w14:textId="7883EA97"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 xml:space="preserve">001 </w:t>
            </w:r>
          </w:p>
          <w:p w14:paraId="7A9A2C92" w14:textId="00FADAA0"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001,0</w:t>
            </w:r>
            <w:r w:rsidR="001323B8" w:rsidRPr="00E51082">
              <w:rPr>
                <w:szCs w:val="24"/>
              </w:rPr>
              <w:t>.</w:t>
            </w:r>
            <w:r w:rsidRPr="00E51082">
              <w:rPr>
                <w:szCs w:val="24"/>
              </w:rPr>
              <w:t>004)</w:t>
            </w:r>
          </w:p>
        </w:tc>
      </w:tr>
      <w:tr w:rsidR="00E51082" w:rsidRPr="00E51082" w14:paraId="4B13B3EC" w14:textId="77777777" w:rsidTr="009541FA">
        <w:tc>
          <w:tcPr>
            <w:tcW w:w="823" w:type="pct"/>
            <w:tcBorders>
              <w:top w:val="single" w:sz="4" w:space="0" w:color="auto"/>
              <w:bottom w:val="single" w:sz="4" w:space="0" w:color="auto"/>
              <w:right w:val="single" w:sz="4" w:space="0" w:color="auto"/>
            </w:tcBorders>
          </w:tcPr>
          <w:p w14:paraId="0C71538E" w14:textId="77777777" w:rsidR="00FE1663" w:rsidRPr="00E51082" w:rsidRDefault="00FE1663" w:rsidP="00A13075">
            <w:pPr>
              <w:spacing w:line="240" w:lineRule="auto"/>
              <w:rPr>
                <w:szCs w:val="24"/>
              </w:rPr>
            </w:pPr>
            <w:r w:rsidRPr="00E51082">
              <w:rPr>
                <w:szCs w:val="24"/>
              </w:rPr>
              <w:t>Costs</w:t>
            </w:r>
            <w:r w:rsidRPr="00E51082">
              <w:rPr>
                <w:szCs w:val="24"/>
                <w:vertAlign w:val="superscript"/>
              </w:rPr>
              <w:t>c</w:t>
            </w:r>
          </w:p>
        </w:tc>
        <w:tc>
          <w:tcPr>
            <w:tcW w:w="469" w:type="pct"/>
            <w:tcBorders>
              <w:top w:val="single" w:sz="4" w:space="0" w:color="auto"/>
              <w:left w:val="single" w:sz="4" w:space="0" w:color="auto"/>
              <w:bottom w:val="single" w:sz="4" w:space="0" w:color="auto"/>
            </w:tcBorders>
            <w:vAlign w:val="bottom"/>
          </w:tcPr>
          <w:p w14:paraId="729F1EB0" w14:textId="72F7D4A7" w:rsidR="00FE1663" w:rsidRPr="00E51082" w:rsidRDefault="00FE1663" w:rsidP="00A13075">
            <w:pPr>
              <w:spacing w:line="240" w:lineRule="auto"/>
              <w:rPr>
                <w:szCs w:val="24"/>
              </w:rPr>
            </w:pPr>
            <w:r w:rsidRPr="00E51082">
              <w:rPr>
                <w:szCs w:val="24"/>
              </w:rPr>
              <w:t>3</w:t>
            </w:r>
            <w:r w:rsidR="007A30C4" w:rsidRPr="00E51082">
              <w:rPr>
                <w:szCs w:val="24"/>
              </w:rPr>
              <w:t>1</w:t>
            </w:r>
            <w:r w:rsidRPr="00E51082">
              <w:rPr>
                <w:szCs w:val="24"/>
              </w:rPr>
              <w:t>1 (</w:t>
            </w:r>
            <w:r w:rsidR="007A30C4" w:rsidRPr="00E51082">
              <w:rPr>
                <w:szCs w:val="24"/>
              </w:rPr>
              <w:t>23</w:t>
            </w:r>
            <w:r w:rsidRPr="00E51082">
              <w:rPr>
                <w:szCs w:val="24"/>
              </w:rPr>
              <w:t>)</w:t>
            </w:r>
          </w:p>
        </w:tc>
        <w:tc>
          <w:tcPr>
            <w:tcW w:w="469" w:type="pct"/>
            <w:tcBorders>
              <w:top w:val="single" w:sz="4" w:space="0" w:color="auto"/>
              <w:bottom w:val="single" w:sz="4" w:space="0" w:color="auto"/>
            </w:tcBorders>
            <w:vAlign w:val="bottom"/>
          </w:tcPr>
          <w:p w14:paraId="5D69374D" w14:textId="05635A1B" w:rsidR="00FE1663" w:rsidRPr="00E51082" w:rsidRDefault="007A30C4" w:rsidP="00A13075">
            <w:pPr>
              <w:spacing w:line="240" w:lineRule="auto"/>
              <w:rPr>
                <w:szCs w:val="24"/>
              </w:rPr>
            </w:pPr>
            <w:r w:rsidRPr="00E51082">
              <w:rPr>
                <w:szCs w:val="24"/>
              </w:rPr>
              <w:t xml:space="preserve">229 </w:t>
            </w:r>
            <w:r w:rsidR="00FE1663" w:rsidRPr="00E51082">
              <w:rPr>
                <w:szCs w:val="24"/>
              </w:rPr>
              <w:t>(</w:t>
            </w:r>
            <w:r w:rsidRPr="00E51082">
              <w:rPr>
                <w:szCs w:val="24"/>
              </w:rPr>
              <w:t>12</w:t>
            </w:r>
            <w:r w:rsidR="00FE1663" w:rsidRPr="00E51082">
              <w:rPr>
                <w:szCs w:val="24"/>
              </w:rPr>
              <w:t>)</w:t>
            </w:r>
          </w:p>
        </w:tc>
        <w:tc>
          <w:tcPr>
            <w:tcW w:w="469" w:type="pct"/>
            <w:tcBorders>
              <w:top w:val="single" w:sz="4" w:space="0" w:color="auto"/>
              <w:bottom w:val="single" w:sz="4" w:space="0" w:color="auto"/>
            </w:tcBorders>
            <w:vAlign w:val="bottom"/>
          </w:tcPr>
          <w:p w14:paraId="287B7E6F" w14:textId="28B85B26" w:rsidR="00FE1663" w:rsidRPr="00E51082" w:rsidRDefault="00C70F94" w:rsidP="00A13075">
            <w:pPr>
              <w:spacing w:line="240" w:lineRule="auto"/>
              <w:rPr>
                <w:szCs w:val="24"/>
              </w:rPr>
            </w:pPr>
            <w:r w:rsidRPr="00E51082">
              <w:rPr>
                <w:szCs w:val="24"/>
              </w:rPr>
              <w:t xml:space="preserve">218 </w:t>
            </w:r>
            <w:r w:rsidR="00FE1663" w:rsidRPr="00E51082">
              <w:rPr>
                <w:szCs w:val="24"/>
              </w:rPr>
              <w:t>(</w:t>
            </w:r>
            <w:r w:rsidRPr="00E51082">
              <w:rPr>
                <w:szCs w:val="24"/>
              </w:rPr>
              <w:t>12</w:t>
            </w:r>
            <w:r w:rsidR="00FE1663" w:rsidRPr="00E51082">
              <w:rPr>
                <w:szCs w:val="24"/>
              </w:rPr>
              <w:t>)</w:t>
            </w:r>
          </w:p>
        </w:tc>
        <w:tc>
          <w:tcPr>
            <w:tcW w:w="470" w:type="pct"/>
            <w:tcBorders>
              <w:top w:val="single" w:sz="4" w:space="0" w:color="auto"/>
              <w:bottom w:val="single" w:sz="4" w:space="0" w:color="auto"/>
              <w:right w:val="single" w:sz="4" w:space="0" w:color="auto"/>
            </w:tcBorders>
            <w:vAlign w:val="bottom"/>
          </w:tcPr>
          <w:p w14:paraId="24AE2CA9" w14:textId="26A40975" w:rsidR="00FE1663" w:rsidRPr="00E51082" w:rsidRDefault="00C70F94" w:rsidP="00A13075">
            <w:pPr>
              <w:spacing w:line="240" w:lineRule="auto"/>
              <w:rPr>
                <w:szCs w:val="24"/>
              </w:rPr>
            </w:pPr>
            <w:r w:rsidRPr="00E51082">
              <w:rPr>
                <w:szCs w:val="24"/>
              </w:rPr>
              <w:t xml:space="preserve">238 </w:t>
            </w:r>
            <w:r w:rsidR="00FE1663" w:rsidRPr="00E51082">
              <w:rPr>
                <w:szCs w:val="24"/>
              </w:rPr>
              <w:t>(</w:t>
            </w:r>
            <w:r w:rsidRPr="00E51082">
              <w:rPr>
                <w:szCs w:val="24"/>
              </w:rPr>
              <w:t>19</w:t>
            </w:r>
            <w:r w:rsidR="00FE1663" w:rsidRPr="00E51082">
              <w:rPr>
                <w:szCs w:val="24"/>
              </w:rPr>
              <w:t>)</w:t>
            </w:r>
          </w:p>
        </w:tc>
        <w:tc>
          <w:tcPr>
            <w:tcW w:w="767" w:type="pct"/>
            <w:tcBorders>
              <w:top w:val="single" w:sz="4" w:space="0" w:color="auto"/>
              <w:left w:val="single" w:sz="4" w:space="0" w:color="auto"/>
              <w:bottom w:val="single" w:sz="4" w:space="0" w:color="auto"/>
            </w:tcBorders>
            <w:vAlign w:val="bottom"/>
          </w:tcPr>
          <w:p w14:paraId="48F41C0C" w14:textId="7E0B907D" w:rsidR="00FE1663" w:rsidRPr="00E51082" w:rsidRDefault="00FE1663" w:rsidP="00A13075">
            <w:pPr>
              <w:spacing w:line="240" w:lineRule="auto"/>
              <w:rPr>
                <w:szCs w:val="24"/>
                <w:lang w:val="en-US"/>
              </w:rPr>
            </w:pPr>
            <w:r w:rsidRPr="00E51082">
              <w:rPr>
                <w:szCs w:val="24"/>
                <w:lang w:val="en-US"/>
              </w:rPr>
              <w:t>-</w:t>
            </w:r>
            <w:r w:rsidR="00CF6161" w:rsidRPr="00E51082">
              <w:rPr>
                <w:szCs w:val="24"/>
                <w:lang w:val="en-US"/>
              </w:rPr>
              <w:t>82</w:t>
            </w:r>
            <w:r w:rsidR="002F5DEB" w:rsidRPr="00E51082">
              <w:rPr>
                <w:szCs w:val="24"/>
                <w:lang w:val="en-US"/>
              </w:rPr>
              <w:t>**</w:t>
            </w:r>
          </w:p>
          <w:p w14:paraId="57E4CB3B" w14:textId="184AC065" w:rsidR="00FE1663" w:rsidRPr="00E51082" w:rsidRDefault="00FE1663" w:rsidP="00A13075">
            <w:pPr>
              <w:spacing w:line="240" w:lineRule="auto"/>
              <w:rPr>
                <w:szCs w:val="24"/>
                <w:lang w:val="en-US"/>
              </w:rPr>
            </w:pPr>
            <w:r w:rsidRPr="00E51082">
              <w:rPr>
                <w:szCs w:val="24"/>
                <w:lang w:val="en-US"/>
              </w:rPr>
              <w:t>(</w:t>
            </w:r>
            <w:r w:rsidRPr="00E51082">
              <w:rPr>
                <w:szCs w:val="24"/>
              </w:rPr>
              <w:t>-</w:t>
            </w:r>
            <w:r w:rsidR="00CF6161" w:rsidRPr="00E51082">
              <w:rPr>
                <w:szCs w:val="24"/>
              </w:rPr>
              <w:t>133</w:t>
            </w:r>
            <w:r w:rsidRPr="00E51082">
              <w:rPr>
                <w:szCs w:val="24"/>
              </w:rPr>
              <w:t>, -</w:t>
            </w:r>
            <w:r w:rsidR="00CF6161" w:rsidRPr="00E51082">
              <w:rPr>
                <w:szCs w:val="24"/>
              </w:rPr>
              <w:t>31</w:t>
            </w:r>
            <w:r w:rsidRPr="00E51082">
              <w:rPr>
                <w:szCs w:val="24"/>
                <w:lang w:val="en-US"/>
              </w:rPr>
              <w:t>)</w:t>
            </w:r>
          </w:p>
        </w:tc>
        <w:tc>
          <w:tcPr>
            <w:tcW w:w="767" w:type="pct"/>
            <w:tcBorders>
              <w:top w:val="single" w:sz="4" w:space="0" w:color="auto"/>
              <w:bottom w:val="single" w:sz="4" w:space="0" w:color="auto"/>
            </w:tcBorders>
            <w:vAlign w:val="bottom"/>
          </w:tcPr>
          <w:p w14:paraId="7F556C39" w14:textId="06C3925A" w:rsidR="00FE1663" w:rsidRPr="00E51082" w:rsidRDefault="00FE1663" w:rsidP="00A13075">
            <w:pPr>
              <w:spacing w:line="240" w:lineRule="auto"/>
              <w:rPr>
                <w:szCs w:val="24"/>
              </w:rPr>
            </w:pPr>
            <w:r w:rsidRPr="00E51082">
              <w:rPr>
                <w:szCs w:val="24"/>
              </w:rPr>
              <w:t>-</w:t>
            </w:r>
            <w:r w:rsidR="00C70F94" w:rsidRPr="00E51082">
              <w:rPr>
                <w:szCs w:val="24"/>
              </w:rPr>
              <w:t>93</w:t>
            </w:r>
            <w:r w:rsidR="002F5DEB" w:rsidRPr="00E51082">
              <w:rPr>
                <w:szCs w:val="24"/>
              </w:rPr>
              <w:t xml:space="preserve">***   </w:t>
            </w:r>
          </w:p>
          <w:p w14:paraId="0B25C617" w14:textId="74511B35" w:rsidR="00FE1663" w:rsidRPr="00E51082" w:rsidRDefault="00FE1663" w:rsidP="00A13075">
            <w:pPr>
              <w:spacing w:line="240" w:lineRule="auto"/>
              <w:rPr>
                <w:szCs w:val="24"/>
              </w:rPr>
            </w:pPr>
            <w:r w:rsidRPr="00E51082">
              <w:rPr>
                <w:szCs w:val="24"/>
              </w:rPr>
              <w:t>(-</w:t>
            </w:r>
            <w:r w:rsidR="00C70F94" w:rsidRPr="00E51082">
              <w:rPr>
                <w:szCs w:val="24"/>
              </w:rPr>
              <w:t>143</w:t>
            </w:r>
            <w:r w:rsidRPr="00E51082">
              <w:rPr>
                <w:szCs w:val="24"/>
              </w:rPr>
              <w:t>, -</w:t>
            </w:r>
            <w:r w:rsidR="00C70F94" w:rsidRPr="00E51082">
              <w:rPr>
                <w:szCs w:val="24"/>
              </w:rPr>
              <w:t>43</w:t>
            </w:r>
            <w:r w:rsidRPr="00E51082">
              <w:rPr>
                <w:szCs w:val="24"/>
              </w:rPr>
              <w:t>)</w:t>
            </w:r>
          </w:p>
        </w:tc>
        <w:tc>
          <w:tcPr>
            <w:tcW w:w="766" w:type="pct"/>
            <w:tcBorders>
              <w:top w:val="single" w:sz="4" w:space="0" w:color="auto"/>
              <w:bottom w:val="single" w:sz="4" w:space="0" w:color="auto"/>
            </w:tcBorders>
            <w:vAlign w:val="bottom"/>
          </w:tcPr>
          <w:p w14:paraId="432D0BBD" w14:textId="668DC819" w:rsidR="00FE1663" w:rsidRPr="00E51082" w:rsidRDefault="00FE1663" w:rsidP="00A13075">
            <w:pPr>
              <w:spacing w:line="240" w:lineRule="auto"/>
              <w:rPr>
                <w:szCs w:val="24"/>
              </w:rPr>
            </w:pPr>
            <w:r w:rsidRPr="00E51082">
              <w:rPr>
                <w:szCs w:val="24"/>
              </w:rPr>
              <w:t>-</w:t>
            </w:r>
            <w:r w:rsidR="00C70F94" w:rsidRPr="00E51082">
              <w:rPr>
                <w:szCs w:val="24"/>
              </w:rPr>
              <w:t>73</w:t>
            </w:r>
            <w:r w:rsidR="002F5DEB" w:rsidRPr="00E51082">
              <w:rPr>
                <w:szCs w:val="24"/>
              </w:rPr>
              <w:t xml:space="preserve">* </w:t>
            </w:r>
          </w:p>
          <w:p w14:paraId="32283205" w14:textId="52931A74" w:rsidR="00FE1663" w:rsidRPr="00E51082" w:rsidRDefault="00FE1663" w:rsidP="00A13075">
            <w:pPr>
              <w:spacing w:line="240" w:lineRule="auto"/>
              <w:rPr>
                <w:szCs w:val="24"/>
              </w:rPr>
            </w:pPr>
            <w:r w:rsidRPr="00E51082">
              <w:rPr>
                <w:szCs w:val="24"/>
              </w:rPr>
              <w:t>(-</w:t>
            </w:r>
            <w:r w:rsidR="00C70F94" w:rsidRPr="00E51082">
              <w:rPr>
                <w:szCs w:val="24"/>
              </w:rPr>
              <w:t>131</w:t>
            </w:r>
            <w:r w:rsidRPr="00E51082">
              <w:rPr>
                <w:szCs w:val="24"/>
              </w:rPr>
              <w:t xml:space="preserve">, </w:t>
            </w:r>
            <w:r w:rsidR="00C70F94" w:rsidRPr="00E51082">
              <w:rPr>
                <w:szCs w:val="24"/>
              </w:rPr>
              <w:t>-16</w:t>
            </w:r>
            <w:r w:rsidRPr="00E51082">
              <w:rPr>
                <w:szCs w:val="24"/>
              </w:rPr>
              <w:t>)</w:t>
            </w:r>
          </w:p>
        </w:tc>
      </w:tr>
      <w:tr w:rsidR="00E51082" w:rsidRPr="00E51082" w14:paraId="32E4B68A" w14:textId="77777777" w:rsidTr="009541FA">
        <w:tc>
          <w:tcPr>
            <w:tcW w:w="823" w:type="pct"/>
            <w:tcBorders>
              <w:top w:val="single" w:sz="4" w:space="0" w:color="auto"/>
              <w:bottom w:val="single" w:sz="4" w:space="0" w:color="auto"/>
              <w:right w:val="single" w:sz="4" w:space="0" w:color="auto"/>
            </w:tcBorders>
          </w:tcPr>
          <w:p w14:paraId="4DEA30DC" w14:textId="77777777" w:rsidR="00FE1663" w:rsidRPr="00E51082" w:rsidRDefault="00FE1663" w:rsidP="00A13075">
            <w:pPr>
              <w:spacing w:line="240" w:lineRule="auto"/>
              <w:rPr>
                <w:szCs w:val="24"/>
              </w:rPr>
            </w:pPr>
            <w:r w:rsidRPr="00E51082">
              <w:rPr>
                <w:szCs w:val="24"/>
              </w:rPr>
              <w:t>ICER</w:t>
            </w:r>
            <w:r w:rsidRPr="00E51082">
              <w:rPr>
                <w:szCs w:val="24"/>
                <w:vertAlign w:val="superscript"/>
              </w:rPr>
              <w:t>d</w:t>
            </w:r>
          </w:p>
        </w:tc>
        <w:tc>
          <w:tcPr>
            <w:tcW w:w="469" w:type="pct"/>
            <w:tcBorders>
              <w:top w:val="single" w:sz="4" w:space="0" w:color="auto"/>
              <w:left w:val="single" w:sz="4" w:space="0" w:color="auto"/>
              <w:bottom w:val="single" w:sz="4" w:space="0" w:color="auto"/>
            </w:tcBorders>
            <w:vAlign w:val="bottom"/>
          </w:tcPr>
          <w:p w14:paraId="2C6156BE" w14:textId="77777777" w:rsidR="00FE1663" w:rsidRPr="00E51082" w:rsidRDefault="00FE1663" w:rsidP="00A13075">
            <w:pPr>
              <w:spacing w:line="240" w:lineRule="auto"/>
              <w:rPr>
                <w:szCs w:val="24"/>
              </w:rPr>
            </w:pPr>
            <w:r w:rsidRPr="00E51082">
              <w:rPr>
                <w:szCs w:val="24"/>
              </w:rPr>
              <w:t>-</w:t>
            </w:r>
          </w:p>
        </w:tc>
        <w:tc>
          <w:tcPr>
            <w:tcW w:w="469" w:type="pct"/>
            <w:tcBorders>
              <w:top w:val="single" w:sz="4" w:space="0" w:color="auto"/>
              <w:bottom w:val="single" w:sz="4" w:space="0" w:color="auto"/>
            </w:tcBorders>
            <w:vAlign w:val="bottom"/>
          </w:tcPr>
          <w:p w14:paraId="2D49834D" w14:textId="77777777" w:rsidR="00FE1663" w:rsidRPr="00E51082" w:rsidRDefault="00FE1663" w:rsidP="00A13075">
            <w:pPr>
              <w:spacing w:line="240" w:lineRule="auto"/>
              <w:rPr>
                <w:szCs w:val="24"/>
              </w:rPr>
            </w:pPr>
            <w:r w:rsidRPr="00E51082">
              <w:rPr>
                <w:szCs w:val="24"/>
              </w:rPr>
              <w:t>-</w:t>
            </w:r>
          </w:p>
        </w:tc>
        <w:tc>
          <w:tcPr>
            <w:tcW w:w="469" w:type="pct"/>
            <w:tcBorders>
              <w:top w:val="single" w:sz="4" w:space="0" w:color="auto"/>
              <w:bottom w:val="single" w:sz="4" w:space="0" w:color="auto"/>
            </w:tcBorders>
            <w:vAlign w:val="bottom"/>
          </w:tcPr>
          <w:p w14:paraId="783EF75D" w14:textId="77777777" w:rsidR="00FE1663" w:rsidRPr="00E51082" w:rsidRDefault="00FE1663" w:rsidP="00A13075">
            <w:pPr>
              <w:spacing w:line="240" w:lineRule="auto"/>
              <w:rPr>
                <w:szCs w:val="24"/>
              </w:rPr>
            </w:pPr>
            <w:r w:rsidRPr="00E51082">
              <w:rPr>
                <w:szCs w:val="24"/>
              </w:rPr>
              <w:t>-</w:t>
            </w:r>
          </w:p>
        </w:tc>
        <w:tc>
          <w:tcPr>
            <w:tcW w:w="470" w:type="pct"/>
            <w:tcBorders>
              <w:top w:val="single" w:sz="4" w:space="0" w:color="auto"/>
              <w:bottom w:val="single" w:sz="4" w:space="0" w:color="auto"/>
              <w:right w:val="single" w:sz="4" w:space="0" w:color="auto"/>
            </w:tcBorders>
            <w:vAlign w:val="bottom"/>
          </w:tcPr>
          <w:p w14:paraId="22A4952F" w14:textId="77777777" w:rsidR="00FE1663" w:rsidRPr="00E51082" w:rsidRDefault="00FE1663" w:rsidP="00A13075">
            <w:pPr>
              <w:spacing w:line="240" w:lineRule="auto"/>
              <w:rPr>
                <w:szCs w:val="24"/>
              </w:rPr>
            </w:pPr>
            <w:r w:rsidRPr="00E51082">
              <w:rPr>
                <w:szCs w:val="24"/>
              </w:rPr>
              <w:t>-</w:t>
            </w:r>
          </w:p>
        </w:tc>
        <w:tc>
          <w:tcPr>
            <w:tcW w:w="767" w:type="pct"/>
            <w:tcBorders>
              <w:top w:val="single" w:sz="4" w:space="0" w:color="auto"/>
              <w:left w:val="single" w:sz="4" w:space="0" w:color="auto"/>
              <w:bottom w:val="single" w:sz="4" w:space="0" w:color="auto"/>
            </w:tcBorders>
            <w:vAlign w:val="bottom"/>
          </w:tcPr>
          <w:p w14:paraId="1EFC0338" w14:textId="77777777" w:rsidR="00FE1663" w:rsidRPr="00E51082" w:rsidRDefault="00FE1663" w:rsidP="00A13075">
            <w:pPr>
              <w:spacing w:line="240" w:lineRule="auto"/>
              <w:rPr>
                <w:szCs w:val="24"/>
              </w:rPr>
            </w:pPr>
            <w:r w:rsidRPr="00E51082">
              <w:rPr>
                <w:szCs w:val="24"/>
              </w:rPr>
              <w:t xml:space="preserve">-50 800 </w:t>
            </w:r>
          </w:p>
          <w:p w14:paraId="45143856" w14:textId="77777777" w:rsidR="00FE1663" w:rsidRPr="00E51082" w:rsidRDefault="00FE1663" w:rsidP="00A13075">
            <w:pPr>
              <w:spacing w:line="240" w:lineRule="auto"/>
              <w:rPr>
                <w:szCs w:val="24"/>
              </w:rPr>
            </w:pPr>
            <w:r w:rsidRPr="00E51082">
              <w:rPr>
                <w:szCs w:val="24"/>
              </w:rPr>
              <w:t>(66 500, -14 000)</w:t>
            </w:r>
          </w:p>
        </w:tc>
        <w:tc>
          <w:tcPr>
            <w:tcW w:w="767" w:type="pct"/>
            <w:tcBorders>
              <w:top w:val="single" w:sz="4" w:space="0" w:color="auto"/>
              <w:bottom w:val="single" w:sz="4" w:space="0" w:color="auto"/>
            </w:tcBorders>
            <w:vAlign w:val="bottom"/>
          </w:tcPr>
          <w:p w14:paraId="33C20F8A" w14:textId="77777777" w:rsidR="00FE1663" w:rsidRPr="00E51082" w:rsidRDefault="00FE1663" w:rsidP="00A13075">
            <w:pPr>
              <w:spacing w:line="240" w:lineRule="auto"/>
              <w:rPr>
                <w:szCs w:val="24"/>
              </w:rPr>
            </w:pPr>
            <w:r w:rsidRPr="00E51082">
              <w:rPr>
                <w:szCs w:val="24"/>
              </w:rPr>
              <w:t>-52 800</w:t>
            </w:r>
          </w:p>
          <w:p w14:paraId="36DAE1DF" w14:textId="77777777" w:rsidR="00FE1663" w:rsidRPr="00E51082" w:rsidRDefault="00FE1663" w:rsidP="00A13075">
            <w:pPr>
              <w:spacing w:line="240" w:lineRule="auto"/>
              <w:rPr>
                <w:szCs w:val="24"/>
              </w:rPr>
            </w:pPr>
            <w:r w:rsidRPr="00E51082">
              <w:rPr>
                <w:szCs w:val="24"/>
              </w:rPr>
              <w:t xml:space="preserve"> (53 000, -15 500)</w:t>
            </w:r>
          </w:p>
        </w:tc>
        <w:tc>
          <w:tcPr>
            <w:tcW w:w="766" w:type="pct"/>
            <w:tcBorders>
              <w:top w:val="single" w:sz="4" w:space="0" w:color="auto"/>
              <w:bottom w:val="single" w:sz="4" w:space="0" w:color="auto"/>
            </w:tcBorders>
            <w:vAlign w:val="bottom"/>
          </w:tcPr>
          <w:p w14:paraId="0617FF75" w14:textId="77777777" w:rsidR="00FE1663" w:rsidRPr="00E51082" w:rsidRDefault="00FE1663" w:rsidP="00A13075">
            <w:pPr>
              <w:spacing w:line="240" w:lineRule="auto"/>
              <w:rPr>
                <w:szCs w:val="24"/>
              </w:rPr>
            </w:pPr>
            <w:r w:rsidRPr="00E51082">
              <w:rPr>
                <w:szCs w:val="24"/>
              </w:rPr>
              <w:t xml:space="preserve">-48 900 </w:t>
            </w:r>
          </w:p>
          <w:p w14:paraId="61AFDE01" w14:textId="77777777" w:rsidR="00FE1663" w:rsidRPr="00E51082" w:rsidRDefault="00FE1663" w:rsidP="00A13075">
            <w:pPr>
              <w:spacing w:line="240" w:lineRule="auto"/>
              <w:rPr>
                <w:szCs w:val="24"/>
              </w:rPr>
            </w:pPr>
            <w:r w:rsidRPr="00E51082">
              <w:rPr>
                <w:szCs w:val="24"/>
              </w:rPr>
              <w:t>(50 000, -8 000)</w:t>
            </w:r>
          </w:p>
        </w:tc>
      </w:tr>
      <w:tr w:rsidR="00E51082" w:rsidRPr="00E51082" w14:paraId="4A9C1D56" w14:textId="77777777" w:rsidTr="009541FA">
        <w:tc>
          <w:tcPr>
            <w:tcW w:w="823" w:type="pct"/>
            <w:tcBorders>
              <w:top w:val="single" w:sz="4" w:space="0" w:color="auto"/>
              <w:bottom w:val="single" w:sz="4" w:space="0" w:color="auto"/>
              <w:right w:val="single" w:sz="4" w:space="0" w:color="auto"/>
            </w:tcBorders>
          </w:tcPr>
          <w:p w14:paraId="0B3B8E5F" w14:textId="77777777" w:rsidR="00FE1663" w:rsidRPr="00E51082" w:rsidRDefault="00FE1663" w:rsidP="00A13075">
            <w:pPr>
              <w:spacing w:line="240" w:lineRule="auto"/>
              <w:rPr>
                <w:szCs w:val="24"/>
              </w:rPr>
            </w:pPr>
            <w:r w:rsidRPr="00E51082">
              <w:rPr>
                <w:szCs w:val="24"/>
              </w:rPr>
              <w:t xml:space="preserve">Low-risk status at </w:t>
            </w:r>
          </w:p>
          <w:p w14:paraId="06D19BDF" w14:textId="77777777" w:rsidR="00FE1663" w:rsidRPr="00E51082" w:rsidRDefault="00FE1663" w:rsidP="00A13075">
            <w:pPr>
              <w:spacing w:line="240" w:lineRule="auto"/>
              <w:rPr>
                <w:szCs w:val="24"/>
              </w:rPr>
            </w:pPr>
            <w:r w:rsidRPr="00E51082">
              <w:rPr>
                <w:szCs w:val="24"/>
              </w:rPr>
              <w:t>6 months</w:t>
            </w:r>
            <w:r w:rsidRPr="00E51082">
              <w:rPr>
                <w:szCs w:val="24"/>
                <w:vertAlign w:val="superscript"/>
              </w:rPr>
              <w:t>e</w:t>
            </w:r>
          </w:p>
        </w:tc>
        <w:tc>
          <w:tcPr>
            <w:tcW w:w="469" w:type="pct"/>
            <w:tcBorders>
              <w:top w:val="single" w:sz="4" w:space="0" w:color="auto"/>
              <w:left w:val="single" w:sz="4" w:space="0" w:color="auto"/>
              <w:bottom w:val="single" w:sz="4" w:space="0" w:color="auto"/>
            </w:tcBorders>
            <w:vAlign w:val="bottom"/>
          </w:tcPr>
          <w:p w14:paraId="325566D2" w14:textId="03ECCC93" w:rsidR="00FE1663" w:rsidRPr="00E51082" w:rsidRDefault="00FE1663" w:rsidP="00A13075">
            <w:pPr>
              <w:spacing w:line="240" w:lineRule="auto"/>
              <w:rPr>
                <w:szCs w:val="24"/>
              </w:rPr>
            </w:pPr>
            <w:r w:rsidRPr="00E51082">
              <w:rPr>
                <w:szCs w:val="24"/>
              </w:rPr>
              <w:t xml:space="preserve">  89</w:t>
            </w:r>
            <w:r w:rsidR="001323B8" w:rsidRPr="00E51082">
              <w:rPr>
                <w:szCs w:val="24"/>
              </w:rPr>
              <w:t>.</w:t>
            </w:r>
            <w:r w:rsidRPr="00E51082">
              <w:rPr>
                <w:szCs w:val="24"/>
              </w:rPr>
              <w:t>4%</w:t>
            </w:r>
          </w:p>
          <w:p w14:paraId="11565198" w14:textId="3ACF0D63" w:rsidR="00FE1663" w:rsidRPr="00E51082" w:rsidRDefault="00FE1663" w:rsidP="00A13075">
            <w:pPr>
              <w:spacing w:line="240" w:lineRule="auto"/>
              <w:rPr>
                <w:szCs w:val="24"/>
              </w:rPr>
            </w:pPr>
            <w:r w:rsidRPr="00E51082">
              <w:rPr>
                <w:szCs w:val="24"/>
              </w:rPr>
              <w:t xml:space="preserve"> (1</w:t>
            </w:r>
            <w:r w:rsidR="001323B8" w:rsidRPr="00E51082">
              <w:rPr>
                <w:szCs w:val="24"/>
              </w:rPr>
              <w:t>.</w:t>
            </w:r>
            <w:r w:rsidRPr="00E51082">
              <w:rPr>
                <w:szCs w:val="24"/>
              </w:rPr>
              <w:t>2%)</w:t>
            </w:r>
          </w:p>
        </w:tc>
        <w:tc>
          <w:tcPr>
            <w:tcW w:w="469" w:type="pct"/>
            <w:tcBorders>
              <w:top w:val="single" w:sz="4" w:space="0" w:color="auto"/>
              <w:bottom w:val="single" w:sz="4" w:space="0" w:color="auto"/>
            </w:tcBorders>
            <w:vAlign w:val="bottom"/>
          </w:tcPr>
          <w:p w14:paraId="3784FCC0" w14:textId="4D4E7DBF" w:rsidR="00FE1663" w:rsidRPr="00E51082" w:rsidRDefault="00FE1663" w:rsidP="00A13075">
            <w:pPr>
              <w:spacing w:line="240" w:lineRule="auto"/>
              <w:rPr>
                <w:szCs w:val="24"/>
              </w:rPr>
            </w:pPr>
            <w:r w:rsidRPr="00E51082">
              <w:rPr>
                <w:szCs w:val="24"/>
              </w:rPr>
              <w:t xml:space="preserve">  91</w:t>
            </w:r>
            <w:r w:rsidR="001323B8" w:rsidRPr="00E51082">
              <w:rPr>
                <w:szCs w:val="24"/>
              </w:rPr>
              <w:t>.</w:t>
            </w:r>
            <w:r w:rsidRPr="00E51082">
              <w:rPr>
                <w:szCs w:val="24"/>
              </w:rPr>
              <w:t xml:space="preserve">7% </w:t>
            </w:r>
          </w:p>
          <w:p w14:paraId="03E12500" w14:textId="09A69581" w:rsidR="00FE1663" w:rsidRPr="00E51082" w:rsidRDefault="00FE1663" w:rsidP="00A13075">
            <w:pPr>
              <w:spacing w:line="240" w:lineRule="auto"/>
              <w:rPr>
                <w:szCs w:val="24"/>
              </w:rPr>
            </w:pPr>
            <w:r w:rsidRPr="00E51082">
              <w:rPr>
                <w:szCs w:val="24"/>
              </w:rPr>
              <w:t>(0</w:t>
            </w:r>
            <w:r w:rsidR="001323B8" w:rsidRPr="00E51082">
              <w:rPr>
                <w:szCs w:val="24"/>
              </w:rPr>
              <w:t>.</w:t>
            </w:r>
            <w:r w:rsidRPr="00E51082">
              <w:rPr>
                <w:szCs w:val="24"/>
              </w:rPr>
              <w:t>8%)</w:t>
            </w:r>
          </w:p>
        </w:tc>
        <w:tc>
          <w:tcPr>
            <w:tcW w:w="469" w:type="pct"/>
            <w:tcBorders>
              <w:top w:val="single" w:sz="4" w:space="0" w:color="auto"/>
              <w:bottom w:val="single" w:sz="4" w:space="0" w:color="auto"/>
            </w:tcBorders>
            <w:vAlign w:val="bottom"/>
          </w:tcPr>
          <w:p w14:paraId="6F551CE8" w14:textId="71908216" w:rsidR="00FE1663" w:rsidRPr="00E51082" w:rsidRDefault="00FE1663" w:rsidP="00A13075">
            <w:pPr>
              <w:spacing w:line="240" w:lineRule="auto"/>
              <w:rPr>
                <w:szCs w:val="24"/>
              </w:rPr>
            </w:pPr>
            <w:r w:rsidRPr="00E51082">
              <w:rPr>
                <w:szCs w:val="24"/>
              </w:rPr>
              <w:t xml:space="preserve">  92</w:t>
            </w:r>
            <w:r w:rsidR="001323B8" w:rsidRPr="00E51082">
              <w:rPr>
                <w:szCs w:val="24"/>
              </w:rPr>
              <w:t>.</w:t>
            </w:r>
            <w:r w:rsidRPr="00E51082">
              <w:rPr>
                <w:szCs w:val="24"/>
              </w:rPr>
              <w:t xml:space="preserve">0% </w:t>
            </w:r>
          </w:p>
          <w:p w14:paraId="2F42DB0E" w14:textId="30CC9F89" w:rsidR="00FE1663" w:rsidRPr="00E51082" w:rsidRDefault="00FE1663" w:rsidP="00A13075">
            <w:pPr>
              <w:spacing w:line="240" w:lineRule="auto"/>
              <w:rPr>
                <w:szCs w:val="24"/>
              </w:rPr>
            </w:pPr>
            <w:r w:rsidRPr="00E51082">
              <w:rPr>
                <w:szCs w:val="24"/>
              </w:rPr>
              <w:t>(1</w:t>
            </w:r>
            <w:r w:rsidR="001323B8" w:rsidRPr="00E51082">
              <w:rPr>
                <w:szCs w:val="24"/>
              </w:rPr>
              <w:t>.</w:t>
            </w:r>
            <w:r w:rsidR="000C061E" w:rsidRPr="00E51082">
              <w:rPr>
                <w:szCs w:val="24"/>
              </w:rPr>
              <w:t>2</w:t>
            </w:r>
            <w:r w:rsidRPr="00E51082">
              <w:rPr>
                <w:szCs w:val="24"/>
              </w:rPr>
              <w:t>%)</w:t>
            </w:r>
          </w:p>
        </w:tc>
        <w:tc>
          <w:tcPr>
            <w:tcW w:w="470" w:type="pct"/>
            <w:tcBorders>
              <w:top w:val="single" w:sz="4" w:space="0" w:color="auto"/>
              <w:bottom w:val="single" w:sz="4" w:space="0" w:color="auto"/>
              <w:right w:val="single" w:sz="4" w:space="0" w:color="auto"/>
            </w:tcBorders>
            <w:vAlign w:val="bottom"/>
          </w:tcPr>
          <w:p w14:paraId="32DA7BC8" w14:textId="6E48DFBF" w:rsidR="00FE1663" w:rsidRPr="00E51082" w:rsidRDefault="00FE1663" w:rsidP="00A13075">
            <w:pPr>
              <w:spacing w:line="240" w:lineRule="auto"/>
              <w:rPr>
                <w:szCs w:val="24"/>
              </w:rPr>
            </w:pPr>
            <w:r w:rsidRPr="00E51082">
              <w:rPr>
                <w:szCs w:val="24"/>
              </w:rPr>
              <w:t>91</w:t>
            </w:r>
            <w:r w:rsidR="001323B8" w:rsidRPr="00E51082">
              <w:rPr>
                <w:szCs w:val="24"/>
              </w:rPr>
              <w:t>.</w:t>
            </w:r>
            <w:r w:rsidRPr="00E51082">
              <w:rPr>
                <w:szCs w:val="24"/>
              </w:rPr>
              <w:t>4%</w:t>
            </w:r>
          </w:p>
          <w:p w14:paraId="02CB7D61" w14:textId="68E4CCFC" w:rsidR="00FE1663" w:rsidRPr="00E51082" w:rsidRDefault="00FE1663" w:rsidP="00A13075">
            <w:pPr>
              <w:spacing w:line="240" w:lineRule="auto"/>
              <w:rPr>
                <w:szCs w:val="24"/>
              </w:rPr>
            </w:pPr>
            <w:r w:rsidRPr="00E51082">
              <w:rPr>
                <w:szCs w:val="24"/>
              </w:rPr>
              <w:t>(</w:t>
            </w:r>
            <w:r w:rsidR="000C061E" w:rsidRPr="00E51082">
              <w:rPr>
                <w:szCs w:val="24"/>
              </w:rPr>
              <w:t>0</w:t>
            </w:r>
            <w:r w:rsidR="001323B8" w:rsidRPr="00E51082">
              <w:rPr>
                <w:szCs w:val="24"/>
              </w:rPr>
              <w:t>.</w:t>
            </w:r>
            <w:r w:rsidR="000C061E" w:rsidRPr="00E51082">
              <w:rPr>
                <w:szCs w:val="24"/>
              </w:rPr>
              <w:t>9</w:t>
            </w:r>
            <w:r w:rsidRPr="00E51082">
              <w:rPr>
                <w:szCs w:val="24"/>
              </w:rPr>
              <w:t>%)</w:t>
            </w:r>
          </w:p>
        </w:tc>
        <w:tc>
          <w:tcPr>
            <w:tcW w:w="767" w:type="pct"/>
            <w:tcBorders>
              <w:top w:val="single" w:sz="4" w:space="0" w:color="auto"/>
              <w:left w:val="single" w:sz="4" w:space="0" w:color="auto"/>
              <w:bottom w:val="single" w:sz="4" w:space="0" w:color="auto"/>
            </w:tcBorders>
            <w:vAlign w:val="bottom"/>
          </w:tcPr>
          <w:p w14:paraId="53959DEC" w14:textId="7F879D86"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3%</w:t>
            </w:r>
          </w:p>
          <w:p w14:paraId="2DD83C9B" w14:textId="677DB655" w:rsidR="00FE1663" w:rsidRPr="00E51082" w:rsidRDefault="00FE1663" w:rsidP="00A13075">
            <w:pPr>
              <w:spacing w:line="240" w:lineRule="auto"/>
              <w:rPr>
                <w:szCs w:val="24"/>
              </w:rPr>
            </w:pPr>
            <w:r w:rsidRPr="00E51082">
              <w:rPr>
                <w:szCs w:val="24"/>
              </w:rPr>
              <w:t>(-</w:t>
            </w:r>
            <w:r w:rsidR="002C0917" w:rsidRPr="00E51082">
              <w:rPr>
                <w:szCs w:val="24"/>
              </w:rPr>
              <w:t>1</w:t>
            </w:r>
            <w:r w:rsidR="002C0917" w:rsidRPr="00E51082" w:rsidDel="002C0917">
              <w:rPr>
                <w:szCs w:val="24"/>
              </w:rPr>
              <w:t xml:space="preserve"> </w:t>
            </w:r>
            <w:r w:rsidRPr="00E51082">
              <w:rPr>
                <w:szCs w:val="24"/>
              </w:rPr>
              <w:t>%, 5%)</w:t>
            </w:r>
          </w:p>
        </w:tc>
        <w:tc>
          <w:tcPr>
            <w:tcW w:w="767" w:type="pct"/>
            <w:tcBorders>
              <w:top w:val="single" w:sz="4" w:space="0" w:color="auto"/>
              <w:bottom w:val="single" w:sz="4" w:space="0" w:color="auto"/>
            </w:tcBorders>
            <w:vAlign w:val="bottom"/>
          </w:tcPr>
          <w:p w14:paraId="5B99D6EE" w14:textId="4010158F"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6%</w:t>
            </w:r>
          </w:p>
          <w:p w14:paraId="37D75362" w14:textId="64643DE4" w:rsidR="00FE1663" w:rsidRPr="00E51082" w:rsidRDefault="00FE1663" w:rsidP="00A13075">
            <w:pPr>
              <w:spacing w:line="240" w:lineRule="auto"/>
              <w:rPr>
                <w:szCs w:val="24"/>
              </w:rPr>
            </w:pPr>
            <w:r w:rsidRPr="00E51082">
              <w:rPr>
                <w:szCs w:val="24"/>
              </w:rPr>
              <w:t xml:space="preserve"> (-0</w:t>
            </w:r>
            <w:r w:rsidR="001323B8" w:rsidRPr="00E51082">
              <w:rPr>
                <w:szCs w:val="24"/>
              </w:rPr>
              <w:t>.</w:t>
            </w:r>
            <w:r w:rsidRPr="00E51082">
              <w:rPr>
                <w:szCs w:val="24"/>
              </w:rPr>
              <w:t>9%, 6%)</w:t>
            </w:r>
          </w:p>
        </w:tc>
        <w:tc>
          <w:tcPr>
            <w:tcW w:w="766" w:type="pct"/>
            <w:tcBorders>
              <w:top w:val="single" w:sz="4" w:space="0" w:color="auto"/>
              <w:bottom w:val="single" w:sz="4" w:space="0" w:color="auto"/>
            </w:tcBorders>
            <w:vAlign w:val="bottom"/>
          </w:tcPr>
          <w:p w14:paraId="5AA6B828" w14:textId="4CAF695F" w:rsidR="00FE1663" w:rsidRPr="00E51082" w:rsidRDefault="00FE1663" w:rsidP="00A13075">
            <w:pPr>
              <w:spacing w:line="240" w:lineRule="auto"/>
              <w:rPr>
                <w:szCs w:val="24"/>
              </w:rPr>
            </w:pPr>
            <w:r w:rsidRPr="00E51082">
              <w:rPr>
                <w:szCs w:val="24"/>
              </w:rPr>
              <w:t>2</w:t>
            </w:r>
            <w:r w:rsidR="001323B8" w:rsidRPr="00E51082">
              <w:rPr>
                <w:szCs w:val="24"/>
              </w:rPr>
              <w:t>.</w:t>
            </w:r>
            <w:r w:rsidRPr="00E51082">
              <w:rPr>
                <w:szCs w:val="24"/>
              </w:rPr>
              <w:t>0%</w:t>
            </w:r>
          </w:p>
          <w:p w14:paraId="48F3C367" w14:textId="055A0A0C" w:rsidR="00FE1663" w:rsidRPr="00E51082" w:rsidRDefault="00FE1663" w:rsidP="00A13075">
            <w:pPr>
              <w:spacing w:line="240" w:lineRule="auto"/>
              <w:rPr>
                <w:szCs w:val="24"/>
              </w:rPr>
            </w:pPr>
            <w:r w:rsidRPr="00E51082">
              <w:rPr>
                <w:szCs w:val="24"/>
              </w:rPr>
              <w:t xml:space="preserve"> (-1</w:t>
            </w:r>
            <w:r w:rsidR="001323B8" w:rsidRPr="00E51082">
              <w:rPr>
                <w:szCs w:val="24"/>
              </w:rPr>
              <w:t>.</w:t>
            </w:r>
            <w:r w:rsidRPr="00E51082">
              <w:rPr>
                <w:szCs w:val="24"/>
              </w:rPr>
              <w:t>1%, 5%)</w:t>
            </w:r>
          </w:p>
        </w:tc>
      </w:tr>
      <w:tr w:rsidR="00E51082" w:rsidRPr="00E51082" w14:paraId="7DB8EB28" w14:textId="77777777" w:rsidTr="009541FA">
        <w:tc>
          <w:tcPr>
            <w:tcW w:w="823" w:type="pct"/>
            <w:tcBorders>
              <w:top w:val="single" w:sz="4" w:space="0" w:color="auto"/>
              <w:bottom w:val="single" w:sz="4" w:space="0" w:color="auto"/>
              <w:right w:val="single" w:sz="4" w:space="0" w:color="auto"/>
            </w:tcBorders>
          </w:tcPr>
          <w:p w14:paraId="621E3AB1" w14:textId="77777777" w:rsidR="00FE1663" w:rsidRPr="00E51082" w:rsidRDefault="00FE1663" w:rsidP="00A13075">
            <w:pPr>
              <w:spacing w:line="240" w:lineRule="auto"/>
              <w:rPr>
                <w:szCs w:val="24"/>
              </w:rPr>
            </w:pPr>
            <w:r w:rsidRPr="00E51082">
              <w:rPr>
                <w:szCs w:val="24"/>
              </w:rPr>
              <w:t>ICER</w:t>
            </w:r>
            <w:r w:rsidRPr="00E51082">
              <w:rPr>
                <w:szCs w:val="24"/>
                <w:vertAlign w:val="superscript"/>
              </w:rPr>
              <w:t>d</w:t>
            </w:r>
          </w:p>
        </w:tc>
        <w:tc>
          <w:tcPr>
            <w:tcW w:w="469" w:type="pct"/>
            <w:tcBorders>
              <w:top w:val="single" w:sz="4" w:space="0" w:color="auto"/>
              <w:left w:val="single" w:sz="4" w:space="0" w:color="auto"/>
              <w:bottom w:val="single" w:sz="4" w:space="0" w:color="auto"/>
            </w:tcBorders>
            <w:vAlign w:val="bottom"/>
          </w:tcPr>
          <w:p w14:paraId="3CBE78F5" w14:textId="77777777" w:rsidR="00FE1663" w:rsidRPr="00E51082" w:rsidRDefault="00FE1663" w:rsidP="00A13075">
            <w:pPr>
              <w:spacing w:line="240" w:lineRule="auto"/>
              <w:rPr>
                <w:szCs w:val="24"/>
              </w:rPr>
            </w:pPr>
            <w:r w:rsidRPr="00E51082">
              <w:rPr>
                <w:szCs w:val="24"/>
              </w:rPr>
              <w:t>-</w:t>
            </w:r>
          </w:p>
        </w:tc>
        <w:tc>
          <w:tcPr>
            <w:tcW w:w="469" w:type="pct"/>
            <w:tcBorders>
              <w:top w:val="single" w:sz="4" w:space="0" w:color="auto"/>
              <w:bottom w:val="single" w:sz="4" w:space="0" w:color="auto"/>
            </w:tcBorders>
            <w:vAlign w:val="bottom"/>
          </w:tcPr>
          <w:p w14:paraId="723334FB" w14:textId="77777777" w:rsidR="00FE1663" w:rsidRPr="00E51082" w:rsidRDefault="00FE1663" w:rsidP="00A13075">
            <w:pPr>
              <w:spacing w:line="240" w:lineRule="auto"/>
              <w:rPr>
                <w:szCs w:val="24"/>
              </w:rPr>
            </w:pPr>
            <w:r w:rsidRPr="00E51082">
              <w:rPr>
                <w:szCs w:val="24"/>
              </w:rPr>
              <w:t>-</w:t>
            </w:r>
          </w:p>
        </w:tc>
        <w:tc>
          <w:tcPr>
            <w:tcW w:w="469" w:type="pct"/>
            <w:tcBorders>
              <w:top w:val="single" w:sz="4" w:space="0" w:color="auto"/>
              <w:bottom w:val="single" w:sz="4" w:space="0" w:color="auto"/>
            </w:tcBorders>
            <w:vAlign w:val="bottom"/>
          </w:tcPr>
          <w:p w14:paraId="31846331" w14:textId="77777777" w:rsidR="00FE1663" w:rsidRPr="00E51082" w:rsidRDefault="00FE1663" w:rsidP="00A13075">
            <w:pPr>
              <w:spacing w:line="240" w:lineRule="auto"/>
              <w:rPr>
                <w:szCs w:val="24"/>
              </w:rPr>
            </w:pPr>
            <w:r w:rsidRPr="00E51082">
              <w:rPr>
                <w:szCs w:val="24"/>
              </w:rPr>
              <w:t>-</w:t>
            </w:r>
          </w:p>
        </w:tc>
        <w:tc>
          <w:tcPr>
            <w:tcW w:w="470" w:type="pct"/>
            <w:tcBorders>
              <w:top w:val="single" w:sz="4" w:space="0" w:color="auto"/>
              <w:bottom w:val="single" w:sz="4" w:space="0" w:color="auto"/>
              <w:right w:val="single" w:sz="4" w:space="0" w:color="auto"/>
            </w:tcBorders>
            <w:vAlign w:val="bottom"/>
          </w:tcPr>
          <w:p w14:paraId="3EDE18C1" w14:textId="77777777" w:rsidR="00FE1663" w:rsidRPr="00E51082" w:rsidRDefault="00FE1663" w:rsidP="00A13075">
            <w:pPr>
              <w:spacing w:line="240" w:lineRule="auto"/>
              <w:rPr>
                <w:szCs w:val="24"/>
              </w:rPr>
            </w:pPr>
            <w:r w:rsidRPr="00E51082">
              <w:rPr>
                <w:szCs w:val="24"/>
              </w:rPr>
              <w:t>-</w:t>
            </w:r>
          </w:p>
        </w:tc>
        <w:tc>
          <w:tcPr>
            <w:tcW w:w="767" w:type="pct"/>
            <w:tcBorders>
              <w:top w:val="single" w:sz="4" w:space="0" w:color="auto"/>
              <w:left w:val="single" w:sz="4" w:space="0" w:color="auto"/>
              <w:bottom w:val="single" w:sz="4" w:space="0" w:color="auto"/>
            </w:tcBorders>
            <w:vAlign w:val="bottom"/>
          </w:tcPr>
          <w:p w14:paraId="696888AA" w14:textId="77777777" w:rsidR="00FE1663" w:rsidRPr="00E51082" w:rsidRDefault="00FE1663" w:rsidP="00A13075">
            <w:pPr>
              <w:spacing w:line="240" w:lineRule="auto"/>
              <w:rPr>
                <w:szCs w:val="24"/>
              </w:rPr>
            </w:pPr>
            <w:r w:rsidRPr="00E51082">
              <w:rPr>
                <w:szCs w:val="24"/>
              </w:rPr>
              <w:t xml:space="preserve">-3 500 </w:t>
            </w:r>
          </w:p>
          <w:p w14:paraId="6A4FD8D1" w14:textId="77777777" w:rsidR="00FE1663" w:rsidRPr="00E51082" w:rsidRDefault="00FE1663" w:rsidP="00A13075">
            <w:pPr>
              <w:spacing w:line="240" w:lineRule="auto"/>
              <w:rPr>
                <w:szCs w:val="24"/>
              </w:rPr>
            </w:pPr>
            <w:r w:rsidRPr="00E51082">
              <w:rPr>
                <w:szCs w:val="24"/>
              </w:rPr>
              <w:t>(13 800, -1000)</w:t>
            </w:r>
          </w:p>
        </w:tc>
        <w:tc>
          <w:tcPr>
            <w:tcW w:w="767" w:type="pct"/>
            <w:tcBorders>
              <w:top w:val="single" w:sz="4" w:space="0" w:color="auto"/>
              <w:bottom w:val="single" w:sz="4" w:space="0" w:color="auto"/>
            </w:tcBorders>
            <w:vAlign w:val="bottom"/>
          </w:tcPr>
          <w:p w14:paraId="143DBBD2" w14:textId="77777777" w:rsidR="00FE1663" w:rsidRPr="00E51082" w:rsidRDefault="00FE1663" w:rsidP="00A13075">
            <w:pPr>
              <w:spacing w:line="240" w:lineRule="auto"/>
              <w:rPr>
                <w:szCs w:val="24"/>
              </w:rPr>
            </w:pPr>
            <w:r w:rsidRPr="00E51082">
              <w:rPr>
                <w:szCs w:val="24"/>
              </w:rPr>
              <w:t>-3 600</w:t>
            </w:r>
          </w:p>
          <w:p w14:paraId="1F5B1E5D" w14:textId="77777777" w:rsidR="00FE1663" w:rsidRPr="00E51082" w:rsidRDefault="00FE1663" w:rsidP="00A13075">
            <w:pPr>
              <w:spacing w:line="240" w:lineRule="auto"/>
              <w:rPr>
                <w:szCs w:val="24"/>
              </w:rPr>
            </w:pPr>
            <w:r w:rsidRPr="00E51082">
              <w:rPr>
                <w:szCs w:val="24"/>
              </w:rPr>
              <w:t>(unb’d, unb’d)</w:t>
            </w:r>
          </w:p>
        </w:tc>
        <w:tc>
          <w:tcPr>
            <w:tcW w:w="766" w:type="pct"/>
            <w:tcBorders>
              <w:top w:val="single" w:sz="4" w:space="0" w:color="auto"/>
              <w:bottom w:val="single" w:sz="4" w:space="0" w:color="auto"/>
            </w:tcBorders>
            <w:vAlign w:val="bottom"/>
          </w:tcPr>
          <w:p w14:paraId="05A89CAC" w14:textId="77777777" w:rsidR="00FE1663" w:rsidRPr="00E51082" w:rsidRDefault="00FE1663" w:rsidP="00A13075">
            <w:pPr>
              <w:spacing w:line="240" w:lineRule="auto"/>
              <w:rPr>
                <w:szCs w:val="24"/>
              </w:rPr>
            </w:pPr>
            <w:r w:rsidRPr="00E51082">
              <w:rPr>
                <w:szCs w:val="24"/>
              </w:rPr>
              <w:t>-3 700</w:t>
            </w:r>
          </w:p>
          <w:p w14:paraId="308F1F84" w14:textId="77777777" w:rsidR="00FE1663" w:rsidRPr="00E51082" w:rsidRDefault="00FE1663" w:rsidP="00A13075">
            <w:pPr>
              <w:spacing w:line="240" w:lineRule="auto"/>
              <w:rPr>
                <w:szCs w:val="24"/>
              </w:rPr>
            </w:pPr>
            <w:r w:rsidRPr="00E51082">
              <w:rPr>
                <w:szCs w:val="24"/>
              </w:rPr>
              <w:t>(unb’d, unb’d)</w:t>
            </w:r>
          </w:p>
        </w:tc>
      </w:tr>
    </w:tbl>
    <w:p w14:paraId="3A22666D" w14:textId="77777777" w:rsidR="00FE1663" w:rsidRPr="00E51082" w:rsidRDefault="00FE1663" w:rsidP="00FE1663">
      <w:pPr>
        <w:rPr>
          <w:szCs w:val="24"/>
          <w:vertAlign w:val="superscript"/>
        </w:rPr>
      </w:pPr>
      <w:r w:rsidRPr="00E51082">
        <w:rPr>
          <w:szCs w:val="24"/>
        </w:rPr>
        <w:t>Note: unb’d=unbounded</w:t>
      </w:r>
    </w:p>
    <w:p w14:paraId="54C0380A" w14:textId="77777777" w:rsidR="00FE1663" w:rsidRPr="00E51082" w:rsidRDefault="00FE1663" w:rsidP="00A13075">
      <w:pPr>
        <w:spacing w:line="240" w:lineRule="auto"/>
        <w:rPr>
          <w:szCs w:val="24"/>
        </w:rPr>
      </w:pPr>
      <w:r w:rsidRPr="00E51082">
        <w:rPr>
          <w:szCs w:val="24"/>
          <w:vertAlign w:val="superscript"/>
        </w:rPr>
        <w:t>a</w:t>
      </w:r>
      <w:r w:rsidRPr="00E51082">
        <w:rPr>
          <w:szCs w:val="24"/>
        </w:rPr>
        <w:t xml:space="preserve"> Estimated marginal means, cluster-adjusted standard errors</w:t>
      </w:r>
    </w:p>
    <w:p w14:paraId="6D32CCAB" w14:textId="77777777" w:rsidR="00FE1663" w:rsidRPr="00E51082" w:rsidRDefault="00FE1663" w:rsidP="00A13075">
      <w:pPr>
        <w:spacing w:line="240" w:lineRule="auto"/>
        <w:rPr>
          <w:szCs w:val="24"/>
        </w:rPr>
      </w:pPr>
      <w:r w:rsidRPr="00E51082">
        <w:rPr>
          <w:szCs w:val="24"/>
          <w:vertAlign w:val="superscript"/>
        </w:rPr>
        <w:t xml:space="preserve">b </w:t>
      </w:r>
      <w:r w:rsidRPr="00E51082">
        <w:rPr>
          <w:szCs w:val="24"/>
        </w:rPr>
        <w:t xml:space="preserve">Estimates from SUR equation for QALY adjusted for mother’s age, history of PND, living arrangement (alone or with others), any history of major life events, baseline EPDS score, number of other children in the family, whether the mother was economically active, baseline utility </w:t>
      </w:r>
    </w:p>
    <w:p w14:paraId="50E2B1AF" w14:textId="77777777" w:rsidR="00FE1663" w:rsidRPr="00E51082" w:rsidRDefault="00FE1663" w:rsidP="00A13075">
      <w:pPr>
        <w:spacing w:line="240" w:lineRule="auto"/>
        <w:rPr>
          <w:szCs w:val="24"/>
        </w:rPr>
      </w:pPr>
      <w:r w:rsidRPr="00E51082">
        <w:rPr>
          <w:szCs w:val="24"/>
          <w:vertAlign w:val="superscript"/>
        </w:rPr>
        <w:t xml:space="preserve">c </w:t>
      </w:r>
      <w:r w:rsidRPr="00E51082">
        <w:rPr>
          <w:szCs w:val="24"/>
        </w:rPr>
        <w:t>Estimates from SUR equation for costs adjusted for mother’s age, history of PND, living arrangement (alone or with others), any history of major life events, baseline EPDS score, number of other children in the family, whether the mother was economically active, baseline utility</w:t>
      </w:r>
    </w:p>
    <w:p w14:paraId="23C76044" w14:textId="77777777" w:rsidR="00FE1663" w:rsidRPr="00E51082" w:rsidRDefault="00FE1663" w:rsidP="00A13075">
      <w:pPr>
        <w:spacing w:line="240" w:lineRule="auto"/>
        <w:rPr>
          <w:szCs w:val="24"/>
        </w:rPr>
      </w:pPr>
      <w:r w:rsidRPr="00E51082">
        <w:rPr>
          <w:szCs w:val="24"/>
          <w:vertAlign w:val="superscript"/>
        </w:rPr>
        <w:t xml:space="preserve">d </w:t>
      </w:r>
      <w:r w:rsidRPr="00E51082">
        <w:rPr>
          <w:szCs w:val="24"/>
        </w:rPr>
        <w:t>Rounded to nearest 100</w:t>
      </w:r>
    </w:p>
    <w:p w14:paraId="74949EA5" w14:textId="0610B033" w:rsidR="001C3FBD" w:rsidRPr="00E51082" w:rsidRDefault="00FE1663" w:rsidP="00A13075">
      <w:pPr>
        <w:spacing w:line="240" w:lineRule="auto"/>
        <w:rPr>
          <w:szCs w:val="24"/>
        </w:rPr>
      </w:pPr>
      <w:r w:rsidRPr="00E51082">
        <w:rPr>
          <w:szCs w:val="24"/>
          <w:vertAlign w:val="superscript"/>
        </w:rPr>
        <w:t xml:space="preserve">e </w:t>
      </w:r>
      <w:r w:rsidRPr="00E51082">
        <w:rPr>
          <w:szCs w:val="24"/>
        </w:rPr>
        <w:t xml:space="preserve">Binary variable representing whether the participant was at risk of depression, where EPDS≥12 is coded as 0 and EPDS&lt;12 is coded as 1. The variable is here treated as continuous, and results are expressed in percentage terms. Estimates from SUR equation for low-risk at 6 month adjusted for mother’s age, history of PND, living arrangement (alone or with others), any history of major life events, baseline EPDS score, number of other children in the family, whether the mother was economically active </w:t>
      </w:r>
    </w:p>
    <w:p w14:paraId="4416AE52" w14:textId="77777777" w:rsidR="00FE1663" w:rsidRPr="00E51082" w:rsidRDefault="00FE1663" w:rsidP="00A13075">
      <w:pPr>
        <w:spacing w:line="240" w:lineRule="auto"/>
        <w:rPr>
          <w:szCs w:val="24"/>
        </w:rPr>
      </w:pPr>
      <w:r w:rsidRPr="00E51082">
        <w:rPr>
          <w:szCs w:val="24"/>
        </w:rPr>
        <w:t>*p&lt;0.05</w:t>
      </w:r>
    </w:p>
    <w:p w14:paraId="352A4D44" w14:textId="77777777" w:rsidR="00772A5B" w:rsidRPr="00E51082" w:rsidRDefault="00772A5B" w:rsidP="00A13075">
      <w:pPr>
        <w:spacing w:line="240" w:lineRule="auto"/>
        <w:rPr>
          <w:szCs w:val="24"/>
        </w:rPr>
      </w:pPr>
      <w:r w:rsidRPr="00E51082">
        <w:rPr>
          <w:szCs w:val="24"/>
        </w:rPr>
        <w:t>**p&lt;0.01</w:t>
      </w:r>
    </w:p>
    <w:p w14:paraId="32E2FC80" w14:textId="77777777" w:rsidR="00772A5B" w:rsidRPr="00E51082" w:rsidRDefault="00772A5B" w:rsidP="00A13075">
      <w:pPr>
        <w:spacing w:line="240" w:lineRule="auto"/>
        <w:rPr>
          <w:szCs w:val="24"/>
        </w:rPr>
      </w:pPr>
      <w:r w:rsidRPr="00E51082">
        <w:rPr>
          <w:szCs w:val="24"/>
        </w:rPr>
        <w:t>***p&lt;0.01</w:t>
      </w:r>
    </w:p>
    <w:p w14:paraId="48FD8953" w14:textId="77777777" w:rsidR="00772A5B" w:rsidRPr="00E51082" w:rsidRDefault="00772A5B" w:rsidP="00772A5B">
      <w:pPr>
        <w:rPr>
          <w:szCs w:val="24"/>
        </w:rPr>
      </w:pPr>
    </w:p>
    <w:p w14:paraId="418A124A" w14:textId="77777777" w:rsidR="00772A5B" w:rsidRPr="00E51082" w:rsidRDefault="00772A5B" w:rsidP="00FE1663">
      <w:pPr>
        <w:rPr>
          <w:szCs w:val="24"/>
        </w:rPr>
        <w:sectPr w:rsidR="00772A5B" w:rsidRPr="00E51082" w:rsidSect="005A5375">
          <w:pgSz w:w="16838" w:h="11906" w:orient="landscape"/>
          <w:pgMar w:top="720" w:right="720" w:bottom="720" w:left="720" w:header="708" w:footer="708" w:gutter="0"/>
          <w:pgBorders w:offsetFrom="page">
            <w:top w:val="single" w:sz="4" w:space="24" w:color="F2F2F2" w:themeColor="background1" w:themeShade="F2"/>
            <w:left w:val="single" w:sz="4" w:space="24" w:color="F2F2F2" w:themeColor="background1" w:themeShade="F2"/>
            <w:bottom w:val="single" w:sz="4" w:space="24" w:color="F2F2F2" w:themeColor="background1" w:themeShade="F2"/>
            <w:right w:val="single" w:sz="4" w:space="24" w:color="F2F2F2" w:themeColor="background1" w:themeShade="F2"/>
          </w:pgBorders>
          <w:cols w:space="708"/>
          <w:docGrid w:linePitch="360"/>
        </w:sectPr>
      </w:pPr>
    </w:p>
    <w:p w14:paraId="51E80B7E" w14:textId="481779E5" w:rsidR="00FE1663" w:rsidRPr="00A13075" w:rsidRDefault="00FE1663" w:rsidP="00A13075">
      <w:pPr>
        <w:pStyle w:val="Heading1"/>
      </w:pPr>
      <w:r w:rsidRPr="00A13075">
        <w:lastRenderedPageBreak/>
        <w:t>F</w:t>
      </w:r>
      <w:r w:rsidR="00E51082" w:rsidRPr="00A13075">
        <w:t>igures</w:t>
      </w:r>
    </w:p>
    <w:p w14:paraId="4E0DBF7B" w14:textId="77777777" w:rsidR="00FE1663" w:rsidRPr="00E51082" w:rsidRDefault="00FE1663" w:rsidP="00FE1663">
      <w:pPr>
        <w:spacing w:after="120"/>
        <w:rPr>
          <w:szCs w:val="24"/>
        </w:rPr>
      </w:pPr>
      <w:r w:rsidRPr="00A13075">
        <w:rPr>
          <w:b/>
          <w:szCs w:val="24"/>
        </w:rPr>
        <w:t>Figure 1.</w:t>
      </w:r>
      <w:r w:rsidRPr="00E51082">
        <w:rPr>
          <w:szCs w:val="24"/>
        </w:rPr>
        <w:t xml:space="preserve"> Cost-effectiveness acceptability curve: QALY</w:t>
      </w:r>
    </w:p>
    <w:p w14:paraId="0D65DE0A" w14:textId="77777777" w:rsidR="00FE1663" w:rsidRPr="00E51082" w:rsidRDefault="00FE1663" w:rsidP="00FE1663">
      <w:pPr>
        <w:rPr>
          <w:szCs w:val="24"/>
        </w:rPr>
      </w:pPr>
      <w:r w:rsidRPr="00A13075">
        <w:rPr>
          <w:b/>
          <w:szCs w:val="24"/>
        </w:rPr>
        <w:t>Figure 2.</w:t>
      </w:r>
      <w:r w:rsidRPr="00E51082">
        <w:rPr>
          <w:szCs w:val="24"/>
        </w:rPr>
        <w:t xml:space="preserve"> Cost-effectiveness acceptability curve: dichotomous variable for low-risk of PND at 6 months</w:t>
      </w:r>
    </w:p>
    <w:p w14:paraId="1803E5DA" w14:textId="77777777" w:rsidR="00FE1663" w:rsidRPr="00E51082" w:rsidRDefault="00FE1663" w:rsidP="00FE1663">
      <w:pPr>
        <w:rPr>
          <w:szCs w:val="24"/>
        </w:rPr>
      </w:pPr>
    </w:p>
    <w:p w14:paraId="68958E5C" w14:textId="18DD2DDE" w:rsidR="00FE1663" w:rsidRPr="00E51082" w:rsidRDefault="00FE1663" w:rsidP="00FE1663">
      <w:pPr>
        <w:rPr>
          <w:szCs w:val="24"/>
        </w:rPr>
      </w:pPr>
    </w:p>
    <w:sectPr w:rsidR="00FE1663" w:rsidRPr="00E51082" w:rsidSect="00357A5C">
      <w:pgSz w:w="11906" w:h="16838"/>
      <w:pgMar w:top="1440" w:right="1440" w:bottom="1440" w:left="1440" w:header="708" w:footer="708" w:gutter="0"/>
      <w:pgBorders w:offsetFrom="page">
        <w:top w:val="single" w:sz="4" w:space="24" w:color="F2F2F2" w:themeColor="background1" w:themeShade="F2"/>
        <w:left w:val="single" w:sz="4" w:space="24" w:color="F2F2F2" w:themeColor="background1" w:themeShade="F2"/>
        <w:bottom w:val="single" w:sz="4" w:space="24" w:color="F2F2F2" w:themeColor="background1" w:themeShade="F2"/>
        <w:right w:val="single" w:sz="4" w:space="24" w:color="F2F2F2" w:themeColor="background1" w:themeShade="F2"/>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ADFF6" w16cid:durableId="1ED108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A8DA4" w14:textId="77777777" w:rsidR="003F0D95" w:rsidRDefault="003F0D95">
      <w:r>
        <w:separator/>
      </w:r>
    </w:p>
  </w:endnote>
  <w:endnote w:type="continuationSeparator" w:id="0">
    <w:p w14:paraId="3BF8235F" w14:textId="77777777" w:rsidR="003F0D95" w:rsidRDefault="003F0D95">
      <w:r>
        <w:continuationSeparator/>
      </w:r>
    </w:p>
  </w:endnote>
  <w:endnote w:type="continuationNotice" w:id="1">
    <w:p w14:paraId="5C199BCD" w14:textId="77777777" w:rsidR="003F0D95" w:rsidRDefault="003F0D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40003"/>
      <w:docPartObj>
        <w:docPartGallery w:val="Page Numbers (Bottom of Page)"/>
        <w:docPartUnique/>
      </w:docPartObj>
    </w:sdtPr>
    <w:sdtEndPr>
      <w:rPr>
        <w:noProof/>
        <w:sz w:val="20"/>
      </w:rPr>
    </w:sdtEndPr>
    <w:sdtContent>
      <w:p w14:paraId="6E6D692D" w14:textId="77777777" w:rsidR="002B4FDB" w:rsidRPr="0048310C" w:rsidRDefault="002B4FDB">
        <w:pPr>
          <w:pStyle w:val="Footer"/>
          <w:jc w:val="right"/>
          <w:rPr>
            <w:sz w:val="20"/>
          </w:rPr>
        </w:pPr>
        <w:r w:rsidRPr="0048310C">
          <w:rPr>
            <w:sz w:val="20"/>
          </w:rPr>
          <w:fldChar w:fldCharType="begin"/>
        </w:r>
        <w:r w:rsidRPr="0048310C">
          <w:rPr>
            <w:sz w:val="20"/>
          </w:rPr>
          <w:instrText xml:space="preserve"> PAGE   \* MERGEFORMAT </w:instrText>
        </w:r>
        <w:r w:rsidRPr="0048310C">
          <w:rPr>
            <w:sz w:val="20"/>
          </w:rPr>
          <w:fldChar w:fldCharType="separate"/>
        </w:r>
        <w:r w:rsidR="00774A7A">
          <w:rPr>
            <w:noProof/>
            <w:sz w:val="20"/>
          </w:rPr>
          <w:t>1</w:t>
        </w:r>
        <w:r w:rsidRPr="0048310C">
          <w:rPr>
            <w:noProof/>
            <w:sz w:val="20"/>
          </w:rPr>
          <w:fldChar w:fldCharType="end"/>
        </w:r>
      </w:p>
    </w:sdtContent>
  </w:sdt>
  <w:p w14:paraId="7668E0B3" w14:textId="77777777" w:rsidR="002B4FDB" w:rsidRDefault="002B4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97DB2" w14:textId="77777777" w:rsidR="003F0D95" w:rsidRDefault="003F0D95">
      <w:r>
        <w:separator/>
      </w:r>
    </w:p>
  </w:footnote>
  <w:footnote w:type="continuationSeparator" w:id="0">
    <w:p w14:paraId="37092411" w14:textId="77777777" w:rsidR="003F0D95" w:rsidRDefault="003F0D95">
      <w:r>
        <w:continuationSeparator/>
      </w:r>
    </w:p>
  </w:footnote>
  <w:footnote w:type="continuationNotice" w:id="1">
    <w:p w14:paraId="0B70B2C8" w14:textId="77777777" w:rsidR="003F0D95" w:rsidRDefault="003F0D95">
      <w:pPr>
        <w:spacing w:line="240" w:lineRule="auto"/>
      </w:pPr>
    </w:p>
  </w:footnote>
  <w:footnote w:id="2">
    <w:p w14:paraId="4C1C22D5" w14:textId="6276F388" w:rsidR="002B4FDB" w:rsidRPr="007828E3" w:rsidRDefault="002B4FDB" w:rsidP="00CB2E89">
      <w:pPr>
        <w:pStyle w:val="FootnoteText"/>
        <w:spacing w:line="240" w:lineRule="auto"/>
        <w:rPr>
          <w:lang w:val="en-GB"/>
        </w:rPr>
      </w:pPr>
      <w:r w:rsidRPr="007828E3">
        <w:rPr>
          <w:rStyle w:val="FootnoteReference"/>
          <w:lang w:val="en-GB"/>
        </w:rPr>
        <w:footnoteRef/>
      </w:r>
      <w:r w:rsidRPr="007828E3">
        <w:rPr>
          <w:lang w:val="en-GB"/>
        </w:rPr>
        <w:t xml:space="preserve"> Address for correspondence: Catherine Henderson, PSSRU, London School of Economics and Political Science, Hou</w:t>
      </w:r>
      <w:r>
        <w:rPr>
          <w:lang w:val="en-GB"/>
        </w:rPr>
        <w:t>ghton St, London</w:t>
      </w:r>
      <w:r w:rsidRPr="007828E3">
        <w:rPr>
          <w:lang w:val="en-GB"/>
        </w:rPr>
        <w:t xml:space="preserve"> WC2A 2AE</w:t>
      </w:r>
      <w:r>
        <w:rPr>
          <w:lang w:val="en-GB"/>
        </w:rPr>
        <w:t>,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2272" w14:textId="77777777" w:rsidR="002B4FDB" w:rsidRDefault="002B4FD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29D"/>
    <w:multiLevelType w:val="hybridMultilevel"/>
    <w:tmpl w:val="CB0619F6"/>
    <w:lvl w:ilvl="0" w:tplc="8C4EF5F8">
      <w:start w:val="1"/>
      <w:numFmt w:val="bullet"/>
      <w:lvlText w:val="*"/>
      <w:lvlJc w:val="left"/>
      <w:pPr>
        <w:tabs>
          <w:tab w:val="num" w:pos="340"/>
        </w:tabs>
        <w:ind w:left="340" w:hanging="340"/>
      </w:pPr>
      <w:rPr>
        <w:rFonts w:ascii="Times New Roman" w:hAnsi="Times New Roman" w:cs="Times New Roman" w:hint="default"/>
        <w:b w:val="0"/>
        <w:i w:val="0"/>
        <w:spacing w:val="0"/>
        <w:position w:val="0"/>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729518A"/>
    <w:multiLevelType w:val="hybridMultilevel"/>
    <w:tmpl w:val="D4347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23EB1FAD"/>
    <w:multiLevelType w:val="multilevel"/>
    <w:tmpl w:val="DD34CDBE"/>
    <w:numStyleLink w:val="Tab"/>
  </w:abstractNum>
  <w:abstractNum w:abstractNumId="4" w15:restartNumberingAfterBreak="0">
    <w:nsid w:val="29CE6FFE"/>
    <w:multiLevelType w:val="hybridMultilevel"/>
    <w:tmpl w:val="6B3692E6"/>
    <w:lvl w:ilvl="0" w:tplc="24424902">
      <w:start w:val="1"/>
      <w:numFmt w:val="bullet"/>
      <w:lvlText w:val=""/>
      <w:lvlJc w:val="left"/>
      <w:pPr>
        <w:tabs>
          <w:tab w:val="num" w:pos="360"/>
        </w:tabs>
        <w:ind w:left="360" w:hanging="360"/>
      </w:pPr>
      <w:rPr>
        <w:rFonts w:ascii="Symbol" w:hAnsi="Symbol" w:hint="default"/>
        <w:b w:val="0"/>
        <w:i w:val="0"/>
        <w:spacing w:val="0"/>
        <w:position w:val="0"/>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2D1F39AC"/>
    <w:multiLevelType w:val="multilevel"/>
    <w:tmpl w:val="46A491B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F9815D0"/>
    <w:multiLevelType w:val="multilevel"/>
    <w:tmpl w:val="46A491B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D494CB4"/>
    <w:multiLevelType w:val="multilevel"/>
    <w:tmpl w:val="59187088"/>
    <w:numStyleLink w:val="Fig"/>
  </w:abstractNum>
  <w:abstractNum w:abstractNumId="9" w15:restartNumberingAfterBreak="0">
    <w:nsid w:val="43CB02B1"/>
    <w:multiLevelType w:val="hybridMultilevel"/>
    <w:tmpl w:val="F7B6B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5B025F"/>
    <w:multiLevelType w:val="multilevel"/>
    <w:tmpl w:val="CB0619F6"/>
    <w:lvl w:ilvl="0">
      <w:start w:val="1"/>
      <w:numFmt w:val="bullet"/>
      <w:lvlText w:val="*"/>
      <w:lvlJc w:val="left"/>
      <w:pPr>
        <w:tabs>
          <w:tab w:val="num" w:pos="340"/>
        </w:tabs>
        <w:ind w:left="340" w:hanging="340"/>
      </w:pPr>
      <w:rPr>
        <w:rFonts w:ascii="Times New Roman" w:hAnsi="Times New Roman" w:cs="Times New Roman" w:hint="default"/>
        <w:b w:val="0"/>
        <w:i w:val="0"/>
        <w:spacing w:val="0"/>
        <w:position w:val="0"/>
        <w:sz w:val="20"/>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50866999"/>
    <w:multiLevelType w:val="singleLevel"/>
    <w:tmpl w:val="65C2583E"/>
    <w:lvl w:ilvl="0">
      <w:start w:val="1"/>
      <w:numFmt w:val="bullet"/>
      <w:lvlText w:val="*"/>
      <w:lvlJc w:val="left"/>
      <w:pPr>
        <w:tabs>
          <w:tab w:val="num" w:pos="644"/>
        </w:tabs>
        <w:ind w:left="284" w:firstLine="0"/>
      </w:pPr>
      <w:rPr>
        <w:rFonts w:ascii="Times New Roman" w:hAnsi="Times New Roman" w:hint="default"/>
        <w:b w:val="0"/>
        <w:i w:val="0"/>
        <w:spacing w:val="0"/>
        <w:position w:val="0"/>
        <w:sz w:val="20"/>
      </w:rPr>
    </w:lvl>
  </w:abstractNum>
  <w:abstractNum w:abstractNumId="12" w15:restartNumberingAfterBreak="0">
    <w:nsid w:val="5A61015A"/>
    <w:multiLevelType w:val="hybridMultilevel"/>
    <w:tmpl w:val="21A4EB4C"/>
    <w:lvl w:ilvl="0" w:tplc="499422A0">
      <w:start w:val="1"/>
      <w:numFmt w:val="decimal"/>
      <w:lvlText w:val="%1."/>
      <w:lvlJc w:val="left"/>
      <w:pPr>
        <w:tabs>
          <w:tab w:val="num" w:pos="340"/>
        </w:tabs>
        <w:ind w:left="397" w:hanging="397"/>
      </w:pPr>
      <w:rPr>
        <w:rFonts w:ascii="Bookman Old Style" w:hAnsi="Bookman Old Style"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75D1D06"/>
    <w:multiLevelType w:val="hybridMultilevel"/>
    <w:tmpl w:val="48C8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D6301"/>
    <w:multiLevelType w:val="hybridMultilevel"/>
    <w:tmpl w:val="F126D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A26C1"/>
    <w:multiLevelType w:val="hybridMultilevel"/>
    <w:tmpl w:val="CD8AE59A"/>
    <w:lvl w:ilvl="0" w:tplc="08090001">
      <w:start w:val="1"/>
      <w:numFmt w:val="bullet"/>
      <w:lvlText w:val=""/>
      <w:lvlJc w:val="left"/>
      <w:pPr>
        <w:tabs>
          <w:tab w:val="num" w:pos="360"/>
        </w:tabs>
        <w:ind w:left="360" w:hanging="360"/>
      </w:pPr>
      <w:rPr>
        <w:rFonts w:ascii="Symbol" w:hAnsi="Symbo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6F4475C"/>
    <w:multiLevelType w:val="hybridMultilevel"/>
    <w:tmpl w:val="99F4B1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8C626FF"/>
    <w:multiLevelType w:val="singleLevel"/>
    <w:tmpl w:val="65C2583E"/>
    <w:lvl w:ilvl="0">
      <w:start w:val="1"/>
      <w:numFmt w:val="bullet"/>
      <w:lvlText w:val="*"/>
      <w:lvlJc w:val="left"/>
      <w:pPr>
        <w:tabs>
          <w:tab w:val="num" w:pos="644"/>
        </w:tabs>
        <w:ind w:left="284" w:firstLine="0"/>
      </w:pPr>
      <w:rPr>
        <w:rFonts w:ascii="Times New Roman" w:hAnsi="Times New Roman" w:hint="default"/>
        <w:b w:val="0"/>
        <w:i w:val="0"/>
        <w:spacing w:val="0"/>
        <w:position w:val="0"/>
        <w:sz w:val="20"/>
      </w:rPr>
    </w:lvl>
  </w:abstractNum>
  <w:abstractNum w:abstractNumId="18" w15:restartNumberingAfterBreak="0">
    <w:nsid w:val="7CCE2F38"/>
    <w:multiLevelType w:val="multilevel"/>
    <w:tmpl w:val="90242A0C"/>
    <w:lvl w:ilvl="0">
      <w:start w:val="1"/>
      <w:numFmt w:val="decimal"/>
      <w:pStyle w:val="CH1"/>
      <w:lvlText w:val="%1."/>
      <w:lvlJc w:val="left"/>
      <w:pPr>
        <w:tabs>
          <w:tab w:val="num" w:pos="360"/>
        </w:tabs>
        <w:ind w:left="360" w:hanging="360"/>
      </w:pPr>
    </w:lvl>
    <w:lvl w:ilvl="1">
      <w:start w:val="1"/>
      <w:numFmt w:val="decimal"/>
      <w:pStyle w:val="CH2"/>
      <w:lvlText w:val="%1.%2."/>
      <w:lvlJc w:val="left"/>
      <w:pPr>
        <w:tabs>
          <w:tab w:val="num" w:pos="108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CH3"/>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7F117BBB"/>
    <w:multiLevelType w:val="hybridMultilevel"/>
    <w:tmpl w:val="CA88770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8"/>
  </w:num>
  <w:num w:numId="3">
    <w:abstractNumId w:val="2"/>
  </w:num>
  <w:num w:numId="4">
    <w:abstractNumId w:val="3"/>
  </w:num>
  <w:num w:numId="5">
    <w:abstractNumId w:val="7"/>
  </w:num>
  <w:num w:numId="6">
    <w:abstractNumId w:val="4"/>
  </w:num>
  <w:num w:numId="7">
    <w:abstractNumId w:val="19"/>
  </w:num>
  <w:num w:numId="8">
    <w:abstractNumId w:val="17"/>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5"/>
  </w:num>
  <w:num w:numId="14">
    <w:abstractNumId w:val="16"/>
  </w:num>
  <w:num w:numId="15">
    <w:abstractNumId w:val="0"/>
  </w:num>
  <w:num w:numId="16">
    <w:abstractNumId w:val="10"/>
  </w:num>
  <w:num w:numId="17">
    <w:abstractNumId w:val="9"/>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63"/>
    <w:rsid w:val="00000D64"/>
    <w:rsid w:val="00002750"/>
    <w:rsid w:val="00004020"/>
    <w:rsid w:val="00005B05"/>
    <w:rsid w:val="00005F2A"/>
    <w:rsid w:val="000064A5"/>
    <w:rsid w:val="000076DA"/>
    <w:rsid w:val="000121AF"/>
    <w:rsid w:val="0001457D"/>
    <w:rsid w:val="000159BC"/>
    <w:rsid w:val="00017B1F"/>
    <w:rsid w:val="0002227C"/>
    <w:rsid w:val="000227DF"/>
    <w:rsid w:val="00025336"/>
    <w:rsid w:val="0002599B"/>
    <w:rsid w:val="00030043"/>
    <w:rsid w:val="00032877"/>
    <w:rsid w:val="00032FD0"/>
    <w:rsid w:val="000423E2"/>
    <w:rsid w:val="00045E82"/>
    <w:rsid w:val="000475EE"/>
    <w:rsid w:val="00051197"/>
    <w:rsid w:val="00052071"/>
    <w:rsid w:val="000520E0"/>
    <w:rsid w:val="00052425"/>
    <w:rsid w:val="00052F49"/>
    <w:rsid w:val="00056D1E"/>
    <w:rsid w:val="00061083"/>
    <w:rsid w:val="00061822"/>
    <w:rsid w:val="000618FA"/>
    <w:rsid w:val="00062CF7"/>
    <w:rsid w:val="00062DC7"/>
    <w:rsid w:val="000635AA"/>
    <w:rsid w:val="00064711"/>
    <w:rsid w:val="000650E1"/>
    <w:rsid w:val="00072C5B"/>
    <w:rsid w:val="00075634"/>
    <w:rsid w:val="00075EB8"/>
    <w:rsid w:val="000773AF"/>
    <w:rsid w:val="00082DC0"/>
    <w:rsid w:val="00085F8E"/>
    <w:rsid w:val="00087BA8"/>
    <w:rsid w:val="00095563"/>
    <w:rsid w:val="00096ABF"/>
    <w:rsid w:val="00097BCB"/>
    <w:rsid w:val="000A0F37"/>
    <w:rsid w:val="000A170A"/>
    <w:rsid w:val="000A3081"/>
    <w:rsid w:val="000B2B49"/>
    <w:rsid w:val="000B336B"/>
    <w:rsid w:val="000B40B3"/>
    <w:rsid w:val="000B4783"/>
    <w:rsid w:val="000B5BB6"/>
    <w:rsid w:val="000C061E"/>
    <w:rsid w:val="000C0C4A"/>
    <w:rsid w:val="000C0F29"/>
    <w:rsid w:val="000C2A06"/>
    <w:rsid w:val="000C3CD5"/>
    <w:rsid w:val="000D3997"/>
    <w:rsid w:val="000D4757"/>
    <w:rsid w:val="000D666E"/>
    <w:rsid w:val="000E2E87"/>
    <w:rsid w:val="000E2EBA"/>
    <w:rsid w:val="000E77F6"/>
    <w:rsid w:val="000F2C5F"/>
    <w:rsid w:val="000F3CD8"/>
    <w:rsid w:val="000F3E83"/>
    <w:rsid w:val="000F7203"/>
    <w:rsid w:val="00100A0D"/>
    <w:rsid w:val="00100BFD"/>
    <w:rsid w:val="00101602"/>
    <w:rsid w:val="00102504"/>
    <w:rsid w:val="00102F4C"/>
    <w:rsid w:val="0010332D"/>
    <w:rsid w:val="0011169C"/>
    <w:rsid w:val="00114D74"/>
    <w:rsid w:val="0012314F"/>
    <w:rsid w:val="00125337"/>
    <w:rsid w:val="00125A44"/>
    <w:rsid w:val="00126A85"/>
    <w:rsid w:val="00127E2E"/>
    <w:rsid w:val="001323B8"/>
    <w:rsid w:val="00133D22"/>
    <w:rsid w:val="001351E7"/>
    <w:rsid w:val="00140647"/>
    <w:rsid w:val="0014351D"/>
    <w:rsid w:val="00144367"/>
    <w:rsid w:val="00145C2A"/>
    <w:rsid w:val="00153343"/>
    <w:rsid w:val="001541E9"/>
    <w:rsid w:val="00160666"/>
    <w:rsid w:val="001613C6"/>
    <w:rsid w:val="001655C5"/>
    <w:rsid w:val="0016646E"/>
    <w:rsid w:val="00167D33"/>
    <w:rsid w:val="00167FCD"/>
    <w:rsid w:val="00170DEB"/>
    <w:rsid w:val="00171C09"/>
    <w:rsid w:val="00172CA3"/>
    <w:rsid w:val="00181FCB"/>
    <w:rsid w:val="0018535F"/>
    <w:rsid w:val="001916AC"/>
    <w:rsid w:val="00191CC1"/>
    <w:rsid w:val="00195A03"/>
    <w:rsid w:val="00196294"/>
    <w:rsid w:val="00196DCC"/>
    <w:rsid w:val="001A00FD"/>
    <w:rsid w:val="001A2E66"/>
    <w:rsid w:val="001A3B86"/>
    <w:rsid w:val="001A451A"/>
    <w:rsid w:val="001B25B2"/>
    <w:rsid w:val="001B5338"/>
    <w:rsid w:val="001B75A0"/>
    <w:rsid w:val="001C3FBD"/>
    <w:rsid w:val="001C445B"/>
    <w:rsid w:val="001C4B8C"/>
    <w:rsid w:val="001C5976"/>
    <w:rsid w:val="001C7723"/>
    <w:rsid w:val="001D3A81"/>
    <w:rsid w:val="001D610E"/>
    <w:rsid w:val="001D7026"/>
    <w:rsid w:val="001D7728"/>
    <w:rsid w:val="001E015D"/>
    <w:rsid w:val="001E1BEB"/>
    <w:rsid w:val="001E4C2F"/>
    <w:rsid w:val="001E7309"/>
    <w:rsid w:val="001F09B3"/>
    <w:rsid w:val="001F0BA4"/>
    <w:rsid w:val="001F2422"/>
    <w:rsid w:val="001F544B"/>
    <w:rsid w:val="001F70C2"/>
    <w:rsid w:val="0020200F"/>
    <w:rsid w:val="0020202B"/>
    <w:rsid w:val="002029DC"/>
    <w:rsid w:val="00203256"/>
    <w:rsid w:val="00203D5C"/>
    <w:rsid w:val="00204EBF"/>
    <w:rsid w:val="00210781"/>
    <w:rsid w:val="00212487"/>
    <w:rsid w:val="002152AD"/>
    <w:rsid w:val="0022170E"/>
    <w:rsid w:val="00222215"/>
    <w:rsid w:val="00222923"/>
    <w:rsid w:val="00227C9D"/>
    <w:rsid w:val="0023229C"/>
    <w:rsid w:val="00233D14"/>
    <w:rsid w:val="002350F8"/>
    <w:rsid w:val="00242A17"/>
    <w:rsid w:val="00242DB6"/>
    <w:rsid w:val="00242FD6"/>
    <w:rsid w:val="002477A8"/>
    <w:rsid w:val="0025099E"/>
    <w:rsid w:val="00254E34"/>
    <w:rsid w:val="002564BF"/>
    <w:rsid w:val="0026162A"/>
    <w:rsid w:val="00262E62"/>
    <w:rsid w:val="00265C65"/>
    <w:rsid w:val="0027031D"/>
    <w:rsid w:val="00272E0B"/>
    <w:rsid w:val="00274898"/>
    <w:rsid w:val="00275442"/>
    <w:rsid w:val="00276E50"/>
    <w:rsid w:val="0028680D"/>
    <w:rsid w:val="00286841"/>
    <w:rsid w:val="00290B79"/>
    <w:rsid w:val="00292096"/>
    <w:rsid w:val="00294777"/>
    <w:rsid w:val="00294BCE"/>
    <w:rsid w:val="0029566F"/>
    <w:rsid w:val="002A0CA1"/>
    <w:rsid w:val="002A1B9A"/>
    <w:rsid w:val="002A4D4B"/>
    <w:rsid w:val="002A4EB9"/>
    <w:rsid w:val="002A74EB"/>
    <w:rsid w:val="002B0972"/>
    <w:rsid w:val="002B377E"/>
    <w:rsid w:val="002B3CC2"/>
    <w:rsid w:val="002B44C9"/>
    <w:rsid w:val="002B4D2B"/>
    <w:rsid w:val="002B4FDB"/>
    <w:rsid w:val="002B5278"/>
    <w:rsid w:val="002B7264"/>
    <w:rsid w:val="002C0917"/>
    <w:rsid w:val="002C1367"/>
    <w:rsid w:val="002C1F4F"/>
    <w:rsid w:val="002C3E96"/>
    <w:rsid w:val="002D3796"/>
    <w:rsid w:val="002D5B9B"/>
    <w:rsid w:val="002D64DF"/>
    <w:rsid w:val="002E12F2"/>
    <w:rsid w:val="002E7F09"/>
    <w:rsid w:val="002F4FEC"/>
    <w:rsid w:val="002F585F"/>
    <w:rsid w:val="002F5DEB"/>
    <w:rsid w:val="0030416A"/>
    <w:rsid w:val="003052A4"/>
    <w:rsid w:val="00311DF9"/>
    <w:rsid w:val="00315CDF"/>
    <w:rsid w:val="00320296"/>
    <w:rsid w:val="0032051D"/>
    <w:rsid w:val="00320F73"/>
    <w:rsid w:val="00330150"/>
    <w:rsid w:val="00330F9B"/>
    <w:rsid w:val="00334069"/>
    <w:rsid w:val="0033433B"/>
    <w:rsid w:val="003344FF"/>
    <w:rsid w:val="00334819"/>
    <w:rsid w:val="00341940"/>
    <w:rsid w:val="00342478"/>
    <w:rsid w:val="003453F2"/>
    <w:rsid w:val="00347554"/>
    <w:rsid w:val="00350BBF"/>
    <w:rsid w:val="003512AE"/>
    <w:rsid w:val="00351671"/>
    <w:rsid w:val="003528EF"/>
    <w:rsid w:val="00352C60"/>
    <w:rsid w:val="003542D7"/>
    <w:rsid w:val="003547A7"/>
    <w:rsid w:val="0035578F"/>
    <w:rsid w:val="00355C2C"/>
    <w:rsid w:val="00357929"/>
    <w:rsid w:val="00357A5C"/>
    <w:rsid w:val="00365F4E"/>
    <w:rsid w:val="00366713"/>
    <w:rsid w:val="00371CC4"/>
    <w:rsid w:val="003725FE"/>
    <w:rsid w:val="00373437"/>
    <w:rsid w:val="00374A98"/>
    <w:rsid w:val="00377AEF"/>
    <w:rsid w:val="00377C06"/>
    <w:rsid w:val="0038012F"/>
    <w:rsid w:val="00380962"/>
    <w:rsid w:val="00385161"/>
    <w:rsid w:val="00385960"/>
    <w:rsid w:val="003859B4"/>
    <w:rsid w:val="003865CF"/>
    <w:rsid w:val="00393290"/>
    <w:rsid w:val="00394D1F"/>
    <w:rsid w:val="003970F7"/>
    <w:rsid w:val="00397851"/>
    <w:rsid w:val="003A02E1"/>
    <w:rsid w:val="003A22D9"/>
    <w:rsid w:val="003A2738"/>
    <w:rsid w:val="003A4868"/>
    <w:rsid w:val="003A5207"/>
    <w:rsid w:val="003A7357"/>
    <w:rsid w:val="003A7BC8"/>
    <w:rsid w:val="003B0607"/>
    <w:rsid w:val="003B2CBA"/>
    <w:rsid w:val="003B6D7F"/>
    <w:rsid w:val="003C24A2"/>
    <w:rsid w:val="003E1ACE"/>
    <w:rsid w:val="003E20FC"/>
    <w:rsid w:val="003F0C37"/>
    <w:rsid w:val="003F0D95"/>
    <w:rsid w:val="003F274A"/>
    <w:rsid w:val="003F523B"/>
    <w:rsid w:val="003F7986"/>
    <w:rsid w:val="00400AD2"/>
    <w:rsid w:val="00401041"/>
    <w:rsid w:val="00401CE6"/>
    <w:rsid w:val="004041A3"/>
    <w:rsid w:val="0040558E"/>
    <w:rsid w:val="004059E8"/>
    <w:rsid w:val="00410FEE"/>
    <w:rsid w:val="00411A17"/>
    <w:rsid w:val="00412EEE"/>
    <w:rsid w:val="0041588A"/>
    <w:rsid w:val="00416774"/>
    <w:rsid w:val="004235C4"/>
    <w:rsid w:val="00423F96"/>
    <w:rsid w:val="00424047"/>
    <w:rsid w:val="00426EE3"/>
    <w:rsid w:val="004323B7"/>
    <w:rsid w:val="00433C77"/>
    <w:rsid w:val="004367D1"/>
    <w:rsid w:val="00440D08"/>
    <w:rsid w:val="00441CF0"/>
    <w:rsid w:val="00442EFF"/>
    <w:rsid w:val="00445751"/>
    <w:rsid w:val="00446AF2"/>
    <w:rsid w:val="0045065A"/>
    <w:rsid w:val="00451CA2"/>
    <w:rsid w:val="004548F0"/>
    <w:rsid w:val="00455F9D"/>
    <w:rsid w:val="004567CF"/>
    <w:rsid w:val="00465428"/>
    <w:rsid w:val="0047324F"/>
    <w:rsid w:val="00474493"/>
    <w:rsid w:val="00477736"/>
    <w:rsid w:val="00482653"/>
    <w:rsid w:val="00483279"/>
    <w:rsid w:val="00483FF6"/>
    <w:rsid w:val="00485779"/>
    <w:rsid w:val="00487DFF"/>
    <w:rsid w:val="00495AE7"/>
    <w:rsid w:val="00495C37"/>
    <w:rsid w:val="00497B75"/>
    <w:rsid w:val="004A2733"/>
    <w:rsid w:val="004A4296"/>
    <w:rsid w:val="004A4796"/>
    <w:rsid w:val="004A5864"/>
    <w:rsid w:val="004B64D2"/>
    <w:rsid w:val="004C0172"/>
    <w:rsid w:val="004C134B"/>
    <w:rsid w:val="004D1D25"/>
    <w:rsid w:val="004D3A10"/>
    <w:rsid w:val="004D6B17"/>
    <w:rsid w:val="004D6D4A"/>
    <w:rsid w:val="004D6D9F"/>
    <w:rsid w:val="004E0C92"/>
    <w:rsid w:val="004E168D"/>
    <w:rsid w:val="004E47CA"/>
    <w:rsid w:val="004E5A7B"/>
    <w:rsid w:val="004E6A3B"/>
    <w:rsid w:val="004F2AA9"/>
    <w:rsid w:val="004F319E"/>
    <w:rsid w:val="004F5CCF"/>
    <w:rsid w:val="00501ED3"/>
    <w:rsid w:val="005025C0"/>
    <w:rsid w:val="00503245"/>
    <w:rsid w:val="00503584"/>
    <w:rsid w:val="00505D54"/>
    <w:rsid w:val="00507DE4"/>
    <w:rsid w:val="0051589A"/>
    <w:rsid w:val="0051731F"/>
    <w:rsid w:val="00521767"/>
    <w:rsid w:val="0052211B"/>
    <w:rsid w:val="005309FC"/>
    <w:rsid w:val="0053234F"/>
    <w:rsid w:val="00536AE3"/>
    <w:rsid w:val="005414AB"/>
    <w:rsid w:val="005416F9"/>
    <w:rsid w:val="005418CE"/>
    <w:rsid w:val="005425AF"/>
    <w:rsid w:val="00553602"/>
    <w:rsid w:val="0056283A"/>
    <w:rsid w:val="00565ABA"/>
    <w:rsid w:val="005677A6"/>
    <w:rsid w:val="00574CC0"/>
    <w:rsid w:val="00575BB4"/>
    <w:rsid w:val="0058179C"/>
    <w:rsid w:val="0058594B"/>
    <w:rsid w:val="0058708A"/>
    <w:rsid w:val="00587CBE"/>
    <w:rsid w:val="00587F56"/>
    <w:rsid w:val="005919BB"/>
    <w:rsid w:val="005941FE"/>
    <w:rsid w:val="00595740"/>
    <w:rsid w:val="0059589F"/>
    <w:rsid w:val="005968F2"/>
    <w:rsid w:val="00597A3F"/>
    <w:rsid w:val="005A03D8"/>
    <w:rsid w:val="005A1995"/>
    <w:rsid w:val="005A4843"/>
    <w:rsid w:val="005A5375"/>
    <w:rsid w:val="005A596B"/>
    <w:rsid w:val="005B05FC"/>
    <w:rsid w:val="005C481B"/>
    <w:rsid w:val="005C4D7E"/>
    <w:rsid w:val="005C5266"/>
    <w:rsid w:val="005C5E99"/>
    <w:rsid w:val="005D1648"/>
    <w:rsid w:val="005D1ECA"/>
    <w:rsid w:val="005D3C9A"/>
    <w:rsid w:val="005E0522"/>
    <w:rsid w:val="005E2273"/>
    <w:rsid w:val="005E4B0B"/>
    <w:rsid w:val="005E5292"/>
    <w:rsid w:val="005E545D"/>
    <w:rsid w:val="005F1DE0"/>
    <w:rsid w:val="005F1F0C"/>
    <w:rsid w:val="005F3899"/>
    <w:rsid w:val="005F4F21"/>
    <w:rsid w:val="005F632A"/>
    <w:rsid w:val="005F77ED"/>
    <w:rsid w:val="00602907"/>
    <w:rsid w:val="00604E48"/>
    <w:rsid w:val="0060796D"/>
    <w:rsid w:val="00612F5B"/>
    <w:rsid w:val="00621B13"/>
    <w:rsid w:val="00627A2E"/>
    <w:rsid w:val="00627BAD"/>
    <w:rsid w:val="00634B8F"/>
    <w:rsid w:val="00643A54"/>
    <w:rsid w:val="00643C08"/>
    <w:rsid w:val="00646B7B"/>
    <w:rsid w:val="0064732A"/>
    <w:rsid w:val="00650523"/>
    <w:rsid w:val="00653AAD"/>
    <w:rsid w:val="00662BF7"/>
    <w:rsid w:val="0067125F"/>
    <w:rsid w:val="0068047B"/>
    <w:rsid w:val="00681BE1"/>
    <w:rsid w:val="00685741"/>
    <w:rsid w:val="00686B94"/>
    <w:rsid w:val="0069069F"/>
    <w:rsid w:val="0069154C"/>
    <w:rsid w:val="00693D5F"/>
    <w:rsid w:val="0069600A"/>
    <w:rsid w:val="006A26BC"/>
    <w:rsid w:val="006A43E3"/>
    <w:rsid w:val="006A5D5E"/>
    <w:rsid w:val="006A6D8E"/>
    <w:rsid w:val="006A7017"/>
    <w:rsid w:val="006B4D77"/>
    <w:rsid w:val="006C156C"/>
    <w:rsid w:val="006C1837"/>
    <w:rsid w:val="006C2A60"/>
    <w:rsid w:val="006C38BD"/>
    <w:rsid w:val="006C5AF5"/>
    <w:rsid w:val="006D1478"/>
    <w:rsid w:val="006D364B"/>
    <w:rsid w:val="006D58BC"/>
    <w:rsid w:val="00704388"/>
    <w:rsid w:val="00705A6A"/>
    <w:rsid w:val="00706093"/>
    <w:rsid w:val="0070665D"/>
    <w:rsid w:val="00712005"/>
    <w:rsid w:val="00712C90"/>
    <w:rsid w:val="007131B6"/>
    <w:rsid w:val="00715540"/>
    <w:rsid w:val="0071772D"/>
    <w:rsid w:val="007213F3"/>
    <w:rsid w:val="0072194B"/>
    <w:rsid w:val="00721DA9"/>
    <w:rsid w:val="0072240C"/>
    <w:rsid w:val="0072768C"/>
    <w:rsid w:val="00730135"/>
    <w:rsid w:val="007305B5"/>
    <w:rsid w:val="00731A5F"/>
    <w:rsid w:val="0073239A"/>
    <w:rsid w:val="00735898"/>
    <w:rsid w:val="00737BB9"/>
    <w:rsid w:val="00740EAF"/>
    <w:rsid w:val="0074105A"/>
    <w:rsid w:val="00742F75"/>
    <w:rsid w:val="007524DD"/>
    <w:rsid w:val="00753228"/>
    <w:rsid w:val="00753438"/>
    <w:rsid w:val="00755AFE"/>
    <w:rsid w:val="007609A3"/>
    <w:rsid w:val="0076164A"/>
    <w:rsid w:val="0076288A"/>
    <w:rsid w:val="00764ADA"/>
    <w:rsid w:val="00764B96"/>
    <w:rsid w:val="007728C7"/>
    <w:rsid w:val="00772A5B"/>
    <w:rsid w:val="00774A7A"/>
    <w:rsid w:val="00775E83"/>
    <w:rsid w:val="00780176"/>
    <w:rsid w:val="00780391"/>
    <w:rsid w:val="007828E3"/>
    <w:rsid w:val="00783767"/>
    <w:rsid w:val="00787646"/>
    <w:rsid w:val="0079131F"/>
    <w:rsid w:val="0079540E"/>
    <w:rsid w:val="00795865"/>
    <w:rsid w:val="00797C51"/>
    <w:rsid w:val="007A30C4"/>
    <w:rsid w:val="007A48E1"/>
    <w:rsid w:val="007A6040"/>
    <w:rsid w:val="007B006E"/>
    <w:rsid w:val="007B2FDE"/>
    <w:rsid w:val="007B3707"/>
    <w:rsid w:val="007B497A"/>
    <w:rsid w:val="007B601B"/>
    <w:rsid w:val="007B647A"/>
    <w:rsid w:val="007B782C"/>
    <w:rsid w:val="007C20C8"/>
    <w:rsid w:val="007C6AB2"/>
    <w:rsid w:val="007D1987"/>
    <w:rsid w:val="007D2B27"/>
    <w:rsid w:val="007D38F9"/>
    <w:rsid w:val="007D5138"/>
    <w:rsid w:val="007D52D7"/>
    <w:rsid w:val="007E38C9"/>
    <w:rsid w:val="007F0940"/>
    <w:rsid w:val="00800298"/>
    <w:rsid w:val="0080341E"/>
    <w:rsid w:val="00804448"/>
    <w:rsid w:val="0081054E"/>
    <w:rsid w:val="00811449"/>
    <w:rsid w:val="008138C4"/>
    <w:rsid w:val="0081429F"/>
    <w:rsid w:val="00814F2A"/>
    <w:rsid w:val="0081736D"/>
    <w:rsid w:val="00821118"/>
    <w:rsid w:val="00822877"/>
    <w:rsid w:val="00823676"/>
    <w:rsid w:val="00823DF2"/>
    <w:rsid w:val="008243E1"/>
    <w:rsid w:val="00824D60"/>
    <w:rsid w:val="00826210"/>
    <w:rsid w:val="008343C6"/>
    <w:rsid w:val="00840BE4"/>
    <w:rsid w:val="00840FB1"/>
    <w:rsid w:val="008435C8"/>
    <w:rsid w:val="00843802"/>
    <w:rsid w:val="008455F3"/>
    <w:rsid w:val="00845A7C"/>
    <w:rsid w:val="00846054"/>
    <w:rsid w:val="008504B9"/>
    <w:rsid w:val="008515B7"/>
    <w:rsid w:val="0085740B"/>
    <w:rsid w:val="00857F21"/>
    <w:rsid w:val="008629CD"/>
    <w:rsid w:val="00870155"/>
    <w:rsid w:val="008701A0"/>
    <w:rsid w:val="0087092F"/>
    <w:rsid w:val="00870934"/>
    <w:rsid w:val="0087412E"/>
    <w:rsid w:val="00876272"/>
    <w:rsid w:val="00880672"/>
    <w:rsid w:val="008811D5"/>
    <w:rsid w:val="00882173"/>
    <w:rsid w:val="008846D6"/>
    <w:rsid w:val="00886A33"/>
    <w:rsid w:val="00887E6D"/>
    <w:rsid w:val="008909B5"/>
    <w:rsid w:val="008911B7"/>
    <w:rsid w:val="008940E8"/>
    <w:rsid w:val="00894344"/>
    <w:rsid w:val="00894DC3"/>
    <w:rsid w:val="00895633"/>
    <w:rsid w:val="008A4435"/>
    <w:rsid w:val="008A4E20"/>
    <w:rsid w:val="008A5D96"/>
    <w:rsid w:val="008B4906"/>
    <w:rsid w:val="008B562C"/>
    <w:rsid w:val="008C08A4"/>
    <w:rsid w:val="008C0ADB"/>
    <w:rsid w:val="008C100A"/>
    <w:rsid w:val="008C1774"/>
    <w:rsid w:val="008C33EB"/>
    <w:rsid w:val="008C76F5"/>
    <w:rsid w:val="008D5C5D"/>
    <w:rsid w:val="008D6C26"/>
    <w:rsid w:val="008E0208"/>
    <w:rsid w:val="008E1C97"/>
    <w:rsid w:val="008E63A4"/>
    <w:rsid w:val="008F132A"/>
    <w:rsid w:val="008F3969"/>
    <w:rsid w:val="008F498F"/>
    <w:rsid w:val="008F5336"/>
    <w:rsid w:val="008F5AA0"/>
    <w:rsid w:val="008F6A0E"/>
    <w:rsid w:val="008F761A"/>
    <w:rsid w:val="00905A12"/>
    <w:rsid w:val="00905C8A"/>
    <w:rsid w:val="00905F07"/>
    <w:rsid w:val="0090608A"/>
    <w:rsid w:val="00912A49"/>
    <w:rsid w:val="00912AE9"/>
    <w:rsid w:val="00914D30"/>
    <w:rsid w:val="009174FD"/>
    <w:rsid w:val="00917593"/>
    <w:rsid w:val="00920287"/>
    <w:rsid w:val="00926276"/>
    <w:rsid w:val="00930157"/>
    <w:rsid w:val="00935A04"/>
    <w:rsid w:val="00937C67"/>
    <w:rsid w:val="00940B44"/>
    <w:rsid w:val="00945D72"/>
    <w:rsid w:val="00952669"/>
    <w:rsid w:val="00952BCC"/>
    <w:rsid w:val="00953FBC"/>
    <w:rsid w:val="009541FA"/>
    <w:rsid w:val="00955516"/>
    <w:rsid w:val="0096322E"/>
    <w:rsid w:val="009632F0"/>
    <w:rsid w:val="0097001E"/>
    <w:rsid w:val="0097154E"/>
    <w:rsid w:val="0097178A"/>
    <w:rsid w:val="009738B1"/>
    <w:rsid w:val="00974A9F"/>
    <w:rsid w:val="00980C95"/>
    <w:rsid w:val="00980F06"/>
    <w:rsid w:val="009825BB"/>
    <w:rsid w:val="00985039"/>
    <w:rsid w:val="0099049E"/>
    <w:rsid w:val="00990CCB"/>
    <w:rsid w:val="00992C7E"/>
    <w:rsid w:val="009930EE"/>
    <w:rsid w:val="00996C1F"/>
    <w:rsid w:val="009A0899"/>
    <w:rsid w:val="009A3E71"/>
    <w:rsid w:val="009A4FF6"/>
    <w:rsid w:val="009A7BAA"/>
    <w:rsid w:val="009B793C"/>
    <w:rsid w:val="009C4EA8"/>
    <w:rsid w:val="009C5ED6"/>
    <w:rsid w:val="009D035B"/>
    <w:rsid w:val="009D59FA"/>
    <w:rsid w:val="009D632D"/>
    <w:rsid w:val="009D7359"/>
    <w:rsid w:val="009E1AC3"/>
    <w:rsid w:val="009E2CB2"/>
    <w:rsid w:val="009E3473"/>
    <w:rsid w:val="009E63FD"/>
    <w:rsid w:val="009E7C54"/>
    <w:rsid w:val="009F19B1"/>
    <w:rsid w:val="009F3757"/>
    <w:rsid w:val="009F731C"/>
    <w:rsid w:val="00A03FD7"/>
    <w:rsid w:val="00A04CA6"/>
    <w:rsid w:val="00A05B6A"/>
    <w:rsid w:val="00A05C45"/>
    <w:rsid w:val="00A05C9F"/>
    <w:rsid w:val="00A07A9D"/>
    <w:rsid w:val="00A11D39"/>
    <w:rsid w:val="00A11E5D"/>
    <w:rsid w:val="00A13075"/>
    <w:rsid w:val="00A15A33"/>
    <w:rsid w:val="00A17084"/>
    <w:rsid w:val="00A21473"/>
    <w:rsid w:val="00A21CA9"/>
    <w:rsid w:val="00A22CFB"/>
    <w:rsid w:val="00A242E5"/>
    <w:rsid w:val="00A2523E"/>
    <w:rsid w:val="00A26B86"/>
    <w:rsid w:val="00A27B3C"/>
    <w:rsid w:val="00A32058"/>
    <w:rsid w:val="00A3302F"/>
    <w:rsid w:val="00A33414"/>
    <w:rsid w:val="00A42A7A"/>
    <w:rsid w:val="00A43851"/>
    <w:rsid w:val="00A507C4"/>
    <w:rsid w:val="00A54B81"/>
    <w:rsid w:val="00A56ABE"/>
    <w:rsid w:val="00A623F2"/>
    <w:rsid w:val="00A625DE"/>
    <w:rsid w:val="00A62BCC"/>
    <w:rsid w:val="00A64108"/>
    <w:rsid w:val="00A64F6F"/>
    <w:rsid w:val="00A719D9"/>
    <w:rsid w:val="00A72B09"/>
    <w:rsid w:val="00A73A8A"/>
    <w:rsid w:val="00A76D43"/>
    <w:rsid w:val="00A7732F"/>
    <w:rsid w:val="00A77D91"/>
    <w:rsid w:val="00A81556"/>
    <w:rsid w:val="00A82CD6"/>
    <w:rsid w:val="00A91168"/>
    <w:rsid w:val="00A93C8B"/>
    <w:rsid w:val="00A94DA0"/>
    <w:rsid w:val="00AA1BDA"/>
    <w:rsid w:val="00AA3D05"/>
    <w:rsid w:val="00AA5AFF"/>
    <w:rsid w:val="00AA5D81"/>
    <w:rsid w:val="00AA617A"/>
    <w:rsid w:val="00AA7939"/>
    <w:rsid w:val="00AB0A39"/>
    <w:rsid w:val="00AB0F8A"/>
    <w:rsid w:val="00AB0FE7"/>
    <w:rsid w:val="00AB1851"/>
    <w:rsid w:val="00AB1CFC"/>
    <w:rsid w:val="00AB2C35"/>
    <w:rsid w:val="00AB3604"/>
    <w:rsid w:val="00AB4BE3"/>
    <w:rsid w:val="00AB7070"/>
    <w:rsid w:val="00AB78B9"/>
    <w:rsid w:val="00AC0CC9"/>
    <w:rsid w:val="00AC0E0F"/>
    <w:rsid w:val="00AC3978"/>
    <w:rsid w:val="00AD27D6"/>
    <w:rsid w:val="00AD4F1D"/>
    <w:rsid w:val="00AD535E"/>
    <w:rsid w:val="00AD6E54"/>
    <w:rsid w:val="00AE109E"/>
    <w:rsid w:val="00AE3667"/>
    <w:rsid w:val="00AE389A"/>
    <w:rsid w:val="00AE3A02"/>
    <w:rsid w:val="00AE6E9C"/>
    <w:rsid w:val="00AE7FF9"/>
    <w:rsid w:val="00AF28CB"/>
    <w:rsid w:val="00AF6D46"/>
    <w:rsid w:val="00B022F0"/>
    <w:rsid w:val="00B0413B"/>
    <w:rsid w:val="00B05CB6"/>
    <w:rsid w:val="00B12727"/>
    <w:rsid w:val="00B1674C"/>
    <w:rsid w:val="00B16C1B"/>
    <w:rsid w:val="00B25475"/>
    <w:rsid w:val="00B26351"/>
    <w:rsid w:val="00B267CE"/>
    <w:rsid w:val="00B402ED"/>
    <w:rsid w:val="00B4105F"/>
    <w:rsid w:val="00B41378"/>
    <w:rsid w:val="00B471D7"/>
    <w:rsid w:val="00B47E18"/>
    <w:rsid w:val="00B47E38"/>
    <w:rsid w:val="00B51228"/>
    <w:rsid w:val="00B5347B"/>
    <w:rsid w:val="00B53CD7"/>
    <w:rsid w:val="00B606E4"/>
    <w:rsid w:val="00B61296"/>
    <w:rsid w:val="00B61488"/>
    <w:rsid w:val="00B6395B"/>
    <w:rsid w:val="00B66A42"/>
    <w:rsid w:val="00B731FD"/>
    <w:rsid w:val="00B736E2"/>
    <w:rsid w:val="00B7442C"/>
    <w:rsid w:val="00B76675"/>
    <w:rsid w:val="00B76B59"/>
    <w:rsid w:val="00B83A32"/>
    <w:rsid w:val="00B84094"/>
    <w:rsid w:val="00B85B05"/>
    <w:rsid w:val="00B906A2"/>
    <w:rsid w:val="00B921C5"/>
    <w:rsid w:val="00B94DC5"/>
    <w:rsid w:val="00B94F17"/>
    <w:rsid w:val="00BA40B4"/>
    <w:rsid w:val="00BA45A3"/>
    <w:rsid w:val="00BB0E31"/>
    <w:rsid w:val="00BB1CDE"/>
    <w:rsid w:val="00BB24AA"/>
    <w:rsid w:val="00BC2872"/>
    <w:rsid w:val="00BC3353"/>
    <w:rsid w:val="00BC3676"/>
    <w:rsid w:val="00BC4096"/>
    <w:rsid w:val="00BC6F2B"/>
    <w:rsid w:val="00BC74D5"/>
    <w:rsid w:val="00BD045B"/>
    <w:rsid w:val="00BE10ED"/>
    <w:rsid w:val="00BE3A9A"/>
    <w:rsid w:val="00BE407C"/>
    <w:rsid w:val="00BE5C19"/>
    <w:rsid w:val="00BE69F0"/>
    <w:rsid w:val="00BE737B"/>
    <w:rsid w:val="00BF4D67"/>
    <w:rsid w:val="00BF6913"/>
    <w:rsid w:val="00BF6D62"/>
    <w:rsid w:val="00C01D6D"/>
    <w:rsid w:val="00C0201D"/>
    <w:rsid w:val="00C034D4"/>
    <w:rsid w:val="00C03537"/>
    <w:rsid w:val="00C07444"/>
    <w:rsid w:val="00C105E3"/>
    <w:rsid w:val="00C10D1D"/>
    <w:rsid w:val="00C11FE8"/>
    <w:rsid w:val="00C12743"/>
    <w:rsid w:val="00C12E47"/>
    <w:rsid w:val="00C143A6"/>
    <w:rsid w:val="00C15572"/>
    <w:rsid w:val="00C16B49"/>
    <w:rsid w:val="00C17A37"/>
    <w:rsid w:val="00C31BDA"/>
    <w:rsid w:val="00C3754F"/>
    <w:rsid w:val="00C421E8"/>
    <w:rsid w:val="00C4331A"/>
    <w:rsid w:val="00C44280"/>
    <w:rsid w:val="00C4522F"/>
    <w:rsid w:val="00C474C2"/>
    <w:rsid w:val="00C51C74"/>
    <w:rsid w:val="00C52CA8"/>
    <w:rsid w:val="00C532EB"/>
    <w:rsid w:val="00C54E91"/>
    <w:rsid w:val="00C56D9A"/>
    <w:rsid w:val="00C616FB"/>
    <w:rsid w:val="00C62AFD"/>
    <w:rsid w:val="00C62F2B"/>
    <w:rsid w:val="00C62F5E"/>
    <w:rsid w:val="00C70F94"/>
    <w:rsid w:val="00C77FE2"/>
    <w:rsid w:val="00C86177"/>
    <w:rsid w:val="00C8648D"/>
    <w:rsid w:val="00C868B6"/>
    <w:rsid w:val="00C8776E"/>
    <w:rsid w:val="00C87CB5"/>
    <w:rsid w:val="00C90A4E"/>
    <w:rsid w:val="00C91C91"/>
    <w:rsid w:val="00C9448D"/>
    <w:rsid w:val="00C95235"/>
    <w:rsid w:val="00CA2AE5"/>
    <w:rsid w:val="00CA3A17"/>
    <w:rsid w:val="00CA6E9D"/>
    <w:rsid w:val="00CB2B0A"/>
    <w:rsid w:val="00CB2E89"/>
    <w:rsid w:val="00CB317D"/>
    <w:rsid w:val="00CB327D"/>
    <w:rsid w:val="00CB39B6"/>
    <w:rsid w:val="00CB3A4B"/>
    <w:rsid w:val="00CC051F"/>
    <w:rsid w:val="00CC21FE"/>
    <w:rsid w:val="00CC3345"/>
    <w:rsid w:val="00CC56C7"/>
    <w:rsid w:val="00CD0CB8"/>
    <w:rsid w:val="00CD2190"/>
    <w:rsid w:val="00CD33EC"/>
    <w:rsid w:val="00CD3992"/>
    <w:rsid w:val="00CD480B"/>
    <w:rsid w:val="00CD5847"/>
    <w:rsid w:val="00CE2B63"/>
    <w:rsid w:val="00CE2F0A"/>
    <w:rsid w:val="00CE3038"/>
    <w:rsid w:val="00CF12C1"/>
    <w:rsid w:val="00CF2BC2"/>
    <w:rsid w:val="00CF4EDC"/>
    <w:rsid w:val="00CF6161"/>
    <w:rsid w:val="00CF66A3"/>
    <w:rsid w:val="00CF6AAC"/>
    <w:rsid w:val="00D0065A"/>
    <w:rsid w:val="00D008F3"/>
    <w:rsid w:val="00D01DEF"/>
    <w:rsid w:val="00D036FB"/>
    <w:rsid w:val="00D05C67"/>
    <w:rsid w:val="00D05D34"/>
    <w:rsid w:val="00D13467"/>
    <w:rsid w:val="00D238AA"/>
    <w:rsid w:val="00D243DA"/>
    <w:rsid w:val="00D271BF"/>
    <w:rsid w:val="00D27BE8"/>
    <w:rsid w:val="00D32ABF"/>
    <w:rsid w:val="00D32EB8"/>
    <w:rsid w:val="00D352FD"/>
    <w:rsid w:val="00D40292"/>
    <w:rsid w:val="00D407BE"/>
    <w:rsid w:val="00D412E8"/>
    <w:rsid w:val="00D4240C"/>
    <w:rsid w:val="00D4286A"/>
    <w:rsid w:val="00D43062"/>
    <w:rsid w:val="00D43EEE"/>
    <w:rsid w:val="00D446EC"/>
    <w:rsid w:val="00D46448"/>
    <w:rsid w:val="00D4713C"/>
    <w:rsid w:val="00D55EF2"/>
    <w:rsid w:val="00D55F91"/>
    <w:rsid w:val="00D60E70"/>
    <w:rsid w:val="00D63792"/>
    <w:rsid w:val="00D64C89"/>
    <w:rsid w:val="00D71A68"/>
    <w:rsid w:val="00D72674"/>
    <w:rsid w:val="00D7411C"/>
    <w:rsid w:val="00D75822"/>
    <w:rsid w:val="00D81CFB"/>
    <w:rsid w:val="00D90B16"/>
    <w:rsid w:val="00D92465"/>
    <w:rsid w:val="00D95EA5"/>
    <w:rsid w:val="00D96F4E"/>
    <w:rsid w:val="00DA2851"/>
    <w:rsid w:val="00DA2C7F"/>
    <w:rsid w:val="00DA2F0C"/>
    <w:rsid w:val="00DA2F25"/>
    <w:rsid w:val="00DA44FF"/>
    <w:rsid w:val="00DB6035"/>
    <w:rsid w:val="00DB67ED"/>
    <w:rsid w:val="00DB75A8"/>
    <w:rsid w:val="00DC39B6"/>
    <w:rsid w:val="00DC602C"/>
    <w:rsid w:val="00DC6320"/>
    <w:rsid w:val="00DD3414"/>
    <w:rsid w:val="00DD5A10"/>
    <w:rsid w:val="00DE1259"/>
    <w:rsid w:val="00DE1C5E"/>
    <w:rsid w:val="00DE2929"/>
    <w:rsid w:val="00DE3750"/>
    <w:rsid w:val="00DE63EC"/>
    <w:rsid w:val="00DF2F12"/>
    <w:rsid w:val="00DF50A8"/>
    <w:rsid w:val="00DF53AB"/>
    <w:rsid w:val="00DF55FB"/>
    <w:rsid w:val="00DF5950"/>
    <w:rsid w:val="00DF5A86"/>
    <w:rsid w:val="00E01915"/>
    <w:rsid w:val="00E03316"/>
    <w:rsid w:val="00E04117"/>
    <w:rsid w:val="00E04931"/>
    <w:rsid w:val="00E04D23"/>
    <w:rsid w:val="00E0640F"/>
    <w:rsid w:val="00E0703B"/>
    <w:rsid w:val="00E1302F"/>
    <w:rsid w:val="00E149A1"/>
    <w:rsid w:val="00E15AFA"/>
    <w:rsid w:val="00E15C8D"/>
    <w:rsid w:val="00E1779A"/>
    <w:rsid w:val="00E17F61"/>
    <w:rsid w:val="00E3229C"/>
    <w:rsid w:val="00E32F1C"/>
    <w:rsid w:val="00E37E43"/>
    <w:rsid w:val="00E41110"/>
    <w:rsid w:val="00E42496"/>
    <w:rsid w:val="00E44606"/>
    <w:rsid w:val="00E45BE3"/>
    <w:rsid w:val="00E50767"/>
    <w:rsid w:val="00E51082"/>
    <w:rsid w:val="00E55E22"/>
    <w:rsid w:val="00E55F8C"/>
    <w:rsid w:val="00E57A90"/>
    <w:rsid w:val="00E61062"/>
    <w:rsid w:val="00E65A6D"/>
    <w:rsid w:val="00E66BCD"/>
    <w:rsid w:val="00E67F86"/>
    <w:rsid w:val="00E75C6A"/>
    <w:rsid w:val="00E766C8"/>
    <w:rsid w:val="00E7711B"/>
    <w:rsid w:val="00E77185"/>
    <w:rsid w:val="00E8138D"/>
    <w:rsid w:val="00E849F2"/>
    <w:rsid w:val="00E909B0"/>
    <w:rsid w:val="00E95670"/>
    <w:rsid w:val="00EA06CA"/>
    <w:rsid w:val="00EA0926"/>
    <w:rsid w:val="00EA1654"/>
    <w:rsid w:val="00EA2461"/>
    <w:rsid w:val="00EB0EFD"/>
    <w:rsid w:val="00EB38B2"/>
    <w:rsid w:val="00EB668A"/>
    <w:rsid w:val="00EB6DAB"/>
    <w:rsid w:val="00EB74DB"/>
    <w:rsid w:val="00EC15F5"/>
    <w:rsid w:val="00EC37A2"/>
    <w:rsid w:val="00EC493C"/>
    <w:rsid w:val="00EC75AE"/>
    <w:rsid w:val="00ED052E"/>
    <w:rsid w:val="00ED24FC"/>
    <w:rsid w:val="00ED2AA4"/>
    <w:rsid w:val="00ED2C65"/>
    <w:rsid w:val="00ED370B"/>
    <w:rsid w:val="00ED5CB9"/>
    <w:rsid w:val="00ED61A2"/>
    <w:rsid w:val="00ED6652"/>
    <w:rsid w:val="00ED71D7"/>
    <w:rsid w:val="00ED75E9"/>
    <w:rsid w:val="00EE0FDB"/>
    <w:rsid w:val="00EE262C"/>
    <w:rsid w:val="00EE3569"/>
    <w:rsid w:val="00EE69B3"/>
    <w:rsid w:val="00EE7039"/>
    <w:rsid w:val="00EE7215"/>
    <w:rsid w:val="00EF441A"/>
    <w:rsid w:val="00EF5A52"/>
    <w:rsid w:val="00F02F8B"/>
    <w:rsid w:val="00F0435B"/>
    <w:rsid w:val="00F067E3"/>
    <w:rsid w:val="00F06C92"/>
    <w:rsid w:val="00F129C4"/>
    <w:rsid w:val="00F14F04"/>
    <w:rsid w:val="00F20114"/>
    <w:rsid w:val="00F23CA4"/>
    <w:rsid w:val="00F245AC"/>
    <w:rsid w:val="00F248F0"/>
    <w:rsid w:val="00F26EA3"/>
    <w:rsid w:val="00F336C6"/>
    <w:rsid w:val="00F3405C"/>
    <w:rsid w:val="00F41CC7"/>
    <w:rsid w:val="00F4212D"/>
    <w:rsid w:val="00F470A1"/>
    <w:rsid w:val="00F510CC"/>
    <w:rsid w:val="00F531B2"/>
    <w:rsid w:val="00F53B49"/>
    <w:rsid w:val="00F55C4B"/>
    <w:rsid w:val="00F564B4"/>
    <w:rsid w:val="00F60648"/>
    <w:rsid w:val="00F60741"/>
    <w:rsid w:val="00F60886"/>
    <w:rsid w:val="00F62044"/>
    <w:rsid w:val="00F6489E"/>
    <w:rsid w:val="00F65F76"/>
    <w:rsid w:val="00F666CE"/>
    <w:rsid w:val="00F70D90"/>
    <w:rsid w:val="00F72837"/>
    <w:rsid w:val="00F7582D"/>
    <w:rsid w:val="00F7643F"/>
    <w:rsid w:val="00F76D00"/>
    <w:rsid w:val="00F80745"/>
    <w:rsid w:val="00F835DE"/>
    <w:rsid w:val="00F852FB"/>
    <w:rsid w:val="00F86DAF"/>
    <w:rsid w:val="00F872B0"/>
    <w:rsid w:val="00F87713"/>
    <w:rsid w:val="00F928B8"/>
    <w:rsid w:val="00FA13C9"/>
    <w:rsid w:val="00FA1A9D"/>
    <w:rsid w:val="00FA245D"/>
    <w:rsid w:val="00FA3925"/>
    <w:rsid w:val="00FA5EB1"/>
    <w:rsid w:val="00FB00DB"/>
    <w:rsid w:val="00FB0958"/>
    <w:rsid w:val="00FB12A2"/>
    <w:rsid w:val="00FB5318"/>
    <w:rsid w:val="00FC082E"/>
    <w:rsid w:val="00FC41AA"/>
    <w:rsid w:val="00FC6F25"/>
    <w:rsid w:val="00FC7E07"/>
    <w:rsid w:val="00FD21B9"/>
    <w:rsid w:val="00FD40A4"/>
    <w:rsid w:val="00FD577B"/>
    <w:rsid w:val="00FD580A"/>
    <w:rsid w:val="00FD6BBE"/>
    <w:rsid w:val="00FD7785"/>
    <w:rsid w:val="00FD7B27"/>
    <w:rsid w:val="00FE1663"/>
    <w:rsid w:val="00FE1EE4"/>
    <w:rsid w:val="00FE42AB"/>
    <w:rsid w:val="00FF1A38"/>
    <w:rsid w:val="00FF326E"/>
    <w:rsid w:val="00FF607E"/>
    <w:rsid w:val="00FF6C3E"/>
    <w:rsid w:val="00FF7C11"/>
    <w:rsid w:val="00FF7DC6"/>
    <w:rsid w:val="12C71B30"/>
    <w:rsid w:val="334F10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691E1"/>
  <w15:docId w15:val="{229AB222-2370-479E-A7CC-C99ACF14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35"/>
    <w:pPr>
      <w:spacing w:line="36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0B5BB6"/>
    <w:pPr>
      <w:keepNext/>
      <w:keepLines/>
      <w:spacing w:before="240" w:after="120"/>
      <w:outlineLvl w:val="0"/>
    </w:pPr>
    <w:rPr>
      <w:rFonts w:eastAsiaTheme="majorEastAsia" w:cstheme="majorBidi"/>
      <w:b/>
      <w:bCs/>
      <w:szCs w:val="28"/>
    </w:rPr>
  </w:style>
  <w:style w:type="paragraph" w:styleId="Heading2">
    <w:name w:val="heading 2"/>
    <w:basedOn w:val="Normal"/>
    <w:next w:val="Normal"/>
    <w:link w:val="Heading2Char"/>
    <w:unhideWhenUsed/>
    <w:qFormat/>
    <w:rsid w:val="000B5BB6"/>
    <w:pPr>
      <w:keepNext/>
      <w:keepLines/>
      <w:spacing w:before="120" w:after="120"/>
      <w:outlineLvl w:val="1"/>
    </w:pPr>
    <w:rPr>
      <w:rFonts w:eastAsiaTheme="majorEastAsia" w:cstheme="majorBidi"/>
      <w:b/>
      <w:bCs/>
      <w:i/>
      <w:szCs w:val="26"/>
    </w:rPr>
  </w:style>
  <w:style w:type="paragraph" w:styleId="Heading3">
    <w:name w:val="heading 3"/>
    <w:basedOn w:val="Normal"/>
    <w:next w:val="Normal"/>
    <w:link w:val="Heading3Char"/>
    <w:unhideWhenUsed/>
    <w:qFormat/>
    <w:rsid w:val="00FE1663"/>
    <w:pPr>
      <w:keepNext/>
      <w:keepLines/>
      <w:spacing w:before="36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FE166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FE1663"/>
    <w:pPr>
      <w:spacing w:before="240" w:after="60"/>
      <w:outlineLvl w:val="4"/>
    </w:pPr>
    <w:rPr>
      <w:b/>
      <w:i/>
      <w:sz w:val="26"/>
    </w:rPr>
  </w:style>
  <w:style w:type="paragraph" w:styleId="Heading6">
    <w:name w:val="heading 6"/>
    <w:basedOn w:val="Normal"/>
    <w:next w:val="Normal"/>
    <w:link w:val="Heading6Char"/>
    <w:uiPriority w:val="9"/>
    <w:unhideWhenUsed/>
    <w:qFormat/>
    <w:rsid w:val="003F0C3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3F0C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E166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BB6"/>
    <w:rPr>
      <w:rFonts w:ascii="Times New Roman" w:eastAsiaTheme="majorEastAsia" w:hAnsi="Times New Roman" w:cstheme="majorBidi"/>
      <w:b/>
      <w:bCs/>
      <w:sz w:val="24"/>
      <w:szCs w:val="28"/>
      <w:lang w:eastAsia="en-GB"/>
    </w:rPr>
  </w:style>
  <w:style w:type="character" w:customStyle="1" w:styleId="Heading2Char">
    <w:name w:val="Heading 2 Char"/>
    <w:basedOn w:val="DefaultParagraphFont"/>
    <w:link w:val="Heading2"/>
    <w:rsid w:val="000B5BB6"/>
    <w:rPr>
      <w:rFonts w:ascii="Times New Roman" w:eastAsiaTheme="majorEastAsia" w:hAnsi="Times New Roman" w:cstheme="majorBidi"/>
      <w:b/>
      <w:bCs/>
      <w:i/>
      <w:sz w:val="24"/>
      <w:szCs w:val="26"/>
      <w:lang w:eastAsia="en-GB"/>
    </w:rPr>
  </w:style>
  <w:style w:type="character" w:customStyle="1" w:styleId="Heading3Char">
    <w:name w:val="Heading 3 Char"/>
    <w:basedOn w:val="DefaultParagraphFont"/>
    <w:link w:val="Heading3"/>
    <w:rsid w:val="00FE1663"/>
    <w:rPr>
      <w:rFonts w:asciiTheme="majorHAnsi" w:eastAsiaTheme="majorEastAsia" w:hAnsiTheme="majorHAnsi" w:cstheme="majorBidi"/>
      <w:b/>
      <w:bCs/>
      <w:sz w:val="24"/>
      <w:szCs w:val="20"/>
      <w:lang w:eastAsia="en-GB"/>
    </w:rPr>
  </w:style>
  <w:style w:type="character" w:customStyle="1" w:styleId="Heading4Char">
    <w:name w:val="Heading 4 Char"/>
    <w:basedOn w:val="DefaultParagraphFont"/>
    <w:link w:val="Heading4"/>
    <w:rsid w:val="00FE1663"/>
    <w:rPr>
      <w:rFonts w:asciiTheme="majorHAnsi" w:eastAsiaTheme="majorEastAsia" w:hAnsiTheme="majorHAnsi" w:cstheme="majorBidi"/>
      <w:b/>
      <w:bCs/>
      <w:i/>
      <w:iCs/>
      <w:color w:val="5B9BD5" w:themeColor="accent1"/>
      <w:sz w:val="24"/>
      <w:szCs w:val="20"/>
      <w:lang w:eastAsia="en-GB"/>
    </w:rPr>
  </w:style>
  <w:style w:type="character" w:customStyle="1" w:styleId="Heading5Char">
    <w:name w:val="Heading 5 Char"/>
    <w:basedOn w:val="DefaultParagraphFont"/>
    <w:link w:val="Heading5"/>
    <w:rsid w:val="00FE1663"/>
    <w:rPr>
      <w:rFonts w:ascii="Bookman Old Style" w:eastAsia="Times New Roman" w:hAnsi="Bookman Old Style" w:cs="Times New Roman"/>
      <w:b/>
      <w:i/>
      <w:sz w:val="26"/>
      <w:szCs w:val="20"/>
      <w:lang w:eastAsia="en-GB"/>
    </w:rPr>
  </w:style>
  <w:style w:type="character" w:customStyle="1" w:styleId="Heading8Char">
    <w:name w:val="Heading 8 Char"/>
    <w:basedOn w:val="DefaultParagraphFont"/>
    <w:link w:val="Heading8"/>
    <w:rsid w:val="00FE1663"/>
    <w:rPr>
      <w:rFonts w:ascii="Times New Roman" w:eastAsia="Times New Roman" w:hAnsi="Times New Roman" w:cs="Times New Roman"/>
      <w:i/>
      <w:sz w:val="24"/>
      <w:szCs w:val="20"/>
      <w:lang w:eastAsia="en-GB"/>
    </w:rPr>
  </w:style>
  <w:style w:type="paragraph" w:customStyle="1" w:styleId="CH1">
    <w:name w:val="CH 1"/>
    <w:basedOn w:val="Normal"/>
    <w:link w:val="CH1Char"/>
    <w:qFormat/>
    <w:rsid w:val="00FE1663"/>
    <w:pPr>
      <w:keepNext/>
      <w:numPr>
        <w:numId w:val="1"/>
      </w:numPr>
      <w:spacing w:before="360" w:after="360"/>
      <w:outlineLvl w:val="0"/>
    </w:pPr>
    <w:rPr>
      <w:b/>
      <w:bCs/>
      <w:kern w:val="32"/>
      <w:szCs w:val="24"/>
    </w:rPr>
  </w:style>
  <w:style w:type="character" w:customStyle="1" w:styleId="CH1Char">
    <w:name w:val="CH 1 Char"/>
    <w:link w:val="CH1"/>
    <w:rsid w:val="00FE1663"/>
    <w:rPr>
      <w:rFonts w:ascii="Times New Roman" w:eastAsia="Times New Roman" w:hAnsi="Times New Roman" w:cs="Times New Roman"/>
      <w:b/>
      <w:bCs/>
      <w:kern w:val="32"/>
      <w:sz w:val="24"/>
      <w:szCs w:val="24"/>
      <w:lang w:eastAsia="en-GB"/>
    </w:rPr>
  </w:style>
  <w:style w:type="paragraph" w:customStyle="1" w:styleId="CH2">
    <w:name w:val="CH 2"/>
    <w:basedOn w:val="Normal"/>
    <w:link w:val="CH2Char"/>
    <w:qFormat/>
    <w:rsid w:val="00FE1663"/>
    <w:pPr>
      <w:keepNext/>
      <w:numPr>
        <w:ilvl w:val="1"/>
        <w:numId w:val="1"/>
      </w:numPr>
      <w:tabs>
        <w:tab w:val="left" w:pos="540"/>
      </w:tabs>
      <w:spacing w:after="120"/>
      <w:outlineLvl w:val="0"/>
    </w:pPr>
    <w:rPr>
      <w:b/>
      <w:bCs/>
      <w:kern w:val="32"/>
      <w:szCs w:val="24"/>
    </w:rPr>
  </w:style>
  <w:style w:type="character" w:customStyle="1" w:styleId="CH2Char">
    <w:name w:val="CH 2 Char"/>
    <w:link w:val="CH2"/>
    <w:rsid w:val="00FE1663"/>
    <w:rPr>
      <w:rFonts w:ascii="Times New Roman" w:eastAsia="Times New Roman" w:hAnsi="Times New Roman" w:cs="Times New Roman"/>
      <w:b/>
      <w:bCs/>
      <w:kern w:val="32"/>
      <w:sz w:val="24"/>
      <w:szCs w:val="24"/>
      <w:lang w:eastAsia="en-GB"/>
    </w:rPr>
  </w:style>
  <w:style w:type="paragraph" w:customStyle="1" w:styleId="CH3">
    <w:name w:val="CH 3"/>
    <w:basedOn w:val="Normal"/>
    <w:link w:val="CH3Char"/>
    <w:qFormat/>
    <w:rsid w:val="00FE1663"/>
    <w:pPr>
      <w:keepNext/>
      <w:numPr>
        <w:ilvl w:val="2"/>
        <w:numId w:val="1"/>
      </w:numPr>
      <w:tabs>
        <w:tab w:val="left" w:pos="1134"/>
        <w:tab w:val="left" w:pos="1260"/>
      </w:tabs>
      <w:spacing w:before="240"/>
      <w:ind w:left="505" w:hanging="505"/>
      <w:outlineLvl w:val="0"/>
    </w:pPr>
    <w:rPr>
      <w:bCs/>
      <w:i/>
      <w:kern w:val="32"/>
      <w:szCs w:val="32"/>
    </w:rPr>
  </w:style>
  <w:style w:type="character" w:customStyle="1" w:styleId="CH3Char">
    <w:name w:val="CH 3 Char"/>
    <w:link w:val="CH3"/>
    <w:rsid w:val="00FE1663"/>
    <w:rPr>
      <w:rFonts w:ascii="Times New Roman" w:eastAsia="Times New Roman" w:hAnsi="Times New Roman" w:cs="Times New Roman"/>
      <w:bCs/>
      <w:i/>
      <w:kern w:val="32"/>
      <w:sz w:val="24"/>
      <w:szCs w:val="32"/>
      <w:lang w:eastAsia="en-GB"/>
    </w:rPr>
  </w:style>
  <w:style w:type="paragraph" w:customStyle="1" w:styleId="CH4">
    <w:name w:val="CH 4"/>
    <w:basedOn w:val="Normal"/>
    <w:link w:val="CH4Char"/>
    <w:qFormat/>
    <w:rsid w:val="00FE1663"/>
    <w:pPr>
      <w:keepNext/>
      <w:ind w:firstLine="720"/>
      <w:outlineLvl w:val="0"/>
    </w:pPr>
    <w:rPr>
      <w:bCs/>
      <w:color w:val="5B9BD5" w:themeColor="accent1"/>
      <w:kern w:val="32"/>
      <w:szCs w:val="32"/>
      <w:u w:val="single"/>
    </w:rPr>
  </w:style>
  <w:style w:type="character" w:customStyle="1" w:styleId="CH4Char">
    <w:name w:val="CH 4 Char"/>
    <w:basedOn w:val="Heading4Char"/>
    <w:link w:val="CH4"/>
    <w:rsid w:val="00FE1663"/>
    <w:rPr>
      <w:rFonts w:ascii="Times New Roman" w:eastAsia="Times New Roman" w:hAnsi="Times New Roman" w:cs="Times New Roman"/>
      <w:b w:val="0"/>
      <w:bCs/>
      <w:i w:val="0"/>
      <w:iCs w:val="0"/>
      <w:color w:val="5B9BD5" w:themeColor="accent1"/>
      <w:kern w:val="32"/>
      <w:sz w:val="24"/>
      <w:szCs w:val="32"/>
      <w:u w:val="single"/>
      <w:lang w:eastAsia="en-GB"/>
    </w:rPr>
  </w:style>
  <w:style w:type="paragraph" w:customStyle="1" w:styleId="ChapterHeading">
    <w:name w:val="Chapter Heading"/>
    <w:basedOn w:val="Normal"/>
    <w:link w:val="ChapterHeadingChar"/>
    <w:qFormat/>
    <w:rsid w:val="00FE1663"/>
    <w:pPr>
      <w:keepNext/>
      <w:spacing w:before="600" w:after="600"/>
      <w:ind w:left="357"/>
      <w:jc w:val="center"/>
      <w:outlineLvl w:val="0"/>
    </w:pPr>
    <w:rPr>
      <w:b/>
      <w:bCs/>
      <w:kern w:val="32"/>
      <w:sz w:val="28"/>
      <w:szCs w:val="24"/>
    </w:rPr>
  </w:style>
  <w:style w:type="character" w:customStyle="1" w:styleId="ChapterHeadingChar">
    <w:name w:val="Chapter Heading Char"/>
    <w:basedOn w:val="DefaultParagraphFont"/>
    <w:link w:val="ChapterHeading"/>
    <w:rsid w:val="00FE1663"/>
    <w:rPr>
      <w:rFonts w:ascii="Times New Roman" w:eastAsia="Times New Roman" w:hAnsi="Times New Roman" w:cs="Times New Roman"/>
      <w:b/>
      <w:bCs/>
      <w:kern w:val="32"/>
      <w:sz w:val="28"/>
      <w:szCs w:val="24"/>
      <w:lang w:eastAsia="en-GB"/>
    </w:rPr>
  </w:style>
  <w:style w:type="paragraph" w:customStyle="1" w:styleId="BodytexttabbedCH">
    <w:name w:val="Body text tabbed CH"/>
    <w:basedOn w:val="Normal"/>
    <w:link w:val="BodytexttabbedCHChar"/>
    <w:qFormat/>
    <w:rsid w:val="00FE1663"/>
    <w:pPr>
      <w:keepNext/>
      <w:tabs>
        <w:tab w:val="left" w:pos="720"/>
      </w:tabs>
      <w:ind w:firstLine="720"/>
    </w:pPr>
    <w:rPr>
      <w:bCs/>
      <w:kern w:val="32"/>
      <w:szCs w:val="24"/>
    </w:rPr>
  </w:style>
  <w:style w:type="character" w:customStyle="1" w:styleId="BodytexttabbedCHChar">
    <w:name w:val="Body text tabbed CH Char"/>
    <w:basedOn w:val="DefaultParagraphFont"/>
    <w:link w:val="BodytexttabbedCH"/>
    <w:rsid w:val="00FE1663"/>
    <w:rPr>
      <w:rFonts w:ascii="Times New Roman" w:eastAsia="Times New Roman" w:hAnsi="Times New Roman" w:cs="Times New Roman"/>
      <w:bCs/>
      <w:kern w:val="32"/>
      <w:sz w:val="24"/>
      <w:szCs w:val="24"/>
      <w:lang w:eastAsia="en-GB"/>
    </w:rPr>
  </w:style>
  <w:style w:type="paragraph" w:customStyle="1" w:styleId="CH">
    <w:name w:val="CH"/>
    <w:basedOn w:val="Heading1"/>
    <w:link w:val="CHChar"/>
    <w:rsid w:val="00FE1663"/>
    <w:pPr>
      <w:keepLines w:val="0"/>
      <w:spacing w:after="60"/>
    </w:pPr>
    <w:rPr>
      <w:rFonts w:ascii="Calibri" w:eastAsia="Times New Roman" w:hAnsi="Calibri" w:cs="Arial"/>
      <w:kern w:val="32"/>
      <w:sz w:val="32"/>
      <w:szCs w:val="32"/>
    </w:rPr>
  </w:style>
  <w:style w:type="character" w:customStyle="1" w:styleId="CHChar">
    <w:name w:val="CH Char"/>
    <w:link w:val="CH"/>
    <w:rsid w:val="00FE1663"/>
    <w:rPr>
      <w:rFonts w:ascii="Calibri" w:eastAsia="Times New Roman" w:hAnsi="Calibri" w:cs="Arial"/>
      <w:b/>
      <w:bCs/>
      <w:kern w:val="32"/>
      <w:sz w:val="32"/>
      <w:szCs w:val="32"/>
      <w:lang w:eastAsia="en-GB"/>
    </w:rPr>
  </w:style>
  <w:style w:type="paragraph" w:customStyle="1" w:styleId="EndNoteBibliographyTitle">
    <w:name w:val="EndNote Bibliography Title"/>
    <w:basedOn w:val="Normal"/>
    <w:link w:val="EndNoteBibliographyTitleChar"/>
    <w:rsid w:val="00FE1663"/>
    <w:pPr>
      <w:jc w:val="center"/>
    </w:pPr>
    <w:rPr>
      <w:noProof/>
      <w:kern w:val="32"/>
      <w:szCs w:val="32"/>
      <w:lang w:val="en-US"/>
    </w:rPr>
  </w:style>
  <w:style w:type="character" w:customStyle="1" w:styleId="EndNoteBibliographyTitleChar">
    <w:name w:val="EndNote Bibliography Title Char"/>
    <w:basedOn w:val="CHChar"/>
    <w:link w:val="EndNoteBibliographyTitle"/>
    <w:rsid w:val="00FE1663"/>
    <w:rPr>
      <w:rFonts w:ascii="Times New Roman" w:eastAsia="Times New Roman" w:hAnsi="Times New Roman" w:cs="Times New Roman"/>
      <w:b w:val="0"/>
      <w:bCs w:val="0"/>
      <w:noProof/>
      <w:kern w:val="32"/>
      <w:sz w:val="24"/>
      <w:szCs w:val="32"/>
      <w:lang w:val="en-US" w:eastAsia="en-GB"/>
    </w:rPr>
  </w:style>
  <w:style w:type="paragraph" w:customStyle="1" w:styleId="EndNoteBibliography">
    <w:name w:val="EndNote Bibliography"/>
    <w:basedOn w:val="Normal"/>
    <w:link w:val="EndNoteBibliographyChar"/>
    <w:rsid w:val="00FE1663"/>
    <w:rPr>
      <w:noProof/>
      <w:kern w:val="32"/>
      <w:szCs w:val="32"/>
      <w:lang w:val="en-US"/>
    </w:rPr>
  </w:style>
  <w:style w:type="character" w:customStyle="1" w:styleId="EndNoteBibliographyChar">
    <w:name w:val="EndNote Bibliography Char"/>
    <w:basedOn w:val="CHChar"/>
    <w:link w:val="EndNoteBibliography"/>
    <w:rsid w:val="00FE1663"/>
    <w:rPr>
      <w:rFonts w:ascii="Times New Roman" w:eastAsia="Times New Roman" w:hAnsi="Times New Roman" w:cs="Times New Roman"/>
      <w:b w:val="0"/>
      <w:bCs w:val="0"/>
      <w:noProof/>
      <w:kern w:val="32"/>
      <w:sz w:val="24"/>
      <w:szCs w:val="32"/>
      <w:lang w:val="en-US" w:eastAsia="en-GB"/>
    </w:rPr>
  </w:style>
  <w:style w:type="character" w:customStyle="1" w:styleId="highlight">
    <w:name w:val="highlight"/>
    <w:basedOn w:val="DefaultParagraphFont"/>
    <w:rsid w:val="00FE1663"/>
  </w:style>
  <w:style w:type="paragraph" w:customStyle="1" w:styleId="Para">
    <w:name w:val="Para"/>
    <w:basedOn w:val="Normal"/>
    <w:rsid w:val="00FE1663"/>
    <w:pPr>
      <w:ind w:firstLine="288"/>
    </w:pPr>
  </w:style>
  <w:style w:type="paragraph" w:customStyle="1" w:styleId="Default">
    <w:name w:val="Default"/>
    <w:rsid w:val="00FE1663"/>
    <w:pPr>
      <w:autoSpaceDE w:val="0"/>
      <w:autoSpaceDN w:val="0"/>
      <w:adjustRightInd w:val="0"/>
    </w:pPr>
    <w:rPr>
      <w:rFonts w:ascii="Arial" w:eastAsia="Times New Roman" w:hAnsi="Arial" w:cs="Arial"/>
      <w:color w:val="000000"/>
      <w:sz w:val="24"/>
      <w:szCs w:val="24"/>
      <w:lang w:eastAsia="en-GB"/>
    </w:rPr>
  </w:style>
  <w:style w:type="paragraph" w:customStyle="1" w:styleId="HeadB">
    <w:name w:val="HeadB"/>
    <w:basedOn w:val="Normal"/>
    <w:rsid w:val="00FE1663"/>
    <w:pPr>
      <w:keepNext/>
      <w:suppressAutoHyphens/>
      <w:spacing w:before="60" w:line="280" w:lineRule="exact"/>
      <w:outlineLvl w:val="2"/>
    </w:pPr>
    <w:rPr>
      <w:b/>
      <w:sz w:val="20"/>
    </w:rPr>
  </w:style>
  <w:style w:type="paragraph" w:customStyle="1" w:styleId="Figure">
    <w:name w:val="Figure"/>
    <w:basedOn w:val="Normal"/>
    <w:rsid w:val="00FE1663"/>
    <w:pPr>
      <w:numPr>
        <w:numId w:val="3"/>
      </w:numPr>
      <w:tabs>
        <w:tab w:val="left" w:pos="720"/>
      </w:tabs>
      <w:spacing w:line="300" w:lineRule="exact"/>
    </w:pPr>
    <w:rPr>
      <w:b/>
    </w:rPr>
  </w:style>
  <w:style w:type="numbering" w:customStyle="1" w:styleId="Fig">
    <w:name w:val="Fig"/>
    <w:rsid w:val="00FE1663"/>
    <w:pPr>
      <w:numPr>
        <w:numId w:val="3"/>
      </w:numPr>
    </w:pPr>
  </w:style>
  <w:style w:type="paragraph" w:customStyle="1" w:styleId="HeadC">
    <w:name w:val="HeadC"/>
    <w:basedOn w:val="Normal"/>
    <w:rsid w:val="00FE1663"/>
    <w:pPr>
      <w:keepNext/>
      <w:suppressAutoHyphens/>
      <w:spacing w:before="60" w:line="280" w:lineRule="exact"/>
      <w:outlineLvl w:val="3"/>
    </w:pPr>
    <w:rPr>
      <w:i/>
      <w:sz w:val="20"/>
    </w:rPr>
  </w:style>
  <w:style w:type="paragraph" w:customStyle="1" w:styleId="Table">
    <w:name w:val="Table"/>
    <w:basedOn w:val="Normal"/>
    <w:rsid w:val="00FE1663"/>
    <w:pPr>
      <w:numPr>
        <w:numId w:val="5"/>
      </w:numPr>
      <w:tabs>
        <w:tab w:val="left" w:pos="1021"/>
      </w:tabs>
      <w:spacing w:line="300" w:lineRule="exact"/>
    </w:pPr>
    <w:rPr>
      <w:i/>
    </w:rPr>
  </w:style>
  <w:style w:type="numbering" w:customStyle="1" w:styleId="Tab">
    <w:name w:val="Tab"/>
    <w:rsid w:val="00FE1663"/>
    <w:pPr>
      <w:numPr>
        <w:numId w:val="5"/>
      </w:numPr>
    </w:pPr>
  </w:style>
  <w:style w:type="paragraph" w:styleId="TOC1">
    <w:name w:val="toc 1"/>
    <w:basedOn w:val="Normal"/>
    <w:next w:val="Normal"/>
    <w:autoRedefine/>
    <w:uiPriority w:val="39"/>
    <w:unhideWhenUsed/>
    <w:qFormat/>
    <w:rsid w:val="00FE1663"/>
    <w:pPr>
      <w:spacing w:after="100"/>
    </w:pPr>
  </w:style>
  <w:style w:type="paragraph" w:styleId="TOC2">
    <w:name w:val="toc 2"/>
    <w:basedOn w:val="Normal"/>
    <w:next w:val="Normal"/>
    <w:autoRedefine/>
    <w:uiPriority w:val="39"/>
    <w:semiHidden/>
    <w:unhideWhenUsed/>
    <w:qFormat/>
    <w:rsid w:val="00FE1663"/>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FE1663"/>
    <w:pPr>
      <w:spacing w:after="100"/>
      <w:ind w:left="440"/>
    </w:pPr>
    <w:rPr>
      <w:rFonts w:eastAsiaTheme="minorEastAsia"/>
      <w:lang w:val="en-US" w:eastAsia="ja-JP"/>
    </w:rPr>
  </w:style>
  <w:style w:type="paragraph" w:styleId="FootnoteText">
    <w:name w:val="footnote text"/>
    <w:basedOn w:val="Normal"/>
    <w:link w:val="FootnoteTextChar"/>
    <w:uiPriority w:val="99"/>
    <w:semiHidden/>
    <w:unhideWhenUsed/>
    <w:rsid w:val="00FE1663"/>
    <w:rPr>
      <w:sz w:val="20"/>
      <w:lang w:val="fr-FR"/>
    </w:rPr>
  </w:style>
  <w:style w:type="character" w:customStyle="1" w:styleId="FootnoteTextChar">
    <w:name w:val="Footnote Text Char"/>
    <w:basedOn w:val="DefaultParagraphFont"/>
    <w:link w:val="FootnoteText"/>
    <w:uiPriority w:val="99"/>
    <w:semiHidden/>
    <w:rsid w:val="00FE1663"/>
    <w:rPr>
      <w:rFonts w:ascii="Bookman Old Style" w:eastAsia="Times New Roman" w:hAnsi="Bookman Old Style" w:cs="Times New Roman"/>
      <w:sz w:val="20"/>
      <w:szCs w:val="20"/>
      <w:lang w:val="fr-FR" w:eastAsia="en-GB"/>
    </w:rPr>
  </w:style>
  <w:style w:type="paragraph" w:styleId="CommentText">
    <w:name w:val="annotation text"/>
    <w:basedOn w:val="Normal"/>
    <w:link w:val="CommentTextChar"/>
    <w:uiPriority w:val="99"/>
    <w:unhideWhenUsed/>
    <w:rsid w:val="00FE1663"/>
    <w:rPr>
      <w:sz w:val="20"/>
    </w:rPr>
  </w:style>
  <w:style w:type="character" w:customStyle="1" w:styleId="CommentTextChar">
    <w:name w:val="Comment Text Char"/>
    <w:basedOn w:val="DefaultParagraphFont"/>
    <w:link w:val="CommentText"/>
    <w:uiPriority w:val="99"/>
    <w:rsid w:val="00FE1663"/>
    <w:rPr>
      <w:rFonts w:ascii="Bookman Old Style" w:eastAsia="Times New Roman" w:hAnsi="Bookman Old Style" w:cs="Times New Roman"/>
      <w:sz w:val="20"/>
      <w:szCs w:val="20"/>
      <w:lang w:eastAsia="en-GB"/>
    </w:rPr>
  </w:style>
  <w:style w:type="paragraph" w:styleId="Header">
    <w:name w:val="header"/>
    <w:basedOn w:val="Normal"/>
    <w:link w:val="HeaderChar"/>
    <w:unhideWhenUsed/>
    <w:rsid w:val="00FE1663"/>
    <w:pPr>
      <w:tabs>
        <w:tab w:val="center" w:pos="4513"/>
        <w:tab w:val="right" w:pos="9026"/>
      </w:tabs>
    </w:pPr>
  </w:style>
  <w:style w:type="character" w:customStyle="1" w:styleId="HeaderChar">
    <w:name w:val="Header Char"/>
    <w:basedOn w:val="DefaultParagraphFont"/>
    <w:link w:val="Header"/>
    <w:rsid w:val="00FE1663"/>
    <w:rPr>
      <w:rFonts w:ascii="Bookman Old Style" w:eastAsia="Times New Roman" w:hAnsi="Bookman Old Style" w:cs="Times New Roman"/>
      <w:sz w:val="24"/>
      <w:szCs w:val="20"/>
      <w:lang w:eastAsia="en-GB"/>
    </w:rPr>
  </w:style>
  <w:style w:type="paragraph" w:styleId="Footer">
    <w:name w:val="footer"/>
    <w:basedOn w:val="Normal"/>
    <w:link w:val="FooterChar"/>
    <w:uiPriority w:val="99"/>
    <w:unhideWhenUsed/>
    <w:rsid w:val="00FE1663"/>
    <w:pPr>
      <w:tabs>
        <w:tab w:val="center" w:pos="4513"/>
        <w:tab w:val="right" w:pos="9026"/>
      </w:tabs>
    </w:pPr>
  </w:style>
  <w:style w:type="character" w:customStyle="1" w:styleId="FooterChar">
    <w:name w:val="Footer Char"/>
    <w:basedOn w:val="DefaultParagraphFont"/>
    <w:link w:val="Footer"/>
    <w:uiPriority w:val="99"/>
    <w:rsid w:val="00FE1663"/>
    <w:rPr>
      <w:rFonts w:ascii="Bookman Old Style" w:eastAsia="Times New Roman" w:hAnsi="Bookman Old Style" w:cs="Times New Roman"/>
      <w:sz w:val="24"/>
      <w:szCs w:val="20"/>
      <w:lang w:eastAsia="en-GB"/>
    </w:rPr>
  </w:style>
  <w:style w:type="paragraph" w:styleId="Caption">
    <w:name w:val="caption"/>
    <w:basedOn w:val="Normal"/>
    <w:next w:val="Normal"/>
    <w:qFormat/>
    <w:rsid w:val="00FE1663"/>
    <w:rPr>
      <w:b/>
      <w:bCs/>
      <w:sz w:val="20"/>
    </w:rPr>
  </w:style>
  <w:style w:type="character" w:styleId="FootnoteReference">
    <w:name w:val="footnote reference"/>
    <w:basedOn w:val="DefaultParagraphFont"/>
    <w:uiPriority w:val="99"/>
    <w:semiHidden/>
    <w:unhideWhenUsed/>
    <w:rsid w:val="00FE1663"/>
    <w:rPr>
      <w:vertAlign w:val="superscript"/>
    </w:rPr>
  </w:style>
  <w:style w:type="character" w:styleId="CommentReference">
    <w:name w:val="annotation reference"/>
    <w:basedOn w:val="DefaultParagraphFont"/>
    <w:uiPriority w:val="99"/>
    <w:unhideWhenUsed/>
    <w:rsid w:val="00FE1663"/>
    <w:rPr>
      <w:sz w:val="16"/>
      <w:szCs w:val="16"/>
    </w:rPr>
  </w:style>
  <w:style w:type="paragraph" w:styleId="BodyText">
    <w:name w:val="Body Text"/>
    <w:basedOn w:val="Normal"/>
    <w:link w:val="BodyTextChar"/>
    <w:rsid w:val="00FE1663"/>
    <w:rPr>
      <w:rFonts w:ascii="Verdana" w:hAnsi="Verdana"/>
      <w:sz w:val="20"/>
      <w:szCs w:val="24"/>
    </w:rPr>
  </w:style>
  <w:style w:type="character" w:customStyle="1" w:styleId="BodyTextChar">
    <w:name w:val="Body Text Char"/>
    <w:basedOn w:val="DefaultParagraphFont"/>
    <w:link w:val="BodyText"/>
    <w:rsid w:val="00FE1663"/>
    <w:rPr>
      <w:rFonts w:ascii="Verdana" w:eastAsia="Times New Roman" w:hAnsi="Verdana" w:cs="Times New Roman"/>
      <w:sz w:val="20"/>
      <w:szCs w:val="24"/>
      <w:lang w:eastAsia="en-GB"/>
    </w:rPr>
  </w:style>
  <w:style w:type="character" w:styleId="Hyperlink">
    <w:name w:val="Hyperlink"/>
    <w:basedOn w:val="DefaultParagraphFont"/>
    <w:unhideWhenUsed/>
    <w:rsid w:val="00FE1663"/>
    <w:rPr>
      <w:color w:val="0563C1" w:themeColor="hyperlink"/>
      <w:u w:val="single"/>
    </w:rPr>
  </w:style>
  <w:style w:type="character" w:styleId="FollowedHyperlink">
    <w:name w:val="FollowedHyperlink"/>
    <w:basedOn w:val="DefaultParagraphFont"/>
    <w:uiPriority w:val="99"/>
    <w:semiHidden/>
    <w:unhideWhenUsed/>
    <w:rsid w:val="00FE1663"/>
    <w:rPr>
      <w:color w:val="954F72" w:themeColor="followedHyperlink"/>
      <w:u w:val="single"/>
    </w:rPr>
  </w:style>
  <w:style w:type="paragraph" w:styleId="NormalWeb">
    <w:name w:val="Normal (Web)"/>
    <w:basedOn w:val="Normal"/>
    <w:uiPriority w:val="99"/>
    <w:unhideWhenUsed/>
    <w:rsid w:val="00FE1663"/>
    <w:pPr>
      <w:spacing w:before="100" w:beforeAutospacing="1" w:after="100" w:afterAutospacing="1"/>
    </w:pPr>
    <w:rPr>
      <w:rFonts w:eastAsiaTheme="minorEastAsia"/>
      <w:szCs w:val="24"/>
    </w:rPr>
  </w:style>
  <w:style w:type="paragraph" w:styleId="CommentSubject">
    <w:name w:val="annotation subject"/>
    <w:basedOn w:val="CommentText"/>
    <w:next w:val="CommentText"/>
    <w:link w:val="CommentSubjectChar"/>
    <w:semiHidden/>
    <w:unhideWhenUsed/>
    <w:rsid w:val="00FE1663"/>
    <w:rPr>
      <w:b/>
      <w:bCs/>
    </w:rPr>
  </w:style>
  <w:style w:type="character" w:customStyle="1" w:styleId="CommentSubjectChar">
    <w:name w:val="Comment Subject Char"/>
    <w:basedOn w:val="CommentTextChar"/>
    <w:link w:val="CommentSubject"/>
    <w:semiHidden/>
    <w:rsid w:val="00FE1663"/>
    <w:rPr>
      <w:rFonts w:ascii="Bookman Old Style" w:eastAsia="Times New Roman" w:hAnsi="Bookman Old Style" w:cs="Times New Roman"/>
      <w:b/>
      <w:bCs/>
      <w:sz w:val="20"/>
      <w:szCs w:val="20"/>
      <w:lang w:eastAsia="en-GB"/>
    </w:rPr>
  </w:style>
  <w:style w:type="paragraph" w:styleId="BalloonText">
    <w:name w:val="Balloon Text"/>
    <w:basedOn w:val="Normal"/>
    <w:link w:val="BalloonTextChar"/>
    <w:semiHidden/>
    <w:unhideWhenUsed/>
    <w:rsid w:val="00FE1663"/>
    <w:rPr>
      <w:rFonts w:ascii="Tahoma" w:hAnsi="Tahoma" w:cs="Tahoma"/>
      <w:sz w:val="16"/>
      <w:szCs w:val="16"/>
    </w:rPr>
  </w:style>
  <w:style w:type="character" w:customStyle="1" w:styleId="BalloonTextChar">
    <w:name w:val="Balloon Text Char"/>
    <w:basedOn w:val="DefaultParagraphFont"/>
    <w:link w:val="BalloonText"/>
    <w:semiHidden/>
    <w:rsid w:val="00FE1663"/>
    <w:rPr>
      <w:rFonts w:ascii="Tahoma" w:eastAsia="Times New Roman" w:hAnsi="Tahoma" w:cs="Tahoma"/>
      <w:sz w:val="16"/>
      <w:szCs w:val="16"/>
      <w:lang w:eastAsia="en-GB"/>
    </w:rPr>
  </w:style>
  <w:style w:type="table" w:styleId="TableGrid">
    <w:name w:val="Table Grid"/>
    <w:basedOn w:val="TableNormal"/>
    <w:uiPriority w:val="59"/>
    <w:rsid w:val="00FE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663"/>
    <w:pPr>
      <w:ind w:left="720"/>
      <w:contextualSpacing/>
    </w:pPr>
    <w:rPr>
      <w:szCs w:val="24"/>
      <w:lang w:val="fr-FR"/>
    </w:rPr>
  </w:style>
  <w:style w:type="paragraph" w:styleId="TOCHeading">
    <w:name w:val="TOC Heading"/>
    <w:basedOn w:val="Heading1"/>
    <w:next w:val="Normal"/>
    <w:uiPriority w:val="39"/>
    <w:unhideWhenUsed/>
    <w:qFormat/>
    <w:rsid w:val="00FE1663"/>
    <w:pPr>
      <w:outlineLvl w:val="9"/>
    </w:pPr>
    <w:rPr>
      <w:lang w:val="en-US" w:eastAsia="ja-JP"/>
    </w:rPr>
  </w:style>
  <w:style w:type="paragraph" w:customStyle="1" w:styleId="CHblockquotation">
    <w:name w:val="CH block quotation"/>
    <w:basedOn w:val="Normal"/>
    <w:link w:val="CHblockquotationChar"/>
    <w:qFormat/>
    <w:rsid w:val="00FE1663"/>
    <w:pPr>
      <w:tabs>
        <w:tab w:val="left" w:pos="1080"/>
      </w:tabs>
      <w:autoSpaceDE w:val="0"/>
      <w:autoSpaceDN w:val="0"/>
      <w:adjustRightInd w:val="0"/>
      <w:spacing w:before="120" w:after="120"/>
      <w:ind w:left="1077" w:firstLine="720"/>
    </w:pPr>
    <w:rPr>
      <w:sz w:val="23"/>
      <w:szCs w:val="23"/>
    </w:rPr>
  </w:style>
  <w:style w:type="character" w:customStyle="1" w:styleId="CHblockquotationChar">
    <w:name w:val="CH block quotation Char"/>
    <w:basedOn w:val="DefaultParagraphFont"/>
    <w:link w:val="CHblockquotation"/>
    <w:rsid w:val="00FE1663"/>
    <w:rPr>
      <w:rFonts w:ascii="Times New Roman" w:eastAsia="Times New Roman" w:hAnsi="Times New Roman" w:cs="Times New Roman"/>
      <w:sz w:val="23"/>
      <w:szCs w:val="23"/>
      <w:lang w:eastAsia="en-GB"/>
    </w:rPr>
  </w:style>
  <w:style w:type="paragraph" w:styleId="BodyText2">
    <w:name w:val="Body Text 2"/>
    <w:basedOn w:val="Normal"/>
    <w:link w:val="BodyText2Char"/>
    <w:rsid w:val="00FE1663"/>
    <w:pPr>
      <w:jc w:val="both"/>
    </w:pPr>
    <w:rPr>
      <w:sz w:val="20"/>
    </w:rPr>
  </w:style>
  <w:style w:type="character" w:customStyle="1" w:styleId="BodyText2Char">
    <w:name w:val="Body Text 2 Char"/>
    <w:basedOn w:val="DefaultParagraphFont"/>
    <w:link w:val="BodyText2"/>
    <w:rsid w:val="00FE1663"/>
    <w:rPr>
      <w:rFonts w:ascii="Times New Roman" w:eastAsia="Times New Roman" w:hAnsi="Times New Roman" w:cs="Times New Roman"/>
      <w:sz w:val="20"/>
      <w:szCs w:val="20"/>
      <w:lang w:eastAsia="en-GB"/>
    </w:rPr>
  </w:style>
  <w:style w:type="paragraph" w:styleId="BodyText3">
    <w:name w:val="Body Text 3"/>
    <w:basedOn w:val="Normal"/>
    <w:link w:val="BodyText3Char"/>
    <w:unhideWhenUsed/>
    <w:rsid w:val="00FE1663"/>
    <w:pPr>
      <w:spacing w:after="120"/>
    </w:pPr>
    <w:rPr>
      <w:sz w:val="16"/>
      <w:szCs w:val="16"/>
    </w:rPr>
  </w:style>
  <w:style w:type="character" w:customStyle="1" w:styleId="BodyText3Char">
    <w:name w:val="Body Text 3 Char"/>
    <w:basedOn w:val="DefaultParagraphFont"/>
    <w:link w:val="BodyText3"/>
    <w:rsid w:val="00FE1663"/>
    <w:rPr>
      <w:rFonts w:ascii="Bookman Old Style" w:eastAsia="Times New Roman" w:hAnsi="Bookman Old Style" w:cs="Times New Roman"/>
      <w:sz w:val="16"/>
      <w:szCs w:val="16"/>
      <w:lang w:eastAsia="en-GB"/>
    </w:rPr>
  </w:style>
  <w:style w:type="paragraph" w:styleId="BodyTextIndent2">
    <w:name w:val="Body Text Indent 2"/>
    <w:basedOn w:val="Normal"/>
    <w:link w:val="BodyTextIndent2Char"/>
    <w:rsid w:val="00FE1663"/>
    <w:pPr>
      <w:ind w:left="567"/>
    </w:pPr>
    <w:rPr>
      <w:i/>
      <w:snapToGrid w:val="0"/>
      <w:sz w:val="22"/>
    </w:rPr>
  </w:style>
  <w:style w:type="character" w:customStyle="1" w:styleId="BodyTextIndent2Char">
    <w:name w:val="Body Text Indent 2 Char"/>
    <w:basedOn w:val="DefaultParagraphFont"/>
    <w:link w:val="BodyTextIndent2"/>
    <w:rsid w:val="00FE1663"/>
    <w:rPr>
      <w:rFonts w:ascii="Bookman Old Style" w:eastAsia="Times New Roman" w:hAnsi="Bookman Old Style" w:cs="Times New Roman"/>
      <w:i/>
      <w:snapToGrid w:val="0"/>
      <w:szCs w:val="20"/>
      <w:lang w:eastAsia="en-GB"/>
    </w:rPr>
  </w:style>
  <w:style w:type="character" w:styleId="PageNumber">
    <w:name w:val="page number"/>
    <w:basedOn w:val="DefaultParagraphFont"/>
    <w:rsid w:val="00FE1663"/>
  </w:style>
  <w:style w:type="character" w:styleId="Emphasis">
    <w:name w:val="Emphasis"/>
    <w:qFormat/>
    <w:rsid w:val="00FE1663"/>
    <w:rPr>
      <w:i/>
      <w:iCs/>
    </w:rPr>
  </w:style>
  <w:style w:type="character" w:styleId="Strong">
    <w:name w:val="Strong"/>
    <w:qFormat/>
    <w:rsid w:val="00FE1663"/>
    <w:rPr>
      <w:b/>
      <w:bCs/>
    </w:rPr>
  </w:style>
  <w:style w:type="paragraph" w:styleId="Revision">
    <w:name w:val="Revision"/>
    <w:hidden/>
    <w:uiPriority w:val="99"/>
    <w:semiHidden/>
    <w:rsid w:val="00FE1663"/>
    <w:rPr>
      <w:rFonts w:ascii="Bookman Old Style" w:eastAsia="Times New Roman" w:hAnsi="Bookman Old Style" w:cs="Times New Roman"/>
      <w:sz w:val="24"/>
      <w:szCs w:val="20"/>
      <w:lang w:eastAsia="en-GB"/>
    </w:rPr>
  </w:style>
  <w:style w:type="table" w:styleId="TableClassic1">
    <w:name w:val="Table Classic 1"/>
    <w:basedOn w:val="TableNormal"/>
    <w:rsid w:val="00FE1663"/>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FE1663"/>
    <w:rPr>
      <w:color w:val="808080"/>
    </w:rPr>
  </w:style>
  <w:style w:type="paragraph" w:styleId="PlainText">
    <w:name w:val="Plain Text"/>
    <w:basedOn w:val="Normal"/>
    <w:link w:val="PlainTextChar"/>
    <w:uiPriority w:val="99"/>
    <w:semiHidden/>
    <w:unhideWhenUsed/>
    <w:rsid w:val="00AE7FF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7FF9"/>
    <w:rPr>
      <w:rFonts w:ascii="Calibri" w:hAnsi="Calibri"/>
      <w:szCs w:val="21"/>
    </w:rPr>
  </w:style>
  <w:style w:type="character" w:customStyle="1" w:styleId="Heading7Char">
    <w:name w:val="Heading 7 Char"/>
    <w:basedOn w:val="DefaultParagraphFont"/>
    <w:link w:val="Heading7"/>
    <w:uiPriority w:val="9"/>
    <w:rsid w:val="003F0C37"/>
    <w:rPr>
      <w:rFonts w:asciiTheme="majorHAnsi" w:eastAsiaTheme="majorEastAsia" w:hAnsiTheme="majorHAnsi" w:cstheme="majorBidi"/>
      <w:i/>
      <w:iCs/>
      <w:color w:val="404040" w:themeColor="text1" w:themeTint="BF"/>
      <w:sz w:val="24"/>
      <w:szCs w:val="20"/>
      <w:lang w:eastAsia="en-GB"/>
    </w:rPr>
  </w:style>
  <w:style w:type="character" w:customStyle="1" w:styleId="Heading6Char">
    <w:name w:val="Heading 6 Char"/>
    <w:basedOn w:val="DefaultParagraphFont"/>
    <w:link w:val="Heading6"/>
    <w:uiPriority w:val="9"/>
    <w:rsid w:val="003F0C37"/>
    <w:rPr>
      <w:rFonts w:asciiTheme="majorHAnsi" w:eastAsiaTheme="majorEastAsia" w:hAnsiTheme="majorHAnsi" w:cstheme="majorBidi"/>
      <w:i/>
      <w:iCs/>
      <w:color w:val="1F4D78" w:themeColor="accent1" w:themeShade="7F"/>
      <w:sz w:val="24"/>
      <w:szCs w:val="20"/>
      <w:lang w:eastAsia="en-GB"/>
    </w:rPr>
  </w:style>
  <w:style w:type="character" w:customStyle="1" w:styleId="complextitleprimary">
    <w:name w:val="complextitle_primary"/>
    <w:basedOn w:val="DefaultParagraphFont"/>
    <w:rsid w:val="008E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679">
      <w:bodyDiv w:val="1"/>
      <w:marLeft w:val="0"/>
      <w:marRight w:val="0"/>
      <w:marTop w:val="0"/>
      <w:marBottom w:val="0"/>
      <w:divBdr>
        <w:top w:val="none" w:sz="0" w:space="0" w:color="auto"/>
        <w:left w:val="none" w:sz="0" w:space="0" w:color="auto"/>
        <w:bottom w:val="none" w:sz="0" w:space="0" w:color="auto"/>
        <w:right w:val="none" w:sz="0" w:space="0" w:color="auto"/>
      </w:divBdr>
    </w:div>
    <w:div w:id="247931186">
      <w:bodyDiv w:val="1"/>
      <w:marLeft w:val="0"/>
      <w:marRight w:val="0"/>
      <w:marTop w:val="0"/>
      <w:marBottom w:val="0"/>
      <w:divBdr>
        <w:top w:val="none" w:sz="0" w:space="0" w:color="auto"/>
        <w:left w:val="none" w:sz="0" w:space="0" w:color="auto"/>
        <w:bottom w:val="none" w:sz="0" w:space="0" w:color="auto"/>
        <w:right w:val="none" w:sz="0" w:space="0" w:color="auto"/>
      </w:divBdr>
    </w:div>
    <w:div w:id="313722436">
      <w:bodyDiv w:val="1"/>
      <w:marLeft w:val="0"/>
      <w:marRight w:val="0"/>
      <w:marTop w:val="0"/>
      <w:marBottom w:val="0"/>
      <w:divBdr>
        <w:top w:val="none" w:sz="0" w:space="0" w:color="auto"/>
        <w:left w:val="none" w:sz="0" w:space="0" w:color="auto"/>
        <w:bottom w:val="none" w:sz="0" w:space="0" w:color="auto"/>
        <w:right w:val="none" w:sz="0" w:space="0" w:color="auto"/>
      </w:divBdr>
    </w:div>
    <w:div w:id="324279935">
      <w:bodyDiv w:val="1"/>
      <w:marLeft w:val="0"/>
      <w:marRight w:val="0"/>
      <w:marTop w:val="0"/>
      <w:marBottom w:val="0"/>
      <w:divBdr>
        <w:top w:val="none" w:sz="0" w:space="0" w:color="auto"/>
        <w:left w:val="none" w:sz="0" w:space="0" w:color="auto"/>
        <w:bottom w:val="none" w:sz="0" w:space="0" w:color="auto"/>
        <w:right w:val="none" w:sz="0" w:space="0" w:color="auto"/>
      </w:divBdr>
    </w:div>
    <w:div w:id="328755903">
      <w:bodyDiv w:val="1"/>
      <w:marLeft w:val="0"/>
      <w:marRight w:val="0"/>
      <w:marTop w:val="0"/>
      <w:marBottom w:val="0"/>
      <w:divBdr>
        <w:top w:val="none" w:sz="0" w:space="0" w:color="auto"/>
        <w:left w:val="none" w:sz="0" w:space="0" w:color="auto"/>
        <w:bottom w:val="none" w:sz="0" w:space="0" w:color="auto"/>
        <w:right w:val="none" w:sz="0" w:space="0" w:color="auto"/>
      </w:divBdr>
    </w:div>
    <w:div w:id="344942139">
      <w:bodyDiv w:val="1"/>
      <w:marLeft w:val="0"/>
      <w:marRight w:val="0"/>
      <w:marTop w:val="0"/>
      <w:marBottom w:val="0"/>
      <w:divBdr>
        <w:top w:val="none" w:sz="0" w:space="0" w:color="auto"/>
        <w:left w:val="none" w:sz="0" w:space="0" w:color="auto"/>
        <w:bottom w:val="none" w:sz="0" w:space="0" w:color="auto"/>
        <w:right w:val="none" w:sz="0" w:space="0" w:color="auto"/>
      </w:divBdr>
    </w:div>
    <w:div w:id="476068234">
      <w:bodyDiv w:val="1"/>
      <w:marLeft w:val="0"/>
      <w:marRight w:val="0"/>
      <w:marTop w:val="0"/>
      <w:marBottom w:val="0"/>
      <w:divBdr>
        <w:top w:val="none" w:sz="0" w:space="0" w:color="auto"/>
        <w:left w:val="none" w:sz="0" w:space="0" w:color="auto"/>
        <w:bottom w:val="none" w:sz="0" w:space="0" w:color="auto"/>
        <w:right w:val="none" w:sz="0" w:space="0" w:color="auto"/>
      </w:divBdr>
    </w:div>
    <w:div w:id="515047655">
      <w:bodyDiv w:val="1"/>
      <w:marLeft w:val="0"/>
      <w:marRight w:val="0"/>
      <w:marTop w:val="0"/>
      <w:marBottom w:val="0"/>
      <w:divBdr>
        <w:top w:val="none" w:sz="0" w:space="0" w:color="auto"/>
        <w:left w:val="none" w:sz="0" w:space="0" w:color="auto"/>
        <w:bottom w:val="none" w:sz="0" w:space="0" w:color="auto"/>
        <w:right w:val="none" w:sz="0" w:space="0" w:color="auto"/>
      </w:divBdr>
    </w:div>
    <w:div w:id="719936870">
      <w:bodyDiv w:val="1"/>
      <w:marLeft w:val="0"/>
      <w:marRight w:val="0"/>
      <w:marTop w:val="0"/>
      <w:marBottom w:val="0"/>
      <w:divBdr>
        <w:top w:val="none" w:sz="0" w:space="0" w:color="auto"/>
        <w:left w:val="none" w:sz="0" w:space="0" w:color="auto"/>
        <w:bottom w:val="none" w:sz="0" w:space="0" w:color="auto"/>
        <w:right w:val="none" w:sz="0" w:space="0" w:color="auto"/>
      </w:divBdr>
    </w:div>
    <w:div w:id="902133142">
      <w:bodyDiv w:val="1"/>
      <w:marLeft w:val="0"/>
      <w:marRight w:val="0"/>
      <w:marTop w:val="0"/>
      <w:marBottom w:val="0"/>
      <w:divBdr>
        <w:top w:val="none" w:sz="0" w:space="0" w:color="auto"/>
        <w:left w:val="none" w:sz="0" w:space="0" w:color="auto"/>
        <w:bottom w:val="none" w:sz="0" w:space="0" w:color="auto"/>
        <w:right w:val="none" w:sz="0" w:space="0" w:color="auto"/>
      </w:divBdr>
    </w:div>
    <w:div w:id="1062020594">
      <w:bodyDiv w:val="1"/>
      <w:marLeft w:val="0"/>
      <w:marRight w:val="0"/>
      <w:marTop w:val="0"/>
      <w:marBottom w:val="0"/>
      <w:divBdr>
        <w:top w:val="none" w:sz="0" w:space="0" w:color="auto"/>
        <w:left w:val="none" w:sz="0" w:space="0" w:color="auto"/>
        <w:bottom w:val="none" w:sz="0" w:space="0" w:color="auto"/>
        <w:right w:val="none" w:sz="0" w:space="0" w:color="auto"/>
      </w:divBdr>
    </w:div>
    <w:div w:id="1452213256">
      <w:bodyDiv w:val="1"/>
      <w:marLeft w:val="0"/>
      <w:marRight w:val="0"/>
      <w:marTop w:val="0"/>
      <w:marBottom w:val="0"/>
      <w:divBdr>
        <w:top w:val="none" w:sz="0" w:space="0" w:color="auto"/>
        <w:left w:val="none" w:sz="0" w:space="0" w:color="auto"/>
        <w:bottom w:val="none" w:sz="0" w:space="0" w:color="auto"/>
        <w:right w:val="none" w:sz="0" w:space="0" w:color="auto"/>
      </w:divBdr>
    </w:div>
    <w:div w:id="1553737201">
      <w:bodyDiv w:val="1"/>
      <w:marLeft w:val="0"/>
      <w:marRight w:val="0"/>
      <w:marTop w:val="0"/>
      <w:marBottom w:val="0"/>
      <w:divBdr>
        <w:top w:val="none" w:sz="0" w:space="0" w:color="auto"/>
        <w:left w:val="none" w:sz="0" w:space="0" w:color="auto"/>
        <w:bottom w:val="none" w:sz="0" w:space="0" w:color="auto"/>
        <w:right w:val="none" w:sz="0" w:space="0" w:color="auto"/>
      </w:divBdr>
    </w:div>
    <w:div w:id="1572961663">
      <w:bodyDiv w:val="1"/>
      <w:marLeft w:val="0"/>
      <w:marRight w:val="0"/>
      <w:marTop w:val="0"/>
      <w:marBottom w:val="0"/>
      <w:divBdr>
        <w:top w:val="none" w:sz="0" w:space="0" w:color="auto"/>
        <w:left w:val="none" w:sz="0" w:space="0" w:color="auto"/>
        <w:bottom w:val="none" w:sz="0" w:space="0" w:color="auto"/>
        <w:right w:val="none" w:sz="0" w:space="0" w:color="auto"/>
      </w:divBdr>
    </w:div>
    <w:div w:id="1579291443">
      <w:bodyDiv w:val="1"/>
      <w:marLeft w:val="0"/>
      <w:marRight w:val="0"/>
      <w:marTop w:val="0"/>
      <w:marBottom w:val="0"/>
      <w:divBdr>
        <w:top w:val="none" w:sz="0" w:space="0" w:color="auto"/>
        <w:left w:val="none" w:sz="0" w:space="0" w:color="auto"/>
        <w:bottom w:val="none" w:sz="0" w:space="0" w:color="auto"/>
        <w:right w:val="none" w:sz="0" w:space="0" w:color="auto"/>
      </w:divBdr>
    </w:div>
    <w:div w:id="1595672826">
      <w:bodyDiv w:val="1"/>
      <w:marLeft w:val="0"/>
      <w:marRight w:val="0"/>
      <w:marTop w:val="0"/>
      <w:marBottom w:val="0"/>
      <w:divBdr>
        <w:top w:val="none" w:sz="0" w:space="0" w:color="auto"/>
        <w:left w:val="none" w:sz="0" w:space="0" w:color="auto"/>
        <w:bottom w:val="none" w:sz="0" w:space="0" w:color="auto"/>
        <w:right w:val="none" w:sz="0" w:space="0" w:color="auto"/>
      </w:divBdr>
    </w:div>
    <w:div w:id="1615596967">
      <w:bodyDiv w:val="1"/>
      <w:marLeft w:val="0"/>
      <w:marRight w:val="0"/>
      <w:marTop w:val="0"/>
      <w:marBottom w:val="0"/>
      <w:divBdr>
        <w:top w:val="none" w:sz="0" w:space="0" w:color="auto"/>
        <w:left w:val="none" w:sz="0" w:space="0" w:color="auto"/>
        <w:bottom w:val="none" w:sz="0" w:space="0" w:color="auto"/>
        <w:right w:val="none" w:sz="0" w:space="0" w:color="auto"/>
      </w:divBdr>
    </w:div>
    <w:div w:id="1771974768">
      <w:bodyDiv w:val="1"/>
      <w:marLeft w:val="0"/>
      <w:marRight w:val="0"/>
      <w:marTop w:val="0"/>
      <w:marBottom w:val="0"/>
      <w:divBdr>
        <w:top w:val="none" w:sz="0" w:space="0" w:color="auto"/>
        <w:left w:val="none" w:sz="0" w:space="0" w:color="auto"/>
        <w:bottom w:val="none" w:sz="0" w:space="0" w:color="auto"/>
        <w:right w:val="none" w:sz="0" w:space="0" w:color="auto"/>
      </w:divBdr>
    </w:div>
    <w:div w:id="18367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derson@lse.ac.uk" TargetMode="External"/><Relationship Id="rId13" Type="http://schemas.openxmlformats.org/officeDocument/2006/relationships/hyperlink" Target="mailto:Pauline.Slade@liverpool.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morrell57@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trolled-trials.com/ISRCTN921957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napp@lse.ac.uk" TargetMode="External"/><Relationship Id="rId5" Type="http://schemas.openxmlformats.org/officeDocument/2006/relationships/webSettings" Target="webSettings.xml"/><Relationship Id="rId15" Type="http://schemas.openxmlformats.org/officeDocument/2006/relationships/hyperlink" Target="mailto:tsb@le.ac.uk" TargetMode="External"/><Relationship Id="rId23" Type="http://schemas.microsoft.com/office/2016/09/relationships/commentsIds" Target="commentsIds.xml"/><Relationship Id="rId10" Type="http://schemas.openxmlformats.org/officeDocument/2006/relationships/hyperlink" Target="mailto:a.bauer@lse.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ixon@sheffield.ac.uk" TargetMode="External"/><Relationship Id="rId14" Type="http://schemas.openxmlformats.org/officeDocument/2006/relationships/hyperlink" Target="mailto:s.j.walter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B2DF-D8F8-4EDD-A659-328E2F93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45816</Words>
  <Characters>261156</Characters>
  <Application>Microsoft Office Word</Application>
  <DocSecurity>0</DocSecurity>
  <Lines>2176</Lines>
  <Paragraphs>612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306360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School of Economics and Political Science</dc:creator>
  <cp:lastModifiedBy>Slade, Pauline</cp:lastModifiedBy>
  <cp:revision>2</cp:revision>
  <dcterms:created xsi:type="dcterms:W3CDTF">2018-07-27T12:32:00Z</dcterms:created>
  <dcterms:modified xsi:type="dcterms:W3CDTF">2018-07-27T12:32:00Z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30c38cf2-7db0-317c-9b14-845d98dc3826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http://www.zotero.org/styles/psychological-medicine</vt:lpwstr>
  </property>
  <property fmtid="{D5CDD505-2E9C-101B-9397-08002B2CF9AE}" pid="23" name="Mendeley Recent Style Name 9_1">
    <vt:lpwstr>Psychological Medicine</vt:lpwstr>
  </property>
  <property fmtid="{D5CDD505-2E9C-101B-9397-08002B2CF9AE}" pid="24" name="Mendeley Citation Style_1">
    <vt:lpwstr>http://www.zotero.org/styles/psychological-medicine</vt:lpwstr>
  </property>
</Properties>
</file>