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F593C" w14:textId="77777777" w:rsidR="001C1C99" w:rsidRPr="00193103" w:rsidRDefault="001C1C99" w:rsidP="001C1C99">
      <w:pPr>
        <w:pStyle w:val="Footer"/>
        <w:rPr>
          <w:b/>
          <w:szCs w:val="16"/>
          <w:lang w:val="en-GB"/>
        </w:rPr>
      </w:pPr>
      <w:r w:rsidRPr="00193103">
        <w:rPr>
          <w:b/>
          <w:szCs w:val="16"/>
          <w:lang w:val="en-GB"/>
        </w:rPr>
        <w:t>Oñati Socio-</w:t>
      </w:r>
      <w:r>
        <w:rPr>
          <w:b/>
          <w:szCs w:val="16"/>
          <w:lang w:val="en-GB"/>
        </w:rPr>
        <w:t>l</w:t>
      </w:r>
      <w:r w:rsidRPr="00193103">
        <w:rPr>
          <w:b/>
          <w:szCs w:val="16"/>
          <w:lang w:val="en-GB"/>
        </w:rPr>
        <w:t xml:space="preserve">egal Series, </w:t>
      </w:r>
      <w:r>
        <w:rPr>
          <w:b/>
          <w:szCs w:val="16"/>
          <w:lang w:val="en-GB"/>
        </w:rPr>
        <w:t>forthcoming / en preparación</w:t>
      </w:r>
      <w:r w:rsidRPr="00193103">
        <w:rPr>
          <w:b/>
          <w:szCs w:val="16"/>
          <w:lang w:val="en-GB"/>
        </w:rPr>
        <w:t xml:space="preserve"> – </w:t>
      </w:r>
      <w:r w:rsidRPr="00086423">
        <w:rPr>
          <w:b/>
          <w:szCs w:val="16"/>
          <w:lang w:val="en-GB"/>
        </w:rPr>
        <w:t>State of Exception, Law and Economy: A socio-legal approach to the economic of exception in an era of crisis</w:t>
      </w:r>
    </w:p>
    <w:p w14:paraId="383F437D" w14:textId="77777777" w:rsidR="00C53359" w:rsidRPr="00193103" w:rsidRDefault="00C53359" w:rsidP="00C53359">
      <w:pPr>
        <w:pStyle w:val="Footer"/>
        <w:rPr>
          <w:szCs w:val="16"/>
          <w:lang w:val="pt-BR"/>
        </w:rPr>
      </w:pPr>
      <w:r w:rsidRPr="00193103">
        <w:rPr>
          <w:szCs w:val="16"/>
          <w:lang w:val="pt-BR"/>
        </w:rPr>
        <w:t>ISSN: 2079-5971</w:t>
      </w:r>
    </w:p>
    <w:p w14:paraId="6E0CF371" w14:textId="77777777" w:rsidR="0030684B" w:rsidRPr="00193103" w:rsidRDefault="001C1C99" w:rsidP="0030684B">
      <w:pPr>
        <w:pStyle w:val="Ttuloartculo"/>
        <w:rPr>
          <w:lang w:val="en-GB"/>
        </w:rPr>
      </w:pPr>
      <w:bookmarkStart w:id="0" w:name="_Toc520452026"/>
      <w:bookmarkStart w:id="1" w:name="_Toc520452044"/>
      <w:bookmarkStart w:id="2" w:name="_Toc520452063"/>
      <w:bookmarkStart w:id="3" w:name="_Toc278545227"/>
      <w:bookmarkStart w:id="4" w:name="_Toc349550676"/>
      <w:bookmarkStart w:id="5" w:name="_Toc487720129"/>
      <w:r w:rsidRPr="001C1C99">
        <w:rPr>
          <w:sz w:val="22"/>
          <w:szCs w:val="22"/>
          <w:lang w:val="en-US"/>
        </w:rPr>
        <w:t xml:space="preserve">The Corporate Citizen and the Sovereign Exception: from </w:t>
      </w:r>
      <w:r w:rsidR="00E44ED1" w:rsidRPr="001C1C99">
        <w:rPr>
          <w:i/>
          <w:sz w:val="22"/>
          <w:szCs w:val="22"/>
          <w:lang w:val="en-US"/>
        </w:rPr>
        <w:t xml:space="preserve">Homo </w:t>
      </w:r>
      <w:r w:rsidRPr="001C1C99">
        <w:rPr>
          <w:i/>
          <w:sz w:val="22"/>
          <w:szCs w:val="22"/>
          <w:lang w:val="en-US"/>
        </w:rPr>
        <w:t>sacer</w:t>
      </w:r>
      <w:r w:rsidRPr="001C1C99">
        <w:rPr>
          <w:sz w:val="22"/>
          <w:szCs w:val="22"/>
          <w:lang w:val="en-US"/>
        </w:rPr>
        <w:t xml:space="preserve"> to </w:t>
      </w:r>
      <w:r w:rsidR="00E44ED1" w:rsidRPr="001C1C99">
        <w:rPr>
          <w:i/>
          <w:sz w:val="22"/>
          <w:szCs w:val="22"/>
          <w:lang w:val="en-US"/>
        </w:rPr>
        <w:t xml:space="preserve">Homo </w:t>
      </w:r>
      <w:r w:rsidRPr="001C1C99">
        <w:rPr>
          <w:i/>
          <w:sz w:val="22"/>
          <w:szCs w:val="22"/>
          <w:lang w:val="en-US"/>
        </w:rPr>
        <w:t>supra</w:t>
      </w:r>
      <w:bookmarkEnd w:id="0"/>
      <w:bookmarkEnd w:id="1"/>
      <w:bookmarkEnd w:id="2"/>
    </w:p>
    <w:p w14:paraId="01E41883" w14:textId="77777777" w:rsidR="0030684B" w:rsidRPr="00FD0F42" w:rsidRDefault="001C1C99" w:rsidP="0030684B">
      <w:pPr>
        <w:pStyle w:val="Autorartculo"/>
        <w:rPr>
          <w:lang w:val="pt-BR"/>
        </w:rPr>
      </w:pPr>
      <w:r>
        <w:rPr>
          <w:lang w:val="pt-BR"/>
        </w:rPr>
        <w:t>David Whyte</w:t>
      </w:r>
      <w:r w:rsidR="0030684B" w:rsidRPr="00134E33">
        <w:rPr>
          <w:rStyle w:val="FootnoteReference"/>
          <w:smallCaps w:val="0"/>
        </w:rPr>
        <w:footnoteReference w:customMarkFollows="1" w:id="1"/>
        <w:sym w:font="Symbol" w:char="F02A"/>
      </w:r>
    </w:p>
    <w:tbl>
      <w:tblPr>
        <w:tblW w:w="0" w:type="auto"/>
        <w:jc w:val="center"/>
        <w:tblLayout w:type="fixed"/>
        <w:tblLook w:val="01E0" w:firstRow="1" w:lastRow="1" w:firstColumn="1" w:lastColumn="1" w:noHBand="0" w:noVBand="0"/>
      </w:tblPr>
      <w:tblGrid>
        <w:gridCol w:w="7488"/>
        <w:gridCol w:w="1156"/>
      </w:tblGrid>
      <w:tr w:rsidR="00217E7F" w:rsidRPr="001C1C99" w14:paraId="2CCC9D28" w14:textId="77777777">
        <w:trPr>
          <w:jc w:val="center"/>
        </w:trPr>
        <w:tc>
          <w:tcPr>
            <w:tcW w:w="7488" w:type="dxa"/>
            <w:vAlign w:val="center"/>
          </w:tcPr>
          <w:p w14:paraId="268D00C7" w14:textId="5E2C5F35" w:rsidR="00217E7F" w:rsidRPr="00277D2C" w:rsidRDefault="001C1C99" w:rsidP="0066749B">
            <w:pPr>
              <w:pStyle w:val="Footer"/>
              <w:autoSpaceDE w:val="0"/>
              <w:rPr>
                <w:lang w:val="en-GB"/>
              </w:rPr>
            </w:pPr>
            <w:bookmarkStart w:id="6" w:name="_Toc278545228"/>
            <w:bookmarkEnd w:id="3"/>
            <w:bookmarkEnd w:id="4"/>
            <w:bookmarkEnd w:id="5"/>
            <w:r>
              <w:rPr>
                <w:lang w:val="en-GB"/>
              </w:rPr>
              <w:t>Whyte, D.</w:t>
            </w:r>
            <w:r w:rsidR="0030684B" w:rsidRPr="00FD0F42">
              <w:rPr>
                <w:lang w:val="en-GB"/>
              </w:rPr>
              <w:t>, 201</w:t>
            </w:r>
            <w:r>
              <w:rPr>
                <w:lang w:val="en-GB"/>
              </w:rPr>
              <w:t>8</w:t>
            </w:r>
            <w:r w:rsidR="0030684B" w:rsidRPr="00FD0F42">
              <w:rPr>
                <w:lang w:val="en-GB"/>
              </w:rPr>
              <w:t xml:space="preserve">. </w:t>
            </w:r>
            <w:r w:rsidRPr="001C1C99">
              <w:rPr>
                <w:lang w:val="en-GB"/>
              </w:rPr>
              <w:t xml:space="preserve">The Corporate Citizen and the Sovereign Exception: from </w:t>
            </w:r>
            <w:r w:rsidR="00E44ED1" w:rsidRPr="001C1C99">
              <w:rPr>
                <w:i/>
                <w:lang w:val="en-GB"/>
              </w:rPr>
              <w:t xml:space="preserve">Homo </w:t>
            </w:r>
            <w:r w:rsidRPr="001C1C99">
              <w:rPr>
                <w:i/>
                <w:lang w:val="en-GB"/>
              </w:rPr>
              <w:t>sacer</w:t>
            </w:r>
            <w:r w:rsidRPr="001C1C99">
              <w:rPr>
                <w:lang w:val="en-GB"/>
              </w:rPr>
              <w:t xml:space="preserve"> to </w:t>
            </w:r>
            <w:r w:rsidR="00E44ED1" w:rsidRPr="001C1C99">
              <w:rPr>
                <w:i/>
                <w:lang w:val="en-GB"/>
              </w:rPr>
              <w:t xml:space="preserve">Homo </w:t>
            </w:r>
            <w:r w:rsidRPr="001C1C99">
              <w:rPr>
                <w:i/>
                <w:lang w:val="en-GB"/>
              </w:rPr>
              <w:t>supra</w:t>
            </w:r>
            <w:r w:rsidR="0030684B" w:rsidRPr="00FD0F42">
              <w:rPr>
                <w:lang w:val="en-GB"/>
              </w:rPr>
              <w:t xml:space="preserve">. </w:t>
            </w:r>
            <w:r w:rsidR="00217E7F" w:rsidRPr="00FD0F42">
              <w:rPr>
                <w:i/>
                <w:lang w:val="en-GB"/>
              </w:rPr>
              <w:t>Oñati Socio-legal Series</w:t>
            </w:r>
            <w:r w:rsidR="00217E7F" w:rsidRPr="00FD0F42">
              <w:rPr>
                <w:lang w:val="en-GB"/>
              </w:rPr>
              <w:t xml:space="preserve"> [online], </w:t>
            </w:r>
            <w:r>
              <w:rPr>
                <w:lang w:val="en-GB"/>
              </w:rPr>
              <w:t>forthcoming / en preparación</w:t>
            </w:r>
            <w:r w:rsidR="00217E7F" w:rsidRPr="00FD0F42">
              <w:rPr>
                <w:lang w:val="en-GB"/>
              </w:rPr>
              <w:t xml:space="preserve">. Available from: </w:t>
            </w:r>
            <w:r>
              <w:rPr>
                <w:lang w:val="en-GB"/>
              </w:rPr>
              <w:t xml:space="preserve">/ Disponible en: </w:t>
            </w:r>
            <w:hyperlink r:id="rId9" w:history="1">
              <w:r w:rsidR="00E44F55" w:rsidRPr="0066749B">
                <w:rPr>
                  <w:rStyle w:val="Hyperlink"/>
                  <w:lang w:val="en-GB"/>
                </w:rPr>
                <w:t>h</w:t>
              </w:r>
              <w:r w:rsidR="00217E7F" w:rsidRPr="0066749B">
                <w:rPr>
                  <w:rStyle w:val="Hyperlink"/>
                  <w:lang w:val="en-GB"/>
                </w:rPr>
                <w:t>ttp://ssrn.com/abstract=</w:t>
              </w:r>
              <w:r w:rsidR="0066749B" w:rsidRPr="0066749B">
                <w:rPr>
                  <w:rStyle w:val="Hyperlink"/>
                  <w:lang w:val="en-GB"/>
                </w:rPr>
                <w:t>3221143</w:t>
              </w:r>
            </w:hyperlink>
          </w:p>
        </w:tc>
        <w:tc>
          <w:tcPr>
            <w:tcW w:w="1156" w:type="dxa"/>
            <w:vAlign w:val="center"/>
          </w:tcPr>
          <w:p w14:paraId="0A63AC10" w14:textId="77777777" w:rsidR="00217E7F" w:rsidRDefault="007D7B68" w:rsidP="00925E6C">
            <w:pPr>
              <w:pStyle w:val="Footer"/>
              <w:autoSpaceDE w:val="0"/>
              <w:jc w:val="center"/>
              <w:rPr>
                <w:lang w:val="en-US"/>
              </w:rPr>
            </w:pPr>
            <w:r>
              <w:rPr>
                <w:noProof/>
                <w:lang w:val="en-US" w:eastAsia="en-US"/>
              </w:rPr>
              <w:drawing>
                <wp:inline distT="0" distB="0" distL="0" distR="0" wp14:anchorId="3EA402DE" wp14:editId="350ED8CA">
                  <wp:extent cx="533400" cy="533400"/>
                  <wp:effectExtent l="0" t="0" r="0" b="0"/>
                  <wp:docPr id="12" name="Imagen 1" descr="Códigos QR /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digos QR / Qr Co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40B5DBFA" w14:textId="77777777" w:rsidR="000F5D3A" w:rsidRPr="00193103" w:rsidRDefault="000F5D3A" w:rsidP="006E1C08">
      <w:pPr>
        <w:pStyle w:val="Epgrafe1"/>
        <w:rPr>
          <w:lang w:val="en-GB"/>
        </w:rPr>
      </w:pPr>
      <w:bookmarkStart w:id="7" w:name="_Toc349550677"/>
      <w:bookmarkStart w:id="8" w:name="_Toc487720130"/>
      <w:bookmarkStart w:id="9" w:name="_Toc520452027"/>
      <w:bookmarkStart w:id="10" w:name="_Toc520452045"/>
      <w:bookmarkStart w:id="11" w:name="_Toc520452064"/>
      <w:r w:rsidRPr="00193103">
        <w:rPr>
          <w:lang w:val="en-GB"/>
        </w:rPr>
        <w:t>Abstract</w:t>
      </w:r>
      <w:bookmarkEnd w:id="6"/>
      <w:bookmarkEnd w:id="7"/>
      <w:bookmarkEnd w:id="8"/>
      <w:bookmarkEnd w:id="9"/>
      <w:bookmarkEnd w:id="10"/>
      <w:bookmarkEnd w:id="11"/>
    </w:p>
    <w:p w14:paraId="5CE16582" w14:textId="700807FC" w:rsidR="00EF6208" w:rsidRDefault="00C311DA" w:rsidP="00EF6208">
      <w:pPr>
        <w:pStyle w:val="Parrafo"/>
      </w:pPr>
      <w:bookmarkStart w:id="12" w:name="_Toc278545229"/>
      <w:bookmarkStart w:id="13" w:name="_Toc349550678"/>
      <w:bookmarkStart w:id="14" w:name="_Toc487720131"/>
      <w:r w:rsidRPr="00C311DA">
        <w:rPr>
          <w:lang w:val="en-US"/>
        </w:rPr>
        <w:t xml:space="preserve">This paper is concerned with a concept that has permeated discussions about the corporation in the early 21st century: the </w:t>
      </w:r>
      <w:r w:rsidR="001F2043">
        <w:rPr>
          <w:lang w:val="en-US"/>
        </w:rPr>
        <w:t>“</w:t>
      </w:r>
      <w:r w:rsidRPr="00C311DA">
        <w:rPr>
          <w:lang w:val="en-US"/>
        </w:rPr>
        <w:t>corporate citizen</w:t>
      </w:r>
      <w:r w:rsidR="001F2043">
        <w:rPr>
          <w:lang w:val="en-US"/>
        </w:rPr>
        <w:t>”</w:t>
      </w:r>
      <w:r w:rsidRPr="00C311DA">
        <w:rPr>
          <w:lang w:val="en-US"/>
        </w:rPr>
        <w:t xml:space="preserve">. </w:t>
      </w:r>
      <w:r w:rsidR="00EF6208" w:rsidRPr="00BD6503">
        <w:rPr>
          <w:lang w:val="en-US"/>
        </w:rPr>
        <w:t xml:space="preserve">The paper applies </w:t>
      </w:r>
      <w:r w:rsidR="00EF6208">
        <w:rPr>
          <w:lang w:val="en-US"/>
        </w:rPr>
        <w:t xml:space="preserve">the liberal </w:t>
      </w:r>
      <w:r w:rsidR="002D1F52">
        <w:rPr>
          <w:lang w:val="en-US"/>
        </w:rPr>
        <w:t>understanding of citizenship that involves</w:t>
      </w:r>
      <w:r w:rsidR="00EF6208">
        <w:rPr>
          <w:lang w:val="en-US"/>
        </w:rPr>
        <w:t xml:space="preserve"> </w:t>
      </w:r>
      <w:r w:rsidR="00EF6208" w:rsidRPr="00BD6503">
        <w:rPr>
          <w:lang w:val="en-US"/>
        </w:rPr>
        <w:t>responsibilities and duties owed to the state</w:t>
      </w:r>
      <w:r w:rsidR="00EF6208">
        <w:rPr>
          <w:lang w:val="en-US"/>
        </w:rPr>
        <w:t xml:space="preserve"> on one hand, and the</w:t>
      </w:r>
      <w:r w:rsidR="00EF6208" w:rsidRPr="00BD6503">
        <w:rPr>
          <w:lang w:val="en-US"/>
        </w:rPr>
        <w:t xml:space="preserve"> rights guaran</w:t>
      </w:r>
      <w:r w:rsidR="00EF6208">
        <w:rPr>
          <w:lang w:val="en-US"/>
        </w:rPr>
        <w:t xml:space="preserve">teed by the state on the other, </w:t>
      </w:r>
      <w:r w:rsidR="002D1F52">
        <w:rPr>
          <w:lang w:val="en-US"/>
        </w:rPr>
        <w:t xml:space="preserve">and applies this dualism </w:t>
      </w:r>
      <w:r w:rsidR="00EF6208">
        <w:rPr>
          <w:lang w:val="en-US"/>
        </w:rPr>
        <w:t xml:space="preserve">to the corporate citizen.  Yet the rights and duties applied to </w:t>
      </w:r>
      <w:proofErr w:type="gramStart"/>
      <w:r w:rsidR="00EF6208">
        <w:rPr>
          <w:lang w:val="en-US"/>
        </w:rPr>
        <w:t>corporations,</w:t>
      </w:r>
      <w:proofErr w:type="gramEnd"/>
      <w:r w:rsidR="00EF6208">
        <w:rPr>
          <w:lang w:val="en-US"/>
        </w:rPr>
        <w:t xml:space="preserve"> are not strictly analogous to the corresponding rights and responsibilities of real flesh and blood citizens.  Corporate citizenship implies a set of exceptional powers and privileges that combine to produce </w:t>
      </w:r>
      <w:r w:rsidR="00CA5347">
        <w:rPr>
          <w:lang w:val="en-US"/>
        </w:rPr>
        <w:t xml:space="preserve">“homo supra”, a </w:t>
      </w:r>
      <w:r w:rsidR="00CA5347" w:rsidRPr="00BD6503">
        <w:rPr>
          <w:lang w:val="en-US"/>
        </w:rPr>
        <w:t xml:space="preserve">paradigmatic </w:t>
      </w:r>
      <w:r w:rsidR="00CA5347">
        <w:rPr>
          <w:lang w:val="en-US"/>
        </w:rPr>
        <w:t>“</w:t>
      </w:r>
      <w:r w:rsidR="00CA5347" w:rsidRPr="00BD6503">
        <w:rPr>
          <w:lang w:val="en-US"/>
        </w:rPr>
        <w:t>supra-sovereign</w:t>
      </w:r>
      <w:r w:rsidR="00CA5347">
        <w:rPr>
          <w:lang w:val="en-US"/>
        </w:rPr>
        <w:t>”</w:t>
      </w:r>
      <w:r w:rsidR="00CA5347" w:rsidRPr="00BD6503">
        <w:rPr>
          <w:lang w:val="en-US"/>
        </w:rPr>
        <w:t xml:space="preserve"> subject that is empowered to enjoy sovereign protections and rights far-exceeding those that any ordinary citizen could expect.</w:t>
      </w:r>
      <w:r w:rsidR="00EF6208">
        <w:rPr>
          <w:lang w:val="en-US"/>
        </w:rPr>
        <w:t xml:space="preserve"> The paper thus shows how the process of ascribing corporate citizenship </w:t>
      </w:r>
      <w:r w:rsidR="00EF6208">
        <w:rPr>
          <w:rFonts w:cs="Times"/>
          <w:lang w:val="en-US"/>
        </w:rPr>
        <w:t>has become a</w:t>
      </w:r>
      <w:r w:rsidR="00EF6208" w:rsidRPr="00BD6503">
        <w:rPr>
          <w:rFonts w:cs="Times"/>
          <w:lang w:val="en-US"/>
        </w:rPr>
        <w:t xml:space="preserve"> mechanism through which unequal power relations (and attendance privileges of class, gender and race etc.) </w:t>
      </w:r>
      <w:proofErr w:type="gramStart"/>
      <w:r w:rsidR="00EF6208" w:rsidRPr="00BD6503">
        <w:rPr>
          <w:rFonts w:cs="Times"/>
          <w:lang w:val="en-US"/>
        </w:rPr>
        <w:t>is</w:t>
      </w:r>
      <w:proofErr w:type="gramEnd"/>
      <w:r w:rsidR="00EF6208" w:rsidRPr="00BD6503">
        <w:rPr>
          <w:rFonts w:cs="Times"/>
          <w:lang w:val="en-US"/>
        </w:rPr>
        <w:t xml:space="preserve"> guaranteed.</w:t>
      </w:r>
      <w:r w:rsidR="00EF6208">
        <w:rPr>
          <w:b/>
          <w:lang w:val="en-US"/>
        </w:rPr>
        <w:t xml:space="preserve"> </w:t>
      </w:r>
      <w:r w:rsidR="002D1F52">
        <w:rPr>
          <w:rFonts w:cs="Times"/>
          <w:lang w:val="en-US"/>
        </w:rPr>
        <w:t>C</w:t>
      </w:r>
      <w:r w:rsidR="00EF6208" w:rsidRPr="00BD6503">
        <w:rPr>
          <w:rFonts w:cs="Times"/>
          <w:lang w:val="en-US"/>
        </w:rPr>
        <w:t xml:space="preserve">orporate citizenship is </w:t>
      </w:r>
      <w:r w:rsidR="002D1F52">
        <w:rPr>
          <w:rFonts w:cs="Times"/>
          <w:lang w:val="en-US"/>
        </w:rPr>
        <w:t xml:space="preserve">therefore revealed </w:t>
      </w:r>
      <w:r w:rsidR="00EF6208" w:rsidRPr="00BD6503">
        <w:rPr>
          <w:rFonts w:cs="Times"/>
          <w:lang w:val="en-US"/>
        </w:rPr>
        <w:t>a</w:t>
      </w:r>
      <w:r w:rsidR="002D1F52">
        <w:rPr>
          <w:rFonts w:cs="Times"/>
          <w:lang w:val="en-US"/>
        </w:rPr>
        <w:t>s a means by which</w:t>
      </w:r>
      <w:r w:rsidR="00EF6208" w:rsidRPr="00BD6503">
        <w:rPr>
          <w:rFonts w:cs="Times"/>
          <w:lang w:val="en-US"/>
        </w:rPr>
        <w:t xml:space="preserve"> public resources can be organized and </w:t>
      </w:r>
      <w:r w:rsidR="002D1F52">
        <w:rPr>
          <w:rFonts w:cs="Times"/>
          <w:lang w:val="en-US"/>
        </w:rPr>
        <w:t>captured</w:t>
      </w:r>
      <w:r w:rsidR="00EF6208" w:rsidRPr="00BD6503">
        <w:rPr>
          <w:rFonts w:cs="Times"/>
          <w:lang w:val="en-US"/>
        </w:rPr>
        <w:t xml:space="preserve"> for private interest.</w:t>
      </w:r>
    </w:p>
    <w:p w14:paraId="3C4AC9B9" w14:textId="77777777" w:rsidR="007367B1" w:rsidRDefault="007367B1" w:rsidP="00B84F88">
      <w:pPr>
        <w:pStyle w:val="Parrafo"/>
        <w:rPr>
          <w:lang w:val="en-US"/>
        </w:rPr>
      </w:pPr>
      <w:bookmarkStart w:id="15" w:name="_Toc520452028"/>
      <w:bookmarkStart w:id="16" w:name="_Toc520452046"/>
      <w:bookmarkStart w:id="17" w:name="_Toc520452065"/>
    </w:p>
    <w:p w14:paraId="6918DB55" w14:textId="77777777" w:rsidR="006E1C08" w:rsidRDefault="000F5D3A" w:rsidP="00B84F88">
      <w:pPr>
        <w:pStyle w:val="Parrafo"/>
        <w:rPr>
          <w:lang w:val="en-GB"/>
        </w:rPr>
      </w:pPr>
      <w:r w:rsidRPr="00E57752">
        <w:rPr>
          <w:lang w:val="en-GB"/>
        </w:rPr>
        <w:t>Key words</w:t>
      </w:r>
      <w:bookmarkEnd w:id="12"/>
      <w:bookmarkEnd w:id="13"/>
      <w:bookmarkEnd w:id="14"/>
      <w:bookmarkEnd w:id="15"/>
      <w:bookmarkEnd w:id="16"/>
      <w:bookmarkEnd w:id="17"/>
    </w:p>
    <w:p w14:paraId="79A34BDA" w14:textId="3136F828" w:rsidR="000F5D3A" w:rsidRPr="000F5D3A" w:rsidRDefault="007367B1" w:rsidP="000F5D3A">
      <w:pPr>
        <w:spacing w:before="120" w:after="120"/>
        <w:rPr>
          <w:rFonts w:ascii="Verdana" w:hAnsi="Verdana"/>
          <w:sz w:val="20"/>
          <w:szCs w:val="20"/>
          <w:lang w:val="en-GB"/>
        </w:rPr>
      </w:pPr>
      <w:proofErr w:type="gramStart"/>
      <w:r>
        <w:rPr>
          <w:rFonts w:ascii="Verdana" w:hAnsi="Verdana"/>
          <w:sz w:val="20"/>
          <w:szCs w:val="20"/>
          <w:lang w:val="en-GB"/>
        </w:rPr>
        <w:t>corporate</w:t>
      </w:r>
      <w:proofErr w:type="gramEnd"/>
      <w:r>
        <w:rPr>
          <w:rFonts w:ascii="Verdana" w:hAnsi="Verdana"/>
          <w:sz w:val="20"/>
          <w:szCs w:val="20"/>
          <w:lang w:val="en-GB"/>
        </w:rPr>
        <w:t xml:space="preserve"> citizen; citizenship; state of exception; corporations; regulation.</w:t>
      </w:r>
    </w:p>
    <w:p w14:paraId="08A1F3B1" w14:textId="77777777" w:rsidR="006E1C08" w:rsidRPr="000F5D3A" w:rsidRDefault="006E1C08" w:rsidP="004865D2">
      <w:pPr>
        <w:pStyle w:val="Parrafo"/>
        <w:rPr>
          <w:lang w:val="en-GB"/>
        </w:rPr>
      </w:pPr>
    </w:p>
    <w:p w14:paraId="480E8CC4" w14:textId="77777777" w:rsidR="000F5D3A" w:rsidRPr="006E1C08" w:rsidRDefault="000F5D3A" w:rsidP="006E1C08">
      <w:pPr>
        <w:pStyle w:val="Epgrafe1"/>
        <w:rPr>
          <w:lang w:val="en-GB"/>
        </w:rPr>
      </w:pPr>
      <w:bookmarkStart w:id="18" w:name="_Toc278545230"/>
      <w:bookmarkStart w:id="19" w:name="_Toc349550679"/>
      <w:bookmarkStart w:id="20" w:name="_Toc487720132"/>
      <w:bookmarkStart w:id="21" w:name="_Toc520452029"/>
      <w:bookmarkStart w:id="22" w:name="_Toc520452047"/>
      <w:bookmarkStart w:id="23" w:name="_Toc520452066"/>
      <w:r w:rsidRPr="006E1C08">
        <w:rPr>
          <w:lang w:val="en-GB"/>
        </w:rPr>
        <w:t>Resumen</w:t>
      </w:r>
      <w:bookmarkEnd w:id="18"/>
      <w:bookmarkEnd w:id="19"/>
      <w:bookmarkEnd w:id="20"/>
      <w:bookmarkEnd w:id="21"/>
      <w:bookmarkEnd w:id="22"/>
      <w:bookmarkEnd w:id="23"/>
    </w:p>
    <w:p w14:paraId="713B0F45" w14:textId="77777777" w:rsidR="000F5D3A" w:rsidRPr="00A93BAA" w:rsidRDefault="00193103" w:rsidP="006E1C08">
      <w:pPr>
        <w:pStyle w:val="Parrafo"/>
        <w:rPr>
          <w:lang w:val="en-GB"/>
        </w:rPr>
      </w:pPr>
      <w:r>
        <w:rPr>
          <w:lang w:val="en-GB"/>
        </w:rPr>
        <w:t>(We will translate the abstract and keywords into Spanish for you)</w:t>
      </w:r>
    </w:p>
    <w:p w14:paraId="01C5C2A1" w14:textId="77777777" w:rsidR="000F5D3A" w:rsidRPr="006E1C08" w:rsidRDefault="000F5D3A" w:rsidP="006E1C08">
      <w:pPr>
        <w:pStyle w:val="Epgrafe1"/>
        <w:rPr>
          <w:lang w:val="en-GB"/>
        </w:rPr>
      </w:pPr>
      <w:bookmarkStart w:id="24" w:name="_Toc278545231"/>
      <w:bookmarkStart w:id="25" w:name="_Toc349550680"/>
      <w:bookmarkStart w:id="26" w:name="_Toc487720133"/>
      <w:bookmarkStart w:id="27" w:name="_Toc520452030"/>
      <w:bookmarkStart w:id="28" w:name="_Toc520452048"/>
      <w:bookmarkStart w:id="29" w:name="_Toc520452067"/>
      <w:r w:rsidRPr="006E1C08">
        <w:rPr>
          <w:lang w:val="en-GB"/>
        </w:rPr>
        <w:t>Palabras clave</w:t>
      </w:r>
      <w:bookmarkEnd w:id="24"/>
      <w:bookmarkEnd w:id="25"/>
      <w:bookmarkEnd w:id="26"/>
      <w:bookmarkEnd w:id="27"/>
      <w:bookmarkEnd w:id="28"/>
      <w:bookmarkEnd w:id="29"/>
    </w:p>
    <w:p w14:paraId="1AC85802" w14:textId="77777777" w:rsidR="00193103" w:rsidRPr="00A93BAA" w:rsidRDefault="00193103" w:rsidP="00193103">
      <w:pPr>
        <w:pStyle w:val="Parrafo"/>
        <w:rPr>
          <w:lang w:val="en-GB"/>
        </w:rPr>
      </w:pPr>
      <w:r>
        <w:rPr>
          <w:lang w:val="en-GB"/>
        </w:rPr>
        <w:t>(We will translate the abstract and keywords into Spanish for you)</w:t>
      </w:r>
    </w:p>
    <w:p w14:paraId="12E4FD14" w14:textId="77777777" w:rsidR="00217E7F" w:rsidRDefault="00217E7F" w:rsidP="006E1C08">
      <w:pPr>
        <w:pStyle w:val="Parrafo"/>
        <w:rPr>
          <w:lang w:val="en-GB"/>
        </w:rPr>
      </w:pPr>
    </w:p>
    <w:p w14:paraId="75CDA328" w14:textId="77777777" w:rsidR="00217E7F" w:rsidRDefault="00217E7F" w:rsidP="006E1C08">
      <w:pPr>
        <w:pStyle w:val="Parrafo"/>
        <w:rPr>
          <w:lang w:val="en-GB"/>
        </w:rPr>
      </w:pPr>
    </w:p>
    <w:p w14:paraId="6CF92CE4" w14:textId="77777777" w:rsidR="00217E7F" w:rsidRDefault="00217E7F" w:rsidP="006E1C08">
      <w:pPr>
        <w:pStyle w:val="Parrafo"/>
        <w:rPr>
          <w:lang w:val="en-GB"/>
        </w:rPr>
      </w:pPr>
    </w:p>
    <w:p w14:paraId="2E3C0E4E" w14:textId="77777777" w:rsidR="00217E7F" w:rsidRPr="00217E7F" w:rsidRDefault="00217E7F" w:rsidP="006E1C08">
      <w:pPr>
        <w:pStyle w:val="Parrafo"/>
        <w:rPr>
          <w:lang w:val="en-GB"/>
        </w:rPr>
      </w:pPr>
      <w:r>
        <w:rPr>
          <w:lang w:val="en-GB"/>
        </w:rPr>
        <w:lastRenderedPageBreak/>
        <w:t>[</w:t>
      </w:r>
      <w:r w:rsidRPr="00217E7F">
        <w:rPr>
          <w:b/>
          <w:lang w:val="en-GB"/>
        </w:rPr>
        <w:t>For layout only</w:t>
      </w:r>
      <w:r>
        <w:rPr>
          <w:lang w:val="en-GB"/>
        </w:rPr>
        <w:t xml:space="preserve">. If first page is an even number, the collocation of the page number should be: 93,55 points - </w:t>
      </w:r>
      <w:r w:rsidRPr="00217E7F">
        <w:rPr>
          <w:lang w:val="en-GB"/>
        </w:rPr>
        <w:t xml:space="preserve">810,8 </w:t>
      </w:r>
      <w:r>
        <w:rPr>
          <w:lang w:val="en-GB"/>
        </w:rPr>
        <w:t>points</w:t>
      </w:r>
      <w:r w:rsidR="00E44F55">
        <w:rPr>
          <w:lang w:val="en-GB"/>
        </w:rPr>
        <w:t xml:space="preserve"> / 3,3 cm - </w:t>
      </w:r>
      <w:r w:rsidR="00E44F55" w:rsidRPr="00E44F55">
        <w:rPr>
          <w:lang w:val="en-GB"/>
        </w:rPr>
        <w:t>28,6 cm</w:t>
      </w:r>
      <w:r>
        <w:rPr>
          <w:lang w:val="en-GB"/>
        </w:rPr>
        <w:t>]</w:t>
      </w:r>
    </w:p>
    <w:p w14:paraId="50FD9A54" w14:textId="77777777" w:rsidR="00A93BAA" w:rsidRPr="006E1C08" w:rsidRDefault="00A93BAA" w:rsidP="006E1C08">
      <w:pPr>
        <w:pStyle w:val="Parrafo"/>
        <w:rPr>
          <w:lang w:val="en-GB"/>
        </w:rPr>
      </w:pPr>
    </w:p>
    <w:p w14:paraId="2C167A1C" w14:textId="77777777" w:rsidR="00A93BAA" w:rsidRPr="006E1C08" w:rsidRDefault="00A93BAA" w:rsidP="006E1C08">
      <w:pPr>
        <w:pStyle w:val="Parrafo"/>
        <w:rPr>
          <w:lang w:val="en-GB"/>
        </w:rPr>
        <w:sectPr w:rsidR="00A93BAA" w:rsidRPr="006E1C08" w:rsidSect="004A1DAB">
          <w:headerReference w:type="even" r:id="rId11"/>
          <w:headerReference w:type="default" r:id="rId12"/>
          <w:footerReference w:type="even" r:id="rId13"/>
          <w:footerReference w:type="default" r:id="rId14"/>
          <w:headerReference w:type="first" r:id="rId15"/>
          <w:footerReference w:type="first" r:id="rId16"/>
          <w:pgSz w:w="11906" w:h="16838"/>
          <w:pgMar w:top="2336" w:right="1701" w:bottom="1418" w:left="1701" w:header="709" w:footer="377" w:gutter="0"/>
          <w:pgNumType w:start="1"/>
          <w:cols w:space="708"/>
          <w:titlePg/>
          <w:docGrid w:linePitch="360"/>
        </w:sectPr>
      </w:pPr>
    </w:p>
    <w:p w14:paraId="755745BB" w14:textId="77777777" w:rsidR="00257559" w:rsidRPr="00193103" w:rsidRDefault="00257559" w:rsidP="000002D7">
      <w:pPr>
        <w:pStyle w:val="Epgrafe1"/>
        <w:rPr>
          <w:lang w:val="en-GB"/>
        </w:rPr>
      </w:pPr>
      <w:bookmarkStart w:id="30" w:name="_Toc278545232"/>
      <w:bookmarkStart w:id="31" w:name="_Toc349550681"/>
      <w:bookmarkStart w:id="32" w:name="_Toc487720134"/>
      <w:bookmarkStart w:id="33" w:name="_Toc520452031"/>
      <w:bookmarkStart w:id="34" w:name="_Toc520452049"/>
      <w:bookmarkStart w:id="35" w:name="_Toc520452068"/>
      <w:r w:rsidRPr="00193103">
        <w:rPr>
          <w:lang w:val="en-GB"/>
        </w:rPr>
        <w:lastRenderedPageBreak/>
        <w:t>Table of contents / Índice</w:t>
      </w:r>
      <w:bookmarkEnd w:id="30"/>
      <w:bookmarkEnd w:id="31"/>
      <w:bookmarkEnd w:id="32"/>
      <w:bookmarkEnd w:id="33"/>
      <w:bookmarkEnd w:id="34"/>
      <w:bookmarkEnd w:id="35"/>
    </w:p>
    <w:sdt>
      <w:sdtPr>
        <w:id w:val="837268599"/>
        <w:docPartObj>
          <w:docPartGallery w:val="Table of Contents"/>
          <w:docPartUnique/>
        </w:docPartObj>
      </w:sdtPr>
      <w:sdtEndPr>
        <w:rPr>
          <w:b/>
          <w:bCs/>
        </w:rPr>
      </w:sdtEndPr>
      <w:sdtContent>
        <w:p w14:paraId="7418B8FC" w14:textId="096870BE" w:rsidR="001B2144" w:rsidRPr="00CF3106" w:rsidRDefault="001B2144" w:rsidP="00CF3106">
          <w:pPr>
            <w:pStyle w:val="TOC1"/>
            <w:tabs>
              <w:tab w:val="right" w:leader="dot" w:pos="8494"/>
            </w:tabs>
            <w:rPr>
              <w:rFonts w:ascii="Verdana" w:eastAsiaTheme="minorEastAsia" w:hAnsi="Verdana" w:cstheme="minorBidi"/>
              <w:noProof/>
              <w:sz w:val="20"/>
              <w:szCs w:val="20"/>
              <w:lang w:val="en-US" w:eastAsia="en-US"/>
            </w:rPr>
          </w:pPr>
          <w:r>
            <w:rPr>
              <w:b/>
              <w:bCs/>
            </w:rPr>
            <w:fldChar w:fldCharType="begin"/>
          </w:r>
          <w:r>
            <w:rPr>
              <w:b/>
              <w:bCs/>
            </w:rPr>
            <w:instrText xml:space="preserve"> TOC \o "1-3" \h \z \u </w:instrText>
          </w:r>
          <w:r>
            <w:rPr>
              <w:b/>
              <w:bCs/>
            </w:rPr>
            <w:fldChar w:fldCharType="separate"/>
          </w:r>
          <w:hyperlink w:anchor="_Toc520452069" w:history="1">
            <w:r w:rsidRPr="00CF3106">
              <w:rPr>
                <w:rStyle w:val="Hyperlink"/>
                <w:rFonts w:ascii="Verdana" w:hAnsi="Verdana"/>
                <w:noProof/>
                <w:sz w:val="20"/>
                <w:szCs w:val="20"/>
                <w:lang w:val="en-US"/>
              </w:rPr>
              <w:t>1. Introduction</w:t>
            </w:r>
            <w:r w:rsidRPr="00CF3106">
              <w:rPr>
                <w:rFonts w:ascii="Verdana" w:hAnsi="Verdana"/>
                <w:noProof/>
                <w:webHidden/>
                <w:sz w:val="20"/>
                <w:szCs w:val="20"/>
              </w:rPr>
              <w:tab/>
            </w:r>
            <w:r w:rsidRPr="00CF3106">
              <w:rPr>
                <w:rFonts w:ascii="Verdana" w:hAnsi="Verdana"/>
                <w:noProof/>
                <w:webHidden/>
                <w:sz w:val="20"/>
                <w:szCs w:val="20"/>
              </w:rPr>
              <w:fldChar w:fldCharType="begin"/>
            </w:r>
            <w:r w:rsidRPr="00CF3106">
              <w:rPr>
                <w:rFonts w:ascii="Verdana" w:hAnsi="Verdana"/>
                <w:noProof/>
                <w:webHidden/>
                <w:sz w:val="20"/>
                <w:szCs w:val="20"/>
              </w:rPr>
              <w:instrText xml:space="preserve"> PAGEREF _Toc520452069 \h </w:instrText>
            </w:r>
            <w:r w:rsidRPr="00CF3106">
              <w:rPr>
                <w:rFonts w:ascii="Verdana" w:hAnsi="Verdana"/>
                <w:noProof/>
                <w:webHidden/>
                <w:sz w:val="20"/>
                <w:szCs w:val="20"/>
              </w:rPr>
            </w:r>
            <w:r w:rsidRPr="00CF3106">
              <w:rPr>
                <w:rFonts w:ascii="Verdana" w:hAnsi="Verdana"/>
                <w:noProof/>
                <w:webHidden/>
                <w:sz w:val="20"/>
                <w:szCs w:val="20"/>
              </w:rPr>
              <w:fldChar w:fldCharType="separate"/>
            </w:r>
            <w:r w:rsidR="00D83D3E">
              <w:rPr>
                <w:rFonts w:ascii="Verdana" w:hAnsi="Verdana"/>
                <w:noProof/>
                <w:webHidden/>
                <w:sz w:val="20"/>
                <w:szCs w:val="20"/>
              </w:rPr>
              <w:t>3</w:t>
            </w:r>
            <w:r w:rsidRPr="00CF3106">
              <w:rPr>
                <w:rFonts w:ascii="Verdana" w:hAnsi="Verdana"/>
                <w:noProof/>
                <w:webHidden/>
                <w:sz w:val="20"/>
                <w:szCs w:val="20"/>
              </w:rPr>
              <w:fldChar w:fldCharType="end"/>
            </w:r>
          </w:hyperlink>
        </w:p>
        <w:p w14:paraId="737D906F" w14:textId="06B9F168" w:rsidR="001B2144" w:rsidRPr="00CF3106" w:rsidRDefault="002D1F52">
          <w:pPr>
            <w:pStyle w:val="TOC2"/>
            <w:rPr>
              <w:rFonts w:ascii="Verdana" w:eastAsiaTheme="minorEastAsia" w:hAnsi="Verdana" w:cstheme="minorBidi"/>
              <w:noProof/>
              <w:sz w:val="20"/>
              <w:szCs w:val="20"/>
              <w:lang w:val="en-US" w:eastAsia="en-US"/>
            </w:rPr>
          </w:pPr>
          <w:hyperlink w:anchor="_Toc520452070" w:history="1">
            <w:r w:rsidR="001B2144" w:rsidRPr="00CF3106">
              <w:rPr>
                <w:rStyle w:val="Hyperlink"/>
                <w:rFonts w:ascii="Verdana" w:hAnsi="Verdana"/>
                <w:noProof/>
                <w:sz w:val="20"/>
                <w:szCs w:val="20"/>
                <w:lang w:val="en-US"/>
              </w:rPr>
              <w:t xml:space="preserve">2. From </w:t>
            </w:r>
            <w:r w:rsidR="001B2144" w:rsidRPr="00CF3106">
              <w:rPr>
                <w:rStyle w:val="Hyperlink"/>
                <w:rFonts w:ascii="Verdana" w:hAnsi="Verdana"/>
                <w:i/>
                <w:noProof/>
                <w:sz w:val="20"/>
                <w:szCs w:val="20"/>
                <w:lang w:val="en-US"/>
              </w:rPr>
              <w:t>Homo sacer</w:t>
            </w:r>
            <w:r w:rsidR="001B2144" w:rsidRPr="00CF3106">
              <w:rPr>
                <w:rStyle w:val="Hyperlink"/>
                <w:rFonts w:ascii="Verdana" w:hAnsi="Verdana"/>
                <w:noProof/>
                <w:sz w:val="20"/>
                <w:szCs w:val="20"/>
                <w:lang w:val="en-US"/>
              </w:rPr>
              <w:t xml:space="preserve"> to </w:t>
            </w:r>
            <w:r w:rsidR="001B2144" w:rsidRPr="00CF3106">
              <w:rPr>
                <w:rStyle w:val="Hyperlink"/>
                <w:rFonts w:ascii="Verdana" w:hAnsi="Verdana"/>
                <w:i/>
                <w:noProof/>
                <w:sz w:val="20"/>
                <w:szCs w:val="20"/>
                <w:lang w:val="en-US"/>
              </w:rPr>
              <w:t>Homo supra</w:t>
            </w:r>
            <w:r w:rsidR="001B2144" w:rsidRPr="00CF3106">
              <w:rPr>
                <w:rFonts w:ascii="Verdana" w:hAnsi="Verdana"/>
                <w:noProof/>
                <w:webHidden/>
                <w:sz w:val="20"/>
                <w:szCs w:val="20"/>
              </w:rPr>
              <w:tab/>
            </w:r>
            <w:r w:rsidR="001B2144" w:rsidRPr="00CF3106">
              <w:rPr>
                <w:rFonts w:ascii="Verdana" w:hAnsi="Verdana"/>
                <w:noProof/>
                <w:webHidden/>
                <w:sz w:val="20"/>
                <w:szCs w:val="20"/>
              </w:rPr>
              <w:fldChar w:fldCharType="begin"/>
            </w:r>
            <w:r w:rsidR="001B2144" w:rsidRPr="00CF3106">
              <w:rPr>
                <w:rFonts w:ascii="Verdana" w:hAnsi="Verdana"/>
                <w:noProof/>
                <w:webHidden/>
                <w:sz w:val="20"/>
                <w:szCs w:val="20"/>
              </w:rPr>
              <w:instrText xml:space="preserve"> PAGEREF _Toc520452070 \h </w:instrText>
            </w:r>
            <w:r w:rsidR="001B2144" w:rsidRPr="00CF3106">
              <w:rPr>
                <w:rFonts w:ascii="Verdana" w:hAnsi="Verdana"/>
                <w:noProof/>
                <w:webHidden/>
                <w:sz w:val="20"/>
                <w:szCs w:val="20"/>
              </w:rPr>
            </w:r>
            <w:r w:rsidR="001B2144" w:rsidRPr="00CF3106">
              <w:rPr>
                <w:rFonts w:ascii="Verdana" w:hAnsi="Verdana"/>
                <w:noProof/>
                <w:webHidden/>
                <w:sz w:val="20"/>
                <w:szCs w:val="20"/>
              </w:rPr>
              <w:fldChar w:fldCharType="separate"/>
            </w:r>
            <w:r w:rsidR="00D83D3E">
              <w:rPr>
                <w:rFonts w:ascii="Verdana" w:hAnsi="Verdana"/>
                <w:noProof/>
                <w:webHidden/>
                <w:sz w:val="20"/>
                <w:szCs w:val="20"/>
              </w:rPr>
              <w:t>4</w:t>
            </w:r>
            <w:r w:rsidR="001B2144" w:rsidRPr="00CF3106">
              <w:rPr>
                <w:rFonts w:ascii="Verdana" w:hAnsi="Verdana"/>
                <w:noProof/>
                <w:webHidden/>
                <w:sz w:val="20"/>
                <w:szCs w:val="20"/>
              </w:rPr>
              <w:fldChar w:fldCharType="end"/>
            </w:r>
          </w:hyperlink>
        </w:p>
        <w:p w14:paraId="331AD9F3" w14:textId="266EE818" w:rsidR="001B2144" w:rsidRPr="00CF3106" w:rsidRDefault="002D1F52">
          <w:pPr>
            <w:pStyle w:val="TOC3"/>
            <w:rPr>
              <w:rFonts w:ascii="Verdana" w:eastAsiaTheme="minorEastAsia" w:hAnsi="Verdana" w:cstheme="minorBidi"/>
              <w:noProof/>
              <w:sz w:val="20"/>
              <w:szCs w:val="20"/>
              <w:lang w:val="en-US" w:eastAsia="en-US"/>
            </w:rPr>
          </w:pPr>
          <w:hyperlink w:anchor="_Toc520452071" w:history="1">
            <w:r w:rsidR="001B2144" w:rsidRPr="00CF3106">
              <w:rPr>
                <w:rStyle w:val="Hyperlink"/>
                <w:rFonts w:ascii="Verdana" w:hAnsi="Verdana"/>
                <w:noProof/>
                <w:sz w:val="20"/>
                <w:szCs w:val="20"/>
                <w:lang w:val="en-US"/>
              </w:rPr>
              <w:t>2.1. From repressive inclusion to enriched inclusion</w:t>
            </w:r>
            <w:r w:rsidR="001B2144" w:rsidRPr="00CF3106">
              <w:rPr>
                <w:rFonts w:ascii="Verdana" w:hAnsi="Verdana"/>
                <w:noProof/>
                <w:webHidden/>
                <w:sz w:val="20"/>
                <w:szCs w:val="20"/>
              </w:rPr>
              <w:tab/>
            </w:r>
            <w:r w:rsidR="001B2144" w:rsidRPr="00CF3106">
              <w:rPr>
                <w:rFonts w:ascii="Verdana" w:hAnsi="Verdana"/>
                <w:noProof/>
                <w:webHidden/>
                <w:sz w:val="20"/>
                <w:szCs w:val="20"/>
              </w:rPr>
              <w:fldChar w:fldCharType="begin"/>
            </w:r>
            <w:r w:rsidR="001B2144" w:rsidRPr="00CF3106">
              <w:rPr>
                <w:rFonts w:ascii="Verdana" w:hAnsi="Verdana"/>
                <w:noProof/>
                <w:webHidden/>
                <w:sz w:val="20"/>
                <w:szCs w:val="20"/>
              </w:rPr>
              <w:instrText xml:space="preserve"> PAGEREF _Toc520452071 \h </w:instrText>
            </w:r>
            <w:r w:rsidR="001B2144" w:rsidRPr="00CF3106">
              <w:rPr>
                <w:rFonts w:ascii="Verdana" w:hAnsi="Verdana"/>
                <w:noProof/>
                <w:webHidden/>
                <w:sz w:val="20"/>
                <w:szCs w:val="20"/>
              </w:rPr>
            </w:r>
            <w:r w:rsidR="001B2144" w:rsidRPr="00CF3106">
              <w:rPr>
                <w:rFonts w:ascii="Verdana" w:hAnsi="Verdana"/>
                <w:noProof/>
                <w:webHidden/>
                <w:sz w:val="20"/>
                <w:szCs w:val="20"/>
              </w:rPr>
              <w:fldChar w:fldCharType="separate"/>
            </w:r>
            <w:r w:rsidR="00D83D3E">
              <w:rPr>
                <w:rFonts w:ascii="Verdana" w:hAnsi="Verdana"/>
                <w:noProof/>
                <w:webHidden/>
                <w:sz w:val="20"/>
                <w:szCs w:val="20"/>
              </w:rPr>
              <w:t>5</w:t>
            </w:r>
            <w:r w:rsidR="001B2144" w:rsidRPr="00CF3106">
              <w:rPr>
                <w:rFonts w:ascii="Verdana" w:hAnsi="Verdana"/>
                <w:noProof/>
                <w:webHidden/>
                <w:sz w:val="20"/>
                <w:szCs w:val="20"/>
              </w:rPr>
              <w:fldChar w:fldCharType="end"/>
            </w:r>
          </w:hyperlink>
        </w:p>
        <w:p w14:paraId="28282136" w14:textId="07CA94DF" w:rsidR="001B2144" w:rsidRPr="00D83D3E" w:rsidRDefault="002D1F52">
          <w:pPr>
            <w:pStyle w:val="TOC2"/>
            <w:rPr>
              <w:rFonts w:ascii="Verdana" w:eastAsiaTheme="minorEastAsia" w:hAnsi="Verdana" w:cstheme="minorBidi"/>
              <w:noProof/>
              <w:sz w:val="20"/>
              <w:szCs w:val="20"/>
              <w:lang w:val="en-US" w:eastAsia="en-US"/>
            </w:rPr>
          </w:pPr>
          <w:hyperlink w:anchor="_Toc520452072" w:history="1">
            <w:r w:rsidR="001B2144" w:rsidRPr="00CF3106">
              <w:rPr>
                <w:rStyle w:val="Hyperlink"/>
                <w:rFonts w:ascii="Verdana" w:hAnsi="Verdana"/>
                <w:noProof/>
                <w:sz w:val="20"/>
                <w:szCs w:val="20"/>
                <w:lang w:val="en-US"/>
              </w:rPr>
              <w:t>3. The Duties of the Corporate Citizen</w:t>
            </w:r>
            <w:r w:rsidR="001B2144" w:rsidRPr="00CF3106">
              <w:rPr>
                <w:rFonts w:ascii="Verdana" w:hAnsi="Verdana"/>
                <w:noProof/>
                <w:webHidden/>
                <w:sz w:val="20"/>
                <w:szCs w:val="20"/>
              </w:rPr>
              <w:tab/>
            </w:r>
            <w:r w:rsidR="001B2144" w:rsidRPr="00CF3106">
              <w:rPr>
                <w:rFonts w:ascii="Verdana" w:hAnsi="Verdana"/>
                <w:noProof/>
                <w:webHidden/>
                <w:sz w:val="20"/>
                <w:szCs w:val="20"/>
              </w:rPr>
              <w:fldChar w:fldCharType="begin"/>
            </w:r>
            <w:r w:rsidR="001B2144" w:rsidRPr="00CF3106">
              <w:rPr>
                <w:rFonts w:ascii="Verdana" w:hAnsi="Verdana"/>
                <w:noProof/>
                <w:webHidden/>
                <w:sz w:val="20"/>
                <w:szCs w:val="20"/>
              </w:rPr>
              <w:instrText xml:space="preserve"> PAGEREF _Toc520452072 \h </w:instrText>
            </w:r>
            <w:r w:rsidR="001B2144" w:rsidRPr="00CF3106">
              <w:rPr>
                <w:rFonts w:ascii="Verdana" w:hAnsi="Verdana"/>
                <w:noProof/>
                <w:webHidden/>
                <w:sz w:val="20"/>
                <w:szCs w:val="20"/>
              </w:rPr>
            </w:r>
            <w:r w:rsidR="001B2144" w:rsidRPr="00CF3106">
              <w:rPr>
                <w:rFonts w:ascii="Verdana" w:hAnsi="Verdana"/>
                <w:noProof/>
                <w:webHidden/>
                <w:sz w:val="20"/>
                <w:szCs w:val="20"/>
              </w:rPr>
              <w:fldChar w:fldCharType="separate"/>
            </w:r>
            <w:r w:rsidR="00D83D3E">
              <w:rPr>
                <w:rFonts w:ascii="Verdana" w:hAnsi="Verdana"/>
                <w:noProof/>
                <w:webHidden/>
                <w:sz w:val="20"/>
                <w:szCs w:val="20"/>
              </w:rPr>
              <w:t>6</w:t>
            </w:r>
            <w:r w:rsidR="001B2144" w:rsidRPr="00CF3106">
              <w:rPr>
                <w:rFonts w:ascii="Verdana" w:hAnsi="Verdana"/>
                <w:noProof/>
                <w:webHidden/>
                <w:sz w:val="20"/>
                <w:szCs w:val="20"/>
              </w:rPr>
              <w:fldChar w:fldCharType="end"/>
            </w:r>
          </w:hyperlink>
        </w:p>
        <w:p w14:paraId="268ED79B" w14:textId="77777777" w:rsidR="001B2144" w:rsidRPr="00D83D3E" w:rsidRDefault="002D1F52">
          <w:pPr>
            <w:pStyle w:val="TOC3"/>
            <w:rPr>
              <w:rFonts w:ascii="Verdana" w:eastAsiaTheme="minorEastAsia" w:hAnsi="Verdana" w:cstheme="minorBidi"/>
              <w:noProof/>
              <w:sz w:val="20"/>
              <w:szCs w:val="20"/>
              <w:lang w:val="en-US" w:eastAsia="en-US"/>
            </w:rPr>
          </w:pPr>
          <w:hyperlink w:anchor="_Toc520452073" w:history="1">
            <w:r w:rsidR="001B2144" w:rsidRPr="00D83D3E">
              <w:rPr>
                <w:rStyle w:val="Hyperlink"/>
                <w:rFonts w:ascii="Verdana" w:hAnsi="Verdana"/>
                <w:noProof/>
                <w:sz w:val="20"/>
                <w:szCs w:val="20"/>
                <w:lang w:val="en-US"/>
              </w:rPr>
              <w:t>3.1. Duty as a Taxpayer</w:t>
            </w:r>
            <w:r w:rsidR="001B2144" w:rsidRPr="00D83D3E">
              <w:rPr>
                <w:rFonts w:ascii="Verdana" w:hAnsi="Verdana"/>
                <w:noProof/>
                <w:webHidden/>
                <w:sz w:val="20"/>
                <w:szCs w:val="20"/>
              </w:rPr>
              <w:tab/>
            </w:r>
            <w:r w:rsidR="001B2144" w:rsidRPr="00D83D3E">
              <w:rPr>
                <w:rFonts w:ascii="Verdana" w:hAnsi="Verdana"/>
                <w:noProof/>
                <w:webHidden/>
                <w:sz w:val="20"/>
                <w:szCs w:val="20"/>
              </w:rPr>
              <w:fldChar w:fldCharType="begin"/>
            </w:r>
            <w:r w:rsidR="001B2144" w:rsidRPr="00D83D3E">
              <w:rPr>
                <w:rFonts w:ascii="Verdana" w:hAnsi="Verdana"/>
                <w:noProof/>
                <w:webHidden/>
                <w:sz w:val="20"/>
                <w:szCs w:val="20"/>
              </w:rPr>
              <w:instrText xml:space="preserve"> PAGEREF _Toc520452073 \h </w:instrText>
            </w:r>
            <w:r w:rsidR="001B2144" w:rsidRPr="00D83D3E">
              <w:rPr>
                <w:rFonts w:ascii="Verdana" w:hAnsi="Verdana"/>
                <w:noProof/>
                <w:webHidden/>
                <w:sz w:val="20"/>
                <w:szCs w:val="20"/>
              </w:rPr>
            </w:r>
            <w:r w:rsidR="001B2144" w:rsidRPr="00D83D3E">
              <w:rPr>
                <w:rFonts w:ascii="Verdana" w:hAnsi="Verdana"/>
                <w:noProof/>
                <w:webHidden/>
                <w:sz w:val="20"/>
                <w:szCs w:val="20"/>
              </w:rPr>
              <w:fldChar w:fldCharType="separate"/>
            </w:r>
            <w:r w:rsidR="00D83D3E">
              <w:rPr>
                <w:rFonts w:ascii="Verdana" w:hAnsi="Verdana"/>
                <w:noProof/>
                <w:webHidden/>
                <w:sz w:val="20"/>
                <w:szCs w:val="20"/>
              </w:rPr>
              <w:t>7</w:t>
            </w:r>
            <w:r w:rsidR="001B2144" w:rsidRPr="00D83D3E">
              <w:rPr>
                <w:rFonts w:ascii="Verdana" w:hAnsi="Verdana"/>
                <w:noProof/>
                <w:webHidden/>
                <w:sz w:val="20"/>
                <w:szCs w:val="20"/>
              </w:rPr>
              <w:fldChar w:fldCharType="end"/>
            </w:r>
          </w:hyperlink>
        </w:p>
        <w:p w14:paraId="50F2179F" w14:textId="77777777" w:rsidR="001B2144" w:rsidRPr="00D83D3E" w:rsidRDefault="002D1F52">
          <w:pPr>
            <w:pStyle w:val="TOC3"/>
            <w:rPr>
              <w:rFonts w:ascii="Verdana" w:eastAsiaTheme="minorEastAsia" w:hAnsi="Verdana" w:cstheme="minorBidi"/>
              <w:noProof/>
              <w:sz w:val="20"/>
              <w:szCs w:val="20"/>
              <w:lang w:val="en-US" w:eastAsia="en-US"/>
            </w:rPr>
          </w:pPr>
          <w:hyperlink w:anchor="_Toc520452074" w:history="1">
            <w:r w:rsidR="001B2144" w:rsidRPr="00D83D3E">
              <w:rPr>
                <w:rStyle w:val="Hyperlink"/>
                <w:rFonts w:ascii="Verdana" w:hAnsi="Verdana"/>
                <w:noProof/>
                <w:sz w:val="20"/>
                <w:szCs w:val="20"/>
                <w:lang w:val="en-US"/>
              </w:rPr>
              <w:t>3.2. Legal liabilities</w:t>
            </w:r>
            <w:r w:rsidR="001B2144" w:rsidRPr="00D83D3E">
              <w:rPr>
                <w:rFonts w:ascii="Verdana" w:hAnsi="Verdana"/>
                <w:noProof/>
                <w:webHidden/>
                <w:sz w:val="20"/>
                <w:szCs w:val="20"/>
              </w:rPr>
              <w:tab/>
            </w:r>
            <w:r w:rsidR="001B2144" w:rsidRPr="00D83D3E">
              <w:rPr>
                <w:rFonts w:ascii="Verdana" w:hAnsi="Verdana"/>
                <w:noProof/>
                <w:webHidden/>
                <w:sz w:val="20"/>
                <w:szCs w:val="20"/>
              </w:rPr>
              <w:fldChar w:fldCharType="begin"/>
            </w:r>
            <w:r w:rsidR="001B2144" w:rsidRPr="00D83D3E">
              <w:rPr>
                <w:rFonts w:ascii="Verdana" w:hAnsi="Verdana"/>
                <w:noProof/>
                <w:webHidden/>
                <w:sz w:val="20"/>
                <w:szCs w:val="20"/>
              </w:rPr>
              <w:instrText xml:space="preserve"> PAGEREF _Toc520452074 \h </w:instrText>
            </w:r>
            <w:r w:rsidR="001B2144" w:rsidRPr="00D83D3E">
              <w:rPr>
                <w:rFonts w:ascii="Verdana" w:hAnsi="Verdana"/>
                <w:noProof/>
                <w:webHidden/>
                <w:sz w:val="20"/>
                <w:szCs w:val="20"/>
              </w:rPr>
            </w:r>
            <w:r w:rsidR="001B2144" w:rsidRPr="00D83D3E">
              <w:rPr>
                <w:rFonts w:ascii="Verdana" w:hAnsi="Verdana"/>
                <w:noProof/>
                <w:webHidden/>
                <w:sz w:val="20"/>
                <w:szCs w:val="20"/>
              </w:rPr>
              <w:fldChar w:fldCharType="separate"/>
            </w:r>
            <w:r w:rsidR="00D83D3E">
              <w:rPr>
                <w:rFonts w:ascii="Verdana" w:hAnsi="Verdana"/>
                <w:noProof/>
                <w:webHidden/>
                <w:sz w:val="20"/>
                <w:szCs w:val="20"/>
              </w:rPr>
              <w:t>8</w:t>
            </w:r>
            <w:r w:rsidR="001B2144" w:rsidRPr="00D83D3E">
              <w:rPr>
                <w:rFonts w:ascii="Verdana" w:hAnsi="Verdana"/>
                <w:noProof/>
                <w:webHidden/>
                <w:sz w:val="20"/>
                <w:szCs w:val="20"/>
              </w:rPr>
              <w:fldChar w:fldCharType="end"/>
            </w:r>
          </w:hyperlink>
        </w:p>
        <w:p w14:paraId="7280FF15" w14:textId="77777777" w:rsidR="001B2144" w:rsidRPr="00D83D3E" w:rsidRDefault="002D1F52">
          <w:pPr>
            <w:pStyle w:val="TOC2"/>
            <w:rPr>
              <w:rFonts w:ascii="Verdana" w:eastAsiaTheme="minorEastAsia" w:hAnsi="Verdana" w:cstheme="minorBidi"/>
              <w:noProof/>
              <w:sz w:val="20"/>
              <w:szCs w:val="20"/>
              <w:lang w:val="en-US" w:eastAsia="en-US"/>
            </w:rPr>
          </w:pPr>
          <w:hyperlink w:anchor="_Toc520452075" w:history="1">
            <w:r w:rsidR="001B2144" w:rsidRPr="00D83D3E">
              <w:rPr>
                <w:rStyle w:val="Hyperlink"/>
                <w:rFonts w:ascii="Verdana" w:hAnsi="Verdana"/>
                <w:noProof/>
                <w:sz w:val="20"/>
                <w:szCs w:val="20"/>
                <w:lang w:val="en-US"/>
              </w:rPr>
              <w:t>4. The Rights of the Corporate Citizen</w:t>
            </w:r>
            <w:r w:rsidR="001B2144" w:rsidRPr="00D83D3E">
              <w:rPr>
                <w:rFonts w:ascii="Verdana" w:hAnsi="Verdana"/>
                <w:noProof/>
                <w:webHidden/>
                <w:sz w:val="20"/>
                <w:szCs w:val="20"/>
              </w:rPr>
              <w:tab/>
            </w:r>
            <w:r w:rsidR="001B2144" w:rsidRPr="00CF3106">
              <w:rPr>
                <w:rFonts w:ascii="Verdana" w:hAnsi="Verdana"/>
                <w:noProof/>
                <w:webHidden/>
                <w:sz w:val="20"/>
                <w:szCs w:val="20"/>
              </w:rPr>
              <w:fldChar w:fldCharType="begin"/>
            </w:r>
            <w:r w:rsidR="001B2144" w:rsidRPr="00D83D3E">
              <w:rPr>
                <w:rFonts w:ascii="Verdana" w:hAnsi="Verdana"/>
                <w:noProof/>
                <w:webHidden/>
                <w:sz w:val="20"/>
                <w:szCs w:val="20"/>
              </w:rPr>
              <w:instrText xml:space="preserve"> PAGEREF _Toc520452075 \h </w:instrText>
            </w:r>
            <w:r w:rsidR="001B2144" w:rsidRPr="00CF3106">
              <w:rPr>
                <w:rFonts w:ascii="Verdana" w:hAnsi="Verdana"/>
                <w:noProof/>
                <w:webHidden/>
                <w:sz w:val="20"/>
                <w:szCs w:val="20"/>
              </w:rPr>
            </w:r>
            <w:r w:rsidR="001B2144" w:rsidRPr="00CF3106">
              <w:rPr>
                <w:rFonts w:ascii="Verdana" w:hAnsi="Verdana"/>
                <w:noProof/>
                <w:webHidden/>
                <w:sz w:val="20"/>
                <w:szCs w:val="20"/>
              </w:rPr>
              <w:fldChar w:fldCharType="separate"/>
            </w:r>
            <w:r w:rsidR="00D83D3E">
              <w:rPr>
                <w:rFonts w:ascii="Verdana" w:hAnsi="Verdana"/>
                <w:noProof/>
                <w:webHidden/>
                <w:sz w:val="20"/>
                <w:szCs w:val="20"/>
              </w:rPr>
              <w:t>10</w:t>
            </w:r>
            <w:r w:rsidR="001B2144" w:rsidRPr="00CF3106">
              <w:rPr>
                <w:rFonts w:ascii="Verdana" w:hAnsi="Verdana"/>
                <w:noProof/>
                <w:webHidden/>
                <w:sz w:val="20"/>
                <w:szCs w:val="20"/>
              </w:rPr>
              <w:fldChar w:fldCharType="end"/>
            </w:r>
          </w:hyperlink>
        </w:p>
        <w:p w14:paraId="59C6BE0A" w14:textId="77777777" w:rsidR="001B2144" w:rsidRPr="00D83D3E" w:rsidRDefault="002D1F52">
          <w:pPr>
            <w:pStyle w:val="TOC3"/>
            <w:rPr>
              <w:rFonts w:ascii="Verdana" w:eastAsiaTheme="minorEastAsia" w:hAnsi="Verdana" w:cstheme="minorBidi"/>
              <w:noProof/>
              <w:sz w:val="20"/>
              <w:szCs w:val="20"/>
              <w:lang w:val="en-US" w:eastAsia="en-US"/>
            </w:rPr>
          </w:pPr>
          <w:hyperlink w:anchor="_Toc520452076" w:history="1">
            <w:r w:rsidR="001B2144" w:rsidRPr="00D83D3E">
              <w:rPr>
                <w:rStyle w:val="Hyperlink"/>
                <w:rFonts w:ascii="Verdana" w:hAnsi="Verdana"/>
                <w:noProof/>
                <w:sz w:val="20"/>
                <w:szCs w:val="20"/>
                <w:lang w:val="en-US"/>
              </w:rPr>
              <w:t>4.1. Rights to Protection from Government</w:t>
            </w:r>
            <w:r w:rsidR="001B2144" w:rsidRPr="00D83D3E">
              <w:rPr>
                <w:rFonts w:ascii="Verdana" w:hAnsi="Verdana"/>
                <w:noProof/>
                <w:webHidden/>
                <w:sz w:val="20"/>
                <w:szCs w:val="20"/>
              </w:rPr>
              <w:tab/>
            </w:r>
            <w:r w:rsidR="001B2144" w:rsidRPr="00D83D3E">
              <w:rPr>
                <w:rFonts w:ascii="Verdana" w:hAnsi="Verdana"/>
                <w:noProof/>
                <w:webHidden/>
                <w:sz w:val="20"/>
                <w:szCs w:val="20"/>
              </w:rPr>
              <w:fldChar w:fldCharType="begin"/>
            </w:r>
            <w:r w:rsidR="001B2144" w:rsidRPr="00D83D3E">
              <w:rPr>
                <w:rFonts w:ascii="Verdana" w:hAnsi="Verdana"/>
                <w:noProof/>
                <w:webHidden/>
                <w:sz w:val="20"/>
                <w:szCs w:val="20"/>
              </w:rPr>
              <w:instrText xml:space="preserve"> PAGEREF _Toc520452076 \h </w:instrText>
            </w:r>
            <w:r w:rsidR="001B2144" w:rsidRPr="00D83D3E">
              <w:rPr>
                <w:rFonts w:ascii="Verdana" w:hAnsi="Verdana"/>
                <w:noProof/>
                <w:webHidden/>
                <w:sz w:val="20"/>
                <w:szCs w:val="20"/>
              </w:rPr>
            </w:r>
            <w:r w:rsidR="001B2144" w:rsidRPr="00D83D3E">
              <w:rPr>
                <w:rFonts w:ascii="Verdana" w:hAnsi="Verdana"/>
                <w:noProof/>
                <w:webHidden/>
                <w:sz w:val="20"/>
                <w:szCs w:val="20"/>
              </w:rPr>
              <w:fldChar w:fldCharType="separate"/>
            </w:r>
            <w:r w:rsidR="00D83D3E">
              <w:rPr>
                <w:rFonts w:ascii="Verdana" w:hAnsi="Verdana"/>
                <w:noProof/>
                <w:webHidden/>
                <w:sz w:val="20"/>
                <w:szCs w:val="20"/>
              </w:rPr>
              <w:t>10</w:t>
            </w:r>
            <w:r w:rsidR="001B2144" w:rsidRPr="00D83D3E">
              <w:rPr>
                <w:rFonts w:ascii="Verdana" w:hAnsi="Verdana"/>
                <w:noProof/>
                <w:webHidden/>
                <w:sz w:val="20"/>
                <w:szCs w:val="20"/>
              </w:rPr>
              <w:fldChar w:fldCharType="end"/>
            </w:r>
          </w:hyperlink>
        </w:p>
        <w:p w14:paraId="387577C0" w14:textId="77777777" w:rsidR="001B2144" w:rsidRPr="00D83D3E" w:rsidRDefault="002D1F52">
          <w:pPr>
            <w:pStyle w:val="TOC3"/>
            <w:rPr>
              <w:rFonts w:ascii="Verdana" w:eastAsiaTheme="minorEastAsia" w:hAnsi="Verdana" w:cstheme="minorBidi"/>
              <w:noProof/>
              <w:sz w:val="20"/>
              <w:szCs w:val="20"/>
              <w:lang w:val="en-US" w:eastAsia="en-US"/>
            </w:rPr>
          </w:pPr>
          <w:hyperlink w:anchor="_Toc520452077" w:history="1">
            <w:r w:rsidR="001B2144" w:rsidRPr="00D83D3E">
              <w:rPr>
                <w:rStyle w:val="Hyperlink"/>
                <w:rFonts w:ascii="Verdana" w:hAnsi="Verdana"/>
                <w:noProof/>
                <w:sz w:val="20"/>
                <w:szCs w:val="20"/>
                <w:lang w:val="en-US"/>
              </w:rPr>
              <w:t>4.2. Rights to Protection by Government</w:t>
            </w:r>
            <w:r w:rsidR="001B2144" w:rsidRPr="00D83D3E">
              <w:rPr>
                <w:rFonts w:ascii="Verdana" w:hAnsi="Verdana"/>
                <w:noProof/>
                <w:webHidden/>
                <w:sz w:val="20"/>
                <w:szCs w:val="20"/>
              </w:rPr>
              <w:tab/>
            </w:r>
            <w:r w:rsidR="001B2144" w:rsidRPr="00D83D3E">
              <w:rPr>
                <w:rFonts w:ascii="Verdana" w:hAnsi="Verdana"/>
                <w:noProof/>
                <w:webHidden/>
                <w:sz w:val="20"/>
                <w:szCs w:val="20"/>
              </w:rPr>
              <w:fldChar w:fldCharType="begin"/>
            </w:r>
            <w:r w:rsidR="001B2144" w:rsidRPr="00D83D3E">
              <w:rPr>
                <w:rFonts w:ascii="Verdana" w:hAnsi="Verdana"/>
                <w:noProof/>
                <w:webHidden/>
                <w:sz w:val="20"/>
                <w:szCs w:val="20"/>
              </w:rPr>
              <w:instrText xml:space="preserve"> PAGEREF _Toc520452077 \h </w:instrText>
            </w:r>
            <w:r w:rsidR="001B2144" w:rsidRPr="00D83D3E">
              <w:rPr>
                <w:rFonts w:ascii="Verdana" w:hAnsi="Verdana"/>
                <w:noProof/>
                <w:webHidden/>
                <w:sz w:val="20"/>
                <w:szCs w:val="20"/>
              </w:rPr>
            </w:r>
            <w:r w:rsidR="001B2144" w:rsidRPr="00D83D3E">
              <w:rPr>
                <w:rFonts w:ascii="Verdana" w:hAnsi="Verdana"/>
                <w:noProof/>
                <w:webHidden/>
                <w:sz w:val="20"/>
                <w:szCs w:val="20"/>
              </w:rPr>
              <w:fldChar w:fldCharType="separate"/>
            </w:r>
            <w:r w:rsidR="00D83D3E">
              <w:rPr>
                <w:rFonts w:ascii="Verdana" w:hAnsi="Verdana"/>
                <w:noProof/>
                <w:webHidden/>
                <w:sz w:val="20"/>
                <w:szCs w:val="20"/>
              </w:rPr>
              <w:t>12</w:t>
            </w:r>
            <w:r w:rsidR="001B2144" w:rsidRPr="00D83D3E">
              <w:rPr>
                <w:rFonts w:ascii="Verdana" w:hAnsi="Verdana"/>
                <w:noProof/>
                <w:webHidden/>
                <w:sz w:val="20"/>
                <w:szCs w:val="20"/>
              </w:rPr>
              <w:fldChar w:fldCharType="end"/>
            </w:r>
          </w:hyperlink>
        </w:p>
        <w:p w14:paraId="0D7FCCBB" w14:textId="01BDF2AD" w:rsidR="001B2144" w:rsidRPr="00D83D3E" w:rsidRDefault="002D1F52">
          <w:pPr>
            <w:pStyle w:val="TOC3"/>
            <w:rPr>
              <w:rFonts w:ascii="Verdana" w:eastAsiaTheme="minorEastAsia" w:hAnsi="Verdana" w:cstheme="minorBidi"/>
              <w:noProof/>
              <w:sz w:val="20"/>
              <w:szCs w:val="20"/>
              <w:lang w:val="en-US" w:eastAsia="en-US"/>
            </w:rPr>
          </w:pPr>
          <w:hyperlink w:anchor="_Toc520452078" w:history="1">
            <w:r w:rsidR="001B2144" w:rsidRPr="00D83D3E">
              <w:rPr>
                <w:rStyle w:val="Hyperlink"/>
                <w:rFonts w:ascii="Verdana" w:hAnsi="Verdana"/>
                <w:noProof/>
                <w:sz w:val="20"/>
                <w:szCs w:val="20"/>
                <w:lang w:val="en-US"/>
              </w:rPr>
              <w:t>4.3. Rights to Participation in Politics and Government</w:t>
            </w:r>
            <w:r w:rsidR="001B2144" w:rsidRPr="00D83D3E">
              <w:rPr>
                <w:rFonts w:ascii="Verdana" w:hAnsi="Verdana"/>
                <w:noProof/>
                <w:webHidden/>
                <w:sz w:val="20"/>
                <w:szCs w:val="20"/>
              </w:rPr>
              <w:tab/>
            </w:r>
            <w:r w:rsidR="001B2144" w:rsidRPr="00D83D3E">
              <w:rPr>
                <w:rFonts w:ascii="Verdana" w:hAnsi="Verdana"/>
                <w:noProof/>
                <w:webHidden/>
                <w:sz w:val="20"/>
                <w:szCs w:val="20"/>
              </w:rPr>
              <w:fldChar w:fldCharType="begin"/>
            </w:r>
            <w:r w:rsidR="001B2144" w:rsidRPr="00D83D3E">
              <w:rPr>
                <w:rFonts w:ascii="Verdana" w:hAnsi="Verdana"/>
                <w:noProof/>
                <w:webHidden/>
                <w:sz w:val="20"/>
                <w:szCs w:val="20"/>
              </w:rPr>
              <w:instrText xml:space="preserve"> PAGEREF _Toc520452078 \h </w:instrText>
            </w:r>
            <w:r w:rsidR="001B2144" w:rsidRPr="00D83D3E">
              <w:rPr>
                <w:rFonts w:ascii="Verdana" w:hAnsi="Verdana"/>
                <w:noProof/>
                <w:webHidden/>
                <w:sz w:val="20"/>
                <w:szCs w:val="20"/>
              </w:rPr>
            </w:r>
            <w:r w:rsidR="001B2144" w:rsidRPr="00D83D3E">
              <w:rPr>
                <w:rFonts w:ascii="Verdana" w:hAnsi="Verdana"/>
                <w:noProof/>
                <w:webHidden/>
                <w:sz w:val="20"/>
                <w:szCs w:val="20"/>
              </w:rPr>
              <w:fldChar w:fldCharType="separate"/>
            </w:r>
            <w:r w:rsidR="00D83D3E">
              <w:rPr>
                <w:rFonts w:ascii="Verdana" w:hAnsi="Verdana"/>
                <w:noProof/>
                <w:webHidden/>
                <w:sz w:val="20"/>
                <w:szCs w:val="20"/>
              </w:rPr>
              <w:t>14</w:t>
            </w:r>
            <w:r w:rsidR="001B2144" w:rsidRPr="00D83D3E">
              <w:rPr>
                <w:rFonts w:ascii="Verdana" w:hAnsi="Verdana"/>
                <w:noProof/>
                <w:webHidden/>
                <w:sz w:val="20"/>
                <w:szCs w:val="20"/>
              </w:rPr>
              <w:fldChar w:fldCharType="end"/>
            </w:r>
          </w:hyperlink>
        </w:p>
        <w:p w14:paraId="7ADDDC73" w14:textId="6F138B25" w:rsidR="001B2144" w:rsidRPr="00CF3106" w:rsidRDefault="002D1F52">
          <w:pPr>
            <w:pStyle w:val="TOC2"/>
            <w:rPr>
              <w:rFonts w:ascii="Verdana" w:eastAsiaTheme="minorEastAsia" w:hAnsi="Verdana" w:cstheme="minorBidi"/>
              <w:noProof/>
              <w:sz w:val="20"/>
              <w:szCs w:val="20"/>
              <w:lang w:val="en-US" w:eastAsia="en-US"/>
            </w:rPr>
          </w:pPr>
          <w:hyperlink w:anchor="_Toc520452079" w:history="1">
            <w:r w:rsidR="001B2144" w:rsidRPr="00CF3106">
              <w:rPr>
                <w:rStyle w:val="Hyperlink"/>
                <w:rFonts w:ascii="Verdana" w:hAnsi="Verdana"/>
                <w:noProof/>
                <w:sz w:val="20"/>
                <w:szCs w:val="20"/>
                <w:lang w:val="en-US"/>
              </w:rPr>
              <w:t>5. Conclusion</w:t>
            </w:r>
            <w:r w:rsidR="001B2144" w:rsidRPr="00CF3106">
              <w:rPr>
                <w:rFonts w:ascii="Verdana" w:hAnsi="Verdana"/>
                <w:noProof/>
                <w:webHidden/>
                <w:sz w:val="20"/>
                <w:szCs w:val="20"/>
              </w:rPr>
              <w:tab/>
            </w:r>
            <w:r w:rsidR="001B2144" w:rsidRPr="00D83D3E">
              <w:rPr>
                <w:rFonts w:ascii="Verdana" w:hAnsi="Verdana"/>
                <w:noProof/>
                <w:webHidden/>
                <w:sz w:val="20"/>
                <w:szCs w:val="20"/>
              </w:rPr>
              <w:fldChar w:fldCharType="begin"/>
            </w:r>
            <w:r w:rsidR="001B2144" w:rsidRPr="00CF3106">
              <w:rPr>
                <w:rFonts w:ascii="Verdana" w:hAnsi="Verdana"/>
                <w:noProof/>
                <w:webHidden/>
                <w:sz w:val="20"/>
                <w:szCs w:val="20"/>
              </w:rPr>
              <w:instrText xml:space="preserve"> PAGEREF _Toc520452079 \h </w:instrText>
            </w:r>
            <w:r w:rsidR="001B2144" w:rsidRPr="00D83D3E">
              <w:rPr>
                <w:rFonts w:ascii="Verdana" w:hAnsi="Verdana"/>
                <w:noProof/>
                <w:webHidden/>
                <w:sz w:val="20"/>
                <w:szCs w:val="20"/>
              </w:rPr>
            </w:r>
            <w:r w:rsidR="001B2144" w:rsidRPr="00D83D3E">
              <w:rPr>
                <w:rFonts w:ascii="Verdana" w:hAnsi="Verdana"/>
                <w:noProof/>
                <w:webHidden/>
                <w:sz w:val="20"/>
                <w:szCs w:val="20"/>
              </w:rPr>
              <w:fldChar w:fldCharType="separate"/>
            </w:r>
            <w:r w:rsidR="00D83D3E">
              <w:rPr>
                <w:rFonts w:ascii="Verdana" w:hAnsi="Verdana"/>
                <w:noProof/>
                <w:webHidden/>
                <w:sz w:val="20"/>
                <w:szCs w:val="20"/>
              </w:rPr>
              <w:t>16</w:t>
            </w:r>
            <w:r w:rsidR="001B2144" w:rsidRPr="00D83D3E">
              <w:rPr>
                <w:rFonts w:ascii="Verdana" w:hAnsi="Verdana"/>
                <w:noProof/>
                <w:webHidden/>
                <w:sz w:val="20"/>
                <w:szCs w:val="20"/>
              </w:rPr>
              <w:fldChar w:fldCharType="end"/>
            </w:r>
          </w:hyperlink>
        </w:p>
        <w:p w14:paraId="2C5F22A9" w14:textId="5BCE0267" w:rsidR="001B2144" w:rsidRPr="00CF3106" w:rsidRDefault="002D1F52">
          <w:pPr>
            <w:pStyle w:val="TOC2"/>
            <w:rPr>
              <w:rFonts w:ascii="Verdana" w:eastAsiaTheme="minorEastAsia" w:hAnsi="Verdana" w:cstheme="minorBidi"/>
              <w:noProof/>
              <w:sz w:val="20"/>
              <w:szCs w:val="20"/>
              <w:lang w:val="en-US" w:eastAsia="en-US"/>
            </w:rPr>
          </w:pPr>
          <w:hyperlink w:anchor="_Toc520452080" w:history="1">
            <w:r w:rsidR="001B2144" w:rsidRPr="00CF3106">
              <w:rPr>
                <w:rStyle w:val="Hyperlink"/>
                <w:rFonts w:ascii="Verdana" w:hAnsi="Verdana"/>
                <w:noProof/>
                <w:sz w:val="20"/>
                <w:szCs w:val="20"/>
                <w:lang w:val="en-US"/>
              </w:rPr>
              <w:t>References</w:t>
            </w:r>
            <w:r w:rsidR="001B2144" w:rsidRPr="00CF3106">
              <w:rPr>
                <w:rFonts w:ascii="Verdana" w:hAnsi="Verdana"/>
                <w:noProof/>
                <w:webHidden/>
                <w:sz w:val="20"/>
                <w:szCs w:val="20"/>
              </w:rPr>
              <w:tab/>
            </w:r>
            <w:r w:rsidR="001B2144" w:rsidRPr="00CF3106">
              <w:rPr>
                <w:rFonts w:ascii="Verdana" w:hAnsi="Verdana"/>
                <w:noProof/>
                <w:webHidden/>
                <w:sz w:val="20"/>
                <w:szCs w:val="20"/>
              </w:rPr>
              <w:fldChar w:fldCharType="begin"/>
            </w:r>
            <w:r w:rsidR="001B2144" w:rsidRPr="00CF3106">
              <w:rPr>
                <w:rFonts w:ascii="Verdana" w:hAnsi="Verdana"/>
                <w:noProof/>
                <w:webHidden/>
                <w:sz w:val="20"/>
                <w:szCs w:val="20"/>
              </w:rPr>
              <w:instrText xml:space="preserve"> PAGEREF _Toc520452080 \h </w:instrText>
            </w:r>
            <w:r w:rsidR="001B2144" w:rsidRPr="00CF3106">
              <w:rPr>
                <w:rFonts w:ascii="Verdana" w:hAnsi="Verdana"/>
                <w:noProof/>
                <w:webHidden/>
                <w:sz w:val="20"/>
                <w:szCs w:val="20"/>
              </w:rPr>
            </w:r>
            <w:r w:rsidR="001B2144" w:rsidRPr="00CF3106">
              <w:rPr>
                <w:rFonts w:ascii="Verdana" w:hAnsi="Verdana"/>
                <w:noProof/>
                <w:webHidden/>
                <w:sz w:val="20"/>
                <w:szCs w:val="20"/>
              </w:rPr>
              <w:fldChar w:fldCharType="separate"/>
            </w:r>
            <w:r w:rsidR="00D83D3E">
              <w:rPr>
                <w:rFonts w:ascii="Verdana" w:hAnsi="Verdana"/>
                <w:noProof/>
                <w:webHidden/>
                <w:sz w:val="20"/>
                <w:szCs w:val="20"/>
              </w:rPr>
              <w:t>19</w:t>
            </w:r>
            <w:r w:rsidR="001B2144" w:rsidRPr="00CF3106">
              <w:rPr>
                <w:rFonts w:ascii="Verdana" w:hAnsi="Verdana"/>
                <w:noProof/>
                <w:webHidden/>
                <w:sz w:val="20"/>
                <w:szCs w:val="20"/>
              </w:rPr>
              <w:fldChar w:fldCharType="end"/>
            </w:r>
          </w:hyperlink>
        </w:p>
        <w:p w14:paraId="58C18309" w14:textId="093F12D9" w:rsidR="001B2144" w:rsidRPr="00CF3106" w:rsidRDefault="002D1F52">
          <w:pPr>
            <w:pStyle w:val="TOC3"/>
            <w:rPr>
              <w:rFonts w:ascii="Verdana" w:eastAsiaTheme="minorEastAsia" w:hAnsi="Verdana" w:cstheme="minorBidi"/>
              <w:noProof/>
              <w:sz w:val="20"/>
              <w:szCs w:val="20"/>
              <w:lang w:val="en-US" w:eastAsia="en-US"/>
            </w:rPr>
          </w:pPr>
          <w:hyperlink w:anchor="_Toc520452081" w:history="1">
            <w:r w:rsidR="001B2144" w:rsidRPr="00CF3106">
              <w:rPr>
                <w:rStyle w:val="Hyperlink"/>
                <w:rFonts w:ascii="Verdana" w:hAnsi="Verdana"/>
                <w:noProof/>
                <w:sz w:val="20"/>
                <w:szCs w:val="20"/>
                <w:lang w:val="en-GB"/>
              </w:rPr>
              <w:t>Case law</w:t>
            </w:r>
            <w:r w:rsidR="001B2144" w:rsidRPr="00CF3106">
              <w:rPr>
                <w:rFonts w:ascii="Verdana" w:hAnsi="Verdana"/>
                <w:noProof/>
                <w:webHidden/>
                <w:sz w:val="20"/>
                <w:szCs w:val="20"/>
              </w:rPr>
              <w:tab/>
            </w:r>
            <w:r w:rsidR="001B2144" w:rsidRPr="00CF3106">
              <w:rPr>
                <w:rFonts w:ascii="Verdana" w:hAnsi="Verdana"/>
                <w:noProof/>
                <w:webHidden/>
                <w:sz w:val="20"/>
                <w:szCs w:val="20"/>
              </w:rPr>
              <w:fldChar w:fldCharType="begin"/>
            </w:r>
            <w:r w:rsidR="001B2144" w:rsidRPr="00CF3106">
              <w:rPr>
                <w:rFonts w:ascii="Verdana" w:hAnsi="Verdana"/>
                <w:noProof/>
                <w:webHidden/>
                <w:sz w:val="20"/>
                <w:szCs w:val="20"/>
              </w:rPr>
              <w:instrText xml:space="preserve"> PAGEREF _Toc520452081 \h </w:instrText>
            </w:r>
            <w:r w:rsidR="001B2144" w:rsidRPr="00CF3106">
              <w:rPr>
                <w:rFonts w:ascii="Verdana" w:hAnsi="Verdana"/>
                <w:noProof/>
                <w:webHidden/>
                <w:sz w:val="20"/>
                <w:szCs w:val="20"/>
              </w:rPr>
            </w:r>
            <w:r w:rsidR="001B2144" w:rsidRPr="00CF3106">
              <w:rPr>
                <w:rFonts w:ascii="Verdana" w:hAnsi="Verdana"/>
                <w:noProof/>
                <w:webHidden/>
                <w:sz w:val="20"/>
                <w:szCs w:val="20"/>
              </w:rPr>
              <w:fldChar w:fldCharType="separate"/>
            </w:r>
            <w:r w:rsidR="00D83D3E">
              <w:rPr>
                <w:rFonts w:ascii="Verdana" w:hAnsi="Verdana"/>
                <w:noProof/>
                <w:webHidden/>
                <w:sz w:val="20"/>
                <w:szCs w:val="20"/>
              </w:rPr>
              <w:t>25</w:t>
            </w:r>
            <w:r w:rsidR="001B2144" w:rsidRPr="00CF3106">
              <w:rPr>
                <w:rFonts w:ascii="Verdana" w:hAnsi="Verdana"/>
                <w:noProof/>
                <w:webHidden/>
                <w:sz w:val="20"/>
                <w:szCs w:val="20"/>
              </w:rPr>
              <w:fldChar w:fldCharType="end"/>
            </w:r>
          </w:hyperlink>
        </w:p>
        <w:p w14:paraId="470E82AC" w14:textId="575D45C0" w:rsidR="001B2144" w:rsidRDefault="001B2144">
          <w:r>
            <w:rPr>
              <w:b/>
              <w:bCs/>
            </w:rPr>
            <w:fldChar w:fldCharType="end"/>
          </w:r>
        </w:p>
      </w:sdtContent>
    </w:sdt>
    <w:p w14:paraId="48995B53" w14:textId="77777777" w:rsidR="001B2144" w:rsidRDefault="001B2144" w:rsidP="00CF3106">
      <w:pPr>
        <w:pStyle w:val="Parrafo"/>
        <w:rPr>
          <w:lang w:val="en-GB"/>
        </w:rPr>
      </w:pPr>
    </w:p>
    <w:p w14:paraId="3E5147C2" w14:textId="77777777" w:rsidR="001B2144" w:rsidRDefault="001B2144" w:rsidP="00CF3106">
      <w:pPr>
        <w:pStyle w:val="Parrafo"/>
        <w:rPr>
          <w:lang w:val="en-GB"/>
        </w:rPr>
      </w:pPr>
    </w:p>
    <w:p w14:paraId="64520400" w14:textId="17EC7945" w:rsidR="00FB5E18" w:rsidRPr="00B028D8" w:rsidRDefault="00257559">
      <w:pPr>
        <w:pStyle w:val="Epgrafe1"/>
        <w:rPr>
          <w:lang w:val="en-US"/>
        </w:rPr>
      </w:pPr>
      <w:r w:rsidRPr="00FB5E18">
        <w:br w:type="page"/>
      </w:r>
      <w:bookmarkStart w:id="36" w:name="_Toc487720135"/>
      <w:bookmarkStart w:id="37" w:name="_Toc520452069"/>
      <w:r w:rsidR="00FB5E18" w:rsidRPr="00B028D8">
        <w:rPr>
          <w:lang w:val="en-US"/>
        </w:rPr>
        <w:lastRenderedPageBreak/>
        <w:t>1. Introduction</w:t>
      </w:r>
      <w:bookmarkEnd w:id="36"/>
      <w:bookmarkEnd w:id="37"/>
    </w:p>
    <w:p w14:paraId="3970594E" w14:textId="79DD70E0" w:rsidR="00BD6503" w:rsidRPr="00BD6503" w:rsidRDefault="00BD6503" w:rsidP="00BD6503">
      <w:pPr>
        <w:pStyle w:val="Parrafo"/>
        <w:rPr>
          <w:lang w:val="en-US"/>
        </w:rPr>
      </w:pPr>
      <w:r w:rsidRPr="00BD6503">
        <w:rPr>
          <w:lang w:val="en-US"/>
        </w:rPr>
        <w:t>This paper is concerned with a concept that has permeated discussions about the corporation in the early 21</w:t>
      </w:r>
      <w:r w:rsidRPr="00BD6503">
        <w:rPr>
          <w:vertAlign w:val="superscript"/>
          <w:lang w:val="en-US"/>
        </w:rPr>
        <w:t>st</w:t>
      </w:r>
      <w:r w:rsidRPr="00BD6503">
        <w:rPr>
          <w:lang w:val="en-US"/>
        </w:rPr>
        <w:t xml:space="preserve"> century: the </w:t>
      </w:r>
      <w:r w:rsidR="001F2043">
        <w:rPr>
          <w:lang w:val="en-US"/>
        </w:rPr>
        <w:t>“</w:t>
      </w:r>
      <w:r w:rsidRPr="00BD6503">
        <w:rPr>
          <w:lang w:val="en-US"/>
        </w:rPr>
        <w:t>corporate citizen</w:t>
      </w:r>
      <w:r w:rsidR="001F2043">
        <w:rPr>
          <w:lang w:val="en-US"/>
        </w:rPr>
        <w:t>”</w:t>
      </w:r>
      <w:r w:rsidRPr="00BD6503">
        <w:rPr>
          <w:lang w:val="en-US"/>
        </w:rPr>
        <w:t>.</w:t>
      </w:r>
      <w:r w:rsidR="005A3FD3">
        <w:rPr>
          <w:lang w:val="en-US"/>
        </w:rPr>
        <w:t xml:space="preserve"> </w:t>
      </w:r>
      <w:r w:rsidRPr="00BD6503">
        <w:rPr>
          <w:lang w:val="en-US"/>
        </w:rPr>
        <w:t xml:space="preserve">The corporate citizen is a concept that is now widely applied in the context of </w:t>
      </w:r>
      <w:r w:rsidR="001F2043">
        <w:rPr>
          <w:lang w:val="en-US"/>
        </w:rPr>
        <w:t>“</w:t>
      </w:r>
      <w:r w:rsidRPr="00BD6503">
        <w:rPr>
          <w:lang w:val="en-US"/>
        </w:rPr>
        <w:t>sustainable</w:t>
      </w:r>
      <w:r w:rsidR="001F2043">
        <w:rPr>
          <w:lang w:val="en-US"/>
        </w:rPr>
        <w:t>”</w:t>
      </w:r>
      <w:r w:rsidRPr="00BD6503">
        <w:rPr>
          <w:lang w:val="en-US"/>
        </w:rPr>
        <w:t xml:space="preserve"> or </w:t>
      </w:r>
      <w:r w:rsidR="001F2043">
        <w:rPr>
          <w:lang w:val="en-US"/>
        </w:rPr>
        <w:t>“</w:t>
      </w:r>
      <w:r w:rsidRPr="00BD6503">
        <w:rPr>
          <w:lang w:val="en-US"/>
        </w:rPr>
        <w:t>responsible</w:t>
      </w:r>
      <w:r w:rsidR="001F2043">
        <w:rPr>
          <w:lang w:val="en-US"/>
        </w:rPr>
        <w:t>”</w:t>
      </w:r>
      <w:r w:rsidRPr="00BD6503">
        <w:rPr>
          <w:lang w:val="en-US"/>
        </w:rPr>
        <w:t xml:space="preserve"> business and corporate social responsibility (CSR) debates.</w:t>
      </w:r>
      <w:r w:rsidR="005A3FD3">
        <w:rPr>
          <w:lang w:val="en-US"/>
        </w:rPr>
        <w:t xml:space="preserve"> </w:t>
      </w:r>
      <w:r w:rsidRPr="00BD6503">
        <w:rPr>
          <w:lang w:val="en-US"/>
        </w:rPr>
        <w:t>Yet the concept has a long and established history, particularly in the US.</w:t>
      </w:r>
      <w:r w:rsidR="005A3FD3">
        <w:rPr>
          <w:lang w:val="en-US"/>
        </w:rPr>
        <w:t xml:space="preserve"> </w:t>
      </w:r>
      <w:r w:rsidRPr="00BD6503">
        <w:rPr>
          <w:lang w:val="en-US"/>
        </w:rPr>
        <w:t>As early as 1809, the US courts</w:t>
      </w:r>
      <w:r w:rsidR="00D91C65">
        <w:rPr>
          <w:lang w:val="en-US"/>
        </w:rPr>
        <w:t xml:space="preserve"> (</w:t>
      </w:r>
      <w:r w:rsidR="00D91C65" w:rsidRPr="00CF3106">
        <w:rPr>
          <w:i/>
          <w:lang w:val="en-US"/>
        </w:rPr>
        <w:t>Bank of US v Deveaux</w:t>
      </w:r>
      <w:r w:rsidR="00D91C65">
        <w:rPr>
          <w:lang w:val="en-US"/>
        </w:rPr>
        <w:t xml:space="preserve"> 1809)</w:t>
      </w:r>
      <w:r w:rsidRPr="00BD6503">
        <w:rPr>
          <w:lang w:val="en-US"/>
        </w:rPr>
        <w:t xml:space="preserve"> were asked to rule on whether o</w:t>
      </w:r>
      <w:r w:rsidR="00E44ED1">
        <w:rPr>
          <w:lang w:val="en-US"/>
        </w:rPr>
        <w:t>r</w:t>
      </w:r>
      <w:r w:rsidRPr="00BD6503">
        <w:rPr>
          <w:lang w:val="en-US"/>
        </w:rPr>
        <w:t xml:space="preserve"> not corporations could be regarded as </w:t>
      </w:r>
      <w:r w:rsidR="001F2043">
        <w:rPr>
          <w:lang w:val="en-US"/>
        </w:rPr>
        <w:t>“</w:t>
      </w:r>
      <w:r w:rsidRPr="00BD6503">
        <w:rPr>
          <w:lang w:val="en-US"/>
        </w:rPr>
        <w:t>citizens</w:t>
      </w:r>
      <w:r w:rsidR="001F2043">
        <w:rPr>
          <w:lang w:val="en-US"/>
        </w:rPr>
        <w:t>”</w:t>
      </w:r>
      <w:r w:rsidR="002D1F52">
        <w:rPr>
          <w:lang w:val="en-US"/>
        </w:rPr>
        <w:t>.  I</w:t>
      </w:r>
      <w:r w:rsidRPr="00BD6503">
        <w:rPr>
          <w:lang w:val="en-US"/>
        </w:rPr>
        <w:t xml:space="preserve">n a number of cases the courts went backward and forward on this question, before settling on the formulation in 1844 that: a </w:t>
      </w:r>
      <w:r w:rsidR="00E44ED1">
        <w:rPr>
          <w:lang w:val="en-US"/>
        </w:rPr>
        <w:t>“</w:t>
      </w:r>
      <w:r w:rsidRPr="00BD6503">
        <w:rPr>
          <w:lang w:val="en-US"/>
        </w:rPr>
        <w:t xml:space="preserve">corporation received the jurisdictional opportunities open to citizens without the Court having to accord </w:t>
      </w:r>
      <w:r w:rsidR="001F2043">
        <w:rPr>
          <w:lang w:val="en-US"/>
        </w:rPr>
        <w:t>‘</w:t>
      </w:r>
      <w:r w:rsidRPr="00BD6503">
        <w:rPr>
          <w:lang w:val="en-US"/>
        </w:rPr>
        <w:t>citizenship</w:t>
      </w:r>
      <w:r w:rsidR="001F2043">
        <w:rPr>
          <w:lang w:val="en-US"/>
        </w:rPr>
        <w:t>’</w:t>
      </w:r>
      <w:r w:rsidRPr="00BD6503">
        <w:rPr>
          <w:lang w:val="en-US"/>
        </w:rPr>
        <w:t xml:space="preserve"> to it.</w:t>
      </w:r>
      <w:r w:rsidR="00E44ED1">
        <w:rPr>
          <w:lang w:val="en-US"/>
        </w:rPr>
        <w:t>”</w:t>
      </w:r>
      <w:r w:rsidR="00C966D3">
        <w:rPr>
          <w:lang w:val="en-US"/>
        </w:rPr>
        <w:t xml:space="preserve"> (</w:t>
      </w:r>
      <w:r w:rsidR="00C966D3" w:rsidRPr="00CF3106">
        <w:rPr>
          <w:i/>
          <w:lang w:val="en-US"/>
        </w:rPr>
        <w:t>Louisville, C. &amp; C.R. Co. v Letson</w:t>
      </w:r>
      <w:r w:rsidR="00C966D3">
        <w:rPr>
          <w:lang w:val="en-US"/>
        </w:rPr>
        <w:t xml:space="preserve"> 1844)</w:t>
      </w:r>
      <w:r w:rsidR="005A3FD3">
        <w:rPr>
          <w:lang w:val="en-US"/>
        </w:rPr>
        <w:t xml:space="preserve"> </w:t>
      </w:r>
      <w:r w:rsidRPr="00BD6503">
        <w:rPr>
          <w:lang w:val="en-US"/>
        </w:rPr>
        <w:t xml:space="preserve">This judgment pretty much represents the situation today: corporations are </w:t>
      </w:r>
      <w:r w:rsidR="001F2043">
        <w:rPr>
          <w:lang w:val="en-US"/>
        </w:rPr>
        <w:t>“</w:t>
      </w:r>
      <w:r w:rsidRPr="00BD6503">
        <w:rPr>
          <w:lang w:val="en-US"/>
        </w:rPr>
        <w:t>citizens</w:t>
      </w:r>
      <w:r w:rsidR="001F2043">
        <w:rPr>
          <w:lang w:val="en-US"/>
        </w:rPr>
        <w:t>”</w:t>
      </w:r>
      <w:r w:rsidRPr="00BD6503">
        <w:rPr>
          <w:lang w:val="en-US"/>
        </w:rPr>
        <w:t xml:space="preserve"> for legal purposes, if not regarded as such in the broadest constitutional sense (Krannich 2005).</w:t>
      </w:r>
      <w:r w:rsidR="005A3FD3">
        <w:rPr>
          <w:lang w:val="en-US"/>
        </w:rPr>
        <w:t xml:space="preserve"> </w:t>
      </w:r>
    </w:p>
    <w:p w14:paraId="04DE3DF9" w14:textId="1D71C90C" w:rsidR="002D1F52" w:rsidRDefault="00BD6503" w:rsidP="00BD6503">
      <w:pPr>
        <w:pStyle w:val="Parrafo"/>
        <w:rPr>
          <w:lang w:val="en-US"/>
        </w:rPr>
      </w:pPr>
      <w:r w:rsidRPr="00BD6503">
        <w:rPr>
          <w:lang w:val="en-US"/>
        </w:rPr>
        <w:t>The wider social and culture use of the term became commonplace in public debate in the 1990s, and gained recognition in US government</w:t>
      </w:r>
      <w:r w:rsidR="002D1F52">
        <w:rPr>
          <w:lang w:val="en-US"/>
        </w:rPr>
        <w:t xml:space="preserve"> policy</w:t>
      </w:r>
      <w:r w:rsidRPr="00BD6503">
        <w:rPr>
          <w:lang w:val="en-US"/>
        </w:rPr>
        <w:t xml:space="preserve"> under the Clinton administration (Carroll 1998). The term </w:t>
      </w:r>
      <w:r w:rsidRPr="00CF3106">
        <w:rPr>
          <w:i/>
          <w:lang w:val="en-US"/>
        </w:rPr>
        <w:t>corporate citizen</w:t>
      </w:r>
      <w:r w:rsidRPr="00BD6503">
        <w:rPr>
          <w:lang w:val="en-US"/>
        </w:rPr>
        <w:t xml:space="preserve"> is now ubiquitous in business studies texts and courses (for example: </w:t>
      </w:r>
      <w:r w:rsidR="00D91C65" w:rsidRPr="00BD6503">
        <w:rPr>
          <w:lang w:val="en-US"/>
        </w:rPr>
        <w:t xml:space="preserve">Alvarez </w:t>
      </w:r>
      <w:r w:rsidR="00D91C65" w:rsidRPr="00CF3106">
        <w:rPr>
          <w:i/>
          <w:lang w:val="en-US"/>
        </w:rPr>
        <w:t>et al.</w:t>
      </w:r>
      <w:r w:rsidR="00D91C65" w:rsidRPr="00BD6503">
        <w:rPr>
          <w:lang w:val="en-US"/>
        </w:rPr>
        <w:t xml:space="preserve"> 2001</w:t>
      </w:r>
      <w:r w:rsidR="00D91C65">
        <w:rPr>
          <w:lang w:val="en-US"/>
        </w:rPr>
        <w:t xml:space="preserve">, </w:t>
      </w:r>
      <w:r w:rsidR="00D91C65" w:rsidRPr="00BD6503">
        <w:rPr>
          <w:lang w:val="en-US"/>
        </w:rPr>
        <w:t>Burchell and Cook 2006</w:t>
      </w:r>
      <w:r w:rsidR="00D91C65">
        <w:rPr>
          <w:lang w:val="en-US"/>
        </w:rPr>
        <w:t>,</w:t>
      </w:r>
      <w:r w:rsidR="00D91C65" w:rsidRPr="00BD6503">
        <w:rPr>
          <w:lang w:val="en-US"/>
        </w:rPr>
        <w:t xml:space="preserve"> Helgesson and M</w:t>
      </w:r>
      <w:r w:rsidR="002B7681">
        <w:rPr>
          <w:lang w:val="en-US"/>
        </w:rPr>
        <w:t>ö</w:t>
      </w:r>
      <w:r w:rsidR="00D91C65" w:rsidRPr="00BD6503">
        <w:rPr>
          <w:lang w:val="en-US"/>
        </w:rPr>
        <w:t>rth 2013</w:t>
      </w:r>
      <w:r w:rsidR="00D91C65">
        <w:rPr>
          <w:lang w:val="en-US"/>
        </w:rPr>
        <w:t xml:space="preserve">, </w:t>
      </w:r>
      <w:r w:rsidRPr="00BD6503">
        <w:rPr>
          <w:lang w:val="en-US"/>
        </w:rPr>
        <w:t xml:space="preserve">Stangis and Valvoda Smith 2017) and awards for the </w:t>
      </w:r>
      <w:r w:rsidR="001F2043">
        <w:rPr>
          <w:lang w:val="en-US"/>
        </w:rPr>
        <w:t>“</w:t>
      </w:r>
      <w:r w:rsidRPr="00BD6503">
        <w:rPr>
          <w:lang w:val="en-US"/>
        </w:rPr>
        <w:t>corporate citizens</w:t>
      </w:r>
      <w:r w:rsidR="001F2043">
        <w:rPr>
          <w:lang w:val="en-US"/>
        </w:rPr>
        <w:t>”</w:t>
      </w:r>
      <w:r w:rsidRPr="00BD6503">
        <w:rPr>
          <w:lang w:val="en-US"/>
        </w:rPr>
        <w:t xml:space="preserve"> of the year are commonplace across trade associations and the business press</w:t>
      </w:r>
      <w:r w:rsidR="00D91C65">
        <w:rPr>
          <w:lang w:val="en-US"/>
        </w:rPr>
        <w:t>.</w:t>
      </w:r>
      <w:r>
        <w:rPr>
          <w:rStyle w:val="FootnoteReference"/>
          <w:sz w:val="22"/>
          <w:szCs w:val="22"/>
        </w:rPr>
        <w:footnoteReference w:id="2"/>
      </w:r>
      <w:r w:rsidR="005A3FD3">
        <w:rPr>
          <w:lang w:val="en-US"/>
        </w:rPr>
        <w:t xml:space="preserve"> </w:t>
      </w:r>
      <w:r w:rsidR="002D1F52">
        <w:rPr>
          <w:lang w:val="en-US"/>
        </w:rPr>
        <w:t>Indeed, t</w:t>
      </w:r>
      <w:r w:rsidRPr="00BD6503">
        <w:rPr>
          <w:lang w:val="en-US"/>
        </w:rPr>
        <w:t>he US Chamber of Commerce has run a high profile Corporate Citizenship Center for over 20 years now.</w:t>
      </w:r>
      <w:r>
        <w:rPr>
          <w:rStyle w:val="FootnoteReference"/>
          <w:sz w:val="22"/>
          <w:szCs w:val="22"/>
        </w:rPr>
        <w:footnoteReference w:id="3"/>
      </w:r>
      <w:r w:rsidRPr="00BD6503">
        <w:rPr>
          <w:lang w:val="en-US"/>
        </w:rPr>
        <w:t xml:space="preserve"> </w:t>
      </w:r>
    </w:p>
    <w:p w14:paraId="261ECEFE" w14:textId="5CFC3B78" w:rsidR="00BD6503" w:rsidRPr="00BD6503" w:rsidRDefault="00BD6503" w:rsidP="00BD6503">
      <w:pPr>
        <w:pStyle w:val="Parrafo"/>
        <w:rPr>
          <w:lang w:val="en-US"/>
        </w:rPr>
      </w:pPr>
      <w:r w:rsidRPr="00BD6503">
        <w:rPr>
          <w:lang w:val="en-US"/>
        </w:rPr>
        <w:t>The concept of the corporate citizen includes a range of different approaches.</w:t>
      </w:r>
      <w:r w:rsidR="005A3FD3">
        <w:rPr>
          <w:lang w:val="en-US"/>
        </w:rPr>
        <w:t xml:space="preserve"> </w:t>
      </w:r>
      <w:r w:rsidRPr="00BD6503">
        <w:rPr>
          <w:lang w:val="en-US"/>
        </w:rPr>
        <w:t xml:space="preserve">In some versions it is claimed that the </w:t>
      </w:r>
      <w:r w:rsidR="001F2043">
        <w:rPr>
          <w:lang w:val="en-US"/>
        </w:rPr>
        <w:t>“</w:t>
      </w:r>
      <w:r w:rsidRPr="00BD6503">
        <w:rPr>
          <w:lang w:val="en-US"/>
        </w:rPr>
        <w:t>good</w:t>
      </w:r>
      <w:r w:rsidR="001F2043">
        <w:rPr>
          <w:lang w:val="en-US"/>
        </w:rPr>
        <w:t>”</w:t>
      </w:r>
      <w:r w:rsidR="00D91C65">
        <w:rPr>
          <w:lang w:val="en-US"/>
        </w:rPr>
        <w:t xml:space="preserve"> </w:t>
      </w:r>
      <w:r w:rsidRPr="00BD6503">
        <w:rPr>
          <w:lang w:val="en-US"/>
        </w:rPr>
        <w:t>corporate citizen can be expected to behave as a model member of a given community in ways that go beyond regulatory standards (</w:t>
      </w:r>
      <w:r w:rsidR="007B0684">
        <w:rPr>
          <w:lang w:val="en-US"/>
        </w:rPr>
        <w:t>Saiia</w:t>
      </w:r>
      <w:r w:rsidR="00D91C65" w:rsidRPr="00BD6503">
        <w:rPr>
          <w:lang w:val="en-US"/>
        </w:rPr>
        <w:t xml:space="preserve"> and Cyphert 2003</w:t>
      </w:r>
      <w:r w:rsidR="00D91C65">
        <w:rPr>
          <w:lang w:val="en-US"/>
        </w:rPr>
        <w:t xml:space="preserve">, </w:t>
      </w:r>
      <w:r w:rsidRPr="00BD6503">
        <w:rPr>
          <w:lang w:val="en-US"/>
        </w:rPr>
        <w:t>Waitzer and Jaswal 2012), and in other versions corporate citizenship is more closely identified with ensuring regulatory compliance (Newman 2013).</w:t>
      </w:r>
      <w:r w:rsidR="005A3FD3">
        <w:rPr>
          <w:lang w:val="en-US"/>
        </w:rPr>
        <w:t xml:space="preserve"> </w:t>
      </w:r>
    </w:p>
    <w:p w14:paraId="06F7AEF5" w14:textId="32EA8516" w:rsidR="00BD6503" w:rsidRPr="00BD6503" w:rsidRDefault="002D1F52" w:rsidP="00BD6503">
      <w:pPr>
        <w:pStyle w:val="Parrafo"/>
        <w:rPr>
          <w:lang w:val="en-US"/>
        </w:rPr>
      </w:pPr>
      <w:proofErr w:type="gramStart"/>
      <w:r>
        <w:rPr>
          <w:lang w:val="en-US"/>
        </w:rPr>
        <w:t>More generally, the</w:t>
      </w:r>
      <w:r w:rsidRPr="00BD6503">
        <w:rPr>
          <w:lang w:val="en-US"/>
        </w:rPr>
        <w:t xml:space="preserve"> </w:t>
      </w:r>
      <w:r w:rsidR="00BD6503" w:rsidRPr="00BD6503">
        <w:rPr>
          <w:lang w:val="en-US"/>
        </w:rPr>
        <w:t xml:space="preserve">concept of </w:t>
      </w:r>
      <w:r w:rsidR="00BD6503" w:rsidRPr="00BD6503">
        <w:rPr>
          <w:i/>
          <w:lang w:val="en-US"/>
        </w:rPr>
        <w:t>citizenship</w:t>
      </w:r>
      <w:r w:rsidR="00BD6503" w:rsidRPr="00BD6503">
        <w:rPr>
          <w:lang w:val="en-US"/>
        </w:rPr>
        <w:t xml:space="preserve"> has been subjected to a sustained critique by political and social scientists, and in particular, by class theorists, Feminists and anti-racists</w:t>
      </w:r>
      <w:proofErr w:type="gramEnd"/>
      <w:r w:rsidR="00BD6503" w:rsidRPr="00BD6503">
        <w:rPr>
          <w:lang w:val="en-US"/>
        </w:rPr>
        <w:t xml:space="preserve"> (Marx 1844</w:t>
      </w:r>
      <w:r w:rsidR="0084300B">
        <w:rPr>
          <w:lang w:val="en-US"/>
        </w:rPr>
        <w:t>/2008</w:t>
      </w:r>
      <w:r w:rsidR="00BD6503" w:rsidRPr="00BD6503">
        <w:rPr>
          <w:lang w:val="en-US"/>
        </w:rPr>
        <w:t>, Mann 19</w:t>
      </w:r>
      <w:r w:rsidR="001D0BBF">
        <w:rPr>
          <w:lang w:val="en-US"/>
        </w:rPr>
        <w:t>87</w:t>
      </w:r>
      <w:r w:rsidR="00BD6503" w:rsidRPr="00BD6503">
        <w:rPr>
          <w:lang w:val="en-US"/>
        </w:rPr>
        <w:t xml:space="preserve"> O</w:t>
      </w:r>
      <w:r w:rsidR="001F2043">
        <w:rPr>
          <w:lang w:val="en-US"/>
        </w:rPr>
        <w:t>’</w:t>
      </w:r>
      <w:r w:rsidR="00BD6503" w:rsidRPr="00BD6503">
        <w:rPr>
          <w:lang w:val="en-US"/>
        </w:rPr>
        <w:t>Conner 1993,</w:t>
      </w:r>
      <w:r w:rsidR="00D91C65">
        <w:rPr>
          <w:lang w:val="en-US"/>
        </w:rPr>
        <w:t xml:space="preserve"> </w:t>
      </w:r>
      <w:r w:rsidR="00D91C65" w:rsidRPr="00BD6503">
        <w:rPr>
          <w:lang w:val="en-US"/>
        </w:rPr>
        <w:t>Yuval-Davis 1997</w:t>
      </w:r>
      <w:r w:rsidR="00D91C65">
        <w:rPr>
          <w:lang w:val="en-US"/>
        </w:rPr>
        <w:t>,</w:t>
      </w:r>
      <w:r w:rsidR="00BD6503" w:rsidRPr="00BD6503">
        <w:rPr>
          <w:lang w:val="en-US"/>
        </w:rPr>
        <w:t xml:space="preserve"> Ong 2006a).</w:t>
      </w:r>
      <w:r w:rsidR="005A3FD3">
        <w:rPr>
          <w:lang w:val="en-US"/>
        </w:rPr>
        <w:t xml:space="preserve"> </w:t>
      </w:r>
      <w:r w:rsidR="00BD6503" w:rsidRPr="00BD6503">
        <w:rPr>
          <w:lang w:val="en-US"/>
        </w:rPr>
        <w:t>In such critiques, citizenship is exposed as contradictory; the key contradiction found in the disjuncture between formal claims that citizens are granted a set of guaranteed rights on one hand, and</w:t>
      </w:r>
      <w:r>
        <w:rPr>
          <w:lang w:val="en-US"/>
        </w:rPr>
        <w:t xml:space="preserve"> on the other hand</w:t>
      </w:r>
      <w:r w:rsidR="00BD6503" w:rsidRPr="00BD6503">
        <w:rPr>
          <w:lang w:val="en-US"/>
        </w:rPr>
        <w:t xml:space="preserve"> the structural features of capitalist, colonial and patriarchal societies that prevent those rights from being realized (Turner 1993).</w:t>
      </w:r>
      <w:r w:rsidR="005A3FD3">
        <w:rPr>
          <w:lang w:val="en-US"/>
        </w:rPr>
        <w:t xml:space="preserve"> </w:t>
      </w:r>
      <w:r w:rsidR="00BD6503" w:rsidRPr="00BD6503">
        <w:rPr>
          <w:lang w:val="en-US"/>
        </w:rPr>
        <w:t>In some versions of this critique, corporations themselves are key in the progressive degradation of citizens</w:t>
      </w:r>
      <w:r w:rsidR="001F2043">
        <w:rPr>
          <w:lang w:val="en-US"/>
        </w:rPr>
        <w:t>’</w:t>
      </w:r>
      <w:r w:rsidR="00BD6503" w:rsidRPr="00BD6503">
        <w:rPr>
          <w:lang w:val="en-US"/>
        </w:rPr>
        <w:t xml:space="preserve"> rights (Bell 2016).</w:t>
      </w:r>
      <w:r w:rsidR="005A3FD3">
        <w:rPr>
          <w:lang w:val="en-US"/>
        </w:rPr>
        <w:t xml:space="preserve"> </w:t>
      </w:r>
      <w:r w:rsidR="00BD6503" w:rsidRPr="00BD6503">
        <w:rPr>
          <w:lang w:val="en-US"/>
        </w:rPr>
        <w:t>Those accounts capture the essence of the contradiction that reveals the impossibility of the liberal ideal of universal rights (Whyte 2013).</w:t>
      </w:r>
      <w:r w:rsidR="005A3FD3">
        <w:rPr>
          <w:lang w:val="en-US"/>
        </w:rPr>
        <w:t xml:space="preserve"> </w:t>
      </w:r>
      <w:r w:rsidR="00BD6503" w:rsidRPr="00BD6503">
        <w:rPr>
          <w:lang w:val="en-US"/>
        </w:rPr>
        <w:t xml:space="preserve">In contrast to those established critiques, this paper will show that when the liberal rights and responsibilities associated with individual citizenship are transposed onto to the corporation, they have the effect of articulating, rather than constricting </w:t>
      </w:r>
      <w:r w:rsidR="001F2043">
        <w:rPr>
          <w:lang w:val="en-US"/>
        </w:rPr>
        <w:t>“</w:t>
      </w:r>
      <w:r w:rsidR="00BD6503" w:rsidRPr="00BD6503">
        <w:rPr>
          <w:lang w:val="en-US"/>
        </w:rPr>
        <w:t>rights</w:t>
      </w:r>
      <w:r w:rsidR="001F2043">
        <w:rPr>
          <w:lang w:val="en-US"/>
        </w:rPr>
        <w:t>”</w:t>
      </w:r>
      <w:r w:rsidR="00BD6503" w:rsidRPr="00BD6503">
        <w:rPr>
          <w:lang w:val="en-US"/>
        </w:rPr>
        <w:t xml:space="preserve">: corporate citizenship is a process of enhancing, rather than restricting </w:t>
      </w:r>
      <w:r>
        <w:rPr>
          <w:lang w:val="en-US"/>
        </w:rPr>
        <w:t xml:space="preserve">the </w:t>
      </w:r>
      <w:r w:rsidR="00BD6503" w:rsidRPr="00BD6503">
        <w:rPr>
          <w:lang w:val="en-US"/>
        </w:rPr>
        <w:t>power</w:t>
      </w:r>
      <w:r>
        <w:rPr>
          <w:lang w:val="en-US"/>
        </w:rPr>
        <w:t xml:space="preserve"> of citizens</w:t>
      </w:r>
      <w:r w:rsidR="00BD6503" w:rsidRPr="00BD6503">
        <w:rPr>
          <w:lang w:val="en-US"/>
        </w:rPr>
        <w:t xml:space="preserve"> </w:t>
      </w:r>
      <w:r w:rsidR="00BD6503" w:rsidRPr="00CF3106">
        <w:rPr>
          <w:i/>
          <w:lang w:val="en-US"/>
        </w:rPr>
        <w:t>vis-à-vis</w:t>
      </w:r>
      <w:r w:rsidR="00BD6503" w:rsidRPr="00BD6503">
        <w:rPr>
          <w:lang w:val="en-US"/>
        </w:rPr>
        <w:t xml:space="preserve"> government. </w:t>
      </w:r>
    </w:p>
    <w:p w14:paraId="3762F033" w14:textId="3A92C9C1" w:rsidR="002D1F52" w:rsidRDefault="00BD6503" w:rsidP="00BD6503">
      <w:pPr>
        <w:pStyle w:val="Parrafo"/>
        <w:rPr>
          <w:lang w:val="en-US"/>
        </w:rPr>
      </w:pPr>
      <w:r w:rsidRPr="00BD6503">
        <w:rPr>
          <w:lang w:val="en-US"/>
        </w:rPr>
        <w:t>The paper applies the</w:t>
      </w:r>
      <w:r w:rsidRPr="00BD6503">
        <w:rPr>
          <w:b/>
          <w:lang w:val="en-US"/>
        </w:rPr>
        <w:t xml:space="preserve"> </w:t>
      </w:r>
      <w:r w:rsidRPr="00BD6503">
        <w:rPr>
          <w:lang w:val="en-US"/>
        </w:rPr>
        <w:t>categories of citizenship that are found in model texts on the constitutional rights and responsibilities of citizens in liberal democracies.</w:t>
      </w:r>
      <w:r w:rsidR="005A3FD3">
        <w:rPr>
          <w:b/>
          <w:lang w:val="en-US"/>
        </w:rPr>
        <w:t xml:space="preserve"> </w:t>
      </w:r>
      <w:r w:rsidRPr="00BD6503">
        <w:rPr>
          <w:lang w:val="en-US"/>
        </w:rPr>
        <w:t xml:space="preserve">At its most basic level, citizenship is envisaged in liberal legal theory as a dualism: </w:t>
      </w:r>
      <w:r w:rsidRPr="00BD6503">
        <w:rPr>
          <w:lang w:val="en-US"/>
        </w:rPr>
        <w:lastRenderedPageBreak/>
        <w:t>implying responsibilities and duties owed to the state; as well as rights guaranteed by the state (Janoski 1998).</w:t>
      </w:r>
      <w:r w:rsidR="005A3FD3">
        <w:rPr>
          <w:lang w:val="en-US"/>
        </w:rPr>
        <w:t xml:space="preserve"> </w:t>
      </w:r>
      <w:r w:rsidRPr="00BD6503">
        <w:rPr>
          <w:lang w:val="en-US"/>
        </w:rPr>
        <w:t xml:space="preserve">This very same liberal dualism of rights and responsibilities has been applied to the </w:t>
      </w:r>
      <w:r w:rsidR="001F2043">
        <w:rPr>
          <w:lang w:val="en-US"/>
        </w:rPr>
        <w:t>“</w:t>
      </w:r>
      <w:r w:rsidRPr="00BD6503">
        <w:rPr>
          <w:lang w:val="en-US"/>
        </w:rPr>
        <w:t>corporate person</w:t>
      </w:r>
      <w:r w:rsidR="001F2043">
        <w:rPr>
          <w:lang w:val="en-US"/>
        </w:rPr>
        <w:t>”</w:t>
      </w:r>
      <w:r w:rsidRPr="00BD6503">
        <w:rPr>
          <w:lang w:val="en-US"/>
        </w:rPr>
        <w:t xml:space="preserve"> in legal theory.</w:t>
      </w:r>
      <w:r w:rsidR="005A3FD3">
        <w:rPr>
          <w:lang w:val="en-US"/>
        </w:rPr>
        <w:t xml:space="preserve"> </w:t>
      </w:r>
      <w:r w:rsidRPr="00BD6503">
        <w:rPr>
          <w:lang w:val="en-US"/>
        </w:rPr>
        <w:t>The 19</w:t>
      </w:r>
      <w:r w:rsidRPr="00BD6503">
        <w:rPr>
          <w:vertAlign w:val="superscript"/>
          <w:lang w:val="en-US"/>
        </w:rPr>
        <w:t>th</w:t>
      </w:r>
      <w:r w:rsidRPr="00BD6503">
        <w:rPr>
          <w:lang w:val="en-US"/>
        </w:rPr>
        <w:t xml:space="preserve"> century legal historian Frederick William Maitland argued that the corporation </w:t>
      </w:r>
      <w:proofErr w:type="gramStart"/>
      <w:r w:rsidRPr="00BD6503">
        <w:rPr>
          <w:lang w:val="en-US"/>
        </w:rPr>
        <w:t>can</w:t>
      </w:r>
      <w:proofErr w:type="gramEnd"/>
      <w:r w:rsidRPr="00BD6503">
        <w:rPr>
          <w:lang w:val="en-US"/>
        </w:rPr>
        <w:t xml:space="preserve"> be regarded in law as a </w:t>
      </w:r>
      <w:r w:rsidR="001F2043">
        <w:rPr>
          <w:lang w:val="en-US"/>
        </w:rPr>
        <w:t>“</w:t>
      </w:r>
      <w:r w:rsidRPr="00BD6503">
        <w:rPr>
          <w:lang w:val="en-US"/>
        </w:rPr>
        <w:t>person</w:t>
      </w:r>
      <w:r w:rsidR="001F2043">
        <w:rPr>
          <w:lang w:val="en-US"/>
        </w:rPr>
        <w:t>”</w:t>
      </w:r>
      <w:r w:rsidRPr="00BD6503">
        <w:rPr>
          <w:lang w:val="en-US"/>
        </w:rPr>
        <w:t xml:space="preserve"> precisely because it is a “right-and-duty-bearing unit</w:t>
      </w:r>
      <w:r w:rsidRPr="00F8630C">
        <w:rPr>
          <w:lang w:val="en-US"/>
        </w:rPr>
        <w:t>” (Fisher 1911, cited in Dewey 1926).</w:t>
      </w:r>
      <w:r w:rsidR="005A3FD3" w:rsidRPr="00F8630C">
        <w:rPr>
          <w:lang w:val="en-US"/>
        </w:rPr>
        <w:t xml:space="preserve"> </w:t>
      </w:r>
    </w:p>
    <w:p w14:paraId="78D613AE" w14:textId="650A76AF" w:rsidR="00BD6503" w:rsidRPr="00E44ED1" w:rsidRDefault="00BD6503" w:rsidP="00E44ED1">
      <w:pPr>
        <w:pStyle w:val="Parrafo"/>
        <w:rPr>
          <w:lang w:val="en-US"/>
        </w:rPr>
      </w:pPr>
      <w:r w:rsidRPr="00F8630C">
        <w:rPr>
          <w:lang w:val="en-US"/>
        </w:rPr>
        <w:t>The</w:t>
      </w:r>
      <w:r w:rsidRPr="00BD6503">
        <w:rPr>
          <w:lang w:val="en-US"/>
        </w:rPr>
        <w:t xml:space="preserve"> paper is not concerned with how corporations claim rights in a broader social or cultural sense, but with how the liberal state enables and empowers corporate citizenship.</w:t>
      </w:r>
      <w:r w:rsidR="005A3FD3">
        <w:rPr>
          <w:lang w:val="en-US"/>
        </w:rPr>
        <w:t xml:space="preserve"> </w:t>
      </w:r>
      <w:r w:rsidRPr="00BD6503">
        <w:rPr>
          <w:lang w:val="en-US"/>
        </w:rPr>
        <w:t>It is for this reason that the structure of the paper follows a liberal conceptual dualism of rights and duties; and it is this dualism that shapes the typology of corporate citizenship that will be set out later in the paper (in Figure 1).</w:t>
      </w:r>
      <w:r w:rsidR="002D1F52">
        <w:rPr>
          <w:lang w:val="en-US"/>
        </w:rPr>
        <w:t xml:space="preserve"> </w:t>
      </w:r>
      <w:r w:rsidRPr="00BD6503">
        <w:rPr>
          <w:lang w:val="en-US"/>
        </w:rPr>
        <w:t xml:space="preserve">In order to illuminate </w:t>
      </w:r>
      <w:r w:rsidR="002D1F52">
        <w:rPr>
          <w:lang w:val="en-US"/>
        </w:rPr>
        <w:t>this process</w:t>
      </w:r>
      <w:r w:rsidRPr="00BD6503">
        <w:rPr>
          <w:lang w:val="en-US"/>
        </w:rPr>
        <w:t>, th</w:t>
      </w:r>
      <w:r w:rsidR="002D1F52">
        <w:rPr>
          <w:lang w:val="en-US"/>
        </w:rPr>
        <w:t>e</w:t>
      </w:r>
      <w:r w:rsidRPr="00BD6503">
        <w:rPr>
          <w:lang w:val="en-US"/>
        </w:rPr>
        <w:t xml:space="preserve"> paper introduces a new figure, </w:t>
      </w:r>
      <w:r w:rsidR="002F4851" w:rsidRPr="00BD6503">
        <w:rPr>
          <w:i/>
          <w:lang w:val="en-US"/>
        </w:rPr>
        <w:t xml:space="preserve">Homo </w:t>
      </w:r>
      <w:r w:rsidRPr="00BD6503">
        <w:rPr>
          <w:i/>
          <w:lang w:val="en-US"/>
        </w:rPr>
        <w:t>supra</w:t>
      </w:r>
      <w:r w:rsidRPr="00BD6503">
        <w:rPr>
          <w:lang w:val="en-US"/>
        </w:rPr>
        <w:t xml:space="preserve"> </w:t>
      </w:r>
      <w:proofErr w:type="gramStart"/>
      <w:r w:rsidRPr="00BD6503">
        <w:rPr>
          <w:lang w:val="en-US"/>
        </w:rPr>
        <w:t>which</w:t>
      </w:r>
      <w:proofErr w:type="gramEnd"/>
      <w:r w:rsidRPr="00BD6503">
        <w:rPr>
          <w:lang w:val="en-US"/>
        </w:rPr>
        <w:t xml:space="preserve"> is based upon an inversion of Giorgio Agamben</w:t>
      </w:r>
      <w:r w:rsidR="001F2043">
        <w:rPr>
          <w:lang w:val="en-US"/>
        </w:rPr>
        <w:t>’</w:t>
      </w:r>
      <w:r w:rsidRPr="00BD6503">
        <w:rPr>
          <w:lang w:val="en-US"/>
        </w:rPr>
        <w:t xml:space="preserve">s (1998) concept of </w:t>
      </w:r>
      <w:r w:rsidR="002F4851" w:rsidRPr="00BD6503">
        <w:rPr>
          <w:i/>
          <w:lang w:val="en-US"/>
        </w:rPr>
        <w:t xml:space="preserve">Homo </w:t>
      </w:r>
      <w:r w:rsidRPr="00BD6503">
        <w:rPr>
          <w:i/>
          <w:lang w:val="en-US"/>
        </w:rPr>
        <w:t>sacer.</w:t>
      </w:r>
      <w:r w:rsidR="005A3FD3">
        <w:rPr>
          <w:i/>
          <w:lang w:val="en-US"/>
        </w:rPr>
        <w:t xml:space="preserve"> </w:t>
      </w:r>
      <w:r w:rsidRPr="00BD6503">
        <w:rPr>
          <w:i/>
          <w:lang w:val="en-US"/>
        </w:rPr>
        <w:t>Homo sacer</w:t>
      </w:r>
      <w:r w:rsidRPr="00BD6503">
        <w:rPr>
          <w:lang w:val="en-US"/>
        </w:rPr>
        <w:t xml:space="preserve"> exists as the paradigmatic sovereign subject that has been stripped of all legal and political rights as a citizen, whereas </w:t>
      </w:r>
      <w:r w:rsidR="002F4851" w:rsidRPr="00BD6503">
        <w:rPr>
          <w:i/>
          <w:lang w:val="en-US"/>
        </w:rPr>
        <w:t xml:space="preserve">Homo </w:t>
      </w:r>
      <w:r w:rsidRPr="00BD6503">
        <w:rPr>
          <w:i/>
          <w:lang w:val="en-US"/>
        </w:rPr>
        <w:t>supra</w:t>
      </w:r>
      <w:r w:rsidRPr="00BD6503">
        <w:rPr>
          <w:lang w:val="en-US"/>
        </w:rPr>
        <w:t xml:space="preserve"> functions as the paradigmatic </w:t>
      </w:r>
      <w:r w:rsidR="001F2043">
        <w:rPr>
          <w:lang w:val="en-US"/>
        </w:rPr>
        <w:t>“</w:t>
      </w:r>
      <w:r w:rsidRPr="00BD6503">
        <w:rPr>
          <w:lang w:val="en-US"/>
        </w:rPr>
        <w:t>supra-sovereign</w:t>
      </w:r>
      <w:r w:rsidR="001F2043">
        <w:rPr>
          <w:lang w:val="en-US"/>
        </w:rPr>
        <w:t>”</w:t>
      </w:r>
      <w:r w:rsidRPr="00BD6503">
        <w:rPr>
          <w:lang w:val="en-US"/>
        </w:rPr>
        <w:t xml:space="preserve"> subject that is empowered to enjoy sovereign protections and rights far-exceeding those that any ordinary citizen could expect.</w:t>
      </w:r>
      <w:r w:rsidR="005A3FD3">
        <w:rPr>
          <w:lang w:val="en-US"/>
        </w:rPr>
        <w:t xml:space="preserve"> </w:t>
      </w:r>
      <w:r w:rsidRPr="00BD6503">
        <w:rPr>
          <w:lang w:val="en-US"/>
        </w:rPr>
        <w:t>The paper thus begins by asking how we might think about the corporate citizen in the context of Agamben</w:t>
      </w:r>
      <w:r w:rsidR="001F2043">
        <w:rPr>
          <w:lang w:val="en-US"/>
        </w:rPr>
        <w:t>’</w:t>
      </w:r>
      <w:r w:rsidRPr="00BD6503">
        <w:rPr>
          <w:lang w:val="en-US"/>
        </w:rPr>
        <w:t>s understanding of the relationship between state power, sovereignty and citizenship.</w:t>
      </w:r>
      <w:r w:rsidR="005A3FD3">
        <w:rPr>
          <w:lang w:val="en-US"/>
        </w:rPr>
        <w:t xml:space="preserve"> </w:t>
      </w:r>
    </w:p>
    <w:p w14:paraId="47BDE5BC" w14:textId="77777777" w:rsidR="00BD6503" w:rsidRPr="00E44ED1" w:rsidRDefault="00E44ED1" w:rsidP="00E44ED1">
      <w:pPr>
        <w:pStyle w:val="Epgrafe1"/>
        <w:rPr>
          <w:lang w:val="en-US"/>
        </w:rPr>
      </w:pPr>
      <w:bookmarkStart w:id="38" w:name="_Toc520452070"/>
      <w:r w:rsidRPr="00E44ED1">
        <w:rPr>
          <w:lang w:val="en-US"/>
        </w:rPr>
        <w:t xml:space="preserve">2. </w:t>
      </w:r>
      <w:r w:rsidR="00BD6503" w:rsidRPr="00E44ED1">
        <w:rPr>
          <w:lang w:val="en-US"/>
        </w:rPr>
        <w:t xml:space="preserve">From </w:t>
      </w:r>
      <w:r w:rsidR="00BD6503" w:rsidRPr="00E44ED1">
        <w:rPr>
          <w:i/>
          <w:lang w:val="en-US"/>
        </w:rPr>
        <w:t xml:space="preserve">Homo </w:t>
      </w:r>
      <w:r w:rsidRPr="00E44ED1">
        <w:rPr>
          <w:i/>
          <w:lang w:val="en-US"/>
        </w:rPr>
        <w:t>sacer</w:t>
      </w:r>
      <w:r w:rsidRPr="00E44ED1">
        <w:rPr>
          <w:lang w:val="en-US"/>
        </w:rPr>
        <w:t xml:space="preserve"> </w:t>
      </w:r>
      <w:r w:rsidR="00BD6503" w:rsidRPr="00E44ED1">
        <w:rPr>
          <w:lang w:val="en-US"/>
        </w:rPr>
        <w:t xml:space="preserve">to </w:t>
      </w:r>
      <w:r w:rsidR="00BD6503" w:rsidRPr="00E44ED1">
        <w:rPr>
          <w:i/>
          <w:lang w:val="en-US"/>
        </w:rPr>
        <w:t xml:space="preserve">Homo </w:t>
      </w:r>
      <w:r w:rsidRPr="00E44ED1">
        <w:rPr>
          <w:i/>
          <w:lang w:val="en-US"/>
        </w:rPr>
        <w:t>supra</w:t>
      </w:r>
      <w:bookmarkEnd w:id="38"/>
    </w:p>
    <w:p w14:paraId="5B2329F2" w14:textId="4297C6B8" w:rsidR="00BD6503" w:rsidRPr="00BD6503" w:rsidRDefault="002D1F52" w:rsidP="00BD6503">
      <w:pPr>
        <w:pStyle w:val="Parrafo"/>
        <w:rPr>
          <w:b/>
          <w:lang w:val="en-US"/>
        </w:rPr>
      </w:pPr>
      <w:r>
        <w:rPr>
          <w:lang w:val="en-US"/>
        </w:rPr>
        <w:t>T</w:t>
      </w:r>
      <w:r w:rsidR="00BD6503" w:rsidRPr="00BD6503">
        <w:rPr>
          <w:lang w:val="en-US"/>
        </w:rPr>
        <w:t xml:space="preserve">he idea that corporations can be understood as </w:t>
      </w:r>
      <w:r w:rsidR="001F2043">
        <w:rPr>
          <w:lang w:val="en-US"/>
        </w:rPr>
        <w:t>“</w:t>
      </w:r>
      <w:r w:rsidR="00BD6503" w:rsidRPr="00BD6503">
        <w:rPr>
          <w:lang w:val="en-US"/>
        </w:rPr>
        <w:t>citizens</w:t>
      </w:r>
      <w:r w:rsidR="001F2043">
        <w:rPr>
          <w:lang w:val="en-US"/>
        </w:rPr>
        <w:t>”</w:t>
      </w:r>
      <w:r w:rsidR="00BD6503" w:rsidRPr="00BD6503">
        <w:rPr>
          <w:lang w:val="en-US"/>
        </w:rPr>
        <w:t xml:space="preserve"> is a counter-intuitive one (Bell 2016); crudely applying the characteristics normally ascribed to </w:t>
      </w:r>
      <w:r w:rsidR="001F2043">
        <w:rPr>
          <w:lang w:val="en-US"/>
        </w:rPr>
        <w:t>“</w:t>
      </w:r>
      <w:r w:rsidR="00BD6503" w:rsidRPr="00BD6503">
        <w:rPr>
          <w:lang w:val="en-US"/>
        </w:rPr>
        <w:t>ordinary citizens</w:t>
      </w:r>
      <w:r w:rsidR="001F2043">
        <w:rPr>
          <w:lang w:val="en-US"/>
        </w:rPr>
        <w:t>”</w:t>
      </w:r>
      <w:r w:rsidR="00BD6503" w:rsidRPr="00BD6503">
        <w:rPr>
          <w:lang w:val="en-US"/>
        </w:rPr>
        <w:t xml:space="preserve"> (real individuals) to an abstract entity (a fictional individual)</w:t>
      </w:r>
      <w:r>
        <w:rPr>
          <w:lang w:val="en-US"/>
        </w:rPr>
        <w:t xml:space="preserve"> makes little sense</w:t>
      </w:r>
      <w:r w:rsidR="00BD6503" w:rsidRPr="00BD6503">
        <w:rPr>
          <w:lang w:val="en-US"/>
        </w:rPr>
        <w:t>.</w:t>
      </w:r>
      <w:r w:rsidR="005A3FD3">
        <w:rPr>
          <w:lang w:val="en-US"/>
        </w:rPr>
        <w:t xml:space="preserve"> </w:t>
      </w:r>
      <w:r w:rsidR="00BD6503" w:rsidRPr="00BD6503">
        <w:rPr>
          <w:lang w:val="en-US"/>
        </w:rPr>
        <w:t xml:space="preserve">Yet, no matter how counter-intuitive the idea of the corporate citizen might seem to its critics, the corporation </w:t>
      </w:r>
      <w:r>
        <w:rPr>
          <w:lang w:val="en-US"/>
        </w:rPr>
        <w:t xml:space="preserve">can be said to </w:t>
      </w:r>
      <w:r w:rsidR="00BD6503" w:rsidRPr="00BD6503">
        <w:rPr>
          <w:lang w:val="en-US"/>
        </w:rPr>
        <w:t xml:space="preserve">correspond closely </w:t>
      </w:r>
      <w:r>
        <w:rPr>
          <w:lang w:val="en-US"/>
        </w:rPr>
        <w:t>to</w:t>
      </w:r>
      <w:r w:rsidRPr="00BD6503">
        <w:rPr>
          <w:lang w:val="en-US"/>
        </w:rPr>
        <w:t xml:space="preserve"> </w:t>
      </w:r>
      <w:r w:rsidR="00BD6503" w:rsidRPr="00BD6503">
        <w:rPr>
          <w:lang w:val="en-US"/>
        </w:rPr>
        <w:t xml:space="preserve">the definitive characteristics of citizenship </w:t>
      </w:r>
      <w:r>
        <w:rPr>
          <w:lang w:val="en-US"/>
        </w:rPr>
        <w:t xml:space="preserve">as </w:t>
      </w:r>
      <w:r w:rsidR="00BD6503" w:rsidRPr="00BD6503">
        <w:rPr>
          <w:lang w:val="en-US"/>
        </w:rPr>
        <w:t>set out in ancient Greece.</w:t>
      </w:r>
      <w:r w:rsidR="005A3FD3">
        <w:rPr>
          <w:lang w:val="en-US"/>
        </w:rPr>
        <w:t xml:space="preserve"> </w:t>
      </w:r>
      <w:r w:rsidR="00BD6503" w:rsidRPr="00BD6503">
        <w:rPr>
          <w:lang w:val="en-US"/>
        </w:rPr>
        <w:t>From an Aristotelian perspective, there are two conditions that required to be met to enable the individual to assume citizenship.</w:t>
      </w:r>
      <w:r w:rsidR="005A3FD3">
        <w:rPr>
          <w:lang w:val="en-US"/>
        </w:rPr>
        <w:t xml:space="preserve"> </w:t>
      </w:r>
      <w:r w:rsidR="00BD6503" w:rsidRPr="00BD6503">
        <w:rPr>
          <w:lang w:val="en-US"/>
        </w:rPr>
        <w:t>The individual becomes a citizen through the possession of things, and through recognition</w:t>
      </w:r>
      <w:r>
        <w:rPr>
          <w:lang w:val="en-US"/>
        </w:rPr>
        <w:t xml:space="preserve"> as a</w:t>
      </w:r>
      <w:r w:rsidR="00BD6503" w:rsidRPr="00BD6503">
        <w:rPr>
          <w:lang w:val="en-US"/>
        </w:rPr>
        <w:t xml:space="preserve"> subject in law (Pocock </w:t>
      </w:r>
      <w:r w:rsidR="00BD6503" w:rsidRPr="00B84F88">
        <w:rPr>
          <w:lang w:val="en-US"/>
        </w:rPr>
        <w:t>199</w:t>
      </w:r>
      <w:r w:rsidR="001D0BBF">
        <w:rPr>
          <w:lang w:val="en-US"/>
        </w:rPr>
        <w:t>2</w:t>
      </w:r>
      <w:r w:rsidR="00BD6503" w:rsidRPr="00BD6503">
        <w:rPr>
          <w:lang w:val="en-US"/>
        </w:rPr>
        <w:t>.</w:t>
      </w:r>
      <w:r w:rsidR="005A3FD3">
        <w:rPr>
          <w:lang w:val="en-US"/>
        </w:rPr>
        <w:t xml:space="preserve"> </w:t>
      </w:r>
      <w:r w:rsidR="00BD6503" w:rsidRPr="00BD6503">
        <w:rPr>
          <w:lang w:val="en-US"/>
        </w:rPr>
        <w:t>The corporation, as a formal owner of property, and recognized as such in law, meets both of those requirements.</w:t>
      </w:r>
      <w:r w:rsidR="005A3FD3">
        <w:rPr>
          <w:b/>
          <w:lang w:val="en-US"/>
        </w:rPr>
        <w:t xml:space="preserve"> </w:t>
      </w:r>
    </w:p>
    <w:p w14:paraId="6F0D2225" w14:textId="27E5A7AA" w:rsidR="00BD6503" w:rsidRPr="00BD6503" w:rsidRDefault="00BD6503" w:rsidP="00BD6503">
      <w:pPr>
        <w:pStyle w:val="Parrafo"/>
        <w:rPr>
          <w:lang w:val="en-US"/>
        </w:rPr>
      </w:pPr>
      <w:r w:rsidRPr="00BD6503">
        <w:rPr>
          <w:lang w:val="en-US"/>
        </w:rPr>
        <w:t xml:space="preserve">As the introduction to the paper has noted, the liberal understanding of citizenship is generally held by its critics to ignore the capacity of various dimensions of power (race, class, gender) to erode rights in practice and to create </w:t>
      </w:r>
      <w:r w:rsidR="001F2043">
        <w:rPr>
          <w:lang w:val="en-US"/>
        </w:rPr>
        <w:t>“</w:t>
      </w:r>
      <w:r w:rsidRPr="00BD6503">
        <w:rPr>
          <w:lang w:val="en-US"/>
        </w:rPr>
        <w:t>citizenship hierarchies</w:t>
      </w:r>
      <w:r w:rsidR="001F2043">
        <w:rPr>
          <w:lang w:val="en-US"/>
        </w:rPr>
        <w:t>”</w:t>
      </w:r>
      <w:r w:rsidR="005A3FD3">
        <w:rPr>
          <w:lang w:val="en-US"/>
        </w:rPr>
        <w:t xml:space="preserve"> </w:t>
      </w:r>
      <w:r w:rsidRPr="00BD6503">
        <w:rPr>
          <w:lang w:val="en-US"/>
        </w:rPr>
        <w:t>(for key examples, see Marshall and Bottomore 1997, Carver 1998</w:t>
      </w:r>
      <w:r w:rsidR="002F4851">
        <w:rPr>
          <w:lang w:val="en-US"/>
        </w:rPr>
        <w:t xml:space="preserve">, </w:t>
      </w:r>
      <w:r w:rsidR="002F4851" w:rsidRPr="00BD6503">
        <w:rPr>
          <w:lang w:val="en-US"/>
        </w:rPr>
        <w:t>Castles 2005</w:t>
      </w:r>
      <w:r w:rsidRPr="00BD6503">
        <w:rPr>
          <w:lang w:val="en-US"/>
        </w:rPr>
        <w:t>).</w:t>
      </w:r>
      <w:r w:rsidR="005A3FD3">
        <w:rPr>
          <w:lang w:val="en-US"/>
        </w:rPr>
        <w:t xml:space="preserve"> </w:t>
      </w:r>
      <w:r w:rsidRPr="00BD6503">
        <w:rPr>
          <w:lang w:val="en-US"/>
        </w:rPr>
        <w:t xml:space="preserve">In so far as the primary focus of this paper is with the way that </w:t>
      </w:r>
      <w:r w:rsidR="001F2043">
        <w:rPr>
          <w:lang w:val="en-US"/>
        </w:rPr>
        <w:t>“</w:t>
      </w:r>
      <w:r w:rsidRPr="00BD6503">
        <w:rPr>
          <w:lang w:val="en-US"/>
        </w:rPr>
        <w:t>citizenship</w:t>
      </w:r>
      <w:r w:rsidR="001F2043">
        <w:rPr>
          <w:lang w:val="en-US"/>
        </w:rPr>
        <w:t>”</w:t>
      </w:r>
      <w:r w:rsidRPr="00BD6503">
        <w:rPr>
          <w:lang w:val="en-US"/>
        </w:rPr>
        <w:t xml:space="preserve"> rights have been ascribed to the corporation, the paper showcases a kind of hyper-hierarchy of citizenship.</w:t>
      </w:r>
      <w:r w:rsidR="005A3FD3">
        <w:rPr>
          <w:lang w:val="en-US"/>
        </w:rPr>
        <w:t xml:space="preserve"> </w:t>
      </w:r>
      <w:r w:rsidRPr="00BD6503">
        <w:rPr>
          <w:lang w:val="en-US"/>
        </w:rPr>
        <w:t>Yet, the point that the paper will develop is not merely that the articulation of corporate citizenship corresponds to a hierarchy of power that already exists.</w:t>
      </w:r>
      <w:r w:rsidR="005A3FD3">
        <w:rPr>
          <w:lang w:val="en-US"/>
        </w:rPr>
        <w:t xml:space="preserve"> </w:t>
      </w:r>
      <w:r w:rsidRPr="00BD6503">
        <w:rPr>
          <w:lang w:val="en-US"/>
        </w:rPr>
        <w:t xml:space="preserve">It does not merely </w:t>
      </w:r>
      <w:r w:rsidR="001F2043">
        <w:rPr>
          <w:lang w:val="en-US"/>
        </w:rPr>
        <w:t>“</w:t>
      </w:r>
      <w:r w:rsidRPr="00BD6503">
        <w:rPr>
          <w:lang w:val="en-US"/>
        </w:rPr>
        <w:t>grant</w:t>
      </w:r>
      <w:r w:rsidR="001F2043">
        <w:rPr>
          <w:lang w:val="en-US"/>
        </w:rPr>
        <w:t>”</w:t>
      </w:r>
      <w:r w:rsidRPr="00BD6503">
        <w:rPr>
          <w:lang w:val="en-US"/>
        </w:rPr>
        <w:t xml:space="preserve"> rights to the citizen corporation as a means of reproducing power.</w:t>
      </w:r>
      <w:r w:rsidR="005A3FD3">
        <w:rPr>
          <w:lang w:val="en-US"/>
        </w:rPr>
        <w:t xml:space="preserve"> </w:t>
      </w:r>
      <w:r w:rsidRPr="00BD6503">
        <w:rPr>
          <w:lang w:val="en-US"/>
        </w:rPr>
        <w:t>Rather, the incorporation of the corporate citizen by the state is itself a form of crafting power.</w:t>
      </w:r>
      <w:r w:rsidR="005A3FD3">
        <w:rPr>
          <w:lang w:val="en-US"/>
        </w:rPr>
        <w:t xml:space="preserve"> </w:t>
      </w:r>
      <w:r w:rsidRPr="00BD6503">
        <w:rPr>
          <w:lang w:val="en-US"/>
        </w:rPr>
        <w:t xml:space="preserve">This process of crafting power is done through the acknowledgment of the corporation as an </w:t>
      </w:r>
      <w:r w:rsidR="001F2043">
        <w:rPr>
          <w:lang w:val="en-US"/>
        </w:rPr>
        <w:t>“</w:t>
      </w:r>
      <w:r w:rsidRPr="00BD6503">
        <w:rPr>
          <w:lang w:val="en-US"/>
        </w:rPr>
        <w:t>exceptional</w:t>
      </w:r>
      <w:r w:rsidR="001F2043">
        <w:rPr>
          <w:lang w:val="en-US"/>
        </w:rPr>
        <w:t>”</w:t>
      </w:r>
      <w:r w:rsidRPr="00BD6503">
        <w:rPr>
          <w:lang w:val="en-US"/>
        </w:rPr>
        <w:t xml:space="preserve"> form of citizen that is empowered through the routine application of </w:t>
      </w:r>
      <w:r w:rsidR="002D1F52">
        <w:rPr>
          <w:lang w:val="en-US"/>
        </w:rPr>
        <w:t xml:space="preserve">exemptions from, and </w:t>
      </w:r>
      <w:r w:rsidRPr="00BD6503">
        <w:rPr>
          <w:lang w:val="en-US"/>
        </w:rPr>
        <w:t>exceptions to</w:t>
      </w:r>
      <w:r w:rsidR="002D1F52">
        <w:rPr>
          <w:lang w:val="en-US"/>
        </w:rPr>
        <w:t>,</w:t>
      </w:r>
      <w:r w:rsidRPr="00BD6503">
        <w:rPr>
          <w:lang w:val="en-US"/>
        </w:rPr>
        <w:t xml:space="preserve"> the normal rule of law.</w:t>
      </w:r>
      <w:r w:rsidR="005A3FD3">
        <w:rPr>
          <w:lang w:val="en-US"/>
        </w:rPr>
        <w:t xml:space="preserve"> </w:t>
      </w:r>
      <w:r w:rsidRPr="00BD6503">
        <w:rPr>
          <w:lang w:val="en-US"/>
        </w:rPr>
        <w:t>In other words, the argument that will be developed in this paper is that the crafting of power by the state is achieved through the imposition of the legal exception, and that this logic applies</w:t>
      </w:r>
      <w:r w:rsidR="002D1F52">
        <w:rPr>
          <w:lang w:val="en-US"/>
        </w:rPr>
        <w:t xml:space="preserve"> to</w:t>
      </w:r>
      <w:r w:rsidRPr="00BD6503">
        <w:rPr>
          <w:lang w:val="en-US"/>
        </w:rPr>
        <w:t xml:space="preserve"> the crafting of state power through corporations, just as it does through governments, military, police or welfare systems (Whyte 2015a).</w:t>
      </w:r>
    </w:p>
    <w:p w14:paraId="65E3E198" w14:textId="1FA9D484" w:rsidR="00BD6503" w:rsidRPr="00BD6503" w:rsidRDefault="00BD6503" w:rsidP="00BD6503">
      <w:pPr>
        <w:pStyle w:val="Parrafo"/>
        <w:rPr>
          <w:lang w:val="en-US"/>
        </w:rPr>
      </w:pPr>
      <w:r w:rsidRPr="00BD6503">
        <w:rPr>
          <w:lang w:val="en-US"/>
        </w:rPr>
        <w:t>Agamben</w:t>
      </w:r>
      <w:r w:rsidR="001B2144">
        <w:rPr>
          <w:lang w:val="en-US"/>
        </w:rPr>
        <w:t>’</w:t>
      </w:r>
      <w:r w:rsidRPr="00BD6503">
        <w:rPr>
          <w:lang w:val="en-US"/>
        </w:rPr>
        <w:t xml:space="preserve">s (2005) analysis of sovereignty and citizenship begins from this same point: sovereign power is established through the imposition of the legal exception, the suspension of the normal state of law, or </w:t>
      </w:r>
      <w:r w:rsidR="001F2043">
        <w:rPr>
          <w:lang w:val="en-US"/>
        </w:rPr>
        <w:t>“</w:t>
      </w:r>
      <w:r w:rsidRPr="00BD6503">
        <w:rPr>
          <w:lang w:val="en-US"/>
        </w:rPr>
        <w:t>state of exception</w:t>
      </w:r>
      <w:r w:rsidR="001F2043">
        <w:rPr>
          <w:lang w:val="en-US"/>
        </w:rPr>
        <w:t>”</w:t>
      </w:r>
      <w:r w:rsidRPr="00BD6503">
        <w:rPr>
          <w:lang w:val="en-US"/>
        </w:rPr>
        <w:t>.</w:t>
      </w:r>
      <w:r w:rsidR="005A3FD3">
        <w:rPr>
          <w:lang w:val="en-US"/>
        </w:rPr>
        <w:t xml:space="preserve"> </w:t>
      </w:r>
      <w:r w:rsidRPr="00BD6503">
        <w:rPr>
          <w:lang w:val="en-US"/>
        </w:rPr>
        <w:t xml:space="preserve">The law can be suspended in </w:t>
      </w:r>
      <w:r w:rsidR="002D1F52">
        <w:rPr>
          <w:lang w:val="en-US"/>
        </w:rPr>
        <w:t xml:space="preserve">terms of the withdrawal of </w:t>
      </w:r>
      <w:r w:rsidRPr="00BD6503">
        <w:rPr>
          <w:lang w:val="en-US"/>
        </w:rPr>
        <w:t xml:space="preserve">citizenship obligations to individuals and </w:t>
      </w:r>
      <w:r w:rsidRPr="00BD6503">
        <w:rPr>
          <w:lang w:val="en-US"/>
        </w:rPr>
        <w:lastRenderedPageBreak/>
        <w:t xml:space="preserve">groups of individuals (the stripping of rights or a particular legal status) or in </w:t>
      </w:r>
      <w:r w:rsidR="002D1F52">
        <w:rPr>
          <w:lang w:val="en-US"/>
        </w:rPr>
        <w:t xml:space="preserve">terms </w:t>
      </w:r>
      <w:r w:rsidRPr="00BD6503">
        <w:rPr>
          <w:lang w:val="en-US"/>
        </w:rPr>
        <w:t xml:space="preserve">of its application to particular jurisdictional spaces (the application of states of emergency in particular nation states, cities or the </w:t>
      </w:r>
      <w:r w:rsidR="001F2043">
        <w:rPr>
          <w:lang w:val="en-US"/>
        </w:rPr>
        <w:t>“</w:t>
      </w:r>
      <w:r w:rsidRPr="00BD6503">
        <w:rPr>
          <w:lang w:val="en-US"/>
        </w:rPr>
        <w:t>camp</w:t>
      </w:r>
      <w:r w:rsidR="001F2043">
        <w:rPr>
          <w:lang w:val="en-US"/>
        </w:rPr>
        <w:t>”</w:t>
      </w:r>
      <w:r w:rsidRPr="00BD6503">
        <w:rPr>
          <w:lang w:val="en-US"/>
        </w:rPr>
        <w:t>).</w:t>
      </w:r>
      <w:r w:rsidR="005A3FD3">
        <w:rPr>
          <w:lang w:val="en-US"/>
        </w:rPr>
        <w:t xml:space="preserve"> </w:t>
      </w:r>
      <w:r w:rsidRPr="00BD6503">
        <w:rPr>
          <w:lang w:val="en-US"/>
        </w:rPr>
        <w:t xml:space="preserve">The stripping of rights through a </w:t>
      </w:r>
      <w:r w:rsidR="001F2043">
        <w:rPr>
          <w:lang w:val="en-US"/>
        </w:rPr>
        <w:t>“</w:t>
      </w:r>
      <w:r w:rsidRPr="00BD6503">
        <w:rPr>
          <w:lang w:val="en-US"/>
        </w:rPr>
        <w:t>sovereign ban</w:t>
      </w:r>
      <w:r w:rsidR="001F2043">
        <w:rPr>
          <w:lang w:val="en-US"/>
        </w:rPr>
        <w:t>”</w:t>
      </w:r>
      <w:r w:rsidRPr="00BD6503">
        <w:rPr>
          <w:lang w:val="en-US"/>
        </w:rPr>
        <w:t xml:space="preserve"> or the suspension of the rule of law in a given territory (as in the case of states of emergency) renders the targets of the state of exception </w:t>
      </w:r>
      <w:r w:rsidR="001F2043">
        <w:rPr>
          <w:lang w:val="en-US"/>
        </w:rPr>
        <w:t>“</w:t>
      </w:r>
      <w:r w:rsidRPr="00BD6503">
        <w:rPr>
          <w:lang w:val="en-US"/>
        </w:rPr>
        <w:t>naked</w:t>
      </w:r>
      <w:r w:rsidR="001F2043">
        <w:rPr>
          <w:lang w:val="en-US"/>
        </w:rPr>
        <w:t>”</w:t>
      </w:r>
      <w:r w:rsidRPr="00BD6503">
        <w:rPr>
          <w:lang w:val="en-US"/>
        </w:rPr>
        <w:t xml:space="preserve"> whereby those who are targeted are stripped of legal protections.</w:t>
      </w:r>
      <w:r w:rsidR="005A3FD3">
        <w:rPr>
          <w:lang w:val="en-US"/>
        </w:rPr>
        <w:t xml:space="preserve"> </w:t>
      </w:r>
      <w:r w:rsidRPr="00BD6503">
        <w:rPr>
          <w:lang w:val="en-US"/>
        </w:rPr>
        <w:t xml:space="preserve">Agamben calls the state of being stripped of legal protection </w:t>
      </w:r>
      <w:r w:rsidR="002F4851">
        <w:rPr>
          <w:lang w:val="en-US"/>
        </w:rPr>
        <w:t>“</w:t>
      </w:r>
      <w:r w:rsidRPr="002F4851">
        <w:rPr>
          <w:i/>
          <w:lang w:val="en-US"/>
        </w:rPr>
        <w:t>nuda vita</w:t>
      </w:r>
      <w:r w:rsidR="002F4851">
        <w:rPr>
          <w:i/>
          <w:lang w:val="en-US"/>
        </w:rPr>
        <w:t>”</w:t>
      </w:r>
      <w:r w:rsidRPr="00BD6503">
        <w:rPr>
          <w:lang w:val="en-US"/>
        </w:rPr>
        <w:t xml:space="preserve"> (</w:t>
      </w:r>
      <w:r w:rsidR="002F4851">
        <w:rPr>
          <w:lang w:val="en-US"/>
        </w:rPr>
        <w:t>“</w:t>
      </w:r>
      <w:r w:rsidRPr="00BD6503">
        <w:rPr>
          <w:lang w:val="en-US"/>
        </w:rPr>
        <w:t>naked</w:t>
      </w:r>
      <w:r w:rsidR="002F4851">
        <w:rPr>
          <w:lang w:val="en-US"/>
        </w:rPr>
        <w:t>”</w:t>
      </w:r>
      <w:r w:rsidRPr="00BD6503">
        <w:rPr>
          <w:lang w:val="en-US"/>
        </w:rPr>
        <w:t xml:space="preserve"> or </w:t>
      </w:r>
      <w:r w:rsidR="002F4851">
        <w:rPr>
          <w:lang w:val="en-US"/>
        </w:rPr>
        <w:t>“</w:t>
      </w:r>
      <w:r w:rsidRPr="00BD6503">
        <w:rPr>
          <w:lang w:val="en-US"/>
        </w:rPr>
        <w:t>bare</w:t>
      </w:r>
      <w:r w:rsidR="002F4851">
        <w:rPr>
          <w:lang w:val="en-US"/>
        </w:rPr>
        <w:t>”</w:t>
      </w:r>
      <w:r w:rsidRPr="00BD6503">
        <w:rPr>
          <w:lang w:val="en-US"/>
        </w:rPr>
        <w:t xml:space="preserve"> life).</w:t>
      </w:r>
      <w:r w:rsidR="005A3FD3">
        <w:rPr>
          <w:lang w:val="en-US"/>
        </w:rPr>
        <w:t xml:space="preserve"> </w:t>
      </w:r>
      <w:proofErr w:type="gramStart"/>
      <w:r w:rsidRPr="00BD6503">
        <w:rPr>
          <w:lang w:val="en-US"/>
        </w:rPr>
        <w:t>To locate his analysis of naked life.</w:t>
      </w:r>
      <w:proofErr w:type="gramEnd"/>
      <w:r w:rsidRPr="00BD6503">
        <w:rPr>
          <w:lang w:val="en-US"/>
        </w:rPr>
        <w:t xml:space="preserve"> Agamben invokes </w:t>
      </w:r>
      <w:r w:rsidR="002F4851" w:rsidRPr="00BD6503">
        <w:rPr>
          <w:i/>
          <w:lang w:val="en-US"/>
        </w:rPr>
        <w:t xml:space="preserve">Homo </w:t>
      </w:r>
      <w:r w:rsidRPr="00BD6503">
        <w:rPr>
          <w:i/>
          <w:lang w:val="en-US"/>
        </w:rPr>
        <w:t xml:space="preserve">sacer, </w:t>
      </w:r>
      <w:r w:rsidRPr="00BD6503">
        <w:rPr>
          <w:lang w:val="en-US"/>
        </w:rPr>
        <w:t>as</w:t>
      </w:r>
      <w:r w:rsidRPr="00BD6503">
        <w:rPr>
          <w:i/>
          <w:lang w:val="en-US"/>
        </w:rPr>
        <w:t xml:space="preserve"> </w:t>
      </w:r>
      <w:r w:rsidRPr="00BD6503">
        <w:rPr>
          <w:lang w:val="en-US"/>
        </w:rPr>
        <w:t xml:space="preserve">the emblematic figure in Roman law, whose residual legal status is eradicated by the </w:t>
      </w:r>
      <w:r w:rsidR="001F2043">
        <w:rPr>
          <w:lang w:val="en-US"/>
        </w:rPr>
        <w:t>“</w:t>
      </w:r>
      <w:r w:rsidRPr="00BD6503">
        <w:rPr>
          <w:lang w:val="en-US"/>
        </w:rPr>
        <w:t>sovereign ban</w:t>
      </w:r>
      <w:r w:rsidR="001F2043">
        <w:rPr>
          <w:lang w:val="en-US"/>
        </w:rPr>
        <w:t>”</w:t>
      </w:r>
      <w:r w:rsidRPr="00BD6503">
        <w:rPr>
          <w:lang w:val="en-US"/>
        </w:rPr>
        <w:t xml:space="preserve"> (Agamben 1998).</w:t>
      </w:r>
      <w:r w:rsidR="005A3FD3">
        <w:rPr>
          <w:lang w:val="en-US"/>
        </w:rPr>
        <w:t xml:space="preserve"> </w:t>
      </w:r>
    </w:p>
    <w:p w14:paraId="40B03B2D" w14:textId="77580E80" w:rsidR="002D1F52" w:rsidRDefault="00BD6503" w:rsidP="00BD6503">
      <w:pPr>
        <w:pStyle w:val="Parrafo"/>
        <w:rPr>
          <w:lang w:val="en-US"/>
        </w:rPr>
      </w:pPr>
      <w:r w:rsidRPr="00BD6503">
        <w:rPr>
          <w:i/>
          <w:lang w:val="en-US"/>
        </w:rPr>
        <w:t>Homo sacer</w:t>
      </w:r>
      <w:r w:rsidRPr="00BD6503">
        <w:rPr>
          <w:lang w:val="en-US"/>
        </w:rPr>
        <w:t xml:space="preserve"> is an enigmatic figure.</w:t>
      </w:r>
      <w:r w:rsidR="005A3FD3">
        <w:rPr>
          <w:lang w:val="en-US"/>
        </w:rPr>
        <w:t xml:space="preserve"> </w:t>
      </w:r>
      <w:r w:rsidRPr="00BD6503">
        <w:rPr>
          <w:lang w:val="en-US"/>
        </w:rPr>
        <w:t xml:space="preserve">The precise meaning of </w:t>
      </w:r>
      <w:r w:rsidR="002F4851" w:rsidRPr="00BD6503">
        <w:rPr>
          <w:i/>
          <w:lang w:val="en-US"/>
        </w:rPr>
        <w:t xml:space="preserve">Homo </w:t>
      </w:r>
      <w:r w:rsidRPr="00BD6503">
        <w:rPr>
          <w:i/>
          <w:lang w:val="en-US"/>
        </w:rPr>
        <w:t>sacer</w:t>
      </w:r>
      <w:r w:rsidRPr="00BD6503">
        <w:rPr>
          <w:lang w:val="en-US"/>
        </w:rPr>
        <w:t xml:space="preserve"> has been ongoing matter of historical controversy, since contained in the concept is a mysterious paradox; </w:t>
      </w:r>
      <w:r w:rsidR="002F4851" w:rsidRPr="00BD6503">
        <w:rPr>
          <w:i/>
          <w:lang w:val="en-US"/>
        </w:rPr>
        <w:t xml:space="preserve">Homo </w:t>
      </w:r>
      <w:r w:rsidRPr="00BD6503">
        <w:rPr>
          <w:i/>
          <w:lang w:val="en-US"/>
        </w:rPr>
        <w:t>sacer</w:t>
      </w:r>
      <w:r w:rsidRPr="00BD6503">
        <w:rPr>
          <w:lang w:val="en-US"/>
        </w:rPr>
        <w:t xml:space="preserve"> is the mortal human individual that cannot be sacrificed, yet at the same time has forfeited the protection of the state to the point that they can be </w:t>
      </w:r>
      <w:r w:rsidRPr="00BD6503">
        <w:rPr>
          <w:i/>
          <w:lang w:val="en-US"/>
        </w:rPr>
        <w:t>killed</w:t>
      </w:r>
      <w:r w:rsidRPr="00BD6503">
        <w:rPr>
          <w:lang w:val="en-US"/>
        </w:rPr>
        <w:t>.</w:t>
      </w:r>
      <w:r w:rsidR="005A3FD3">
        <w:rPr>
          <w:lang w:val="en-US"/>
        </w:rPr>
        <w:t xml:space="preserve"> </w:t>
      </w:r>
      <w:r w:rsidRPr="00BD6503">
        <w:rPr>
          <w:lang w:val="en-US"/>
        </w:rPr>
        <w:t xml:space="preserve">This is because the body of </w:t>
      </w:r>
      <w:r w:rsidR="002F4851" w:rsidRPr="00BD6503">
        <w:rPr>
          <w:i/>
          <w:lang w:val="en-US"/>
        </w:rPr>
        <w:t xml:space="preserve">Homo </w:t>
      </w:r>
      <w:r w:rsidRPr="00BD6503">
        <w:rPr>
          <w:i/>
          <w:lang w:val="en-US"/>
        </w:rPr>
        <w:t>sacer</w:t>
      </w:r>
      <w:r w:rsidRPr="00BD6503">
        <w:rPr>
          <w:lang w:val="en-US"/>
        </w:rPr>
        <w:t xml:space="preserve"> belongs to the gods, not to the political sovereign. So </w:t>
      </w:r>
      <w:r w:rsidR="002F4851" w:rsidRPr="00BD6503">
        <w:rPr>
          <w:i/>
          <w:lang w:val="en-US"/>
        </w:rPr>
        <w:t xml:space="preserve">Homo </w:t>
      </w:r>
      <w:r w:rsidRPr="00BD6503">
        <w:rPr>
          <w:i/>
          <w:lang w:val="en-US"/>
        </w:rPr>
        <w:t>sacer</w:t>
      </w:r>
      <w:r w:rsidRPr="00BD6503">
        <w:rPr>
          <w:lang w:val="en-US"/>
        </w:rPr>
        <w:t xml:space="preserve"> is the figure in Roman law who can be killed with impunity, but who cannot be sacrificed by the sovereign.</w:t>
      </w:r>
      <w:r w:rsidR="005A3FD3">
        <w:rPr>
          <w:lang w:val="en-US"/>
        </w:rPr>
        <w:t xml:space="preserve"> </w:t>
      </w:r>
      <w:r w:rsidRPr="00BD6503">
        <w:rPr>
          <w:lang w:val="en-US"/>
        </w:rPr>
        <w:t xml:space="preserve">Agamben resolves this paradox, or apparently ambiguous status of </w:t>
      </w:r>
      <w:r w:rsidR="002F4851" w:rsidRPr="00BD6503">
        <w:rPr>
          <w:i/>
          <w:lang w:val="en-US"/>
        </w:rPr>
        <w:t xml:space="preserve">Homo </w:t>
      </w:r>
      <w:r w:rsidRPr="00BD6503">
        <w:rPr>
          <w:i/>
          <w:lang w:val="en-US"/>
        </w:rPr>
        <w:t>sacer</w:t>
      </w:r>
      <w:r w:rsidRPr="00BD6503">
        <w:rPr>
          <w:lang w:val="en-US"/>
        </w:rPr>
        <w:t>,</w:t>
      </w:r>
      <w:r w:rsidRPr="00BD6503">
        <w:rPr>
          <w:i/>
          <w:lang w:val="en-US"/>
        </w:rPr>
        <w:t xml:space="preserve"> </w:t>
      </w:r>
      <w:r w:rsidRPr="00BD6503">
        <w:rPr>
          <w:lang w:val="en-US"/>
        </w:rPr>
        <w:t>by arguing that sovereignty is predicated up a process by which human life is taken into a state of exception.</w:t>
      </w:r>
      <w:r w:rsidR="005A3FD3">
        <w:rPr>
          <w:lang w:val="en-US"/>
        </w:rPr>
        <w:t xml:space="preserve"> </w:t>
      </w:r>
      <w:r w:rsidRPr="00BD6503">
        <w:rPr>
          <w:lang w:val="en-US"/>
        </w:rPr>
        <w:t xml:space="preserve">In this state, </w:t>
      </w:r>
      <w:r w:rsidR="002F4851" w:rsidRPr="00BD6503">
        <w:rPr>
          <w:i/>
          <w:lang w:val="en-US"/>
        </w:rPr>
        <w:t xml:space="preserve">Homo </w:t>
      </w:r>
      <w:r w:rsidRPr="00BD6503">
        <w:rPr>
          <w:i/>
          <w:lang w:val="en-US"/>
        </w:rPr>
        <w:t>sacer</w:t>
      </w:r>
      <w:r w:rsidRPr="00BD6503">
        <w:rPr>
          <w:lang w:val="en-US"/>
        </w:rPr>
        <w:t xml:space="preserve"> occupies a “zone of indistinction” between the profane and sacred orders: both included (as subject) and excluded (as object) of the political order (</w:t>
      </w:r>
      <w:r w:rsidR="002F4851">
        <w:rPr>
          <w:lang w:val="en-US"/>
        </w:rPr>
        <w:t>Agamben 1998</w:t>
      </w:r>
      <w:r w:rsidRPr="00BD6503">
        <w:rPr>
          <w:lang w:val="en-US"/>
        </w:rPr>
        <w:t>, 81-85).</w:t>
      </w:r>
      <w:r w:rsidR="005A3FD3">
        <w:rPr>
          <w:lang w:val="en-US"/>
        </w:rPr>
        <w:t xml:space="preserve"> </w:t>
      </w:r>
      <w:r w:rsidRPr="00BD6503">
        <w:rPr>
          <w:lang w:val="en-US"/>
        </w:rPr>
        <w:t xml:space="preserve">The </w:t>
      </w:r>
      <w:r w:rsidR="001F2043">
        <w:rPr>
          <w:lang w:val="en-US"/>
        </w:rPr>
        <w:t>“</w:t>
      </w:r>
      <w:r w:rsidRPr="00BD6503">
        <w:rPr>
          <w:lang w:val="en-US"/>
        </w:rPr>
        <w:t>sacred</w:t>
      </w:r>
      <w:r w:rsidR="001F2043">
        <w:rPr>
          <w:lang w:val="en-US"/>
        </w:rPr>
        <w:t>”</w:t>
      </w:r>
      <w:r w:rsidRPr="00BD6503">
        <w:rPr>
          <w:lang w:val="en-US"/>
        </w:rPr>
        <w:t xml:space="preserve"> nature of </w:t>
      </w:r>
      <w:r w:rsidR="002F4851" w:rsidRPr="00BD6503">
        <w:rPr>
          <w:i/>
          <w:lang w:val="en-US"/>
        </w:rPr>
        <w:t xml:space="preserve">Homo </w:t>
      </w:r>
      <w:r w:rsidRPr="00BD6503">
        <w:rPr>
          <w:i/>
          <w:lang w:val="en-US"/>
        </w:rPr>
        <w:t>sacer</w:t>
      </w:r>
      <w:r w:rsidRPr="00BD6503">
        <w:rPr>
          <w:lang w:val="en-US"/>
        </w:rPr>
        <w:t xml:space="preserve"> is used as an emblematic device by Agamben to explore the basic character of the relationship between the individual and the state.</w:t>
      </w:r>
      <w:r w:rsidR="005A3FD3">
        <w:rPr>
          <w:lang w:val="en-US"/>
        </w:rPr>
        <w:t xml:space="preserve"> </w:t>
      </w:r>
    </w:p>
    <w:p w14:paraId="62923633" w14:textId="46A92F0B" w:rsidR="00BD6503" w:rsidRPr="00BD6503" w:rsidRDefault="00BD6503" w:rsidP="00BD6503">
      <w:pPr>
        <w:pStyle w:val="Parrafo"/>
        <w:rPr>
          <w:lang w:val="en-US"/>
        </w:rPr>
      </w:pPr>
      <w:r w:rsidRPr="00BD6503">
        <w:rPr>
          <w:lang w:val="en-US"/>
        </w:rPr>
        <w:t>Being bare or naked in this context means both being exposed to the violence of the state and being without the protection of the state.</w:t>
      </w:r>
      <w:r w:rsidR="005A3FD3">
        <w:rPr>
          <w:lang w:val="en-US"/>
        </w:rPr>
        <w:t xml:space="preserve"> </w:t>
      </w:r>
      <w:r w:rsidRPr="00BD6503">
        <w:rPr>
          <w:lang w:val="en-US"/>
        </w:rPr>
        <w:t>For Agamben, the articulation between a wholly natural, biological existence (</w:t>
      </w:r>
      <w:r w:rsidRPr="00CF3106">
        <w:rPr>
          <w:i/>
          <w:lang w:val="en-US"/>
        </w:rPr>
        <w:t>zoē</w:t>
      </w:r>
      <w:r w:rsidRPr="00BD6503">
        <w:rPr>
          <w:lang w:val="en-US"/>
        </w:rPr>
        <w:t>) and a politically and legally enabled existence (</w:t>
      </w:r>
      <w:r w:rsidRPr="00CF3106">
        <w:rPr>
          <w:i/>
          <w:lang w:val="en-US"/>
        </w:rPr>
        <w:t>bios</w:t>
      </w:r>
      <w:r w:rsidRPr="00BD6503">
        <w:rPr>
          <w:lang w:val="en-US"/>
        </w:rPr>
        <w:t>) is crucial for understanding the modality of state power.</w:t>
      </w:r>
      <w:r w:rsidR="005A3FD3">
        <w:rPr>
          <w:lang w:val="en-US"/>
        </w:rPr>
        <w:t xml:space="preserve"> </w:t>
      </w:r>
      <w:r w:rsidRPr="00BD6503">
        <w:rPr>
          <w:lang w:val="en-US"/>
        </w:rPr>
        <w:t>The threshold between zoē and bios is where we find naked sovereign power reducible to the power to ascribe legal status on individuals.</w:t>
      </w:r>
      <w:r w:rsidR="005A3FD3">
        <w:rPr>
          <w:lang w:val="en-US"/>
        </w:rPr>
        <w:t xml:space="preserve"> </w:t>
      </w:r>
      <w:r w:rsidRPr="00BD6503">
        <w:rPr>
          <w:lang w:val="en-US"/>
        </w:rPr>
        <w:t xml:space="preserve">Those who are banished in a legal sense </w:t>
      </w:r>
      <w:r w:rsidR="002F4851">
        <w:rPr>
          <w:lang w:val="en-US"/>
        </w:rPr>
        <w:t>–</w:t>
      </w:r>
      <w:r w:rsidRPr="00BD6503">
        <w:rPr>
          <w:lang w:val="en-US"/>
        </w:rPr>
        <w:t xml:space="preserve"> stripped of legal status – also find </w:t>
      </w:r>
      <w:proofErr w:type="gramStart"/>
      <w:r w:rsidRPr="00BD6503">
        <w:rPr>
          <w:lang w:val="en-US"/>
        </w:rPr>
        <w:t>themselves</w:t>
      </w:r>
      <w:proofErr w:type="gramEnd"/>
      <w:r w:rsidRPr="00BD6503">
        <w:rPr>
          <w:lang w:val="en-US"/>
        </w:rPr>
        <w:t xml:space="preserve"> banished from the political community, since being stripped of legal status implies being stripped of civil and political rights.</w:t>
      </w:r>
      <w:r w:rsidR="005A3FD3">
        <w:rPr>
          <w:lang w:val="en-US"/>
        </w:rPr>
        <w:t xml:space="preserve"> </w:t>
      </w:r>
      <w:r w:rsidRPr="00BD6503">
        <w:rPr>
          <w:lang w:val="en-US"/>
        </w:rPr>
        <w:t xml:space="preserve">Thus, for Agamben, it is only by erasing the division between the included </w:t>
      </w:r>
      <w:r w:rsidR="002D1F52">
        <w:rPr>
          <w:lang w:val="en-US"/>
        </w:rPr>
        <w:t xml:space="preserve">and excluded </w:t>
      </w:r>
      <w:r w:rsidRPr="00BD6503">
        <w:rPr>
          <w:lang w:val="en-US"/>
        </w:rPr>
        <w:t>citizens of the political sphere that “we</w:t>
      </w:r>
      <w:r w:rsidR="005A3FD3">
        <w:rPr>
          <w:lang w:val="en-US"/>
        </w:rPr>
        <w:t xml:space="preserve"> </w:t>
      </w:r>
      <w:r w:rsidRPr="00BD6503">
        <w:rPr>
          <w:lang w:val="en-US"/>
        </w:rPr>
        <w:t>can</w:t>
      </w:r>
      <w:r w:rsidR="005A3FD3">
        <w:rPr>
          <w:lang w:val="en-US"/>
        </w:rPr>
        <w:t xml:space="preserve"> </w:t>
      </w:r>
      <w:r w:rsidRPr="00BD6503">
        <w:rPr>
          <w:lang w:val="en-US"/>
        </w:rPr>
        <w:t>restore</w:t>
      </w:r>
      <w:r w:rsidR="005A3FD3">
        <w:rPr>
          <w:lang w:val="en-US"/>
        </w:rPr>
        <w:t xml:space="preserve"> </w:t>
      </w:r>
      <w:r w:rsidRPr="00BD6503">
        <w:rPr>
          <w:lang w:val="en-US"/>
        </w:rPr>
        <w:t>humanity</w:t>
      </w:r>
      <w:r w:rsidR="005A3FD3">
        <w:rPr>
          <w:lang w:val="en-US"/>
        </w:rPr>
        <w:t xml:space="preserve"> </w:t>
      </w:r>
      <w:r w:rsidRPr="00BD6503">
        <w:rPr>
          <w:lang w:val="en-US"/>
        </w:rPr>
        <w:t>to</w:t>
      </w:r>
      <w:r w:rsidR="005A3FD3">
        <w:rPr>
          <w:lang w:val="en-US"/>
        </w:rPr>
        <w:t xml:space="preserve"> </w:t>
      </w:r>
      <w:r w:rsidRPr="00BD6503">
        <w:rPr>
          <w:lang w:val="en-US"/>
        </w:rPr>
        <w:t>the</w:t>
      </w:r>
      <w:r w:rsidR="005A3FD3">
        <w:rPr>
          <w:lang w:val="en-US"/>
        </w:rPr>
        <w:t xml:space="preserve"> </w:t>
      </w:r>
      <w:r w:rsidRPr="00BD6503">
        <w:rPr>
          <w:lang w:val="en-US"/>
        </w:rPr>
        <w:t>globally excluded</w:t>
      </w:r>
      <w:r w:rsidR="005A3FD3">
        <w:rPr>
          <w:lang w:val="en-US"/>
        </w:rPr>
        <w:t xml:space="preserve"> </w:t>
      </w:r>
      <w:r w:rsidRPr="00BD6503">
        <w:rPr>
          <w:lang w:val="en-US"/>
        </w:rPr>
        <w:t>who</w:t>
      </w:r>
      <w:r w:rsidR="005A3FD3">
        <w:rPr>
          <w:lang w:val="en-US"/>
        </w:rPr>
        <w:t xml:space="preserve"> </w:t>
      </w:r>
      <w:r w:rsidRPr="00BD6503">
        <w:rPr>
          <w:lang w:val="en-US"/>
        </w:rPr>
        <w:t>have</w:t>
      </w:r>
      <w:r w:rsidR="005A3FD3">
        <w:rPr>
          <w:lang w:val="en-US"/>
        </w:rPr>
        <w:t xml:space="preserve"> </w:t>
      </w:r>
      <w:r w:rsidRPr="00BD6503">
        <w:rPr>
          <w:lang w:val="en-US"/>
        </w:rPr>
        <w:t>been</w:t>
      </w:r>
      <w:r w:rsidR="005A3FD3">
        <w:rPr>
          <w:lang w:val="en-US"/>
        </w:rPr>
        <w:t xml:space="preserve"> </w:t>
      </w:r>
      <w:r w:rsidRPr="00BD6503">
        <w:rPr>
          <w:lang w:val="en-US"/>
        </w:rPr>
        <w:t>denied</w:t>
      </w:r>
      <w:r w:rsidR="005A3FD3">
        <w:rPr>
          <w:lang w:val="en-US"/>
        </w:rPr>
        <w:t xml:space="preserve"> </w:t>
      </w:r>
      <w:r w:rsidRPr="00BD6503">
        <w:rPr>
          <w:lang w:val="en-US"/>
        </w:rPr>
        <w:t>citizenship” (Ong 2006a, 503)</w:t>
      </w:r>
      <w:r w:rsidR="001B2144">
        <w:rPr>
          <w:lang w:val="en-US"/>
        </w:rPr>
        <w:t>.</w:t>
      </w:r>
    </w:p>
    <w:p w14:paraId="1E361EC4" w14:textId="77777777" w:rsidR="00BD6503" w:rsidRPr="00BD6503" w:rsidRDefault="00BD6503" w:rsidP="00B028D8">
      <w:pPr>
        <w:pStyle w:val="Epgrafe11"/>
        <w:rPr>
          <w:lang w:val="en-US"/>
        </w:rPr>
      </w:pPr>
      <w:bookmarkStart w:id="39" w:name="_Toc520452071"/>
      <w:r w:rsidRPr="00BD6503">
        <w:rPr>
          <w:lang w:val="en-US"/>
        </w:rPr>
        <w:t>2.1</w:t>
      </w:r>
      <w:r w:rsidR="00B028D8">
        <w:rPr>
          <w:lang w:val="en-US"/>
        </w:rPr>
        <w:t>.</w:t>
      </w:r>
      <w:r w:rsidRPr="00BD6503">
        <w:rPr>
          <w:lang w:val="en-US"/>
        </w:rPr>
        <w:t xml:space="preserve"> </w:t>
      </w:r>
      <w:proofErr w:type="gramStart"/>
      <w:r w:rsidRPr="00BD6503">
        <w:rPr>
          <w:lang w:val="en-US"/>
        </w:rPr>
        <w:t>From</w:t>
      </w:r>
      <w:proofErr w:type="gramEnd"/>
      <w:r w:rsidRPr="00BD6503">
        <w:rPr>
          <w:lang w:val="en-US"/>
        </w:rPr>
        <w:t xml:space="preserve"> repressive inclusion to enriched inclusion</w:t>
      </w:r>
      <w:bookmarkEnd w:id="39"/>
    </w:p>
    <w:p w14:paraId="1D470FAF" w14:textId="637E881E" w:rsidR="00BD6503" w:rsidRPr="00BD6503" w:rsidRDefault="00BD6503" w:rsidP="00BD6503">
      <w:pPr>
        <w:pStyle w:val="Parrafo"/>
        <w:rPr>
          <w:lang w:val="en-US"/>
        </w:rPr>
      </w:pPr>
      <w:r w:rsidRPr="00BD6503">
        <w:rPr>
          <w:lang w:val="en-US"/>
        </w:rPr>
        <w:t>Agamben</w:t>
      </w:r>
      <w:r w:rsidR="001F2043">
        <w:rPr>
          <w:lang w:val="en-US"/>
        </w:rPr>
        <w:t>’</w:t>
      </w:r>
      <w:r w:rsidRPr="00BD6503">
        <w:rPr>
          <w:lang w:val="en-US"/>
        </w:rPr>
        <w:t xml:space="preserve">s concept of a state of exception has been criticised for privileging a liberal-juridical understanding of the relationship between the individual and the </w:t>
      </w:r>
      <w:proofErr w:type="gramStart"/>
      <w:r w:rsidRPr="00BD6503">
        <w:rPr>
          <w:lang w:val="en-US"/>
        </w:rPr>
        <w:t>state which</w:t>
      </w:r>
      <w:proofErr w:type="gramEnd"/>
      <w:r w:rsidRPr="00BD6503">
        <w:rPr>
          <w:lang w:val="en-US"/>
        </w:rPr>
        <w:t xml:space="preserve"> lacks socio-economic content.</w:t>
      </w:r>
      <w:r w:rsidR="005A3FD3">
        <w:rPr>
          <w:lang w:val="en-US"/>
        </w:rPr>
        <w:t xml:space="preserve"> </w:t>
      </w:r>
      <w:proofErr w:type="gramStart"/>
      <w:r w:rsidRPr="00BD6503">
        <w:rPr>
          <w:lang w:val="en-US"/>
        </w:rPr>
        <w:t>As Lemke (2005, 11) notes, power is understood by Agamben</w:t>
      </w:r>
      <w:proofErr w:type="gramEnd"/>
      <w:r w:rsidRPr="00BD6503">
        <w:rPr>
          <w:lang w:val="en-US"/>
        </w:rPr>
        <w:t xml:space="preserve"> as residing exclusively in “political instances and state agencies”.</w:t>
      </w:r>
      <w:r w:rsidR="005A3FD3">
        <w:rPr>
          <w:lang w:val="en-US"/>
        </w:rPr>
        <w:t xml:space="preserve"> </w:t>
      </w:r>
      <w:r w:rsidRPr="00BD6503">
        <w:rPr>
          <w:lang w:val="en-US"/>
        </w:rPr>
        <w:t xml:space="preserve">However, this is not to say we </w:t>
      </w:r>
      <w:r w:rsidRPr="00BD6503">
        <w:rPr>
          <w:i/>
          <w:lang w:val="en-US"/>
        </w:rPr>
        <w:t>cannot</w:t>
      </w:r>
      <w:r w:rsidRPr="00BD6503">
        <w:rPr>
          <w:lang w:val="en-US"/>
        </w:rPr>
        <w:t xml:space="preserve"> bring economy into Agamben</w:t>
      </w:r>
      <w:r w:rsidR="001F2043">
        <w:rPr>
          <w:lang w:val="en-US"/>
        </w:rPr>
        <w:t>’</w:t>
      </w:r>
      <w:r w:rsidRPr="00BD6503">
        <w:rPr>
          <w:lang w:val="en-US"/>
        </w:rPr>
        <w:t xml:space="preserve">s basic approach. Elsewhere (Whyte 2009, 2010a, 2015a), I have offered a constructive </w:t>
      </w:r>
      <w:proofErr w:type="gramStart"/>
      <w:r w:rsidRPr="00BD6503">
        <w:rPr>
          <w:lang w:val="en-US"/>
        </w:rPr>
        <w:t>critique which</w:t>
      </w:r>
      <w:proofErr w:type="gramEnd"/>
      <w:r w:rsidRPr="00BD6503">
        <w:rPr>
          <w:lang w:val="en-US"/>
        </w:rPr>
        <w:t xml:space="preserve"> argues that Agamben</w:t>
      </w:r>
      <w:r w:rsidR="001F2043">
        <w:rPr>
          <w:lang w:val="en-US"/>
        </w:rPr>
        <w:t>’</w:t>
      </w:r>
      <w:r w:rsidRPr="00BD6503">
        <w:rPr>
          <w:lang w:val="en-US"/>
        </w:rPr>
        <w:t xml:space="preserve">s approach can be significant for understanding the </w:t>
      </w:r>
      <w:r w:rsidRPr="00BD6503">
        <w:rPr>
          <w:i/>
          <w:lang w:val="en-US"/>
        </w:rPr>
        <w:t>modality</w:t>
      </w:r>
      <w:r w:rsidRPr="00BD6503">
        <w:rPr>
          <w:lang w:val="en-US"/>
        </w:rPr>
        <w:t xml:space="preserve"> of state power</w:t>
      </w:r>
      <w:r w:rsidR="002D1F52">
        <w:rPr>
          <w:lang w:val="en-US"/>
        </w:rPr>
        <w:t>.  This work</w:t>
      </w:r>
      <w:r w:rsidRPr="00BD6503">
        <w:rPr>
          <w:lang w:val="en-US"/>
        </w:rPr>
        <w:t xml:space="preserve"> notes a failure to recognise the principle of economic force that always stands behind this (legal and political) modality of power.</w:t>
      </w:r>
      <w:r w:rsidR="005A3FD3">
        <w:rPr>
          <w:lang w:val="en-US"/>
        </w:rPr>
        <w:t xml:space="preserve"> </w:t>
      </w:r>
      <w:r w:rsidRPr="00BD6503">
        <w:rPr>
          <w:lang w:val="en-US"/>
        </w:rPr>
        <w:t xml:space="preserve">Other scholars </w:t>
      </w:r>
      <w:r w:rsidRPr="00BD6503">
        <w:rPr>
          <w:i/>
          <w:lang w:val="en-US"/>
        </w:rPr>
        <w:t>have</w:t>
      </w:r>
      <w:r w:rsidRPr="00BD6503">
        <w:rPr>
          <w:lang w:val="en-US"/>
        </w:rPr>
        <w:t xml:space="preserve"> used the concept of </w:t>
      </w:r>
      <w:r w:rsidR="001F2043">
        <w:rPr>
          <w:lang w:val="en-US"/>
        </w:rPr>
        <w:t>“</w:t>
      </w:r>
      <w:r w:rsidRPr="00BD6503">
        <w:rPr>
          <w:lang w:val="en-US"/>
        </w:rPr>
        <w:t>state of exception</w:t>
      </w:r>
      <w:r w:rsidR="001F2043">
        <w:rPr>
          <w:lang w:val="en-US"/>
        </w:rPr>
        <w:t>”</w:t>
      </w:r>
      <w:r w:rsidRPr="00BD6503">
        <w:rPr>
          <w:lang w:val="en-US"/>
        </w:rPr>
        <w:t xml:space="preserve"> to illuminate the economic and social oppression in the context of colonial and neo-colonial forms of power (</w:t>
      </w:r>
      <w:r w:rsidR="005377ED" w:rsidRPr="00BD6503">
        <w:rPr>
          <w:lang w:val="en-US"/>
        </w:rPr>
        <w:t>Venator Santiago 2006, Springer 2013</w:t>
      </w:r>
      <w:r w:rsidR="005377ED">
        <w:rPr>
          <w:lang w:val="en-US"/>
        </w:rPr>
        <w:t xml:space="preserve">, </w:t>
      </w:r>
      <w:r w:rsidRPr="00BD6503">
        <w:rPr>
          <w:lang w:val="en-US"/>
        </w:rPr>
        <w:t>Atiles-Osoria 2016), and the global economy more generally (Ong 2006b).</w:t>
      </w:r>
      <w:r w:rsidR="005A3FD3">
        <w:rPr>
          <w:lang w:val="en-US"/>
        </w:rPr>
        <w:t xml:space="preserve"> </w:t>
      </w:r>
      <w:r w:rsidRPr="00BD6503">
        <w:rPr>
          <w:lang w:val="en-US"/>
        </w:rPr>
        <w:t>As this paper will argue, when we introduce the dimension of economic force into the sovereign relationship, we begin to see how the formal basis for citizenship not only represses, but also produces and reinforces the power of the subject.</w:t>
      </w:r>
      <w:r w:rsidR="005A3FD3">
        <w:rPr>
          <w:lang w:val="en-US"/>
        </w:rPr>
        <w:t xml:space="preserve"> </w:t>
      </w:r>
    </w:p>
    <w:p w14:paraId="4A31752E" w14:textId="7552EA9E" w:rsidR="00BD6503" w:rsidRPr="00BD6503" w:rsidRDefault="00BD6503" w:rsidP="00BD6503">
      <w:pPr>
        <w:pStyle w:val="Parrafo"/>
        <w:rPr>
          <w:lang w:val="en-US"/>
        </w:rPr>
      </w:pPr>
      <w:r w:rsidRPr="00BD6503">
        <w:rPr>
          <w:lang w:val="en-US"/>
        </w:rPr>
        <w:lastRenderedPageBreak/>
        <w:t>In this paper, I propose a second point of departure from Agamben as a way of extending his basic approach.</w:t>
      </w:r>
      <w:r w:rsidR="005A3FD3">
        <w:rPr>
          <w:lang w:val="en-US"/>
        </w:rPr>
        <w:t xml:space="preserve"> </w:t>
      </w:r>
      <w:r w:rsidRPr="00BD6503">
        <w:rPr>
          <w:lang w:val="en-US"/>
        </w:rPr>
        <w:t>Agamben</w:t>
      </w:r>
      <w:r w:rsidR="001F2043">
        <w:rPr>
          <w:lang w:val="en-US"/>
        </w:rPr>
        <w:t>’</w:t>
      </w:r>
      <w:r w:rsidRPr="00BD6503">
        <w:rPr>
          <w:lang w:val="en-US"/>
        </w:rPr>
        <w:t>s tendency towards a liberal understanding of the state of exception leads him to view sovereign power in exclusively repressive, controlling, terms.</w:t>
      </w:r>
      <w:r w:rsidR="005A3FD3">
        <w:rPr>
          <w:lang w:val="en-US"/>
        </w:rPr>
        <w:t xml:space="preserve"> </w:t>
      </w:r>
      <w:r w:rsidRPr="00BD6503">
        <w:rPr>
          <w:lang w:val="en-US"/>
        </w:rPr>
        <w:t>As the discussion above notes, for Agamben, state power is made real through a dual process of simultaneous inclusion and exclusion in the juridical order.</w:t>
      </w:r>
      <w:r w:rsidR="005A3FD3">
        <w:rPr>
          <w:lang w:val="en-US"/>
        </w:rPr>
        <w:t xml:space="preserve"> </w:t>
      </w:r>
      <w:r w:rsidRPr="00BD6503">
        <w:rPr>
          <w:lang w:val="en-US"/>
        </w:rPr>
        <w:t xml:space="preserve">This is generally positioned negatively: inclusion is always highly circumscribed and ultimately </w:t>
      </w:r>
      <w:r w:rsidRPr="00BD6503">
        <w:rPr>
          <w:i/>
          <w:lang w:val="en-US"/>
        </w:rPr>
        <w:t>repressive</w:t>
      </w:r>
      <w:r w:rsidRPr="00BD6503">
        <w:rPr>
          <w:lang w:val="en-US"/>
        </w:rPr>
        <w:t>.</w:t>
      </w:r>
      <w:r w:rsidR="005A3FD3">
        <w:rPr>
          <w:lang w:val="en-US"/>
        </w:rPr>
        <w:t xml:space="preserve"> </w:t>
      </w:r>
      <w:r w:rsidRPr="00BD6503">
        <w:rPr>
          <w:lang w:val="en-US"/>
        </w:rPr>
        <w:t>Indeed, he argues that the core structure of political relations itself is found in the sovereign ban: the oscillation between inclusion and exclusion, or being rendered inside and outside the political order.</w:t>
      </w:r>
      <w:r w:rsidR="005A3FD3">
        <w:rPr>
          <w:lang w:val="en-US"/>
        </w:rPr>
        <w:t xml:space="preserve"> </w:t>
      </w:r>
      <w:r w:rsidRPr="00BD6503">
        <w:rPr>
          <w:lang w:val="en-US"/>
        </w:rPr>
        <w:t>Thus, “the fundamental activity of sovereign power is the production of bare life” (Agamben 1998, 117).</w:t>
      </w:r>
    </w:p>
    <w:p w14:paraId="66693FEC" w14:textId="0838DFE9" w:rsidR="00BD6503" w:rsidRPr="00BD6503" w:rsidRDefault="00BD6503" w:rsidP="00BD6503">
      <w:pPr>
        <w:pStyle w:val="Parrafo"/>
        <w:rPr>
          <w:lang w:val="en-US"/>
        </w:rPr>
      </w:pPr>
      <w:r w:rsidRPr="00BD6503">
        <w:rPr>
          <w:lang w:val="en-US"/>
        </w:rPr>
        <w:t>In this sense, Agamben</w:t>
      </w:r>
      <w:r w:rsidR="001F2043">
        <w:rPr>
          <w:lang w:val="en-US"/>
        </w:rPr>
        <w:t>’</w:t>
      </w:r>
      <w:r w:rsidRPr="00BD6503">
        <w:rPr>
          <w:lang w:val="en-US"/>
        </w:rPr>
        <w:t>s ontology of legal power is incomplete.</w:t>
      </w:r>
      <w:r w:rsidR="005A3FD3">
        <w:rPr>
          <w:lang w:val="en-US"/>
        </w:rPr>
        <w:t xml:space="preserve"> </w:t>
      </w:r>
      <w:r w:rsidRPr="00BD6503">
        <w:rPr>
          <w:lang w:val="en-US"/>
        </w:rPr>
        <w:t xml:space="preserve">The production of bare life is not </w:t>
      </w:r>
      <w:r w:rsidR="002D1F52">
        <w:rPr>
          <w:lang w:val="en-US"/>
        </w:rPr>
        <w:t>the law’s</w:t>
      </w:r>
      <w:r w:rsidRPr="00BD6503">
        <w:rPr>
          <w:lang w:val="en-US"/>
        </w:rPr>
        <w:t xml:space="preserve"> most fundamental activity. Law does not merely produce sovereign power in an exclusively repressive sense.</w:t>
      </w:r>
      <w:r w:rsidR="005A3FD3">
        <w:rPr>
          <w:lang w:val="en-US"/>
        </w:rPr>
        <w:t xml:space="preserve"> </w:t>
      </w:r>
      <w:r w:rsidRPr="00BD6503">
        <w:rPr>
          <w:lang w:val="en-US"/>
        </w:rPr>
        <w:t xml:space="preserve">As this paper will show sovereign power also works at the threshold of inclusion/exclusion to produce an exceptional form of </w:t>
      </w:r>
      <w:r w:rsidRPr="00BD6503">
        <w:rPr>
          <w:i/>
          <w:lang w:val="en-US"/>
        </w:rPr>
        <w:t>enriched</w:t>
      </w:r>
      <w:r w:rsidRPr="00BD6503">
        <w:rPr>
          <w:lang w:val="en-US"/>
        </w:rPr>
        <w:t xml:space="preserve"> citizenship status.</w:t>
      </w:r>
      <w:r w:rsidR="005A3FD3">
        <w:rPr>
          <w:lang w:val="en-US"/>
        </w:rPr>
        <w:t xml:space="preserve"> </w:t>
      </w:r>
      <w:r w:rsidRPr="00BD6503">
        <w:rPr>
          <w:lang w:val="en-US"/>
        </w:rPr>
        <w:t>As sovereign power produces bare life, it also produces a legally and politically enriched life.</w:t>
      </w:r>
      <w:r w:rsidR="005A3FD3">
        <w:rPr>
          <w:lang w:val="en-US"/>
        </w:rPr>
        <w:t xml:space="preserve"> </w:t>
      </w:r>
      <w:r w:rsidRPr="00BD6503">
        <w:rPr>
          <w:lang w:val="en-US"/>
        </w:rPr>
        <w:t>Generally, wealth implies the enhancement of rights (for example when the non-domiciled rich citizens of a state are granted tax exemptions, or when rich non-citizens are automatically granted citizenship status by a particular state).</w:t>
      </w:r>
      <w:r w:rsidR="005A3FD3">
        <w:rPr>
          <w:lang w:val="en-US"/>
        </w:rPr>
        <w:t xml:space="preserve"> </w:t>
      </w:r>
      <w:r w:rsidRPr="00BD6503">
        <w:rPr>
          <w:lang w:val="en-US"/>
        </w:rPr>
        <w:t xml:space="preserve">The focus of this paper is not the individual citizen, rich or poor, but is on the rather awkward concept of the </w:t>
      </w:r>
      <w:r w:rsidRPr="00BD6503">
        <w:rPr>
          <w:i/>
          <w:lang w:val="en-US"/>
        </w:rPr>
        <w:t>corporate</w:t>
      </w:r>
      <w:r w:rsidRPr="00BD6503">
        <w:rPr>
          <w:lang w:val="en-US"/>
        </w:rPr>
        <w:t xml:space="preserve"> citizen.</w:t>
      </w:r>
      <w:r w:rsidR="005A3FD3">
        <w:rPr>
          <w:lang w:val="en-US"/>
        </w:rPr>
        <w:t xml:space="preserve"> </w:t>
      </w:r>
      <w:r w:rsidRPr="00BD6503">
        <w:rPr>
          <w:lang w:val="en-US"/>
        </w:rPr>
        <w:t xml:space="preserve">The paper will therefore seek to show that, whereas the process of delineating </w:t>
      </w:r>
      <w:r w:rsidR="005377ED" w:rsidRPr="00BD6503">
        <w:rPr>
          <w:i/>
          <w:lang w:val="en-US"/>
        </w:rPr>
        <w:t xml:space="preserve">Homo </w:t>
      </w:r>
      <w:r w:rsidRPr="00BD6503">
        <w:rPr>
          <w:i/>
          <w:lang w:val="en-US"/>
        </w:rPr>
        <w:t>sacer</w:t>
      </w:r>
      <w:r w:rsidRPr="00BD6503">
        <w:rPr>
          <w:lang w:val="en-US"/>
        </w:rPr>
        <w:t xml:space="preserve"> generally indicates a repressive inclusion into the juridical order, the process of ascribing formal rights to corporate citizens can be understood as a process of </w:t>
      </w:r>
      <w:r w:rsidRPr="00BD6503">
        <w:rPr>
          <w:i/>
          <w:lang w:val="en-US"/>
        </w:rPr>
        <w:t>enriched</w:t>
      </w:r>
      <w:r w:rsidRPr="00BD6503">
        <w:rPr>
          <w:lang w:val="en-US"/>
        </w:rPr>
        <w:t xml:space="preserve"> inclusion.</w:t>
      </w:r>
      <w:r w:rsidR="005A3FD3">
        <w:rPr>
          <w:lang w:val="en-US"/>
        </w:rPr>
        <w:t xml:space="preserve"> </w:t>
      </w:r>
      <w:r w:rsidRPr="00BD6503">
        <w:rPr>
          <w:lang w:val="en-US"/>
        </w:rPr>
        <w:t xml:space="preserve">Indeed, when it comes to the development of legal rules relating to the corporate person, contemporary capitalist states have almost universally enacted an enriched </w:t>
      </w:r>
      <w:r w:rsidR="001F2043">
        <w:rPr>
          <w:lang w:val="en-US"/>
        </w:rPr>
        <w:t>“</w:t>
      </w:r>
      <w:r w:rsidRPr="00BD6503">
        <w:rPr>
          <w:lang w:val="en-US"/>
        </w:rPr>
        <w:t>corporate citizenship</w:t>
      </w:r>
      <w:r w:rsidR="001F2043">
        <w:rPr>
          <w:lang w:val="en-US"/>
        </w:rPr>
        <w:t>”</w:t>
      </w:r>
      <w:r w:rsidRPr="00BD6503">
        <w:rPr>
          <w:lang w:val="en-US"/>
        </w:rPr>
        <w:t>.</w:t>
      </w:r>
      <w:r w:rsidR="005A3FD3">
        <w:rPr>
          <w:lang w:val="en-US"/>
        </w:rPr>
        <w:t xml:space="preserve"> </w:t>
      </w:r>
      <w:r w:rsidRPr="00BD6503">
        <w:rPr>
          <w:lang w:val="en-US"/>
        </w:rPr>
        <w:t xml:space="preserve">I call this enriched form of citizenship </w:t>
      </w:r>
      <w:r w:rsidR="005377ED" w:rsidRPr="00BD6503">
        <w:rPr>
          <w:i/>
          <w:lang w:val="en-US"/>
        </w:rPr>
        <w:t xml:space="preserve">Homo </w:t>
      </w:r>
      <w:r w:rsidRPr="00BD6503">
        <w:rPr>
          <w:i/>
          <w:lang w:val="en-US"/>
        </w:rPr>
        <w:t>supra</w:t>
      </w:r>
      <w:r w:rsidRPr="00BD6503">
        <w:rPr>
          <w:lang w:val="en-US"/>
        </w:rPr>
        <w:t xml:space="preserve">, a term that denotes a particular form of </w:t>
      </w:r>
      <w:r w:rsidR="001F2043">
        <w:rPr>
          <w:lang w:val="en-US"/>
        </w:rPr>
        <w:t>“</w:t>
      </w:r>
      <w:r w:rsidRPr="00BD6503">
        <w:rPr>
          <w:lang w:val="en-US"/>
        </w:rPr>
        <w:t>citizenship</w:t>
      </w:r>
      <w:r w:rsidR="001F2043">
        <w:rPr>
          <w:lang w:val="en-US"/>
        </w:rPr>
        <w:t>”</w:t>
      </w:r>
      <w:r w:rsidRPr="00BD6503">
        <w:rPr>
          <w:lang w:val="en-US"/>
        </w:rPr>
        <w:t>.</w:t>
      </w:r>
    </w:p>
    <w:p w14:paraId="6EC6353F" w14:textId="54F5C318" w:rsidR="00BD6503" w:rsidRPr="00BD6503" w:rsidRDefault="00BD6503" w:rsidP="00BD6503">
      <w:pPr>
        <w:pStyle w:val="Parrafo"/>
        <w:rPr>
          <w:lang w:val="en-US"/>
        </w:rPr>
      </w:pPr>
      <w:r w:rsidRPr="00BD6503">
        <w:rPr>
          <w:lang w:val="en-US"/>
        </w:rPr>
        <w:t>The citizenship privileges that are discussed in this paper are not generally accessible to ordinary citizens, but they tell us a great deal about the limits on ordinary citizenship, and about the consequences of the sovereign/citizen relationship for catalyzing and reproducing power.</w:t>
      </w:r>
      <w:r w:rsidR="005A3FD3">
        <w:rPr>
          <w:lang w:val="en-US"/>
        </w:rPr>
        <w:t xml:space="preserve"> </w:t>
      </w:r>
      <w:r w:rsidRPr="00BD6503">
        <w:rPr>
          <w:lang w:val="en-US"/>
        </w:rPr>
        <w:t xml:space="preserve">This paper will argue that the purpose of creating </w:t>
      </w:r>
      <w:r w:rsidR="005377ED" w:rsidRPr="00BD6503">
        <w:rPr>
          <w:i/>
          <w:lang w:val="en-US"/>
        </w:rPr>
        <w:t xml:space="preserve">Homo </w:t>
      </w:r>
      <w:r w:rsidRPr="00BD6503">
        <w:rPr>
          <w:i/>
          <w:lang w:val="en-US"/>
        </w:rPr>
        <w:t>supra</w:t>
      </w:r>
      <w:r w:rsidR="005A3FD3">
        <w:rPr>
          <w:lang w:val="en-US"/>
        </w:rPr>
        <w:t xml:space="preserve"> </w:t>
      </w:r>
      <w:r w:rsidR="005377ED">
        <w:rPr>
          <w:lang w:val="en-US"/>
        </w:rPr>
        <w:t>–</w:t>
      </w:r>
      <w:r w:rsidRPr="00BD6503">
        <w:rPr>
          <w:lang w:val="en-US"/>
        </w:rPr>
        <w:t xml:space="preserve"> the supra-human citizen </w:t>
      </w:r>
      <w:r w:rsidR="005377ED">
        <w:rPr>
          <w:lang w:val="en-US"/>
        </w:rPr>
        <w:t>–</w:t>
      </w:r>
      <w:r w:rsidRPr="00BD6503">
        <w:rPr>
          <w:lang w:val="en-US"/>
        </w:rPr>
        <w:t xml:space="preserve"> is to reproduce the social domination of a narrow class of real citizens: the owners and shareholders that stand in the shadows of the artificial edifice of the corporation.</w:t>
      </w:r>
      <w:r w:rsidR="005A3FD3">
        <w:rPr>
          <w:lang w:val="en-US"/>
        </w:rPr>
        <w:t xml:space="preserve"> </w:t>
      </w:r>
      <w:r w:rsidRPr="00BD6503">
        <w:rPr>
          <w:lang w:val="en-US"/>
        </w:rPr>
        <w:t xml:space="preserve">The form that corporate citizenship as discussed here, then, is merely an extension </w:t>
      </w:r>
      <w:r w:rsidR="005377ED">
        <w:rPr>
          <w:lang w:val="en-US"/>
        </w:rPr>
        <w:t>–</w:t>
      </w:r>
      <w:r w:rsidRPr="00BD6503">
        <w:rPr>
          <w:lang w:val="en-US"/>
        </w:rPr>
        <w:t xml:space="preserve"> albeit in a highly complex form </w:t>
      </w:r>
      <w:r w:rsidR="005377ED">
        <w:rPr>
          <w:lang w:val="en-US"/>
        </w:rPr>
        <w:t>–</w:t>
      </w:r>
      <w:r w:rsidRPr="00BD6503">
        <w:rPr>
          <w:lang w:val="en-US"/>
        </w:rPr>
        <w:t xml:space="preserve"> of a wider politics of exclusion/inclusion.</w:t>
      </w:r>
    </w:p>
    <w:p w14:paraId="44F59D09" w14:textId="77777777" w:rsidR="00BD6503" w:rsidRPr="00B028D8" w:rsidRDefault="00BD6503" w:rsidP="00B028D8">
      <w:pPr>
        <w:pStyle w:val="Epgrafe1"/>
        <w:rPr>
          <w:lang w:val="en-US"/>
        </w:rPr>
      </w:pPr>
      <w:bookmarkStart w:id="40" w:name="_Toc520452072"/>
      <w:r w:rsidRPr="00B028D8">
        <w:rPr>
          <w:lang w:val="en-US"/>
        </w:rPr>
        <w:t>3</w:t>
      </w:r>
      <w:r w:rsidR="00B028D8" w:rsidRPr="00B028D8">
        <w:rPr>
          <w:lang w:val="en-US"/>
        </w:rPr>
        <w:t xml:space="preserve">. </w:t>
      </w:r>
      <w:r w:rsidRPr="00B028D8">
        <w:rPr>
          <w:lang w:val="en-US"/>
        </w:rPr>
        <w:t>The Duties of the Corporate Citizen</w:t>
      </w:r>
      <w:bookmarkEnd w:id="40"/>
    </w:p>
    <w:p w14:paraId="1D963285" w14:textId="08F2AE89" w:rsidR="00BD6503" w:rsidRPr="00BD6503" w:rsidRDefault="00BD6503" w:rsidP="00BD6503">
      <w:pPr>
        <w:pStyle w:val="Parrafo"/>
        <w:rPr>
          <w:lang w:val="en-US"/>
        </w:rPr>
      </w:pPr>
      <w:r w:rsidRPr="00BD6503">
        <w:rPr>
          <w:lang w:val="en-US"/>
        </w:rPr>
        <w:t>Citizenship as it applies to natural persons, always implies a particular relationship with a sovereign state.</w:t>
      </w:r>
      <w:r w:rsidR="005A3FD3">
        <w:rPr>
          <w:lang w:val="en-US"/>
        </w:rPr>
        <w:t xml:space="preserve"> </w:t>
      </w:r>
      <w:r w:rsidRPr="00BD6503">
        <w:rPr>
          <w:lang w:val="en-US"/>
        </w:rPr>
        <w:t xml:space="preserve">The citizen is a subject of a particular sovereign state, and this standing implies that the citizen is owed </w:t>
      </w:r>
      <w:r w:rsidR="001F2043">
        <w:rPr>
          <w:lang w:val="en-US"/>
        </w:rPr>
        <w:t>“</w:t>
      </w:r>
      <w:r w:rsidRPr="00BD6503">
        <w:rPr>
          <w:lang w:val="en-US"/>
        </w:rPr>
        <w:t>rights</w:t>
      </w:r>
      <w:r w:rsidR="001F2043">
        <w:rPr>
          <w:lang w:val="en-US"/>
        </w:rPr>
        <w:t>”</w:t>
      </w:r>
      <w:r w:rsidRPr="00BD6503">
        <w:rPr>
          <w:lang w:val="en-US"/>
        </w:rPr>
        <w:t xml:space="preserve"> by the state and in turn </w:t>
      </w:r>
      <w:r w:rsidR="001F2043">
        <w:rPr>
          <w:lang w:val="en-US"/>
        </w:rPr>
        <w:t>“</w:t>
      </w:r>
      <w:r w:rsidRPr="00BD6503">
        <w:rPr>
          <w:lang w:val="en-US"/>
        </w:rPr>
        <w:t>owes</w:t>
      </w:r>
      <w:r w:rsidR="001F2043">
        <w:rPr>
          <w:lang w:val="en-US"/>
        </w:rPr>
        <w:t>”</w:t>
      </w:r>
      <w:r w:rsidRPr="00BD6503">
        <w:rPr>
          <w:lang w:val="en-US"/>
        </w:rPr>
        <w:t xml:space="preserve"> the state a set of duties or responsibilities.</w:t>
      </w:r>
      <w:r w:rsidR="005A3FD3">
        <w:rPr>
          <w:lang w:val="en-US"/>
        </w:rPr>
        <w:t xml:space="preserve"> </w:t>
      </w:r>
      <w:r w:rsidRPr="00BD6503">
        <w:rPr>
          <w:lang w:val="en-US"/>
        </w:rPr>
        <w:t>In liberal understandings of the relationship between state and citizen, those rights and duties should apply universally (Rawls 1993). Such rights may include universal suffrage, the right to due process in law, or even rights to minimum provision of services or resources.</w:t>
      </w:r>
      <w:r w:rsidR="005A3FD3">
        <w:rPr>
          <w:lang w:val="en-US"/>
        </w:rPr>
        <w:t xml:space="preserve"> </w:t>
      </w:r>
      <w:r w:rsidRPr="00BD6503">
        <w:rPr>
          <w:lang w:val="en-US"/>
        </w:rPr>
        <w:t xml:space="preserve">Responsibilities may include social contributions through the payment of taxation, or civic obligations such as participation in </w:t>
      </w:r>
      <w:r w:rsidR="002D1F52">
        <w:rPr>
          <w:lang w:val="en-US"/>
        </w:rPr>
        <w:t>n</w:t>
      </w:r>
      <w:r w:rsidRPr="00BD6503">
        <w:rPr>
          <w:lang w:val="en-US"/>
        </w:rPr>
        <w:t>ational service, jury duty and so on.</w:t>
      </w:r>
      <w:r w:rsidR="005A3FD3">
        <w:rPr>
          <w:lang w:val="en-US"/>
        </w:rPr>
        <w:t xml:space="preserve"> </w:t>
      </w:r>
      <w:r w:rsidRPr="00BD6503">
        <w:rPr>
          <w:lang w:val="en-US"/>
        </w:rPr>
        <w:t xml:space="preserve">In a number of leading and definitive sources, citizenship also involves a broader right to civic engagement or social participation (Turner 1986, Prior </w:t>
      </w:r>
      <w:r w:rsidRPr="00CF3106">
        <w:rPr>
          <w:i/>
          <w:lang w:val="en-US"/>
        </w:rPr>
        <w:t>et al.</w:t>
      </w:r>
      <w:r w:rsidRPr="00BD6503">
        <w:rPr>
          <w:lang w:val="en-US"/>
        </w:rPr>
        <w:t xml:space="preserve"> 1995).</w:t>
      </w:r>
      <w:r w:rsidR="005A3FD3">
        <w:rPr>
          <w:lang w:val="en-US"/>
        </w:rPr>
        <w:t xml:space="preserve"> </w:t>
      </w:r>
    </w:p>
    <w:p w14:paraId="261CE066" w14:textId="772E6AB9" w:rsidR="00BD6503" w:rsidRPr="00BD6503" w:rsidRDefault="00BD6503" w:rsidP="00BD6503">
      <w:pPr>
        <w:pStyle w:val="Parrafo"/>
        <w:rPr>
          <w:lang w:val="en-US"/>
        </w:rPr>
      </w:pPr>
      <w:r w:rsidRPr="00BD6503">
        <w:rPr>
          <w:lang w:val="en-US"/>
        </w:rPr>
        <w:t>It is to a discussion of the first of those features of the sovereign relationship that the paper now turns.</w:t>
      </w:r>
      <w:r w:rsidR="005A3FD3">
        <w:rPr>
          <w:lang w:val="en-US"/>
        </w:rPr>
        <w:t xml:space="preserve"> </w:t>
      </w:r>
      <w:r w:rsidRPr="00BD6503">
        <w:rPr>
          <w:lang w:val="en-US"/>
        </w:rPr>
        <w:t xml:space="preserve">This section deals largely with configuration of the formal </w:t>
      </w:r>
      <w:r w:rsidR="001F2043">
        <w:rPr>
          <w:lang w:val="en-US"/>
        </w:rPr>
        <w:t>“</w:t>
      </w:r>
      <w:r w:rsidRPr="00BD6503">
        <w:rPr>
          <w:lang w:val="en-US"/>
        </w:rPr>
        <w:t>duties</w:t>
      </w:r>
      <w:r w:rsidR="001F2043">
        <w:rPr>
          <w:lang w:val="en-US"/>
        </w:rPr>
        <w:t>”</w:t>
      </w:r>
      <w:r w:rsidRPr="00BD6503">
        <w:rPr>
          <w:lang w:val="en-US"/>
        </w:rPr>
        <w:t xml:space="preserve"> of the corporation in law (duties to pay taxes and generally obey the rule of law).</w:t>
      </w:r>
      <w:r w:rsidR="005A3FD3">
        <w:rPr>
          <w:lang w:val="en-US"/>
        </w:rPr>
        <w:t xml:space="preserve"> </w:t>
      </w:r>
      <w:r w:rsidRPr="00BD6503">
        <w:rPr>
          <w:lang w:val="en-US"/>
        </w:rPr>
        <w:t xml:space="preserve">Yet it is crucial to note at this stage that there is a fundamental difference </w:t>
      </w:r>
      <w:r w:rsidRPr="00BD6503">
        <w:rPr>
          <w:lang w:val="en-US"/>
        </w:rPr>
        <w:lastRenderedPageBreak/>
        <w:t>between the formal requirements of law on one hand, and the practical realties of compliance with, and regulation of, those formal requirements on the other hand.</w:t>
      </w:r>
      <w:r w:rsidR="005A3FD3">
        <w:rPr>
          <w:lang w:val="en-US"/>
        </w:rPr>
        <w:t xml:space="preserve"> </w:t>
      </w:r>
      <w:r w:rsidRPr="00BD6503">
        <w:rPr>
          <w:lang w:val="en-US"/>
        </w:rPr>
        <w:t>There are, for example, major problems with the enforcement of corporate taxation requirements across jurisdictions because of major difference in both legal standards and enforcement policies (Clausing 2009, Gravelle 2009).</w:t>
      </w:r>
      <w:r w:rsidR="005A3FD3">
        <w:rPr>
          <w:lang w:val="en-US"/>
        </w:rPr>
        <w:t xml:space="preserve"> </w:t>
      </w:r>
      <w:r w:rsidRPr="00BD6503">
        <w:rPr>
          <w:lang w:val="en-US"/>
        </w:rPr>
        <w:t>Those issues will be returned to in the penultimate section of the paper.</w:t>
      </w:r>
      <w:r w:rsidR="005A3FD3">
        <w:rPr>
          <w:lang w:val="en-US"/>
        </w:rPr>
        <w:t xml:space="preserve"> </w:t>
      </w:r>
      <w:r w:rsidRPr="00BD6503">
        <w:rPr>
          <w:lang w:val="en-US"/>
        </w:rPr>
        <w:t>For the moment, this section of the paper is concerned with the formal duties of the corporate citizen.</w:t>
      </w:r>
    </w:p>
    <w:p w14:paraId="3CD978DB" w14:textId="77777777" w:rsidR="00BD6503" w:rsidRPr="00BD6503" w:rsidRDefault="00B028D8" w:rsidP="00B028D8">
      <w:pPr>
        <w:pStyle w:val="Epgrafe11"/>
        <w:rPr>
          <w:lang w:val="en-US"/>
        </w:rPr>
      </w:pPr>
      <w:bookmarkStart w:id="41" w:name="_Toc520452073"/>
      <w:r>
        <w:rPr>
          <w:lang w:val="en-US"/>
        </w:rPr>
        <w:t xml:space="preserve">3.1. </w:t>
      </w:r>
      <w:r w:rsidR="00BD6503" w:rsidRPr="00BD6503">
        <w:rPr>
          <w:lang w:val="en-US"/>
        </w:rPr>
        <w:t>Duty as a Taxpayer</w:t>
      </w:r>
      <w:bookmarkEnd w:id="41"/>
    </w:p>
    <w:p w14:paraId="7DFE2E31" w14:textId="3EC09092" w:rsidR="00BD6503" w:rsidRPr="00BD6503" w:rsidRDefault="00BD6503" w:rsidP="00BD6503">
      <w:pPr>
        <w:pStyle w:val="Parrafo"/>
        <w:rPr>
          <w:lang w:val="en-US"/>
        </w:rPr>
      </w:pPr>
      <w:r w:rsidRPr="00BD6503">
        <w:rPr>
          <w:lang w:val="en-US"/>
        </w:rPr>
        <w:t xml:space="preserve">Although the term </w:t>
      </w:r>
      <w:r w:rsidRPr="00CF3106">
        <w:rPr>
          <w:i/>
          <w:lang w:val="en-US"/>
        </w:rPr>
        <w:t>corporate citizen</w:t>
      </w:r>
      <w:r w:rsidRPr="00BD6503">
        <w:rPr>
          <w:lang w:val="en-US"/>
        </w:rPr>
        <w:t xml:space="preserve"> began to permeate discussions about the corporation relatively recently, as the introduction to this paper indicates, its roots are much longer.</w:t>
      </w:r>
      <w:r w:rsidR="005A3FD3">
        <w:rPr>
          <w:lang w:val="en-US"/>
        </w:rPr>
        <w:t xml:space="preserve"> </w:t>
      </w:r>
      <w:r w:rsidRPr="00BD6503">
        <w:rPr>
          <w:lang w:val="en-US"/>
        </w:rPr>
        <w:t xml:space="preserve">The origins of the concept can be found in the long historical development of corporate personhood, or the legal recognition of an incorporated organization as a singular </w:t>
      </w:r>
      <w:r w:rsidR="001F2043">
        <w:rPr>
          <w:lang w:val="en-US"/>
        </w:rPr>
        <w:t>“</w:t>
      </w:r>
      <w:r w:rsidRPr="00BD6503">
        <w:rPr>
          <w:lang w:val="en-US"/>
        </w:rPr>
        <w:t>entity</w:t>
      </w:r>
      <w:r w:rsidR="001F2043">
        <w:rPr>
          <w:lang w:val="en-US"/>
        </w:rPr>
        <w:t>”</w:t>
      </w:r>
      <w:r w:rsidRPr="00BD6503">
        <w:rPr>
          <w:lang w:val="en-US"/>
        </w:rPr>
        <w:t xml:space="preserve"> which has an identity and legal status that is formally separate from its associated members or owners.</w:t>
      </w:r>
      <w:r w:rsidR="005A3FD3">
        <w:rPr>
          <w:lang w:val="en-US"/>
        </w:rPr>
        <w:t xml:space="preserve"> </w:t>
      </w:r>
      <w:r w:rsidRPr="00BD6503">
        <w:rPr>
          <w:lang w:val="en-US"/>
        </w:rPr>
        <w:t>It is the formulation of corporate personhood that allowed the corporation to be imagined as having a relationship with the state that implied some form of duty to the state.</w:t>
      </w:r>
      <w:r w:rsidR="005A3FD3">
        <w:rPr>
          <w:lang w:val="en-US"/>
        </w:rPr>
        <w:t xml:space="preserve"> </w:t>
      </w:r>
      <w:r w:rsidRPr="00BD6503">
        <w:rPr>
          <w:lang w:val="en-US"/>
        </w:rPr>
        <w:t xml:space="preserve">One of the early </w:t>
      </w:r>
      <w:r w:rsidR="001F2043">
        <w:rPr>
          <w:lang w:val="en-US"/>
        </w:rPr>
        <w:t>“</w:t>
      </w:r>
      <w:r w:rsidRPr="00BD6503">
        <w:rPr>
          <w:lang w:val="en-US"/>
        </w:rPr>
        <w:t>duties</w:t>
      </w:r>
      <w:r w:rsidR="001F2043">
        <w:rPr>
          <w:lang w:val="en-US"/>
        </w:rPr>
        <w:t>”</w:t>
      </w:r>
      <w:r w:rsidRPr="00BD6503">
        <w:rPr>
          <w:lang w:val="en-US"/>
        </w:rPr>
        <w:t xml:space="preserve"> expected of partners who decided to incorporate an enterprise was that the incorporated entity would be liable to pay taxes on its revenues (Spencer 2004).</w:t>
      </w:r>
      <w:r w:rsidR="005A3FD3">
        <w:rPr>
          <w:lang w:val="en-US"/>
        </w:rPr>
        <w:t xml:space="preserve"> </w:t>
      </w:r>
      <w:r w:rsidRPr="00BD6503">
        <w:rPr>
          <w:lang w:val="en-US"/>
        </w:rPr>
        <w:t>The corporate entity did not pay death duties that would otherwise have been owed by an individual owner or investor</w:t>
      </w:r>
      <w:r w:rsidR="001F2043">
        <w:rPr>
          <w:lang w:val="en-US"/>
        </w:rPr>
        <w:t>’</w:t>
      </w:r>
      <w:r w:rsidRPr="00BD6503">
        <w:rPr>
          <w:lang w:val="en-US"/>
        </w:rPr>
        <w:t>s estate because the corporate citizen never died.</w:t>
      </w:r>
      <w:r w:rsidR="005A3FD3">
        <w:rPr>
          <w:lang w:val="en-US"/>
        </w:rPr>
        <w:t xml:space="preserve"> </w:t>
      </w:r>
      <w:r w:rsidRPr="00BD6503">
        <w:rPr>
          <w:lang w:val="en-US"/>
        </w:rPr>
        <w:t xml:space="preserve">Similarly, if a </w:t>
      </w:r>
      <w:r w:rsidR="001F2043">
        <w:rPr>
          <w:lang w:val="en-US"/>
        </w:rPr>
        <w:t>“</w:t>
      </w:r>
      <w:r w:rsidRPr="00BD6503">
        <w:rPr>
          <w:lang w:val="en-US"/>
        </w:rPr>
        <w:t>partner</w:t>
      </w:r>
      <w:r w:rsidR="001F2043">
        <w:rPr>
          <w:lang w:val="en-US"/>
        </w:rPr>
        <w:t>”</w:t>
      </w:r>
      <w:r w:rsidRPr="00BD6503">
        <w:rPr>
          <w:lang w:val="en-US"/>
        </w:rPr>
        <w:t xml:space="preserve"> or </w:t>
      </w:r>
      <w:r w:rsidR="001F2043">
        <w:rPr>
          <w:lang w:val="en-US"/>
        </w:rPr>
        <w:t>“</w:t>
      </w:r>
      <w:r w:rsidRPr="00BD6503">
        <w:rPr>
          <w:lang w:val="en-US"/>
        </w:rPr>
        <w:t>shareholder</w:t>
      </w:r>
      <w:r w:rsidR="001F2043">
        <w:rPr>
          <w:lang w:val="en-US"/>
        </w:rPr>
        <w:t>”</w:t>
      </w:r>
      <w:r w:rsidRPr="00BD6503">
        <w:rPr>
          <w:lang w:val="en-US"/>
        </w:rPr>
        <w:t xml:space="preserve"> became bankrupt, the entity</w:t>
      </w:r>
      <w:r w:rsidR="001F2043">
        <w:rPr>
          <w:lang w:val="en-US"/>
        </w:rPr>
        <w:t>’</w:t>
      </w:r>
      <w:r w:rsidRPr="00BD6503">
        <w:rPr>
          <w:lang w:val="en-US"/>
        </w:rPr>
        <w:t xml:space="preserve">s assets could not be used to pay the debts as the assets belonged to the entity rather than the individual shareholder. Of course, the corollary of this advantage was that corporate </w:t>
      </w:r>
      <w:proofErr w:type="gramStart"/>
      <w:r w:rsidRPr="00BD6503">
        <w:rPr>
          <w:lang w:val="en-US"/>
        </w:rPr>
        <w:t>itself</w:t>
      </w:r>
      <w:proofErr w:type="gramEnd"/>
      <w:r w:rsidRPr="00BD6503">
        <w:rPr>
          <w:lang w:val="en-US"/>
        </w:rPr>
        <w:t xml:space="preserve"> became liable to pay tax on its revenue, though in some tax systems, this came relatively late (in the US</w:t>
      </w:r>
      <w:r w:rsidR="002D1F52">
        <w:rPr>
          <w:lang w:val="en-US"/>
        </w:rPr>
        <w:t xml:space="preserve"> for example</w:t>
      </w:r>
      <w:r w:rsidRPr="00BD6503">
        <w:rPr>
          <w:lang w:val="en-US"/>
        </w:rPr>
        <w:t>, corporation tax was outlawed until the early 20</w:t>
      </w:r>
      <w:r w:rsidRPr="00BD6503">
        <w:rPr>
          <w:vertAlign w:val="superscript"/>
          <w:lang w:val="en-US"/>
        </w:rPr>
        <w:t>th</w:t>
      </w:r>
      <w:r w:rsidRPr="00BD6503">
        <w:rPr>
          <w:lang w:val="en-US"/>
        </w:rPr>
        <w:t xml:space="preserve"> century).</w:t>
      </w:r>
      <w:r w:rsidRPr="00BD6503">
        <w:rPr>
          <w:b/>
          <w:lang w:val="en-US"/>
        </w:rPr>
        <w:t xml:space="preserve"> </w:t>
      </w:r>
    </w:p>
    <w:p w14:paraId="7C770016" w14:textId="77777777" w:rsidR="002D1F52" w:rsidRDefault="00BD6503" w:rsidP="00BD6503">
      <w:pPr>
        <w:pStyle w:val="Parrafo"/>
        <w:rPr>
          <w:lang w:val="en-US"/>
        </w:rPr>
      </w:pPr>
      <w:r w:rsidRPr="00BD6503">
        <w:rPr>
          <w:lang w:val="en-US"/>
        </w:rPr>
        <w:t xml:space="preserve">Until the </w:t>
      </w:r>
      <w:r w:rsidR="005377ED" w:rsidRPr="00BD6503">
        <w:rPr>
          <w:lang w:val="en-US"/>
        </w:rPr>
        <w:t>mid-20</w:t>
      </w:r>
      <w:r w:rsidR="005377ED" w:rsidRPr="00BD6503">
        <w:rPr>
          <w:vertAlign w:val="superscript"/>
          <w:lang w:val="en-US"/>
        </w:rPr>
        <w:t>th</w:t>
      </w:r>
      <w:r w:rsidRPr="00BD6503">
        <w:rPr>
          <w:lang w:val="en-US"/>
        </w:rPr>
        <w:t xml:space="preserve"> century, corporation tax in many jurisdictions, including the UK and the US, was </w:t>
      </w:r>
      <w:proofErr w:type="gramStart"/>
      <w:r w:rsidRPr="00BD6503">
        <w:rPr>
          <w:lang w:val="en-US"/>
        </w:rPr>
        <w:t>at a similar or higher rates</w:t>
      </w:r>
      <w:proofErr w:type="gramEnd"/>
      <w:r w:rsidRPr="00BD6503">
        <w:rPr>
          <w:lang w:val="en-US"/>
        </w:rPr>
        <w:t xml:space="preserve"> than individual income tax (Patton 2015).</w:t>
      </w:r>
      <w:r w:rsidR="005A3FD3">
        <w:rPr>
          <w:lang w:val="en-US"/>
        </w:rPr>
        <w:t xml:space="preserve"> </w:t>
      </w:r>
      <w:r w:rsidRPr="00BD6503">
        <w:rPr>
          <w:lang w:val="en-US"/>
        </w:rPr>
        <w:t>A further point of divergence in systems of corporate taxation is that individual shareholders are additionally taxed on income derived from share dividends.</w:t>
      </w:r>
      <w:r w:rsidR="005A3FD3">
        <w:rPr>
          <w:lang w:val="en-US"/>
        </w:rPr>
        <w:t xml:space="preserve"> </w:t>
      </w:r>
      <w:r w:rsidRPr="00BD6503">
        <w:rPr>
          <w:lang w:val="en-US"/>
        </w:rPr>
        <w:t xml:space="preserve">This practice that its critics call </w:t>
      </w:r>
      <w:r w:rsidR="005377ED">
        <w:rPr>
          <w:lang w:val="en-US"/>
        </w:rPr>
        <w:t>“</w:t>
      </w:r>
      <w:r w:rsidRPr="00BD6503">
        <w:rPr>
          <w:lang w:val="en-US"/>
        </w:rPr>
        <w:t>double taxation</w:t>
      </w:r>
      <w:r w:rsidR="005377ED">
        <w:rPr>
          <w:lang w:val="en-US"/>
        </w:rPr>
        <w:t>”</w:t>
      </w:r>
      <w:r w:rsidRPr="00BD6503">
        <w:rPr>
          <w:lang w:val="en-US"/>
        </w:rPr>
        <w:t xml:space="preserve"> (Arlen and Weiss 1995) presents us with a rare scenario.</w:t>
      </w:r>
      <w:r w:rsidR="005A3FD3">
        <w:rPr>
          <w:lang w:val="en-US"/>
        </w:rPr>
        <w:t xml:space="preserve"> </w:t>
      </w:r>
    </w:p>
    <w:p w14:paraId="1B3EF654" w14:textId="144FEEBC" w:rsidR="00BD6503" w:rsidRPr="00BD6503" w:rsidRDefault="00BD6503" w:rsidP="00BD6503">
      <w:pPr>
        <w:pStyle w:val="Parrafo"/>
        <w:rPr>
          <w:b/>
          <w:lang w:val="en-US"/>
        </w:rPr>
      </w:pPr>
      <w:r w:rsidRPr="00BD6503">
        <w:rPr>
          <w:lang w:val="en-US"/>
        </w:rPr>
        <w:t>The corporation is generally not exposed to policies that apply simultaneously to it</w:t>
      </w:r>
      <w:r w:rsidR="002D1F52">
        <w:rPr>
          <w:lang w:val="en-US"/>
        </w:rPr>
        <w:t xml:space="preserve"> as an entity </w:t>
      </w:r>
      <w:r w:rsidR="002D1F52" w:rsidRPr="002D1F52">
        <w:rPr>
          <w:i/>
          <w:lang w:val="en-US"/>
        </w:rPr>
        <w:t>and</w:t>
      </w:r>
      <w:r w:rsidR="002D1F52">
        <w:rPr>
          <w:lang w:val="en-US"/>
        </w:rPr>
        <w:t xml:space="preserve"> separately</w:t>
      </w:r>
      <w:r w:rsidRPr="00BD6503">
        <w:rPr>
          <w:lang w:val="en-US"/>
        </w:rPr>
        <w:t xml:space="preserve"> to its members.</w:t>
      </w:r>
      <w:r w:rsidR="005A3FD3">
        <w:rPr>
          <w:lang w:val="en-US"/>
        </w:rPr>
        <w:t xml:space="preserve"> </w:t>
      </w:r>
      <w:r w:rsidRPr="00BD6503">
        <w:rPr>
          <w:lang w:val="en-US"/>
        </w:rPr>
        <w:t>Indeed, as the rest of the paper will demonstrate, corporate citizenship</w:t>
      </w:r>
      <w:r w:rsidR="002D1F52">
        <w:rPr>
          <w:lang w:val="en-US"/>
        </w:rPr>
        <w:t xml:space="preserve"> is established precisely on this basis: </w:t>
      </w:r>
      <w:r w:rsidRPr="00BD6503">
        <w:rPr>
          <w:lang w:val="en-US"/>
        </w:rPr>
        <w:t xml:space="preserve"> </w:t>
      </w:r>
      <w:r w:rsidR="002D1F52">
        <w:rPr>
          <w:lang w:val="en-US"/>
        </w:rPr>
        <w:t>to ensure that the corporation, not</w:t>
      </w:r>
      <w:r w:rsidR="002D1F52" w:rsidRPr="00BD6503">
        <w:rPr>
          <w:lang w:val="en-US"/>
        </w:rPr>
        <w:t xml:space="preserve"> </w:t>
      </w:r>
      <w:r w:rsidR="002D1F52">
        <w:rPr>
          <w:lang w:val="en-US"/>
        </w:rPr>
        <w:t>the</w:t>
      </w:r>
      <w:r w:rsidR="002D1F52" w:rsidRPr="00BD6503">
        <w:rPr>
          <w:lang w:val="en-US"/>
        </w:rPr>
        <w:t xml:space="preserve"> </w:t>
      </w:r>
      <w:r w:rsidRPr="00BD6503">
        <w:rPr>
          <w:lang w:val="en-US"/>
        </w:rPr>
        <w:t>owners and shareholders</w:t>
      </w:r>
      <w:r w:rsidR="002D1F52">
        <w:rPr>
          <w:lang w:val="en-US"/>
        </w:rPr>
        <w:t xml:space="preserve"> is made solely responsible for </w:t>
      </w:r>
      <w:r w:rsidR="008D3350">
        <w:rPr>
          <w:lang w:val="en-US"/>
        </w:rPr>
        <w:t>complying with</w:t>
      </w:r>
      <w:r w:rsidR="002D1F52">
        <w:rPr>
          <w:lang w:val="en-US"/>
        </w:rPr>
        <w:t xml:space="preserve"> its duties to the state.</w:t>
      </w:r>
    </w:p>
    <w:p w14:paraId="597CB6FA" w14:textId="685318E2" w:rsidR="00BD6503" w:rsidRPr="00BD6503" w:rsidRDefault="00BD6503" w:rsidP="00BD6503">
      <w:pPr>
        <w:pStyle w:val="Parrafo"/>
        <w:rPr>
          <w:b/>
          <w:lang w:val="en-US"/>
        </w:rPr>
      </w:pPr>
      <w:r w:rsidRPr="00BD6503">
        <w:rPr>
          <w:lang w:val="en-US"/>
        </w:rPr>
        <w:t>On the surface, then, a tax system that ensures both shareholder income and corporate income are taxed may appear to be doubly punitive.</w:t>
      </w:r>
      <w:r w:rsidR="005A3FD3">
        <w:rPr>
          <w:lang w:val="en-US"/>
        </w:rPr>
        <w:t xml:space="preserve"> </w:t>
      </w:r>
      <w:r w:rsidRPr="00BD6503">
        <w:rPr>
          <w:lang w:val="en-US"/>
        </w:rPr>
        <w:t>However, there are a number of caveats to be made here.</w:t>
      </w:r>
      <w:r w:rsidR="005A3FD3">
        <w:rPr>
          <w:lang w:val="en-US"/>
        </w:rPr>
        <w:t xml:space="preserve"> </w:t>
      </w:r>
      <w:r w:rsidRPr="00BD6503">
        <w:rPr>
          <w:lang w:val="en-US"/>
        </w:rPr>
        <w:t>First, In the 1980s, the burden of taxes on profits began to diminish rapidly as rates of corporation tax fell across most jurisdictions (McGrattan and Presco</w:t>
      </w:r>
      <w:r w:rsidR="005377ED">
        <w:rPr>
          <w:lang w:val="en-US"/>
        </w:rPr>
        <w:t>t</w:t>
      </w:r>
      <w:r w:rsidRPr="00BD6503">
        <w:rPr>
          <w:lang w:val="en-US"/>
        </w:rPr>
        <w:t xml:space="preserve">t 2005). In many jurisdictions, both corporation tax and taxes levied on shareholding earnings are substantially lower than the standard rates of individual income tax. In the UK for example, shareholders are allocated a </w:t>
      </w:r>
      <w:r w:rsidR="001F2043">
        <w:rPr>
          <w:lang w:val="en-US"/>
        </w:rPr>
        <w:t>“</w:t>
      </w:r>
      <w:r w:rsidRPr="00BD6503">
        <w:rPr>
          <w:lang w:val="en-US"/>
        </w:rPr>
        <w:t>dividend</w:t>
      </w:r>
      <w:r w:rsidR="001F2043">
        <w:rPr>
          <w:lang w:val="en-US"/>
        </w:rPr>
        <w:t>”</w:t>
      </w:r>
      <w:r w:rsidRPr="00BD6503">
        <w:rPr>
          <w:lang w:val="en-US"/>
        </w:rPr>
        <w:t xml:space="preserve"> allowance which is levied at a level significantly lower than both the basic and higher rates of income tax that apply to other income.</w:t>
      </w:r>
      <w:r w:rsidR="005A3FD3">
        <w:rPr>
          <w:lang w:val="en-US"/>
        </w:rPr>
        <w:t xml:space="preserve"> </w:t>
      </w:r>
      <w:r w:rsidRPr="00BD6503">
        <w:rPr>
          <w:lang w:val="en-US"/>
        </w:rPr>
        <w:t xml:space="preserve">Second, corporation tax in many jurisdictions is highly complex, overlaid by a system of exemptions that enable corporations to significantly </w:t>
      </w:r>
      <w:r w:rsidR="008D3350">
        <w:rPr>
          <w:lang w:val="en-US"/>
        </w:rPr>
        <w:t>reduce</w:t>
      </w:r>
      <w:r w:rsidR="008D3350" w:rsidRPr="00BD6503">
        <w:rPr>
          <w:lang w:val="en-US"/>
        </w:rPr>
        <w:t xml:space="preserve"> </w:t>
      </w:r>
      <w:r w:rsidR="008D3350">
        <w:rPr>
          <w:lang w:val="en-US"/>
        </w:rPr>
        <w:t>their tax bill</w:t>
      </w:r>
      <w:r w:rsidRPr="00BD6503">
        <w:rPr>
          <w:lang w:val="en-US"/>
        </w:rPr>
        <w:t>, depending upon the size of the firm, the sector and so on (Slemrod 2004).</w:t>
      </w:r>
      <w:r w:rsidR="005A3FD3">
        <w:rPr>
          <w:lang w:val="en-US"/>
        </w:rPr>
        <w:t xml:space="preserve"> </w:t>
      </w:r>
      <w:r w:rsidRPr="00BD6503">
        <w:rPr>
          <w:lang w:val="en-US"/>
        </w:rPr>
        <w:t>Third, corporation tax has historically counted for a relatively low proportion of total tax revenue raised by government.</w:t>
      </w:r>
      <w:r w:rsidR="005A3FD3">
        <w:rPr>
          <w:lang w:val="en-US"/>
        </w:rPr>
        <w:t xml:space="preserve"> </w:t>
      </w:r>
      <w:r w:rsidRPr="00BD6503">
        <w:rPr>
          <w:lang w:val="en-US"/>
        </w:rPr>
        <w:t xml:space="preserve">Across OECD countries, corporation taxes have historically accounted for around 8% of tax-take (Mintz 1995); and amount to less than one </w:t>
      </w:r>
      <w:r w:rsidRPr="00BD6503">
        <w:rPr>
          <w:lang w:val="en-US"/>
        </w:rPr>
        <w:lastRenderedPageBreak/>
        <w:t>third the proportion collected in personal income tax.</w:t>
      </w:r>
      <w:r>
        <w:rPr>
          <w:rStyle w:val="FootnoteReference"/>
          <w:sz w:val="22"/>
          <w:szCs w:val="22"/>
        </w:rPr>
        <w:footnoteReference w:id="4"/>
      </w:r>
      <w:r w:rsidR="005A3FD3">
        <w:rPr>
          <w:lang w:val="en-US"/>
        </w:rPr>
        <w:t xml:space="preserve"> </w:t>
      </w:r>
      <w:r w:rsidRPr="00BD6503">
        <w:rPr>
          <w:lang w:val="en-US"/>
        </w:rPr>
        <w:t xml:space="preserve">Fourth, this proportion is likely to diminish further as the trend in liberal democracies since the 1980s has been for both rates of corporation tax, and rates of share dividend tax to be progressively lowered, thus reducing the </w:t>
      </w:r>
      <w:r w:rsidR="008D3350">
        <w:rPr>
          <w:lang w:val="en-US"/>
        </w:rPr>
        <w:t>relative costs of taxation imposed</w:t>
      </w:r>
      <w:r w:rsidR="008D3350" w:rsidRPr="00BD6503">
        <w:rPr>
          <w:lang w:val="en-US"/>
        </w:rPr>
        <w:t xml:space="preserve"> </w:t>
      </w:r>
      <w:r w:rsidRPr="00BD6503">
        <w:rPr>
          <w:lang w:val="en-US"/>
        </w:rPr>
        <w:t>on both corporations and owners/shareholders (Edwards 1984</w:t>
      </w:r>
      <w:r w:rsidR="005377ED">
        <w:rPr>
          <w:lang w:val="en-US"/>
        </w:rPr>
        <w:t>,</w:t>
      </w:r>
      <w:r w:rsidRPr="00BD6503">
        <w:rPr>
          <w:lang w:val="en-US"/>
        </w:rPr>
        <w:t xml:space="preserve"> Devereux </w:t>
      </w:r>
      <w:r w:rsidRPr="00CF3106">
        <w:rPr>
          <w:i/>
          <w:lang w:val="en-US"/>
        </w:rPr>
        <w:t>et al</w:t>
      </w:r>
      <w:r w:rsidRPr="00BD6503">
        <w:rPr>
          <w:lang w:val="en-US"/>
        </w:rPr>
        <w:t>. 2008). Total receipts in OECD countries for corporation tax, taken as a proportion of GDP, have fallen by around half since the 1960s.</w:t>
      </w:r>
      <w:r w:rsidR="005A3FD3">
        <w:rPr>
          <w:lang w:val="en-US"/>
        </w:rPr>
        <w:t xml:space="preserve"> </w:t>
      </w:r>
      <w:r w:rsidRPr="00BD6503">
        <w:rPr>
          <w:lang w:val="en-US"/>
        </w:rPr>
        <w:t>The equivalent proportion of the contribution made by individuals has risen by around one sixth</w:t>
      </w:r>
      <w:r w:rsidR="008D3350">
        <w:rPr>
          <w:lang w:val="en-US"/>
        </w:rPr>
        <w:t>.  This</w:t>
      </w:r>
      <w:r w:rsidRPr="00BD6503">
        <w:rPr>
          <w:lang w:val="en-US"/>
        </w:rPr>
        <w:t xml:space="preserve"> roughly</w:t>
      </w:r>
      <w:r w:rsidR="008D3350">
        <w:rPr>
          <w:lang w:val="en-US"/>
        </w:rPr>
        <w:t xml:space="preserve"> amounts to</w:t>
      </w:r>
      <w:r w:rsidRPr="00BD6503">
        <w:rPr>
          <w:lang w:val="en-US"/>
        </w:rPr>
        <w:t xml:space="preserve"> a direct replacement of lost corporation tax revenue by personal taxation.</w:t>
      </w:r>
      <w:r>
        <w:rPr>
          <w:rStyle w:val="FootnoteReference"/>
          <w:sz w:val="22"/>
          <w:szCs w:val="22"/>
        </w:rPr>
        <w:footnoteReference w:id="5"/>
      </w:r>
      <w:r w:rsidR="005A3FD3">
        <w:rPr>
          <w:lang w:val="en-US"/>
        </w:rPr>
        <w:t xml:space="preserve"> </w:t>
      </w:r>
      <w:r w:rsidRPr="00BD6503">
        <w:rPr>
          <w:lang w:val="en-US"/>
        </w:rPr>
        <w:t xml:space="preserve">In this context, it is particularly important not to fetishise the corporation as an autonomous entity that </w:t>
      </w:r>
      <w:r w:rsidR="001F2043">
        <w:rPr>
          <w:lang w:val="en-US"/>
        </w:rPr>
        <w:t>“</w:t>
      </w:r>
      <w:r w:rsidRPr="00BD6503">
        <w:rPr>
          <w:lang w:val="en-US"/>
        </w:rPr>
        <w:t>benefits</w:t>
      </w:r>
      <w:r w:rsidR="001F2043">
        <w:rPr>
          <w:lang w:val="en-US"/>
        </w:rPr>
        <w:t>”</w:t>
      </w:r>
      <w:r w:rsidRPr="00BD6503">
        <w:rPr>
          <w:lang w:val="en-US"/>
        </w:rPr>
        <w:t xml:space="preserve"> and </w:t>
      </w:r>
      <w:r w:rsidR="001F2043">
        <w:rPr>
          <w:lang w:val="en-US"/>
        </w:rPr>
        <w:t>“</w:t>
      </w:r>
      <w:r w:rsidRPr="00BD6503">
        <w:rPr>
          <w:lang w:val="en-US"/>
        </w:rPr>
        <w:t>loses</w:t>
      </w:r>
      <w:r w:rsidR="001F2043">
        <w:rPr>
          <w:lang w:val="en-US"/>
        </w:rPr>
        <w:t>”</w:t>
      </w:r>
      <w:r w:rsidRPr="00BD6503">
        <w:rPr>
          <w:lang w:val="en-US"/>
        </w:rPr>
        <w:t xml:space="preserve"> </w:t>
      </w:r>
      <w:r w:rsidR="008D3350">
        <w:rPr>
          <w:lang w:val="en-US"/>
        </w:rPr>
        <w:t>in isolation from the real shareholders and owners that stand behind the corporation</w:t>
      </w:r>
      <w:r w:rsidRPr="00BD6503">
        <w:rPr>
          <w:lang w:val="en-US"/>
        </w:rPr>
        <w:t xml:space="preserve"> (Whyte 2018</w:t>
      </w:r>
      <w:r w:rsidR="008D3350">
        <w:rPr>
          <w:lang w:val="en-US"/>
        </w:rPr>
        <w:t xml:space="preserve">).  In reality it is the </w:t>
      </w:r>
      <w:r w:rsidRPr="00BD6503">
        <w:rPr>
          <w:lang w:val="en-US"/>
        </w:rPr>
        <w:t xml:space="preserve">owners and shareholders </w:t>
      </w:r>
      <w:r w:rsidR="008D3350">
        <w:rPr>
          <w:lang w:val="en-US"/>
        </w:rPr>
        <w:t xml:space="preserve">of the corporation who </w:t>
      </w:r>
      <w:r w:rsidRPr="00BD6503">
        <w:rPr>
          <w:lang w:val="en-US"/>
        </w:rPr>
        <w:t xml:space="preserve">directly </w:t>
      </w:r>
      <w:r w:rsidR="001F2043">
        <w:rPr>
          <w:lang w:val="en-US"/>
        </w:rPr>
        <w:t>“</w:t>
      </w:r>
      <w:r w:rsidRPr="00BD6503">
        <w:rPr>
          <w:lang w:val="en-US"/>
        </w:rPr>
        <w:t>benefit</w:t>
      </w:r>
      <w:r w:rsidR="001F2043">
        <w:rPr>
          <w:lang w:val="en-US"/>
        </w:rPr>
        <w:t>”</w:t>
      </w:r>
      <w:r w:rsidRPr="00BD6503">
        <w:rPr>
          <w:lang w:val="en-US"/>
        </w:rPr>
        <w:t xml:space="preserve"> or </w:t>
      </w:r>
      <w:r w:rsidR="001F2043">
        <w:rPr>
          <w:lang w:val="en-US"/>
        </w:rPr>
        <w:t>“</w:t>
      </w:r>
      <w:r w:rsidRPr="00BD6503">
        <w:rPr>
          <w:lang w:val="en-US"/>
        </w:rPr>
        <w:t>lose</w:t>
      </w:r>
      <w:r w:rsidR="001F2043">
        <w:rPr>
          <w:lang w:val="en-US"/>
        </w:rPr>
        <w:t>”</w:t>
      </w:r>
      <w:r w:rsidRPr="00BD6503">
        <w:rPr>
          <w:lang w:val="en-US"/>
        </w:rPr>
        <w:t xml:space="preserve"> from changes in the tax burden.</w:t>
      </w:r>
      <w:r w:rsidR="005A3FD3">
        <w:rPr>
          <w:lang w:val="en-US"/>
        </w:rPr>
        <w:t xml:space="preserve"> </w:t>
      </w:r>
      <w:r w:rsidRPr="00BD6503">
        <w:rPr>
          <w:lang w:val="en-US"/>
        </w:rPr>
        <w:t>Those real, human, citizens are not readily visible or identifiable when Google</w:t>
      </w:r>
      <w:r w:rsidR="001F2043">
        <w:rPr>
          <w:lang w:val="en-US"/>
        </w:rPr>
        <w:t xml:space="preserve"> (Bowers 2016) </w:t>
      </w:r>
      <w:r w:rsidRPr="00BD6503">
        <w:rPr>
          <w:lang w:val="en-US"/>
        </w:rPr>
        <w:t>or Apple</w:t>
      </w:r>
      <w:r w:rsidR="001F2043">
        <w:rPr>
          <w:lang w:val="en-US"/>
        </w:rPr>
        <w:t xml:space="preserve"> (Rankin 2017) </w:t>
      </w:r>
      <w:r w:rsidRPr="00BD6503">
        <w:rPr>
          <w:lang w:val="en-US"/>
        </w:rPr>
        <w:t>is granted tax immunities by Ireland, or when six of the largest 10 companies in Britain pay no net corporation tax</w:t>
      </w:r>
      <w:r w:rsidR="001F2043">
        <w:rPr>
          <w:lang w:val="en-US"/>
        </w:rPr>
        <w:t xml:space="preserve"> (Farand 2016)</w:t>
      </w:r>
      <w:r w:rsidR="005377ED">
        <w:rPr>
          <w:lang w:val="en-US"/>
        </w:rPr>
        <w:t>,</w:t>
      </w:r>
      <w:r w:rsidR="001F2043" w:rsidRPr="00CF3106" w:rsidDel="001F2043">
        <w:rPr>
          <w:rStyle w:val="FootnoteReference"/>
          <w:sz w:val="22"/>
          <w:szCs w:val="22"/>
          <w:lang w:val="en-US"/>
        </w:rPr>
        <w:t xml:space="preserve"> </w:t>
      </w:r>
      <w:r w:rsidRPr="00BD6503">
        <w:rPr>
          <w:lang w:val="en-US"/>
        </w:rPr>
        <w:t xml:space="preserve">yet </w:t>
      </w:r>
      <w:r w:rsidR="008D3350">
        <w:rPr>
          <w:lang w:val="en-US"/>
        </w:rPr>
        <w:t>it is this wealthy group of owners who</w:t>
      </w:r>
      <w:r w:rsidR="008D3350" w:rsidRPr="00BD6503">
        <w:rPr>
          <w:lang w:val="en-US"/>
        </w:rPr>
        <w:t xml:space="preserve"> </w:t>
      </w:r>
      <w:r w:rsidRPr="00BD6503">
        <w:rPr>
          <w:lang w:val="en-US"/>
        </w:rPr>
        <w:t>are the direct beneficiaries of such immunities and write-offs.</w:t>
      </w:r>
    </w:p>
    <w:p w14:paraId="20847315" w14:textId="602C620E" w:rsidR="00BD6503" w:rsidRPr="00B028D8" w:rsidRDefault="00BD6503" w:rsidP="00B028D8">
      <w:pPr>
        <w:pStyle w:val="Parrafo"/>
        <w:rPr>
          <w:b/>
          <w:lang w:val="en-US"/>
        </w:rPr>
      </w:pPr>
      <w:r w:rsidRPr="00BD6503">
        <w:rPr>
          <w:lang w:val="en-US"/>
        </w:rPr>
        <w:t xml:space="preserve">Taken together, those four points indicate that although corporations are liable for taxation just as other citizens are, this system is subject to a very different set of </w:t>
      </w:r>
      <w:r w:rsidR="008D3350">
        <w:rPr>
          <w:lang w:val="en-US"/>
        </w:rPr>
        <w:t>(</w:t>
      </w:r>
      <w:r w:rsidRPr="00BD6503">
        <w:rPr>
          <w:lang w:val="en-US"/>
        </w:rPr>
        <w:t>shifting</w:t>
      </w:r>
      <w:r w:rsidR="008D3350">
        <w:rPr>
          <w:lang w:val="en-US"/>
        </w:rPr>
        <w:t>)</w:t>
      </w:r>
      <w:r w:rsidRPr="00BD6503">
        <w:rPr>
          <w:lang w:val="en-US"/>
        </w:rPr>
        <w:t xml:space="preserve"> standards than those applying to ordinary citizens.</w:t>
      </w:r>
      <w:r w:rsidR="005A3FD3">
        <w:rPr>
          <w:lang w:val="en-US"/>
        </w:rPr>
        <w:t xml:space="preserve"> </w:t>
      </w:r>
      <w:r w:rsidRPr="00BD6503">
        <w:rPr>
          <w:lang w:val="en-US"/>
        </w:rPr>
        <w:t>In many ways the complex differences that exist across and between jurisdictions make a direct comparison between corporate and individual taxation impossible.</w:t>
      </w:r>
      <w:r w:rsidR="005A3FD3">
        <w:rPr>
          <w:lang w:val="en-US"/>
        </w:rPr>
        <w:t xml:space="preserve"> </w:t>
      </w:r>
      <w:r w:rsidRPr="00BD6503">
        <w:rPr>
          <w:lang w:val="en-US"/>
        </w:rPr>
        <w:t>However, if there is one broad conclusion we can draw from the evidence, it is that the burden on corporate citizens has diminished in the neo-liberal period and been absorbed by ordinary citizens. If the principles upon which corporate tax regimes are based were at some point in history closer to those underpinning individual income taxation, they are now increasingly divergent and increasingly governed by exceptional rules.</w:t>
      </w:r>
      <w:r w:rsidR="005A3FD3">
        <w:rPr>
          <w:lang w:val="en-US"/>
        </w:rPr>
        <w:t xml:space="preserve"> </w:t>
      </w:r>
    </w:p>
    <w:p w14:paraId="143FB370" w14:textId="77777777" w:rsidR="00BD6503" w:rsidRPr="00BD6503" w:rsidRDefault="00B028D8" w:rsidP="00B028D8">
      <w:pPr>
        <w:pStyle w:val="Epgrafe11"/>
        <w:rPr>
          <w:lang w:val="en-US"/>
        </w:rPr>
      </w:pPr>
      <w:bookmarkStart w:id="42" w:name="_Toc520452074"/>
      <w:r>
        <w:rPr>
          <w:lang w:val="en-US"/>
        </w:rPr>
        <w:t xml:space="preserve">3.2. </w:t>
      </w:r>
      <w:r w:rsidR="00BD6503" w:rsidRPr="00BD6503">
        <w:rPr>
          <w:lang w:val="en-US"/>
        </w:rPr>
        <w:t>Legal liabilities</w:t>
      </w:r>
      <w:bookmarkEnd w:id="42"/>
    </w:p>
    <w:p w14:paraId="6AD39C1D" w14:textId="193169B6" w:rsidR="00BD6503" w:rsidRPr="00BD6503" w:rsidRDefault="00BD6503" w:rsidP="00BD6503">
      <w:pPr>
        <w:pStyle w:val="Parrafo"/>
        <w:rPr>
          <w:lang w:val="en-US"/>
        </w:rPr>
      </w:pPr>
      <w:r w:rsidRPr="00BD6503">
        <w:rPr>
          <w:lang w:val="en-US"/>
        </w:rPr>
        <w:t>If shareholders are expected to shoulder some burden for their income stemming from share ownership, this burden does not fall on them for more general legal liabilities.</w:t>
      </w:r>
      <w:r w:rsidR="005A3FD3">
        <w:rPr>
          <w:b/>
          <w:lang w:val="en-US"/>
        </w:rPr>
        <w:t xml:space="preserve"> </w:t>
      </w:r>
      <w:r w:rsidRPr="00BD6503">
        <w:rPr>
          <w:rFonts w:cs="Arial"/>
          <w:lang w:val="en-US"/>
        </w:rPr>
        <w:t>The legal personhood assumed by the corporation implies a complex relationship between the nominal owners (shareholders) of the corporation and the corporation itself.</w:t>
      </w:r>
      <w:r w:rsidR="005A3FD3">
        <w:rPr>
          <w:rFonts w:cs="Arial"/>
          <w:lang w:val="en-US"/>
        </w:rPr>
        <w:t xml:space="preserve"> </w:t>
      </w:r>
      <w:r w:rsidRPr="00BD6503">
        <w:rPr>
          <w:lang w:val="en-US"/>
        </w:rPr>
        <w:t>Because the corporation is wholly distinct as an entity, it formally becomes constituted as the owner of assets and the party responsible for liabilities.</w:t>
      </w:r>
      <w:r w:rsidR="005A3FD3">
        <w:rPr>
          <w:lang w:val="en-US"/>
        </w:rPr>
        <w:t xml:space="preserve"> </w:t>
      </w:r>
      <w:r w:rsidRPr="00BD6503">
        <w:rPr>
          <w:lang w:val="en-US"/>
        </w:rPr>
        <w:t xml:space="preserve">Shareholders are therefore only exposed to </w:t>
      </w:r>
      <w:r w:rsidR="001F2043">
        <w:rPr>
          <w:lang w:val="en-US"/>
        </w:rPr>
        <w:t>“</w:t>
      </w:r>
      <w:r w:rsidRPr="00BD6503">
        <w:rPr>
          <w:lang w:val="en-US"/>
        </w:rPr>
        <w:t>limited liabilities</w:t>
      </w:r>
      <w:r w:rsidR="001F2043">
        <w:rPr>
          <w:lang w:val="en-US"/>
        </w:rPr>
        <w:t>”</w:t>
      </w:r>
      <w:r w:rsidRPr="00BD6503">
        <w:rPr>
          <w:lang w:val="en-US"/>
        </w:rPr>
        <w:t xml:space="preserve"> in law.</w:t>
      </w:r>
      <w:r w:rsidR="005A3FD3">
        <w:rPr>
          <w:lang w:val="en-US"/>
        </w:rPr>
        <w:t xml:space="preserve"> </w:t>
      </w:r>
      <w:r w:rsidRPr="00BD6503">
        <w:rPr>
          <w:rFonts w:cs="Arial"/>
          <w:lang w:val="en-US"/>
        </w:rPr>
        <w:t xml:space="preserve">As a result of this principle, </w:t>
      </w:r>
      <w:r w:rsidRPr="00BD6503">
        <w:rPr>
          <w:lang w:val="en-US"/>
        </w:rPr>
        <w:t xml:space="preserve">shareholders of incorporated companies are thus able to </w:t>
      </w:r>
      <w:r w:rsidR="001F2043">
        <w:rPr>
          <w:lang w:val="en-US"/>
        </w:rPr>
        <w:t>“</w:t>
      </w:r>
      <w:r w:rsidRPr="00BD6503">
        <w:rPr>
          <w:lang w:val="en-US"/>
        </w:rPr>
        <w:t>limit</w:t>
      </w:r>
      <w:r w:rsidR="001F2043">
        <w:rPr>
          <w:lang w:val="en-US"/>
        </w:rPr>
        <w:t>”</w:t>
      </w:r>
      <w:r w:rsidRPr="00BD6503">
        <w:rPr>
          <w:lang w:val="en-US"/>
        </w:rPr>
        <w:t xml:space="preserve"> their financial exposure to the value of the sum</w:t>
      </w:r>
      <w:r w:rsidR="008D3350">
        <w:rPr>
          <w:lang w:val="en-US"/>
        </w:rPr>
        <w:t xml:space="preserve"> they</w:t>
      </w:r>
      <w:r w:rsidRPr="00BD6503">
        <w:rPr>
          <w:lang w:val="en-US"/>
        </w:rPr>
        <w:t xml:space="preserve"> invest</w:t>
      </w:r>
      <w:proofErr w:type="gramStart"/>
      <w:r w:rsidRPr="00BD6503">
        <w:rPr>
          <w:lang w:val="en-US"/>
        </w:rPr>
        <w:t>;</w:t>
      </w:r>
      <w:proofErr w:type="gramEnd"/>
      <w:r w:rsidRPr="00BD6503">
        <w:rPr>
          <w:lang w:val="en-US"/>
        </w:rPr>
        <w:t xml:space="preserve"> the value of their </w:t>
      </w:r>
      <w:r w:rsidR="001F2043">
        <w:rPr>
          <w:lang w:val="en-US"/>
        </w:rPr>
        <w:t>“</w:t>
      </w:r>
      <w:r w:rsidRPr="00BD6503">
        <w:rPr>
          <w:lang w:val="en-US"/>
        </w:rPr>
        <w:t>share</w:t>
      </w:r>
      <w:r w:rsidR="001F2043">
        <w:rPr>
          <w:lang w:val="en-US"/>
        </w:rPr>
        <w:t>”</w:t>
      </w:r>
      <w:r w:rsidRPr="00BD6503">
        <w:rPr>
          <w:lang w:val="en-US"/>
        </w:rPr>
        <w:t>.</w:t>
      </w:r>
      <w:r w:rsidR="005A3FD3">
        <w:rPr>
          <w:lang w:val="en-US"/>
        </w:rPr>
        <w:t xml:space="preserve"> </w:t>
      </w:r>
      <w:r w:rsidRPr="00BD6503">
        <w:rPr>
          <w:rFonts w:cs="Arial"/>
          <w:color w:val="000000"/>
          <w:lang w:val="en-US"/>
        </w:rPr>
        <w:t xml:space="preserve">Therefore, </w:t>
      </w:r>
      <w:r w:rsidR="008D3350">
        <w:rPr>
          <w:rFonts w:cs="Arial"/>
          <w:color w:val="000000"/>
          <w:lang w:val="en-US"/>
        </w:rPr>
        <w:t>shareholders</w:t>
      </w:r>
      <w:r w:rsidR="008D3350" w:rsidRPr="00BD6503">
        <w:rPr>
          <w:rFonts w:cs="Arial"/>
          <w:color w:val="000000"/>
          <w:lang w:val="en-US"/>
        </w:rPr>
        <w:t xml:space="preserve"> </w:t>
      </w:r>
      <w:r w:rsidRPr="00BD6503">
        <w:rPr>
          <w:rFonts w:cs="Arial"/>
          <w:color w:val="000000"/>
          <w:lang w:val="en-US"/>
        </w:rPr>
        <w:t>are generally not held responsible for the debts or other liabilities of the company, or for the damages or costs of any legal proceedings that may arise from its activities. A major commercial advantage for companies and their investors is thus created by establishing a separation between the liabilities held by the corporation and the liabilities held by the members of the corporation (Glasbeek 2017).</w:t>
      </w:r>
      <w:r w:rsidR="005A3FD3">
        <w:rPr>
          <w:rFonts w:cs="Arial"/>
          <w:color w:val="000000"/>
          <w:lang w:val="en-US"/>
        </w:rPr>
        <w:t xml:space="preserve"> </w:t>
      </w:r>
      <w:r w:rsidRPr="00BD6503">
        <w:rPr>
          <w:lang w:val="en-US"/>
        </w:rPr>
        <w:t xml:space="preserve">Corporate lawyers use the term </w:t>
      </w:r>
      <w:r w:rsidR="001F2043">
        <w:rPr>
          <w:lang w:val="en-US"/>
        </w:rPr>
        <w:t>“</w:t>
      </w:r>
      <w:r w:rsidRPr="00BD6503">
        <w:rPr>
          <w:lang w:val="en-US"/>
        </w:rPr>
        <w:t>corporate veil</w:t>
      </w:r>
      <w:r w:rsidR="001F2043">
        <w:rPr>
          <w:lang w:val="en-US"/>
        </w:rPr>
        <w:t>”</w:t>
      </w:r>
      <w:r w:rsidRPr="00BD6503">
        <w:rPr>
          <w:lang w:val="en-US"/>
        </w:rPr>
        <w:t xml:space="preserve"> to describe the protective shield that exists to protect the shareholders of the corporation from liability for the harms caused by the corporations.</w:t>
      </w:r>
      <w:r w:rsidR="005A3FD3">
        <w:rPr>
          <w:lang w:val="en-US"/>
        </w:rPr>
        <w:t xml:space="preserve"> </w:t>
      </w:r>
    </w:p>
    <w:p w14:paraId="5318E8DD" w14:textId="17B12052" w:rsidR="00BD6503" w:rsidRPr="00BD6503" w:rsidRDefault="00BD6503" w:rsidP="00BD6503">
      <w:pPr>
        <w:pStyle w:val="Parrafo"/>
        <w:rPr>
          <w:lang w:val="en-US"/>
        </w:rPr>
      </w:pPr>
      <w:r w:rsidRPr="00BD6503">
        <w:rPr>
          <w:lang w:val="en-US"/>
        </w:rPr>
        <w:t xml:space="preserve">The corporate veil protects the owners or shareholders of corporations by ensuring </w:t>
      </w:r>
      <w:proofErr w:type="gramStart"/>
      <w:r w:rsidRPr="00BD6503">
        <w:rPr>
          <w:lang w:val="en-US"/>
        </w:rPr>
        <w:t>they are not held</w:t>
      </w:r>
      <w:proofErr w:type="gramEnd"/>
      <w:r w:rsidRPr="00BD6503">
        <w:rPr>
          <w:lang w:val="en-US"/>
        </w:rPr>
        <w:t xml:space="preserve"> directly responsible for any liabilities that arise from the </w:t>
      </w:r>
      <w:r w:rsidR="001F2043" w:rsidRPr="00BD6503">
        <w:rPr>
          <w:lang w:val="en-US"/>
        </w:rPr>
        <w:t>corporation</w:t>
      </w:r>
      <w:r w:rsidR="001F2043">
        <w:rPr>
          <w:lang w:val="en-US"/>
        </w:rPr>
        <w:t>’s</w:t>
      </w:r>
      <w:r w:rsidRPr="00BD6503">
        <w:rPr>
          <w:lang w:val="en-US"/>
        </w:rPr>
        <w:t xml:space="preserve"> contractual or legal responsibilities.</w:t>
      </w:r>
      <w:r w:rsidR="005A3FD3">
        <w:rPr>
          <w:lang w:val="en-US"/>
        </w:rPr>
        <w:t xml:space="preserve"> </w:t>
      </w:r>
      <w:r w:rsidRPr="00BD6503">
        <w:rPr>
          <w:lang w:val="en-US"/>
        </w:rPr>
        <w:t>The corporation, for example, rather than the owner or shareholder owes the duty of care to employees.</w:t>
      </w:r>
      <w:r w:rsidR="005A3FD3">
        <w:rPr>
          <w:lang w:val="en-US"/>
        </w:rPr>
        <w:t xml:space="preserve"> </w:t>
      </w:r>
      <w:r w:rsidR="008D3350">
        <w:rPr>
          <w:lang w:val="en-US"/>
        </w:rPr>
        <w:t xml:space="preserve">It is </w:t>
      </w:r>
      <w:proofErr w:type="gramStart"/>
      <w:r w:rsidR="008D3350">
        <w:rPr>
          <w:lang w:val="en-US"/>
        </w:rPr>
        <w:t xml:space="preserve">the </w:t>
      </w:r>
      <w:r w:rsidR="008D3350" w:rsidRPr="00BD6503">
        <w:rPr>
          <w:lang w:val="en-US"/>
        </w:rPr>
        <w:t xml:space="preserve"> </w:t>
      </w:r>
      <w:r w:rsidRPr="00BD6503">
        <w:rPr>
          <w:lang w:val="en-US"/>
        </w:rPr>
        <w:t>corporation</w:t>
      </w:r>
      <w:proofErr w:type="gramEnd"/>
      <w:r w:rsidR="008D3350">
        <w:rPr>
          <w:lang w:val="en-US"/>
        </w:rPr>
        <w:t xml:space="preserve"> that</w:t>
      </w:r>
      <w:r w:rsidRPr="00BD6503">
        <w:rPr>
          <w:lang w:val="en-US"/>
        </w:rPr>
        <w:t xml:space="preserve"> is for all intents and purposes</w:t>
      </w:r>
      <w:r w:rsidR="008D3350">
        <w:rPr>
          <w:lang w:val="en-US"/>
        </w:rPr>
        <w:t xml:space="preserve"> defined as</w:t>
      </w:r>
      <w:r w:rsidRPr="00BD6503">
        <w:rPr>
          <w:lang w:val="en-US"/>
        </w:rPr>
        <w:t xml:space="preserve"> the employer.</w:t>
      </w:r>
      <w:r w:rsidR="005A3FD3">
        <w:rPr>
          <w:lang w:val="en-US"/>
        </w:rPr>
        <w:t xml:space="preserve"> </w:t>
      </w:r>
      <w:r w:rsidRPr="00BD6503">
        <w:rPr>
          <w:lang w:val="en-US"/>
        </w:rPr>
        <w:t xml:space="preserve">Owners </w:t>
      </w:r>
      <w:r w:rsidRPr="00BD6503">
        <w:rPr>
          <w:lang w:val="en-US"/>
        </w:rPr>
        <w:lastRenderedPageBreak/>
        <w:t xml:space="preserve">and shareholders have no obligation to know about, far less </w:t>
      </w:r>
      <w:proofErr w:type="gramStart"/>
      <w:r w:rsidRPr="00BD6503">
        <w:rPr>
          <w:lang w:val="en-US"/>
        </w:rPr>
        <w:t>do</w:t>
      </w:r>
      <w:proofErr w:type="gramEnd"/>
      <w:r w:rsidRPr="00BD6503">
        <w:rPr>
          <w:lang w:val="en-US"/>
        </w:rPr>
        <w:t xml:space="preserve"> anything about, the labour conditions faced by workers in the companies that they own.</w:t>
      </w:r>
      <w:r w:rsidR="005A3FD3">
        <w:rPr>
          <w:lang w:val="en-US"/>
        </w:rPr>
        <w:t xml:space="preserve"> </w:t>
      </w:r>
      <w:r w:rsidRPr="00BD6503">
        <w:rPr>
          <w:lang w:val="en-US"/>
        </w:rPr>
        <w:t xml:space="preserve">Similarly, they do not have to be concerned about the general impact of corporate activities on communities or on the environment, because they will not be held directly liable for those activities. </w:t>
      </w:r>
    </w:p>
    <w:p w14:paraId="7DAA4883" w14:textId="01319BEC" w:rsidR="00BD6503" w:rsidRPr="00BD6503" w:rsidRDefault="00BD6503" w:rsidP="00BD6503">
      <w:pPr>
        <w:pStyle w:val="Parrafo"/>
        <w:rPr>
          <w:lang w:val="en-US"/>
        </w:rPr>
      </w:pPr>
      <w:r w:rsidRPr="00BD6503">
        <w:rPr>
          <w:lang w:val="en-US"/>
        </w:rPr>
        <w:t>When compensation is demanded, or when corporations are sued for damages, it is the corporation that pays.</w:t>
      </w:r>
      <w:r w:rsidR="005A3FD3">
        <w:rPr>
          <w:lang w:val="en-US"/>
        </w:rPr>
        <w:t xml:space="preserve"> </w:t>
      </w:r>
      <w:r w:rsidRPr="00BD6503">
        <w:rPr>
          <w:lang w:val="en-US"/>
        </w:rPr>
        <w:t xml:space="preserve">The imposition of significant damage may have an impact on the reputation of a firm and may even dent profits. Yet because those costs are generally levied on the </w:t>
      </w:r>
      <w:r w:rsidR="001F2043">
        <w:rPr>
          <w:lang w:val="en-US"/>
        </w:rPr>
        <w:t>“</w:t>
      </w:r>
      <w:r w:rsidRPr="00BD6503">
        <w:rPr>
          <w:lang w:val="en-US"/>
        </w:rPr>
        <w:t>corporation</w:t>
      </w:r>
      <w:r w:rsidR="001F2043">
        <w:rPr>
          <w:lang w:val="en-US"/>
        </w:rPr>
        <w:t>”</w:t>
      </w:r>
      <w:r w:rsidRPr="00BD6503">
        <w:rPr>
          <w:lang w:val="en-US"/>
        </w:rPr>
        <w:t>, rather than targeted at a particular group within it, the cost burden of even the largest damages can be absorbed and redistributed; those costs might be offset against a particular budget heading (they might result in cuts to wages or other operational costs), or they may be passed onto customers and clients in the form of price rises, or onto suppliers by reducing the market value of a product.</w:t>
      </w:r>
      <w:r w:rsidR="005A3FD3">
        <w:rPr>
          <w:lang w:val="en-US"/>
        </w:rPr>
        <w:t xml:space="preserve"> </w:t>
      </w:r>
      <w:r w:rsidRPr="00BD6503">
        <w:rPr>
          <w:lang w:val="en-US"/>
        </w:rPr>
        <w:t>Damages impose</w:t>
      </w:r>
      <w:r w:rsidR="008D3350">
        <w:rPr>
          <w:lang w:val="en-US"/>
        </w:rPr>
        <w:t>d</w:t>
      </w:r>
      <w:r w:rsidRPr="00BD6503">
        <w:rPr>
          <w:lang w:val="en-US"/>
        </w:rPr>
        <w:t xml:space="preserve"> for violating safety laws and causing fatalities in the workplace may even be re- absorbed by workers in the form of wage cuts and downsizing (Tombs and Whyte 2007).</w:t>
      </w:r>
      <w:r w:rsidR="005A3FD3">
        <w:rPr>
          <w:lang w:val="en-US"/>
        </w:rPr>
        <w:t xml:space="preserve"> </w:t>
      </w:r>
    </w:p>
    <w:p w14:paraId="08ACCED1" w14:textId="4FACC93C" w:rsidR="00BD6503" w:rsidRPr="00BD6503" w:rsidRDefault="00BD6503" w:rsidP="00BD6503">
      <w:pPr>
        <w:pStyle w:val="Parrafo"/>
        <w:rPr>
          <w:rFonts w:cs="Arial"/>
          <w:lang w:val="en-US"/>
        </w:rPr>
      </w:pPr>
      <w:r w:rsidRPr="00BD6503">
        <w:rPr>
          <w:rFonts w:cs="Arial"/>
          <w:lang w:val="en-US"/>
        </w:rPr>
        <w:t>Precisely the same issue is at stake where fines are imposed on the corporation following criminal or regulatory offences.</w:t>
      </w:r>
      <w:r w:rsidR="005A3FD3">
        <w:rPr>
          <w:rFonts w:cs="Arial"/>
          <w:lang w:val="en-US"/>
        </w:rPr>
        <w:t xml:space="preserve"> </w:t>
      </w:r>
      <w:r w:rsidRPr="00BD6503">
        <w:rPr>
          <w:lang w:val="en-US"/>
        </w:rPr>
        <w:t>Indeed, in a broader sense, the history of regulatory law in the UK illustrates how the prosecution of the corporate person/citizen has provided a significant avenue of impunity for the property owning class.</w:t>
      </w:r>
      <w:r w:rsidR="005A3FD3">
        <w:rPr>
          <w:lang w:val="en-US"/>
        </w:rPr>
        <w:t xml:space="preserve"> </w:t>
      </w:r>
      <w:r w:rsidRPr="00BD6503">
        <w:rPr>
          <w:lang w:val="en-US"/>
        </w:rPr>
        <w:t>In the early-mid 19</w:t>
      </w:r>
      <w:r w:rsidRPr="00BD6503">
        <w:rPr>
          <w:vertAlign w:val="superscript"/>
          <w:lang w:val="en-US"/>
        </w:rPr>
        <w:t>th</w:t>
      </w:r>
      <w:r w:rsidRPr="00BD6503">
        <w:rPr>
          <w:lang w:val="en-US"/>
        </w:rPr>
        <w:t xml:space="preserve"> century, the development of particular forms of regulation and laws addressing the protection of workers and consumers rapidly developed in the UK, such as the Factory Acts and the Regulation of Railway Act and legislation </w:t>
      </w:r>
      <w:r w:rsidR="008D3350">
        <w:rPr>
          <w:lang w:val="en-US"/>
        </w:rPr>
        <w:t>dealing with</w:t>
      </w:r>
      <w:r w:rsidR="008D3350" w:rsidRPr="00BD6503">
        <w:rPr>
          <w:lang w:val="en-US"/>
        </w:rPr>
        <w:t xml:space="preserve"> </w:t>
      </w:r>
      <w:r w:rsidRPr="00BD6503">
        <w:rPr>
          <w:lang w:val="en-US"/>
        </w:rPr>
        <w:t>the production of chemicals and the adulteration of food.</w:t>
      </w:r>
      <w:r w:rsidR="005A3FD3">
        <w:rPr>
          <w:lang w:val="en-US"/>
        </w:rPr>
        <w:t xml:space="preserve"> </w:t>
      </w:r>
      <w:r w:rsidRPr="00BD6503">
        <w:rPr>
          <w:lang w:val="en-US"/>
        </w:rPr>
        <w:t>Those regulations generally imposed different standards of culpability on offenders.</w:t>
      </w:r>
      <w:r w:rsidR="005A3FD3">
        <w:rPr>
          <w:lang w:val="en-US"/>
        </w:rPr>
        <w:t xml:space="preserve"> </w:t>
      </w:r>
      <w:r w:rsidRPr="00BD6503">
        <w:rPr>
          <w:lang w:val="en-US"/>
        </w:rPr>
        <w:t xml:space="preserve">In English law, </w:t>
      </w:r>
      <w:proofErr w:type="gramStart"/>
      <w:r w:rsidRPr="00BD6503">
        <w:rPr>
          <w:lang w:val="en-US"/>
        </w:rPr>
        <w:t>a form of liability that did not require the identification of individual offenders was developed by the courts</w:t>
      </w:r>
      <w:proofErr w:type="gramEnd"/>
      <w:r w:rsidRPr="00BD6503">
        <w:rPr>
          <w:lang w:val="en-US"/>
        </w:rPr>
        <w:t xml:space="preserve"> for this purpose.</w:t>
      </w:r>
      <w:r w:rsidR="005A3FD3">
        <w:rPr>
          <w:lang w:val="en-US"/>
        </w:rPr>
        <w:t xml:space="preserve"> </w:t>
      </w:r>
      <w:r w:rsidRPr="00BD6503">
        <w:rPr>
          <w:lang w:val="en-US"/>
        </w:rPr>
        <w:t xml:space="preserve">This form was known as strict liability: a form of legal liability which does not depend on a </w:t>
      </w:r>
      <w:r w:rsidR="001F2043">
        <w:rPr>
          <w:lang w:val="en-US"/>
        </w:rPr>
        <w:t>“</w:t>
      </w:r>
      <w:r w:rsidRPr="00BD6503">
        <w:rPr>
          <w:lang w:val="en-US"/>
        </w:rPr>
        <w:t>state of mind</w:t>
      </w:r>
      <w:r w:rsidR="001F2043">
        <w:rPr>
          <w:lang w:val="en-US"/>
        </w:rPr>
        <w:t>”</w:t>
      </w:r>
      <w:r w:rsidRPr="00BD6503">
        <w:rPr>
          <w:lang w:val="en-US"/>
        </w:rPr>
        <w:t xml:space="preserve"> or intent to cause harm (Carson 1979).</w:t>
      </w:r>
      <w:r w:rsidR="005A3FD3">
        <w:rPr>
          <w:lang w:val="en-US"/>
        </w:rPr>
        <w:t xml:space="preserve"> </w:t>
      </w:r>
      <w:r w:rsidRPr="00BD6503">
        <w:rPr>
          <w:lang w:val="en-US"/>
        </w:rPr>
        <w:t xml:space="preserve">Because it removed the need to show intent and therefore removed the need to demonstrate a real </w:t>
      </w:r>
      <w:r w:rsidR="007C3090" w:rsidRPr="00BD6503">
        <w:rPr>
          <w:lang w:val="en-US"/>
        </w:rPr>
        <w:t>individual</w:t>
      </w:r>
      <w:r w:rsidR="007C3090">
        <w:rPr>
          <w:lang w:val="en-US"/>
        </w:rPr>
        <w:t>’s</w:t>
      </w:r>
      <w:r w:rsidRPr="00BD6503">
        <w:rPr>
          <w:lang w:val="en-US"/>
        </w:rPr>
        <w:t xml:space="preserve"> state of mind, the principle of strict liability enabled the corporate person, rather than the factory master, to be held liable for offences.</w:t>
      </w:r>
      <w:r w:rsidR="005A3FD3">
        <w:rPr>
          <w:lang w:val="en-US"/>
        </w:rPr>
        <w:t xml:space="preserve"> </w:t>
      </w:r>
      <w:r w:rsidRPr="00BD6503">
        <w:rPr>
          <w:lang w:val="en-US"/>
        </w:rPr>
        <w:t xml:space="preserve">In the 1850s, the proportion of </w:t>
      </w:r>
      <w:r w:rsidR="001F2043">
        <w:rPr>
          <w:lang w:val="en-US"/>
        </w:rPr>
        <w:t>“</w:t>
      </w:r>
      <w:r w:rsidRPr="00BD6503">
        <w:rPr>
          <w:lang w:val="en-US"/>
        </w:rPr>
        <w:t>companies</w:t>
      </w:r>
      <w:r w:rsidR="001F2043">
        <w:rPr>
          <w:lang w:val="en-US"/>
        </w:rPr>
        <w:t>”</w:t>
      </w:r>
      <w:r w:rsidRPr="00BD6503">
        <w:rPr>
          <w:lang w:val="en-US"/>
        </w:rPr>
        <w:t xml:space="preserve"> prosecuted for breaches of the Factory Acts varied between 30% and 40%.</w:t>
      </w:r>
      <w:r w:rsidR="005A3FD3">
        <w:rPr>
          <w:lang w:val="en-US"/>
        </w:rPr>
        <w:t xml:space="preserve"> </w:t>
      </w:r>
      <w:r w:rsidRPr="00BD6503">
        <w:rPr>
          <w:lang w:val="en-US"/>
        </w:rPr>
        <w:t>By the end of the 19</w:t>
      </w:r>
      <w:r w:rsidRPr="00BD6503">
        <w:rPr>
          <w:vertAlign w:val="superscript"/>
          <w:lang w:val="en-US"/>
        </w:rPr>
        <w:t>th</w:t>
      </w:r>
      <w:r w:rsidRPr="00BD6503">
        <w:rPr>
          <w:lang w:val="en-US"/>
        </w:rPr>
        <w:t xml:space="preserve"> century, 50% of prosecutions for such breaches were laid against companies.</w:t>
      </w:r>
      <w:r w:rsidR="005A3FD3">
        <w:rPr>
          <w:lang w:val="en-US"/>
        </w:rPr>
        <w:t xml:space="preserve"> </w:t>
      </w:r>
      <w:r w:rsidRPr="00BD6503">
        <w:rPr>
          <w:lang w:val="en-US"/>
        </w:rPr>
        <w:t>By the time we get to the end of the 20</w:t>
      </w:r>
      <w:r w:rsidRPr="00BD6503">
        <w:rPr>
          <w:vertAlign w:val="superscript"/>
          <w:lang w:val="en-US"/>
        </w:rPr>
        <w:t>th</w:t>
      </w:r>
      <w:r w:rsidRPr="00BD6503">
        <w:rPr>
          <w:lang w:val="en-US"/>
        </w:rPr>
        <w:t xml:space="preserve"> century, in most areas of regulation, the vast majority of prosecutions are laid against corporations rather than individuals (Whyte 2018).</w:t>
      </w:r>
      <w:r w:rsidR="005A3FD3">
        <w:rPr>
          <w:lang w:val="en-US"/>
        </w:rPr>
        <w:t xml:space="preserve"> </w:t>
      </w:r>
    </w:p>
    <w:p w14:paraId="6886D9E7" w14:textId="60E511E9" w:rsidR="00BD6503" w:rsidRPr="00BD6503" w:rsidRDefault="00BD6503" w:rsidP="00BD6503">
      <w:pPr>
        <w:pStyle w:val="Parrafo"/>
        <w:rPr>
          <w:rFonts w:cs="Arial"/>
          <w:lang w:val="en-US"/>
        </w:rPr>
      </w:pPr>
      <w:r w:rsidRPr="00BD6503">
        <w:rPr>
          <w:lang w:val="en-US"/>
        </w:rPr>
        <w:t>In the case of workplace safety crimes by employers against workers, around 95% of cases result in fines against corporations for strict liability offences (only around 3% of prosecutions are laid against directors or senior managers; Tombs and Whyte 2007).</w:t>
      </w:r>
      <w:r w:rsidR="005A3FD3">
        <w:rPr>
          <w:lang w:val="en-US"/>
        </w:rPr>
        <w:t xml:space="preserve"> </w:t>
      </w:r>
      <w:r w:rsidR="008D3350">
        <w:rPr>
          <w:lang w:val="en-US"/>
        </w:rPr>
        <w:t xml:space="preserve">The Directors of large corporations are not represented in this 3%; </w:t>
      </w:r>
      <w:r w:rsidR="008D3350" w:rsidRPr="00BD6503">
        <w:rPr>
          <w:lang w:val="en-US"/>
        </w:rPr>
        <w:t xml:space="preserve">the individuals prosecuted in such cases are overwhelmingly the owner-managers </w:t>
      </w:r>
      <w:r w:rsidR="008D3350">
        <w:rPr>
          <w:lang w:val="en-US"/>
        </w:rPr>
        <w:t xml:space="preserve">of relatively small enterprises.  </w:t>
      </w:r>
      <w:r w:rsidRPr="00BD6503">
        <w:rPr>
          <w:lang w:val="en-US"/>
        </w:rPr>
        <w:t>We find a similar picture in the enforcement of environmental offences: the vast majority of prosecutions are against very small individual operators, or in the case of more serious, large-scale offences, almost always taken against the corporation (Whyte 2010b).</w:t>
      </w:r>
      <w:r w:rsidR="005A3FD3">
        <w:rPr>
          <w:lang w:val="en-US"/>
        </w:rPr>
        <w:t xml:space="preserve"> </w:t>
      </w:r>
      <w:r w:rsidRPr="00BD6503">
        <w:rPr>
          <w:lang w:val="en-US"/>
        </w:rPr>
        <w:t>L</w:t>
      </w:r>
      <w:r w:rsidRPr="00BD6503">
        <w:rPr>
          <w:rFonts w:cs="Arial"/>
          <w:lang w:val="en-US"/>
        </w:rPr>
        <w:t xml:space="preserve">arge-scale fraud in the banking sector is generally dealt in precisely the same way: by targeting middle-level traders </w:t>
      </w:r>
      <w:r w:rsidR="008D3350">
        <w:rPr>
          <w:rFonts w:cs="Arial"/>
          <w:lang w:val="en-US"/>
        </w:rPr>
        <w:t>in</w:t>
      </w:r>
      <w:r w:rsidRPr="00BD6503">
        <w:rPr>
          <w:rFonts w:cs="Arial"/>
          <w:lang w:val="en-US"/>
        </w:rPr>
        <w:t xml:space="preserve"> the most serious offences, by levying large fines against the largest corporations (Whyte 2018).</w:t>
      </w:r>
      <w:r w:rsidR="005A3FD3">
        <w:rPr>
          <w:rFonts w:cs="Arial"/>
          <w:lang w:val="en-US"/>
        </w:rPr>
        <w:t xml:space="preserve"> </w:t>
      </w:r>
    </w:p>
    <w:p w14:paraId="186252AE" w14:textId="77777777" w:rsidR="00BD6503" w:rsidRPr="00BD6503" w:rsidRDefault="00BD6503" w:rsidP="00BD6503">
      <w:pPr>
        <w:pStyle w:val="Parrafo"/>
        <w:rPr>
          <w:lang w:val="en-US"/>
        </w:rPr>
      </w:pPr>
      <w:r w:rsidRPr="00BD6503">
        <w:rPr>
          <w:lang w:val="en-US"/>
        </w:rPr>
        <w:t>In the fields of civil, regulatory and criminal law, then, the</w:t>
      </w:r>
      <w:r w:rsidR="005A3FD3">
        <w:rPr>
          <w:lang w:val="en-US"/>
        </w:rPr>
        <w:t xml:space="preserve"> </w:t>
      </w:r>
      <w:r w:rsidRPr="00BD6503">
        <w:rPr>
          <w:lang w:val="en-US"/>
        </w:rPr>
        <w:t>development of corporate liability in a formal legal sense has enabled (some) responsibilities that would normally be associated with a property-owning individual to be ascribed to the corporation.</w:t>
      </w:r>
      <w:r w:rsidR="005A3FD3">
        <w:rPr>
          <w:lang w:val="en-US"/>
        </w:rPr>
        <w:t xml:space="preserve"> </w:t>
      </w:r>
      <w:r w:rsidRPr="00BD6503">
        <w:rPr>
          <w:lang w:val="en-US"/>
        </w:rPr>
        <w:t xml:space="preserve">The </w:t>
      </w:r>
      <w:proofErr w:type="gramStart"/>
      <w:r w:rsidRPr="00BD6503">
        <w:rPr>
          <w:lang w:val="en-US"/>
        </w:rPr>
        <w:t>duties and liabilities of both owners and senior managers are absorbed by the corporate citizen</w:t>
      </w:r>
      <w:proofErr w:type="gramEnd"/>
      <w:r w:rsidRPr="00BD6503">
        <w:rPr>
          <w:lang w:val="en-US"/>
        </w:rPr>
        <w:t xml:space="preserve">; imposing duties on the corporate citizen itself acts as a mechanism of impunity for the key beneficiaries of the corporation. </w:t>
      </w:r>
    </w:p>
    <w:p w14:paraId="0F0A95EF" w14:textId="77909ED2" w:rsidR="00BD6503" w:rsidRPr="00BD6503" w:rsidRDefault="00BD6503" w:rsidP="00BD6503">
      <w:pPr>
        <w:pStyle w:val="Parrafo"/>
        <w:rPr>
          <w:lang w:val="en-US"/>
        </w:rPr>
      </w:pPr>
      <w:r w:rsidRPr="00BD6503">
        <w:rPr>
          <w:rFonts w:cs="Arial"/>
          <w:lang w:val="en-US"/>
        </w:rPr>
        <w:lastRenderedPageBreak/>
        <w:t xml:space="preserve">This section has summarised a range of ways in which the principle of corporate personhood </w:t>
      </w:r>
      <w:r w:rsidR="007C3090">
        <w:rPr>
          <w:rFonts w:cs="Arial"/>
          <w:lang w:val="en-US"/>
        </w:rPr>
        <w:t>–</w:t>
      </w:r>
      <w:r w:rsidRPr="00BD6503">
        <w:rPr>
          <w:rFonts w:cs="Arial"/>
          <w:lang w:val="en-US"/>
        </w:rPr>
        <w:t xml:space="preserve"> and the legal device of limited liability that stemmed from this principle – enabled the corporation to act as a proxy and displace the duties that might otherwise be imposed upon the owners and shareholders of the corporation.</w:t>
      </w:r>
      <w:r w:rsidR="005A3FD3">
        <w:rPr>
          <w:rFonts w:cs="Arial"/>
          <w:lang w:val="en-US"/>
        </w:rPr>
        <w:t xml:space="preserve"> </w:t>
      </w:r>
      <w:r w:rsidR="008D3350">
        <w:rPr>
          <w:rFonts w:cs="Arial"/>
          <w:lang w:val="en-US"/>
        </w:rPr>
        <w:t>T</w:t>
      </w:r>
      <w:r w:rsidRPr="00BD6503">
        <w:rPr>
          <w:rFonts w:cs="Arial"/>
          <w:lang w:val="en-US"/>
        </w:rPr>
        <w:t>his structure of impunity derived from commercial imperatives that were in turn underpinned by law.</w:t>
      </w:r>
      <w:r w:rsidR="005A3FD3">
        <w:rPr>
          <w:rFonts w:cs="Arial"/>
          <w:lang w:val="en-US"/>
        </w:rPr>
        <w:t xml:space="preserve"> </w:t>
      </w:r>
      <w:r w:rsidRPr="00BD6503">
        <w:rPr>
          <w:rFonts w:cs="Arial"/>
          <w:lang w:val="en-US"/>
        </w:rPr>
        <w:t>The introduction of statutory forms of limited liability by the UK parliament in the mid 19</w:t>
      </w:r>
      <w:r w:rsidRPr="00BD6503">
        <w:rPr>
          <w:rFonts w:cs="Arial"/>
          <w:vertAlign w:val="superscript"/>
          <w:lang w:val="en-US"/>
        </w:rPr>
        <w:t>th</w:t>
      </w:r>
      <w:r w:rsidRPr="00BD6503">
        <w:rPr>
          <w:rFonts w:cs="Arial"/>
          <w:lang w:val="en-US"/>
        </w:rPr>
        <w:t xml:space="preserve"> century had a dramatic effect on the structure of the economy.</w:t>
      </w:r>
      <w:r w:rsidR="005A3FD3">
        <w:rPr>
          <w:rFonts w:cs="Arial"/>
          <w:lang w:val="en-US"/>
        </w:rPr>
        <w:t xml:space="preserve"> </w:t>
      </w:r>
      <w:r w:rsidRPr="00BD6503">
        <w:rPr>
          <w:rFonts w:cs="Arial"/>
          <w:lang w:val="en-US"/>
        </w:rPr>
        <w:t xml:space="preserve">In the UK, the number of incorporations grew at least 100-fold </w:t>
      </w:r>
      <w:r w:rsidR="008D3350">
        <w:rPr>
          <w:rFonts w:cs="Arial"/>
          <w:lang w:val="en-US"/>
        </w:rPr>
        <w:t>between the 1850s and the 1920s</w:t>
      </w:r>
      <w:r w:rsidRPr="00BD6503">
        <w:rPr>
          <w:rFonts w:cs="Arial"/>
          <w:lang w:val="en-US"/>
        </w:rPr>
        <w:t xml:space="preserve"> (Tombs and Whyte 2015).</w:t>
      </w:r>
      <w:r w:rsidR="005A3FD3">
        <w:rPr>
          <w:rFonts w:cs="Arial"/>
          <w:lang w:val="en-US"/>
        </w:rPr>
        <w:t xml:space="preserve"> </w:t>
      </w:r>
      <w:r w:rsidRPr="00BD6503">
        <w:rPr>
          <w:rFonts w:cs="Arial"/>
          <w:lang w:val="en-US"/>
        </w:rPr>
        <w:t xml:space="preserve">Making the </w:t>
      </w:r>
      <w:r w:rsidRPr="00BD6503">
        <w:rPr>
          <w:rFonts w:cs="Arial"/>
          <w:i/>
          <w:lang w:val="en-US"/>
        </w:rPr>
        <w:t>corporate</w:t>
      </w:r>
      <w:r w:rsidRPr="00BD6503">
        <w:rPr>
          <w:rFonts w:cs="Arial"/>
          <w:lang w:val="en-US"/>
        </w:rPr>
        <w:t xml:space="preserve"> person liable for losses</w:t>
      </w:r>
      <w:r w:rsidR="005A3FD3">
        <w:rPr>
          <w:rFonts w:cs="Arial"/>
          <w:lang w:val="en-US"/>
        </w:rPr>
        <w:t xml:space="preserve"> </w:t>
      </w:r>
      <w:r w:rsidR="007C3090">
        <w:rPr>
          <w:rFonts w:cs="Arial"/>
          <w:lang w:val="en-US"/>
        </w:rPr>
        <w:t>–</w:t>
      </w:r>
      <w:r w:rsidRPr="00BD6503">
        <w:rPr>
          <w:rFonts w:cs="Arial"/>
          <w:lang w:val="en-US"/>
        </w:rPr>
        <w:t xml:space="preserve"> as opposed to its directors or shareholders </w:t>
      </w:r>
      <w:r w:rsidR="007C3090">
        <w:rPr>
          <w:rFonts w:cs="Arial"/>
          <w:lang w:val="en-US"/>
        </w:rPr>
        <w:t>–</w:t>
      </w:r>
      <w:r w:rsidRPr="00BD6503">
        <w:rPr>
          <w:rFonts w:cs="Arial"/>
          <w:lang w:val="en-US"/>
        </w:rPr>
        <w:t xml:space="preserve"> was therefore a key process in ensuring that the capitalist enterprise, in the form of the corporation, rose to dominance in the economy.</w:t>
      </w:r>
      <w:r w:rsidR="005A3FD3">
        <w:rPr>
          <w:rFonts w:cs="Arial"/>
          <w:lang w:val="en-US"/>
        </w:rPr>
        <w:t xml:space="preserve"> </w:t>
      </w:r>
      <w:r w:rsidRPr="00BD6503">
        <w:rPr>
          <w:lang w:val="en-US"/>
        </w:rPr>
        <w:t xml:space="preserve">The creation of the abstract corporate citizen – and its attendant structure of immunity </w:t>
      </w:r>
      <w:r w:rsidR="007C3090">
        <w:rPr>
          <w:lang w:val="en-US"/>
        </w:rPr>
        <w:t>–</w:t>
      </w:r>
      <w:r w:rsidRPr="00BD6503">
        <w:rPr>
          <w:lang w:val="en-US"/>
        </w:rPr>
        <w:t xml:space="preserve"> has thus proven to be </w:t>
      </w:r>
      <w:proofErr w:type="gramStart"/>
      <w:r w:rsidRPr="00BD6503">
        <w:rPr>
          <w:lang w:val="en-US"/>
        </w:rPr>
        <w:t>a</w:t>
      </w:r>
      <w:proofErr w:type="gramEnd"/>
      <w:r w:rsidRPr="00BD6503">
        <w:rPr>
          <w:lang w:val="en-US"/>
        </w:rPr>
        <w:t xml:space="preserve"> indispensible device for its owners and shareholders to accumulate wealth.</w:t>
      </w:r>
      <w:r w:rsidR="005A3FD3">
        <w:rPr>
          <w:lang w:val="en-US"/>
        </w:rPr>
        <w:t xml:space="preserve"> </w:t>
      </w:r>
      <w:r w:rsidRPr="00BD6503">
        <w:rPr>
          <w:lang w:val="en-US"/>
        </w:rPr>
        <w:t xml:space="preserve">As the following section shows, corporate citizenship simultaneously enabled the </w:t>
      </w:r>
      <w:r w:rsidR="001F2043">
        <w:rPr>
          <w:lang w:val="en-US"/>
        </w:rPr>
        <w:t>“</w:t>
      </w:r>
      <w:r w:rsidRPr="00BD6503">
        <w:rPr>
          <w:lang w:val="en-US"/>
        </w:rPr>
        <w:t>rights</w:t>
      </w:r>
      <w:r w:rsidR="001F2043">
        <w:rPr>
          <w:lang w:val="en-US"/>
        </w:rPr>
        <w:t>”</w:t>
      </w:r>
      <w:r w:rsidRPr="00BD6503">
        <w:rPr>
          <w:lang w:val="en-US"/>
        </w:rPr>
        <w:t xml:space="preserve"> of the corporation to be used for significant commercial advantage.</w:t>
      </w:r>
    </w:p>
    <w:p w14:paraId="2426B88F" w14:textId="77777777" w:rsidR="00BD6503" w:rsidRPr="00B028D8" w:rsidRDefault="00BD6503" w:rsidP="00B028D8">
      <w:pPr>
        <w:pStyle w:val="Epgrafe1"/>
        <w:rPr>
          <w:lang w:val="en-US"/>
        </w:rPr>
      </w:pPr>
      <w:bookmarkStart w:id="43" w:name="_Toc520452075"/>
      <w:r w:rsidRPr="00B028D8">
        <w:rPr>
          <w:lang w:val="en-US"/>
        </w:rPr>
        <w:t>4</w:t>
      </w:r>
      <w:r w:rsidR="00B028D8" w:rsidRPr="00B028D8">
        <w:rPr>
          <w:lang w:val="en-US"/>
        </w:rPr>
        <w:t xml:space="preserve">. </w:t>
      </w:r>
      <w:r w:rsidRPr="00B028D8">
        <w:rPr>
          <w:lang w:val="en-US"/>
        </w:rPr>
        <w:t>The Rights of the Corporate Citizen</w:t>
      </w:r>
      <w:bookmarkEnd w:id="43"/>
    </w:p>
    <w:p w14:paraId="7C830B68" w14:textId="33BB5342" w:rsidR="00BD6503" w:rsidRPr="00BD6503" w:rsidRDefault="00BD6503" w:rsidP="00BD6503">
      <w:pPr>
        <w:pStyle w:val="Parrafo"/>
        <w:rPr>
          <w:lang w:val="en-US"/>
        </w:rPr>
      </w:pPr>
      <w:r w:rsidRPr="00BD6503">
        <w:rPr>
          <w:lang w:val="en-US"/>
        </w:rPr>
        <w:t xml:space="preserve">The formal civil and political rights granted to citizens in liberal democracies can be divided into three categories: those rights that seek to ensure protection </w:t>
      </w:r>
      <w:r w:rsidRPr="00BD6503">
        <w:rPr>
          <w:i/>
          <w:lang w:val="en-US"/>
        </w:rPr>
        <w:t>from</w:t>
      </w:r>
      <w:r w:rsidRPr="00BD6503">
        <w:rPr>
          <w:lang w:val="en-US"/>
        </w:rPr>
        <w:t xml:space="preserve"> over-bearing government (broadly analogous to </w:t>
      </w:r>
      <w:r w:rsidR="001F2043">
        <w:rPr>
          <w:lang w:val="en-US"/>
        </w:rPr>
        <w:t>“</w:t>
      </w:r>
      <w:r w:rsidRPr="00BD6503">
        <w:rPr>
          <w:lang w:val="en-US"/>
        </w:rPr>
        <w:t>active</w:t>
      </w:r>
      <w:r w:rsidR="001F2043">
        <w:rPr>
          <w:lang w:val="en-US"/>
        </w:rPr>
        <w:t>”</w:t>
      </w:r>
      <w:r w:rsidRPr="00BD6503">
        <w:rPr>
          <w:lang w:val="en-US"/>
        </w:rPr>
        <w:t xml:space="preserve"> rights, Janoski 199</w:t>
      </w:r>
      <w:r w:rsidR="001D0BBF">
        <w:rPr>
          <w:lang w:val="en-US"/>
        </w:rPr>
        <w:t>8</w:t>
      </w:r>
      <w:r w:rsidRPr="00BD6503">
        <w:rPr>
          <w:lang w:val="en-US"/>
        </w:rPr>
        <w:t xml:space="preserve">; those that guarantee government interventions </w:t>
      </w:r>
      <w:r w:rsidRPr="00BD6503">
        <w:rPr>
          <w:i/>
          <w:lang w:val="en-US"/>
        </w:rPr>
        <w:t>by</w:t>
      </w:r>
      <w:r w:rsidRPr="00BD6503">
        <w:rPr>
          <w:lang w:val="en-US"/>
        </w:rPr>
        <w:t xml:space="preserve"> government (broadly analogous to </w:t>
      </w:r>
      <w:r w:rsidR="001F2043">
        <w:rPr>
          <w:lang w:val="en-US"/>
        </w:rPr>
        <w:t>“</w:t>
      </w:r>
      <w:r w:rsidRPr="00BD6503">
        <w:rPr>
          <w:lang w:val="en-US"/>
        </w:rPr>
        <w:t>passive</w:t>
      </w:r>
      <w:r w:rsidR="001F2043">
        <w:rPr>
          <w:lang w:val="en-US"/>
        </w:rPr>
        <w:t>”</w:t>
      </w:r>
      <w:r w:rsidRPr="00BD6503">
        <w:rPr>
          <w:lang w:val="en-US"/>
        </w:rPr>
        <w:t xml:space="preserve"> rights, </w:t>
      </w:r>
      <w:r w:rsidR="00F8630C" w:rsidRPr="007C3090">
        <w:rPr>
          <w:i/>
          <w:lang w:val="en-US"/>
        </w:rPr>
        <w:t>Ibid</w:t>
      </w:r>
      <w:proofErr w:type="gramStart"/>
      <w:r w:rsidRPr="00BD6503">
        <w:rPr>
          <w:lang w:val="en-US"/>
        </w:rPr>
        <w:t>.;</w:t>
      </w:r>
      <w:proofErr w:type="gramEnd"/>
      <w:r w:rsidRPr="00BD6503">
        <w:rPr>
          <w:lang w:val="en-US"/>
        </w:rPr>
        <w:t xml:space="preserve"> on this distinction, also see Turner 1986); and those that guarantee participation in political and civic life (Prior </w:t>
      </w:r>
      <w:r w:rsidRPr="00CF3106">
        <w:rPr>
          <w:i/>
          <w:lang w:val="en-US"/>
        </w:rPr>
        <w:t>et al</w:t>
      </w:r>
      <w:r w:rsidRPr="00BD6503">
        <w:rPr>
          <w:lang w:val="en-US"/>
        </w:rPr>
        <w:t>. 1995).</w:t>
      </w:r>
      <w:r w:rsidR="005A3FD3">
        <w:rPr>
          <w:lang w:val="en-US"/>
        </w:rPr>
        <w:t xml:space="preserve"> </w:t>
      </w:r>
      <w:r w:rsidRPr="00BD6503">
        <w:rPr>
          <w:lang w:val="en-US"/>
        </w:rPr>
        <w:t>In this section, each of those forms of rights are discussed in turn</w:t>
      </w:r>
      <w:r w:rsidR="0006014A">
        <w:rPr>
          <w:lang w:val="en-US"/>
        </w:rPr>
        <w:t>, dealing with</w:t>
      </w:r>
      <w:r w:rsidRPr="00BD6503">
        <w:rPr>
          <w:lang w:val="en-US"/>
        </w:rPr>
        <w:t xml:space="preserve"> both formal </w:t>
      </w:r>
      <w:r w:rsidR="001F2043">
        <w:rPr>
          <w:lang w:val="en-US"/>
        </w:rPr>
        <w:t>“</w:t>
      </w:r>
      <w:r w:rsidRPr="00BD6503">
        <w:rPr>
          <w:lang w:val="en-US"/>
        </w:rPr>
        <w:t>rights</w:t>
      </w:r>
      <w:r w:rsidR="001F2043">
        <w:rPr>
          <w:lang w:val="en-US"/>
        </w:rPr>
        <w:t>”</w:t>
      </w:r>
      <w:r w:rsidRPr="00BD6503">
        <w:rPr>
          <w:lang w:val="en-US"/>
        </w:rPr>
        <w:t xml:space="preserve"> as proscribed in law, and </w:t>
      </w:r>
      <w:r w:rsidR="0006014A">
        <w:rPr>
          <w:lang w:val="en-US"/>
        </w:rPr>
        <w:t>“rights”</w:t>
      </w:r>
      <w:r w:rsidR="0006014A" w:rsidRPr="00BD6503">
        <w:rPr>
          <w:lang w:val="en-US"/>
        </w:rPr>
        <w:t xml:space="preserve"> </w:t>
      </w:r>
      <w:r w:rsidRPr="00BD6503">
        <w:rPr>
          <w:lang w:val="en-US"/>
        </w:rPr>
        <w:t>that are defined by government practice.</w:t>
      </w:r>
      <w:r w:rsidR="005A3FD3">
        <w:rPr>
          <w:lang w:val="en-US"/>
        </w:rPr>
        <w:t xml:space="preserve"> </w:t>
      </w:r>
      <w:r w:rsidRPr="00BD6503">
        <w:rPr>
          <w:lang w:val="en-US"/>
        </w:rPr>
        <w:t xml:space="preserve">Thus, some rights that are set out in this section are based upon the constitutional rights to legal redress (for example for human rights violations or for torts) and some are based upon practices that have not been codified in law, but have been deeply embedded in state practices (for example the right to </w:t>
      </w:r>
      <w:r w:rsidR="001F2043">
        <w:rPr>
          <w:lang w:val="en-US"/>
        </w:rPr>
        <w:t>“</w:t>
      </w:r>
      <w:r w:rsidRPr="00BD6503">
        <w:rPr>
          <w:lang w:val="en-US"/>
        </w:rPr>
        <w:t>veto</w:t>
      </w:r>
      <w:r w:rsidR="001F2043">
        <w:rPr>
          <w:lang w:val="en-US"/>
        </w:rPr>
        <w:t>”</w:t>
      </w:r>
      <w:r w:rsidRPr="00BD6503">
        <w:rPr>
          <w:lang w:val="en-US"/>
        </w:rPr>
        <w:t xml:space="preserve"> social policies).</w:t>
      </w:r>
    </w:p>
    <w:p w14:paraId="4A597D3B" w14:textId="77777777" w:rsidR="00BD6503" w:rsidRPr="00BD6503" w:rsidRDefault="00BD6503" w:rsidP="00B028D8">
      <w:pPr>
        <w:pStyle w:val="Epgrafe11"/>
        <w:rPr>
          <w:lang w:val="en-US"/>
        </w:rPr>
      </w:pPr>
      <w:bookmarkStart w:id="44" w:name="_Toc520452076"/>
      <w:r w:rsidRPr="00BD6503">
        <w:rPr>
          <w:lang w:val="en-US"/>
        </w:rPr>
        <w:t>4.1</w:t>
      </w:r>
      <w:r w:rsidR="00B028D8">
        <w:rPr>
          <w:lang w:val="en-US"/>
        </w:rPr>
        <w:t>.</w:t>
      </w:r>
      <w:r w:rsidRPr="00BD6503">
        <w:rPr>
          <w:lang w:val="en-US"/>
        </w:rPr>
        <w:t xml:space="preserve"> Rights to Protection from Government</w:t>
      </w:r>
      <w:bookmarkEnd w:id="44"/>
    </w:p>
    <w:p w14:paraId="6626225D" w14:textId="05EC0F14" w:rsidR="00BD6503" w:rsidRPr="00BD6503" w:rsidRDefault="00BD6503" w:rsidP="00BD6503">
      <w:pPr>
        <w:pStyle w:val="Parrafo"/>
        <w:rPr>
          <w:rFonts w:cs="Arial"/>
          <w:lang w:val="en-US"/>
        </w:rPr>
      </w:pPr>
      <w:r w:rsidRPr="00BD6503">
        <w:rPr>
          <w:rFonts w:cs="Arial"/>
          <w:lang w:val="en-US"/>
        </w:rPr>
        <w:t xml:space="preserve">The right to be protected from interference by government is enshrined formally in law in various ways. </w:t>
      </w:r>
      <w:r w:rsidRPr="00BD6503">
        <w:rPr>
          <w:lang w:val="en-US"/>
        </w:rPr>
        <w:t xml:space="preserve">Although it is not universally applied, in many jurisdictions, </w:t>
      </w:r>
      <w:r w:rsidRPr="00BD6503">
        <w:rPr>
          <w:rFonts w:cs="Arial"/>
          <w:lang w:val="en-US"/>
        </w:rPr>
        <w:t>corporate persons, just like natural persons, can seek redress in law for torts,</w:t>
      </w:r>
      <w:r w:rsidR="0006014A">
        <w:rPr>
          <w:rFonts w:cs="Arial"/>
          <w:lang w:val="en-US"/>
        </w:rPr>
        <w:t xml:space="preserve"> for</w:t>
      </w:r>
      <w:r w:rsidRPr="00BD6503">
        <w:rPr>
          <w:rFonts w:cs="Arial"/>
          <w:lang w:val="en-US"/>
        </w:rPr>
        <w:t xml:space="preserve"> other forms of duty owed to them, and even for human rights violations (Khoury and Whyte 2017).</w:t>
      </w:r>
      <w:r w:rsidR="005A3FD3">
        <w:rPr>
          <w:rFonts w:cs="Arial"/>
          <w:lang w:val="en-US"/>
        </w:rPr>
        <w:t xml:space="preserve"> </w:t>
      </w:r>
      <w:proofErr w:type="gramStart"/>
      <w:r w:rsidRPr="00BD6503">
        <w:rPr>
          <w:rFonts w:cs="Arial"/>
          <w:lang w:val="en-US"/>
        </w:rPr>
        <w:t xml:space="preserve">Access to a range of other court and tribunal mechanisms can be used strategically by corporations to assert </w:t>
      </w:r>
      <w:r w:rsidR="001F2043">
        <w:rPr>
          <w:rFonts w:cs="Arial"/>
          <w:lang w:val="en-US"/>
        </w:rPr>
        <w:t>“</w:t>
      </w:r>
      <w:r w:rsidRPr="00BD6503">
        <w:rPr>
          <w:rFonts w:cs="Arial"/>
          <w:lang w:val="en-US"/>
        </w:rPr>
        <w:t>rights</w:t>
      </w:r>
      <w:r w:rsidR="001F2043">
        <w:rPr>
          <w:rFonts w:cs="Arial"/>
          <w:lang w:val="en-US"/>
        </w:rPr>
        <w:t>”</w:t>
      </w:r>
      <w:r w:rsidRPr="00BD6503">
        <w:rPr>
          <w:rFonts w:cs="Arial"/>
          <w:lang w:val="en-US"/>
        </w:rPr>
        <w:t xml:space="preserve"> in cases against government interference</w:t>
      </w:r>
      <w:proofErr w:type="gramEnd"/>
      <w:r w:rsidRPr="00BD6503">
        <w:rPr>
          <w:rFonts w:cs="Arial"/>
          <w:lang w:val="en-US"/>
        </w:rPr>
        <w:t xml:space="preserve"> (Glasbeek 2012</w:t>
      </w:r>
      <w:r w:rsidR="007C3090">
        <w:rPr>
          <w:rFonts w:cs="Arial"/>
          <w:lang w:val="en-US"/>
        </w:rPr>
        <w:t>,</w:t>
      </w:r>
      <w:r w:rsidRPr="00BD6503">
        <w:rPr>
          <w:rFonts w:cs="Arial"/>
          <w:lang w:val="en-US"/>
        </w:rPr>
        <w:t xml:space="preserve"> Pérez-Rocha 2016).</w:t>
      </w:r>
      <w:r w:rsidR="005A3FD3">
        <w:rPr>
          <w:rFonts w:cs="Arial"/>
          <w:lang w:val="en-US"/>
        </w:rPr>
        <w:t xml:space="preserve"> </w:t>
      </w:r>
      <w:r w:rsidRPr="00BD6503">
        <w:rPr>
          <w:rFonts w:cs="Arial"/>
          <w:lang w:val="en-US"/>
        </w:rPr>
        <w:t>The US Supreme Court has upheld the principle that under the 13th Amendment to the US Constitution, corporations have the right to enjoy property.</w:t>
      </w:r>
      <w:r w:rsidR="005A3FD3">
        <w:rPr>
          <w:rFonts w:cs="Arial"/>
          <w:lang w:val="en-US"/>
        </w:rPr>
        <w:t xml:space="preserve"> </w:t>
      </w:r>
      <w:r w:rsidRPr="00BD6503">
        <w:rPr>
          <w:rFonts w:cs="Arial"/>
          <w:lang w:val="en-US"/>
        </w:rPr>
        <w:t>This position provoked a public campaign following the Citizens United case heard at the Court in 2010</w:t>
      </w:r>
      <w:r w:rsidR="001D0BBF">
        <w:rPr>
          <w:rFonts w:cs="Arial"/>
          <w:lang w:val="en-US"/>
        </w:rPr>
        <w:t xml:space="preserve"> (</w:t>
      </w:r>
      <w:r w:rsidR="001D0BBF" w:rsidRPr="001D0BBF">
        <w:rPr>
          <w:rFonts w:cs="Arial"/>
          <w:i/>
          <w:lang w:val="en-US"/>
        </w:rPr>
        <w:t>C</w:t>
      </w:r>
      <w:r w:rsidR="001D0BBF" w:rsidRPr="001D0BBF">
        <w:rPr>
          <w:i/>
        </w:rPr>
        <w:t>itizens United v. FEC</w:t>
      </w:r>
      <w:r w:rsidR="001D0BBF">
        <w:rPr>
          <w:i/>
        </w:rPr>
        <w:t xml:space="preserve"> </w:t>
      </w:r>
      <w:r w:rsidR="001D0BBF">
        <w:t>2010)</w:t>
      </w:r>
      <w:r w:rsidRPr="00BD6503">
        <w:rPr>
          <w:rFonts w:cs="Arial"/>
          <w:lang w:val="en-US"/>
        </w:rPr>
        <w:t>.</w:t>
      </w:r>
      <w:r w:rsidR="005A3FD3">
        <w:rPr>
          <w:rFonts w:cs="Arial"/>
          <w:lang w:val="en-US"/>
        </w:rPr>
        <w:t xml:space="preserve"> </w:t>
      </w:r>
      <w:r w:rsidRPr="00BD6503">
        <w:rPr>
          <w:rFonts w:cs="Arial"/>
          <w:lang w:val="en-US"/>
        </w:rPr>
        <w:t>The court ruled that corporations have the right to spend money in candidate elections, and may, on religious grounds, refuse to comply with a federal mandate to cover birth control in their employee health plans.</w:t>
      </w:r>
      <w:r w:rsidR="005A3FD3">
        <w:rPr>
          <w:rFonts w:cs="Arial"/>
          <w:lang w:val="en-US"/>
        </w:rPr>
        <w:t xml:space="preserve"> </w:t>
      </w:r>
      <w:r w:rsidRPr="00BD6503">
        <w:rPr>
          <w:rFonts w:cs="Arial"/>
          <w:lang w:val="en-US"/>
        </w:rPr>
        <w:t>Over the past sixty years, the legal status of corporations has also been protected</w:t>
      </w:r>
      <w:r w:rsidR="0006014A" w:rsidRPr="0006014A">
        <w:rPr>
          <w:rFonts w:cs="Arial"/>
          <w:lang w:val="en-US"/>
        </w:rPr>
        <w:t xml:space="preserve"> </w:t>
      </w:r>
      <w:r w:rsidR="0006014A" w:rsidRPr="00BD6503">
        <w:rPr>
          <w:rFonts w:cs="Arial"/>
          <w:lang w:val="en-US"/>
        </w:rPr>
        <w:t>in human rights law</w:t>
      </w:r>
      <w:r w:rsidRPr="00BD6503">
        <w:rPr>
          <w:rFonts w:cs="Arial"/>
          <w:lang w:val="en-US"/>
        </w:rPr>
        <w:t>, in the European human rights system particularly.</w:t>
      </w:r>
      <w:r w:rsidR="005A3FD3">
        <w:rPr>
          <w:rFonts w:cs="Arial"/>
          <w:lang w:val="en-US"/>
        </w:rPr>
        <w:t xml:space="preserve"> </w:t>
      </w:r>
      <w:r w:rsidRPr="00BD6503">
        <w:rPr>
          <w:rFonts w:cs="Arial"/>
          <w:lang w:val="en-US"/>
        </w:rPr>
        <w:t xml:space="preserve">Article 1 Protocol 1 of the European Convention on Human Rights </w:t>
      </w:r>
      <w:r w:rsidR="007C3090">
        <w:rPr>
          <w:rFonts w:cs="Arial"/>
          <w:lang w:val="en-US"/>
        </w:rPr>
        <w:t>(ECHR</w:t>
      </w:r>
      <w:r w:rsidR="00893FA8">
        <w:rPr>
          <w:rFonts w:cs="Arial"/>
          <w:lang w:val="en-US"/>
        </w:rPr>
        <w:t>; see Council of Europe 1950</w:t>
      </w:r>
      <w:r w:rsidR="007C3090">
        <w:rPr>
          <w:rFonts w:cs="Arial"/>
          <w:lang w:val="en-US"/>
        </w:rPr>
        <w:t xml:space="preserve">) </w:t>
      </w:r>
      <w:r w:rsidRPr="00BD6503">
        <w:rPr>
          <w:rFonts w:cs="Arial"/>
          <w:lang w:val="en-US"/>
        </w:rPr>
        <w:t>reads: “Every natural or legal person is entitled to the peaceful enjoyment of his possessions</w:t>
      </w:r>
      <w:r w:rsidR="001D0BBF">
        <w:rPr>
          <w:rFonts w:cs="Arial"/>
          <w:lang w:val="en-US"/>
        </w:rPr>
        <w:t>.</w:t>
      </w:r>
      <w:r w:rsidRPr="00BD6503">
        <w:rPr>
          <w:rFonts w:cs="Arial"/>
          <w:lang w:val="en-US"/>
        </w:rPr>
        <w:t>” The inclusion of legal persons in Protocol 1 has had a significant impact on the concept of rights in Europe.</w:t>
      </w:r>
      <w:r w:rsidR="005A3FD3">
        <w:rPr>
          <w:rFonts w:cs="Arial"/>
          <w:lang w:val="en-US"/>
        </w:rPr>
        <w:t xml:space="preserve"> </w:t>
      </w:r>
      <w:r w:rsidRPr="00BD6503">
        <w:rPr>
          <w:rFonts w:cs="Arial"/>
          <w:lang w:val="en-US"/>
        </w:rPr>
        <w:t>The volume of cases in which corporations claim human rights is not insignificant.</w:t>
      </w:r>
      <w:r w:rsidR="005A3FD3">
        <w:rPr>
          <w:rFonts w:cs="Arial"/>
          <w:lang w:val="en-US"/>
        </w:rPr>
        <w:t xml:space="preserve"> </w:t>
      </w:r>
      <w:r w:rsidRPr="00BD6503">
        <w:rPr>
          <w:rFonts w:cs="Arial"/>
          <w:lang w:val="en-US"/>
        </w:rPr>
        <w:t>One study showed that around 4% of cases originated in applications filed by companies or other legal persons clearly pursuing corporate interests (Emberland 2006).</w:t>
      </w:r>
      <w:r w:rsidR="005A3FD3">
        <w:rPr>
          <w:rFonts w:cs="Arial"/>
          <w:lang w:val="en-US"/>
        </w:rPr>
        <w:t xml:space="preserve"> </w:t>
      </w:r>
      <w:r w:rsidRPr="00BD6503">
        <w:rPr>
          <w:rFonts w:cs="Arial"/>
          <w:lang w:val="en-US"/>
        </w:rPr>
        <w:t xml:space="preserve">Most of the cases in which corporations have the protection of the European Court of Human Rights have been </w:t>
      </w:r>
      <w:r w:rsidRPr="00BD6503">
        <w:rPr>
          <w:rFonts w:cs="Arial"/>
          <w:lang w:val="en-US"/>
        </w:rPr>
        <w:lastRenderedPageBreak/>
        <w:t>for: alleged violations of property rights (P1-1 ECHR), the right to a fair trial (Article 6 ECHR) and in some cases freedom of expression (Article 10 ECHR).</w:t>
      </w:r>
      <w:r w:rsidR="005A3FD3">
        <w:rPr>
          <w:rFonts w:cs="Arial"/>
          <w:lang w:val="en-US"/>
        </w:rPr>
        <w:t xml:space="preserve"> </w:t>
      </w:r>
    </w:p>
    <w:p w14:paraId="60013322" w14:textId="5C280A35" w:rsidR="00BD6503" w:rsidRPr="00BD6503" w:rsidRDefault="00BD6503" w:rsidP="00BD6503">
      <w:pPr>
        <w:pStyle w:val="Parrafo"/>
        <w:rPr>
          <w:b/>
          <w:lang w:val="en-US"/>
        </w:rPr>
      </w:pPr>
      <w:r w:rsidRPr="00BD6503">
        <w:rPr>
          <w:rFonts w:cs="Arial"/>
          <w:lang w:val="en-US"/>
        </w:rPr>
        <w:t>In many of those cases, the</w:t>
      </w:r>
      <w:r w:rsidR="0006014A">
        <w:rPr>
          <w:rFonts w:cs="Arial"/>
          <w:lang w:val="en-US"/>
        </w:rPr>
        <w:t xml:space="preserve"> human rights</w:t>
      </w:r>
      <w:r w:rsidRPr="00BD6503">
        <w:rPr>
          <w:rFonts w:cs="Arial"/>
          <w:lang w:val="en-US"/>
        </w:rPr>
        <w:t xml:space="preserve"> issue revolves around overly invasive or burdensome regulatory requirements or state investigations (Khoury and Whyte 2017).</w:t>
      </w:r>
      <w:r w:rsidR="005A3FD3">
        <w:rPr>
          <w:rFonts w:cs="Arial"/>
          <w:lang w:val="en-US"/>
        </w:rPr>
        <w:t xml:space="preserve"> </w:t>
      </w:r>
      <w:r w:rsidRPr="00BD6503">
        <w:rPr>
          <w:rFonts w:cs="Arial"/>
          <w:lang w:val="en-US"/>
        </w:rPr>
        <w:t>Thus, human rights protections are very often used to neutralize attempts by states to protection</w:t>
      </w:r>
      <w:r w:rsidR="0006014A">
        <w:rPr>
          <w:rFonts w:cs="Arial"/>
          <w:lang w:val="en-US"/>
        </w:rPr>
        <w:t xml:space="preserve"> the public</w:t>
      </w:r>
      <w:r w:rsidRPr="00BD6503">
        <w:rPr>
          <w:rFonts w:cs="Arial"/>
          <w:lang w:val="en-US"/>
        </w:rPr>
        <w:t xml:space="preserve"> from </w:t>
      </w:r>
      <w:r w:rsidR="0006014A">
        <w:rPr>
          <w:rFonts w:cs="Arial"/>
          <w:lang w:val="en-US"/>
        </w:rPr>
        <w:t>corporate</w:t>
      </w:r>
      <w:r w:rsidR="0006014A" w:rsidRPr="00BD6503">
        <w:rPr>
          <w:rFonts w:cs="Arial"/>
          <w:lang w:val="en-US"/>
        </w:rPr>
        <w:t xml:space="preserve"> </w:t>
      </w:r>
      <w:r w:rsidRPr="00BD6503">
        <w:rPr>
          <w:rFonts w:cs="Arial"/>
          <w:lang w:val="en-US"/>
        </w:rPr>
        <w:t>activities.</w:t>
      </w:r>
      <w:r w:rsidR="005A3FD3">
        <w:rPr>
          <w:rFonts w:cs="Arial"/>
          <w:lang w:val="en-US"/>
        </w:rPr>
        <w:t xml:space="preserve"> </w:t>
      </w:r>
      <w:r w:rsidRPr="00BD6503">
        <w:rPr>
          <w:rFonts w:cs="Arial"/>
          <w:lang w:val="en-US"/>
        </w:rPr>
        <w:t xml:space="preserve">This is not to say that states doing this should act illegally or unconstitutionally, but just to observe that when corporations seek to protect their </w:t>
      </w:r>
      <w:r w:rsidR="001F2043">
        <w:rPr>
          <w:rFonts w:cs="Arial"/>
          <w:lang w:val="en-US"/>
        </w:rPr>
        <w:t>“</w:t>
      </w:r>
      <w:r w:rsidRPr="00BD6503">
        <w:rPr>
          <w:rFonts w:cs="Arial"/>
          <w:lang w:val="en-US"/>
        </w:rPr>
        <w:t>rights</w:t>
      </w:r>
      <w:r w:rsidR="001F2043">
        <w:rPr>
          <w:rFonts w:cs="Arial"/>
          <w:lang w:val="en-US"/>
        </w:rPr>
        <w:t>”</w:t>
      </w:r>
      <w:r w:rsidRPr="00BD6503">
        <w:rPr>
          <w:rFonts w:cs="Arial"/>
          <w:lang w:val="en-US"/>
        </w:rPr>
        <w:t xml:space="preserve">, this </w:t>
      </w:r>
      <w:r w:rsidR="0006014A">
        <w:rPr>
          <w:rFonts w:cs="Arial"/>
          <w:lang w:val="en-US"/>
        </w:rPr>
        <w:t>is often aimed at</w:t>
      </w:r>
      <w:r w:rsidRPr="00BD6503">
        <w:rPr>
          <w:rFonts w:cs="Arial"/>
          <w:lang w:val="en-US"/>
        </w:rPr>
        <w:t xml:space="preserve"> restricting state regulatory interventions. This observation is made more controversial by the fact that profit-making corporations in some contexts </w:t>
      </w:r>
      <w:r w:rsidR="0006014A" w:rsidRPr="00BD6503">
        <w:rPr>
          <w:rFonts w:cs="Arial"/>
          <w:lang w:val="en-US"/>
        </w:rPr>
        <w:t xml:space="preserve">are </w:t>
      </w:r>
      <w:r w:rsidRPr="00BD6503">
        <w:rPr>
          <w:rFonts w:cs="Arial"/>
          <w:lang w:val="en-US"/>
        </w:rPr>
        <w:t>as likely to be the authors of human rights violations as public authorities, often in precisely the same circumstances, involving precisely the same types of violations (Bittle and Snider 2013).</w:t>
      </w:r>
      <w:r w:rsidR="005A3FD3">
        <w:rPr>
          <w:rFonts w:cs="Arial"/>
          <w:lang w:val="en-US"/>
        </w:rPr>
        <w:t xml:space="preserve"> </w:t>
      </w:r>
      <w:r w:rsidRPr="00BD6503">
        <w:rPr>
          <w:rFonts w:cs="Arial"/>
          <w:lang w:val="en-US"/>
        </w:rPr>
        <w:t xml:space="preserve">Therein lies </w:t>
      </w:r>
      <w:r w:rsidR="0006014A">
        <w:rPr>
          <w:rFonts w:cs="Arial"/>
          <w:lang w:val="en-US"/>
        </w:rPr>
        <w:t>a</w:t>
      </w:r>
      <w:r w:rsidR="0006014A" w:rsidRPr="00BD6503">
        <w:rPr>
          <w:rFonts w:cs="Arial"/>
          <w:lang w:val="en-US"/>
        </w:rPr>
        <w:t xml:space="preserve"> </w:t>
      </w:r>
      <w:r w:rsidRPr="00BD6503">
        <w:rPr>
          <w:rFonts w:cs="Arial"/>
          <w:lang w:val="en-US"/>
        </w:rPr>
        <w:t xml:space="preserve">fundamental contradiction: although </w:t>
      </w:r>
      <w:proofErr w:type="gramStart"/>
      <w:r w:rsidRPr="00BD6503">
        <w:rPr>
          <w:rFonts w:cs="Arial"/>
          <w:lang w:val="en-US"/>
        </w:rPr>
        <w:t>corporations can be protected by human rights law</w:t>
      </w:r>
      <w:proofErr w:type="gramEnd"/>
      <w:r w:rsidRPr="00BD6503">
        <w:rPr>
          <w:rFonts w:cs="Arial"/>
          <w:lang w:val="en-US"/>
        </w:rPr>
        <w:t>, they can at the same time enjoy impunity for committing human rights violations.</w:t>
      </w:r>
    </w:p>
    <w:p w14:paraId="29138807" w14:textId="23EE734E" w:rsidR="00BD6503" w:rsidRPr="00BD6503" w:rsidRDefault="00BD6503" w:rsidP="00BD6503">
      <w:pPr>
        <w:pStyle w:val="Parrafo"/>
        <w:rPr>
          <w:rFonts w:cs="Arial"/>
          <w:lang w:val="en-US"/>
        </w:rPr>
      </w:pPr>
      <w:r w:rsidRPr="00BD6503">
        <w:rPr>
          <w:rFonts w:cs="Arial"/>
          <w:lang w:val="en-US"/>
        </w:rPr>
        <w:t>Political discussions of the violation of rights by (Global North) corporations in developing (Global South) contexts have generally been counter-balanced by the idea that corporations themselves have the right to invest, and that those rights must be protected in order to ensure FDI flows into the developing world.</w:t>
      </w:r>
      <w:r w:rsidR="005A3FD3">
        <w:rPr>
          <w:rFonts w:cs="Arial"/>
          <w:lang w:val="en-US"/>
        </w:rPr>
        <w:t xml:space="preserve"> </w:t>
      </w:r>
      <w:r w:rsidRPr="00BD6503">
        <w:rPr>
          <w:rFonts w:cs="Arial"/>
          <w:lang w:val="en-US"/>
        </w:rPr>
        <w:t>As Asante (1979) has noted, part of the effort by the UN to develop meaningful mechanisms of accountability for corporate human rights violations has led the richest nations to lobby for a</w:t>
      </w:r>
      <w:r w:rsidR="005A3FD3">
        <w:rPr>
          <w:rFonts w:cs="Arial"/>
          <w:lang w:val="en-US"/>
        </w:rPr>
        <w:t xml:space="preserve"> </w:t>
      </w:r>
      <w:r w:rsidR="001F2043">
        <w:rPr>
          <w:rFonts w:cs="Arial"/>
          <w:lang w:val="en-US"/>
        </w:rPr>
        <w:t>“</w:t>
      </w:r>
      <w:r w:rsidRPr="00BD6503">
        <w:rPr>
          <w:rFonts w:cs="Arial"/>
          <w:lang w:val="en-US"/>
        </w:rPr>
        <w:t>treatment standard</w:t>
      </w:r>
      <w:r w:rsidR="001F2043">
        <w:rPr>
          <w:rFonts w:cs="Arial"/>
          <w:lang w:val="en-US"/>
        </w:rPr>
        <w:t>”</w:t>
      </w:r>
      <w:r w:rsidRPr="00BD6503">
        <w:rPr>
          <w:rFonts w:cs="Arial"/>
          <w:lang w:val="en-US"/>
        </w:rPr>
        <w:t xml:space="preserve"> to protect corporations (see also Coleman 2003).</w:t>
      </w:r>
      <w:r w:rsidR="005A3FD3">
        <w:rPr>
          <w:rFonts w:cs="Arial"/>
          <w:lang w:val="en-US"/>
        </w:rPr>
        <w:t xml:space="preserve"> </w:t>
      </w:r>
      <w:r w:rsidRPr="00BD6503">
        <w:rPr>
          <w:rFonts w:cs="Arial"/>
          <w:lang w:val="en-US"/>
        </w:rPr>
        <w:t xml:space="preserve">Thus, the ability of TNCs to engage in particular forms of investment, property ownership, and to guarantee those activities as </w:t>
      </w:r>
      <w:r w:rsidR="001F2043">
        <w:rPr>
          <w:rFonts w:cs="Arial"/>
          <w:lang w:val="en-US"/>
        </w:rPr>
        <w:t>“</w:t>
      </w:r>
      <w:r w:rsidRPr="00BD6503">
        <w:rPr>
          <w:rFonts w:cs="Arial"/>
          <w:lang w:val="en-US"/>
        </w:rPr>
        <w:t>rights</w:t>
      </w:r>
      <w:r w:rsidR="001F2043">
        <w:rPr>
          <w:rFonts w:cs="Arial"/>
          <w:lang w:val="en-US"/>
        </w:rPr>
        <w:t>”</w:t>
      </w:r>
      <w:r w:rsidRPr="00BD6503">
        <w:rPr>
          <w:rFonts w:cs="Arial"/>
          <w:lang w:val="en-US"/>
        </w:rPr>
        <w:t xml:space="preserve"> has been an ever-present theme whenever the UN has turned its attention to the violation of human rights by corporations.</w:t>
      </w:r>
      <w:r w:rsidR="005A3FD3">
        <w:rPr>
          <w:rFonts w:cs="Arial"/>
          <w:lang w:val="en-US"/>
        </w:rPr>
        <w:t xml:space="preserve"> </w:t>
      </w:r>
      <w:r w:rsidRPr="00BD6503">
        <w:rPr>
          <w:rFonts w:cs="Arial"/>
          <w:lang w:val="en-US"/>
        </w:rPr>
        <w:t>The US had as early as 1978 complained about the UN Code of Conduct for Transnational Corporations providing a basis for “discriminating” against TNCs (</w:t>
      </w:r>
      <w:r w:rsidR="005838E9" w:rsidRPr="00CF3106">
        <w:rPr>
          <w:rFonts w:cs="Arial"/>
          <w:lang w:val="en-US"/>
        </w:rPr>
        <w:t>Coleman 2003</w:t>
      </w:r>
      <w:r w:rsidR="005838E9">
        <w:rPr>
          <w:rFonts w:cs="Arial"/>
          <w:i/>
          <w:lang w:val="en-US"/>
        </w:rPr>
        <w:t>,</w:t>
      </w:r>
      <w:r w:rsidRPr="00BD6503">
        <w:rPr>
          <w:rFonts w:cs="Arial"/>
          <w:lang w:val="en-US"/>
        </w:rPr>
        <w:t xml:space="preserve"> 344</w:t>
      </w:r>
      <w:r w:rsidR="005838E9">
        <w:rPr>
          <w:rFonts w:cs="Arial"/>
          <w:lang w:val="en-US"/>
        </w:rPr>
        <w:t>,</w:t>
      </w:r>
      <w:r w:rsidRPr="00BD6503">
        <w:rPr>
          <w:rFonts w:cs="Arial"/>
          <w:lang w:val="en-US"/>
        </w:rPr>
        <w:t xml:space="preserve"> Khoury and Whyte 2017).</w:t>
      </w:r>
    </w:p>
    <w:p w14:paraId="219CC7B3" w14:textId="70560076" w:rsidR="00BD6503" w:rsidRPr="00BD6503" w:rsidRDefault="00BD6503" w:rsidP="00BD6503">
      <w:pPr>
        <w:pStyle w:val="Parrafo"/>
        <w:rPr>
          <w:rFonts w:cs="Arial"/>
          <w:lang w:val="en-US"/>
        </w:rPr>
      </w:pPr>
      <w:r w:rsidRPr="00BD6503">
        <w:rPr>
          <w:rFonts w:cs="Arial"/>
          <w:lang w:val="en-US"/>
        </w:rPr>
        <w:t xml:space="preserve">Upholding the </w:t>
      </w:r>
      <w:r w:rsidR="001F2043">
        <w:rPr>
          <w:rFonts w:cs="Arial"/>
          <w:lang w:val="en-US"/>
        </w:rPr>
        <w:t>“</w:t>
      </w:r>
      <w:r w:rsidRPr="00BD6503">
        <w:rPr>
          <w:rFonts w:cs="Arial"/>
          <w:lang w:val="en-US"/>
        </w:rPr>
        <w:t>rights of TNCs</w:t>
      </w:r>
      <w:r w:rsidR="001F2043">
        <w:rPr>
          <w:rFonts w:cs="Arial"/>
          <w:lang w:val="en-US"/>
        </w:rPr>
        <w:t>”</w:t>
      </w:r>
      <w:r w:rsidRPr="00BD6503">
        <w:rPr>
          <w:rFonts w:cs="Arial"/>
          <w:lang w:val="en-US"/>
        </w:rPr>
        <w:t xml:space="preserve"> is now a common thread running through UN commentaries on development (Perrone 2018) and mechanisms to ensure that those rights are not violated are now inserted routinely into bi-lateral trade agreements.</w:t>
      </w:r>
      <w:r w:rsidR="005A3FD3">
        <w:rPr>
          <w:rFonts w:cs="Arial"/>
          <w:lang w:val="en-US"/>
        </w:rPr>
        <w:t xml:space="preserve"> </w:t>
      </w:r>
      <w:r w:rsidRPr="00BD6503">
        <w:rPr>
          <w:rFonts w:cs="Arial"/>
          <w:lang w:val="en-US"/>
        </w:rPr>
        <w:t xml:space="preserve">Thus, Investor-State Dispute Settlement (ISDS) mechanisms have expanded hugely over the past </w:t>
      </w:r>
      <w:r w:rsidR="005838E9">
        <w:rPr>
          <w:rFonts w:cs="Arial"/>
          <w:lang w:val="en-US"/>
        </w:rPr>
        <w:t>two</w:t>
      </w:r>
      <w:r w:rsidRPr="00BD6503">
        <w:rPr>
          <w:rFonts w:cs="Arial"/>
          <w:lang w:val="en-US"/>
        </w:rPr>
        <w:t xml:space="preserve"> decades to give corporations the right to seek redress if governments implement policies that potentially undermine their interests (</w:t>
      </w:r>
      <w:r w:rsidR="005838E9" w:rsidRPr="00BD6503">
        <w:rPr>
          <w:rFonts w:cs="Arial"/>
          <w:lang w:val="en-US"/>
        </w:rPr>
        <w:t>Eberhardt and Olivet 2012</w:t>
      </w:r>
      <w:r w:rsidR="005838E9">
        <w:rPr>
          <w:rFonts w:cs="Arial"/>
          <w:lang w:val="en-US"/>
        </w:rPr>
        <w:t xml:space="preserve">, </w:t>
      </w:r>
      <w:r w:rsidRPr="00BD6503">
        <w:rPr>
          <w:rFonts w:cs="Arial"/>
          <w:lang w:val="en-US"/>
        </w:rPr>
        <w:t>Ciocchini and Khoury 2018).</w:t>
      </w:r>
      <w:r w:rsidR="005A3FD3">
        <w:rPr>
          <w:rFonts w:cs="Arial"/>
          <w:lang w:val="en-US"/>
        </w:rPr>
        <w:t xml:space="preserve"> </w:t>
      </w:r>
      <w:r w:rsidRPr="00BD6503">
        <w:rPr>
          <w:rFonts w:cs="Arial"/>
          <w:lang w:val="en-US"/>
        </w:rPr>
        <w:t xml:space="preserve">For Hawkins and Holden (2016) this creates veto points that can restrict the other fundamental human rights of citizens, for example, </w:t>
      </w:r>
      <w:r w:rsidR="0006014A">
        <w:rPr>
          <w:rFonts w:cs="Arial"/>
          <w:lang w:val="en-US"/>
        </w:rPr>
        <w:t xml:space="preserve">the right </w:t>
      </w:r>
      <w:r w:rsidRPr="00BD6503">
        <w:rPr>
          <w:rFonts w:cs="Arial"/>
          <w:lang w:val="en-US"/>
        </w:rPr>
        <w:t>to basic health provision:</w:t>
      </w:r>
    </w:p>
    <w:p w14:paraId="16A5E9C8" w14:textId="77777777" w:rsidR="00BD6503" w:rsidRPr="00BD6503" w:rsidRDefault="00BD6503" w:rsidP="00B028D8">
      <w:pPr>
        <w:pStyle w:val="citaparrafopropio"/>
        <w:rPr>
          <w:lang w:val="en-US"/>
        </w:rPr>
      </w:pPr>
      <w:r w:rsidRPr="00BD6503">
        <w:rPr>
          <w:lang w:val="en-US"/>
        </w:rPr>
        <w:t>It creates a substantial disincentive to seek stronger health-protecting regulations, since any government considering new regulations must weigh the benefits of these against the chances of success in multiple disputes and the potentially huge costs of engaging in litigation, or settling awards made by the arbitration panel</w:t>
      </w:r>
      <w:r w:rsidR="00B028D8">
        <w:rPr>
          <w:lang w:val="en-US"/>
        </w:rPr>
        <w:t xml:space="preserve"> against the state in question.</w:t>
      </w:r>
    </w:p>
    <w:p w14:paraId="760669A1" w14:textId="1412607D" w:rsidR="00BD6503" w:rsidRPr="00BD6503" w:rsidRDefault="00BD6503" w:rsidP="00BD6503">
      <w:pPr>
        <w:pStyle w:val="Parrafo"/>
        <w:rPr>
          <w:color w:val="000000"/>
          <w:lang w:val="en-US"/>
        </w:rPr>
      </w:pPr>
      <w:r w:rsidRPr="00BD6503">
        <w:rPr>
          <w:lang w:val="en-US"/>
        </w:rPr>
        <w:t xml:space="preserve">Thus bi-lateral trade treaties are not only becoming key </w:t>
      </w:r>
      <w:r w:rsidRPr="00BD6503">
        <w:rPr>
          <w:i/>
          <w:lang w:val="en-US"/>
        </w:rPr>
        <w:t>fora</w:t>
      </w:r>
      <w:r w:rsidRPr="00BD6503">
        <w:rPr>
          <w:lang w:val="en-US"/>
        </w:rPr>
        <w:t xml:space="preserve"> in which the rights of the corporations to access markets are realized, but also where the rights of the corporate citizen are set against the rights of real citizens.</w:t>
      </w:r>
      <w:r w:rsidR="005A3FD3">
        <w:rPr>
          <w:lang w:val="en-US"/>
        </w:rPr>
        <w:t xml:space="preserve"> </w:t>
      </w:r>
    </w:p>
    <w:p w14:paraId="6F0F4CBB" w14:textId="163AA99C" w:rsidR="00BD6503" w:rsidRPr="00BD6503" w:rsidRDefault="00BD6503" w:rsidP="00BD6503">
      <w:pPr>
        <w:pStyle w:val="Parrafo"/>
        <w:rPr>
          <w:lang w:val="en-US"/>
        </w:rPr>
      </w:pPr>
      <w:r w:rsidRPr="00BD6503">
        <w:rPr>
          <w:lang w:val="en-US"/>
        </w:rPr>
        <w:t xml:space="preserve">Although this section has only really begun to uncover the structure of </w:t>
      </w:r>
      <w:r w:rsidR="0006014A">
        <w:rPr>
          <w:lang w:val="en-US"/>
        </w:rPr>
        <w:t xml:space="preserve">the </w:t>
      </w:r>
      <w:r w:rsidRPr="00BD6503">
        <w:rPr>
          <w:lang w:val="en-US"/>
        </w:rPr>
        <w:t>corporate right to protection by government through a limited number of examples, it is clear from those examples that the concept of corporate rights has become embedded in law and in practice.</w:t>
      </w:r>
      <w:r w:rsidR="005A3FD3">
        <w:rPr>
          <w:lang w:val="en-US"/>
        </w:rPr>
        <w:t xml:space="preserve"> </w:t>
      </w:r>
      <w:r w:rsidRPr="00BD6503">
        <w:rPr>
          <w:lang w:val="en-US"/>
        </w:rPr>
        <w:t>Corporations are able to invoke a wide range of rights: for example,</w:t>
      </w:r>
      <w:r w:rsidR="005A3FD3">
        <w:rPr>
          <w:lang w:val="en-US"/>
        </w:rPr>
        <w:t xml:space="preserve"> </w:t>
      </w:r>
      <w:r w:rsidRPr="00BD6503">
        <w:rPr>
          <w:lang w:val="en-US"/>
        </w:rPr>
        <w:t>the right to silence, the right to enjoy property, the right to participate in markets or the right to veto social policies.</w:t>
      </w:r>
      <w:r w:rsidR="005A3FD3">
        <w:rPr>
          <w:lang w:val="en-US"/>
        </w:rPr>
        <w:t xml:space="preserve"> </w:t>
      </w:r>
      <w:r w:rsidRPr="00BD6503">
        <w:rPr>
          <w:lang w:val="en-US"/>
        </w:rPr>
        <w:t>And it is here that we see an enhanced form of rights that stems directly from the social power enjoyed by corporations.</w:t>
      </w:r>
      <w:r w:rsidR="005A3FD3">
        <w:rPr>
          <w:lang w:val="en-US"/>
        </w:rPr>
        <w:t xml:space="preserve"> </w:t>
      </w:r>
      <w:r w:rsidRPr="00BD6503">
        <w:rPr>
          <w:lang w:val="en-US"/>
        </w:rPr>
        <w:t xml:space="preserve">Many of those rights can only be achieved though the long-term deployment of financial and political resources </w:t>
      </w:r>
      <w:proofErr w:type="gramStart"/>
      <w:r w:rsidRPr="00BD6503">
        <w:rPr>
          <w:lang w:val="en-US"/>
        </w:rPr>
        <w:t>that are</w:t>
      </w:r>
      <w:proofErr w:type="gramEnd"/>
      <w:r w:rsidRPr="00BD6503">
        <w:rPr>
          <w:lang w:val="en-US"/>
        </w:rPr>
        <w:t xml:space="preserve"> simply not available to individual citizens.</w:t>
      </w:r>
      <w:r w:rsidR="005A3FD3">
        <w:rPr>
          <w:lang w:val="en-US"/>
        </w:rPr>
        <w:t xml:space="preserve"> </w:t>
      </w:r>
      <w:r w:rsidRPr="00BD6503">
        <w:rPr>
          <w:lang w:val="en-US"/>
        </w:rPr>
        <w:t xml:space="preserve">And ongoing access to those rights are only secured because of </w:t>
      </w:r>
      <w:r w:rsidRPr="00BD6503">
        <w:rPr>
          <w:lang w:val="en-US"/>
        </w:rPr>
        <w:lastRenderedPageBreak/>
        <w:t xml:space="preserve">the deployment of resources, whether measured by the scale of deployment of corporate lawyers in international arbitration, or measured in terms of lobbying at the UN or the Council of Europe, or national government bodies (Nader and Smith 1996). </w:t>
      </w:r>
    </w:p>
    <w:p w14:paraId="38FF9CE4" w14:textId="77777777" w:rsidR="00BD6503" w:rsidRPr="00BD6503" w:rsidRDefault="00B028D8" w:rsidP="00B028D8">
      <w:pPr>
        <w:pStyle w:val="Epgrafe11"/>
        <w:rPr>
          <w:lang w:val="en-US"/>
        </w:rPr>
      </w:pPr>
      <w:bookmarkStart w:id="45" w:name="_Toc520452077"/>
      <w:r>
        <w:rPr>
          <w:lang w:val="en-US"/>
        </w:rPr>
        <w:t xml:space="preserve">4.2. </w:t>
      </w:r>
      <w:r w:rsidR="00BD6503" w:rsidRPr="00BD6503">
        <w:rPr>
          <w:lang w:val="en-US"/>
        </w:rPr>
        <w:t>Rights to Protection by Government</w:t>
      </w:r>
      <w:bookmarkEnd w:id="45"/>
    </w:p>
    <w:p w14:paraId="7BAF3921" w14:textId="56A1792D" w:rsidR="0006014A" w:rsidRDefault="00BD6503" w:rsidP="00BD6503">
      <w:pPr>
        <w:pStyle w:val="Parrafo"/>
        <w:rPr>
          <w:lang w:val="en-US"/>
        </w:rPr>
      </w:pPr>
      <w:r w:rsidRPr="00BD6503">
        <w:rPr>
          <w:lang w:val="en-US"/>
        </w:rPr>
        <w:t>Under the second broad category of citizenship rights, corporations enjoy access to some analogous government protections that individuals (formally at least) expect as citizens.</w:t>
      </w:r>
      <w:r w:rsidR="005A3FD3">
        <w:rPr>
          <w:lang w:val="en-US"/>
        </w:rPr>
        <w:t xml:space="preserve"> </w:t>
      </w:r>
      <w:r w:rsidRPr="00BD6503">
        <w:rPr>
          <w:lang w:val="en-US"/>
        </w:rPr>
        <w:t>They enjoy the protection of the police, and laws designed to protect business from crime.</w:t>
      </w:r>
      <w:r w:rsidR="005A3FD3">
        <w:rPr>
          <w:lang w:val="en-US"/>
        </w:rPr>
        <w:t xml:space="preserve"> </w:t>
      </w:r>
      <w:r w:rsidRPr="00BD6503">
        <w:rPr>
          <w:rFonts w:cs="Arial"/>
          <w:lang w:val="en-US"/>
        </w:rPr>
        <w:t xml:space="preserve">In civil law, corporate persons generally have access to </w:t>
      </w:r>
      <w:r w:rsidR="0006014A">
        <w:rPr>
          <w:rFonts w:cs="Arial"/>
          <w:lang w:val="en-US"/>
        </w:rPr>
        <w:t xml:space="preserve">the same </w:t>
      </w:r>
      <w:r w:rsidRPr="00BD6503">
        <w:rPr>
          <w:rFonts w:cs="Arial"/>
          <w:lang w:val="en-US"/>
        </w:rPr>
        <w:t xml:space="preserve">litigation mechanisms </w:t>
      </w:r>
      <w:r w:rsidR="0006014A">
        <w:rPr>
          <w:rFonts w:cs="Arial"/>
          <w:lang w:val="en-US"/>
        </w:rPr>
        <w:t>as</w:t>
      </w:r>
      <w:r w:rsidR="0006014A" w:rsidRPr="00BD6503">
        <w:rPr>
          <w:rFonts w:cs="Arial"/>
          <w:lang w:val="en-US"/>
        </w:rPr>
        <w:t xml:space="preserve"> </w:t>
      </w:r>
      <w:r w:rsidRPr="00BD6503">
        <w:rPr>
          <w:rFonts w:cs="Arial"/>
          <w:lang w:val="en-US"/>
        </w:rPr>
        <w:t>individuals: they can sue other individuals and corporation for damages (Krannich 2005).</w:t>
      </w:r>
      <w:r w:rsidR="005A3FD3">
        <w:rPr>
          <w:rFonts w:cs="Arial"/>
          <w:lang w:val="en-US"/>
        </w:rPr>
        <w:t xml:space="preserve"> </w:t>
      </w:r>
      <w:r w:rsidRPr="00BD6503">
        <w:rPr>
          <w:rFonts w:cs="Arial"/>
          <w:lang w:val="en-US"/>
        </w:rPr>
        <w:t xml:space="preserve">Large corporations in some sectors have become particularly active in litigation, the threat of litigation and the use of strategic </w:t>
      </w:r>
      <w:proofErr w:type="gramStart"/>
      <w:r w:rsidRPr="00BD6503">
        <w:rPr>
          <w:rFonts w:cs="Arial"/>
          <w:lang w:val="en-US"/>
        </w:rPr>
        <w:t>law suits</w:t>
      </w:r>
      <w:proofErr w:type="gramEnd"/>
      <w:r w:rsidRPr="00BD6503">
        <w:rPr>
          <w:rFonts w:cs="Arial"/>
          <w:lang w:val="en-US"/>
        </w:rPr>
        <w:t xml:space="preserve"> (</w:t>
      </w:r>
      <w:r w:rsidR="005838E9" w:rsidRPr="00BD6503">
        <w:rPr>
          <w:rFonts w:cs="Arial"/>
          <w:lang w:val="en-US"/>
        </w:rPr>
        <w:t>Hilson 2016</w:t>
      </w:r>
      <w:r w:rsidR="005838E9">
        <w:rPr>
          <w:rFonts w:cs="Arial"/>
          <w:lang w:val="en-US"/>
        </w:rPr>
        <w:t xml:space="preserve">, </w:t>
      </w:r>
      <w:r w:rsidRPr="00BD6503">
        <w:rPr>
          <w:rFonts w:cs="Arial"/>
          <w:lang w:val="en-US"/>
        </w:rPr>
        <w:t>Ciampi 2017).</w:t>
      </w:r>
      <w:r w:rsidR="005A3FD3">
        <w:rPr>
          <w:rFonts w:cs="Arial"/>
          <w:lang w:val="en-US"/>
        </w:rPr>
        <w:t xml:space="preserve"> </w:t>
      </w:r>
      <w:r w:rsidRPr="00BD6503">
        <w:rPr>
          <w:rFonts w:cs="Arial"/>
          <w:lang w:val="en-US"/>
        </w:rPr>
        <w:t xml:space="preserve">Those are a type of protections that corporations take the initiative to secure; </w:t>
      </w:r>
      <w:proofErr w:type="gramStart"/>
      <w:r w:rsidRPr="00BD6503">
        <w:rPr>
          <w:rFonts w:cs="Arial"/>
          <w:lang w:val="en-US"/>
        </w:rPr>
        <w:t xml:space="preserve">they are therefore, protections </w:t>
      </w:r>
      <w:r w:rsidRPr="00BD6503">
        <w:rPr>
          <w:rFonts w:cs="Arial"/>
          <w:i/>
          <w:lang w:val="en-US"/>
        </w:rPr>
        <w:t>guaranteed</w:t>
      </w:r>
      <w:r w:rsidRPr="00BD6503">
        <w:rPr>
          <w:rFonts w:cs="Arial"/>
          <w:lang w:val="en-US"/>
        </w:rPr>
        <w:t xml:space="preserve"> by government, as opposed to protections directly provided by government</w:t>
      </w:r>
      <w:proofErr w:type="gramEnd"/>
      <w:r w:rsidRPr="00BD6503">
        <w:rPr>
          <w:rFonts w:cs="Arial"/>
          <w:lang w:val="en-US"/>
        </w:rPr>
        <w:t>.</w:t>
      </w:r>
      <w:r w:rsidR="0006014A">
        <w:rPr>
          <w:lang w:val="en-US"/>
        </w:rPr>
        <w:t xml:space="preserve"> </w:t>
      </w:r>
      <w:r w:rsidRPr="00BD6503">
        <w:rPr>
          <w:lang w:val="en-US"/>
        </w:rPr>
        <w:t xml:space="preserve">Of the protections provided directly by government, we can include a range of economic benefits that </w:t>
      </w:r>
      <w:r w:rsidR="0006014A">
        <w:rPr>
          <w:lang w:val="en-US"/>
        </w:rPr>
        <w:t>are</w:t>
      </w:r>
      <w:r w:rsidRPr="00BD6503">
        <w:rPr>
          <w:lang w:val="en-US"/>
        </w:rPr>
        <w:t xml:space="preserve"> broadly analogous to the welfare </w:t>
      </w:r>
      <w:proofErr w:type="gramStart"/>
      <w:r w:rsidRPr="00BD6503">
        <w:rPr>
          <w:lang w:val="en-US"/>
        </w:rPr>
        <w:t>safety-net</w:t>
      </w:r>
      <w:proofErr w:type="gramEnd"/>
      <w:r w:rsidRPr="00BD6503">
        <w:rPr>
          <w:lang w:val="en-US"/>
        </w:rPr>
        <w:t xml:space="preserve"> available to the citizens of some liberal democracies.</w:t>
      </w:r>
      <w:r w:rsidR="005A3FD3">
        <w:rPr>
          <w:lang w:val="en-US"/>
        </w:rPr>
        <w:t xml:space="preserve"> </w:t>
      </w:r>
      <w:r w:rsidRPr="00BD6503">
        <w:rPr>
          <w:lang w:val="en-US"/>
        </w:rPr>
        <w:t>In Global North economies with developed welfare systems, individual citizens who have failed economically might receive safety-net payments from government.</w:t>
      </w:r>
      <w:r w:rsidR="005A3FD3">
        <w:rPr>
          <w:lang w:val="en-US"/>
        </w:rPr>
        <w:t xml:space="preserve"> </w:t>
      </w:r>
      <w:r w:rsidRPr="00BD6503">
        <w:rPr>
          <w:lang w:val="en-US"/>
        </w:rPr>
        <w:t>In the most advanced economies, those may even be income-linked to provide a basic level of welfare for people who become unemployed and too ill to work.</w:t>
      </w:r>
      <w:r w:rsidR="005A3FD3">
        <w:rPr>
          <w:lang w:val="en-US"/>
        </w:rPr>
        <w:t xml:space="preserve"> </w:t>
      </w:r>
    </w:p>
    <w:p w14:paraId="511D9CE1" w14:textId="0BB295A8" w:rsidR="00BD6503" w:rsidRPr="00BD6503" w:rsidRDefault="00BD6503" w:rsidP="00BD6503">
      <w:pPr>
        <w:pStyle w:val="Parrafo"/>
        <w:rPr>
          <w:lang w:val="en-US"/>
        </w:rPr>
      </w:pPr>
      <w:r w:rsidRPr="00BD6503">
        <w:rPr>
          <w:lang w:val="en-US"/>
        </w:rPr>
        <w:t xml:space="preserve">The term </w:t>
      </w:r>
      <w:r w:rsidR="005838E9">
        <w:rPr>
          <w:lang w:val="en-US"/>
        </w:rPr>
        <w:t>“</w:t>
      </w:r>
      <w:r w:rsidRPr="005838E9">
        <w:rPr>
          <w:lang w:val="en-US"/>
        </w:rPr>
        <w:t>corporate welfare</w:t>
      </w:r>
      <w:r w:rsidR="005838E9">
        <w:rPr>
          <w:lang w:val="en-US"/>
        </w:rPr>
        <w:t>”</w:t>
      </w:r>
      <w:r w:rsidRPr="00BD6503">
        <w:rPr>
          <w:lang w:val="en-US"/>
        </w:rPr>
        <w:t xml:space="preserve"> (Dawkins 2002) captures a range of specific benefits provided by governments to corporations.</w:t>
      </w:r>
      <w:r w:rsidR="005A3FD3">
        <w:rPr>
          <w:lang w:val="en-US"/>
        </w:rPr>
        <w:t xml:space="preserve"> </w:t>
      </w:r>
      <w:r w:rsidRPr="00BD6503">
        <w:rPr>
          <w:lang w:val="en-US"/>
        </w:rPr>
        <w:t>One estimate of corporate welfare in the UK</w:t>
      </w:r>
      <w:r w:rsidR="005A3FD3">
        <w:rPr>
          <w:lang w:val="en-US"/>
        </w:rPr>
        <w:t xml:space="preserve"> </w:t>
      </w:r>
      <w:r w:rsidRPr="00BD6503">
        <w:rPr>
          <w:lang w:val="en-US"/>
        </w:rPr>
        <w:t>(including tax benefits, the value of cheap credit made available to business, government marketing support and public procurement from the private sector) adds up to a total of £85bn year (Farnsworth 2015). UK train operators are completely dependent upon government subsidies.</w:t>
      </w:r>
      <w:r w:rsidR="005A3FD3">
        <w:rPr>
          <w:lang w:val="en-US"/>
        </w:rPr>
        <w:t xml:space="preserve"> </w:t>
      </w:r>
      <w:r w:rsidRPr="00BD6503">
        <w:rPr>
          <w:lang w:val="en-US"/>
        </w:rPr>
        <w:t>Numerous sectors such as the care sector, health and pharmaceuticals, private security, the arms industry, educational suppliers and publishers etc. etc. would be tiny by comparison without government contracts and the role of the public sector in stimulating those markets (Jansa and Gray 2014). Many British companies operating abroad are granted export credit subsidies (enabling them to invest at low or no risk of exposure).</w:t>
      </w:r>
      <w:r w:rsidR="005A3FD3">
        <w:rPr>
          <w:lang w:val="en-US"/>
        </w:rPr>
        <w:t xml:space="preserve"> </w:t>
      </w:r>
      <w:r w:rsidR="0006014A">
        <w:rPr>
          <w:lang w:val="en-US"/>
        </w:rPr>
        <w:t>It is no exaggeration to say that every</w:t>
      </w:r>
      <w:r w:rsidR="0006014A" w:rsidRPr="00BD6503">
        <w:rPr>
          <w:lang w:val="en-US"/>
        </w:rPr>
        <w:t xml:space="preserve"> </w:t>
      </w:r>
      <w:r w:rsidRPr="00BD6503">
        <w:rPr>
          <w:lang w:val="en-US"/>
        </w:rPr>
        <w:t xml:space="preserve">single part of the business economy is subsidized in </w:t>
      </w:r>
      <w:proofErr w:type="gramStart"/>
      <w:r w:rsidRPr="00BD6503">
        <w:rPr>
          <w:lang w:val="en-US"/>
        </w:rPr>
        <w:t>one way</w:t>
      </w:r>
      <w:proofErr w:type="gramEnd"/>
      <w:r w:rsidRPr="00BD6503">
        <w:rPr>
          <w:lang w:val="en-US"/>
        </w:rPr>
        <w:t xml:space="preserve"> or another.</w:t>
      </w:r>
      <w:r w:rsidR="005A3FD3">
        <w:rPr>
          <w:lang w:val="en-US"/>
        </w:rPr>
        <w:t xml:space="preserve"> </w:t>
      </w:r>
      <w:r w:rsidRPr="00BD6503">
        <w:rPr>
          <w:lang w:val="en-US"/>
        </w:rPr>
        <w:t xml:space="preserve">And those levels of subsidy represent a major burden on the tax base that is largely borne by the ordinary citizen. </w:t>
      </w:r>
    </w:p>
    <w:p w14:paraId="781839FA" w14:textId="27691C0D" w:rsidR="00BD6503" w:rsidRPr="00BD6503" w:rsidRDefault="00BD6503" w:rsidP="00BD6503">
      <w:pPr>
        <w:pStyle w:val="Parrafo"/>
        <w:rPr>
          <w:lang w:val="en-US"/>
        </w:rPr>
      </w:pPr>
      <w:r w:rsidRPr="00BD6503">
        <w:rPr>
          <w:lang w:val="en-US"/>
        </w:rPr>
        <w:t>Corporations also expect to have access to foreign embassies and to be able to move assets and employees across borders with some guarantee of protection.</w:t>
      </w:r>
      <w:r w:rsidR="005A3FD3">
        <w:rPr>
          <w:lang w:val="en-US"/>
        </w:rPr>
        <w:t xml:space="preserve"> </w:t>
      </w:r>
      <w:r w:rsidRPr="00BD6503">
        <w:rPr>
          <w:lang w:val="en-US"/>
        </w:rPr>
        <w:t xml:space="preserve">In practice, the diplomatic support that </w:t>
      </w:r>
      <w:r w:rsidRPr="00BD6503">
        <w:rPr>
          <w:i/>
          <w:lang w:val="en-US"/>
        </w:rPr>
        <w:t>corporations</w:t>
      </w:r>
      <w:r w:rsidRPr="00BD6503">
        <w:rPr>
          <w:lang w:val="en-US"/>
        </w:rPr>
        <w:t xml:space="preserve"> (ie not merely their employees in their capacity as individual citizens) can expect significantly exceeds the support that ordinary citizens can expect.</w:t>
      </w:r>
      <w:r w:rsidR="005A3FD3">
        <w:rPr>
          <w:lang w:val="en-US"/>
        </w:rPr>
        <w:t xml:space="preserve"> </w:t>
      </w:r>
      <w:r w:rsidRPr="00BD6503">
        <w:rPr>
          <w:lang w:val="en-US"/>
        </w:rPr>
        <w:t xml:space="preserve">Those </w:t>
      </w:r>
      <w:r w:rsidR="001F2043">
        <w:rPr>
          <w:lang w:val="en-US"/>
        </w:rPr>
        <w:t>“</w:t>
      </w:r>
      <w:r w:rsidRPr="00BD6503">
        <w:rPr>
          <w:lang w:val="en-US"/>
        </w:rPr>
        <w:t>rights</w:t>
      </w:r>
      <w:r w:rsidR="001F2043">
        <w:rPr>
          <w:lang w:val="en-US"/>
        </w:rPr>
        <w:t>”</w:t>
      </w:r>
      <w:r w:rsidRPr="00BD6503">
        <w:rPr>
          <w:lang w:val="en-US"/>
        </w:rPr>
        <w:t xml:space="preserve"> and freedoms are often dependent upon a complexity of trade rules, agreements and international treaties.</w:t>
      </w:r>
      <w:r w:rsidR="005A3FD3">
        <w:rPr>
          <w:lang w:val="en-US"/>
        </w:rPr>
        <w:t xml:space="preserve"> </w:t>
      </w:r>
      <w:r w:rsidRPr="00BD6503">
        <w:rPr>
          <w:lang w:val="en-US"/>
        </w:rPr>
        <w:t>Whilst the most powerful states can and do intervene to impose tariffs to protect their own corporations, the core principle generally underpinning those systems of rules is that the free movement of capital, of corporate assets, and of the representatives of corporations, must be protected as far as possible.</w:t>
      </w:r>
      <w:r w:rsidR="005A3FD3">
        <w:rPr>
          <w:lang w:val="en-US"/>
        </w:rPr>
        <w:t xml:space="preserve"> </w:t>
      </w:r>
    </w:p>
    <w:p w14:paraId="54752EA5" w14:textId="1E8E55DD" w:rsidR="00BD6503" w:rsidRPr="00BD6503" w:rsidRDefault="00BD6503" w:rsidP="00BD6503">
      <w:pPr>
        <w:pStyle w:val="Parrafo"/>
        <w:rPr>
          <w:lang w:val="en-US"/>
        </w:rPr>
      </w:pPr>
      <w:r w:rsidRPr="00BD6503">
        <w:rPr>
          <w:lang w:val="en-US"/>
        </w:rPr>
        <w:t>Corporations are not passport holders, but nonetheless can expect their consulates and embassies to provide protection and represent their interests.</w:t>
      </w:r>
      <w:r w:rsidR="005A3FD3">
        <w:rPr>
          <w:lang w:val="en-US"/>
        </w:rPr>
        <w:t xml:space="preserve"> </w:t>
      </w:r>
      <w:r w:rsidRPr="00BD6503">
        <w:rPr>
          <w:lang w:val="en-US"/>
        </w:rPr>
        <w:t>For example, British corporations operating abroad access those diplomatic services routinely.</w:t>
      </w:r>
      <w:r w:rsidR="005A3FD3">
        <w:rPr>
          <w:lang w:val="en-US"/>
        </w:rPr>
        <w:t xml:space="preserve"> </w:t>
      </w:r>
      <w:r w:rsidRPr="00BD6503">
        <w:rPr>
          <w:lang w:val="en-US"/>
        </w:rPr>
        <w:t>The UK Foreign and Commonwealth Office (</w:t>
      </w:r>
      <w:r w:rsidR="0010146A">
        <w:rPr>
          <w:lang w:val="en-US"/>
        </w:rPr>
        <w:t>2011</w:t>
      </w:r>
      <w:r w:rsidRPr="00BD6503">
        <w:rPr>
          <w:lang w:val="en-US"/>
        </w:rPr>
        <w:t>) asserts that “FCO will equip its staff with the necessary skills to be effective in supporting UK business and investment, as a core part of the job of the Diplomatic Service”</w:t>
      </w:r>
      <w:r w:rsidR="005838E9">
        <w:rPr>
          <w:lang w:val="en-US"/>
        </w:rPr>
        <w:t>.</w:t>
      </w:r>
      <w:r w:rsidR="005A3FD3">
        <w:rPr>
          <w:lang w:val="en-US"/>
        </w:rPr>
        <w:t xml:space="preserve"> </w:t>
      </w:r>
      <w:r w:rsidRPr="00BD6503">
        <w:rPr>
          <w:lang w:val="en-US"/>
        </w:rPr>
        <w:t>This includes the “tireless” lobbying of foreign governments to award contract to British firms (</w:t>
      </w:r>
      <w:r w:rsidR="005838E9">
        <w:rPr>
          <w:lang w:val="en-US"/>
        </w:rPr>
        <w:t>F.CO. n.d</w:t>
      </w:r>
      <w:r w:rsidRPr="00BD6503">
        <w:rPr>
          <w:lang w:val="en-US"/>
        </w:rPr>
        <w:t xml:space="preserve">., 7) and using UK government data and intelligence to help UK businesses </w:t>
      </w:r>
      <w:r w:rsidRPr="00BD6503">
        <w:rPr>
          <w:lang w:val="en-US"/>
        </w:rPr>
        <w:lastRenderedPageBreak/>
        <w:t>identify and pursue new opportunities.</w:t>
      </w:r>
      <w:r w:rsidR="005A3FD3">
        <w:rPr>
          <w:lang w:val="en-US"/>
        </w:rPr>
        <w:t xml:space="preserve"> </w:t>
      </w:r>
      <w:r w:rsidRPr="00BD6503">
        <w:rPr>
          <w:lang w:val="en-US"/>
        </w:rPr>
        <w:t>As part of this role, British corporations are regularly invited to accompany UK Government ministers on diplomatic missions (Whyte 2015b). Where significant corporate interests are operating in conflict zones, they often granted military support.</w:t>
      </w:r>
      <w:r w:rsidR="005A3FD3">
        <w:rPr>
          <w:lang w:val="en-US"/>
        </w:rPr>
        <w:t xml:space="preserve"> </w:t>
      </w:r>
      <w:r w:rsidRPr="00BD6503">
        <w:rPr>
          <w:lang w:val="en-US"/>
        </w:rPr>
        <w:t xml:space="preserve">This is fairly regular practice in the extractive industries. </w:t>
      </w:r>
      <w:r w:rsidR="0006014A">
        <w:rPr>
          <w:lang w:val="en-US"/>
        </w:rPr>
        <w:t xml:space="preserve">Indeed, </w:t>
      </w:r>
      <w:r w:rsidRPr="00BD6503">
        <w:rPr>
          <w:lang w:val="en-US"/>
        </w:rPr>
        <w:t>Global North states have become adept at ensuring their corporations have military protection</w:t>
      </w:r>
      <w:r w:rsidR="0006014A">
        <w:rPr>
          <w:lang w:val="en-US"/>
        </w:rPr>
        <w:t>, often taking the form of agreements with client states</w:t>
      </w:r>
      <w:r w:rsidRPr="00BD6503">
        <w:rPr>
          <w:lang w:val="en-US"/>
        </w:rPr>
        <w:t>.</w:t>
      </w:r>
      <w:r w:rsidR="005A3FD3">
        <w:rPr>
          <w:lang w:val="en-US"/>
        </w:rPr>
        <w:t xml:space="preserve"> </w:t>
      </w:r>
      <w:r w:rsidRPr="00BD6503">
        <w:rPr>
          <w:lang w:val="en-US"/>
        </w:rPr>
        <w:t>Indeed, as Gaffney (2018, 331) argues, a primary function of US military power is “punishing or deposing regimes</w:t>
      </w:r>
      <w:r w:rsidR="005A3FD3">
        <w:rPr>
          <w:lang w:val="en-US"/>
        </w:rPr>
        <w:t xml:space="preserve"> </w:t>
      </w:r>
      <w:r w:rsidRPr="00BD6503">
        <w:rPr>
          <w:lang w:val="en-US"/>
        </w:rPr>
        <w:t>that threaten</w:t>
      </w:r>
      <w:r w:rsidR="005A3FD3">
        <w:rPr>
          <w:lang w:val="en-US"/>
        </w:rPr>
        <w:t xml:space="preserve"> </w:t>
      </w:r>
      <w:r w:rsidRPr="00BD6503">
        <w:rPr>
          <w:lang w:val="en-US"/>
        </w:rPr>
        <w:t>the</w:t>
      </w:r>
      <w:r w:rsidR="005A3FD3">
        <w:rPr>
          <w:lang w:val="en-US"/>
        </w:rPr>
        <w:t xml:space="preserve"> </w:t>
      </w:r>
      <w:r w:rsidRPr="00BD6503">
        <w:rPr>
          <w:lang w:val="en-US"/>
        </w:rPr>
        <w:t>interests</w:t>
      </w:r>
      <w:r w:rsidR="005A3FD3">
        <w:rPr>
          <w:lang w:val="en-US"/>
        </w:rPr>
        <w:t xml:space="preserve"> </w:t>
      </w:r>
      <w:r w:rsidRPr="00BD6503">
        <w:rPr>
          <w:lang w:val="en-US"/>
        </w:rPr>
        <w:t>of</w:t>
      </w:r>
      <w:r w:rsidR="005A3FD3">
        <w:rPr>
          <w:lang w:val="en-US"/>
        </w:rPr>
        <w:t xml:space="preserve"> </w:t>
      </w:r>
      <w:r w:rsidRPr="00BD6503">
        <w:rPr>
          <w:lang w:val="en-US"/>
        </w:rPr>
        <w:t>US-based</w:t>
      </w:r>
      <w:r w:rsidR="005A3FD3">
        <w:rPr>
          <w:lang w:val="en-US"/>
        </w:rPr>
        <w:t xml:space="preserve"> </w:t>
      </w:r>
      <w:r w:rsidRPr="00BD6503">
        <w:rPr>
          <w:lang w:val="en-US"/>
        </w:rPr>
        <w:t>corporations”</w:t>
      </w:r>
      <w:r w:rsidR="005838E9">
        <w:rPr>
          <w:lang w:val="en-US"/>
        </w:rPr>
        <w:t>.</w:t>
      </w:r>
      <w:r w:rsidR="005A3FD3">
        <w:rPr>
          <w:lang w:val="en-US"/>
        </w:rPr>
        <w:t xml:space="preserve"> </w:t>
      </w:r>
      <w:r w:rsidRPr="00BD6503">
        <w:rPr>
          <w:lang w:val="en-US"/>
        </w:rPr>
        <w:t>On the ground, military support is rarely done directly, but by proxy through foreign policy.</w:t>
      </w:r>
      <w:r w:rsidR="005A3FD3">
        <w:rPr>
          <w:lang w:val="en-US"/>
        </w:rPr>
        <w:t xml:space="preserve"> </w:t>
      </w:r>
      <w:r w:rsidRPr="00BD6503">
        <w:rPr>
          <w:lang w:val="en-US"/>
        </w:rPr>
        <w:t>It is also done by proxy through securing support from local host states, or through the licensing of private military companies (for a key example, see Francis 1999, Whyte 2003).</w:t>
      </w:r>
      <w:r w:rsidR="005A3FD3">
        <w:rPr>
          <w:lang w:val="en-US"/>
        </w:rPr>
        <w:t xml:space="preserve"> </w:t>
      </w:r>
      <w:r w:rsidRPr="00BD6503">
        <w:rPr>
          <w:lang w:val="en-US"/>
        </w:rPr>
        <w:t>Support for individuals is normally restricted to the safeguarding of passage, and of basic civil liberties.</w:t>
      </w:r>
      <w:r w:rsidR="005A3FD3">
        <w:rPr>
          <w:lang w:val="en-US"/>
        </w:rPr>
        <w:t xml:space="preserve"> </w:t>
      </w:r>
      <w:r w:rsidRPr="00BD6503">
        <w:rPr>
          <w:lang w:val="en-US"/>
        </w:rPr>
        <w:t xml:space="preserve">In this sense, some British corporations operating abroad on occasion find themselves as beneficiaries of exceptional military </w:t>
      </w:r>
      <w:r w:rsidR="005838E9">
        <w:rPr>
          <w:lang w:val="en-US"/>
        </w:rPr>
        <w:t>–</w:t>
      </w:r>
      <w:r w:rsidRPr="00BD6503">
        <w:rPr>
          <w:lang w:val="en-US"/>
        </w:rPr>
        <w:t xml:space="preserve"> as well as diplomatic </w:t>
      </w:r>
      <w:r w:rsidR="005838E9">
        <w:rPr>
          <w:lang w:val="en-US"/>
        </w:rPr>
        <w:t>–</w:t>
      </w:r>
      <w:r w:rsidRPr="00BD6503">
        <w:rPr>
          <w:lang w:val="en-US"/>
        </w:rPr>
        <w:t xml:space="preserve"> protections.</w:t>
      </w:r>
    </w:p>
    <w:p w14:paraId="2E8B4F7A" w14:textId="2EE6F395" w:rsidR="00BD6503" w:rsidRPr="00BD6503" w:rsidRDefault="00BD6503" w:rsidP="00BD6503">
      <w:pPr>
        <w:pStyle w:val="Parrafo"/>
        <w:rPr>
          <w:lang w:val="en-US"/>
        </w:rPr>
      </w:pPr>
      <w:r w:rsidRPr="00BD6503">
        <w:rPr>
          <w:lang w:val="en-US"/>
        </w:rPr>
        <w:t>The need for diplomatic support is one reason that TNCs are reluctant to sever their allegiance to one or two principal state(s).</w:t>
      </w:r>
      <w:r w:rsidR="005A3FD3">
        <w:rPr>
          <w:lang w:val="en-US"/>
        </w:rPr>
        <w:t xml:space="preserve"> </w:t>
      </w:r>
      <w:r w:rsidRPr="00BD6503">
        <w:rPr>
          <w:lang w:val="en-US"/>
        </w:rPr>
        <w:t>They tend to maintain a home base from which they manage and direct most operations.</w:t>
      </w:r>
      <w:r w:rsidR="005A3FD3">
        <w:rPr>
          <w:lang w:val="en-US"/>
        </w:rPr>
        <w:t xml:space="preserve"> </w:t>
      </w:r>
      <w:r w:rsidRPr="00BD6503">
        <w:rPr>
          <w:lang w:val="en-US"/>
        </w:rPr>
        <w:t>Economist Ha-Joon Chang (201</w:t>
      </w:r>
      <w:r w:rsidR="009E625F">
        <w:rPr>
          <w:lang w:val="en-US"/>
        </w:rPr>
        <w:t>1</w:t>
      </w:r>
      <w:r w:rsidRPr="00BD6503">
        <w:rPr>
          <w:lang w:val="en-US"/>
        </w:rPr>
        <w:t xml:space="preserve"> 74-75) </w:t>
      </w:r>
      <w:r w:rsidR="0006014A">
        <w:rPr>
          <w:lang w:val="en-US"/>
        </w:rPr>
        <w:t xml:space="preserve">has </w:t>
      </w:r>
      <w:r w:rsidRPr="00BD6503">
        <w:rPr>
          <w:lang w:val="en-US"/>
        </w:rPr>
        <w:t>sum</w:t>
      </w:r>
      <w:r w:rsidR="0006014A">
        <w:rPr>
          <w:lang w:val="en-US"/>
        </w:rPr>
        <w:t>med</w:t>
      </w:r>
      <w:r w:rsidRPr="00BD6503">
        <w:rPr>
          <w:lang w:val="en-US"/>
        </w:rPr>
        <w:t xml:space="preserve"> up the </w:t>
      </w:r>
      <w:r w:rsidR="0006014A">
        <w:rPr>
          <w:lang w:val="en-US"/>
        </w:rPr>
        <w:t xml:space="preserve">wider </w:t>
      </w:r>
      <w:r w:rsidRPr="00BD6503">
        <w:rPr>
          <w:lang w:val="en-US"/>
        </w:rPr>
        <w:t xml:space="preserve">reasons for TNCs reverting to a dominant “nationality”: </w:t>
      </w:r>
    </w:p>
    <w:p w14:paraId="3174C580" w14:textId="77777777" w:rsidR="00BD6503" w:rsidRPr="00BD6503" w:rsidRDefault="00BD6503" w:rsidP="00B028D8">
      <w:pPr>
        <w:pStyle w:val="citaparrafopropio"/>
        <w:rPr>
          <w:lang w:val="en-US"/>
        </w:rPr>
      </w:pPr>
      <w:r w:rsidRPr="00BD6503">
        <w:rPr>
          <w:lang w:val="en-US"/>
        </w:rPr>
        <w:t>Despite the increasing transnational position of capital, most transnational companies in fact remain national companies with international operations, rather than genuinely nation-less companies.</w:t>
      </w:r>
      <w:r w:rsidR="005A3FD3">
        <w:rPr>
          <w:lang w:val="en-US"/>
        </w:rPr>
        <w:t xml:space="preserve"> </w:t>
      </w:r>
      <w:r w:rsidRPr="00BD6503">
        <w:rPr>
          <w:lang w:val="en-US"/>
        </w:rPr>
        <w:t>They conduct the bulk of their core activities, such as high-end research and strategising, at home. Most of the top decision-makers are home country nationals. When they have to shut down factories or cut jobs, the use they do it last at home for various political and, more importantly, economic reasons. This means that the home country appropriates the bulk of the benefits from a transnational corporation. Of course their nationalities not the only thing that determines how corporations behave but we ignore the natio</w:t>
      </w:r>
      <w:r w:rsidR="00B028D8">
        <w:rPr>
          <w:lang w:val="en-US"/>
        </w:rPr>
        <w:t>nality of capital at our peril.</w:t>
      </w:r>
    </w:p>
    <w:p w14:paraId="67C99298" w14:textId="5312E6CE" w:rsidR="00BD6503" w:rsidRPr="00BD6503" w:rsidRDefault="00BD6503" w:rsidP="00BD6503">
      <w:pPr>
        <w:pStyle w:val="Parrafo"/>
        <w:rPr>
          <w:lang w:val="en-US"/>
        </w:rPr>
      </w:pPr>
      <w:r w:rsidRPr="00BD6503">
        <w:rPr>
          <w:lang w:val="en-US"/>
        </w:rPr>
        <w:t>We therefore need to be careful about essentialising the extent to which TNCs are truly footloose and able to sever ties with a particular nation state.</w:t>
      </w:r>
      <w:r w:rsidR="005A3FD3">
        <w:rPr>
          <w:lang w:val="en-US"/>
        </w:rPr>
        <w:t xml:space="preserve"> </w:t>
      </w:r>
      <w:r w:rsidRPr="00BD6503">
        <w:rPr>
          <w:lang w:val="en-US"/>
        </w:rPr>
        <w:t>Yet at the same time, it is clear that domiciled companies can receive considerable benefits by being relatively fluid in their national identity.</w:t>
      </w:r>
      <w:r w:rsidR="005A3FD3">
        <w:rPr>
          <w:lang w:val="en-US"/>
        </w:rPr>
        <w:t xml:space="preserve"> </w:t>
      </w:r>
      <w:r w:rsidRPr="00BD6503">
        <w:rPr>
          <w:lang w:val="en-US"/>
        </w:rPr>
        <w:t xml:space="preserve">Corporations are able to </w:t>
      </w:r>
      <w:r w:rsidR="0006014A">
        <w:rPr>
          <w:lang w:val="en-US"/>
        </w:rPr>
        <w:t>adapt</w:t>
      </w:r>
      <w:r w:rsidRPr="00BD6503">
        <w:rPr>
          <w:lang w:val="en-US"/>
        </w:rPr>
        <w:t xml:space="preserve"> their domicile status (or </w:t>
      </w:r>
      <w:r w:rsidR="001F2043">
        <w:rPr>
          <w:lang w:val="en-US"/>
        </w:rPr>
        <w:t>“</w:t>
      </w:r>
      <w:r w:rsidRPr="00BD6503">
        <w:rPr>
          <w:lang w:val="en-US"/>
        </w:rPr>
        <w:t>nationality</w:t>
      </w:r>
      <w:r w:rsidR="001F2043">
        <w:rPr>
          <w:lang w:val="en-US"/>
        </w:rPr>
        <w:t>”</w:t>
      </w:r>
      <w:r w:rsidRPr="00BD6503">
        <w:rPr>
          <w:lang w:val="en-US"/>
        </w:rPr>
        <w:t>) and even change their home base.</w:t>
      </w:r>
      <w:r w:rsidR="005A3FD3">
        <w:rPr>
          <w:lang w:val="en-US"/>
        </w:rPr>
        <w:t xml:space="preserve"> </w:t>
      </w:r>
      <w:r w:rsidRPr="00BD6503">
        <w:rPr>
          <w:lang w:val="en-US"/>
        </w:rPr>
        <w:t xml:space="preserve">TNCs can adopt several national identities at the same time; claiming their </w:t>
      </w:r>
      <w:r w:rsidR="001F2043">
        <w:rPr>
          <w:lang w:val="en-US"/>
        </w:rPr>
        <w:t>“</w:t>
      </w:r>
      <w:r w:rsidRPr="00BD6503">
        <w:rPr>
          <w:lang w:val="en-US"/>
        </w:rPr>
        <w:t>home</w:t>
      </w:r>
      <w:r w:rsidR="001F2043">
        <w:rPr>
          <w:lang w:val="en-US"/>
        </w:rPr>
        <w:t>”</w:t>
      </w:r>
      <w:r w:rsidRPr="00BD6503">
        <w:rPr>
          <w:lang w:val="en-US"/>
        </w:rPr>
        <w:t xml:space="preserve"> in a multitude of states simultaneously through complex ownership structures.</w:t>
      </w:r>
      <w:r w:rsidR="005A3FD3">
        <w:rPr>
          <w:lang w:val="en-US"/>
        </w:rPr>
        <w:t xml:space="preserve"> </w:t>
      </w:r>
    </w:p>
    <w:p w14:paraId="3B09BBEB" w14:textId="2DAB1055" w:rsidR="00BD6503" w:rsidRPr="00BD6503" w:rsidRDefault="00BD6503" w:rsidP="00BD6503">
      <w:pPr>
        <w:pStyle w:val="Parrafo"/>
        <w:rPr>
          <w:lang w:val="en-US"/>
        </w:rPr>
      </w:pPr>
      <w:r w:rsidRPr="00BD6503">
        <w:rPr>
          <w:lang w:val="en-US"/>
        </w:rPr>
        <w:t>The configuration of what are essentially complex forms of multiple citizenship is a much more significant dynamic in the global economy than is normally recognized.</w:t>
      </w:r>
      <w:r w:rsidR="005A3FD3">
        <w:rPr>
          <w:lang w:val="en-US"/>
        </w:rPr>
        <w:t xml:space="preserve"> </w:t>
      </w:r>
      <w:r w:rsidRPr="00BD6503">
        <w:rPr>
          <w:lang w:val="en-US"/>
        </w:rPr>
        <w:t>Indeed, the formation of long chains of ownership identity, operating through multiple jurisdictions is the dominant form that the surplus from the exploitation of natural resources is extracted from the Global South. The key advantage lies in the corporate veil that is erected between subsidiaries, which enables are range of commercial advantages.</w:t>
      </w:r>
      <w:r w:rsidR="005A3FD3">
        <w:rPr>
          <w:lang w:val="en-US"/>
        </w:rPr>
        <w:t xml:space="preserve"> </w:t>
      </w:r>
      <w:r w:rsidRPr="00BD6503">
        <w:rPr>
          <w:lang w:val="en-US"/>
        </w:rPr>
        <w:t xml:space="preserve">Multiple </w:t>
      </w:r>
      <w:proofErr w:type="gramStart"/>
      <w:r w:rsidRPr="00BD6503">
        <w:rPr>
          <w:lang w:val="en-US"/>
        </w:rPr>
        <w:t>nationality</w:t>
      </w:r>
      <w:proofErr w:type="gramEnd"/>
      <w:r w:rsidRPr="00BD6503">
        <w:rPr>
          <w:lang w:val="en-US"/>
        </w:rPr>
        <w:t xml:space="preserve"> enables corporations to repatriate profits in any number of jurisdictions (Demsetz and Lehn 1985).</w:t>
      </w:r>
      <w:r w:rsidR="005A3FD3">
        <w:rPr>
          <w:lang w:val="en-US"/>
        </w:rPr>
        <w:t xml:space="preserve"> </w:t>
      </w:r>
      <w:r w:rsidRPr="00BD6503">
        <w:rPr>
          <w:lang w:val="en-US"/>
        </w:rPr>
        <w:t xml:space="preserve">They can cross borders freely and may use their multiple nationalities to exploit different regulatory jurisdictions through practices such as </w:t>
      </w:r>
      <w:r w:rsidR="001F2043">
        <w:rPr>
          <w:lang w:val="en-US"/>
        </w:rPr>
        <w:t>“</w:t>
      </w:r>
      <w:r w:rsidRPr="00BD6503">
        <w:rPr>
          <w:lang w:val="en-US"/>
        </w:rPr>
        <w:t>tax shopping</w:t>
      </w:r>
      <w:r w:rsidR="001F2043">
        <w:rPr>
          <w:lang w:val="en-US"/>
        </w:rPr>
        <w:t>”</w:t>
      </w:r>
      <w:r w:rsidRPr="00BD6503">
        <w:rPr>
          <w:lang w:val="en-US"/>
        </w:rPr>
        <w:t xml:space="preserve"> and </w:t>
      </w:r>
      <w:r w:rsidR="001F2043">
        <w:rPr>
          <w:lang w:val="en-US"/>
        </w:rPr>
        <w:t>“</w:t>
      </w:r>
      <w:r w:rsidRPr="00BD6503">
        <w:rPr>
          <w:lang w:val="en-US"/>
        </w:rPr>
        <w:t>transfer pricing</w:t>
      </w:r>
      <w:r w:rsidR="001F2043">
        <w:rPr>
          <w:lang w:val="en-US"/>
        </w:rPr>
        <w:t>”</w:t>
      </w:r>
      <w:r w:rsidRPr="00BD6503">
        <w:rPr>
          <w:lang w:val="en-US"/>
        </w:rPr>
        <w:t xml:space="preserve"> (</w:t>
      </w:r>
      <w:r w:rsidRPr="00BD6503">
        <w:rPr>
          <w:rFonts w:cs="Times"/>
          <w:lang w:val="en-US"/>
        </w:rPr>
        <w:t>Bartelsman and Beetsma 2003</w:t>
      </w:r>
      <w:r w:rsidRPr="00BD6503">
        <w:rPr>
          <w:lang w:val="en-US"/>
        </w:rPr>
        <w:t>).</w:t>
      </w:r>
      <w:r w:rsidR="005A3FD3">
        <w:rPr>
          <w:lang w:val="en-US"/>
        </w:rPr>
        <w:t xml:space="preserve"> </w:t>
      </w:r>
      <w:r w:rsidRPr="00BD6503">
        <w:rPr>
          <w:lang w:val="en-US"/>
        </w:rPr>
        <w:t>Holding multiple nationalities is also used to mask responsibility for causing harms (Bernat and Whyte 2017).</w:t>
      </w:r>
      <w:r w:rsidR="005A3FD3">
        <w:rPr>
          <w:lang w:val="en-US"/>
        </w:rPr>
        <w:t xml:space="preserve"> </w:t>
      </w:r>
      <w:r w:rsidRPr="00BD6503">
        <w:rPr>
          <w:lang w:val="en-US"/>
        </w:rPr>
        <w:t>The corporate veil between subsidiary corporations in tort cases involving multinationals has, with a few scattered exceptions, generally prevented communities or workers from seeking compensation (Anderson 200</w:t>
      </w:r>
      <w:r w:rsidR="001637D5">
        <w:rPr>
          <w:lang w:val="en-US"/>
        </w:rPr>
        <w:t>2</w:t>
      </w:r>
      <w:r w:rsidRPr="00BD6503">
        <w:rPr>
          <w:lang w:val="en-US"/>
        </w:rPr>
        <w:t>).</w:t>
      </w:r>
      <w:r w:rsidR="005A3FD3">
        <w:rPr>
          <w:lang w:val="en-US"/>
        </w:rPr>
        <w:t xml:space="preserve"> </w:t>
      </w:r>
      <w:r w:rsidRPr="00BD6503">
        <w:rPr>
          <w:lang w:val="en-US"/>
        </w:rPr>
        <w:t xml:space="preserve">Tax liabilities are commonly diminished when corporations establish multiple identities that use secrecy jurisdictions (also </w:t>
      </w:r>
      <w:r w:rsidR="00EE77C4" w:rsidRPr="00BD6503">
        <w:rPr>
          <w:lang w:val="en-US"/>
        </w:rPr>
        <w:t>known</w:t>
      </w:r>
      <w:r w:rsidRPr="00BD6503">
        <w:rPr>
          <w:lang w:val="en-US"/>
        </w:rPr>
        <w:t xml:space="preserve"> as </w:t>
      </w:r>
      <w:r w:rsidR="001F2043">
        <w:rPr>
          <w:lang w:val="en-US"/>
        </w:rPr>
        <w:t>“</w:t>
      </w:r>
      <w:r w:rsidRPr="00BD6503">
        <w:rPr>
          <w:lang w:val="en-US"/>
        </w:rPr>
        <w:t>tax havens</w:t>
      </w:r>
      <w:r w:rsidR="001F2043">
        <w:rPr>
          <w:lang w:val="en-US"/>
        </w:rPr>
        <w:t>”</w:t>
      </w:r>
      <w:r w:rsidRPr="00BD6503">
        <w:rPr>
          <w:lang w:val="en-US"/>
        </w:rPr>
        <w:t>) to mask the origin of their revenues.</w:t>
      </w:r>
      <w:r w:rsidR="005A3FD3">
        <w:rPr>
          <w:lang w:val="en-US"/>
        </w:rPr>
        <w:t xml:space="preserve"> </w:t>
      </w:r>
      <w:r w:rsidRPr="00BD6503">
        <w:rPr>
          <w:lang w:val="en-US"/>
        </w:rPr>
        <w:t xml:space="preserve">As Shaxson (2012) notes, perhaps a third of all revenue derived from the extraction of natural resources in the Global South disappears out of those countries through tax </w:t>
      </w:r>
      <w:r w:rsidRPr="00BD6503">
        <w:rPr>
          <w:lang w:val="en-US"/>
        </w:rPr>
        <w:lastRenderedPageBreak/>
        <w:t>havens, with TNCs often acting as the conduit.</w:t>
      </w:r>
      <w:r w:rsidR="005A3FD3">
        <w:rPr>
          <w:lang w:val="en-US"/>
        </w:rPr>
        <w:t xml:space="preserve"> </w:t>
      </w:r>
      <w:r w:rsidRPr="00BD6503">
        <w:rPr>
          <w:lang w:val="en-US"/>
        </w:rPr>
        <w:t>This is only made possible through the exceptional conditions of corporate citizenship enjoyed by TNCs.</w:t>
      </w:r>
    </w:p>
    <w:p w14:paraId="7F7AF305" w14:textId="6A275635" w:rsidR="00BD6503" w:rsidRPr="00BD6503" w:rsidRDefault="00BD6503" w:rsidP="00BD6503">
      <w:pPr>
        <w:pStyle w:val="Parrafo"/>
        <w:rPr>
          <w:lang w:val="en-US"/>
        </w:rPr>
      </w:pPr>
      <w:r w:rsidRPr="00BD6503">
        <w:rPr>
          <w:lang w:val="en-US"/>
        </w:rPr>
        <w:t xml:space="preserve">The ability to create several identities at once also provides corporations with exceptional privileges domestically, </w:t>
      </w:r>
      <w:r w:rsidRPr="00BD6503">
        <w:rPr>
          <w:i/>
          <w:lang w:val="en-US"/>
        </w:rPr>
        <w:t>within</w:t>
      </w:r>
      <w:r w:rsidRPr="00BD6503">
        <w:rPr>
          <w:lang w:val="en-US"/>
        </w:rPr>
        <w:t xml:space="preserve"> jurisdictions.</w:t>
      </w:r>
      <w:r w:rsidR="005A3FD3">
        <w:rPr>
          <w:lang w:val="en-US"/>
        </w:rPr>
        <w:t xml:space="preserve"> </w:t>
      </w:r>
      <w:r w:rsidRPr="00BD6503">
        <w:rPr>
          <w:lang w:val="en-US"/>
        </w:rPr>
        <w:t xml:space="preserve">Many contemporary corporations have ownership structures that use multiple </w:t>
      </w:r>
      <w:r w:rsidR="001F2043">
        <w:rPr>
          <w:lang w:val="en-US"/>
        </w:rPr>
        <w:t>“</w:t>
      </w:r>
      <w:r w:rsidRPr="00BD6503">
        <w:rPr>
          <w:lang w:val="en-US"/>
        </w:rPr>
        <w:t>personalities</w:t>
      </w:r>
      <w:r w:rsidR="001F2043">
        <w:rPr>
          <w:lang w:val="en-US"/>
        </w:rPr>
        <w:t>”</w:t>
      </w:r>
      <w:r w:rsidRPr="00BD6503">
        <w:rPr>
          <w:lang w:val="en-US"/>
        </w:rPr>
        <w:t xml:space="preserve"> as a matter of routine; the demarcation or corporate activities is now commonly organized through a range of different layers of corporate identity, or </w:t>
      </w:r>
      <w:r w:rsidR="001F2043">
        <w:rPr>
          <w:lang w:val="en-US"/>
        </w:rPr>
        <w:t>“</w:t>
      </w:r>
      <w:r w:rsidRPr="00BD6503">
        <w:rPr>
          <w:lang w:val="en-US"/>
        </w:rPr>
        <w:t>subsidiaries</w:t>
      </w:r>
      <w:r w:rsidR="001F2043">
        <w:rPr>
          <w:lang w:val="en-US"/>
        </w:rPr>
        <w:t>”</w:t>
      </w:r>
      <w:r w:rsidRPr="00BD6503">
        <w:rPr>
          <w:lang w:val="en-US"/>
        </w:rPr>
        <w:t xml:space="preserve"> and </w:t>
      </w:r>
      <w:r w:rsidR="001F2043">
        <w:rPr>
          <w:lang w:val="en-US"/>
        </w:rPr>
        <w:t>“</w:t>
      </w:r>
      <w:r w:rsidRPr="00BD6503">
        <w:rPr>
          <w:lang w:val="en-US"/>
        </w:rPr>
        <w:t>sister companies</w:t>
      </w:r>
      <w:r w:rsidR="001F2043">
        <w:rPr>
          <w:lang w:val="en-US"/>
        </w:rPr>
        <w:t>”</w:t>
      </w:r>
      <w:r w:rsidRPr="00BD6503">
        <w:rPr>
          <w:lang w:val="en-US"/>
        </w:rPr>
        <w:t xml:space="preserve"> that enables companies to exist as multiple citizens inside the same jurisdiction.</w:t>
      </w:r>
      <w:r w:rsidR="005A3FD3">
        <w:rPr>
          <w:lang w:val="en-US"/>
        </w:rPr>
        <w:t xml:space="preserve"> </w:t>
      </w:r>
      <w:r w:rsidRPr="00BD6503">
        <w:rPr>
          <w:lang w:val="en-US"/>
        </w:rPr>
        <w:t>The principle of incorporating multiple identities is commonly used within jurisdictions in order to organize structures of ownership, chains of accountability, to ensure some corporate operations are ring-fenced from others and so on.</w:t>
      </w:r>
      <w:r w:rsidR="005A3FD3">
        <w:rPr>
          <w:lang w:val="en-US"/>
        </w:rPr>
        <w:t xml:space="preserve"> </w:t>
      </w:r>
      <w:r w:rsidRPr="00BD6503">
        <w:rPr>
          <w:lang w:val="en-US"/>
        </w:rPr>
        <w:t>In the domestic context, just as in international context, there are major commercial advantages</w:t>
      </w:r>
      <w:r w:rsidR="0006014A">
        <w:rPr>
          <w:lang w:val="en-US"/>
        </w:rPr>
        <w:t xml:space="preserve"> to such practices</w:t>
      </w:r>
      <w:r w:rsidRPr="00BD6503">
        <w:rPr>
          <w:lang w:val="en-US"/>
        </w:rPr>
        <w:t>.</w:t>
      </w:r>
      <w:r w:rsidR="005A3FD3">
        <w:rPr>
          <w:lang w:val="en-US"/>
        </w:rPr>
        <w:t xml:space="preserve"> </w:t>
      </w:r>
      <w:r w:rsidRPr="00BD6503">
        <w:rPr>
          <w:lang w:val="en-US"/>
        </w:rPr>
        <w:t xml:space="preserve">Not least of those is in maintaining secrecy surrounding beneficial ownership or providing a complex chain in which managerial responsibilities for particular operations can be easily masked. </w:t>
      </w:r>
    </w:p>
    <w:p w14:paraId="2ACA000D" w14:textId="1E5F9EE1" w:rsidR="00BD6503" w:rsidRPr="00BD6503" w:rsidRDefault="00BD6503" w:rsidP="00BD6503">
      <w:pPr>
        <w:pStyle w:val="Parrafo"/>
        <w:rPr>
          <w:lang w:val="en-US"/>
        </w:rPr>
      </w:pPr>
      <w:r w:rsidRPr="00BD6503">
        <w:rPr>
          <w:lang w:val="en-US"/>
        </w:rPr>
        <w:t>Establishing multiple citizenship status through multiple nationalities and the use of secrecy jurisdictions is one way that corporations can and do reconfigure their sovereign obligations or duties.</w:t>
      </w:r>
      <w:r w:rsidR="005A3FD3">
        <w:rPr>
          <w:lang w:val="en-US"/>
        </w:rPr>
        <w:t xml:space="preserve"> </w:t>
      </w:r>
      <w:r w:rsidRPr="00BD6503">
        <w:rPr>
          <w:lang w:val="en-US"/>
        </w:rPr>
        <w:t>Another, increasingly prevalent way is the Export Production Zone (EPZ) or Special Economic Zone.</w:t>
      </w:r>
      <w:r w:rsidR="005A3FD3">
        <w:rPr>
          <w:lang w:val="en-US"/>
        </w:rPr>
        <w:t xml:space="preserve"> </w:t>
      </w:r>
      <w:r w:rsidRPr="00BD6503">
        <w:rPr>
          <w:lang w:val="en-US"/>
        </w:rPr>
        <w:t>The International Labour Organi</w:t>
      </w:r>
      <w:r w:rsidR="007C63A2">
        <w:rPr>
          <w:lang w:val="en-US"/>
        </w:rPr>
        <w:t>z</w:t>
      </w:r>
      <w:r w:rsidRPr="00BD6503">
        <w:rPr>
          <w:lang w:val="en-US"/>
        </w:rPr>
        <w:t>ation (ILO) defines EPZs as “industrial zones with special incentives set up to attract foreign investors, in which imported materials undergo some degree of processing before being re-exported” (</w:t>
      </w:r>
      <w:r w:rsidR="00FA71B5">
        <w:rPr>
          <w:lang w:val="en-US"/>
        </w:rPr>
        <w:t>ILO 1998</w:t>
      </w:r>
      <w:r w:rsidRPr="00BD6503">
        <w:rPr>
          <w:lang w:val="en-US"/>
        </w:rPr>
        <w:t>).</w:t>
      </w:r>
      <w:r w:rsidR="005A3FD3">
        <w:rPr>
          <w:lang w:val="en-US"/>
        </w:rPr>
        <w:t xml:space="preserve"> </w:t>
      </w:r>
      <w:r w:rsidRPr="00BD6503">
        <w:rPr>
          <w:lang w:val="en-US"/>
        </w:rPr>
        <w:t>Those special incentives typically include suspension of normal rates of export and import duties, tax exemption and exemption from labour rights and health and safety regulations. EPZs are growing in economic significance.</w:t>
      </w:r>
      <w:r w:rsidR="005A3FD3">
        <w:rPr>
          <w:lang w:val="en-US"/>
        </w:rPr>
        <w:t xml:space="preserve"> </w:t>
      </w:r>
      <w:r w:rsidRPr="00BD6503">
        <w:rPr>
          <w:lang w:val="en-US"/>
        </w:rPr>
        <w:t>In 1997 there were 845 employing 22 million workers.</w:t>
      </w:r>
      <w:r w:rsidR="005A3FD3">
        <w:rPr>
          <w:lang w:val="en-US"/>
        </w:rPr>
        <w:t xml:space="preserve"> </w:t>
      </w:r>
      <w:r w:rsidRPr="00BD6503">
        <w:rPr>
          <w:lang w:val="en-US"/>
        </w:rPr>
        <w:t>Now it is estimated that there are over 3,500, employing 66 million workers (</w:t>
      </w:r>
      <w:r w:rsidR="007D1F16">
        <w:rPr>
          <w:lang w:val="en-US"/>
        </w:rPr>
        <w:t>International Labour Office Bureau for Workers’ Activities</w:t>
      </w:r>
      <w:r w:rsidR="007D1F16" w:rsidRPr="00BD6503">
        <w:rPr>
          <w:lang w:val="en-US"/>
        </w:rPr>
        <w:t xml:space="preserve"> </w:t>
      </w:r>
      <w:r w:rsidRPr="00BD6503">
        <w:rPr>
          <w:lang w:val="en-US"/>
        </w:rPr>
        <w:t>2014).</w:t>
      </w:r>
      <w:r w:rsidR="005A3FD3">
        <w:rPr>
          <w:lang w:val="en-US"/>
        </w:rPr>
        <w:t xml:space="preserve"> </w:t>
      </w:r>
      <w:r w:rsidRPr="00BD6503">
        <w:rPr>
          <w:lang w:val="en-US"/>
        </w:rPr>
        <w:t xml:space="preserve">It is the peculiar </w:t>
      </w:r>
      <w:r w:rsidRPr="00BD6503">
        <w:rPr>
          <w:i/>
          <w:lang w:val="en-US"/>
        </w:rPr>
        <w:t>constitutional</w:t>
      </w:r>
      <w:r w:rsidRPr="00BD6503">
        <w:rPr>
          <w:lang w:val="en-US"/>
        </w:rPr>
        <w:t xml:space="preserve"> structure of the EPZ that is significant to the discussion here.</w:t>
      </w:r>
      <w:r w:rsidR="005A3FD3">
        <w:rPr>
          <w:lang w:val="en-US"/>
        </w:rPr>
        <w:t xml:space="preserve"> </w:t>
      </w:r>
      <w:r w:rsidRPr="00BD6503">
        <w:rPr>
          <w:lang w:val="en-US"/>
        </w:rPr>
        <w:t xml:space="preserve">Often EPZs are </w:t>
      </w:r>
      <w:r w:rsidR="0006014A">
        <w:rPr>
          <w:lang w:val="en-US"/>
        </w:rPr>
        <w:t xml:space="preserve">often </w:t>
      </w:r>
      <w:r w:rsidRPr="00BD6503">
        <w:rPr>
          <w:lang w:val="en-US"/>
        </w:rPr>
        <w:t>run by partnerships between national government and corporations.</w:t>
      </w:r>
      <w:r w:rsidR="005A3FD3">
        <w:rPr>
          <w:lang w:val="en-US"/>
        </w:rPr>
        <w:t xml:space="preserve"> </w:t>
      </w:r>
      <w:r w:rsidRPr="00BD6503">
        <w:rPr>
          <w:lang w:val="en-US"/>
        </w:rPr>
        <w:t>Thus, sovereign decisions about law enforcement, and legal exemptions in EPZs are implemented by what are quasi-private authorities.</w:t>
      </w:r>
      <w:r w:rsidR="005A3FD3">
        <w:rPr>
          <w:lang w:val="en-US"/>
        </w:rPr>
        <w:t xml:space="preserve"> </w:t>
      </w:r>
      <w:r w:rsidRPr="00BD6503">
        <w:rPr>
          <w:lang w:val="en-US"/>
        </w:rPr>
        <w:t>This sovereign authority even extends to fundamental issues of human rights.</w:t>
      </w:r>
      <w:r w:rsidR="005A3FD3">
        <w:rPr>
          <w:lang w:val="en-US"/>
        </w:rPr>
        <w:t xml:space="preserve"> </w:t>
      </w:r>
      <w:r w:rsidRPr="00BD6503">
        <w:rPr>
          <w:lang w:val="en-US"/>
        </w:rPr>
        <w:t>The ILO (</w:t>
      </w:r>
      <w:r w:rsidR="007D1F16">
        <w:rPr>
          <w:lang w:val="en-US"/>
        </w:rPr>
        <w:t xml:space="preserve">International Labour Office Bureau for Workers’ Activities </w:t>
      </w:r>
      <w:r w:rsidRPr="00BD6503">
        <w:rPr>
          <w:lang w:val="en-US"/>
        </w:rPr>
        <w:t>2014) notes one illustrative example in this respect</w:t>
      </w:r>
      <w:r w:rsidR="002A0CC0">
        <w:rPr>
          <w:lang w:val="en-US"/>
        </w:rPr>
        <w:t>.</w:t>
      </w:r>
      <w:r w:rsidRPr="00BD6503">
        <w:rPr>
          <w:lang w:val="en-US"/>
        </w:rPr>
        <w:t xml:space="preserve"> </w:t>
      </w:r>
      <w:r w:rsidR="002A0CC0">
        <w:rPr>
          <w:lang w:val="en-US"/>
        </w:rPr>
        <w:t>T</w:t>
      </w:r>
      <w:r w:rsidRPr="00BD6503">
        <w:rPr>
          <w:lang w:val="en-US"/>
        </w:rPr>
        <w:t xml:space="preserve">he rules of the Nigeria Export Processing Zones Authority state that “There shall be no strikes or lock-outs for a period of 10 years following the commencement of operations in the Zone </w:t>
      </w:r>
      <w:r w:rsidR="007D1F16">
        <w:rPr>
          <w:lang w:val="en-US"/>
        </w:rPr>
        <w:t>[</w:t>
      </w:r>
      <w:r w:rsidRPr="00BD6503">
        <w:rPr>
          <w:lang w:val="en-US"/>
        </w:rPr>
        <w:t xml:space="preserve">as contained in Section 18 (5) of </w:t>
      </w:r>
      <w:r w:rsidR="007D1F16">
        <w:rPr>
          <w:lang w:val="en-US"/>
        </w:rPr>
        <w:t>Nigeria Export Processing Zones Act 2012]</w:t>
      </w:r>
      <w:r w:rsidRPr="00BD6503">
        <w:rPr>
          <w:lang w:val="en-US"/>
        </w:rPr>
        <w:t xml:space="preserve"> and any trade dispute arising within a Zone shall be resolved by the Authority.”</w:t>
      </w:r>
      <w:r w:rsidR="005A3FD3">
        <w:rPr>
          <w:lang w:val="en-US"/>
        </w:rPr>
        <w:t xml:space="preserve"> </w:t>
      </w:r>
      <w:r w:rsidRPr="00BD6503">
        <w:rPr>
          <w:lang w:val="en-US"/>
        </w:rPr>
        <w:t>Thus, sovereignty over the right to strike is ultimately in the hands of a mix of public officials and senior managers of private corporations who are represented on Nigeria Export Processing Zones Authority.</w:t>
      </w:r>
      <w:r w:rsidR="005A3FD3">
        <w:rPr>
          <w:lang w:val="en-US"/>
        </w:rPr>
        <w:t xml:space="preserve"> </w:t>
      </w:r>
      <w:r w:rsidRPr="00BD6503">
        <w:rPr>
          <w:lang w:val="en-US"/>
        </w:rPr>
        <w:t xml:space="preserve">A central logic of different forms of EPZ is </w:t>
      </w:r>
      <w:proofErr w:type="gramStart"/>
      <w:r w:rsidRPr="00BD6503">
        <w:rPr>
          <w:lang w:val="en-US"/>
        </w:rPr>
        <w:t>that workers</w:t>
      </w:r>
      <w:proofErr w:type="gramEnd"/>
      <w:r w:rsidR="007D1F16">
        <w:rPr>
          <w:lang w:val="en-US"/>
        </w:rPr>
        <w:t>’</w:t>
      </w:r>
      <w:r w:rsidRPr="00BD6503">
        <w:rPr>
          <w:lang w:val="en-US"/>
        </w:rPr>
        <w:t xml:space="preserve"> rights, and particularly the right to collective bargaining are diminished by allowing corporations to dispense with legal provisions that had previously been guaranteed by the state (Romero 1995).</w:t>
      </w:r>
      <w:r w:rsidR="005A3FD3">
        <w:rPr>
          <w:lang w:val="en-US"/>
        </w:rPr>
        <w:t xml:space="preserve"> </w:t>
      </w:r>
    </w:p>
    <w:p w14:paraId="2270C8AB" w14:textId="724CF110" w:rsidR="00BD6503" w:rsidRPr="00B028D8" w:rsidRDefault="00BD6503" w:rsidP="00B028D8">
      <w:pPr>
        <w:pStyle w:val="Parrafo"/>
        <w:rPr>
          <w:lang w:val="en-US"/>
        </w:rPr>
      </w:pPr>
      <w:r w:rsidRPr="00BD6503">
        <w:rPr>
          <w:lang w:val="en-US"/>
        </w:rPr>
        <w:t>This section has schematically set out a range of exceptional rights to protection that calibrates the sovereign relationship between the corporate citizen and the state.</w:t>
      </w:r>
      <w:r w:rsidR="005A3FD3">
        <w:rPr>
          <w:lang w:val="en-US"/>
        </w:rPr>
        <w:t xml:space="preserve"> </w:t>
      </w:r>
      <w:r w:rsidRPr="00BD6503">
        <w:rPr>
          <w:lang w:val="en-US"/>
        </w:rPr>
        <w:t>What we are unraveling here, in its constituent elements, is an enriched form of citizenship.</w:t>
      </w:r>
      <w:r w:rsidR="005A3FD3">
        <w:rPr>
          <w:lang w:val="en-US"/>
        </w:rPr>
        <w:t xml:space="preserve"> </w:t>
      </w:r>
      <w:r w:rsidRPr="00BD6503">
        <w:rPr>
          <w:lang w:val="en-US"/>
        </w:rPr>
        <w:t xml:space="preserve">The enhanced diplomatic protections given to corporations, or their enhanced ability to exploit several </w:t>
      </w:r>
      <w:r w:rsidR="001F2043">
        <w:rPr>
          <w:lang w:val="en-US"/>
        </w:rPr>
        <w:t>“</w:t>
      </w:r>
      <w:r w:rsidRPr="00BD6503">
        <w:rPr>
          <w:lang w:val="en-US"/>
        </w:rPr>
        <w:t>personalities</w:t>
      </w:r>
      <w:r w:rsidR="001F2043">
        <w:rPr>
          <w:lang w:val="en-US"/>
        </w:rPr>
        <w:t>”</w:t>
      </w:r>
      <w:r w:rsidRPr="00BD6503">
        <w:rPr>
          <w:lang w:val="en-US"/>
        </w:rPr>
        <w:t xml:space="preserve"> or </w:t>
      </w:r>
      <w:r w:rsidR="001F2043">
        <w:rPr>
          <w:lang w:val="en-US"/>
        </w:rPr>
        <w:t>“</w:t>
      </w:r>
      <w:r w:rsidRPr="00BD6503">
        <w:rPr>
          <w:lang w:val="en-US"/>
        </w:rPr>
        <w:t>nationalities</w:t>
      </w:r>
      <w:r w:rsidR="001F2043">
        <w:rPr>
          <w:lang w:val="en-US"/>
        </w:rPr>
        <w:t>”</w:t>
      </w:r>
      <w:r w:rsidRPr="00BD6503">
        <w:rPr>
          <w:lang w:val="en-US"/>
        </w:rPr>
        <w:t xml:space="preserve"> and cross borders freely, for example, are elements of a citizenship status that are, to reiterate, not readily available to ordinary citizens.</w:t>
      </w:r>
      <w:r w:rsidR="005A3FD3">
        <w:rPr>
          <w:lang w:val="en-US"/>
        </w:rPr>
        <w:t xml:space="preserve"> </w:t>
      </w:r>
    </w:p>
    <w:p w14:paraId="5BCF08B5" w14:textId="77777777" w:rsidR="00BD6503" w:rsidRPr="00BD6503" w:rsidRDefault="00BD6503" w:rsidP="00B028D8">
      <w:pPr>
        <w:pStyle w:val="Epgrafe11"/>
        <w:rPr>
          <w:lang w:val="en-US"/>
        </w:rPr>
      </w:pPr>
      <w:bookmarkStart w:id="46" w:name="_Toc520452078"/>
      <w:r w:rsidRPr="00BD6503">
        <w:rPr>
          <w:lang w:val="en-US"/>
        </w:rPr>
        <w:t>4.3</w:t>
      </w:r>
      <w:r w:rsidR="00B028D8">
        <w:rPr>
          <w:lang w:val="en-US"/>
        </w:rPr>
        <w:t xml:space="preserve">. </w:t>
      </w:r>
      <w:r w:rsidRPr="00BD6503">
        <w:rPr>
          <w:lang w:val="en-US"/>
        </w:rPr>
        <w:t>Rights to Participation in Politics and Government</w:t>
      </w:r>
      <w:bookmarkEnd w:id="46"/>
    </w:p>
    <w:p w14:paraId="308DF7A0" w14:textId="68CD31C5" w:rsidR="00BD6503" w:rsidRPr="00BD6503" w:rsidRDefault="00BD6503" w:rsidP="00BD6503">
      <w:pPr>
        <w:pStyle w:val="Parrafo"/>
        <w:rPr>
          <w:b/>
          <w:lang w:val="en-US"/>
        </w:rPr>
      </w:pPr>
      <w:r w:rsidRPr="00BD6503">
        <w:rPr>
          <w:lang w:val="en-US"/>
        </w:rPr>
        <w:t xml:space="preserve">Ordinary citizens are guaranteed the right to participate in politics through various civil rights: their right to assembly, </w:t>
      </w:r>
      <w:proofErr w:type="gramStart"/>
      <w:r w:rsidRPr="00BD6503">
        <w:rPr>
          <w:lang w:val="en-US"/>
        </w:rPr>
        <w:t>their</w:t>
      </w:r>
      <w:proofErr w:type="gramEnd"/>
      <w:r w:rsidRPr="00BD6503">
        <w:rPr>
          <w:lang w:val="en-US"/>
        </w:rPr>
        <w:t xml:space="preserve"> right to vote, or their right to stand for </w:t>
      </w:r>
      <w:r w:rsidRPr="00BD6503">
        <w:rPr>
          <w:lang w:val="en-US"/>
        </w:rPr>
        <w:lastRenderedPageBreak/>
        <w:t xml:space="preserve">election. </w:t>
      </w:r>
      <w:r w:rsidR="002A0CC0">
        <w:rPr>
          <w:lang w:val="en-US"/>
        </w:rPr>
        <w:t>And l</w:t>
      </w:r>
      <w:r w:rsidRPr="00BD6503">
        <w:rPr>
          <w:lang w:val="en-US"/>
        </w:rPr>
        <w:t xml:space="preserve">ike individual citizens, </w:t>
      </w:r>
      <w:r w:rsidR="002A0CC0">
        <w:rPr>
          <w:lang w:val="en-US"/>
        </w:rPr>
        <w:t>corporations</w:t>
      </w:r>
      <w:r w:rsidR="002A0CC0" w:rsidRPr="00BD6503">
        <w:rPr>
          <w:lang w:val="en-US"/>
        </w:rPr>
        <w:t xml:space="preserve"> </w:t>
      </w:r>
      <w:r w:rsidRPr="00BD6503">
        <w:rPr>
          <w:lang w:val="en-US"/>
        </w:rPr>
        <w:t>have the right to influence politics though donating to political parties and causes, but with some notable exceptions</w:t>
      </w:r>
      <w:r w:rsidR="00C477A0">
        <w:rPr>
          <w:lang w:val="en-US"/>
        </w:rPr>
        <w:t>,</w:t>
      </w:r>
      <w:r>
        <w:rPr>
          <w:rStyle w:val="FootnoteReference"/>
          <w:sz w:val="22"/>
          <w:szCs w:val="22"/>
        </w:rPr>
        <w:footnoteReference w:id="6"/>
      </w:r>
      <w:r w:rsidRPr="00BD6503">
        <w:rPr>
          <w:lang w:val="en-US"/>
        </w:rPr>
        <w:t xml:space="preserve"> corporations are not able to participate as individual citizens are.</w:t>
      </w:r>
      <w:r w:rsidR="005A3FD3">
        <w:rPr>
          <w:lang w:val="en-US"/>
        </w:rPr>
        <w:t xml:space="preserve"> </w:t>
      </w:r>
      <w:r w:rsidRPr="00BD6503">
        <w:rPr>
          <w:lang w:val="en-US"/>
        </w:rPr>
        <w:t xml:space="preserve">The sovereign relation between the state and the </w:t>
      </w:r>
      <w:r w:rsidRPr="00BD6503">
        <w:rPr>
          <w:i/>
          <w:lang w:val="en-US"/>
        </w:rPr>
        <w:t>corporate</w:t>
      </w:r>
      <w:r w:rsidRPr="00BD6503">
        <w:rPr>
          <w:lang w:val="en-US"/>
        </w:rPr>
        <w:t xml:space="preserve"> citizen also differs in the sense that is has a very distinctive political character.</w:t>
      </w:r>
      <w:r w:rsidR="005A3FD3">
        <w:rPr>
          <w:lang w:val="en-US"/>
        </w:rPr>
        <w:t xml:space="preserve"> </w:t>
      </w:r>
      <w:r w:rsidRPr="00BD6503">
        <w:rPr>
          <w:lang w:val="en-US"/>
        </w:rPr>
        <w:t>This relationship is set out at this point in the discussion precisely because it reveals a set of characteristics that are not comparable to the sets of permissions and political rights that enable individual citizens to participate in the affairs of state.</w:t>
      </w:r>
      <w:r w:rsidR="005A3FD3">
        <w:rPr>
          <w:lang w:val="en-US"/>
        </w:rPr>
        <w:t xml:space="preserve"> </w:t>
      </w:r>
      <w:r w:rsidRPr="00BD6503">
        <w:rPr>
          <w:lang w:val="en-US"/>
        </w:rPr>
        <w:t xml:space="preserve">The key difference is that corporations have always enjoyed some form of </w:t>
      </w:r>
      <w:r w:rsidR="00691E04">
        <w:rPr>
          <w:lang w:val="en-US"/>
        </w:rPr>
        <w:t xml:space="preserve">political </w:t>
      </w:r>
      <w:r w:rsidRPr="00BD6503">
        <w:rPr>
          <w:lang w:val="en-US"/>
        </w:rPr>
        <w:t xml:space="preserve">autonomy </w:t>
      </w:r>
      <w:r w:rsidR="00691E04">
        <w:rPr>
          <w:lang w:val="en-US"/>
        </w:rPr>
        <w:t xml:space="preserve">and in some contexts possess political power </w:t>
      </w:r>
      <w:r w:rsidRPr="00BD6503">
        <w:rPr>
          <w:lang w:val="en-US"/>
        </w:rPr>
        <w:t xml:space="preserve">rather than simply being the </w:t>
      </w:r>
      <w:r w:rsidRPr="00BD6503">
        <w:rPr>
          <w:i/>
          <w:lang w:val="en-US"/>
        </w:rPr>
        <w:t>subjects</w:t>
      </w:r>
      <w:r w:rsidRPr="00BD6503">
        <w:rPr>
          <w:lang w:val="en-US"/>
        </w:rPr>
        <w:t xml:space="preserve"> of </w:t>
      </w:r>
      <w:r w:rsidR="00691E04">
        <w:rPr>
          <w:lang w:val="en-US"/>
        </w:rPr>
        <w:t>political authority</w:t>
      </w:r>
      <w:r w:rsidRPr="00BD6503">
        <w:rPr>
          <w:lang w:val="en-US"/>
        </w:rPr>
        <w:t>.</w:t>
      </w:r>
      <w:r w:rsidR="005A3FD3">
        <w:rPr>
          <w:lang w:val="en-US"/>
        </w:rPr>
        <w:t xml:space="preserve"> </w:t>
      </w:r>
    </w:p>
    <w:p w14:paraId="51616FDE" w14:textId="22FB47E8" w:rsidR="00BD6503" w:rsidRPr="00BD6503" w:rsidRDefault="00BD6503" w:rsidP="00BD6503">
      <w:pPr>
        <w:pStyle w:val="Parrafo"/>
        <w:rPr>
          <w:lang w:val="en-US"/>
        </w:rPr>
      </w:pPr>
      <w:r w:rsidRPr="00BD6503">
        <w:rPr>
          <w:lang w:val="en-US"/>
        </w:rPr>
        <w:t>The earliest incorporated entities generally had an explicitly political or public function.</w:t>
      </w:r>
      <w:r w:rsidR="005A3FD3">
        <w:rPr>
          <w:lang w:val="en-US"/>
        </w:rPr>
        <w:t xml:space="preserve"> </w:t>
      </w:r>
      <w:r w:rsidRPr="00BD6503">
        <w:rPr>
          <w:lang w:val="en-US"/>
        </w:rPr>
        <w:t xml:space="preserve">In the 14th century, for example, English boroughs and towns could be regarded as having a single </w:t>
      </w:r>
      <w:r w:rsidR="001F2043">
        <w:rPr>
          <w:lang w:val="en-US"/>
        </w:rPr>
        <w:t>“</w:t>
      </w:r>
      <w:r w:rsidRPr="00BD6503">
        <w:rPr>
          <w:lang w:val="en-US"/>
        </w:rPr>
        <w:t>personality</w:t>
      </w:r>
      <w:r w:rsidR="001F2043">
        <w:rPr>
          <w:lang w:val="en-US"/>
        </w:rPr>
        <w:t>”</w:t>
      </w:r>
      <w:r w:rsidRPr="00BD6503">
        <w:rPr>
          <w:lang w:val="en-US"/>
        </w:rPr>
        <w:t xml:space="preserve"> in their responsibilities to the Crown (such as paying levies or fulfilling particular duties).</w:t>
      </w:r>
      <w:r w:rsidR="005A3FD3">
        <w:rPr>
          <w:lang w:val="en-US"/>
        </w:rPr>
        <w:t xml:space="preserve"> </w:t>
      </w:r>
      <w:r w:rsidRPr="00BD6503">
        <w:rPr>
          <w:lang w:val="en-US"/>
        </w:rPr>
        <w:t>Incorporated or chartered bodies were often established to fulfill a function of government or a narrowly specified public service such as building a bridge or operating a ferry. Before the 17</w:t>
      </w:r>
      <w:r w:rsidRPr="00BD6503">
        <w:rPr>
          <w:vertAlign w:val="superscript"/>
          <w:lang w:val="en-US"/>
        </w:rPr>
        <w:t>th</w:t>
      </w:r>
      <w:r w:rsidRPr="00BD6503">
        <w:rPr>
          <w:lang w:val="en-US"/>
        </w:rPr>
        <w:t xml:space="preserve"> century, royal charters for this purpose recognised hospitals, universities and other municipal authorities as singular entities. In those early forms of corporation, those charters granted some measure of political autonomy in a formal legal sense.</w:t>
      </w:r>
      <w:r w:rsidR="005A3FD3">
        <w:rPr>
          <w:lang w:val="en-US"/>
        </w:rPr>
        <w:t xml:space="preserve"> </w:t>
      </w:r>
      <w:r w:rsidRPr="00BD6503">
        <w:rPr>
          <w:lang w:val="en-US"/>
        </w:rPr>
        <w:t>That is to say, the charter established a relationship between the recipients of the service and the authority that had the same characteristics as the sovereign political authorities of the nation state.</w:t>
      </w:r>
      <w:r w:rsidR="005A3FD3">
        <w:rPr>
          <w:lang w:val="en-US"/>
        </w:rPr>
        <w:t xml:space="preserve"> </w:t>
      </w:r>
      <w:r w:rsidRPr="00BD6503">
        <w:rPr>
          <w:lang w:val="en-US"/>
        </w:rPr>
        <w:t xml:space="preserve">In </w:t>
      </w:r>
      <w:r w:rsidR="00691E04">
        <w:rPr>
          <w:lang w:val="en-US"/>
        </w:rPr>
        <w:t>some cases</w:t>
      </w:r>
      <w:r w:rsidRPr="00BD6503">
        <w:rPr>
          <w:lang w:val="en-US"/>
        </w:rPr>
        <w:t xml:space="preserve">, incorporation also meant that chartered entities were gifted the ability to make politically sovereign decisions: to charge fees and taxes or to allocate resources, or even to bestow a particular social status upon an individual (the allocation of particular positions as officers or officials). </w:t>
      </w:r>
    </w:p>
    <w:p w14:paraId="220D8113" w14:textId="7D7FA0D8" w:rsidR="00BD6503" w:rsidRPr="00BD6503" w:rsidRDefault="00BD6503" w:rsidP="00BD6503">
      <w:pPr>
        <w:pStyle w:val="Parrafo"/>
        <w:rPr>
          <w:lang w:val="en-US"/>
        </w:rPr>
      </w:pPr>
      <w:r w:rsidRPr="00BD6503">
        <w:rPr>
          <w:lang w:val="en-US"/>
        </w:rPr>
        <w:t>The British ruling elite set up numerous joint-stock corporations on a similar model between the 16</w:t>
      </w:r>
      <w:r w:rsidRPr="00BD6503">
        <w:rPr>
          <w:vertAlign w:val="superscript"/>
          <w:lang w:val="en-US"/>
        </w:rPr>
        <w:t>th</w:t>
      </w:r>
      <w:r w:rsidRPr="00BD6503">
        <w:rPr>
          <w:lang w:val="en-US"/>
        </w:rPr>
        <w:t xml:space="preserve"> and the 19</w:t>
      </w:r>
      <w:r w:rsidR="00691E04" w:rsidRPr="00B84F88">
        <w:rPr>
          <w:vertAlign w:val="superscript"/>
          <w:lang w:val="en-US"/>
        </w:rPr>
        <w:t>th</w:t>
      </w:r>
      <w:r w:rsidRPr="00BD6503">
        <w:rPr>
          <w:lang w:val="en-US"/>
        </w:rPr>
        <w:t xml:space="preserve"> centuries to ship goods and trade across continents, to seize land, settle colonising forces and to plunder resources.</w:t>
      </w:r>
      <w:r w:rsidR="005A3FD3">
        <w:rPr>
          <w:lang w:val="en-US"/>
        </w:rPr>
        <w:t xml:space="preserve"> </w:t>
      </w:r>
      <w:r w:rsidRPr="00BD6503">
        <w:rPr>
          <w:lang w:val="en-US"/>
        </w:rPr>
        <w:t xml:space="preserve">Such companies were seen as a highly effective and efficient means of </w:t>
      </w:r>
      <w:r w:rsidR="00691E04">
        <w:rPr>
          <w:lang w:val="en-US"/>
        </w:rPr>
        <w:t xml:space="preserve">colonization </w:t>
      </w:r>
      <w:r w:rsidRPr="00BD6503">
        <w:rPr>
          <w:lang w:val="en-US"/>
        </w:rPr>
        <w:t xml:space="preserve">because they administered trade, corralled both enslaved and waged labour forces and policed local populations. The corporation, then was given exceptional rights as a </w:t>
      </w:r>
      <w:r w:rsidRPr="00BD6503">
        <w:rPr>
          <w:i/>
          <w:lang w:val="en-US"/>
        </w:rPr>
        <w:t>political</w:t>
      </w:r>
      <w:r w:rsidRPr="00BD6503">
        <w:rPr>
          <w:lang w:val="en-US"/>
        </w:rPr>
        <w:t xml:space="preserve"> entity, and its employees were permitted to bear and use arms on behalf of the state, to monopolise trade and production, to destroy infrastructure, and to torture and enslave whole peoples.</w:t>
      </w:r>
      <w:r w:rsidR="005A3FD3">
        <w:rPr>
          <w:lang w:val="en-US"/>
        </w:rPr>
        <w:t xml:space="preserve"> </w:t>
      </w:r>
      <w:r w:rsidRPr="00BD6503">
        <w:rPr>
          <w:lang w:val="en-US"/>
        </w:rPr>
        <w:t xml:space="preserve">None of those </w:t>
      </w:r>
      <w:r w:rsidR="001F2043">
        <w:rPr>
          <w:lang w:val="en-US"/>
        </w:rPr>
        <w:t>“</w:t>
      </w:r>
      <w:r w:rsidRPr="00BD6503">
        <w:rPr>
          <w:lang w:val="en-US"/>
        </w:rPr>
        <w:t>rights</w:t>
      </w:r>
      <w:r w:rsidR="001F2043">
        <w:rPr>
          <w:lang w:val="en-US"/>
        </w:rPr>
        <w:t>”</w:t>
      </w:r>
      <w:r w:rsidRPr="00BD6503">
        <w:rPr>
          <w:lang w:val="en-US"/>
        </w:rPr>
        <w:t xml:space="preserve"> or </w:t>
      </w:r>
      <w:r w:rsidR="001F2043">
        <w:rPr>
          <w:lang w:val="en-US"/>
        </w:rPr>
        <w:t>“</w:t>
      </w:r>
      <w:r w:rsidRPr="00BD6503">
        <w:rPr>
          <w:lang w:val="en-US"/>
        </w:rPr>
        <w:t>powers</w:t>
      </w:r>
      <w:r w:rsidR="001F2043">
        <w:rPr>
          <w:lang w:val="en-US"/>
        </w:rPr>
        <w:t>”</w:t>
      </w:r>
      <w:r w:rsidRPr="00BD6503">
        <w:rPr>
          <w:lang w:val="en-US"/>
        </w:rPr>
        <w:t xml:space="preserve"> </w:t>
      </w:r>
      <w:proofErr w:type="gramStart"/>
      <w:r w:rsidRPr="00BD6503">
        <w:rPr>
          <w:lang w:val="en-US"/>
        </w:rPr>
        <w:t>were</w:t>
      </w:r>
      <w:proofErr w:type="gramEnd"/>
      <w:r w:rsidRPr="00BD6503">
        <w:rPr>
          <w:lang w:val="en-US"/>
        </w:rPr>
        <w:t xml:space="preserve"> given to ordinary citizens, unless of course they were acting on behalf of states.</w:t>
      </w:r>
      <w:r w:rsidR="005A3FD3">
        <w:rPr>
          <w:lang w:val="en-US"/>
        </w:rPr>
        <w:t xml:space="preserve"> </w:t>
      </w:r>
      <w:r w:rsidRPr="00BD6503">
        <w:rPr>
          <w:lang w:val="en-US"/>
        </w:rPr>
        <w:t>In this sense, the corporate person assumed the supra-human powers that were normally only available to the sovereign.</w:t>
      </w:r>
    </w:p>
    <w:p w14:paraId="7B1D7F2E" w14:textId="5ABC0947" w:rsidR="00BD6503" w:rsidRPr="00BD6503" w:rsidRDefault="00BD6503" w:rsidP="00BD6503">
      <w:pPr>
        <w:pStyle w:val="Parrafo"/>
        <w:rPr>
          <w:lang w:val="en-US"/>
        </w:rPr>
      </w:pPr>
      <w:proofErr w:type="gramStart"/>
      <w:r w:rsidRPr="00BD6503">
        <w:rPr>
          <w:lang w:val="en-US"/>
        </w:rPr>
        <w:t xml:space="preserve">Its roots as a </w:t>
      </w:r>
      <w:r w:rsidRPr="00BD6503">
        <w:rPr>
          <w:i/>
          <w:lang w:val="en-US"/>
        </w:rPr>
        <w:t>colonial</w:t>
      </w:r>
      <w:r w:rsidRPr="00BD6503">
        <w:rPr>
          <w:lang w:val="en-US"/>
        </w:rPr>
        <w:t xml:space="preserve"> entity endures</w:t>
      </w:r>
      <w:proofErr w:type="gramEnd"/>
      <w:r w:rsidRPr="00BD6503">
        <w:rPr>
          <w:lang w:val="en-US"/>
        </w:rPr>
        <w:t xml:space="preserve"> in the model of the modern day corporation.</w:t>
      </w:r>
      <w:r w:rsidR="005A3FD3">
        <w:rPr>
          <w:lang w:val="en-US"/>
        </w:rPr>
        <w:t xml:space="preserve"> </w:t>
      </w:r>
      <w:r w:rsidRPr="00BD6503">
        <w:rPr>
          <w:lang w:val="en-US"/>
        </w:rPr>
        <w:t>There are parts of the world in which we find multinational corporations responsible for the establishment of social infrastructure, transportation networks, telecommunications and basic amenities.</w:t>
      </w:r>
      <w:r w:rsidR="005A3FD3">
        <w:rPr>
          <w:lang w:val="en-US"/>
        </w:rPr>
        <w:t xml:space="preserve"> </w:t>
      </w:r>
      <w:r w:rsidRPr="00BD6503">
        <w:rPr>
          <w:lang w:val="en-US"/>
        </w:rPr>
        <w:t>This occurs particularly in remote locations in the extractive industries, or in sectors that are involved in primary production and exploitation of natural resources.</w:t>
      </w:r>
      <w:r w:rsidR="005A3FD3">
        <w:rPr>
          <w:lang w:val="en-US"/>
        </w:rPr>
        <w:t xml:space="preserve"> </w:t>
      </w:r>
      <w:r w:rsidRPr="00BD6503">
        <w:rPr>
          <w:lang w:val="en-US"/>
        </w:rPr>
        <w:t>The recent growth of the private military sector also reveals how corporations</w:t>
      </w:r>
      <w:r w:rsidR="00691E04">
        <w:rPr>
          <w:lang w:val="en-US"/>
        </w:rPr>
        <w:t>’</w:t>
      </w:r>
      <w:r w:rsidRPr="00BD6503">
        <w:rPr>
          <w:lang w:val="en-US"/>
        </w:rPr>
        <w:t xml:space="preserve"> right to bear arms remains significant in colonial contexts today.</w:t>
      </w:r>
      <w:r w:rsidR="005A3FD3">
        <w:rPr>
          <w:lang w:val="en-US"/>
        </w:rPr>
        <w:t xml:space="preserve"> </w:t>
      </w:r>
      <w:r w:rsidRPr="00BD6503">
        <w:rPr>
          <w:lang w:val="en-US"/>
        </w:rPr>
        <w:t xml:space="preserve">Private military companies, licensed by Global North states, are able to </w:t>
      </w:r>
      <w:r w:rsidR="00691E04">
        <w:rPr>
          <w:lang w:val="en-US"/>
        </w:rPr>
        <w:t>employ armed security</w:t>
      </w:r>
      <w:r w:rsidRPr="00BD6503">
        <w:rPr>
          <w:lang w:val="en-US"/>
        </w:rPr>
        <w:t>, and in some contexts, engage in combat situations outside their own jurisdictions (Musah and Fayemi 1999</w:t>
      </w:r>
      <w:r w:rsidR="00C477A0">
        <w:rPr>
          <w:lang w:val="en-US"/>
        </w:rPr>
        <w:t>,</w:t>
      </w:r>
      <w:r w:rsidRPr="00BD6503">
        <w:rPr>
          <w:lang w:val="en-US"/>
        </w:rPr>
        <w:t xml:space="preserve"> Whyte 2003).</w:t>
      </w:r>
      <w:r w:rsidR="005A3FD3">
        <w:rPr>
          <w:lang w:val="en-US"/>
        </w:rPr>
        <w:t xml:space="preserve"> </w:t>
      </w:r>
      <w:r w:rsidRPr="00BD6503">
        <w:rPr>
          <w:lang w:val="en-US"/>
        </w:rPr>
        <w:t>Global North corporations in the extractive industries directly employ armed force (Ikelegbe 2005).</w:t>
      </w:r>
      <w:r w:rsidR="005A3FD3">
        <w:rPr>
          <w:lang w:val="en-US"/>
        </w:rPr>
        <w:t xml:space="preserve"> </w:t>
      </w:r>
      <w:r w:rsidRPr="00BD6503">
        <w:rPr>
          <w:lang w:val="en-US"/>
        </w:rPr>
        <w:t xml:space="preserve">In those contexts, we see corporations operating with the same military and political authority as states (Ferguson 2005, Khoury and Whyte 2017); corporations are permitted to act as </w:t>
      </w:r>
      <w:r w:rsidRPr="00BD6503">
        <w:rPr>
          <w:i/>
          <w:lang w:val="en-US"/>
        </w:rPr>
        <w:t>de facto</w:t>
      </w:r>
      <w:r w:rsidRPr="00BD6503">
        <w:rPr>
          <w:lang w:val="en-US"/>
        </w:rPr>
        <w:t xml:space="preserve"> political entities.</w:t>
      </w:r>
      <w:r w:rsidR="005A3FD3">
        <w:rPr>
          <w:lang w:val="en-US"/>
        </w:rPr>
        <w:t xml:space="preserve"> </w:t>
      </w:r>
    </w:p>
    <w:p w14:paraId="35A4FA47" w14:textId="3AED3FB3" w:rsidR="00BD6503" w:rsidRPr="00BD6503" w:rsidRDefault="00BD6503" w:rsidP="00BD6503">
      <w:pPr>
        <w:pStyle w:val="Parrafo"/>
        <w:rPr>
          <w:lang w:val="en-US"/>
        </w:rPr>
      </w:pPr>
      <w:r w:rsidRPr="00BD6503">
        <w:rPr>
          <w:lang w:val="en-US"/>
        </w:rPr>
        <w:lastRenderedPageBreak/>
        <w:t>In the previous section, we noted how EPZs enable corporations to minimize their obligations to states and at the same time assume a high degree of sovereign political authority over those spaces.</w:t>
      </w:r>
      <w:r w:rsidR="005A3FD3">
        <w:rPr>
          <w:lang w:val="en-US"/>
        </w:rPr>
        <w:t xml:space="preserve"> </w:t>
      </w:r>
      <w:r w:rsidRPr="00BD6503">
        <w:rPr>
          <w:lang w:val="en-US"/>
        </w:rPr>
        <w:t>EPZs are, of course, not the dominant mode of organizing production.</w:t>
      </w:r>
      <w:r w:rsidR="005A3FD3">
        <w:rPr>
          <w:lang w:val="en-US"/>
        </w:rPr>
        <w:t xml:space="preserve"> </w:t>
      </w:r>
      <w:r w:rsidRPr="00BD6503">
        <w:rPr>
          <w:lang w:val="en-US"/>
        </w:rPr>
        <w:t>Yet, the core principles upon which EPZs are organized reflect a much more general shift in the relationship between corporations, states and the individual.</w:t>
      </w:r>
      <w:r w:rsidR="005A3FD3">
        <w:rPr>
          <w:lang w:val="en-US"/>
        </w:rPr>
        <w:t xml:space="preserve"> </w:t>
      </w:r>
      <w:r w:rsidRPr="00BD6503">
        <w:rPr>
          <w:lang w:val="en-US"/>
        </w:rPr>
        <w:t>This relationship, as we saw in the previous section, re-scales the sovereign relationship between the individual and the state, and enhances the power and autonomy of corporations.</w:t>
      </w:r>
      <w:r w:rsidR="005A3FD3">
        <w:rPr>
          <w:lang w:val="en-US"/>
        </w:rPr>
        <w:t xml:space="preserve"> </w:t>
      </w:r>
      <w:r w:rsidRPr="00BD6503">
        <w:rPr>
          <w:lang w:val="en-US"/>
        </w:rPr>
        <w:t>This description of a shift in sovereign relations is reflected in other key features of the neo-liberal economy (for example, out-sourcing and privatization).</w:t>
      </w:r>
      <w:r w:rsidR="005A3FD3">
        <w:rPr>
          <w:lang w:val="en-US"/>
        </w:rPr>
        <w:t xml:space="preserve"> </w:t>
      </w:r>
      <w:r w:rsidRPr="00BD6503">
        <w:rPr>
          <w:lang w:val="en-US"/>
        </w:rPr>
        <w:t>The effect of such shift is that private corporations are granted the political authority over the provision of services, as well as the authority to collect revenue to pay for those services. Privatization has altered the relationship between citizen and state in the Global North, and this process has been a central feature of what has come to be known as neo-colonialism.</w:t>
      </w:r>
      <w:r>
        <w:rPr>
          <w:rStyle w:val="FootnoteReference"/>
          <w:sz w:val="22"/>
          <w:szCs w:val="22"/>
        </w:rPr>
        <w:footnoteReference w:id="7"/>
      </w:r>
      <w:r w:rsidR="005A3FD3">
        <w:rPr>
          <w:lang w:val="en-US"/>
        </w:rPr>
        <w:t xml:space="preserve"> </w:t>
      </w:r>
      <w:r w:rsidRPr="00BD6503">
        <w:rPr>
          <w:lang w:val="en-US"/>
        </w:rPr>
        <w:t>The ceding of political authority in the context of the Global South is not only done freely by governments, but is generally imposed by Global North countries and international financial institutions as a condition of investment and international grants and loans for economic development (Abrahamsen 2001).</w:t>
      </w:r>
    </w:p>
    <w:p w14:paraId="1522454B" w14:textId="3170236B" w:rsidR="00BD6503" w:rsidRPr="00BD6503" w:rsidRDefault="00BD6503" w:rsidP="00BD6503">
      <w:pPr>
        <w:pStyle w:val="Parrafo"/>
        <w:rPr>
          <w:lang w:val="en-US"/>
        </w:rPr>
      </w:pPr>
      <w:r w:rsidRPr="00BD6503">
        <w:rPr>
          <w:lang w:val="en-US"/>
        </w:rPr>
        <w:t>Privatization is one of the defining features of neo-liberalism.</w:t>
      </w:r>
      <w:r w:rsidR="005A3FD3">
        <w:rPr>
          <w:lang w:val="en-US"/>
        </w:rPr>
        <w:t xml:space="preserve"> </w:t>
      </w:r>
      <w:r w:rsidRPr="00BD6503">
        <w:rPr>
          <w:lang w:val="en-US"/>
        </w:rPr>
        <w:t xml:space="preserve">Another defining feature can be found in the range of processes </w:t>
      </w:r>
      <w:r w:rsidR="00691E04">
        <w:rPr>
          <w:lang w:val="en-US"/>
        </w:rPr>
        <w:t>that have become known</w:t>
      </w:r>
      <w:r w:rsidRPr="00BD6503">
        <w:rPr>
          <w:lang w:val="en-US"/>
        </w:rPr>
        <w:t xml:space="preserve"> as </w:t>
      </w:r>
      <w:r w:rsidR="001F2043">
        <w:rPr>
          <w:lang w:val="en-US"/>
        </w:rPr>
        <w:t>“</w:t>
      </w:r>
      <w:r w:rsidRPr="00BD6503">
        <w:rPr>
          <w:lang w:val="en-US"/>
        </w:rPr>
        <w:t>deregulation</w:t>
      </w:r>
      <w:r w:rsidR="001F2043">
        <w:rPr>
          <w:lang w:val="en-US"/>
        </w:rPr>
        <w:t>”</w:t>
      </w:r>
      <w:r w:rsidRPr="00BD6503">
        <w:rPr>
          <w:lang w:val="en-US"/>
        </w:rPr>
        <w:t>.</w:t>
      </w:r>
      <w:r w:rsidR="005A3FD3">
        <w:rPr>
          <w:lang w:val="en-US"/>
        </w:rPr>
        <w:t xml:space="preserve"> </w:t>
      </w:r>
      <w:r w:rsidRPr="00BD6503">
        <w:rPr>
          <w:lang w:val="en-US"/>
        </w:rPr>
        <w:t xml:space="preserve">Thus, the stripping away of legal restrictions on business, the erosion of regulatory agencies at every level of government, and the ideological attack on social protection as a </w:t>
      </w:r>
      <w:r w:rsidR="001F2043">
        <w:rPr>
          <w:lang w:val="en-US"/>
        </w:rPr>
        <w:t>“</w:t>
      </w:r>
      <w:r w:rsidRPr="00BD6503">
        <w:rPr>
          <w:lang w:val="en-US"/>
        </w:rPr>
        <w:t>burden on business</w:t>
      </w:r>
      <w:r w:rsidR="001F2043">
        <w:rPr>
          <w:lang w:val="en-US"/>
        </w:rPr>
        <w:t>”</w:t>
      </w:r>
      <w:r w:rsidRPr="00BD6503">
        <w:rPr>
          <w:lang w:val="en-US"/>
        </w:rPr>
        <w:t xml:space="preserve">, have been dominant features of the political landscape in developed economies for the past </w:t>
      </w:r>
      <w:r w:rsidR="00C477A0">
        <w:rPr>
          <w:lang w:val="en-US"/>
        </w:rPr>
        <w:t>three</w:t>
      </w:r>
      <w:r w:rsidRPr="00BD6503">
        <w:rPr>
          <w:lang w:val="en-US"/>
        </w:rPr>
        <w:t xml:space="preserve"> decades at least (Tombs 2016).</w:t>
      </w:r>
      <w:r w:rsidR="005A3FD3">
        <w:rPr>
          <w:lang w:val="en-US"/>
        </w:rPr>
        <w:t xml:space="preserve"> </w:t>
      </w:r>
      <w:r w:rsidRPr="00BD6503">
        <w:rPr>
          <w:lang w:val="en-US"/>
        </w:rPr>
        <w:t xml:space="preserve">This process has granted a number of </w:t>
      </w:r>
      <w:r w:rsidRPr="00BD6503">
        <w:rPr>
          <w:i/>
          <w:lang w:val="en-US"/>
        </w:rPr>
        <w:t>de</w:t>
      </w:r>
      <w:r w:rsidR="00C477A0">
        <w:rPr>
          <w:i/>
          <w:lang w:val="en-US"/>
        </w:rPr>
        <w:t xml:space="preserve"> </w:t>
      </w:r>
      <w:r w:rsidRPr="00BD6503">
        <w:rPr>
          <w:i/>
          <w:lang w:val="en-US"/>
        </w:rPr>
        <w:t>facto</w:t>
      </w:r>
      <w:r w:rsidRPr="00BD6503">
        <w:rPr>
          <w:lang w:val="en-US"/>
        </w:rPr>
        <w:t xml:space="preserve"> privileges to corporations: it has opened new avenues of value accumulation (for example as private, profit-making, regulators); and made it more difficult to criminalise corporate offences or place legal restraints on corporations.</w:t>
      </w:r>
      <w:r w:rsidR="005A3FD3">
        <w:rPr>
          <w:lang w:val="en-US"/>
        </w:rPr>
        <w:t xml:space="preserve"> </w:t>
      </w:r>
      <w:r w:rsidRPr="00BD6503">
        <w:rPr>
          <w:lang w:val="en-US"/>
        </w:rPr>
        <w:t>In short, neo-liberalism has given corporate citizens an unprecedented political prestige (Tombs 20</w:t>
      </w:r>
      <w:r w:rsidR="009E625F">
        <w:rPr>
          <w:lang w:val="en-US"/>
        </w:rPr>
        <w:t>16)</w:t>
      </w:r>
      <w:r w:rsidRPr="00BD6503">
        <w:rPr>
          <w:lang w:val="en-US"/>
        </w:rPr>
        <w:t>.</w:t>
      </w:r>
      <w:r w:rsidR="005A3FD3">
        <w:rPr>
          <w:lang w:val="en-US"/>
        </w:rPr>
        <w:t xml:space="preserve"> </w:t>
      </w:r>
      <w:r w:rsidRPr="00BD6503">
        <w:rPr>
          <w:lang w:val="en-US"/>
        </w:rPr>
        <w:t xml:space="preserve">The neo-liberal era is therefore equally defined by brand of politics in which it is normal for corporations to be asked to shape the policies and laws that </w:t>
      </w:r>
      <w:r w:rsidR="00C477A0" w:rsidRPr="00BD6503">
        <w:rPr>
          <w:lang w:val="en-US"/>
        </w:rPr>
        <w:t>affect them</w:t>
      </w:r>
      <w:r w:rsidRPr="00BD6503">
        <w:rPr>
          <w:lang w:val="en-US"/>
        </w:rPr>
        <w:t xml:space="preserve"> most, and has made the </w:t>
      </w:r>
      <w:r w:rsidR="001F2043">
        <w:rPr>
          <w:lang w:val="en-US"/>
        </w:rPr>
        <w:t>“</w:t>
      </w:r>
      <w:r w:rsidRPr="00BD6503">
        <w:rPr>
          <w:lang w:val="en-US"/>
        </w:rPr>
        <w:t>revolving door</w:t>
      </w:r>
      <w:r w:rsidR="001F2043">
        <w:rPr>
          <w:lang w:val="en-US"/>
        </w:rPr>
        <w:t>”</w:t>
      </w:r>
      <w:r w:rsidRPr="00BD6503">
        <w:rPr>
          <w:lang w:val="en-US"/>
        </w:rPr>
        <w:t xml:space="preserve"> of senior appointments across public and private sectors the norm (Whyte 2015b).</w:t>
      </w:r>
      <w:r w:rsidR="005A3FD3">
        <w:rPr>
          <w:lang w:val="en-US"/>
        </w:rPr>
        <w:t xml:space="preserve"> </w:t>
      </w:r>
      <w:r w:rsidRPr="00BD6503">
        <w:rPr>
          <w:lang w:val="en-US"/>
        </w:rPr>
        <w:t xml:space="preserve">The central role of corporations now in the administration of public services such as hospitals and schools, and even the administration of crime control and security has become routinized in neo-liberal economies (Coleman </w:t>
      </w:r>
      <w:r w:rsidRPr="00CF3106">
        <w:rPr>
          <w:i/>
          <w:lang w:val="en-US"/>
        </w:rPr>
        <w:t>et al</w:t>
      </w:r>
      <w:r w:rsidRPr="00BD6503">
        <w:rPr>
          <w:lang w:val="en-US"/>
        </w:rPr>
        <w:t>. 2005, Singh 2005).</w:t>
      </w:r>
      <w:r w:rsidR="005A3FD3">
        <w:rPr>
          <w:lang w:val="en-US"/>
        </w:rPr>
        <w:t xml:space="preserve"> </w:t>
      </w:r>
      <w:r w:rsidRPr="00BD6503">
        <w:rPr>
          <w:lang w:val="en-US"/>
        </w:rPr>
        <w:t xml:space="preserve">Thus, the corporate </w:t>
      </w:r>
      <w:r w:rsidR="001F2043">
        <w:rPr>
          <w:lang w:val="en-US"/>
        </w:rPr>
        <w:t>“</w:t>
      </w:r>
      <w:r w:rsidRPr="00BD6503">
        <w:rPr>
          <w:lang w:val="en-US"/>
        </w:rPr>
        <w:t>citizen</w:t>
      </w:r>
      <w:r w:rsidR="001F2043">
        <w:rPr>
          <w:lang w:val="en-US"/>
        </w:rPr>
        <w:t>”</w:t>
      </w:r>
      <w:r w:rsidRPr="00BD6503">
        <w:rPr>
          <w:lang w:val="en-US"/>
        </w:rPr>
        <w:t xml:space="preserve"> very often finds itself with considerable political and administrative power.</w:t>
      </w:r>
      <w:r w:rsidR="005A3FD3">
        <w:rPr>
          <w:lang w:val="en-US"/>
        </w:rPr>
        <w:t xml:space="preserve"> </w:t>
      </w:r>
      <w:r w:rsidRPr="00BD6503">
        <w:rPr>
          <w:lang w:val="en-US"/>
        </w:rPr>
        <w:t>At the same time, the corporation is granted privileged access to, and privileged protection in, the spheres of politics, policy and law.</w:t>
      </w:r>
      <w:r w:rsidR="005A3FD3">
        <w:rPr>
          <w:lang w:val="en-US"/>
        </w:rPr>
        <w:t xml:space="preserve"> </w:t>
      </w:r>
      <w:r w:rsidRPr="00BD6503">
        <w:rPr>
          <w:lang w:val="en-US"/>
        </w:rPr>
        <w:t xml:space="preserve">This is the context for how we can understand </w:t>
      </w:r>
      <w:r w:rsidR="00C477A0" w:rsidRPr="00BD6503">
        <w:rPr>
          <w:lang w:val="en-US"/>
        </w:rPr>
        <w:t>Maitland</w:t>
      </w:r>
      <w:r w:rsidR="00C477A0">
        <w:rPr>
          <w:lang w:val="en-US"/>
        </w:rPr>
        <w:t>’s</w:t>
      </w:r>
      <w:r w:rsidRPr="00BD6503">
        <w:rPr>
          <w:lang w:val="en-US"/>
        </w:rPr>
        <w:t xml:space="preserve"> “right-and-duty-bearing” corporation.</w:t>
      </w:r>
      <w:r w:rsidR="005A3FD3">
        <w:rPr>
          <w:lang w:val="en-US"/>
        </w:rPr>
        <w:t xml:space="preserve"> </w:t>
      </w:r>
      <w:r w:rsidRPr="00BD6503">
        <w:rPr>
          <w:lang w:val="en-US"/>
        </w:rPr>
        <w:t>If the corporation is a right-and-duty-bearing unit, it is a very special one; it is one that in some contexts is granted significant political authority and enjoys access to policy-making processes that ordinary citizens could never legitimately expect.</w:t>
      </w:r>
      <w:r w:rsidR="005A3FD3">
        <w:rPr>
          <w:lang w:val="en-US"/>
        </w:rPr>
        <w:t xml:space="preserve"> </w:t>
      </w:r>
    </w:p>
    <w:p w14:paraId="5EC91D5E" w14:textId="77777777" w:rsidR="00BD6503" w:rsidRPr="00B028D8" w:rsidRDefault="00BD6503" w:rsidP="00BD6503">
      <w:pPr>
        <w:pStyle w:val="Parrafo"/>
        <w:rPr>
          <w:lang w:val="en-US"/>
        </w:rPr>
      </w:pPr>
      <w:r w:rsidRPr="00BD6503">
        <w:rPr>
          <w:lang w:val="en-US"/>
        </w:rPr>
        <w:t>It is clear from the discussion in this section, then, that the rights that the corporation is entitled to, and the burden of responsibility it shares are not strictly comparable to those of the average citizen:</w:t>
      </w:r>
      <w:r w:rsidR="005A3FD3">
        <w:rPr>
          <w:lang w:val="en-US"/>
        </w:rPr>
        <w:t xml:space="preserve"> </w:t>
      </w:r>
      <w:r w:rsidRPr="00BD6503">
        <w:rPr>
          <w:lang w:val="en-US"/>
        </w:rPr>
        <w:t>those rights and responsibilities are conceived very differently and are applied in ways that ensure that the corporate citizen has access to significantly enhanced forms of rights, and is expected to bear significantly diminished responsibilities.</w:t>
      </w:r>
      <w:r w:rsidR="005A3FD3">
        <w:rPr>
          <w:lang w:val="en-US"/>
        </w:rPr>
        <w:t xml:space="preserve"> </w:t>
      </w:r>
    </w:p>
    <w:p w14:paraId="64789828" w14:textId="77777777" w:rsidR="00BD6503" w:rsidRPr="00BD6503" w:rsidRDefault="00B028D8" w:rsidP="00B028D8">
      <w:pPr>
        <w:pStyle w:val="Epgrafe1"/>
        <w:rPr>
          <w:lang w:val="en-US"/>
        </w:rPr>
      </w:pPr>
      <w:bookmarkStart w:id="47" w:name="_Toc520452079"/>
      <w:r>
        <w:rPr>
          <w:lang w:val="en-US"/>
        </w:rPr>
        <w:t xml:space="preserve">5. </w:t>
      </w:r>
      <w:r w:rsidR="00BD6503" w:rsidRPr="00BD6503">
        <w:rPr>
          <w:lang w:val="en-US"/>
        </w:rPr>
        <w:t>Conclusion</w:t>
      </w:r>
      <w:bookmarkEnd w:id="47"/>
    </w:p>
    <w:p w14:paraId="01721DC9" w14:textId="05324E5E" w:rsidR="00BD6503" w:rsidRPr="00BD6503" w:rsidRDefault="00BD6503" w:rsidP="00BD6503">
      <w:pPr>
        <w:pStyle w:val="Parrafo"/>
        <w:rPr>
          <w:lang w:val="en-US"/>
        </w:rPr>
      </w:pPr>
      <w:r w:rsidRPr="00BD6503">
        <w:rPr>
          <w:lang w:val="en-US"/>
        </w:rPr>
        <w:t xml:space="preserve">The paper has schematically set out the aspects of </w:t>
      </w:r>
      <w:r w:rsidRPr="00BD6503">
        <w:rPr>
          <w:i/>
          <w:lang w:val="en-US"/>
        </w:rPr>
        <w:t>exceptional</w:t>
      </w:r>
      <w:r w:rsidRPr="00BD6503">
        <w:rPr>
          <w:lang w:val="en-US"/>
        </w:rPr>
        <w:t xml:space="preserve"> citizenship that empower corporations to do what they do.</w:t>
      </w:r>
      <w:r w:rsidR="005A3FD3">
        <w:rPr>
          <w:lang w:val="en-US"/>
        </w:rPr>
        <w:t xml:space="preserve"> </w:t>
      </w:r>
      <w:r w:rsidRPr="00BD6503">
        <w:rPr>
          <w:lang w:val="en-US"/>
        </w:rPr>
        <w:t xml:space="preserve">In doing so, it has sketched out how </w:t>
      </w:r>
      <w:r w:rsidRPr="00BD6503">
        <w:rPr>
          <w:lang w:val="en-US"/>
        </w:rPr>
        <w:lastRenderedPageBreak/>
        <w:t>sovereign power relies not merely on the removal of rights or a process in which individual subjects of state power can be reduced to naked life</w:t>
      </w:r>
      <w:r w:rsidR="00DD6D8D">
        <w:rPr>
          <w:lang w:val="en-US"/>
        </w:rPr>
        <w:t>.  The paper has also set out</w:t>
      </w:r>
      <w:r w:rsidRPr="00BD6503">
        <w:rPr>
          <w:lang w:val="en-US"/>
        </w:rPr>
        <w:t xml:space="preserve"> how sovereign power also relies upon a hyper-exaggeration of the conditions of legal and political life.</w:t>
      </w:r>
      <w:r w:rsidR="005A3FD3">
        <w:rPr>
          <w:lang w:val="en-US"/>
        </w:rPr>
        <w:t xml:space="preserve"> </w:t>
      </w:r>
      <w:r w:rsidRPr="00BD6503">
        <w:rPr>
          <w:lang w:val="en-US"/>
        </w:rPr>
        <w:t xml:space="preserve">The argument here is that </w:t>
      </w:r>
      <w:r w:rsidR="00C477A0" w:rsidRPr="00BD6503">
        <w:rPr>
          <w:i/>
          <w:lang w:val="en-US"/>
        </w:rPr>
        <w:t xml:space="preserve">Homo </w:t>
      </w:r>
      <w:r w:rsidRPr="00BD6503">
        <w:rPr>
          <w:i/>
          <w:lang w:val="en-US"/>
        </w:rPr>
        <w:t>supra</w:t>
      </w:r>
      <w:r w:rsidRPr="00BD6503">
        <w:rPr>
          <w:lang w:val="en-US"/>
        </w:rPr>
        <w:t xml:space="preserve"> is every bit as significant a device of state power as </w:t>
      </w:r>
      <w:r w:rsidR="00C477A0" w:rsidRPr="00BD6503">
        <w:rPr>
          <w:i/>
          <w:lang w:val="en-US"/>
        </w:rPr>
        <w:t xml:space="preserve">Homo </w:t>
      </w:r>
      <w:r w:rsidRPr="00BD6503">
        <w:rPr>
          <w:i/>
          <w:lang w:val="en-US"/>
        </w:rPr>
        <w:t>sacer</w:t>
      </w:r>
      <w:r w:rsidRPr="00BD6503">
        <w:rPr>
          <w:lang w:val="en-US"/>
        </w:rPr>
        <w:t xml:space="preserve">. </w:t>
      </w:r>
    </w:p>
    <w:p w14:paraId="11ED670A" w14:textId="256F2A78" w:rsidR="00BD6503" w:rsidRPr="00BD6503" w:rsidRDefault="00BD6503" w:rsidP="00BD6503">
      <w:pPr>
        <w:pStyle w:val="Parrafo"/>
        <w:rPr>
          <w:b/>
          <w:lang w:val="en-US"/>
        </w:rPr>
      </w:pPr>
      <w:r w:rsidRPr="00BD6503">
        <w:rPr>
          <w:lang w:val="en-US"/>
        </w:rPr>
        <w:t xml:space="preserve">The point we arrive at is that those exceptional privileges and rights add up to the creation of a </w:t>
      </w:r>
      <w:r w:rsidR="001F2043">
        <w:rPr>
          <w:lang w:val="en-US"/>
        </w:rPr>
        <w:t>“</w:t>
      </w:r>
      <w:r w:rsidRPr="00BD6503">
        <w:rPr>
          <w:lang w:val="en-US"/>
        </w:rPr>
        <w:t>supra-sovereign</w:t>
      </w:r>
      <w:r w:rsidR="001F2043">
        <w:rPr>
          <w:lang w:val="en-US"/>
        </w:rPr>
        <w:t>”</w:t>
      </w:r>
      <w:r w:rsidRPr="00BD6503">
        <w:rPr>
          <w:lang w:val="en-US"/>
        </w:rPr>
        <w:t xml:space="preserve"> subject (</w:t>
      </w:r>
      <w:r w:rsidR="00C477A0" w:rsidRPr="00BD6503">
        <w:rPr>
          <w:i/>
          <w:lang w:val="en-US"/>
        </w:rPr>
        <w:t xml:space="preserve">Homo </w:t>
      </w:r>
      <w:r w:rsidRPr="00BD6503">
        <w:rPr>
          <w:i/>
          <w:lang w:val="en-US"/>
        </w:rPr>
        <w:t>supra</w:t>
      </w:r>
      <w:r w:rsidRPr="00BD6503">
        <w:rPr>
          <w:lang w:val="en-US"/>
        </w:rPr>
        <w:t>), as set out in section</w:t>
      </w:r>
      <w:r w:rsidR="009E625F">
        <w:rPr>
          <w:lang w:val="en-US"/>
        </w:rPr>
        <w:t>s</w:t>
      </w:r>
      <w:r w:rsidRPr="00BD6503">
        <w:rPr>
          <w:lang w:val="en-US"/>
        </w:rPr>
        <w:t xml:space="preserve"> </w:t>
      </w:r>
      <w:r w:rsidR="009E625F">
        <w:rPr>
          <w:lang w:val="en-US"/>
        </w:rPr>
        <w:t>2, 3 and 4</w:t>
      </w:r>
      <w:r w:rsidRPr="00BD6503">
        <w:rPr>
          <w:lang w:val="en-US"/>
        </w:rPr>
        <w:t xml:space="preserve"> above, and summarized in Figure 1 below.</w:t>
      </w:r>
      <w:r w:rsidR="005A3FD3">
        <w:rPr>
          <w:lang w:val="en-US"/>
        </w:rPr>
        <w:t xml:space="preserve"> </w:t>
      </w:r>
      <w:r w:rsidRPr="00BD6503">
        <w:rPr>
          <w:lang w:val="en-US"/>
        </w:rPr>
        <w:t>The advocates of CSR imagine the corporate citizen as having a balance of rights and responsibilities just as any other citizen.</w:t>
      </w:r>
      <w:r w:rsidR="005A3FD3">
        <w:rPr>
          <w:b/>
          <w:lang w:val="en-US"/>
        </w:rPr>
        <w:t xml:space="preserve"> </w:t>
      </w:r>
      <w:r w:rsidRPr="00BD6503">
        <w:rPr>
          <w:lang w:val="en-US"/>
        </w:rPr>
        <w:t>So, although on one hand, the process of incorporation always implie</w:t>
      </w:r>
      <w:r w:rsidR="00DD6D8D">
        <w:rPr>
          <w:lang w:val="en-US"/>
        </w:rPr>
        <w:t>s</w:t>
      </w:r>
      <w:r w:rsidRPr="00BD6503">
        <w:rPr>
          <w:lang w:val="en-US"/>
        </w:rPr>
        <w:t xml:space="preserve"> special treatment in law, the inclusion of corporate persons in the legal order – corporate citizenship </w:t>
      </w:r>
      <w:r w:rsidR="00C477A0">
        <w:rPr>
          <w:lang w:val="en-US"/>
        </w:rPr>
        <w:t>–</w:t>
      </w:r>
      <w:r w:rsidRPr="00BD6503">
        <w:rPr>
          <w:lang w:val="en-US"/>
        </w:rPr>
        <w:t xml:space="preserve"> at the same time </w:t>
      </w:r>
      <w:r w:rsidR="00DD6D8D">
        <w:rPr>
          <w:lang w:val="en-US"/>
        </w:rPr>
        <w:t>i</w:t>
      </w:r>
      <w:r w:rsidRPr="00BD6503">
        <w:rPr>
          <w:lang w:val="en-US"/>
        </w:rPr>
        <w:t xml:space="preserve">s based upon the </w:t>
      </w:r>
      <w:r w:rsidRPr="00BD6503">
        <w:rPr>
          <w:i/>
          <w:lang w:val="en-US"/>
        </w:rPr>
        <w:t>formal</w:t>
      </w:r>
      <w:r w:rsidRPr="00BD6503">
        <w:rPr>
          <w:lang w:val="en-US"/>
        </w:rPr>
        <w:t xml:space="preserve"> equality between legal persons and real persons.</w:t>
      </w:r>
      <w:r w:rsidR="005A3FD3">
        <w:rPr>
          <w:lang w:val="en-US"/>
        </w:rPr>
        <w:t xml:space="preserve"> </w:t>
      </w:r>
      <w:r w:rsidRPr="00BD6503">
        <w:rPr>
          <w:lang w:val="en-US"/>
        </w:rPr>
        <w:t>Yet, as we have seen in our discussion of the rights and responsibilities of the corporate citizen, corporations are not like ordinary citizens at all.</w:t>
      </w:r>
      <w:r w:rsidR="005A3FD3">
        <w:rPr>
          <w:lang w:val="en-US"/>
        </w:rPr>
        <w:t xml:space="preserve"> </w:t>
      </w:r>
      <w:r w:rsidRPr="00BD6503">
        <w:rPr>
          <w:lang w:val="en-US"/>
        </w:rPr>
        <w:t xml:space="preserve">The law </w:t>
      </w:r>
      <w:r w:rsidR="00DD6D8D">
        <w:rPr>
          <w:lang w:val="en-US"/>
        </w:rPr>
        <w:t>creates corporate ctizenship</w:t>
      </w:r>
      <w:r w:rsidRPr="00BD6503">
        <w:rPr>
          <w:lang w:val="en-US"/>
        </w:rPr>
        <w:t xml:space="preserve"> through a shamelessly selective application of legal principle: it proposes that the corporation is a person, to be regarded in the same way as any other person in some instances (its civil and criminal liabilities) but offers exceptional protections and privileges in other instances (for example in diplomatic and military protection or the right to veto social policies). The consequence is that law uses a strictly applied ontology of the liberal individual to create a </w:t>
      </w:r>
      <w:r w:rsidR="009E625F" w:rsidRPr="00BD6503">
        <w:rPr>
          <w:lang w:val="en-US"/>
        </w:rPr>
        <w:t>monstrous</w:t>
      </w:r>
      <w:r w:rsidRPr="00BD6503">
        <w:rPr>
          <w:lang w:val="en-US"/>
        </w:rPr>
        <w:t xml:space="preserve"> citizen.</w:t>
      </w:r>
      <w:r w:rsidR="005A3FD3">
        <w:rPr>
          <w:lang w:val="en-US"/>
        </w:rPr>
        <w:t xml:space="preserve"> </w:t>
      </w:r>
    </w:p>
    <w:p w14:paraId="5B9694E4" w14:textId="77777777" w:rsidR="00B028D8" w:rsidRDefault="00B028D8" w:rsidP="00B028D8">
      <w:pPr>
        <w:pStyle w:val="Tabla-grficottulo"/>
        <w:rPr>
          <w:lang w:val="en-US"/>
        </w:rPr>
      </w:pPr>
      <w:r>
        <w:rPr>
          <w:lang w:val="en-US"/>
        </w:rPr>
        <w:br w:type="page"/>
      </w:r>
    </w:p>
    <w:p w14:paraId="134AA5D9" w14:textId="547751AD" w:rsidR="00E43ACA" w:rsidRDefault="00B028D8" w:rsidP="00CF3106">
      <w:pPr>
        <w:pStyle w:val="Tabla-grficottulo"/>
        <w:rPr>
          <w:lang w:val="en-US"/>
        </w:rPr>
      </w:pPr>
      <w:r w:rsidRPr="00B028D8">
        <w:rPr>
          <w:lang w:val="en-US"/>
        </w:rPr>
        <w:lastRenderedPageBreak/>
        <w:t xml:space="preserve">FIGURE </w:t>
      </w:r>
      <w:r w:rsidR="00BD6503" w:rsidRPr="00B028D8">
        <w:rPr>
          <w:lang w:val="en-US"/>
        </w:rPr>
        <w:t>1</w:t>
      </w:r>
    </w:p>
    <w:p w14:paraId="7647975B" w14:textId="0F873340" w:rsidR="00B028D8" w:rsidRPr="00B028D8" w:rsidRDefault="00E43ACA" w:rsidP="00CF3106">
      <w:pPr>
        <w:jc w:val="center"/>
        <w:rPr>
          <w:sz w:val="22"/>
          <w:szCs w:val="22"/>
          <w:lang w:val="en-US"/>
        </w:rPr>
      </w:pPr>
      <w:r w:rsidRPr="00CF3106">
        <w:rPr>
          <w:noProof/>
          <w:sz w:val="22"/>
          <w:szCs w:val="22"/>
          <w:lang w:val="en-US" w:eastAsia="en-US"/>
        </w:rPr>
        <w:drawing>
          <wp:inline distT="0" distB="0" distL="0" distR="0" wp14:anchorId="50C5DCD0" wp14:editId="7250023D">
            <wp:extent cx="5191125" cy="57435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le1.jpg"/>
                    <pic:cNvPicPr/>
                  </pic:nvPicPr>
                  <pic:blipFill>
                    <a:blip r:embed="rId17">
                      <a:extLst>
                        <a:ext uri="{28A0092B-C50C-407E-A947-70E740481C1C}">
                          <a14:useLocalDpi xmlns:a14="http://schemas.microsoft.com/office/drawing/2010/main" val="0"/>
                        </a:ext>
                      </a:extLst>
                    </a:blip>
                    <a:stretch>
                      <a:fillRect/>
                    </a:stretch>
                  </pic:blipFill>
                  <pic:spPr>
                    <a:xfrm>
                      <a:off x="0" y="0"/>
                      <a:ext cx="5191125" cy="5743575"/>
                    </a:xfrm>
                    <a:prstGeom prst="rect">
                      <a:avLst/>
                    </a:prstGeom>
                  </pic:spPr>
                </pic:pic>
              </a:graphicData>
            </a:graphic>
          </wp:inline>
        </w:drawing>
      </w:r>
    </w:p>
    <w:p w14:paraId="71C7FA7B" w14:textId="77777777" w:rsidR="00B028D8" w:rsidRPr="00CF3106" w:rsidRDefault="00B028D8" w:rsidP="00B028D8">
      <w:pPr>
        <w:pStyle w:val="Tabla-grfico-pie"/>
        <w:rPr>
          <w:b/>
          <w:lang w:val="en-US"/>
        </w:rPr>
      </w:pPr>
      <w:r w:rsidRPr="00CF3106">
        <w:rPr>
          <w:b/>
          <w:lang w:val="en-US"/>
        </w:rPr>
        <w:t>Figure 1: Typology of Corporate Citizenship.</w:t>
      </w:r>
    </w:p>
    <w:p w14:paraId="1FE13C51" w14:textId="34BD12F0" w:rsidR="00BD6503" w:rsidRPr="00BD6503" w:rsidRDefault="00BD6503" w:rsidP="00BD6503">
      <w:pPr>
        <w:pStyle w:val="Parrafo"/>
        <w:rPr>
          <w:lang w:val="en-US"/>
        </w:rPr>
      </w:pPr>
      <w:r w:rsidRPr="00BD6503">
        <w:rPr>
          <w:lang w:val="en-US"/>
        </w:rPr>
        <w:t>In contrast to Agamben</w:t>
      </w:r>
      <w:r w:rsidR="00C477A0">
        <w:rPr>
          <w:lang w:val="en-US"/>
        </w:rPr>
        <w:t>’</w:t>
      </w:r>
      <w:r w:rsidRPr="00BD6503">
        <w:rPr>
          <w:lang w:val="en-US"/>
        </w:rPr>
        <w:t xml:space="preserve">s concept of </w:t>
      </w:r>
      <w:r w:rsidR="00F8630C" w:rsidRPr="00BD6503">
        <w:rPr>
          <w:i/>
          <w:lang w:val="en-US"/>
        </w:rPr>
        <w:t xml:space="preserve">Homo </w:t>
      </w:r>
      <w:r w:rsidRPr="00BD6503">
        <w:rPr>
          <w:i/>
          <w:lang w:val="en-US"/>
        </w:rPr>
        <w:t>sacer</w:t>
      </w:r>
      <w:r w:rsidRPr="00BD6503">
        <w:rPr>
          <w:lang w:val="en-US"/>
        </w:rPr>
        <w:t xml:space="preserve"> in which sovereignty and </w:t>
      </w:r>
      <w:r w:rsidR="001F2043">
        <w:rPr>
          <w:lang w:val="en-US"/>
        </w:rPr>
        <w:t>“</w:t>
      </w:r>
      <w:r w:rsidRPr="00BD6503">
        <w:rPr>
          <w:lang w:val="en-US"/>
        </w:rPr>
        <w:t>right</w:t>
      </w:r>
      <w:r w:rsidR="001F2043">
        <w:rPr>
          <w:lang w:val="en-US"/>
        </w:rPr>
        <w:t>”</w:t>
      </w:r>
      <w:r w:rsidRPr="00BD6503">
        <w:rPr>
          <w:lang w:val="en-US"/>
        </w:rPr>
        <w:t xml:space="preserve"> are produced in the threshold one between natural, existence (</w:t>
      </w:r>
      <w:r w:rsidRPr="00280937">
        <w:rPr>
          <w:lang w:val="en-US"/>
        </w:rPr>
        <w:t>zoē</w:t>
      </w:r>
      <w:r w:rsidRPr="00BD6503">
        <w:rPr>
          <w:lang w:val="en-US"/>
        </w:rPr>
        <w:t>) and political life (</w:t>
      </w:r>
      <w:r w:rsidRPr="00280937">
        <w:rPr>
          <w:lang w:val="en-US"/>
        </w:rPr>
        <w:t>bios</w:t>
      </w:r>
      <w:r w:rsidRPr="00BD6503">
        <w:rPr>
          <w:lang w:val="en-US"/>
        </w:rPr>
        <w:t xml:space="preserve">), </w:t>
      </w:r>
      <w:r w:rsidR="00F8630C" w:rsidRPr="00BD6503">
        <w:rPr>
          <w:i/>
          <w:lang w:val="en-US"/>
        </w:rPr>
        <w:t xml:space="preserve">Homo </w:t>
      </w:r>
      <w:r w:rsidRPr="00BD6503">
        <w:rPr>
          <w:i/>
          <w:lang w:val="en-US"/>
        </w:rPr>
        <w:t>supra</w:t>
      </w:r>
      <w:r w:rsidRPr="00BD6503">
        <w:rPr>
          <w:lang w:val="en-US"/>
        </w:rPr>
        <w:t xml:space="preserve"> exists at a different threshold: one between un-natural, artificial existence (</w:t>
      </w:r>
      <w:r w:rsidRPr="00CF3106">
        <w:rPr>
          <w:i/>
          <w:lang w:val="en-US"/>
        </w:rPr>
        <w:t>un-zoē</w:t>
      </w:r>
      <w:r w:rsidRPr="00BD6503">
        <w:rPr>
          <w:lang w:val="en-US"/>
        </w:rPr>
        <w:t>) and political life (</w:t>
      </w:r>
      <w:r w:rsidRPr="00F8630C">
        <w:rPr>
          <w:lang w:val="en-US"/>
        </w:rPr>
        <w:t>bios</w:t>
      </w:r>
      <w:r w:rsidRPr="00BD6503">
        <w:rPr>
          <w:lang w:val="en-US"/>
        </w:rPr>
        <w:t>).</w:t>
      </w:r>
      <w:r w:rsidR="005A3FD3">
        <w:rPr>
          <w:lang w:val="en-US"/>
        </w:rPr>
        <w:t xml:space="preserve"> </w:t>
      </w:r>
      <w:r w:rsidRPr="00BD6503">
        <w:rPr>
          <w:lang w:val="en-US"/>
        </w:rPr>
        <w:t xml:space="preserve">At this threshold, the corporation is presented as a mutated version of citizenship, </w:t>
      </w:r>
      <w:r w:rsidR="00F8630C" w:rsidRPr="00BD6503">
        <w:rPr>
          <w:i/>
          <w:lang w:val="en-US"/>
        </w:rPr>
        <w:t xml:space="preserve">Homo </w:t>
      </w:r>
      <w:r w:rsidRPr="00BD6503">
        <w:rPr>
          <w:i/>
          <w:lang w:val="en-US"/>
        </w:rPr>
        <w:t>supra</w:t>
      </w:r>
      <w:r w:rsidRPr="00BD6503">
        <w:rPr>
          <w:lang w:val="en-US"/>
        </w:rPr>
        <w:t>.</w:t>
      </w:r>
      <w:r w:rsidR="005A3FD3">
        <w:rPr>
          <w:lang w:val="en-US"/>
        </w:rPr>
        <w:t xml:space="preserve"> </w:t>
      </w:r>
      <w:r w:rsidRPr="00BD6503">
        <w:rPr>
          <w:lang w:val="en-US"/>
        </w:rPr>
        <w:t xml:space="preserve">The citizen status of the corporation is materialised in a constitutional space that is available to </w:t>
      </w:r>
      <w:r w:rsidRPr="00BD6503">
        <w:rPr>
          <w:i/>
          <w:lang w:val="en-US"/>
        </w:rPr>
        <w:t>some</w:t>
      </w:r>
      <w:r w:rsidRPr="00BD6503">
        <w:rPr>
          <w:lang w:val="en-US"/>
        </w:rPr>
        <w:t xml:space="preserve"> citizens: a narrow elite of owners and shareholders. Because both its rights and responsibilities are held by the abstract, artificial, corporate citizen (un-zoē), the real owners and shareholders that stand in the shadows will (i) generally not be held responsible for the liabilities of the corporation; but (ii) will vicariously benefit from the rights </w:t>
      </w:r>
      <w:r w:rsidR="00DD6D8D">
        <w:rPr>
          <w:lang w:val="en-US"/>
        </w:rPr>
        <w:t>held by</w:t>
      </w:r>
      <w:r w:rsidR="00DD6D8D" w:rsidRPr="00BD6503">
        <w:rPr>
          <w:lang w:val="en-US"/>
        </w:rPr>
        <w:t xml:space="preserve"> </w:t>
      </w:r>
      <w:r w:rsidRPr="00BD6503">
        <w:rPr>
          <w:lang w:val="en-US"/>
        </w:rPr>
        <w:t>the corporation.</w:t>
      </w:r>
      <w:r w:rsidR="005A3FD3">
        <w:rPr>
          <w:lang w:val="en-US"/>
        </w:rPr>
        <w:t xml:space="preserve"> </w:t>
      </w:r>
    </w:p>
    <w:p w14:paraId="1ED3BE2E" w14:textId="77777777" w:rsidR="00BD6503" w:rsidRPr="00B028D8" w:rsidRDefault="00BD6503" w:rsidP="00B028D8">
      <w:pPr>
        <w:pStyle w:val="Parrafo"/>
        <w:rPr>
          <w:b/>
          <w:lang w:val="en-US"/>
        </w:rPr>
      </w:pPr>
      <w:r w:rsidRPr="00BD6503">
        <w:rPr>
          <w:rFonts w:cs="Times"/>
          <w:lang w:val="en-US"/>
        </w:rPr>
        <w:t>Citizenship in this context is not merely a means of exaggerating existing social inequalities, but citizenship is itself a mechanism through which unequal power relations (and attendance privileges of class, gender and race etc.) is guaranteed.</w:t>
      </w:r>
      <w:r w:rsidR="005A3FD3">
        <w:rPr>
          <w:b/>
          <w:lang w:val="en-US"/>
        </w:rPr>
        <w:t xml:space="preserve"> </w:t>
      </w:r>
      <w:r w:rsidRPr="00BD6503">
        <w:rPr>
          <w:rFonts w:cs="Times"/>
          <w:lang w:val="en-US"/>
        </w:rPr>
        <w:t>Corporate citizenship can itself be understood as a form of corporate power</w:t>
      </w:r>
      <w:proofErr w:type="gramStart"/>
      <w:r w:rsidRPr="00BD6503">
        <w:rPr>
          <w:rFonts w:cs="Times"/>
          <w:lang w:val="en-US"/>
        </w:rPr>
        <w:t>;</w:t>
      </w:r>
      <w:proofErr w:type="gramEnd"/>
      <w:r w:rsidRPr="00BD6503">
        <w:rPr>
          <w:rFonts w:cs="Times"/>
          <w:lang w:val="en-US"/>
        </w:rPr>
        <w:t xml:space="preserve"> a form that organizes the resources and capacities of states on behalf of the owners and </w:t>
      </w:r>
      <w:r w:rsidRPr="00BD6503">
        <w:rPr>
          <w:rFonts w:cs="Times"/>
          <w:lang w:val="en-US"/>
        </w:rPr>
        <w:lastRenderedPageBreak/>
        <w:t>shareholders of the corporation. In the sense that corporate citizenship is aimed at enhancing the power and influence of a narrow group of (elite) citizens, the paper has shown that corporate citizenship is a means by which of public resources can be organized and manipulated for private interest.</w:t>
      </w:r>
      <w:r w:rsidR="005A3FD3">
        <w:rPr>
          <w:rFonts w:cs="Times"/>
          <w:lang w:val="en-US"/>
        </w:rPr>
        <w:t xml:space="preserve"> </w:t>
      </w:r>
      <w:r w:rsidRPr="00BD6503">
        <w:rPr>
          <w:rFonts w:cs="Times"/>
          <w:lang w:val="en-US"/>
        </w:rPr>
        <w:t>Through a simple schematic representation of the rights and responsibilities of the corporate citizen this paper aims to provide a starting point for the reversal of this process: how we might recalibrate the basis of the sovereign relationship between governments, corporations and citizens in ways that can organize and manipulate private resources for the public interest.</w:t>
      </w:r>
      <w:r w:rsidR="005A3FD3">
        <w:rPr>
          <w:rFonts w:cs="Times"/>
          <w:lang w:val="en-US"/>
        </w:rPr>
        <w:t xml:space="preserve"> </w:t>
      </w:r>
      <w:r w:rsidRPr="00BD6503">
        <w:rPr>
          <w:rFonts w:cs="Times"/>
          <w:lang w:val="en-US"/>
        </w:rPr>
        <w:t>As this paper demonstrates, this task will require the dismantling of the edifices of legal and political power that are currently realized through corporate citizenship.</w:t>
      </w:r>
      <w:r w:rsidR="005A3FD3">
        <w:rPr>
          <w:rFonts w:cs="Times"/>
          <w:lang w:val="en-US"/>
        </w:rPr>
        <w:t xml:space="preserve"> </w:t>
      </w:r>
    </w:p>
    <w:p w14:paraId="3C339A84" w14:textId="77777777" w:rsidR="00BD6503" w:rsidRPr="00BD6503" w:rsidRDefault="00B028D8" w:rsidP="00B028D8">
      <w:pPr>
        <w:pStyle w:val="Epgrafe1"/>
        <w:rPr>
          <w:lang w:val="en-US"/>
        </w:rPr>
      </w:pPr>
      <w:bookmarkStart w:id="48" w:name="_Toc520452080"/>
      <w:r>
        <w:rPr>
          <w:lang w:val="en-US"/>
        </w:rPr>
        <w:t>References</w:t>
      </w:r>
      <w:bookmarkEnd w:id="48"/>
    </w:p>
    <w:p w14:paraId="107AEBEC" w14:textId="77777777" w:rsidR="00BD6503" w:rsidRPr="00F8630C" w:rsidRDefault="00BD6503" w:rsidP="00B028D8">
      <w:pPr>
        <w:pStyle w:val="Bibliography"/>
        <w:rPr>
          <w:lang w:val="en-US"/>
        </w:rPr>
      </w:pPr>
      <w:proofErr w:type="gramStart"/>
      <w:r w:rsidRPr="00F8630C">
        <w:rPr>
          <w:lang w:val="en-US"/>
        </w:rPr>
        <w:t>Abrahamsen, R., 2001.</w:t>
      </w:r>
      <w:proofErr w:type="gramEnd"/>
      <w:r w:rsidRPr="00F8630C">
        <w:rPr>
          <w:lang w:val="en-US"/>
        </w:rPr>
        <w:t xml:space="preserve"> </w:t>
      </w:r>
      <w:r w:rsidRPr="00F8630C">
        <w:rPr>
          <w:i/>
          <w:lang w:val="en-US"/>
        </w:rPr>
        <w:t>Disciplining Democracy: Development Discourse and Good Governance in Africa</w:t>
      </w:r>
      <w:r w:rsidRPr="00F8630C">
        <w:rPr>
          <w:lang w:val="en-US"/>
        </w:rPr>
        <w:t>. London: Zed.</w:t>
      </w:r>
    </w:p>
    <w:p w14:paraId="24548ACE" w14:textId="150C66B4" w:rsidR="00BD6503" w:rsidRPr="00F8630C" w:rsidRDefault="00BD6503" w:rsidP="00B028D8">
      <w:pPr>
        <w:pStyle w:val="Bibliography"/>
        <w:rPr>
          <w:lang w:val="en-US"/>
        </w:rPr>
      </w:pPr>
      <w:proofErr w:type="gramStart"/>
      <w:r w:rsidRPr="00F8630C">
        <w:rPr>
          <w:lang w:val="en-US"/>
        </w:rPr>
        <w:t>Agamben, G., 1998.</w:t>
      </w:r>
      <w:proofErr w:type="gramEnd"/>
      <w:r w:rsidRPr="00F8630C">
        <w:rPr>
          <w:lang w:val="en-US"/>
        </w:rPr>
        <w:t xml:space="preserve"> </w:t>
      </w:r>
      <w:proofErr w:type="gramStart"/>
      <w:r w:rsidRPr="00F8630C">
        <w:rPr>
          <w:i/>
          <w:lang w:val="en-US"/>
        </w:rPr>
        <w:t>Homo Sacer sovereign power and bare life</w:t>
      </w:r>
      <w:r w:rsidRPr="00F8630C">
        <w:rPr>
          <w:lang w:val="en-US"/>
        </w:rPr>
        <w:t>.</w:t>
      </w:r>
      <w:proofErr w:type="gramEnd"/>
      <w:r w:rsidRPr="00F8630C">
        <w:rPr>
          <w:lang w:val="en-US"/>
        </w:rPr>
        <w:t xml:space="preserve"> </w:t>
      </w:r>
      <w:r w:rsidR="005D084C">
        <w:rPr>
          <w:lang w:val="en-US"/>
        </w:rPr>
        <w:t>Trans.: D. Heller-Roazen. Redwood City, CA</w:t>
      </w:r>
      <w:r w:rsidRPr="00F8630C">
        <w:rPr>
          <w:lang w:val="en-US"/>
        </w:rPr>
        <w:t>: Stanford University Press.</w:t>
      </w:r>
    </w:p>
    <w:p w14:paraId="5D5BB35D" w14:textId="17CCC65F" w:rsidR="00BD6503" w:rsidRPr="00F8630C" w:rsidRDefault="00BD6503" w:rsidP="00B028D8">
      <w:pPr>
        <w:pStyle w:val="Bibliography"/>
        <w:rPr>
          <w:lang w:val="en-US"/>
        </w:rPr>
      </w:pPr>
      <w:proofErr w:type="gramStart"/>
      <w:r w:rsidRPr="00F8630C">
        <w:rPr>
          <w:lang w:val="en-US"/>
        </w:rPr>
        <w:t>Agamben, G., 2005.</w:t>
      </w:r>
      <w:proofErr w:type="gramEnd"/>
      <w:r w:rsidRPr="00F8630C">
        <w:rPr>
          <w:lang w:val="en-US"/>
        </w:rPr>
        <w:t xml:space="preserve"> </w:t>
      </w:r>
      <w:proofErr w:type="gramStart"/>
      <w:r w:rsidRPr="00F8630C">
        <w:rPr>
          <w:i/>
          <w:lang w:val="en-US"/>
        </w:rPr>
        <w:t>State of Exception</w:t>
      </w:r>
      <w:r w:rsidRPr="00F8630C">
        <w:rPr>
          <w:lang w:val="en-US"/>
        </w:rPr>
        <w:t>.</w:t>
      </w:r>
      <w:proofErr w:type="gramEnd"/>
      <w:r w:rsidRPr="00F8630C">
        <w:rPr>
          <w:lang w:val="en-US"/>
        </w:rPr>
        <w:t xml:space="preserve"> </w:t>
      </w:r>
      <w:r w:rsidR="005D084C">
        <w:rPr>
          <w:lang w:val="en-US"/>
        </w:rPr>
        <w:t xml:space="preserve">Trans.: K. Attell. </w:t>
      </w:r>
      <w:proofErr w:type="gramStart"/>
      <w:r w:rsidRPr="00F8630C">
        <w:rPr>
          <w:lang w:val="en-US"/>
        </w:rPr>
        <w:t>University of Chicago Press.</w:t>
      </w:r>
      <w:proofErr w:type="gramEnd"/>
    </w:p>
    <w:p w14:paraId="7CE1C484" w14:textId="25E2E478" w:rsidR="00BD6503" w:rsidRPr="005D084C" w:rsidRDefault="00BD6503" w:rsidP="00B028D8">
      <w:pPr>
        <w:pStyle w:val="Bibliography"/>
        <w:rPr>
          <w:lang w:val="en-US"/>
        </w:rPr>
      </w:pPr>
      <w:r w:rsidRPr="005D084C">
        <w:rPr>
          <w:lang w:val="en-US"/>
        </w:rPr>
        <w:t>Alvarez, J</w:t>
      </w:r>
      <w:r w:rsidR="005D084C">
        <w:rPr>
          <w:lang w:val="en-US"/>
        </w:rPr>
        <w:t xml:space="preserve">. </w:t>
      </w:r>
      <w:r w:rsidR="005D084C" w:rsidRPr="00CF3106">
        <w:rPr>
          <w:i/>
          <w:lang w:val="en-US"/>
        </w:rPr>
        <w:t>et al</w:t>
      </w:r>
      <w:r w:rsidRPr="005D084C">
        <w:rPr>
          <w:lang w:val="en-US"/>
        </w:rPr>
        <w:t xml:space="preserve">., 2001. The Multinational Enterprise as Global Corporate Citizen: symposium. </w:t>
      </w:r>
      <w:proofErr w:type="gramStart"/>
      <w:r w:rsidRPr="005D084C">
        <w:rPr>
          <w:i/>
          <w:lang w:val="en-US"/>
        </w:rPr>
        <w:t>New York Law School Journal of International and Comparative Law</w:t>
      </w:r>
      <w:r w:rsidRPr="005D084C">
        <w:rPr>
          <w:lang w:val="en-US"/>
        </w:rPr>
        <w:t>, 21</w:t>
      </w:r>
      <w:r w:rsidR="005D084C">
        <w:rPr>
          <w:lang w:val="en-US"/>
        </w:rPr>
        <w:t xml:space="preserve"> </w:t>
      </w:r>
      <w:r w:rsidRPr="005D084C">
        <w:rPr>
          <w:lang w:val="en-US"/>
        </w:rPr>
        <w:t>(1), 1-39.</w:t>
      </w:r>
      <w:proofErr w:type="gramEnd"/>
    </w:p>
    <w:p w14:paraId="48A2B34C" w14:textId="6666690F" w:rsidR="00BD6503" w:rsidRPr="00F8630C" w:rsidRDefault="00BD6503" w:rsidP="00B028D8">
      <w:pPr>
        <w:pStyle w:val="Bibliography"/>
        <w:rPr>
          <w:lang w:val="en-US"/>
        </w:rPr>
      </w:pPr>
      <w:proofErr w:type="gramStart"/>
      <w:r w:rsidRPr="00F8630C">
        <w:rPr>
          <w:lang w:val="en-US"/>
        </w:rPr>
        <w:t>Anderson, M., 200</w:t>
      </w:r>
      <w:r w:rsidR="005D084C">
        <w:rPr>
          <w:lang w:val="en-US"/>
        </w:rPr>
        <w:t>2</w:t>
      </w:r>
      <w:r w:rsidRPr="00F8630C">
        <w:rPr>
          <w:lang w:val="en-US"/>
        </w:rPr>
        <w:t>.</w:t>
      </w:r>
      <w:proofErr w:type="gramEnd"/>
      <w:r w:rsidRPr="00F8630C">
        <w:rPr>
          <w:lang w:val="en-US"/>
        </w:rPr>
        <w:t xml:space="preserve"> Transnational corporations and environmental damage: Is tort law the answer? </w:t>
      </w:r>
      <w:r w:rsidRPr="00F8630C">
        <w:rPr>
          <w:i/>
          <w:lang w:val="en-US"/>
        </w:rPr>
        <w:t>Washburn Law Journal</w:t>
      </w:r>
      <w:r w:rsidR="005D084C">
        <w:rPr>
          <w:lang w:val="en-US"/>
        </w:rPr>
        <w:t xml:space="preserve"> [online],</w:t>
      </w:r>
      <w:r w:rsidRPr="00F8630C">
        <w:rPr>
          <w:lang w:val="en-US"/>
        </w:rPr>
        <w:t xml:space="preserve"> 41</w:t>
      </w:r>
      <w:r w:rsidR="001637D5">
        <w:rPr>
          <w:lang w:val="en-US"/>
        </w:rPr>
        <w:t xml:space="preserve"> (3)</w:t>
      </w:r>
      <w:r w:rsidRPr="00F8630C">
        <w:rPr>
          <w:lang w:val="en-US"/>
        </w:rPr>
        <w:t>, 399-426.</w:t>
      </w:r>
      <w:r w:rsidR="005D084C">
        <w:rPr>
          <w:lang w:val="en-US"/>
        </w:rPr>
        <w:t xml:space="preserve"> Available from: </w:t>
      </w:r>
      <w:hyperlink r:id="rId18" w:history="1">
        <w:r w:rsidR="00ED58F8" w:rsidRPr="00A66D8F">
          <w:rPr>
            <w:rStyle w:val="Hyperlink"/>
            <w:lang w:val="en-US"/>
          </w:rPr>
          <w:t>http://contentdm.washburnlaw.edu/utils/getdownloaditem/collection/wlj/id/5272/filename/5273.pdf/mapsto/pdf</w:t>
        </w:r>
      </w:hyperlink>
      <w:r w:rsidR="00ED58F8">
        <w:rPr>
          <w:lang w:val="en-US"/>
        </w:rPr>
        <w:t xml:space="preserve"> [Accessed 27 July 2018].</w:t>
      </w:r>
    </w:p>
    <w:p w14:paraId="408EEE0D" w14:textId="01D95316" w:rsidR="00BD6503" w:rsidRPr="00B965FF" w:rsidRDefault="00BD6503" w:rsidP="00B028D8">
      <w:pPr>
        <w:pStyle w:val="Bibliography"/>
        <w:rPr>
          <w:lang w:val="en-US"/>
        </w:rPr>
      </w:pPr>
      <w:r w:rsidRPr="00B965FF">
        <w:rPr>
          <w:lang w:val="en-US"/>
        </w:rPr>
        <w:t xml:space="preserve">Arlen, J. and Weiss, D., 1995. </w:t>
      </w:r>
      <w:proofErr w:type="gramStart"/>
      <w:r w:rsidRPr="00B965FF">
        <w:rPr>
          <w:lang w:val="en-US"/>
        </w:rPr>
        <w:t>A Political Theory of Corporate Taxation.</w:t>
      </w:r>
      <w:proofErr w:type="gramEnd"/>
      <w:r w:rsidRPr="00B965FF">
        <w:rPr>
          <w:lang w:val="en-US"/>
        </w:rPr>
        <w:t xml:space="preserve"> </w:t>
      </w:r>
      <w:r w:rsidRPr="00B965FF">
        <w:rPr>
          <w:i/>
          <w:lang w:val="en-US"/>
        </w:rPr>
        <w:t>The Yale Law Journal</w:t>
      </w:r>
      <w:r w:rsidR="00B965FF">
        <w:rPr>
          <w:lang w:val="en-US"/>
        </w:rPr>
        <w:t xml:space="preserve"> [online],</w:t>
      </w:r>
      <w:r w:rsidRPr="00B965FF">
        <w:rPr>
          <w:lang w:val="en-US"/>
        </w:rPr>
        <w:t xml:space="preserve"> 105</w:t>
      </w:r>
      <w:r w:rsidR="00B965FF">
        <w:rPr>
          <w:lang w:val="en-US"/>
        </w:rPr>
        <w:t xml:space="preserve"> </w:t>
      </w:r>
      <w:r w:rsidRPr="00B965FF">
        <w:rPr>
          <w:lang w:val="en-US"/>
        </w:rPr>
        <w:t>(2), 325-391.</w:t>
      </w:r>
      <w:r w:rsidR="00B965FF">
        <w:rPr>
          <w:lang w:val="en-US"/>
        </w:rPr>
        <w:t xml:space="preserve"> Available from: </w:t>
      </w:r>
      <w:hyperlink r:id="rId19" w:history="1">
        <w:r w:rsidR="00ED58F8" w:rsidRPr="00A66D8F">
          <w:rPr>
            <w:rStyle w:val="Hyperlink"/>
            <w:lang w:val="en-US"/>
          </w:rPr>
          <w:t>http://works.bepress.com/deborah_weiss/4</w:t>
        </w:r>
      </w:hyperlink>
      <w:r w:rsidR="00ED58F8">
        <w:rPr>
          <w:lang w:val="en-US"/>
        </w:rPr>
        <w:t xml:space="preserve"> [Accessed 27 July 2018].</w:t>
      </w:r>
    </w:p>
    <w:p w14:paraId="69016842" w14:textId="20EE4F93" w:rsidR="00BD6503" w:rsidRPr="00CF3106" w:rsidRDefault="00BD6503" w:rsidP="00B028D8">
      <w:pPr>
        <w:pStyle w:val="Bibliography"/>
        <w:rPr>
          <w:lang w:val="en-US"/>
        </w:rPr>
      </w:pPr>
      <w:r w:rsidRPr="00B965FF">
        <w:rPr>
          <w:lang w:val="en-US"/>
        </w:rPr>
        <w:t>Asante, S.K.B., 1979. United Nations: international regulation of transnational corporations</w:t>
      </w:r>
      <w:r w:rsidRPr="00F8630C">
        <w:rPr>
          <w:lang w:val="en-US"/>
        </w:rPr>
        <w:t xml:space="preserve">. </w:t>
      </w:r>
      <w:r w:rsidRPr="00CF3106">
        <w:rPr>
          <w:i/>
          <w:lang w:val="en-US"/>
        </w:rPr>
        <w:t>Journal of World Trade Law</w:t>
      </w:r>
      <w:r w:rsidR="00B965FF">
        <w:rPr>
          <w:lang w:val="en-US"/>
        </w:rPr>
        <w:t>,</w:t>
      </w:r>
      <w:r w:rsidRPr="00CF3106">
        <w:rPr>
          <w:lang w:val="en-US"/>
        </w:rPr>
        <w:t xml:space="preserve"> 13</w:t>
      </w:r>
      <w:r w:rsidR="00B965FF">
        <w:rPr>
          <w:lang w:val="en-US"/>
        </w:rPr>
        <w:t xml:space="preserve"> </w:t>
      </w:r>
      <w:r w:rsidRPr="00CF3106">
        <w:rPr>
          <w:lang w:val="en-US"/>
        </w:rPr>
        <w:t>(1), 55–66.</w:t>
      </w:r>
    </w:p>
    <w:p w14:paraId="6B55FB6F" w14:textId="72316B0D" w:rsidR="00BD6503" w:rsidRPr="00F8630C" w:rsidRDefault="00BD6503" w:rsidP="00B028D8">
      <w:pPr>
        <w:pStyle w:val="Bibliography"/>
      </w:pPr>
      <w:r w:rsidRPr="00F8630C">
        <w:t>Atiles-Osoria, J.</w:t>
      </w:r>
      <w:r w:rsidR="00B965FF">
        <w:t>M.</w:t>
      </w:r>
      <w:r w:rsidRPr="00F8630C">
        <w:t xml:space="preserve">, 2016. </w:t>
      </w:r>
      <w:r w:rsidR="00B965FF" w:rsidRPr="00F8630C">
        <w:rPr>
          <w:i/>
        </w:rPr>
        <w:t>Apuntes para abandonar el derecho</w:t>
      </w:r>
      <w:r w:rsidRPr="00F8630C">
        <w:rPr>
          <w:i/>
        </w:rPr>
        <w:t>: estado d</w:t>
      </w:r>
      <w:r w:rsidR="00B965FF">
        <w:rPr>
          <w:i/>
        </w:rPr>
        <w:t>e</w:t>
      </w:r>
      <w:r w:rsidRPr="00F8630C">
        <w:rPr>
          <w:i/>
        </w:rPr>
        <w:t xml:space="preserve"> </w:t>
      </w:r>
      <w:r w:rsidR="00B965FF">
        <w:rPr>
          <w:i/>
        </w:rPr>
        <w:t>excepción</w:t>
      </w:r>
      <w:r w:rsidR="00B965FF" w:rsidRPr="00F8630C">
        <w:rPr>
          <w:i/>
        </w:rPr>
        <w:t xml:space="preserve"> </w:t>
      </w:r>
      <w:r w:rsidRPr="00F8630C">
        <w:rPr>
          <w:i/>
        </w:rPr>
        <w:t>colonia</w:t>
      </w:r>
      <w:r w:rsidR="00B965FF" w:rsidRPr="00CF3106">
        <w:rPr>
          <w:i/>
        </w:rPr>
        <w:t>l</w:t>
      </w:r>
      <w:r w:rsidR="00B965FF">
        <w:t>. Puerto Rico: Emergente.</w:t>
      </w:r>
    </w:p>
    <w:p w14:paraId="5DED9A61" w14:textId="6CE4C5EF" w:rsidR="00BD6503" w:rsidRPr="00F8630C" w:rsidRDefault="00BD6503" w:rsidP="00B028D8">
      <w:pPr>
        <w:pStyle w:val="Bibliography"/>
        <w:rPr>
          <w:rFonts w:cs="Times"/>
          <w:lang w:val="en-US"/>
        </w:rPr>
      </w:pPr>
      <w:r w:rsidRPr="00F8630C">
        <w:rPr>
          <w:rFonts w:cs="Times"/>
          <w:lang w:val="en-US"/>
        </w:rPr>
        <w:t xml:space="preserve">Bartelsman, E. and Beetsma, R., 2003. Why pay more? Corporate tax avoidance through </w:t>
      </w:r>
      <w:proofErr w:type="gramStart"/>
      <w:r w:rsidRPr="00F8630C">
        <w:rPr>
          <w:rFonts w:cs="Times"/>
          <w:lang w:val="en-US"/>
        </w:rPr>
        <w:t>transfer</w:t>
      </w:r>
      <w:proofErr w:type="gramEnd"/>
      <w:r w:rsidRPr="00F8630C">
        <w:rPr>
          <w:rFonts w:cs="Times"/>
          <w:lang w:val="en-US"/>
        </w:rPr>
        <w:t xml:space="preserve"> pricing in OECD countries. </w:t>
      </w:r>
      <w:r w:rsidRPr="00F8630C">
        <w:rPr>
          <w:rFonts w:cs="Times"/>
          <w:i/>
          <w:lang w:val="en-US"/>
        </w:rPr>
        <w:t>Journal of Public Economics</w:t>
      </w:r>
      <w:r w:rsidR="00B965FF">
        <w:rPr>
          <w:rFonts w:cs="Times"/>
          <w:lang w:val="en-US"/>
        </w:rPr>
        <w:t xml:space="preserve"> [online], </w:t>
      </w:r>
      <w:r w:rsidRPr="00F8630C">
        <w:rPr>
          <w:rFonts w:cs="Times"/>
          <w:lang w:val="en-US"/>
        </w:rPr>
        <w:t>87 (9–10), 2225-2252.</w:t>
      </w:r>
      <w:r w:rsidR="00B965FF">
        <w:rPr>
          <w:rFonts w:cs="Times"/>
          <w:lang w:val="en-US"/>
        </w:rPr>
        <w:t xml:space="preserve"> Available from: </w:t>
      </w:r>
      <w:hyperlink r:id="rId20" w:history="1">
        <w:r w:rsidR="00ED58F8" w:rsidRPr="00A66D8F">
          <w:rPr>
            <w:rStyle w:val="Hyperlink"/>
            <w:rFonts w:cs="Times"/>
            <w:lang w:val="en-US"/>
          </w:rPr>
          <w:t>https://doi.org/10.1016/S0047-2727(02)00018-X</w:t>
        </w:r>
      </w:hyperlink>
      <w:r w:rsidR="00ED58F8">
        <w:rPr>
          <w:rFonts w:cs="Times"/>
          <w:lang w:val="en-US"/>
        </w:rPr>
        <w:t xml:space="preserve"> </w:t>
      </w:r>
      <w:r w:rsidR="00ED58F8">
        <w:rPr>
          <w:lang w:val="en-US"/>
        </w:rPr>
        <w:t>[Accessed 27 July 2018].</w:t>
      </w:r>
    </w:p>
    <w:p w14:paraId="062FFE35" w14:textId="06EC19F5" w:rsidR="00BD6503" w:rsidRPr="00F8630C" w:rsidRDefault="00BD6503" w:rsidP="00B028D8">
      <w:pPr>
        <w:pStyle w:val="Bibliography"/>
        <w:rPr>
          <w:rFonts w:cs="Times"/>
          <w:lang w:val="en-US"/>
        </w:rPr>
      </w:pPr>
      <w:r w:rsidRPr="00F8630C">
        <w:rPr>
          <w:rFonts w:cs="Times"/>
          <w:lang w:val="en-US"/>
        </w:rPr>
        <w:t xml:space="preserve">Bell, E., 2016. From Marshallian Citizenship to Corporate Citizenship: The Changing Nature of Citizenship in Neoliberal Britain. </w:t>
      </w:r>
      <w:r w:rsidRPr="00F8630C">
        <w:rPr>
          <w:rFonts w:cs="Times"/>
          <w:i/>
          <w:lang w:val="en-US"/>
        </w:rPr>
        <w:t>French Journal of British Studies</w:t>
      </w:r>
      <w:r w:rsidR="00B965FF">
        <w:rPr>
          <w:rFonts w:cs="Times"/>
          <w:lang w:val="en-US"/>
        </w:rPr>
        <w:t xml:space="preserve"> [online], </w:t>
      </w:r>
      <w:r w:rsidRPr="00F8630C">
        <w:rPr>
          <w:rFonts w:cs="Times"/>
          <w:lang w:val="en-US"/>
        </w:rPr>
        <w:t>XXI</w:t>
      </w:r>
      <w:r w:rsidR="00B965FF">
        <w:rPr>
          <w:rFonts w:cs="Times"/>
          <w:lang w:val="en-US"/>
        </w:rPr>
        <w:t>. Available from</w:t>
      </w:r>
      <w:r w:rsidRPr="00F8630C">
        <w:rPr>
          <w:rFonts w:cs="Times"/>
          <w:lang w:val="en-US"/>
        </w:rPr>
        <w:t>:</w:t>
      </w:r>
      <w:r w:rsidR="00B965FF">
        <w:rPr>
          <w:rFonts w:cs="Times"/>
          <w:lang w:val="en-US"/>
        </w:rPr>
        <w:t xml:space="preserve"> </w:t>
      </w:r>
      <w:hyperlink r:id="rId21" w:history="1">
        <w:r w:rsidR="00ED58F8" w:rsidRPr="00A66D8F">
          <w:rPr>
            <w:rStyle w:val="Hyperlink"/>
            <w:rFonts w:cs="Times"/>
            <w:lang w:val="en-US"/>
          </w:rPr>
          <w:t>https://doi.org/</w:t>
        </w:r>
        <w:r w:rsidR="00ED58F8" w:rsidRPr="00CF3106">
          <w:rPr>
            <w:rStyle w:val="Hyperlink"/>
          </w:rPr>
          <w:t>10.4000/rfcb.850</w:t>
        </w:r>
      </w:hyperlink>
      <w:r w:rsidR="00ED58F8">
        <w:rPr>
          <w:rFonts w:cs="Times"/>
          <w:lang w:val="en-US"/>
        </w:rPr>
        <w:t xml:space="preserve"> </w:t>
      </w:r>
      <w:r w:rsidR="00ED58F8">
        <w:rPr>
          <w:lang w:val="en-US"/>
        </w:rPr>
        <w:t>[Accessed 27 July 2018].</w:t>
      </w:r>
    </w:p>
    <w:p w14:paraId="4EAAB44D" w14:textId="2AAC7837" w:rsidR="00BD6503" w:rsidRPr="00B965FF" w:rsidRDefault="00BD6503" w:rsidP="00B028D8">
      <w:pPr>
        <w:pStyle w:val="Bibliography"/>
        <w:rPr>
          <w:rFonts w:cs="Times"/>
          <w:lang w:val="en-US"/>
        </w:rPr>
      </w:pPr>
      <w:r w:rsidRPr="00B965FF">
        <w:rPr>
          <w:rFonts w:cs="Times"/>
          <w:lang w:val="en-US"/>
        </w:rPr>
        <w:t xml:space="preserve">Bernat, I. and Whyte, D., 2017. State-Corporate Crime and the Process of Capital Accumulation: mapping a global regime of permission from Galicia to Morecambe Bay. </w:t>
      </w:r>
      <w:r w:rsidRPr="00B965FF">
        <w:rPr>
          <w:rFonts w:cs="Times"/>
          <w:i/>
          <w:lang w:val="en-US"/>
        </w:rPr>
        <w:t>Critical Criminology</w:t>
      </w:r>
      <w:r w:rsidR="00B965FF">
        <w:rPr>
          <w:rFonts w:cs="Times"/>
          <w:lang w:val="en-US"/>
        </w:rPr>
        <w:t xml:space="preserve"> [online], </w:t>
      </w:r>
      <w:r w:rsidRPr="00B965FF">
        <w:rPr>
          <w:rFonts w:cs="Times"/>
          <w:lang w:val="en-US"/>
        </w:rPr>
        <w:t>25</w:t>
      </w:r>
      <w:r w:rsidR="00B965FF">
        <w:rPr>
          <w:rFonts w:cs="Times"/>
          <w:lang w:val="en-US"/>
        </w:rPr>
        <w:t xml:space="preserve"> </w:t>
      </w:r>
      <w:r w:rsidRPr="00B965FF">
        <w:rPr>
          <w:rFonts w:cs="Times"/>
          <w:lang w:val="en-US"/>
        </w:rPr>
        <w:t>(1), 71–86.</w:t>
      </w:r>
      <w:r w:rsidR="00B965FF">
        <w:rPr>
          <w:rFonts w:cs="Times"/>
          <w:lang w:val="en-US"/>
        </w:rPr>
        <w:t xml:space="preserve"> Available from: </w:t>
      </w:r>
      <w:hyperlink r:id="rId22" w:history="1">
        <w:r w:rsidR="00ED58F8" w:rsidRPr="00CF3106">
          <w:rPr>
            <w:rStyle w:val="Hyperlink"/>
            <w:lang w:val="en-US"/>
          </w:rPr>
          <w:t>https://doi.org/10.1007/s10612-016-9340-9</w:t>
        </w:r>
      </w:hyperlink>
      <w:r w:rsidR="00ED58F8" w:rsidRPr="00CF3106">
        <w:rPr>
          <w:lang w:val="en-US"/>
        </w:rPr>
        <w:t xml:space="preserve"> </w:t>
      </w:r>
      <w:r w:rsidR="00ED58F8">
        <w:rPr>
          <w:lang w:val="en-US"/>
        </w:rPr>
        <w:t>[Accessed 27 July 2018].</w:t>
      </w:r>
    </w:p>
    <w:p w14:paraId="2C03A170" w14:textId="77777777" w:rsidR="00BD6503" w:rsidRPr="00B965FF" w:rsidRDefault="00BD6503" w:rsidP="00B028D8">
      <w:pPr>
        <w:pStyle w:val="Bibliography"/>
        <w:rPr>
          <w:rFonts w:cs="Times"/>
          <w:lang w:val="en-US"/>
        </w:rPr>
      </w:pPr>
      <w:r w:rsidRPr="00B965FF">
        <w:rPr>
          <w:rFonts w:cs="Times"/>
          <w:lang w:val="en-US"/>
        </w:rPr>
        <w:t xml:space="preserve">Bittle, S. and Snider, L., 2013. Examining the Ruggie Report: can voluntary guidelines tame global capitalism? </w:t>
      </w:r>
      <w:proofErr w:type="gramStart"/>
      <w:r w:rsidRPr="00B965FF">
        <w:rPr>
          <w:rFonts w:cs="Times"/>
          <w:i/>
          <w:lang w:val="en-US"/>
        </w:rPr>
        <w:t>Critical Criminology</w:t>
      </w:r>
      <w:r w:rsidRPr="00B965FF">
        <w:rPr>
          <w:rFonts w:cs="Times"/>
          <w:lang w:val="en-US"/>
        </w:rPr>
        <w:t>, 21, 177–192.</w:t>
      </w:r>
      <w:proofErr w:type="gramEnd"/>
    </w:p>
    <w:p w14:paraId="2B033B82" w14:textId="77777777" w:rsidR="001D0BBF" w:rsidRPr="00F8630C" w:rsidRDefault="001D0BBF" w:rsidP="001D0BBF">
      <w:pPr>
        <w:pStyle w:val="Bibliography"/>
        <w:rPr>
          <w:lang w:val="en-GB"/>
        </w:rPr>
      </w:pPr>
      <w:r w:rsidRPr="00F8630C">
        <w:rPr>
          <w:lang w:val="en-GB"/>
        </w:rPr>
        <w:t xml:space="preserve">Bowers, S., 2016. Google pays €47m in tax in Ireland on €22bn sales revenue. </w:t>
      </w:r>
      <w:r w:rsidRPr="00CF3106">
        <w:rPr>
          <w:i/>
          <w:lang w:val="en-GB"/>
        </w:rPr>
        <w:t>The Guardian</w:t>
      </w:r>
      <w:r w:rsidRPr="00F8630C">
        <w:rPr>
          <w:lang w:val="en-GB"/>
        </w:rPr>
        <w:t xml:space="preserve"> [online], 4 November. Available from: </w:t>
      </w:r>
      <w:hyperlink r:id="rId23" w:history="1">
        <w:r w:rsidRPr="00F8630C">
          <w:rPr>
            <w:rStyle w:val="Hyperlink"/>
            <w:lang w:val="en-GB"/>
          </w:rPr>
          <w:t>https://www.theguardian.com/business/2016/nov/04/google-pays-47m-euros-tax-ireland-22bn-euros-revenue</w:t>
        </w:r>
      </w:hyperlink>
      <w:r>
        <w:rPr>
          <w:lang w:val="en-GB"/>
        </w:rPr>
        <w:t xml:space="preserve"> </w:t>
      </w:r>
      <w:r>
        <w:rPr>
          <w:lang w:val="en-US"/>
        </w:rPr>
        <w:t>[Accessed 27 July 2018].</w:t>
      </w:r>
    </w:p>
    <w:p w14:paraId="35489F7E" w14:textId="6C79540D" w:rsidR="00BD6503" w:rsidRPr="00687AD5" w:rsidRDefault="00BD6503" w:rsidP="00B028D8">
      <w:pPr>
        <w:pStyle w:val="Bibliography"/>
        <w:rPr>
          <w:rFonts w:cs="Times"/>
          <w:lang w:val="en-US"/>
        </w:rPr>
      </w:pPr>
      <w:r w:rsidRPr="00687AD5">
        <w:rPr>
          <w:rFonts w:cs="Times"/>
          <w:lang w:val="en-US"/>
        </w:rPr>
        <w:t xml:space="preserve">Burchell, J. and Cook, J., 2006. Confronting the “corporate citizen”: Shaping the discourse of corporate social responsibility. </w:t>
      </w:r>
      <w:proofErr w:type="gramStart"/>
      <w:r w:rsidRPr="00687AD5">
        <w:rPr>
          <w:rFonts w:cs="Times"/>
          <w:i/>
          <w:lang w:val="en-US"/>
        </w:rPr>
        <w:t>International Journal of Sociology and Social Policy</w:t>
      </w:r>
      <w:r w:rsidR="00687AD5">
        <w:rPr>
          <w:rFonts w:cs="Times"/>
          <w:lang w:val="en-US"/>
        </w:rPr>
        <w:t xml:space="preserve"> [online],</w:t>
      </w:r>
      <w:r w:rsidRPr="00687AD5">
        <w:rPr>
          <w:rFonts w:cs="Times"/>
          <w:lang w:val="en-US"/>
        </w:rPr>
        <w:t xml:space="preserve"> 26</w:t>
      </w:r>
      <w:r w:rsidR="00687AD5">
        <w:rPr>
          <w:rFonts w:cs="Times"/>
          <w:lang w:val="en-US"/>
        </w:rPr>
        <w:t xml:space="preserve"> </w:t>
      </w:r>
      <w:r w:rsidRPr="00687AD5">
        <w:rPr>
          <w:rFonts w:cs="Times"/>
          <w:lang w:val="en-US"/>
        </w:rPr>
        <w:t>(3/4), 121-137.</w:t>
      </w:r>
      <w:proofErr w:type="gramEnd"/>
      <w:r w:rsidR="00687AD5">
        <w:rPr>
          <w:rFonts w:cs="Times"/>
          <w:lang w:val="en-US"/>
        </w:rPr>
        <w:t xml:space="preserve"> Available from: </w:t>
      </w:r>
      <w:hyperlink r:id="rId24" w:history="1">
        <w:r w:rsidR="00ED58F8" w:rsidRPr="00A66D8F">
          <w:rPr>
            <w:rStyle w:val="Hyperlink"/>
            <w:rFonts w:cs="Times"/>
            <w:lang w:val="en-US"/>
          </w:rPr>
          <w:t>https://doi.org/10.1108/01443330610657188</w:t>
        </w:r>
      </w:hyperlink>
      <w:r w:rsidR="00ED58F8">
        <w:rPr>
          <w:rFonts w:cs="Times"/>
          <w:lang w:val="en-US"/>
        </w:rPr>
        <w:t xml:space="preserve"> </w:t>
      </w:r>
      <w:r w:rsidR="00ED58F8">
        <w:rPr>
          <w:lang w:val="en-US"/>
        </w:rPr>
        <w:t>[Accessed 27 July 2018].</w:t>
      </w:r>
    </w:p>
    <w:p w14:paraId="405F1880" w14:textId="059A6D57" w:rsidR="00BD6503" w:rsidRPr="00B10A3C" w:rsidRDefault="00BD6503" w:rsidP="00B028D8">
      <w:pPr>
        <w:pStyle w:val="Bibliography"/>
        <w:rPr>
          <w:rFonts w:cs="Times"/>
          <w:lang w:val="en-US"/>
        </w:rPr>
      </w:pPr>
      <w:proofErr w:type="gramStart"/>
      <w:r w:rsidRPr="00B10A3C">
        <w:rPr>
          <w:rFonts w:cs="Times"/>
          <w:lang w:val="en-US"/>
        </w:rPr>
        <w:t>Carroll, A., 1998.</w:t>
      </w:r>
      <w:proofErr w:type="gramEnd"/>
      <w:r w:rsidRPr="00B10A3C">
        <w:rPr>
          <w:rFonts w:cs="Times"/>
          <w:lang w:val="en-US"/>
        </w:rPr>
        <w:t xml:space="preserve"> </w:t>
      </w:r>
      <w:proofErr w:type="gramStart"/>
      <w:r w:rsidRPr="00B10A3C">
        <w:rPr>
          <w:rFonts w:cs="Times"/>
          <w:lang w:val="en-US"/>
        </w:rPr>
        <w:t>The Four Faces of Corporate Citizenship.</w:t>
      </w:r>
      <w:proofErr w:type="gramEnd"/>
      <w:r w:rsidRPr="00B10A3C">
        <w:rPr>
          <w:rFonts w:cs="Times"/>
          <w:lang w:val="en-US"/>
        </w:rPr>
        <w:t xml:space="preserve"> </w:t>
      </w:r>
      <w:r w:rsidRPr="00B10A3C">
        <w:rPr>
          <w:rFonts w:cs="Times"/>
          <w:i/>
          <w:lang w:val="en-US"/>
        </w:rPr>
        <w:t>Business and Society Review</w:t>
      </w:r>
      <w:r w:rsidR="00B10A3C">
        <w:rPr>
          <w:rFonts w:cs="Times"/>
          <w:lang w:val="en-US"/>
        </w:rPr>
        <w:t xml:space="preserve"> [online], </w:t>
      </w:r>
      <w:r w:rsidRPr="00B10A3C">
        <w:rPr>
          <w:rFonts w:cs="Times"/>
          <w:lang w:val="en-US"/>
        </w:rPr>
        <w:t>100-101 (1), 1–7.</w:t>
      </w:r>
      <w:r w:rsidR="00B10A3C">
        <w:rPr>
          <w:rFonts w:cs="Times"/>
          <w:lang w:val="en-US"/>
        </w:rPr>
        <w:t xml:space="preserve"> Available from: </w:t>
      </w:r>
      <w:hyperlink r:id="rId25" w:history="1">
        <w:r w:rsidR="00ED58F8" w:rsidRPr="00A66D8F">
          <w:rPr>
            <w:rStyle w:val="Hyperlink"/>
            <w:rFonts w:cs="Times"/>
            <w:lang w:val="en-US"/>
          </w:rPr>
          <w:t>https://doi.org/10.1111/0045-3609.00008</w:t>
        </w:r>
      </w:hyperlink>
      <w:r w:rsidR="00ED58F8">
        <w:rPr>
          <w:rFonts w:cs="Times"/>
          <w:lang w:val="en-US"/>
        </w:rPr>
        <w:t xml:space="preserve"> </w:t>
      </w:r>
      <w:r w:rsidR="00ED58F8">
        <w:rPr>
          <w:lang w:val="en-US"/>
        </w:rPr>
        <w:t>[Accessed 27 July 2018].</w:t>
      </w:r>
    </w:p>
    <w:p w14:paraId="5D576666" w14:textId="77777777" w:rsidR="00BD6503" w:rsidRPr="00B10A3C" w:rsidRDefault="00BD6503" w:rsidP="00B028D8">
      <w:pPr>
        <w:pStyle w:val="Bibliography"/>
        <w:rPr>
          <w:lang w:val="en-US"/>
        </w:rPr>
      </w:pPr>
      <w:r w:rsidRPr="00B10A3C">
        <w:rPr>
          <w:lang w:val="en-US"/>
        </w:rPr>
        <w:t xml:space="preserve">Carson, W.G., 1979. </w:t>
      </w:r>
      <w:proofErr w:type="gramStart"/>
      <w:r w:rsidRPr="00B10A3C">
        <w:rPr>
          <w:lang w:val="en-US"/>
        </w:rPr>
        <w:t>The Conventionalization of Early Factory Crime.</w:t>
      </w:r>
      <w:proofErr w:type="gramEnd"/>
      <w:r w:rsidRPr="00B10A3C">
        <w:rPr>
          <w:lang w:val="en-US"/>
        </w:rPr>
        <w:t xml:space="preserve"> </w:t>
      </w:r>
      <w:proofErr w:type="gramStart"/>
      <w:r w:rsidRPr="00B10A3C">
        <w:rPr>
          <w:i/>
          <w:lang w:val="en-US"/>
        </w:rPr>
        <w:t>International Journal for the Sociology of Law</w:t>
      </w:r>
      <w:r w:rsidRPr="00B10A3C">
        <w:rPr>
          <w:lang w:val="en-US"/>
        </w:rPr>
        <w:t>, 7,</w:t>
      </w:r>
      <w:r w:rsidR="005A3FD3" w:rsidRPr="00B10A3C">
        <w:rPr>
          <w:lang w:val="en-US"/>
        </w:rPr>
        <w:t xml:space="preserve"> </w:t>
      </w:r>
      <w:r w:rsidRPr="00B10A3C">
        <w:rPr>
          <w:lang w:val="en-US"/>
        </w:rPr>
        <w:t>37-60.</w:t>
      </w:r>
      <w:proofErr w:type="gramEnd"/>
    </w:p>
    <w:p w14:paraId="0CAE03DD" w14:textId="10614467" w:rsidR="00BD6503" w:rsidRPr="00B10A3C" w:rsidRDefault="00BD6503" w:rsidP="00B028D8">
      <w:pPr>
        <w:pStyle w:val="Bibliography"/>
        <w:rPr>
          <w:lang w:val="en-US"/>
        </w:rPr>
      </w:pPr>
      <w:proofErr w:type="gramStart"/>
      <w:r w:rsidRPr="00F8630C">
        <w:rPr>
          <w:lang w:val="en-US"/>
        </w:rPr>
        <w:t>Carver, T., 1998.</w:t>
      </w:r>
      <w:proofErr w:type="gramEnd"/>
      <w:r w:rsidRPr="00F8630C">
        <w:rPr>
          <w:lang w:val="en-US"/>
        </w:rPr>
        <w:t xml:space="preserve"> Sexual citizenship: gendered and de-gendered narratives. </w:t>
      </w:r>
      <w:r w:rsidRPr="00CF3106">
        <w:rPr>
          <w:i/>
          <w:lang w:val="en-US"/>
        </w:rPr>
        <w:t>In</w:t>
      </w:r>
      <w:r w:rsidR="00B10A3C">
        <w:rPr>
          <w:lang w:val="en-US"/>
        </w:rPr>
        <w:t>:</w:t>
      </w:r>
      <w:r w:rsidRPr="00F8630C">
        <w:rPr>
          <w:lang w:val="en-US"/>
        </w:rPr>
        <w:t xml:space="preserve"> </w:t>
      </w:r>
      <w:r w:rsidRPr="00B10A3C">
        <w:rPr>
          <w:lang w:val="en-US"/>
        </w:rPr>
        <w:t xml:space="preserve">Carver, T. and Mottier, V., </w:t>
      </w:r>
      <w:proofErr w:type="gramStart"/>
      <w:r w:rsidRPr="00B10A3C">
        <w:rPr>
          <w:lang w:val="en-US"/>
        </w:rPr>
        <w:t>eds</w:t>
      </w:r>
      <w:proofErr w:type="gramEnd"/>
      <w:r w:rsidRPr="00B10A3C">
        <w:rPr>
          <w:lang w:val="en-US"/>
        </w:rPr>
        <w:t xml:space="preserve">. </w:t>
      </w:r>
      <w:r w:rsidRPr="00B10A3C">
        <w:rPr>
          <w:i/>
          <w:lang w:val="en-US"/>
        </w:rPr>
        <w:t>Politics of Sexuality: Identity, gender, citizenship</w:t>
      </w:r>
      <w:r w:rsidRPr="00B10A3C">
        <w:rPr>
          <w:lang w:val="en-US"/>
        </w:rPr>
        <w:t>.</w:t>
      </w:r>
      <w:r w:rsidR="005A3FD3" w:rsidRPr="00B10A3C">
        <w:rPr>
          <w:lang w:val="en-US"/>
        </w:rPr>
        <w:t xml:space="preserve"> </w:t>
      </w:r>
      <w:r w:rsidRPr="00B10A3C">
        <w:rPr>
          <w:lang w:val="en-US"/>
        </w:rPr>
        <w:t>London</w:t>
      </w:r>
      <w:r w:rsidR="0036138B">
        <w:rPr>
          <w:lang w:val="en-US"/>
        </w:rPr>
        <w:t>:</w:t>
      </w:r>
      <w:r w:rsidRPr="00B10A3C">
        <w:rPr>
          <w:lang w:val="en-US"/>
        </w:rPr>
        <w:t xml:space="preserve"> Routledge.</w:t>
      </w:r>
    </w:p>
    <w:p w14:paraId="74BA2F55" w14:textId="7E89D3D1" w:rsidR="00BD6503" w:rsidRPr="00F8630C" w:rsidRDefault="00BD6503" w:rsidP="00B028D8">
      <w:pPr>
        <w:pStyle w:val="Bibliography"/>
        <w:rPr>
          <w:lang w:val="en-US"/>
        </w:rPr>
      </w:pPr>
      <w:r w:rsidRPr="00F8630C">
        <w:rPr>
          <w:lang w:val="en-US"/>
        </w:rPr>
        <w:t xml:space="preserve">Castles, S., 2005. Nation and Empire: Hierarchies of Citizenship in the New Global Order. </w:t>
      </w:r>
      <w:r w:rsidRPr="00F8630C">
        <w:rPr>
          <w:i/>
          <w:lang w:val="en-US"/>
        </w:rPr>
        <w:t>International Politics</w:t>
      </w:r>
      <w:r w:rsidR="0036138B">
        <w:rPr>
          <w:lang w:val="en-US"/>
        </w:rPr>
        <w:t xml:space="preserve"> [online],</w:t>
      </w:r>
      <w:r w:rsidRPr="00F8630C">
        <w:rPr>
          <w:lang w:val="en-US"/>
        </w:rPr>
        <w:t xml:space="preserve"> 42</w:t>
      </w:r>
      <w:r w:rsidR="0036138B">
        <w:rPr>
          <w:lang w:val="en-US"/>
        </w:rPr>
        <w:t xml:space="preserve"> </w:t>
      </w:r>
      <w:r w:rsidRPr="00F8630C">
        <w:rPr>
          <w:lang w:val="en-US"/>
        </w:rPr>
        <w:t>(2), 203–224.</w:t>
      </w:r>
      <w:r w:rsidR="0036138B">
        <w:rPr>
          <w:lang w:val="en-US"/>
        </w:rPr>
        <w:t xml:space="preserve"> Available from: </w:t>
      </w:r>
      <w:hyperlink r:id="rId26" w:history="1">
        <w:r w:rsidR="00ED58F8" w:rsidRPr="00A66D8F">
          <w:rPr>
            <w:rStyle w:val="Hyperlink"/>
            <w:lang w:val="en-US"/>
          </w:rPr>
          <w:t>https://link.springer.com/article/10.1057/palgrave.ip.8800107</w:t>
        </w:r>
      </w:hyperlink>
      <w:r w:rsidR="00ED58F8">
        <w:rPr>
          <w:lang w:val="en-US"/>
        </w:rPr>
        <w:t xml:space="preserve"> [Accessed 27 July 2018].</w:t>
      </w:r>
    </w:p>
    <w:p w14:paraId="700656A2" w14:textId="1849623C" w:rsidR="00BD6503" w:rsidRPr="00F8630C" w:rsidRDefault="00BD6503" w:rsidP="00B028D8">
      <w:pPr>
        <w:pStyle w:val="Bibliography"/>
        <w:rPr>
          <w:lang w:val="en-US"/>
        </w:rPr>
      </w:pPr>
      <w:r w:rsidRPr="00F8630C">
        <w:rPr>
          <w:lang w:val="en-US"/>
        </w:rPr>
        <w:t xml:space="preserve">Chang, H.J., 2011. </w:t>
      </w:r>
      <w:r w:rsidRPr="00F8630C">
        <w:rPr>
          <w:i/>
          <w:lang w:val="en-US"/>
        </w:rPr>
        <w:t>23 Things They Don</w:t>
      </w:r>
      <w:r w:rsidR="0036138B">
        <w:rPr>
          <w:i/>
          <w:lang w:val="en-US"/>
        </w:rPr>
        <w:t>’</w:t>
      </w:r>
      <w:r w:rsidRPr="00F8630C">
        <w:rPr>
          <w:i/>
          <w:lang w:val="en-US"/>
        </w:rPr>
        <w:t>t Tell You About Capitalism</w:t>
      </w:r>
      <w:r w:rsidRPr="00F8630C">
        <w:rPr>
          <w:lang w:val="en-US"/>
        </w:rPr>
        <w:t>. London: Penguin.</w:t>
      </w:r>
    </w:p>
    <w:p w14:paraId="4BB825F9" w14:textId="524A5DA1" w:rsidR="00BD6503" w:rsidRPr="0036138B" w:rsidRDefault="00BD6503" w:rsidP="00B028D8">
      <w:pPr>
        <w:pStyle w:val="Bibliography"/>
        <w:rPr>
          <w:lang w:val="en-US"/>
        </w:rPr>
      </w:pPr>
      <w:proofErr w:type="gramStart"/>
      <w:r w:rsidRPr="0036138B">
        <w:rPr>
          <w:lang w:val="en-US"/>
        </w:rPr>
        <w:t>Ciampi, A., 2017.</w:t>
      </w:r>
      <w:proofErr w:type="gramEnd"/>
      <w:r w:rsidRPr="0036138B">
        <w:rPr>
          <w:lang w:val="en-US"/>
        </w:rPr>
        <w:t xml:space="preserve"> </w:t>
      </w:r>
      <w:proofErr w:type="gramStart"/>
      <w:r w:rsidRPr="0036138B">
        <w:rPr>
          <w:i/>
          <w:lang w:val="en-US"/>
        </w:rPr>
        <w:t xml:space="preserve">SLAPPs and FoAA rights (by the United Nations Special Rapporteur </w:t>
      </w:r>
      <w:r w:rsidR="005605E8" w:rsidRPr="0036138B">
        <w:rPr>
          <w:i/>
          <w:lang w:val="en-US"/>
        </w:rPr>
        <w:t xml:space="preserve">on the </w:t>
      </w:r>
      <w:r w:rsidRPr="0036138B">
        <w:rPr>
          <w:i/>
          <w:lang w:val="en-US"/>
        </w:rPr>
        <w:t xml:space="preserve">Rights </w:t>
      </w:r>
      <w:r w:rsidR="005605E8" w:rsidRPr="0036138B">
        <w:rPr>
          <w:i/>
          <w:lang w:val="en-US"/>
        </w:rPr>
        <w:t xml:space="preserve">to </w:t>
      </w:r>
      <w:r w:rsidRPr="0036138B">
        <w:rPr>
          <w:i/>
          <w:lang w:val="en-US"/>
        </w:rPr>
        <w:t xml:space="preserve">Freedom </w:t>
      </w:r>
      <w:r w:rsidR="005605E8" w:rsidRPr="0036138B">
        <w:rPr>
          <w:i/>
          <w:lang w:val="en-US"/>
        </w:rPr>
        <w:t xml:space="preserve">of </w:t>
      </w:r>
      <w:r w:rsidRPr="0036138B">
        <w:rPr>
          <w:i/>
          <w:lang w:val="en-US"/>
        </w:rPr>
        <w:t xml:space="preserve">Peaceful Assembly </w:t>
      </w:r>
      <w:r w:rsidR="005605E8" w:rsidRPr="0036138B">
        <w:rPr>
          <w:i/>
          <w:lang w:val="en-US"/>
        </w:rPr>
        <w:t xml:space="preserve">and of </w:t>
      </w:r>
      <w:r w:rsidRPr="0036138B">
        <w:rPr>
          <w:i/>
          <w:lang w:val="en-US"/>
        </w:rPr>
        <w:t>Association)</w:t>
      </w:r>
      <w:r w:rsidR="0036138B">
        <w:rPr>
          <w:lang w:val="en-US"/>
        </w:rPr>
        <w:t xml:space="preserve"> [online].</w:t>
      </w:r>
      <w:proofErr w:type="gramEnd"/>
      <w:r w:rsidR="0036138B">
        <w:rPr>
          <w:lang w:val="en-US"/>
        </w:rPr>
        <w:t xml:space="preserve"> Info note. </w:t>
      </w:r>
      <w:r w:rsidRPr="0036138B">
        <w:rPr>
          <w:lang w:val="en-US"/>
        </w:rPr>
        <w:t>Geneva: United Nations Human Rights Office of the High Commissioner.</w:t>
      </w:r>
      <w:r w:rsidR="0036138B">
        <w:rPr>
          <w:lang w:val="en-US"/>
        </w:rPr>
        <w:t xml:space="preserve"> Available from: </w:t>
      </w:r>
      <w:hyperlink r:id="rId27" w:history="1">
        <w:r w:rsidR="00ED58F8" w:rsidRPr="00A66D8F">
          <w:rPr>
            <w:rStyle w:val="Hyperlink"/>
            <w:lang w:val="en-US"/>
          </w:rPr>
          <w:t>https://www.google.com/url?sa=t&amp;rct=j&amp;q=&amp;esrc=s&amp;source=web&amp;cd=1&amp;ved=2ahUKEwjqn4X2jL_cAhWOy4UKHYt6BVYQFjAAegQIABAC&amp;url=https%3A%2F%2Fwww.ohchr.org%2FDocuments%2FIssues%2FFAssociation%2FInfoNoteSLAPPsFoAA.docx&amp;usg=AOvVaw2g2D1CNNK3K_21zXVZbY3b</w:t>
        </w:r>
      </w:hyperlink>
      <w:r w:rsidR="00ED58F8">
        <w:rPr>
          <w:lang w:val="en-US"/>
        </w:rPr>
        <w:t xml:space="preserve"> [Accessed 27 July 2018].</w:t>
      </w:r>
    </w:p>
    <w:p w14:paraId="732E04DA" w14:textId="54DD14E3" w:rsidR="00BD6503" w:rsidRPr="00F8630C" w:rsidRDefault="00BD6503" w:rsidP="00B028D8">
      <w:pPr>
        <w:pStyle w:val="Bibliography"/>
        <w:rPr>
          <w:lang w:val="en-US"/>
        </w:rPr>
      </w:pPr>
      <w:r w:rsidRPr="0036138B">
        <w:rPr>
          <w:lang w:val="en-US"/>
        </w:rPr>
        <w:t xml:space="preserve">Ciocchini, P. and Khoury, S., 2018. Investor State Dispute Settlement: Institutionalising </w:t>
      </w:r>
      <w:r w:rsidR="001F2043" w:rsidRPr="00F8630C">
        <w:rPr>
          <w:lang w:val="en-US"/>
        </w:rPr>
        <w:t>“</w:t>
      </w:r>
      <w:r w:rsidRPr="00F8630C">
        <w:rPr>
          <w:lang w:val="en-US"/>
        </w:rPr>
        <w:t>Corporate Exceptionality</w:t>
      </w:r>
      <w:r w:rsidR="001F2043" w:rsidRPr="00F8630C">
        <w:rPr>
          <w:lang w:val="en-US"/>
        </w:rPr>
        <w:t>”</w:t>
      </w:r>
      <w:r w:rsidRPr="00F8630C">
        <w:rPr>
          <w:lang w:val="en-US"/>
        </w:rPr>
        <w:t xml:space="preserve">. </w:t>
      </w:r>
      <w:r w:rsidRPr="00F8630C">
        <w:rPr>
          <w:i/>
          <w:lang w:val="en-US"/>
        </w:rPr>
        <w:t>Oñati Socio-Legal Series</w:t>
      </w:r>
      <w:r w:rsidR="0036138B">
        <w:rPr>
          <w:lang w:val="en-US"/>
        </w:rPr>
        <w:t xml:space="preserve"> [online],</w:t>
      </w:r>
      <w:r w:rsidRPr="00F8630C">
        <w:rPr>
          <w:lang w:val="en-US"/>
        </w:rPr>
        <w:t xml:space="preserve"> </w:t>
      </w:r>
      <w:r w:rsidR="00D30BE8">
        <w:rPr>
          <w:lang w:val="en-US"/>
        </w:rPr>
        <w:t>vol. 8.</w:t>
      </w:r>
      <w:r w:rsidR="0036138B">
        <w:rPr>
          <w:lang w:val="en-US"/>
        </w:rPr>
        <w:t xml:space="preserve"> Available from: </w:t>
      </w:r>
      <w:hyperlink r:id="rId28" w:history="1">
        <w:r w:rsidR="00ED58F8" w:rsidRPr="00A66D8F">
          <w:rPr>
            <w:rStyle w:val="Hyperlink"/>
            <w:lang w:val="en-US"/>
          </w:rPr>
          <w:t>https://ssrn.com/abstract=3194643</w:t>
        </w:r>
      </w:hyperlink>
      <w:r w:rsidR="00ED58F8">
        <w:rPr>
          <w:lang w:val="en-US"/>
        </w:rPr>
        <w:t xml:space="preserve"> [Accessed 27 July 2018].</w:t>
      </w:r>
    </w:p>
    <w:p w14:paraId="2583A54E" w14:textId="407727EC" w:rsidR="00BD6503" w:rsidRPr="00D30BE8" w:rsidRDefault="00BD6503" w:rsidP="00B028D8">
      <w:pPr>
        <w:pStyle w:val="Bibliography"/>
        <w:rPr>
          <w:lang w:val="en-US"/>
        </w:rPr>
      </w:pPr>
      <w:r w:rsidRPr="00D30BE8">
        <w:rPr>
          <w:lang w:val="en-US"/>
        </w:rPr>
        <w:t xml:space="preserve">Clausing, K., 2009. Multinational Firm Tax Avoidance and Tax Policy. </w:t>
      </w:r>
      <w:r w:rsidRPr="00D30BE8">
        <w:rPr>
          <w:i/>
          <w:lang w:val="en-US"/>
        </w:rPr>
        <w:t>National Tax Journal</w:t>
      </w:r>
      <w:r w:rsidR="00D30BE8">
        <w:rPr>
          <w:lang w:val="en-US"/>
        </w:rPr>
        <w:t xml:space="preserve"> [online], </w:t>
      </w:r>
      <w:r w:rsidRPr="00D30BE8">
        <w:rPr>
          <w:lang w:val="en-US"/>
        </w:rPr>
        <w:t xml:space="preserve">62 (4), 703-725. </w:t>
      </w:r>
      <w:r w:rsidR="00D30BE8">
        <w:rPr>
          <w:lang w:val="en-US"/>
        </w:rPr>
        <w:t xml:space="preserve">Available from: </w:t>
      </w:r>
      <w:hyperlink r:id="rId29" w:history="1">
        <w:r w:rsidR="00ED58F8" w:rsidRPr="00A66D8F">
          <w:rPr>
            <w:rStyle w:val="Hyperlink"/>
            <w:lang w:val="en-US"/>
          </w:rPr>
          <w:t>https://www.ntanet.org/NTJ/62/4/ntj-v62n04p703-25-multinational-firm-tax-avoidance.pdf</w:t>
        </w:r>
      </w:hyperlink>
      <w:r w:rsidR="00ED58F8">
        <w:rPr>
          <w:lang w:val="en-US"/>
        </w:rPr>
        <w:t xml:space="preserve"> [Accessed 27 July 2018].</w:t>
      </w:r>
    </w:p>
    <w:p w14:paraId="5434C6B9" w14:textId="10F35656" w:rsidR="00BD6503" w:rsidRPr="00F8630C" w:rsidRDefault="00BD6503" w:rsidP="00B028D8">
      <w:pPr>
        <w:pStyle w:val="Bibliography"/>
        <w:rPr>
          <w:lang w:val="en-US"/>
        </w:rPr>
      </w:pPr>
      <w:proofErr w:type="gramStart"/>
      <w:r w:rsidRPr="00F8630C">
        <w:rPr>
          <w:lang w:val="en-US"/>
        </w:rPr>
        <w:t>Coleman, D., 2003.</w:t>
      </w:r>
      <w:proofErr w:type="gramEnd"/>
      <w:r w:rsidRPr="00F8630C">
        <w:rPr>
          <w:lang w:val="en-US"/>
        </w:rPr>
        <w:t xml:space="preserve"> The United Nations and transnational corporations: from an inter</w:t>
      </w:r>
      <w:r w:rsidR="00417B18">
        <w:rPr>
          <w:lang w:val="en-US"/>
        </w:rPr>
        <w:t>-</w:t>
      </w:r>
      <w:r w:rsidRPr="00F8630C">
        <w:rPr>
          <w:lang w:val="en-US"/>
        </w:rPr>
        <w:t>natio</w:t>
      </w:r>
      <w:r w:rsidRPr="00417B18">
        <w:rPr>
          <w:lang w:val="en-US"/>
        </w:rPr>
        <w:t xml:space="preserve">n to a </w:t>
      </w:r>
      <w:r w:rsidR="001F2043" w:rsidRPr="00F8630C">
        <w:rPr>
          <w:lang w:val="en-US"/>
        </w:rPr>
        <w:t>“</w:t>
      </w:r>
      <w:r w:rsidRPr="00F8630C">
        <w:rPr>
          <w:lang w:val="en-US"/>
        </w:rPr>
        <w:t>beyond-state</w:t>
      </w:r>
      <w:r w:rsidR="001F2043" w:rsidRPr="00F8630C">
        <w:rPr>
          <w:lang w:val="en-US"/>
        </w:rPr>
        <w:t>”</w:t>
      </w:r>
      <w:r w:rsidRPr="00F8630C">
        <w:rPr>
          <w:lang w:val="en-US"/>
        </w:rPr>
        <w:t xml:space="preserve"> model of engagement. </w:t>
      </w:r>
      <w:r w:rsidRPr="00F8630C">
        <w:rPr>
          <w:i/>
          <w:lang w:val="en-US"/>
        </w:rPr>
        <w:t>Global Society</w:t>
      </w:r>
      <w:r w:rsidR="00417B18">
        <w:rPr>
          <w:lang w:val="en-US"/>
        </w:rPr>
        <w:t xml:space="preserve"> [online], </w:t>
      </w:r>
      <w:r w:rsidRPr="00F8630C">
        <w:rPr>
          <w:lang w:val="en-US"/>
        </w:rPr>
        <w:t>17</w:t>
      </w:r>
      <w:r w:rsidR="00417B18">
        <w:rPr>
          <w:lang w:val="en-US"/>
        </w:rPr>
        <w:t xml:space="preserve"> </w:t>
      </w:r>
      <w:r w:rsidRPr="00F8630C">
        <w:rPr>
          <w:lang w:val="en-US"/>
        </w:rPr>
        <w:t>(4), 339–357.</w:t>
      </w:r>
      <w:r w:rsidR="00417B18">
        <w:rPr>
          <w:lang w:val="en-US"/>
        </w:rPr>
        <w:t xml:space="preserve"> Available from: </w:t>
      </w:r>
      <w:hyperlink r:id="rId30" w:history="1">
        <w:r w:rsidR="00ED58F8" w:rsidRPr="00A66D8F">
          <w:rPr>
            <w:rStyle w:val="Hyperlink"/>
            <w:lang w:val="en-US"/>
          </w:rPr>
          <w:t>https://doi.org/10.1080/1360082032000132135</w:t>
        </w:r>
      </w:hyperlink>
      <w:r w:rsidR="00ED58F8">
        <w:rPr>
          <w:lang w:val="en-US"/>
        </w:rPr>
        <w:t xml:space="preserve"> [Accessed 27 July 2018].</w:t>
      </w:r>
    </w:p>
    <w:p w14:paraId="4C0A9D3B" w14:textId="6243CB0D" w:rsidR="00BD6503" w:rsidRPr="00F8630C" w:rsidRDefault="00BD6503" w:rsidP="00B028D8">
      <w:pPr>
        <w:pStyle w:val="Bibliography"/>
        <w:rPr>
          <w:lang w:val="en-US"/>
        </w:rPr>
      </w:pPr>
      <w:r w:rsidRPr="00F8630C">
        <w:rPr>
          <w:lang w:val="en-US"/>
        </w:rPr>
        <w:t xml:space="preserve">Coleman, R., Tombs, S., and Whyte, D., 2005. Capital, Crime Control and Statecraft in the Entrepreneurial City. </w:t>
      </w:r>
      <w:r w:rsidRPr="00F8630C">
        <w:rPr>
          <w:i/>
          <w:lang w:val="en-US"/>
        </w:rPr>
        <w:t>Urban Studies</w:t>
      </w:r>
      <w:r w:rsidR="00203121">
        <w:rPr>
          <w:lang w:val="en-US"/>
        </w:rPr>
        <w:t xml:space="preserve"> [online], </w:t>
      </w:r>
      <w:r w:rsidRPr="00F8630C">
        <w:rPr>
          <w:lang w:val="en-US"/>
        </w:rPr>
        <w:t>42</w:t>
      </w:r>
      <w:r w:rsidR="00203121">
        <w:rPr>
          <w:lang w:val="en-US"/>
        </w:rPr>
        <w:t xml:space="preserve"> </w:t>
      </w:r>
      <w:r w:rsidRPr="00F8630C">
        <w:rPr>
          <w:lang w:val="en-US"/>
        </w:rPr>
        <w:t>(13), 2511-2530.</w:t>
      </w:r>
      <w:r w:rsidR="00203121">
        <w:rPr>
          <w:lang w:val="en-US"/>
        </w:rPr>
        <w:t xml:space="preserve"> Available from: </w:t>
      </w:r>
      <w:hyperlink r:id="rId31" w:history="1">
        <w:r w:rsidR="00ED58F8" w:rsidRPr="00A66D8F">
          <w:rPr>
            <w:rStyle w:val="Hyperlink"/>
            <w:lang w:val="en-US"/>
          </w:rPr>
          <w:t>https://doi.org/10.1080%2F00420980500380428</w:t>
        </w:r>
      </w:hyperlink>
      <w:r w:rsidR="00ED58F8">
        <w:rPr>
          <w:lang w:val="en-US"/>
        </w:rPr>
        <w:t xml:space="preserve"> [Accessed 27 July 2018].</w:t>
      </w:r>
    </w:p>
    <w:p w14:paraId="372E7E9D" w14:textId="77777777" w:rsidR="001D0BBF" w:rsidRDefault="001D0BBF" w:rsidP="001D0BBF">
      <w:pPr>
        <w:pStyle w:val="Bibliography"/>
        <w:rPr>
          <w:rFonts w:cs="Calibri"/>
          <w:lang w:val="en-GB"/>
        </w:rPr>
      </w:pPr>
      <w:proofErr w:type="gramStart"/>
      <w:r w:rsidRPr="006C4255">
        <w:rPr>
          <w:rFonts w:cs="Calibri"/>
          <w:lang w:val="en-GB"/>
        </w:rPr>
        <w:t>Council of Europe, 1950.</w:t>
      </w:r>
      <w:proofErr w:type="gramEnd"/>
      <w:r w:rsidRPr="006C4255">
        <w:rPr>
          <w:rFonts w:cs="Calibri"/>
          <w:lang w:val="en-GB"/>
        </w:rPr>
        <w:t xml:space="preserve"> </w:t>
      </w:r>
      <w:r w:rsidRPr="0066249C">
        <w:rPr>
          <w:rFonts w:cs="Calibri"/>
          <w:lang w:val="en-GB"/>
        </w:rPr>
        <w:t>European Convention for the Protection of Human Rights and Fundamental Freedoms, as amended by Protocols Nos. 11 and 14</w:t>
      </w:r>
      <w:r w:rsidRPr="006C4255">
        <w:rPr>
          <w:rFonts w:cs="Calibri"/>
          <w:lang w:val="en-GB"/>
        </w:rPr>
        <w:t xml:space="preserve"> [online]. Rome, 4 November. Available from: </w:t>
      </w:r>
      <w:hyperlink r:id="rId32" w:history="1">
        <w:r w:rsidRPr="006C4255">
          <w:rPr>
            <w:rStyle w:val="Hyperlink"/>
            <w:rFonts w:cs="Calibri"/>
            <w:lang w:val="en-GB"/>
          </w:rPr>
          <w:t>https://www.echr.coe.int/Documents/Convention_ENG.pdf</w:t>
        </w:r>
      </w:hyperlink>
      <w:r w:rsidRPr="006C4255">
        <w:rPr>
          <w:rFonts w:cs="Calibri"/>
          <w:lang w:val="en-GB"/>
        </w:rPr>
        <w:t xml:space="preserve"> [Accessed 12 April 2018].</w:t>
      </w:r>
    </w:p>
    <w:p w14:paraId="566BCD63" w14:textId="5DD19932" w:rsidR="00BD6503" w:rsidRPr="00F8630C" w:rsidRDefault="00BD6503" w:rsidP="00B028D8">
      <w:pPr>
        <w:pStyle w:val="Bibliography"/>
        <w:rPr>
          <w:lang w:val="en-US"/>
        </w:rPr>
      </w:pPr>
      <w:proofErr w:type="gramStart"/>
      <w:r w:rsidRPr="00F8630C">
        <w:rPr>
          <w:lang w:val="en-US"/>
        </w:rPr>
        <w:lastRenderedPageBreak/>
        <w:t>Dawkins, C., 2002</w:t>
      </w:r>
      <w:r w:rsidR="00203121">
        <w:rPr>
          <w:lang w:val="en-US"/>
        </w:rPr>
        <w:t>.</w:t>
      </w:r>
      <w:proofErr w:type="gramEnd"/>
      <w:r w:rsidRPr="00F8630C">
        <w:rPr>
          <w:lang w:val="en-US"/>
        </w:rPr>
        <w:t xml:space="preserve"> </w:t>
      </w:r>
      <w:proofErr w:type="gramStart"/>
      <w:r w:rsidRPr="00F8630C">
        <w:rPr>
          <w:lang w:val="en-US"/>
        </w:rPr>
        <w:t xml:space="preserve">Corporate Welfare, Corporate Citizenship, and the Question of Accountability, </w:t>
      </w:r>
      <w:r w:rsidRPr="00F8630C">
        <w:rPr>
          <w:i/>
          <w:lang w:val="en-US"/>
        </w:rPr>
        <w:t>Business and Society</w:t>
      </w:r>
      <w:r w:rsidR="00203121">
        <w:rPr>
          <w:lang w:val="en-US"/>
        </w:rPr>
        <w:t xml:space="preserve"> [online], </w:t>
      </w:r>
      <w:r w:rsidRPr="00F8630C">
        <w:rPr>
          <w:lang w:val="en-US"/>
        </w:rPr>
        <w:t>41</w:t>
      </w:r>
      <w:r w:rsidR="00203121">
        <w:rPr>
          <w:lang w:val="en-US"/>
        </w:rPr>
        <w:t xml:space="preserve"> </w:t>
      </w:r>
      <w:r w:rsidRPr="00F8630C">
        <w:rPr>
          <w:lang w:val="en-US"/>
        </w:rPr>
        <w:t>(3), 269-291.</w:t>
      </w:r>
      <w:proofErr w:type="gramEnd"/>
      <w:r w:rsidR="00203121">
        <w:rPr>
          <w:lang w:val="en-US"/>
        </w:rPr>
        <w:t xml:space="preserve"> Available from: </w:t>
      </w:r>
      <w:hyperlink r:id="rId33" w:history="1">
        <w:r w:rsidR="00ED58F8" w:rsidRPr="00A66D8F">
          <w:rPr>
            <w:rStyle w:val="Hyperlink"/>
            <w:lang w:val="en-US"/>
          </w:rPr>
          <w:t>https://doi.org/10.1177%2F0007650302041003002</w:t>
        </w:r>
      </w:hyperlink>
      <w:r w:rsidR="00ED58F8">
        <w:rPr>
          <w:lang w:val="en-US"/>
        </w:rPr>
        <w:t xml:space="preserve"> [Accessed 27 July 2018].</w:t>
      </w:r>
    </w:p>
    <w:p w14:paraId="754DCBB4" w14:textId="09E3B90A" w:rsidR="00BD6503" w:rsidRPr="00B57D0F" w:rsidRDefault="00BD6503" w:rsidP="00B028D8">
      <w:pPr>
        <w:pStyle w:val="Bibliography"/>
        <w:rPr>
          <w:lang w:val="en-US"/>
        </w:rPr>
      </w:pPr>
      <w:r w:rsidRPr="00B57D0F">
        <w:rPr>
          <w:lang w:val="en-US"/>
        </w:rPr>
        <w:t xml:space="preserve">Demsetz, H., and Lehn, K., 1985. The Structure of Corporate Ownership: Causes and Consequences. </w:t>
      </w:r>
      <w:r w:rsidRPr="00B57D0F">
        <w:rPr>
          <w:i/>
          <w:lang w:val="en-US"/>
        </w:rPr>
        <w:t>Journal of Political Economy</w:t>
      </w:r>
      <w:r w:rsidR="00B57D0F">
        <w:rPr>
          <w:lang w:val="en-US"/>
        </w:rPr>
        <w:t xml:space="preserve"> [online], </w:t>
      </w:r>
      <w:r w:rsidRPr="00B57D0F">
        <w:rPr>
          <w:lang w:val="en-US"/>
        </w:rPr>
        <w:t>93</w:t>
      </w:r>
      <w:r w:rsidR="00B57D0F">
        <w:rPr>
          <w:lang w:val="en-US"/>
        </w:rPr>
        <w:t xml:space="preserve"> </w:t>
      </w:r>
      <w:r w:rsidRPr="00B57D0F">
        <w:rPr>
          <w:lang w:val="en-US"/>
        </w:rPr>
        <w:t>(6)</w:t>
      </w:r>
      <w:r w:rsidR="00B57D0F">
        <w:rPr>
          <w:lang w:val="en-US"/>
        </w:rPr>
        <w:t>,</w:t>
      </w:r>
      <w:r w:rsidRPr="00B57D0F">
        <w:rPr>
          <w:lang w:val="en-US"/>
        </w:rPr>
        <w:t xml:space="preserve"> 1155-1177. </w:t>
      </w:r>
      <w:r w:rsidR="00B57D0F">
        <w:rPr>
          <w:lang w:val="en-US"/>
        </w:rPr>
        <w:t xml:space="preserve">Available from: </w:t>
      </w:r>
      <w:hyperlink r:id="rId34" w:history="1">
        <w:r w:rsidR="00ED58F8" w:rsidRPr="00A66D8F">
          <w:rPr>
            <w:rStyle w:val="Hyperlink"/>
            <w:lang w:val="en-US"/>
          </w:rPr>
          <w:t>http://www.jstor.org/stable/1833178?origin=JSTOR-pdf</w:t>
        </w:r>
      </w:hyperlink>
      <w:r w:rsidR="00ED58F8">
        <w:rPr>
          <w:lang w:val="en-US"/>
        </w:rPr>
        <w:t xml:space="preserve"> [Accessed 27 July 2018].</w:t>
      </w:r>
    </w:p>
    <w:p w14:paraId="61DB073C" w14:textId="77E74C6A" w:rsidR="00BD6503" w:rsidRPr="00135A6A" w:rsidRDefault="00BD6503" w:rsidP="00B028D8">
      <w:pPr>
        <w:pStyle w:val="Bibliography"/>
        <w:rPr>
          <w:lang w:val="en-US"/>
        </w:rPr>
      </w:pPr>
      <w:proofErr w:type="gramStart"/>
      <w:r w:rsidRPr="00135A6A">
        <w:rPr>
          <w:lang w:val="en-US"/>
        </w:rPr>
        <w:t>Devereux, M., Lockwood, B.</w:t>
      </w:r>
      <w:r w:rsidR="00135A6A">
        <w:rPr>
          <w:lang w:val="en-US"/>
        </w:rPr>
        <w:t xml:space="preserve"> and</w:t>
      </w:r>
      <w:r w:rsidRPr="00135A6A">
        <w:rPr>
          <w:lang w:val="en-US"/>
        </w:rPr>
        <w:t xml:space="preserve"> Redoano, M., 2008.</w:t>
      </w:r>
      <w:proofErr w:type="gramEnd"/>
      <w:r w:rsidRPr="00135A6A">
        <w:rPr>
          <w:lang w:val="en-US"/>
        </w:rPr>
        <w:t xml:space="preserve"> Do countries compete over corporate tax rates? </w:t>
      </w:r>
      <w:r w:rsidRPr="00135A6A">
        <w:rPr>
          <w:i/>
          <w:lang w:val="en-US"/>
        </w:rPr>
        <w:t>Journal of Public Economics</w:t>
      </w:r>
      <w:r w:rsidR="00135A6A">
        <w:rPr>
          <w:lang w:val="en-US"/>
        </w:rPr>
        <w:t xml:space="preserve"> [online],</w:t>
      </w:r>
      <w:r w:rsidRPr="00135A6A">
        <w:rPr>
          <w:lang w:val="en-US"/>
        </w:rPr>
        <w:t xml:space="preserve"> 92 (5–6), 1210-1235.</w:t>
      </w:r>
      <w:r w:rsidR="00135A6A">
        <w:rPr>
          <w:lang w:val="en-US"/>
        </w:rPr>
        <w:t xml:space="preserve"> Available from: </w:t>
      </w:r>
      <w:hyperlink r:id="rId35" w:history="1">
        <w:r w:rsidR="00ED58F8" w:rsidRPr="00A66D8F">
          <w:rPr>
            <w:rStyle w:val="Hyperlink"/>
            <w:lang w:val="en-US"/>
          </w:rPr>
          <w:t>https://doi.org/10.1016/j.jpubeco.2007.09.005</w:t>
        </w:r>
      </w:hyperlink>
      <w:r w:rsidR="00ED58F8">
        <w:rPr>
          <w:lang w:val="en-US"/>
        </w:rPr>
        <w:t xml:space="preserve"> [Accessed 27 July 2018].</w:t>
      </w:r>
    </w:p>
    <w:p w14:paraId="751B969D" w14:textId="7F6B7A4A" w:rsidR="00BD6503" w:rsidRPr="00F8630C" w:rsidRDefault="00BD6503" w:rsidP="00B028D8">
      <w:pPr>
        <w:pStyle w:val="Bibliography"/>
        <w:rPr>
          <w:lang w:val="en-US"/>
        </w:rPr>
      </w:pPr>
      <w:r w:rsidRPr="00F8630C">
        <w:rPr>
          <w:lang w:val="en-US"/>
        </w:rPr>
        <w:t xml:space="preserve">Dewey, J., 1926. </w:t>
      </w:r>
      <w:proofErr w:type="gramStart"/>
      <w:r w:rsidRPr="00F8630C">
        <w:rPr>
          <w:lang w:val="en-US"/>
        </w:rPr>
        <w:t>The Historic Background of Corporate Legal Personality.</w:t>
      </w:r>
      <w:proofErr w:type="gramEnd"/>
      <w:r w:rsidRPr="00F8630C">
        <w:rPr>
          <w:lang w:val="en-US"/>
        </w:rPr>
        <w:t xml:space="preserve"> </w:t>
      </w:r>
      <w:r w:rsidRPr="00F8630C">
        <w:rPr>
          <w:i/>
          <w:lang w:val="en-US"/>
        </w:rPr>
        <w:t>Yale Law Journal</w:t>
      </w:r>
      <w:r w:rsidR="00135A6A">
        <w:rPr>
          <w:lang w:val="en-US"/>
        </w:rPr>
        <w:t xml:space="preserve"> [online],</w:t>
      </w:r>
      <w:r w:rsidRPr="00F8630C">
        <w:rPr>
          <w:lang w:val="en-US"/>
        </w:rPr>
        <w:t xml:space="preserve"> 35</w:t>
      </w:r>
      <w:r w:rsidR="00135A6A">
        <w:rPr>
          <w:lang w:val="en-US"/>
        </w:rPr>
        <w:t xml:space="preserve"> </w:t>
      </w:r>
      <w:r w:rsidRPr="00F8630C">
        <w:rPr>
          <w:lang w:val="en-US"/>
        </w:rPr>
        <w:t>(6), 655-673.</w:t>
      </w:r>
      <w:r w:rsidR="00135A6A">
        <w:rPr>
          <w:lang w:val="en-US"/>
        </w:rPr>
        <w:t xml:space="preserve"> Available from: </w:t>
      </w:r>
      <w:hyperlink r:id="rId36" w:history="1">
        <w:r w:rsidR="00ED58F8" w:rsidRPr="00A66D8F">
          <w:rPr>
            <w:rStyle w:val="Hyperlink"/>
            <w:lang w:val="en-US"/>
          </w:rPr>
          <w:t>http://rci.rutgers.edu/~tripmcc/phil/dewey-historic_background_of_corporate_legal_personality.pdf</w:t>
        </w:r>
      </w:hyperlink>
      <w:r w:rsidR="00ED58F8">
        <w:rPr>
          <w:lang w:val="en-US"/>
        </w:rPr>
        <w:t xml:space="preserve"> [Accessed 27 July 2018].</w:t>
      </w:r>
    </w:p>
    <w:p w14:paraId="1B0B86AB" w14:textId="593F53CE" w:rsidR="00BD6503" w:rsidRPr="00135A6A" w:rsidRDefault="00BD6503" w:rsidP="00B028D8">
      <w:pPr>
        <w:pStyle w:val="Bibliography"/>
        <w:rPr>
          <w:lang w:val="en-US"/>
        </w:rPr>
      </w:pPr>
      <w:r w:rsidRPr="00135A6A">
        <w:rPr>
          <w:lang w:val="en-US"/>
        </w:rPr>
        <w:t xml:space="preserve">Eberhardt, P. and Olivet, C., 2012. </w:t>
      </w:r>
      <w:r w:rsidRPr="00135A6A">
        <w:rPr>
          <w:i/>
          <w:lang w:val="en-US"/>
        </w:rPr>
        <w:t>Profiting from injustice: How law firms, arbitrators and financiers are fuelling an investment arbitration boom</w:t>
      </w:r>
      <w:r w:rsidR="00135A6A">
        <w:rPr>
          <w:lang w:val="en-US"/>
        </w:rPr>
        <w:t xml:space="preserve"> [online]. </w:t>
      </w:r>
      <w:r w:rsidRPr="00135A6A">
        <w:rPr>
          <w:lang w:val="en-US"/>
        </w:rPr>
        <w:t>Brussels/Amsterdam: Corporate Europe Observatory and the Transnational Institute.</w:t>
      </w:r>
      <w:r w:rsidR="00135A6A">
        <w:rPr>
          <w:lang w:val="en-US"/>
        </w:rPr>
        <w:t xml:space="preserve"> Available from: </w:t>
      </w:r>
      <w:hyperlink r:id="rId37" w:history="1">
        <w:r w:rsidR="00ED58F8" w:rsidRPr="00A66D8F">
          <w:rPr>
            <w:rStyle w:val="Hyperlink"/>
            <w:lang w:val="en-US"/>
          </w:rPr>
          <w:t>https://www.tni.org/files/download/profitingfrominjustice.pdf</w:t>
        </w:r>
      </w:hyperlink>
      <w:r w:rsidR="00ED58F8">
        <w:rPr>
          <w:lang w:val="en-US"/>
        </w:rPr>
        <w:t xml:space="preserve"> [Accessed 27 July 2018].</w:t>
      </w:r>
    </w:p>
    <w:p w14:paraId="64360FE5" w14:textId="6D7EE777" w:rsidR="00BD6503" w:rsidRPr="00F8630C" w:rsidRDefault="00BD6503" w:rsidP="00B028D8">
      <w:pPr>
        <w:pStyle w:val="Bibliography"/>
        <w:rPr>
          <w:lang w:val="en-US"/>
        </w:rPr>
      </w:pPr>
      <w:r w:rsidRPr="00F8630C">
        <w:rPr>
          <w:lang w:val="en-US"/>
        </w:rPr>
        <w:t xml:space="preserve">Edwards, J., 1984. </w:t>
      </w:r>
      <w:proofErr w:type="gramStart"/>
      <w:r w:rsidRPr="00F8630C">
        <w:rPr>
          <w:lang w:val="en-US"/>
        </w:rPr>
        <w:t>The 1984 Corporation Tax Reform.</w:t>
      </w:r>
      <w:proofErr w:type="gramEnd"/>
      <w:r w:rsidRPr="00F8630C">
        <w:rPr>
          <w:lang w:val="en-US"/>
        </w:rPr>
        <w:t xml:space="preserve"> </w:t>
      </w:r>
      <w:r w:rsidRPr="00F8630C">
        <w:rPr>
          <w:i/>
          <w:lang w:val="en-US"/>
        </w:rPr>
        <w:t>Fiscal Studies</w:t>
      </w:r>
      <w:r w:rsidR="00135A6A">
        <w:rPr>
          <w:lang w:val="en-US"/>
        </w:rPr>
        <w:t xml:space="preserve"> [online], </w:t>
      </w:r>
      <w:r w:rsidRPr="00F8630C">
        <w:rPr>
          <w:lang w:val="en-US"/>
        </w:rPr>
        <w:t>5</w:t>
      </w:r>
      <w:r w:rsidR="00135A6A">
        <w:rPr>
          <w:lang w:val="en-US"/>
        </w:rPr>
        <w:t xml:space="preserve"> </w:t>
      </w:r>
      <w:r w:rsidRPr="00F8630C">
        <w:rPr>
          <w:lang w:val="en-US"/>
        </w:rPr>
        <w:t>(2), 30-44.</w:t>
      </w:r>
      <w:r w:rsidR="00135A6A">
        <w:rPr>
          <w:lang w:val="en-US"/>
        </w:rPr>
        <w:t xml:space="preserve"> Available from: </w:t>
      </w:r>
      <w:hyperlink r:id="rId38" w:history="1">
        <w:r w:rsidR="00ED58F8" w:rsidRPr="00A66D8F">
          <w:rPr>
            <w:rStyle w:val="Hyperlink"/>
            <w:lang w:val="en-US"/>
          </w:rPr>
          <w:t>https://doi.org/10.1111/j.1475-5890.1984.tb00385.x</w:t>
        </w:r>
      </w:hyperlink>
      <w:r w:rsidR="00ED58F8">
        <w:rPr>
          <w:lang w:val="en-US"/>
        </w:rPr>
        <w:t xml:space="preserve"> [Accessed 27 July 2018].</w:t>
      </w:r>
    </w:p>
    <w:p w14:paraId="4374BB2C" w14:textId="0942E97D" w:rsidR="00BD6503" w:rsidRPr="00F8630C" w:rsidRDefault="00BD6503">
      <w:pPr>
        <w:pStyle w:val="Bibliography"/>
        <w:rPr>
          <w:lang w:val="en-US"/>
        </w:rPr>
      </w:pPr>
      <w:proofErr w:type="gramStart"/>
      <w:r w:rsidRPr="00F8630C">
        <w:rPr>
          <w:lang w:val="en-US"/>
        </w:rPr>
        <w:t>Emberland, M., 2006.</w:t>
      </w:r>
      <w:proofErr w:type="gramEnd"/>
      <w:r w:rsidRPr="00F8630C">
        <w:rPr>
          <w:lang w:val="en-US"/>
        </w:rPr>
        <w:t xml:space="preserve"> </w:t>
      </w:r>
      <w:r w:rsidRPr="00F8630C">
        <w:rPr>
          <w:i/>
          <w:lang w:val="en-US"/>
        </w:rPr>
        <w:t>The Human Rights of Companies: Exploring the Structure of ECHR Protection</w:t>
      </w:r>
      <w:r w:rsidRPr="00F8630C">
        <w:rPr>
          <w:lang w:val="en-US"/>
        </w:rPr>
        <w:t xml:space="preserve">. </w:t>
      </w:r>
      <w:proofErr w:type="gramStart"/>
      <w:r w:rsidRPr="00F8630C">
        <w:rPr>
          <w:lang w:val="en-US"/>
        </w:rPr>
        <w:t>Oxford University Press.</w:t>
      </w:r>
      <w:proofErr w:type="gramEnd"/>
    </w:p>
    <w:p w14:paraId="727CAC13" w14:textId="77777777" w:rsidR="001D0BBF" w:rsidRPr="00F8630C" w:rsidRDefault="001D0BBF" w:rsidP="001D0BBF">
      <w:pPr>
        <w:pStyle w:val="Bibliography"/>
        <w:rPr>
          <w:lang w:val="en-GB"/>
        </w:rPr>
      </w:pPr>
      <w:proofErr w:type="gramStart"/>
      <w:r w:rsidRPr="00F8630C">
        <w:rPr>
          <w:lang w:val="en-GB"/>
        </w:rPr>
        <w:t>Farand, C., 2016.</w:t>
      </w:r>
      <w:proofErr w:type="gramEnd"/>
      <w:r w:rsidRPr="00F8630C">
        <w:rPr>
          <w:lang w:val="en-GB"/>
        </w:rPr>
        <w:t xml:space="preserve"> Six British multinationals 'did not pay any UK corporation tax in 2014'. </w:t>
      </w:r>
      <w:r w:rsidRPr="00CF3106">
        <w:rPr>
          <w:i/>
          <w:lang w:val="en-GB"/>
        </w:rPr>
        <w:t>The Independent</w:t>
      </w:r>
      <w:r w:rsidRPr="00F8630C">
        <w:rPr>
          <w:lang w:val="en-GB"/>
        </w:rPr>
        <w:t xml:space="preserve"> [online], 31 January. Available from: </w:t>
      </w:r>
      <w:hyperlink r:id="rId39" w:history="1">
        <w:r w:rsidRPr="00F8630C">
          <w:rPr>
            <w:rStyle w:val="Hyperlink"/>
            <w:lang w:val="en-GB"/>
          </w:rPr>
          <w:t>https://www.independent.co.uk/news/uk/six-british-multinationals-including-shell-vodafone-lloyds-banking-group-did-not-paid-any-a6844676.html</w:t>
        </w:r>
      </w:hyperlink>
      <w:r>
        <w:rPr>
          <w:lang w:val="en-GB"/>
        </w:rPr>
        <w:t xml:space="preserve"> </w:t>
      </w:r>
      <w:r>
        <w:rPr>
          <w:lang w:val="en-US"/>
        </w:rPr>
        <w:t>[Accessed 27 July 2018].</w:t>
      </w:r>
    </w:p>
    <w:p w14:paraId="703D708E" w14:textId="670416CE" w:rsidR="00BD6503" w:rsidRPr="0010146A" w:rsidRDefault="00BD6503" w:rsidP="00B028D8">
      <w:pPr>
        <w:pStyle w:val="Bibliography"/>
        <w:rPr>
          <w:lang w:val="en-US"/>
        </w:rPr>
      </w:pPr>
      <w:r w:rsidRPr="0010146A">
        <w:rPr>
          <w:lang w:val="en-US"/>
        </w:rPr>
        <w:t>Farnsworth, K., 2015.</w:t>
      </w:r>
      <w:r w:rsidR="005A3FD3" w:rsidRPr="0010146A">
        <w:rPr>
          <w:lang w:val="en-US"/>
        </w:rPr>
        <w:t xml:space="preserve"> </w:t>
      </w:r>
      <w:r w:rsidRPr="0010146A">
        <w:rPr>
          <w:i/>
          <w:lang w:val="en-US"/>
        </w:rPr>
        <w:t>The British Corporate Welfare State: public provision for private business, SPERI Paper no. 24</w:t>
      </w:r>
      <w:r w:rsidR="0010146A">
        <w:rPr>
          <w:lang w:val="en-US"/>
        </w:rPr>
        <w:t xml:space="preserve"> [online]. </w:t>
      </w:r>
      <w:r w:rsidRPr="0010146A">
        <w:rPr>
          <w:lang w:val="en-US"/>
        </w:rPr>
        <w:t>Sheffield Political Economy Research Institute.</w:t>
      </w:r>
      <w:r w:rsidR="0010146A">
        <w:rPr>
          <w:lang w:val="en-US"/>
        </w:rPr>
        <w:t xml:space="preserve"> Available from: </w:t>
      </w:r>
      <w:hyperlink r:id="rId40" w:history="1">
        <w:r w:rsidR="00ED58F8" w:rsidRPr="00A66D8F">
          <w:rPr>
            <w:rStyle w:val="Hyperlink"/>
            <w:lang w:val="en-US"/>
          </w:rPr>
          <w:t>http://speri.dept.shef.ac.uk/wp-content/uploads/2015/07/SPERI-Paper-24-The-British-Corporate-Welfare-State.pdf</w:t>
        </w:r>
      </w:hyperlink>
      <w:r w:rsidR="00ED58F8">
        <w:rPr>
          <w:lang w:val="en-US"/>
        </w:rPr>
        <w:t xml:space="preserve"> [Accessed 27 July 2018].</w:t>
      </w:r>
    </w:p>
    <w:p w14:paraId="18B13695" w14:textId="22EBD818" w:rsidR="00BD6503" w:rsidRPr="00F8630C" w:rsidRDefault="00BD6503" w:rsidP="00B028D8">
      <w:pPr>
        <w:pStyle w:val="Bibliography"/>
        <w:rPr>
          <w:lang w:val="en-US"/>
        </w:rPr>
      </w:pPr>
      <w:r w:rsidRPr="00F8630C">
        <w:rPr>
          <w:lang w:val="en-US"/>
        </w:rPr>
        <w:t xml:space="preserve">Ferguson, J., 2005. Seeing Like </w:t>
      </w:r>
      <w:proofErr w:type="gramStart"/>
      <w:r w:rsidRPr="00F8630C">
        <w:rPr>
          <w:lang w:val="en-US"/>
        </w:rPr>
        <w:t>an Oil</w:t>
      </w:r>
      <w:proofErr w:type="gramEnd"/>
      <w:r w:rsidRPr="00F8630C">
        <w:rPr>
          <w:lang w:val="en-US"/>
        </w:rPr>
        <w:t xml:space="preserve"> Company: Space, Security, and Global Capital in Neoliberal Africa. </w:t>
      </w:r>
      <w:r w:rsidRPr="00F8630C">
        <w:rPr>
          <w:i/>
          <w:lang w:val="en-US"/>
        </w:rPr>
        <w:t>American Anthropologist</w:t>
      </w:r>
      <w:r w:rsidR="0010146A">
        <w:rPr>
          <w:lang w:val="en-US"/>
        </w:rPr>
        <w:t xml:space="preserve"> [online], </w:t>
      </w:r>
      <w:r w:rsidRPr="00F8630C">
        <w:rPr>
          <w:lang w:val="en-US"/>
        </w:rPr>
        <w:t>107</w:t>
      </w:r>
      <w:r w:rsidR="0010146A">
        <w:rPr>
          <w:lang w:val="en-US"/>
        </w:rPr>
        <w:t xml:space="preserve"> </w:t>
      </w:r>
      <w:r w:rsidRPr="00F8630C">
        <w:rPr>
          <w:lang w:val="en-US"/>
        </w:rPr>
        <w:t>(3), 377-382.</w:t>
      </w:r>
      <w:r w:rsidR="0010146A">
        <w:rPr>
          <w:lang w:val="en-US"/>
        </w:rPr>
        <w:t xml:space="preserve"> Available from: </w:t>
      </w:r>
      <w:hyperlink r:id="rId41" w:history="1">
        <w:r w:rsidR="00ED58F8" w:rsidRPr="00A66D8F">
          <w:rPr>
            <w:rStyle w:val="Hyperlink"/>
            <w:lang w:val="en-US"/>
          </w:rPr>
          <w:t>https://anthrosource.onlinelibrary.wiley.com/doi/epdf/10.1525/aa.2005.107.3.377</w:t>
        </w:r>
      </w:hyperlink>
      <w:r w:rsidR="00ED58F8">
        <w:rPr>
          <w:lang w:val="en-US"/>
        </w:rPr>
        <w:t xml:space="preserve"> [Accessed 27 July 2018].</w:t>
      </w:r>
    </w:p>
    <w:p w14:paraId="6AC1B7E4" w14:textId="4B4C3407" w:rsidR="00BD6503" w:rsidRPr="00F8630C" w:rsidRDefault="00BD6503" w:rsidP="00B028D8">
      <w:pPr>
        <w:pStyle w:val="Bibliography"/>
        <w:rPr>
          <w:lang w:val="en-US"/>
        </w:rPr>
      </w:pPr>
      <w:r w:rsidRPr="00F8630C">
        <w:rPr>
          <w:lang w:val="en-US"/>
        </w:rPr>
        <w:t xml:space="preserve">Foreign and Commonwealth Office, </w:t>
      </w:r>
      <w:r w:rsidR="0010146A">
        <w:rPr>
          <w:lang w:val="en-US"/>
        </w:rPr>
        <w:t>2011</w:t>
      </w:r>
      <w:r w:rsidRPr="00F8630C">
        <w:rPr>
          <w:lang w:val="en-US"/>
        </w:rPr>
        <w:t xml:space="preserve">. </w:t>
      </w:r>
      <w:r w:rsidRPr="00F8630C">
        <w:rPr>
          <w:i/>
          <w:lang w:val="en-US"/>
        </w:rPr>
        <w:t>A Charter for Business</w:t>
      </w:r>
      <w:r w:rsidR="0010146A">
        <w:rPr>
          <w:lang w:val="en-US"/>
        </w:rPr>
        <w:t xml:space="preserve"> [online].</w:t>
      </w:r>
      <w:r w:rsidRPr="00F8630C">
        <w:rPr>
          <w:lang w:val="en-US"/>
        </w:rPr>
        <w:t xml:space="preserve"> London: Foreign and Commonwealth Office</w:t>
      </w:r>
      <w:r w:rsidR="0010146A">
        <w:rPr>
          <w:lang w:val="en-US"/>
        </w:rPr>
        <w:t xml:space="preserve">, 1 February. Available from: </w:t>
      </w:r>
      <w:hyperlink r:id="rId42" w:history="1">
        <w:r w:rsidR="00ED58F8" w:rsidRPr="00A66D8F">
          <w:rPr>
            <w:rStyle w:val="Hyperlink"/>
            <w:lang w:val="en-US"/>
          </w:rPr>
          <w:t>https://assets.publishing.service.gov.uk/government/uploads/system/uploads/attachment_data/file/35438/business-charter.pdf</w:t>
        </w:r>
      </w:hyperlink>
      <w:r w:rsidR="00ED58F8">
        <w:rPr>
          <w:lang w:val="en-US"/>
        </w:rPr>
        <w:t xml:space="preserve"> [Accessed 27 July 2018].</w:t>
      </w:r>
    </w:p>
    <w:p w14:paraId="5814719D" w14:textId="5CBA869B" w:rsidR="00BD6503" w:rsidRPr="00F8630C" w:rsidRDefault="00BD6503" w:rsidP="00B028D8">
      <w:pPr>
        <w:pStyle w:val="Bibliography"/>
        <w:rPr>
          <w:lang w:val="en-US"/>
        </w:rPr>
      </w:pPr>
      <w:proofErr w:type="gramStart"/>
      <w:r w:rsidRPr="00F8630C">
        <w:rPr>
          <w:lang w:val="en-US"/>
        </w:rPr>
        <w:t>Francis, D., 1999.</w:t>
      </w:r>
      <w:proofErr w:type="gramEnd"/>
      <w:r w:rsidRPr="00F8630C">
        <w:rPr>
          <w:lang w:val="en-US"/>
        </w:rPr>
        <w:t xml:space="preserve"> Mercenary Intervention in Sierra Leone: Providing National Security or International Exploitation? </w:t>
      </w:r>
      <w:proofErr w:type="gramStart"/>
      <w:r w:rsidRPr="00CF3106">
        <w:rPr>
          <w:i/>
          <w:lang w:val="en-US"/>
        </w:rPr>
        <w:t>Third World Quarterly</w:t>
      </w:r>
      <w:r w:rsidRPr="0010146A">
        <w:rPr>
          <w:lang w:val="en-US"/>
        </w:rPr>
        <w:t>, 20</w:t>
      </w:r>
      <w:r w:rsidR="0010146A">
        <w:rPr>
          <w:lang w:val="en-US"/>
        </w:rPr>
        <w:t xml:space="preserve"> </w:t>
      </w:r>
      <w:r w:rsidRPr="00F8630C">
        <w:rPr>
          <w:lang w:val="en-US"/>
        </w:rPr>
        <w:t>(2), 319-338.</w:t>
      </w:r>
      <w:proofErr w:type="gramEnd"/>
    </w:p>
    <w:p w14:paraId="708B8917" w14:textId="4574D04D" w:rsidR="00BD6503" w:rsidRPr="0010146A" w:rsidRDefault="00BD6503" w:rsidP="00B028D8">
      <w:pPr>
        <w:pStyle w:val="Bibliography"/>
        <w:rPr>
          <w:lang w:val="en-US"/>
        </w:rPr>
      </w:pPr>
      <w:proofErr w:type="gramStart"/>
      <w:r w:rsidRPr="0010146A">
        <w:rPr>
          <w:lang w:val="en-US"/>
        </w:rPr>
        <w:lastRenderedPageBreak/>
        <w:t>Gaffney, M., 2018.</w:t>
      </w:r>
      <w:proofErr w:type="gramEnd"/>
      <w:r w:rsidR="005A3FD3" w:rsidRPr="0010146A">
        <w:rPr>
          <w:lang w:val="en-US"/>
        </w:rPr>
        <w:t xml:space="preserve"> </w:t>
      </w:r>
      <w:r w:rsidRPr="0010146A">
        <w:rPr>
          <w:lang w:val="en-US"/>
        </w:rPr>
        <w:t xml:space="preserve">Corporate Power and Expansive U.S. Military Policy. </w:t>
      </w:r>
      <w:r w:rsidRPr="0010146A">
        <w:rPr>
          <w:i/>
          <w:lang w:val="en-US"/>
        </w:rPr>
        <w:t>American Journal of Economics and Sociology</w:t>
      </w:r>
      <w:r w:rsidR="0010146A">
        <w:rPr>
          <w:lang w:val="en-US"/>
        </w:rPr>
        <w:t xml:space="preserve"> [online],</w:t>
      </w:r>
      <w:r w:rsidRPr="0010146A">
        <w:rPr>
          <w:lang w:val="en-US"/>
        </w:rPr>
        <w:t xml:space="preserve"> 77</w:t>
      </w:r>
      <w:r w:rsidR="0010146A">
        <w:rPr>
          <w:lang w:val="en-US"/>
        </w:rPr>
        <w:t xml:space="preserve"> </w:t>
      </w:r>
      <w:r w:rsidRPr="0010146A">
        <w:rPr>
          <w:lang w:val="en-US"/>
        </w:rPr>
        <w:t>(2), 331-347.</w:t>
      </w:r>
      <w:r w:rsidR="0010146A">
        <w:rPr>
          <w:lang w:val="en-US"/>
        </w:rPr>
        <w:t xml:space="preserve"> Available from: </w:t>
      </w:r>
      <w:hyperlink r:id="rId43" w:history="1">
        <w:r w:rsidR="00ED58F8" w:rsidRPr="00A66D8F">
          <w:rPr>
            <w:rStyle w:val="Hyperlink"/>
            <w:lang w:val="en-US"/>
          </w:rPr>
          <w:t>https://doi.org/10.1111/ajes.12222</w:t>
        </w:r>
      </w:hyperlink>
      <w:r w:rsidR="00ED58F8">
        <w:rPr>
          <w:lang w:val="en-US"/>
        </w:rPr>
        <w:t xml:space="preserve"> [Accessed 27 July 2018].</w:t>
      </w:r>
    </w:p>
    <w:p w14:paraId="33E6908F" w14:textId="727EA829" w:rsidR="00BD6503" w:rsidRPr="003D0B74" w:rsidRDefault="00BD6503" w:rsidP="00B028D8">
      <w:pPr>
        <w:pStyle w:val="Bibliography"/>
        <w:rPr>
          <w:lang w:val="en-US"/>
        </w:rPr>
      </w:pPr>
      <w:r w:rsidRPr="003D0B74">
        <w:rPr>
          <w:lang w:val="en-US"/>
        </w:rPr>
        <w:t xml:space="preserve">Glasbeek, H., 2017. </w:t>
      </w:r>
      <w:r w:rsidRPr="003D0B74">
        <w:rPr>
          <w:i/>
          <w:lang w:val="en-US"/>
        </w:rPr>
        <w:t>Class Privilege: how law shelters shareholders and coddles capitalism</w:t>
      </w:r>
      <w:r w:rsidRPr="003D0B74">
        <w:rPr>
          <w:lang w:val="en-US"/>
        </w:rPr>
        <w:t>. Toronto</w:t>
      </w:r>
      <w:r w:rsidR="003D0B74">
        <w:rPr>
          <w:lang w:val="en-US"/>
        </w:rPr>
        <w:t>, ON</w:t>
      </w:r>
      <w:r w:rsidRPr="003D0B74">
        <w:rPr>
          <w:lang w:val="en-US"/>
        </w:rPr>
        <w:t>: Between the Lines.</w:t>
      </w:r>
    </w:p>
    <w:p w14:paraId="74521FA2" w14:textId="08CA7B2F" w:rsidR="00BD6503" w:rsidRPr="00F8630C" w:rsidRDefault="00BD6503" w:rsidP="00B028D8">
      <w:pPr>
        <w:pStyle w:val="Bibliography"/>
        <w:rPr>
          <w:lang w:val="en-US"/>
        </w:rPr>
      </w:pPr>
      <w:r w:rsidRPr="003D0B74">
        <w:rPr>
          <w:lang w:val="en-US"/>
        </w:rPr>
        <w:t>Glasbeek, H., 2012. Contortions of Corporate Law: James Hardie reveals cracks in liberal law</w:t>
      </w:r>
      <w:r w:rsidR="00A90CAE">
        <w:rPr>
          <w:lang w:val="en-US"/>
        </w:rPr>
        <w:t>’</w:t>
      </w:r>
      <w:r w:rsidRPr="00F8630C">
        <w:rPr>
          <w:lang w:val="en-US"/>
        </w:rPr>
        <w:t xml:space="preserve">s armour. </w:t>
      </w:r>
      <w:proofErr w:type="gramStart"/>
      <w:r w:rsidRPr="00F8630C">
        <w:rPr>
          <w:i/>
          <w:lang w:val="en-US"/>
        </w:rPr>
        <w:t>Australian Journal of Corporate Law</w:t>
      </w:r>
      <w:r w:rsidRPr="00F8630C">
        <w:rPr>
          <w:lang w:val="en-US"/>
        </w:rPr>
        <w:t>, 27, 132–168.</w:t>
      </w:r>
      <w:proofErr w:type="gramEnd"/>
    </w:p>
    <w:p w14:paraId="124B1D42" w14:textId="6DF9096F" w:rsidR="00BD6503" w:rsidRPr="003D0B74" w:rsidRDefault="00BD6503" w:rsidP="00B028D8">
      <w:pPr>
        <w:pStyle w:val="Bibliography"/>
        <w:rPr>
          <w:lang w:val="en-US"/>
        </w:rPr>
      </w:pPr>
      <w:r w:rsidRPr="003D0B74">
        <w:rPr>
          <w:lang w:val="en-US"/>
        </w:rPr>
        <w:t xml:space="preserve">Gravelle, J., 2009. Tax Havens: International Tax Avoidance and Evasion. </w:t>
      </w:r>
      <w:proofErr w:type="gramStart"/>
      <w:r w:rsidRPr="003D0B74">
        <w:rPr>
          <w:i/>
          <w:lang w:val="en-US"/>
        </w:rPr>
        <w:t>National Tax Journal</w:t>
      </w:r>
      <w:r w:rsidRPr="003D0B74">
        <w:rPr>
          <w:lang w:val="en-US"/>
        </w:rPr>
        <w:t>, 62 (4)</w:t>
      </w:r>
      <w:r w:rsidR="003D0B74">
        <w:rPr>
          <w:lang w:val="en-US"/>
        </w:rPr>
        <w:t>,</w:t>
      </w:r>
      <w:r w:rsidRPr="003D0B74">
        <w:rPr>
          <w:lang w:val="en-US"/>
        </w:rPr>
        <w:t xml:space="preserve"> 727-753.</w:t>
      </w:r>
      <w:proofErr w:type="gramEnd"/>
      <w:r w:rsidRPr="003D0B74">
        <w:rPr>
          <w:lang w:val="en-US"/>
        </w:rPr>
        <w:t xml:space="preserve"> </w:t>
      </w:r>
    </w:p>
    <w:p w14:paraId="42AF61D6" w14:textId="0AFD6CDC" w:rsidR="00BD6503" w:rsidRPr="00F8630C" w:rsidRDefault="00BD6503" w:rsidP="00B028D8">
      <w:pPr>
        <w:pStyle w:val="Bibliography"/>
        <w:rPr>
          <w:lang w:val="en-US"/>
        </w:rPr>
      </w:pPr>
      <w:r w:rsidRPr="00F8630C">
        <w:rPr>
          <w:lang w:val="en-US"/>
        </w:rPr>
        <w:t xml:space="preserve">Hawkins, B. and Holden, C., 2016. </w:t>
      </w:r>
      <w:proofErr w:type="gramStart"/>
      <w:r w:rsidRPr="00F8630C">
        <w:rPr>
          <w:lang w:val="en-US"/>
        </w:rPr>
        <w:t>A Corporate Veto on Health Policy?</w:t>
      </w:r>
      <w:proofErr w:type="gramEnd"/>
      <w:r w:rsidRPr="00F8630C">
        <w:rPr>
          <w:lang w:val="en-US"/>
        </w:rPr>
        <w:t xml:space="preserve"> Global Constitutionalism and Investor-State Dispute Settlement</w:t>
      </w:r>
      <w:r w:rsidR="003D0B74">
        <w:rPr>
          <w:lang w:val="en-US"/>
        </w:rPr>
        <w:t xml:space="preserve">. </w:t>
      </w:r>
      <w:r w:rsidRPr="00F8630C">
        <w:rPr>
          <w:i/>
          <w:lang w:val="en-US"/>
        </w:rPr>
        <w:t>Journal of Health Politics, Policy and Law</w:t>
      </w:r>
      <w:r w:rsidR="003D0B74">
        <w:rPr>
          <w:lang w:val="en-US"/>
        </w:rPr>
        <w:t xml:space="preserve"> [online],</w:t>
      </w:r>
      <w:r w:rsidRPr="00F8630C">
        <w:rPr>
          <w:lang w:val="en-US"/>
        </w:rPr>
        <w:t xml:space="preserve"> 41</w:t>
      </w:r>
      <w:r w:rsidR="003D0B74">
        <w:rPr>
          <w:lang w:val="en-US"/>
        </w:rPr>
        <w:t xml:space="preserve"> </w:t>
      </w:r>
      <w:r w:rsidRPr="00F8630C">
        <w:rPr>
          <w:lang w:val="en-US"/>
        </w:rPr>
        <w:t xml:space="preserve">(5), 969-995. </w:t>
      </w:r>
      <w:r w:rsidR="003D0B74">
        <w:rPr>
          <w:lang w:val="en-US"/>
        </w:rPr>
        <w:t xml:space="preserve">Available from: </w:t>
      </w:r>
      <w:hyperlink r:id="rId44" w:history="1">
        <w:r w:rsidR="00ED58F8" w:rsidRPr="00A66D8F">
          <w:rPr>
            <w:rStyle w:val="Hyperlink"/>
            <w:lang w:val="en-US"/>
          </w:rPr>
          <w:t>https://dx.doi.org/10.1215%2F03616878-3632203</w:t>
        </w:r>
      </w:hyperlink>
      <w:r w:rsidR="00ED58F8">
        <w:rPr>
          <w:lang w:val="en-US"/>
        </w:rPr>
        <w:t xml:space="preserve"> [Accessed 27 July 2018].</w:t>
      </w:r>
    </w:p>
    <w:p w14:paraId="5AFA0A0D" w14:textId="3745EF57" w:rsidR="00BD6503" w:rsidRPr="003D0B74" w:rsidRDefault="00BD6503" w:rsidP="00B028D8">
      <w:pPr>
        <w:pStyle w:val="Bibliography"/>
        <w:rPr>
          <w:lang w:val="en-US"/>
        </w:rPr>
      </w:pPr>
      <w:proofErr w:type="gramStart"/>
      <w:r w:rsidRPr="003D0B74">
        <w:rPr>
          <w:lang w:val="en-US"/>
        </w:rPr>
        <w:t>Hilson, C., 2016.</w:t>
      </w:r>
      <w:proofErr w:type="gramEnd"/>
      <w:r w:rsidRPr="003D0B74">
        <w:rPr>
          <w:lang w:val="en-US"/>
        </w:rPr>
        <w:t xml:space="preserve"> Environmental SLAPPs in the UK: threat or opportunity? </w:t>
      </w:r>
      <w:r w:rsidRPr="003D0B74">
        <w:rPr>
          <w:i/>
          <w:lang w:val="en-US"/>
        </w:rPr>
        <w:t>Environmental Politics</w:t>
      </w:r>
      <w:r w:rsidR="003D0B74">
        <w:rPr>
          <w:lang w:val="en-US"/>
        </w:rPr>
        <w:t xml:space="preserve"> [online], </w:t>
      </w:r>
      <w:r w:rsidRPr="003D0B74">
        <w:rPr>
          <w:lang w:val="en-US"/>
        </w:rPr>
        <w:t>25</w:t>
      </w:r>
      <w:r w:rsidR="003D0B74">
        <w:rPr>
          <w:lang w:val="en-US"/>
        </w:rPr>
        <w:t xml:space="preserve"> </w:t>
      </w:r>
      <w:r w:rsidRPr="003D0B74">
        <w:rPr>
          <w:lang w:val="en-US"/>
        </w:rPr>
        <w:t>(2), 248-267.</w:t>
      </w:r>
      <w:r w:rsidR="003D0B74">
        <w:rPr>
          <w:lang w:val="en-US"/>
        </w:rPr>
        <w:t xml:space="preserve"> Available from: </w:t>
      </w:r>
      <w:hyperlink r:id="rId45" w:history="1">
        <w:r w:rsidR="00ED58F8" w:rsidRPr="00A66D8F">
          <w:rPr>
            <w:rStyle w:val="Hyperlink"/>
            <w:lang w:val="en-US"/>
          </w:rPr>
          <w:t>https://doi.org/10.1080/09644016.2015.1105176</w:t>
        </w:r>
      </w:hyperlink>
      <w:r w:rsidR="00ED58F8">
        <w:rPr>
          <w:lang w:val="en-US"/>
        </w:rPr>
        <w:t xml:space="preserve"> [Accessed 27 July 2018].</w:t>
      </w:r>
    </w:p>
    <w:p w14:paraId="1EC38465" w14:textId="10FBB805" w:rsidR="00BD6503" w:rsidRPr="003D0B74" w:rsidRDefault="00BD6503" w:rsidP="00B028D8">
      <w:pPr>
        <w:pStyle w:val="Bibliography"/>
        <w:rPr>
          <w:lang w:val="en-US"/>
        </w:rPr>
      </w:pPr>
      <w:proofErr w:type="gramStart"/>
      <w:r w:rsidRPr="003D0B74">
        <w:rPr>
          <w:lang w:val="en-US"/>
        </w:rPr>
        <w:t>Ikelegbe, A., 2005.</w:t>
      </w:r>
      <w:proofErr w:type="gramEnd"/>
      <w:r w:rsidRPr="003D0B74">
        <w:rPr>
          <w:lang w:val="en-US"/>
        </w:rPr>
        <w:t xml:space="preserve"> </w:t>
      </w:r>
      <w:proofErr w:type="gramStart"/>
      <w:r w:rsidRPr="003D0B74">
        <w:rPr>
          <w:lang w:val="en-US"/>
        </w:rPr>
        <w:t>The Economy of Conflict in the Oil Rich Niger Delta Region of Nigeria.</w:t>
      </w:r>
      <w:proofErr w:type="gramEnd"/>
      <w:r w:rsidRPr="003D0B74">
        <w:rPr>
          <w:lang w:val="en-US"/>
        </w:rPr>
        <w:t xml:space="preserve"> </w:t>
      </w:r>
      <w:r w:rsidRPr="003D0B74">
        <w:rPr>
          <w:i/>
          <w:lang w:val="en-US"/>
        </w:rPr>
        <w:t>Nordic Journal of African Studies</w:t>
      </w:r>
      <w:r w:rsidR="002B1C0A">
        <w:rPr>
          <w:lang w:val="en-US"/>
        </w:rPr>
        <w:t xml:space="preserve"> [online], </w:t>
      </w:r>
      <w:r w:rsidRPr="003D0B74">
        <w:rPr>
          <w:lang w:val="en-US"/>
        </w:rPr>
        <w:t>14</w:t>
      </w:r>
      <w:r w:rsidR="003D0B74">
        <w:rPr>
          <w:lang w:val="en-US"/>
        </w:rPr>
        <w:t xml:space="preserve"> </w:t>
      </w:r>
      <w:r w:rsidRPr="003D0B74">
        <w:rPr>
          <w:lang w:val="en-US"/>
        </w:rPr>
        <w:t>(2), 208–234.</w:t>
      </w:r>
      <w:r w:rsidR="003D0B74">
        <w:rPr>
          <w:lang w:val="en-US"/>
        </w:rPr>
        <w:t xml:space="preserve"> </w:t>
      </w:r>
      <w:r w:rsidR="002B1C0A">
        <w:rPr>
          <w:lang w:val="en-US"/>
        </w:rPr>
        <w:t xml:space="preserve">Available from: </w:t>
      </w:r>
      <w:hyperlink r:id="rId46" w:history="1">
        <w:r w:rsidR="00ED58F8" w:rsidRPr="00A66D8F">
          <w:rPr>
            <w:rStyle w:val="Hyperlink"/>
            <w:lang w:val="en-US"/>
          </w:rPr>
          <w:t>http://www.njas.helsinki.fi/pdf-files/vol14num2/ikelegbe.pdf</w:t>
        </w:r>
      </w:hyperlink>
      <w:r w:rsidR="00ED58F8">
        <w:rPr>
          <w:lang w:val="en-US"/>
        </w:rPr>
        <w:t xml:space="preserve"> [Accessed 27 July 2018].</w:t>
      </w:r>
    </w:p>
    <w:p w14:paraId="11BF873C" w14:textId="4ED97016" w:rsidR="00BD6503" w:rsidRPr="00F8630C" w:rsidRDefault="00BD6503" w:rsidP="00B028D8">
      <w:pPr>
        <w:pStyle w:val="Bibliography"/>
        <w:rPr>
          <w:lang w:val="en-US"/>
        </w:rPr>
      </w:pPr>
      <w:proofErr w:type="gramStart"/>
      <w:r w:rsidRPr="00F8630C">
        <w:rPr>
          <w:lang w:val="en-US"/>
        </w:rPr>
        <w:t>International Labour Office Bureau for Workers</w:t>
      </w:r>
      <w:r w:rsidR="007D1F16" w:rsidRPr="00CF3106">
        <w:rPr>
          <w:lang w:val="en-US"/>
        </w:rPr>
        <w:t>’</w:t>
      </w:r>
      <w:r w:rsidRPr="00F8630C">
        <w:rPr>
          <w:lang w:val="en-US"/>
        </w:rPr>
        <w:t xml:space="preserve"> Activities, 2014.</w:t>
      </w:r>
      <w:proofErr w:type="gramEnd"/>
      <w:r w:rsidRPr="00F8630C">
        <w:rPr>
          <w:lang w:val="en-US"/>
        </w:rPr>
        <w:t xml:space="preserve"> </w:t>
      </w:r>
      <w:r w:rsidRPr="00F8630C">
        <w:rPr>
          <w:i/>
          <w:lang w:val="en-US"/>
        </w:rPr>
        <w:t>Trade Union Manual on Export Processing Zones</w:t>
      </w:r>
      <w:r w:rsidR="002B1C0A">
        <w:rPr>
          <w:lang w:val="en-US"/>
        </w:rPr>
        <w:t xml:space="preserve"> [online].</w:t>
      </w:r>
      <w:r w:rsidRPr="00F8630C">
        <w:rPr>
          <w:lang w:val="en-US"/>
        </w:rPr>
        <w:t xml:space="preserve"> Geneva: </w:t>
      </w:r>
      <w:r w:rsidR="002B1C0A">
        <w:rPr>
          <w:lang w:val="en-US"/>
        </w:rPr>
        <w:t>International Labour Organization</w:t>
      </w:r>
      <w:r w:rsidRPr="00F8630C">
        <w:rPr>
          <w:lang w:val="en-US"/>
        </w:rPr>
        <w:t>.</w:t>
      </w:r>
      <w:r w:rsidR="002B1C0A">
        <w:rPr>
          <w:lang w:val="en-US"/>
        </w:rPr>
        <w:t xml:space="preserve"> Available from: </w:t>
      </w:r>
      <w:hyperlink r:id="rId47" w:history="1">
        <w:r w:rsidR="00ED58F8" w:rsidRPr="00A66D8F">
          <w:rPr>
            <w:rStyle w:val="Hyperlink"/>
            <w:lang w:val="en-US"/>
          </w:rPr>
          <w:t>https://www.ilo.org/wcmsp5/groups/public/---ed_dialogue/---actrav/documents/publication/wcms_324632.pdf</w:t>
        </w:r>
      </w:hyperlink>
      <w:r w:rsidR="00ED58F8">
        <w:rPr>
          <w:lang w:val="en-US"/>
        </w:rPr>
        <w:t xml:space="preserve"> [Accessed 27 July 2018].</w:t>
      </w:r>
    </w:p>
    <w:p w14:paraId="05DE4C85" w14:textId="77777777" w:rsidR="001D0BBF" w:rsidRDefault="001D0BBF" w:rsidP="001D0BBF">
      <w:pPr>
        <w:pStyle w:val="Bibliography"/>
        <w:rPr>
          <w:lang w:val="en-US"/>
        </w:rPr>
      </w:pPr>
      <w:proofErr w:type="gramStart"/>
      <w:r w:rsidRPr="00F8630C">
        <w:rPr>
          <w:lang w:val="en-GB"/>
        </w:rPr>
        <w:t>International Labour Organization, 1998.</w:t>
      </w:r>
      <w:proofErr w:type="gramEnd"/>
      <w:r w:rsidRPr="00F8630C">
        <w:rPr>
          <w:lang w:val="en-GB"/>
        </w:rPr>
        <w:t xml:space="preserve"> </w:t>
      </w:r>
      <w:r w:rsidRPr="00CF3106">
        <w:rPr>
          <w:i/>
          <w:lang w:val="en-GB"/>
        </w:rPr>
        <w:t xml:space="preserve">Labour and social issues relating to export processing zones </w:t>
      </w:r>
      <w:r w:rsidRPr="00F8630C">
        <w:rPr>
          <w:lang w:val="en-GB"/>
        </w:rPr>
        <w:t xml:space="preserve">[online]. Report for discussion at the Tripartite Meeting of Export Processing zones-Operating Countries. Geneva: International Labour Office. Available from: </w:t>
      </w:r>
      <w:hyperlink r:id="rId48" w:history="1">
        <w:r w:rsidRPr="00CF3106">
          <w:rPr>
            <w:rStyle w:val="Hyperlink"/>
          </w:rPr>
          <w:t>http://www.ilo.org/wcmsp5/groups/public</w:t>
        </w:r>
        <w:r w:rsidRPr="00A66D8F">
          <w:rPr>
            <w:rStyle w:val="Hyperlink"/>
            <w:lang w:val="en-GB"/>
          </w:rPr>
          <w:t>/---ed_dialogue/---actrav/documents/publication/wcms_114918.pdf</w:t>
        </w:r>
      </w:hyperlink>
      <w:r>
        <w:rPr>
          <w:lang w:val="en-GB"/>
        </w:rPr>
        <w:t xml:space="preserve"> </w:t>
      </w:r>
      <w:r>
        <w:rPr>
          <w:lang w:val="en-US"/>
        </w:rPr>
        <w:t>[Accessed 27 July 2018].</w:t>
      </w:r>
    </w:p>
    <w:p w14:paraId="3CBD1366" w14:textId="543F1194" w:rsidR="00BD6503" w:rsidRPr="002B1C0A" w:rsidRDefault="00BD6503" w:rsidP="00B028D8">
      <w:pPr>
        <w:pStyle w:val="Bibliography"/>
        <w:rPr>
          <w:lang w:val="en-US"/>
        </w:rPr>
      </w:pPr>
      <w:proofErr w:type="gramStart"/>
      <w:r w:rsidRPr="002B1C0A">
        <w:rPr>
          <w:lang w:val="en-US"/>
        </w:rPr>
        <w:t>Janoski, T., 1998.</w:t>
      </w:r>
      <w:proofErr w:type="gramEnd"/>
      <w:r w:rsidRPr="002B1C0A">
        <w:rPr>
          <w:lang w:val="en-US"/>
        </w:rPr>
        <w:t xml:space="preserve"> </w:t>
      </w:r>
      <w:r w:rsidRPr="002B1C0A">
        <w:rPr>
          <w:i/>
          <w:lang w:val="en-US"/>
        </w:rPr>
        <w:t>Citizenship and Civil Society: A Framework of Rights and Obligations in Liberal, Traditional, and Social Democratic Regimes</w:t>
      </w:r>
      <w:r w:rsidR="002B1C0A">
        <w:rPr>
          <w:lang w:val="en-US"/>
        </w:rPr>
        <w:t>.</w:t>
      </w:r>
      <w:r w:rsidRPr="002B1C0A">
        <w:rPr>
          <w:lang w:val="en-US"/>
        </w:rPr>
        <w:t xml:space="preserve"> </w:t>
      </w:r>
      <w:proofErr w:type="gramStart"/>
      <w:r w:rsidRPr="002B1C0A">
        <w:rPr>
          <w:lang w:val="en-US"/>
        </w:rPr>
        <w:t>Cambridge University Press.</w:t>
      </w:r>
      <w:proofErr w:type="gramEnd"/>
    </w:p>
    <w:p w14:paraId="15FFA717" w14:textId="0F2C8225" w:rsidR="00BD6503" w:rsidRPr="002B1C0A" w:rsidRDefault="00BD6503" w:rsidP="00B028D8">
      <w:pPr>
        <w:pStyle w:val="Bibliography"/>
        <w:rPr>
          <w:lang w:val="en-US"/>
        </w:rPr>
      </w:pPr>
      <w:r w:rsidRPr="00F8630C">
        <w:rPr>
          <w:lang w:val="en-US"/>
        </w:rPr>
        <w:t>Jansa, J. and Gray, V., 2014</w:t>
      </w:r>
      <w:r w:rsidRPr="00CF3106">
        <w:rPr>
          <w:i/>
          <w:lang w:val="en-US"/>
        </w:rPr>
        <w:t>. The Politics and Economics of Corporate Subsidies in the 21st Century</w:t>
      </w:r>
      <w:r w:rsidRPr="002B1C0A">
        <w:rPr>
          <w:lang w:val="en-US"/>
        </w:rPr>
        <w:t xml:space="preserve">. </w:t>
      </w:r>
      <w:r w:rsidRPr="00CF3106">
        <w:rPr>
          <w:lang w:val="en-US"/>
        </w:rPr>
        <w:t>APSA 2014 Annual Meeting Paper</w:t>
      </w:r>
      <w:r w:rsidR="002B1C0A">
        <w:rPr>
          <w:lang w:val="en-US"/>
        </w:rPr>
        <w:t xml:space="preserve"> [online].</w:t>
      </w:r>
      <w:r w:rsidRPr="00F8630C">
        <w:rPr>
          <w:lang w:val="en-US"/>
        </w:rPr>
        <w:t xml:space="preserve"> </w:t>
      </w:r>
      <w:r w:rsidR="002B1C0A">
        <w:rPr>
          <w:lang w:val="en-US"/>
        </w:rPr>
        <w:t xml:space="preserve">Washington, DC: </w:t>
      </w:r>
      <w:r w:rsidR="002B1C0A" w:rsidRPr="002B1C0A">
        <w:rPr>
          <w:lang w:val="en-US"/>
        </w:rPr>
        <w:t>American P</w:t>
      </w:r>
      <w:r w:rsidR="002B1C0A">
        <w:rPr>
          <w:lang w:val="en-US"/>
        </w:rPr>
        <w:t>o</w:t>
      </w:r>
      <w:r w:rsidR="002B1C0A" w:rsidRPr="002B1C0A">
        <w:rPr>
          <w:lang w:val="en-US"/>
        </w:rPr>
        <w:t>litical Science Association</w:t>
      </w:r>
      <w:r w:rsidR="002B1C0A">
        <w:rPr>
          <w:lang w:val="en-US"/>
        </w:rPr>
        <w:t xml:space="preserve">. </w:t>
      </w:r>
      <w:r w:rsidRPr="00F8630C">
        <w:rPr>
          <w:lang w:val="en-US"/>
        </w:rPr>
        <w:t xml:space="preserve">Available </w:t>
      </w:r>
      <w:r w:rsidR="002B1C0A">
        <w:rPr>
          <w:lang w:val="en-US"/>
        </w:rPr>
        <w:t>from</w:t>
      </w:r>
      <w:r w:rsidRPr="00F8630C">
        <w:rPr>
          <w:lang w:val="en-US"/>
        </w:rPr>
        <w:t xml:space="preserve">: </w:t>
      </w:r>
      <w:r w:rsidRPr="002B1C0A">
        <w:rPr>
          <w:lang w:val="en-US"/>
        </w:rPr>
        <w:t xml:space="preserve">https://ssrn.com/abstract=2452332 </w:t>
      </w:r>
      <w:r w:rsidR="00ED58F8">
        <w:rPr>
          <w:lang w:val="en-US"/>
        </w:rPr>
        <w:t>[Accessed 27 July 2018].</w:t>
      </w:r>
    </w:p>
    <w:p w14:paraId="74873649" w14:textId="77777777" w:rsidR="00BD6503" w:rsidRPr="002B1C0A" w:rsidRDefault="00BD6503" w:rsidP="00B028D8">
      <w:pPr>
        <w:pStyle w:val="Bibliography"/>
        <w:rPr>
          <w:lang w:val="en-US"/>
        </w:rPr>
      </w:pPr>
      <w:r w:rsidRPr="002B1C0A">
        <w:rPr>
          <w:lang w:val="en-US"/>
        </w:rPr>
        <w:t xml:space="preserve">Khoury, S and Whyte, D., 2017. </w:t>
      </w:r>
      <w:r w:rsidRPr="002B1C0A">
        <w:rPr>
          <w:i/>
          <w:lang w:val="en-US"/>
        </w:rPr>
        <w:t>Corporate Human Rights Violations: Global Prospects for Legal Action</w:t>
      </w:r>
      <w:r w:rsidRPr="002B1C0A">
        <w:rPr>
          <w:lang w:val="en-US"/>
        </w:rPr>
        <w:t>. Abingdon: Routledge.</w:t>
      </w:r>
    </w:p>
    <w:p w14:paraId="6819369F" w14:textId="4AF5A2B9" w:rsidR="00BD6503" w:rsidRPr="00F8630C" w:rsidRDefault="00BD6503" w:rsidP="00B028D8">
      <w:pPr>
        <w:pStyle w:val="Bibliography"/>
        <w:rPr>
          <w:lang w:val="en-US"/>
        </w:rPr>
      </w:pPr>
      <w:r w:rsidRPr="00F8630C">
        <w:rPr>
          <w:lang w:val="en-US"/>
        </w:rPr>
        <w:t xml:space="preserve">Krannich, J. 2005. The Corporate </w:t>
      </w:r>
      <w:r w:rsidR="002B1C0A">
        <w:rPr>
          <w:lang w:val="en-US"/>
        </w:rPr>
        <w:t>“</w:t>
      </w:r>
      <w:r w:rsidRPr="00F8630C">
        <w:rPr>
          <w:lang w:val="en-US"/>
        </w:rPr>
        <w:t>Person</w:t>
      </w:r>
      <w:r w:rsidR="002B1C0A">
        <w:rPr>
          <w:lang w:val="en-US"/>
        </w:rPr>
        <w:t>”</w:t>
      </w:r>
      <w:r w:rsidRPr="00F8630C">
        <w:rPr>
          <w:lang w:val="en-US"/>
        </w:rPr>
        <w:t xml:space="preserve">: A New Analytical Approach to a Flawed Method of Constitutional Interpretation. </w:t>
      </w:r>
      <w:r w:rsidRPr="00F8630C">
        <w:rPr>
          <w:i/>
          <w:lang w:val="en-US"/>
        </w:rPr>
        <w:t>Loyola University Chicago Law Journal</w:t>
      </w:r>
      <w:r w:rsidR="002B1C0A">
        <w:rPr>
          <w:lang w:val="en-US"/>
        </w:rPr>
        <w:t xml:space="preserve"> [online], </w:t>
      </w:r>
      <w:r w:rsidRPr="00F8630C">
        <w:rPr>
          <w:lang w:val="en-US"/>
        </w:rPr>
        <w:t>37 (1)</w:t>
      </w:r>
      <w:r w:rsidR="002B1C0A">
        <w:rPr>
          <w:lang w:val="en-US"/>
        </w:rPr>
        <w:t>,</w:t>
      </w:r>
      <w:r w:rsidRPr="00F8630C">
        <w:rPr>
          <w:lang w:val="en-US"/>
        </w:rPr>
        <w:t xml:space="preserve"> 61-109.</w:t>
      </w:r>
      <w:r w:rsidR="002B1C0A">
        <w:rPr>
          <w:lang w:val="en-US"/>
        </w:rPr>
        <w:t xml:space="preserve"> Available from: </w:t>
      </w:r>
      <w:hyperlink r:id="rId49" w:history="1">
        <w:r w:rsidR="00ED58F8" w:rsidRPr="00A66D8F">
          <w:rPr>
            <w:rStyle w:val="Hyperlink"/>
            <w:lang w:val="en-US"/>
          </w:rPr>
          <w:t>http://lawecommons.luc.edu/luclj/vol37/iss1/4</w:t>
        </w:r>
      </w:hyperlink>
      <w:r w:rsidR="00ED58F8">
        <w:rPr>
          <w:lang w:val="en-US"/>
        </w:rPr>
        <w:t xml:space="preserve"> [Accessed 27 July 2018].</w:t>
      </w:r>
    </w:p>
    <w:p w14:paraId="15435B39" w14:textId="11112BA7" w:rsidR="00BD6503" w:rsidRPr="00F8630C" w:rsidRDefault="00BD6503" w:rsidP="00B028D8">
      <w:pPr>
        <w:pStyle w:val="Bibliography"/>
        <w:rPr>
          <w:lang w:val="en-US"/>
        </w:rPr>
      </w:pPr>
      <w:proofErr w:type="gramStart"/>
      <w:r w:rsidRPr="00F8630C">
        <w:rPr>
          <w:lang w:val="en-US"/>
        </w:rPr>
        <w:t>Lemke, T., 2005</w:t>
      </w:r>
      <w:r w:rsidRPr="006D0C40">
        <w:rPr>
          <w:szCs w:val="20"/>
          <w:lang w:val="en-US"/>
        </w:rPr>
        <w:t>.</w:t>
      </w:r>
      <w:proofErr w:type="gramEnd"/>
      <w:r w:rsidRPr="006D0C40">
        <w:rPr>
          <w:szCs w:val="20"/>
          <w:lang w:val="en-US"/>
        </w:rPr>
        <w:t xml:space="preserve"> </w:t>
      </w:r>
      <w:proofErr w:type="gramStart"/>
      <w:r w:rsidRPr="00CF3106">
        <w:rPr>
          <w:rStyle w:val="Emphasis"/>
          <w:i w:val="0"/>
          <w:szCs w:val="20"/>
          <w:lang w:val="en-US"/>
        </w:rPr>
        <w:t>A Zone of Indistinction</w:t>
      </w:r>
      <w:r w:rsidR="005A3FD3" w:rsidRPr="00CF3106">
        <w:rPr>
          <w:rStyle w:val="Emphasis"/>
          <w:i w:val="0"/>
          <w:szCs w:val="20"/>
          <w:lang w:val="en-US"/>
        </w:rPr>
        <w:t xml:space="preserve"> </w:t>
      </w:r>
      <w:r w:rsidRPr="00CF3106">
        <w:rPr>
          <w:szCs w:val="20"/>
          <w:lang w:val="en-US"/>
        </w:rPr>
        <w:t xml:space="preserve">– A </w:t>
      </w:r>
      <w:r w:rsidRPr="00CF3106">
        <w:rPr>
          <w:rStyle w:val="Emphasis"/>
          <w:i w:val="0"/>
          <w:szCs w:val="20"/>
          <w:lang w:val="en-US"/>
        </w:rPr>
        <w:t>Critique of Giorgio</w:t>
      </w:r>
      <w:r w:rsidRPr="00CF3106">
        <w:rPr>
          <w:szCs w:val="20"/>
          <w:lang w:val="en-US"/>
        </w:rPr>
        <w:t xml:space="preserve"> Agamben</w:t>
      </w:r>
      <w:r w:rsidR="00C249CA" w:rsidRPr="00CF3106">
        <w:rPr>
          <w:szCs w:val="20"/>
          <w:lang w:val="en-US"/>
        </w:rPr>
        <w:t>’</w:t>
      </w:r>
      <w:r w:rsidRPr="00CF3106">
        <w:rPr>
          <w:szCs w:val="20"/>
          <w:lang w:val="en-US"/>
        </w:rPr>
        <w:t xml:space="preserve">s </w:t>
      </w:r>
      <w:r w:rsidRPr="00CF3106">
        <w:rPr>
          <w:rStyle w:val="Emphasis"/>
          <w:i w:val="0"/>
          <w:szCs w:val="20"/>
          <w:lang w:val="en-US"/>
        </w:rPr>
        <w:t>Concept of Biopolitics</w:t>
      </w:r>
      <w:r w:rsidRPr="00C249CA">
        <w:rPr>
          <w:lang w:val="en-US"/>
        </w:rPr>
        <w:t>.</w:t>
      </w:r>
      <w:proofErr w:type="gramEnd"/>
      <w:r w:rsidRPr="00F8630C">
        <w:rPr>
          <w:lang w:val="en-US"/>
        </w:rPr>
        <w:t xml:space="preserve"> </w:t>
      </w:r>
      <w:r w:rsidRPr="00F8630C">
        <w:rPr>
          <w:i/>
          <w:lang w:val="en-US"/>
        </w:rPr>
        <w:t xml:space="preserve">Outlines. </w:t>
      </w:r>
      <w:proofErr w:type="gramStart"/>
      <w:r w:rsidRPr="00F8630C">
        <w:rPr>
          <w:i/>
          <w:lang w:val="en-US"/>
        </w:rPr>
        <w:t>Critical Social Studies</w:t>
      </w:r>
      <w:r w:rsidRPr="00F8630C">
        <w:rPr>
          <w:lang w:val="en-US"/>
        </w:rPr>
        <w:t>, 7</w:t>
      </w:r>
      <w:r w:rsidR="00C249CA">
        <w:rPr>
          <w:lang w:val="en-US"/>
        </w:rPr>
        <w:t xml:space="preserve"> </w:t>
      </w:r>
      <w:r w:rsidRPr="00F8630C">
        <w:rPr>
          <w:lang w:val="en-US"/>
        </w:rPr>
        <w:t>(1)</w:t>
      </w:r>
      <w:r w:rsidR="00C249CA">
        <w:rPr>
          <w:lang w:val="en-US"/>
        </w:rPr>
        <w:t>, 3-13.</w:t>
      </w:r>
      <w:proofErr w:type="gramEnd"/>
      <w:r w:rsidR="005A3FD3" w:rsidRPr="00F8630C">
        <w:rPr>
          <w:lang w:val="en-US"/>
        </w:rPr>
        <w:t xml:space="preserve"> </w:t>
      </w:r>
      <w:r w:rsidR="00C249CA">
        <w:rPr>
          <w:lang w:val="en-US"/>
        </w:rPr>
        <w:t xml:space="preserve">Available from: </w:t>
      </w:r>
      <w:hyperlink r:id="rId50" w:history="1">
        <w:r w:rsidR="00ED58F8" w:rsidRPr="00CF3106">
          <w:rPr>
            <w:rStyle w:val="Hyperlink"/>
            <w:lang w:val="en-US"/>
          </w:rPr>
          <w:t>https://tidsskrift.dk/outlines/article/view/2107</w:t>
        </w:r>
      </w:hyperlink>
      <w:r w:rsidR="00ED58F8">
        <w:rPr>
          <w:lang w:val="en-US"/>
        </w:rPr>
        <w:t xml:space="preserve"> [Accessed 27 July 2018].</w:t>
      </w:r>
    </w:p>
    <w:p w14:paraId="6E5AE457" w14:textId="5AC46DAC" w:rsidR="00BD6503" w:rsidRPr="00C249CA" w:rsidRDefault="00BD6503" w:rsidP="00B028D8">
      <w:pPr>
        <w:pStyle w:val="Bibliography"/>
        <w:rPr>
          <w:lang w:val="en-US"/>
        </w:rPr>
      </w:pPr>
      <w:r w:rsidRPr="00C249CA">
        <w:rPr>
          <w:lang w:val="en-US"/>
        </w:rPr>
        <w:t xml:space="preserve">McGrattan, E. and Prescott, E., 2005. </w:t>
      </w:r>
      <w:proofErr w:type="gramStart"/>
      <w:r w:rsidRPr="00C249CA">
        <w:rPr>
          <w:lang w:val="en-US"/>
        </w:rPr>
        <w:t>Taxes, Regulations, and the Value of U.S. and U.K. Corporations.</w:t>
      </w:r>
      <w:proofErr w:type="gramEnd"/>
      <w:r w:rsidRPr="00C249CA">
        <w:rPr>
          <w:lang w:val="en-US"/>
        </w:rPr>
        <w:t xml:space="preserve"> </w:t>
      </w:r>
      <w:r w:rsidRPr="00C249CA">
        <w:rPr>
          <w:i/>
          <w:lang w:val="en-US"/>
        </w:rPr>
        <w:t>The Review of Economic Studies</w:t>
      </w:r>
      <w:r w:rsidR="00C249CA">
        <w:rPr>
          <w:lang w:val="en-US"/>
        </w:rPr>
        <w:t xml:space="preserve"> [online], </w:t>
      </w:r>
      <w:r w:rsidRPr="00C249CA">
        <w:rPr>
          <w:lang w:val="en-US"/>
        </w:rPr>
        <w:t>72</w:t>
      </w:r>
      <w:r w:rsidR="00C249CA">
        <w:rPr>
          <w:lang w:val="en-US"/>
        </w:rPr>
        <w:t xml:space="preserve"> </w:t>
      </w:r>
      <w:r w:rsidRPr="00C249CA">
        <w:rPr>
          <w:lang w:val="en-US"/>
        </w:rPr>
        <w:t>(3), 767–796.</w:t>
      </w:r>
      <w:r w:rsidR="00C249CA">
        <w:rPr>
          <w:lang w:val="en-US"/>
        </w:rPr>
        <w:t xml:space="preserve"> </w:t>
      </w:r>
      <w:r w:rsidR="00C249CA">
        <w:rPr>
          <w:lang w:val="en-US"/>
        </w:rPr>
        <w:lastRenderedPageBreak/>
        <w:t xml:space="preserve">Available from: </w:t>
      </w:r>
      <w:hyperlink r:id="rId51" w:history="1">
        <w:r w:rsidR="00ED58F8" w:rsidRPr="00A66D8F">
          <w:rPr>
            <w:rStyle w:val="Hyperlink"/>
            <w:lang w:val="en-US"/>
          </w:rPr>
          <w:t>https://doi.org/10.1111/j.1467-937X.2005.00351.x</w:t>
        </w:r>
      </w:hyperlink>
      <w:r w:rsidR="00ED58F8">
        <w:rPr>
          <w:lang w:val="en-US"/>
        </w:rPr>
        <w:t xml:space="preserve"> [Accessed 27 July 2018].</w:t>
      </w:r>
    </w:p>
    <w:p w14:paraId="2C63230D" w14:textId="3CB04EAE" w:rsidR="00BD6503" w:rsidRPr="00F8630C" w:rsidRDefault="00BD6503" w:rsidP="00B028D8">
      <w:pPr>
        <w:pStyle w:val="Bibliography"/>
        <w:rPr>
          <w:lang w:val="en-US"/>
        </w:rPr>
      </w:pPr>
      <w:proofErr w:type="gramStart"/>
      <w:r w:rsidRPr="00F8630C">
        <w:rPr>
          <w:lang w:val="en-US"/>
        </w:rPr>
        <w:t>Mann, M., 1987.</w:t>
      </w:r>
      <w:proofErr w:type="gramEnd"/>
      <w:r w:rsidRPr="00F8630C">
        <w:rPr>
          <w:lang w:val="en-US"/>
        </w:rPr>
        <w:t xml:space="preserve"> Ruling Class Strategies and Citizenship. </w:t>
      </w:r>
      <w:r w:rsidRPr="00F8630C">
        <w:rPr>
          <w:i/>
          <w:lang w:val="en-US"/>
        </w:rPr>
        <w:t>Sociology</w:t>
      </w:r>
      <w:r w:rsidR="00C249CA">
        <w:rPr>
          <w:lang w:val="en-US"/>
        </w:rPr>
        <w:t xml:space="preserve"> [online], </w:t>
      </w:r>
      <w:r w:rsidRPr="00F8630C">
        <w:rPr>
          <w:lang w:val="en-US"/>
        </w:rPr>
        <w:t>21</w:t>
      </w:r>
      <w:r w:rsidR="00C249CA">
        <w:rPr>
          <w:lang w:val="en-US"/>
        </w:rPr>
        <w:t xml:space="preserve"> </w:t>
      </w:r>
      <w:r w:rsidRPr="00F8630C">
        <w:rPr>
          <w:lang w:val="en-US"/>
        </w:rPr>
        <w:t>(3), 339-354.</w:t>
      </w:r>
      <w:bookmarkStart w:id="49" w:name="_GoBack"/>
      <w:bookmarkEnd w:id="49"/>
      <w:r w:rsidR="00C249CA">
        <w:rPr>
          <w:lang w:val="en-US"/>
        </w:rPr>
        <w:t xml:space="preserve"> Available from: </w:t>
      </w:r>
      <w:hyperlink r:id="rId52" w:history="1">
        <w:r w:rsidR="00ED58F8" w:rsidRPr="00A66D8F">
          <w:rPr>
            <w:rStyle w:val="Hyperlink"/>
            <w:lang w:val="en-US"/>
          </w:rPr>
          <w:t>https://doi.org/10.1177%2F0038038587021003003</w:t>
        </w:r>
      </w:hyperlink>
      <w:r w:rsidR="00ED58F8">
        <w:rPr>
          <w:lang w:val="en-US"/>
        </w:rPr>
        <w:t xml:space="preserve"> [Accessed 27 July 2018].</w:t>
      </w:r>
    </w:p>
    <w:p w14:paraId="48052DAB" w14:textId="77777777" w:rsidR="00BD6503" w:rsidRPr="00F8630C" w:rsidRDefault="00BD6503" w:rsidP="00B028D8">
      <w:pPr>
        <w:pStyle w:val="Bibliography"/>
        <w:rPr>
          <w:lang w:val="en-US"/>
        </w:rPr>
      </w:pPr>
      <w:proofErr w:type="gramStart"/>
      <w:r w:rsidRPr="00F8630C">
        <w:rPr>
          <w:lang w:val="en-US"/>
        </w:rPr>
        <w:t>Marshall, T.H., and Bottomore, T., 1997.</w:t>
      </w:r>
      <w:proofErr w:type="gramEnd"/>
      <w:r w:rsidR="005A3FD3" w:rsidRPr="00F8630C">
        <w:rPr>
          <w:lang w:val="en-US"/>
        </w:rPr>
        <w:t xml:space="preserve"> </w:t>
      </w:r>
      <w:proofErr w:type="gramStart"/>
      <w:r w:rsidRPr="00F8630C">
        <w:rPr>
          <w:i/>
          <w:lang w:val="en-US"/>
        </w:rPr>
        <w:t>Citizenship and Social Class</w:t>
      </w:r>
      <w:r w:rsidRPr="00F8630C">
        <w:rPr>
          <w:lang w:val="en-US"/>
        </w:rPr>
        <w:t>.</w:t>
      </w:r>
      <w:proofErr w:type="gramEnd"/>
      <w:r w:rsidR="005A3FD3" w:rsidRPr="00F8630C">
        <w:rPr>
          <w:lang w:val="en-US"/>
        </w:rPr>
        <w:t xml:space="preserve"> </w:t>
      </w:r>
      <w:r w:rsidRPr="00F8630C">
        <w:rPr>
          <w:lang w:val="en-US"/>
        </w:rPr>
        <w:t>London: Pluto.</w:t>
      </w:r>
    </w:p>
    <w:p w14:paraId="1E8AC321" w14:textId="3E7B7999" w:rsidR="00BD6503" w:rsidRPr="00F8630C" w:rsidRDefault="00BD6503" w:rsidP="00B028D8">
      <w:pPr>
        <w:pStyle w:val="Bibliography"/>
        <w:rPr>
          <w:lang w:val="en-US"/>
        </w:rPr>
      </w:pPr>
      <w:r w:rsidRPr="00F8630C">
        <w:rPr>
          <w:lang w:val="en-US"/>
        </w:rPr>
        <w:t>Marx, K., 1844</w:t>
      </w:r>
      <w:r w:rsidR="00C249CA">
        <w:rPr>
          <w:lang w:val="en-US"/>
        </w:rPr>
        <w:t>/2008</w:t>
      </w:r>
      <w:r w:rsidRPr="00F8630C">
        <w:rPr>
          <w:lang w:val="en-US"/>
        </w:rPr>
        <w:t xml:space="preserve">. </w:t>
      </w:r>
      <w:proofErr w:type="gramStart"/>
      <w:r w:rsidRPr="00CF3106">
        <w:rPr>
          <w:i/>
          <w:lang w:val="en-US"/>
        </w:rPr>
        <w:t>On</w:t>
      </w:r>
      <w:r w:rsidR="00C249CA">
        <w:rPr>
          <w:i/>
          <w:lang w:val="en-US"/>
        </w:rPr>
        <w:t xml:space="preserve"> </w:t>
      </w:r>
      <w:r w:rsidRPr="00C249CA">
        <w:rPr>
          <w:lang w:val="en-US"/>
        </w:rPr>
        <w:t>The Jewish Question</w:t>
      </w:r>
      <w:r w:rsidR="00C249CA">
        <w:rPr>
          <w:lang w:val="en-US"/>
        </w:rPr>
        <w:t xml:space="preserve"> [online].</w:t>
      </w:r>
      <w:proofErr w:type="gramEnd"/>
      <w:r w:rsidRPr="00F8630C">
        <w:rPr>
          <w:lang w:val="en-US"/>
        </w:rPr>
        <w:t xml:space="preserve"> </w:t>
      </w:r>
      <w:r w:rsidR="00C249CA">
        <w:rPr>
          <w:lang w:val="en-US"/>
        </w:rPr>
        <w:t xml:space="preserve">First published in </w:t>
      </w:r>
      <w:r w:rsidR="00C249CA" w:rsidRPr="00CF3106">
        <w:rPr>
          <w:i/>
          <w:iCs/>
          <w:lang w:val="en-US"/>
        </w:rPr>
        <w:t>Deutsch-Französische Jahrbücher</w:t>
      </w:r>
      <w:r w:rsidR="00C249CA">
        <w:rPr>
          <w:i/>
          <w:iCs/>
          <w:lang w:val="en-US"/>
        </w:rPr>
        <w:t xml:space="preserve">. </w:t>
      </w:r>
      <w:r w:rsidR="00C249CA" w:rsidRPr="00CF3106">
        <w:rPr>
          <w:rStyle w:val="info"/>
          <w:lang w:val="en-US"/>
        </w:rPr>
        <w:t xml:space="preserve">Proofed and </w:t>
      </w:r>
      <w:r w:rsidR="00C249CA" w:rsidRPr="00C249CA">
        <w:rPr>
          <w:rStyle w:val="info"/>
          <w:lang w:val="en-US"/>
        </w:rPr>
        <w:t>corrected</w:t>
      </w:r>
      <w:r w:rsidR="00C249CA" w:rsidRPr="00CF3106">
        <w:rPr>
          <w:lang w:val="en-US"/>
        </w:rPr>
        <w:t xml:space="preserve"> by </w:t>
      </w:r>
      <w:r w:rsidR="00C249CA">
        <w:rPr>
          <w:lang w:val="en-US"/>
        </w:rPr>
        <w:t>A.</w:t>
      </w:r>
      <w:r w:rsidR="00C249CA" w:rsidRPr="00CF3106">
        <w:rPr>
          <w:lang w:val="en-US"/>
        </w:rPr>
        <w:t xml:space="preserve"> Blunden, </w:t>
      </w:r>
      <w:r w:rsidR="00C249CA">
        <w:rPr>
          <w:lang w:val="en-US"/>
        </w:rPr>
        <w:t xml:space="preserve">M. </w:t>
      </w:r>
      <w:r w:rsidR="00C249CA" w:rsidRPr="00CF3106">
        <w:rPr>
          <w:lang w:val="en-US"/>
        </w:rPr>
        <w:t xml:space="preserve">Grant and </w:t>
      </w:r>
      <w:r w:rsidR="00C249CA">
        <w:rPr>
          <w:lang w:val="en-US"/>
        </w:rPr>
        <w:t xml:space="preserve">M. </w:t>
      </w:r>
      <w:r w:rsidR="00C249CA" w:rsidRPr="00CF3106">
        <w:rPr>
          <w:lang w:val="en-US"/>
        </w:rPr>
        <w:t>Carmody</w:t>
      </w:r>
      <w:r w:rsidR="00C249CA">
        <w:rPr>
          <w:lang w:val="en-US"/>
        </w:rPr>
        <w:t xml:space="preserve">. Available from: </w:t>
      </w:r>
      <w:hyperlink r:id="rId53" w:history="1">
        <w:r w:rsidR="00ED58F8" w:rsidRPr="00A66D8F">
          <w:rPr>
            <w:rStyle w:val="Hyperlink"/>
            <w:lang w:val="en-US"/>
          </w:rPr>
          <w:t>https://www.marxists.org/archive/marx/works/1844/jewish-question/</w:t>
        </w:r>
      </w:hyperlink>
      <w:r w:rsidR="00ED58F8">
        <w:rPr>
          <w:lang w:val="en-US"/>
        </w:rPr>
        <w:t xml:space="preserve"> [Accessed 27 July 2018].</w:t>
      </w:r>
    </w:p>
    <w:p w14:paraId="7B0C1A96" w14:textId="21F4AA71" w:rsidR="00BD6503" w:rsidRPr="00F8630C" w:rsidRDefault="00BD6503" w:rsidP="00B028D8">
      <w:pPr>
        <w:pStyle w:val="Bibliography"/>
        <w:rPr>
          <w:lang w:val="en-US"/>
        </w:rPr>
      </w:pPr>
      <w:r w:rsidRPr="00F8630C">
        <w:rPr>
          <w:lang w:val="en-US"/>
        </w:rPr>
        <w:t xml:space="preserve">Mintz, J., 1995. The Corporation Tax: a survey, </w:t>
      </w:r>
      <w:r w:rsidRPr="00F8630C">
        <w:rPr>
          <w:i/>
          <w:lang w:val="en-US"/>
        </w:rPr>
        <w:t>Fiscal Studies</w:t>
      </w:r>
      <w:r w:rsidR="0084300B">
        <w:rPr>
          <w:lang w:val="en-US"/>
        </w:rPr>
        <w:t xml:space="preserve"> [online],</w:t>
      </w:r>
      <w:r w:rsidRPr="00F8630C">
        <w:rPr>
          <w:lang w:val="en-US"/>
        </w:rPr>
        <w:t xml:space="preserve"> 16</w:t>
      </w:r>
      <w:r w:rsidR="0084300B">
        <w:rPr>
          <w:lang w:val="en-US"/>
        </w:rPr>
        <w:t xml:space="preserve"> </w:t>
      </w:r>
      <w:r w:rsidRPr="00F8630C">
        <w:rPr>
          <w:lang w:val="en-US"/>
        </w:rPr>
        <w:t>(4), 23-68.</w:t>
      </w:r>
      <w:r w:rsidR="0084300B">
        <w:rPr>
          <w:lang w:val="en-US"/>
        </w:rPr>
        <w:t xml:space="preserve"> Available from: </w:t>
      </w:r>
      <w:hyperlink r:id="rId54" w:history="1">
        <w:r w:rsidR="00ED58F8" w:rsidRPr="00A66D8F">
          <w:rPr>
            <w:rStyle w:val="Hyperlink"/>
            <w:lang w:val="en-US"/>
          </w:rPr>
          <w:t>https://doi.org/10.1111/j.1475-5890.1995.tb00232.x</w:t>
        </w:r>
      </w:hyperlink>
      <w:r w:rsidR="00ED58F8">
        <w:rPr>
          <w:lang w:val="en-US"/>
        </w:rPr>
        <w:t xml:space="preserve"> [Accessed 27 July 2018].</w:t>
      </w:r>
    </w:p>
    <w:p w14:paraId="2BA8881F" w14:textId="7CA8F3E8" w:rsidR="00BD6503" w:rsidRPr="00F8630C" w:rsidRDefault="00BD6503" w:rsidP="00B028D8">
      <w:pPr>
        <w:pStyle w:val="Bibliography"/>
        <w:rPr>
          <w:lang w:val="en-US"/>
        </w:rPr>
      </w:pPr>
      <w:r w:rsidRPr="00F8630C">
        <w:rPr>
          <w:lang w:val="en-US"/>
        </w:rPr>
        <w:t>Musah, A.F. and Fayemi, J.,</w:t>
      </w:r>
      <w:r w:rsidR="00C477A0" w:rsidRPr="00CF3106">
        <w:rPr>
          <w:lang w:val="en-US"/>
        </w:rPr>
        <w:t xml:space="preserve"> 1999.</w:t>
      </w:r>
      <w:r w:rsidRPr="00F8630C">
        <w:rPr>
          <w:lang w:val="en-US"/>
        </w:rPr>
        <w:t xml:space="preserve"> </w:t>
      </w:r>
      <w:r w:rsidRPr="00F8630C">
        <w:rPr>
          <w:i/>
          <w:lang w:val="en-US"/>
        </w:rPr>
        <w:t>Mercenaries: An African Security Dilemma</w:t>
      </w:r>
      <w:r w:rsidR="0084300B">
        <w:rPr>
          <w:lang w:val="en-US"/>
        </w:rPr>
        <w:t>.</w:t>
      </w:r>
      <w:r w:rsidRPr="00F8630C">
        <w:rPr>
          <w:lang w:val="en-US"/>
        </w:rPr>
        <w:t xml:space="preserve"> London: Pluto.</w:t>
      </w:r>
    </w:p>
    <w:p w14:paraId="32741F7A" w14:textId="7DA7AE4F" w:rsidR="00BD6503" w:rsidRPr="0084300B" w:rsidRDefault="00BD6503" w:rsidP="00B028D8">
      <w:pPr>
        <w:pStyle w:val="Bibliography"/>
        <w:rPr>
          <w:lang w:val="en-US"/>
        </w:rPr>
      </w:pPr>
      <w:r w:rsidRPr="0084300B">
        <w:rPr>
          <w:lang w:val="en-US"/>
        </w:rPr>
        <w:t xml:space="preserve">Nader, R. and Smith, W., 1996. </w:t>
      </w:r>
      <w:r w:rsidRPr="0084300B">
        <w:rPr>
          <w:i/>
          <w:lang w:val="en-US"/>
        </w:rPr>
        <w:t>No Contest: Corporate Lawyers and the Perversion of Justice in America Hardcover</w:t>
      </w:r>
      <w:r w:rsidR="0084300B">
        <w:rPr>
          <w:lang w:val="en-US"/>
        </w:rPr>
        <w:t>.</w:t>
      </w:r>
      <w:r w:rsidRPr="0084300B">
        <w:rPr>
          <w:lang w:val="en-US"/>
        </w:rPr>
        <w:t xml:space="preserve"> New York: Random House.</w:t>
      </w:r>
    </w:p>
    <w:p w14:paraId="09E5D0F4" w14:textId="5C20FD96" w:rsidR="00BD6503" w:rsidRPr="0084300B" w:rsidRDefault="00BD6503" w:rsidP="00B028D8">
      <w:pPr>
        <w:pStyle w:val="Bibliography"/>
        <w:rPr>
          <w:lang w:val="en-US"/>
        </w:rPr>
      </w:pPr>
      <w:proofErr w:type="gramStart"/>
      <w:r w:rsidRPr="0084300B">
        <w:rPr>
          <w:lang w:val="en-US"/>
        </w:rPr>
        <w:t>Newman, A., 2013.</w:t>
      </w:r>
      <w:proofErr w:type="gramEnd"/>
      <w:r w:rsidRPr="0084300B">
        <w:rPr>
          <w:lang w:val="en-US"/>
        </w:rPr>
        <w:t xml:space="preserve"> </w:t>
      </w:r>
      <w:proofErr w:type="gramStart"/>
      <w:r w:rsidRPr="0084300B">
        <w:rPr>
          <w:lang w:val="en-US"/>
        </w:rPr>
        <w:t>The Green Corporate Citizen – Renovating the Corporation to Institutionalise Environmental Sustainability.</w:t>
      </w:r>
      <w:proofErr w:type="gramEnd"/>
      <w:r w:rsidR="005A3FD3" w:rsidRPr="0084300B">
        <w:rPr>
          <w:lang w:val="en-US"/>
        </w:rPr>
        <w:t xml:space="preserve"> </w:t>
      </w:r>
      <w:proofErr w:type="gramStart"/>
      <w:r w:rsidRPr="0084300B">
        <w:rPr>
          <w:i/>
          <w:lang w:val="en-US"/>
        </w:rPr>
        <w:t>Asia Pacific Journal of Environmental Law</w:t>
      </w:r>
      <w:r w:rsidRPr="0084300B">
        <w:rPr>
          <w:lang w:val="en-US"/>
        </w:rPr>
        <w:t>, 15</w:t>
      </w:r>
      <w:r w:rsidR="0084300B">
        <w:rPr>
          <w:lang w:val="en-US"/>
        </w:rPr>
        <w:t xml:space="preserve"> (1)</w:t>
      </w:r>
      <w:r w:rsidRPr="0084300B">
        <w:rPr>
          <w:lang w:val="en-US"/>
        </w:rPr>
        <w:t>, 125-145.</w:t>
      </w:r>
      <w:proofErr w:type="gramEnd"/>
    </w:p>
    <w:p w14:paraId="0819C340" w14:textId="77777777" w:rsidR="001D0BBF" w:rsidRPr="0066249C" w:rsidRDefault="001D0BBF" w:rsidP="001D0BBF">
      <w:pPr>
        <w:pStyle w:val="Bibliography"/>
        <w:rPr>
          <w:rFonts w:cs="Calibri"/>
          <w:lang w:val="en-GB"/>
        </w:rPr>
      </w:pPr>
      <w:r w:rsidRPr="007D1F16">
        <w:rPr>
          <w:lang w:val="en-GB"/>
        </w:rPr>
        <w:t>Nigeria Export Processing Zones Act 1992</w:t>
      </w:r>
      <w:r>
        <w:rPr>
          <w:lang w:val="en-GB"/>
        </w:rPr>
        <w:t xml:space="preserve"> </w:t>
      </w:r>
      <w:r w:rsidRPr="00BD6503">
        <w:rPr>
          <w:lang w:val="en-US"/>
        </w:rPr>
        <w:t>CAP N107 LFN 2004</w:t>
      </w:r>
      <w:r w:rsidRPr="007D1F16">
        <w:rPr>
          <w:lang w:val="en-GB"/>
        </w:rPr>
        <w:t xml:space="preserve">. </w:t>
      </w:r>
      <w:r w:rsidRPr="0066249C">
        <w:rPr>
          <w:i/>
          <w:lang w:val="en-GB"/>
        </w:rPr>
        <w:t>Official Gazette of the Federal Republic of Nigeria</w:t>
      </w:r>
      <w:r w:rsidRPr="007D1F16">
        <w:rPr>
          <w:lang w:val="en-GB"/>
        </w:rPr>
        <w:t xml:space="preserve"> [online], 79 (67), of 21 December 1992. Available from: </w:t>
      </w:r>
      <w:hyperlink r:id="rId55" w:history="1">
        <w:r w:rsidRPr="00A66D8F">
          <w:rPr>
            <w:rStyle w:val="Hyperlink"/>
            <w:lang w:val="en-GB"/>
          </w:rPr>
          <w:t>http://www.nepza.gov.ng/images/NEPZA631992.pdf</w:t>
        </w:r>
      </w:hyperlink>
      <w:r>
        <w:rPr>
          <w:lang w:val="en-GB"/>
        </w:rPr>
        <w:t xml:space="preserve"> </w:t>
      </w:r>
      <w:r>
        <w:rPr>
          <w:lang w:val="en-US"/>
        </w:rPr>
        <w:t>[Accessed 27 July 2018].</w:t>
      </w:r>
    </w:p>
    <w:p w14:paraId="6E25FC83" w14:textId="77777777" w:rsidR="00BD6503" w:rsidRPr="00F8630C" w:rsidRDefault="00BD6503" w:rsidP="00B028D8">
      <w:pPr>
        <w:pStyle w:val="Bibliography"/>
        <w:rPr>
          <w:lang w:val="en-US"/>
        </w:rPr>
      </w:pPr>
      <w:r w:rsidRPr="00F8630C">
        <w:rPr>
          <w:lang w:val="en-US"/>
        </w:rPr>
        <w:t xml:space="preserve">Nkrumah, K., 1967. Neo-Colonialism: The Last Stage of Imperialism. </w:t>
      </w:r>
      <w:r w:rsidRPr="00F8630C">
        <w:rPr>
          <w:i/>
          <w:lang w:val="en-US"/>
        </w:rPr>
        <w:t>Science and Society</w:t>
      </w:r>
      <w:r w:rsidRPr="00F8630C">
        <w:rPr>
          <w:lang w:val="en-US"/>
        </w:rPr>
        <w:t>, 31 (1), 78-81.</w:t>
      </w:r>
    </w:p>
    <w:p w14:paraId="58D615F9" w14:textId="77F7AEF5" w:rsidR="00BD6503" w:rsidRPr="0084300B" w:rsidRDefault="007C3090" w:rsidP="00B028D8">
      <w:pPr>
        <w:pStyle w:val="Bibliography"/>
        <w:rPr>
          <w:lang w:val="en-US"/>
        </w:rPr>
      </w:pPr>
      <w:r w:rsidRPr="00CF3106">
        <w:rPr>
          <w:lang w:val="en-US"/>
        </w:rPr>
        <w:t>O’Connor</w:t>
      </w:r>
      <w:r w:rsidR="00BD6503" w:rsidRPr="00F8630C">
        <w:rPr>
          <w:lang w:val="en-US"/>
        </w:rPr>
        <w:t xml:space="preserve">, J., 1993. Gender, Class and Citizenship in the Comparative Analysis of Welfare State Regimes: Theoretical and Methodological Issues. </w:t>
      </w:r>
      <w:r w:rsidR="00BD6503" w:rsidRPr="00F8630C">
        <w:rPr>
          <w:i/>
          <w:lang w:val="en-US"/>
        </w:rPr>
        <w:t>The British Journal of Sociology</w:t>
      </w:r>
      <w:r w:rsidR="0084300B">
        <w:rPr>
          <w:lang w:val="en-US"/>
        </w:rPr>
        <w:t xml:space="preserve"> [online], </w:t>
      </w:r>
      <w:r w:rsidR="00BD6503" w:rsidRPr="00F8630C">
        <w:rPr>
          <w:lang w:val="en-US"/>
        </w:rPr>
        <w:t>44</w:t>
      </w:r>
      <w:r w:rsidR="0084300B">
        <w:rPr>
          <w:lang w:val="en-US"/>
        </w:rPr>
        <w:t xml:space="preserve"> </w:t>
      </w:r>
      <w:r w:rsidR="00BD6503" w:rsidRPr="00F8630C">
        <w:rPr>
          <w:lang w:val="en-US"/>
        </w:rPr>
        <w:t xml:space="preserve">(3), 501-518. </w:t>
      </w:r>
      <w:r w:rsidR="0084300B">
        <w:rPr>
          <w:lang w:val="en-US"/>
        </w:rPr>
        <w:t xml:space="preserve">Available from: </w:t>
      </w:r>
      <w:hyperlink r:id="rId56" w:history="1">
        <w:r w:rsidR="00ED58F8" w:rsidRPr="00CF3106">
          <w:rPr>
            <w:rStyle w:val="Hyperlink"/>
            <w:lang w:val="en-US"/>
          </w:rPr>
          <w:t>https://www.jstor.org/stable/591814</w:t>
        </w:r>
      </w:hyperlink>
      <w:r w:rsidR="00ED58F8">
        <w:rPr>
          <w:lang w:val="en-US"/>
        </w:rPr>
        <w:t xml:space="preserve"> [Accessed 27 July 2018].</w:t>
      </w:r>
    </w:p>
    <w:p w14:paraId="6B666344" w14:textId="73FFEAE1" w:rsidR="00BD6503" w:rsidRPr="00F8630C" w:rsidRDefault="00BD6503" w:rsidP="00B028D8">
      <w:pPr>
        <w:pStyle w:val="Bibliography"/>
        <w:rPr>
          <w:lang w:val="en-US"/>
        </w:rPr>
      </w:pPr>
      <w:proofErr w:type="gramStart"/>
      <w:r w:rsidRPr="00F8630C">
        <w:rPr>
          <w:lang w:val="en-US"/>
        </w:rPr>
        <w:t>Ong, A., 2006a.</w:t>
      </w:r>
      <w:proofErr w:type="gramEnd"/>
      <w:r w:rsidRPr="00F8630C">
        <w:rPr>
          <w:lang w:val="en-US"/>
        </w:rPr>
        <w:t xml:space="preserve"> </w:t>
      </w:r>
      <w:proofErr w:type="gramStart"/>
      <w:r w:rsidRPr="00F8630C">
        <w:rPr>
          <w:lang w:val="en-US"/>
        </w:rPr>
        <w:t>Mutations in Citizenship.</w:t>
      </w:r>
      <w:proofErr w:type="gramEnd"/>
      <w:r w:rsidRPr="00F8630C">
        <w:rPr>
          <w:lang w:val="en-US"/>
        </w:rPr>
        <w:t xml:space="preserve"> </w:t>
      </w:r>
      <w:r w:rsidRPr="00F8630C">
        <w:rPr>
          <w:i/>
          <w:lang w:val="en-US"/>
        </w:rPr>
        <w:t>Theory, Culture &amp; Society</w:t>
      </w:r>
      <w:r w:rsidR="0084300B">
        <w:rPr>
          <w:lang w:val="en-US"/>
        </w:rPr>
        <w:t xml:space="preserve"> [online],</w:t>
      </w:r>
      <w:r w:rsidRPr="00F8630C">
        <w:rPr>
          <w:lang w:val="en-US"/>
        </w:rPr>
        <w:t xml:space="preserve"> 23</w:t>
      </w:r>
      <w:r w:rsidR="0084300B">
        <w:rPr>
          <w:lang w:val="en-US"/>
        </w:rPr>
        <w:t xml:space="preserve"> </w:t>
      </w:r>
      <w:r w:rsidRPr="00F8630C">
        <w:rPr>
          <w:lang w:val="en-US"/>
        </w:rPr>
        <w:t>(2–3), 499–531.</w:t>
      </w:r>
      <w:r w:rsidR="0084300B">
        <w:rPr>
          <w:lang w:val="en-US"/>
        </w:rPr>
        <w:t xml:space="preserve"> Available from: </w:t>
      </w:r>
      <w:r w:rsidR="0084300B" w:rsidRPr="0084300B">
        <w:rPr>
          <w:lang w:val="en-US"/>
        </w:rPr>
        <w:t>https://doi.org/10.1177%2F0263276406064831</w:t>
      </w:r>
    </w:p>
    <w:p w14:paraId="270C50EF" w14:textId="3BE2BFEF" w:rsidR="00BD6503" w:rsidRPr="00F8630C" w:rsidRDefault="00BD6503" w:rsidP="00B028D8">
      <w:pPr>
        <w:pStyle w:val="Bibliography"/>
        <w:rPr>
          <w:lang w:val="en-US"/>
        </w:rPr>
      </w:pPr>
      <w:proofErr w:type="gramStart"/>
      <w:r w:rsidRPr="00F8630C">
        <w:rPr>
          <w:lang w:val="en-US"/>
        </w:rPr>
        <w:t>Ong, A., 2006b.</w:t>
      </w:r>
      <w:proofErr w:type="gramEnd"/>
      <w:r w:rsidRPr="00F8630C">
        <w:rPr>
          <w:lang w:val="en-US"/>
        </w:rPr>
        <w:t xml:space="preserve"> </w:t>
      </w:r>
      <w:r w:rsidRPr="00F8630C">
        <w:rPr>
          <w:i/>
          <w:lang w:val="en-US"/>
        </w:rPr>
        <w:t>Neoliberalism as Exception: mutations in citizenship and sovereignty</w:t>
      </w:r>
      <w:r w:rsidRPr="00F8630C">
        <w:rPr>
          <w:lang w:val="en-US"/>
        </w:rPr>
        <w:t>. Durham</w:t>
      </w:r>
      <w:r w:rsidR="0084300B">
        <w:rPr>
          <w:lang w:val="en-US"/>
        </w:rPr>
        <w:t xml:space="preserve">, NC / </w:t>
      </w:r>
      <w:r w:rsidRPr="00F8630C">
        <w:rPr>
          <w:lang w:val="en-US"/>
        </w:rPr>
        <w:t>London: Duke University Press.</w:t>
      </w:r>
    </w:p>
    <w:p w14:paraId="23E207E8" w14:textId="26A19F6C" w:rsidR="00BD6503" w:rsidRPr="00077FF0" w:rsidRDefault="00BD6503" w:rsidP="00B028D8">
      <w:pPr>
        <w:pStyle w:val="Bibliography"/>
        <w:rPr>
          <w:lang w:val="en-US"/>
        </w:rPr>
      </w:pPr>
      <w:proofErr w:type="gramStart"/>
      <w:r w:rsidRPr="00F8630C">
        <w:rPr>
          <w:lang w:val="en-US"/>
        </w:rPr>
        <w:t>Patton, M., 2015.</w:t>
      </w:r>
      <w:proofErr w:type="gramEnd"/>
      <w:r w:rsidRPr="00F8630C">
        <w:rPr>
          <w:lang w:val="en-US"/>
        </w:rPr>
        <w:t xml:space="preserve"> </w:t>
      </w:r>
      <w:proofErr w:type="gramStart"/>
      <w:r w:rsidRPr="00F8630C">
        <w:rPr>
          <w:lang w:val="en-US"/>
        </w:rPr>
        <w:t xml:space="preserve">A Brief History </w:t>
      </w:r>
      <w:r w:rsidR="00077FF0" w:rsidRPr="00F8630C">
        <w:rPr>
          <w:lang w:val="en-US"/>
        </w:rPr>
        <w:t xml:space="preserve">of the </w:t>
      </w:r>
      <w:r w:rsidRPr="00F8630C">
        <w:rPr>
          <w:lang w:val="en-US"/>
        </w:rPr>
        <w:t xml:space="preserve">Individual </w:t>
      </w:r>
      <w:r w:rsidR="00077FF0" w:rsidRPr="00F8630C">
        <w:rPr>
          <w:lang w:val="en-US"/>
        </w:rPr>
        <w:t xml:space="preserve">and </w:t>
      </w:r>
      <w:r w:rsidRPr="00F8630C">
        <w:rPr>
          <w:lang w:val="en-US"/>
        </w:rPr>
        <w:t>Corporate Income Tax</w:t>
      </w:r>
      <w:r w:rsidR="00077FF0">
        <w:rPr>
          <w:lang w:val="en-US"/>
        </w:rPr>
        <w:t>.</w:t>
      </w:r>
      <w:proofErr w:type="gramEnd"/>
      <w:r w:rsidRPr="00F8630C">
        <w:rPr>
          <w:lang w:val="en-US"/>
        </w:rPr>
        <w:t xml:space="preserve"> </w:t>
      </w:r>
      <w:proofErr w:type="gramStart"/>
      <w:r w:rsidRPr="00F8630C">
        <w:rPr>
          <w:i/>
          <w:lang w:val="en-US"/>
        </w:rPr>
        <w:t>Forbes</w:t>
      </w:r>
      <w:r w:rsidR="00077FF0">
        <w:rPr>
          <w:lang w:val="en-US"/>
        </w:rPr>
        <w:t xml:space="preserve"> [online], 31 October.</w:t>
      </w:r>
      <w:proofErr w:type="gramEnd"/>
      <w:r w:rsidR="00077FF0">
        <w:rPr>
          <w:lang w:val="en-US"/>
        </w:rPr>
        <w:t xml:space="preserve"> </w:t>
      </w:r>
      <w:r w:rsidRPr="00F8630C">
        <w:rPr>
          <w:lang w:val="en-US"/>
        </w:rPr>
        <w:t xml:space="preserve">Available </w:t>
      </w:r>
      <w:r w:rsidR="00077FF0">
        <w:rPr>
          <w:lang w:val="en-US"/>
        </w:rPr>
        <w:t>from</w:t>
      </w:r>
      <w:r w:rsidRPr="00F8630C">
        <w:rPr>
          <w:lang w:val="en-US"/>
        </w:rPr>
        <w:t xml:space="preserve">: </w:t>
      </w:r>
      <w:hyperlink r:id="rId57" w:anchor="7bc8549c66b5" w:history="1">
        <w:r w:rsidR="00ED58F8" w:rsidRPr="00A66D8F">
          <w:rPr>
            <w:rStyle w:val="Hyperlink"/>
            <w:lang w:val="en-US"/>
          </w:rPr>
          <w:t>https://www.forbes.com/sites/mikepatton/2015/10/31/a-brief-history-of-the-individual-and-corporate-income-tax/#7bc8549c66b5</w:t>
        </w:r>
      </w:hyperlink>
      <w:r w:rsidR="00ED58F8">
        <w:rPr>
          <w:lang w:val="en-US"/>
        </w:rPr>
        <w:t xml:space="preserve"> [Accessed 27 July 2018].</w:t>
      </w:r>
    </w:p>
    <w:p w14:paraId="4FAB507F" w14:textId="206589BE" w:rsidR="00BD6503" w:rsidRPr="00F8630C" w:rsidRDefault="00BD6503" w:rsidP="00B028D8">
      <w:pPr>
        <w:pStyle w:val="Bibliography"/>
        <w:rPr>
          <w:lang w:val="en-US"/>
        </w:rPr>
      </w:pPr>
      <w:proofErr w:type="gramStart"/>
      <w:r w:rsidRPr="00077FF0">
        <w:rPr>
          <w:lang w:val="en-US"/>
        </w:rPr>
        <w:t>Pérez-Rocha, M., 2016.</w:t>
      </w:r>
      <w:proofErr w:type="gramEnd"/>
      <w:r w:rsidRPr="00077FF0">
        <w:rPr>
          <w:lang w:val="en-US"/>
        </w:rPr>
        <w:t xml:space="preserve"> </w:t>
      </w:r>
      <w:proofErr w:type="gramStart"/>
      <w:r w:rsidRPr="00077FF0">
        <w:rPr>
          <w:lang w:val="en-US"/>
        </w:rPr>
        <w:t xml:space="preserve">Free </w:t>
      </w:r>
      <w:r w:rsidR="00077FF0" w:rsidRPr="00F8630C">
        <w:rPr>
          <w:lang w:val="en-US"/>
        </w:rPr>
        <w:t>Trade’s</w:t>
      </w:r>
      <w:r w:rsidRPr="00F8630C">
        <w:rPr>
          <w:lang w:val="en-US"/>
        </w:rPr>
        <w:t xml:space="preserve"> Chilling Effects</w:t>
      </w:r>
      <w:r w:rsidR="00077FF0">
        <w:rPr>
          <w:lang w:val="en-US"/>
        </w:rPr>
        <w:t>.</w:t>
      </w:r>
      <w:proofErr w:type="gramEnd"/>
      <w:r w:rsidRPr="00F8630C">
        <w:rPr>
          <w:lang w:val="en-US"/>
        </w:rPr>
        <w:t xml:space="preserve"> </w:t>
      </w:r>
      <w:r w:rsidRPr="00F8630C">
        <w:rPr>
          <w:i/>
          <w:lang w:val="en-US"/>
        </w:rPr>
        <w:t>NACLA Report on the Americas</w:t>
      </w:r>
      <w:r w:rsidR="00077FF0">
        <w:rPr>
          <w:lang w:val="en-US"/>
        </w:rPr>
        <w:t xml:space="preserve"> [online], </w:t>
      </w:r>
      <w:r w:rsidRPr="00F8630C">
        <w:rPr>
          <w:lang w:val="en-US"/>
        </w:rPr>
        <w:t>48</w:t>
      </w:r>
      <w:r w:rsidR="00077FF0">
        <w:rPr>
          <w:lang w:val="en-US"/>
        </w:rPr>
        <w:t xml:space="preserve"> </w:t>
      </w:r>
      <w:r w:rsidRPr="00F8630C">
        <w:rPr>
          <w:lang w:val="en-US"/>
        </w:rPr>
        <w:t>(3), 233-238.</w:t>
      </w:r>
      <w:r w:rsidR="00077FF0">
        <w:rPr>
          <w:lang w:val="en-US"/>
        </w:rPr>
        <w:t xml:space="preserve"> Available from: </w:t>
      </w:r>
      <w:hyperlink r:id="rId58" w:history="1">
        <w:r w:rsidR="00ED58F8" w:rsidRPr="00A66D8F">
          <w:rPr>
            <w:rStyle w:val="Hyperlink"/>
            <w:lang w:val="en-US"/>
          </w:rPr>
          <w:t>https://doi.org/10.1080/10714839.2016.1228169</w:t>
        </w:r>
      </w:hyperlink>
      <w:r w:rsidR="00ED58F8">
        <w:rPr>
          <w:lang w:val="en-US"/>
        </w:rPr>
        <w:t xml:space="preserve"> [Accessed 27 July 2018].</w:t>
      </w:r>
    </w:p>
    <w:p w14:paraId="692370F7" w14:textId="4B7048B8" w:rsidR="00BD6503" w:rsidRPr="00077FF0" w:rsidRDefault="00BD6503" w:rsidP="00B028D8">
      <w:pPr>
        <w:pStyle w:val="Bibliography"/>
        <w:rPr>
          <w:lang w:val="en-US"/>
        </w:rPr>
      </w:pPr>
      <w:proofErr w:type="gramStart"/>
      <w:r w:rsidRPr="00F8630C">
        <w:rPr>
          <w:lang w:val="en-US"/>
        </w:rPr>
        <w:t>Perrone, N., forthcoming 2018.</w:t>
      </w:r>
      <w:proofErr w:type="gramEnd"/>
      <w:r w:rsidRPr="00F8630C">
        <w:rPr>
          <w:lang w:val="en-US"/>
        </w:rPr>
        <w:t xml:space="preserve"> </w:t>
      </w:r>
      <w:proofErr w:type="gramStart"/>
      <w:r w:rsidRPr="00F8630C">
        <w:rPr>
          <w:lang w:val="en-US"/>
        </w:rPr>
        <w:t>UNCTAD</w:t>
      </w:r>
      <w:r w:rsidR="00077FF0">
        <w:rPr>
          <w:lang w:val="en-US"/>
        </w:rPr>
        <w:t>’</w:t>
      </w:r>
      <w:r w:rsidRPr="00F8630C">
        <w:rPr>
          <w:lang w:val="en-US"/>
        </w:rPr>
        <w:t>s World Investment Reports 1991–2015: 25 Years of Narratives Justifying and Balancing Foreign Investor Rights.</w:t>
      </w:r>
      <w:proofErr w:type="gramEnd"/>
      <w:r w:rsidRPr="00F8630C">
        <w:rPr>
          <w:lang w:val="en-US"/>
        </w:rPr>
        <w:t xml:space="preserve"> </w:t>
      </w:r>
      <w:r w:rsidRPr="00F8630C">
        <w:rPr>
          <w:i/>
          <w:lang w:val="en-US"/>
        </w:rPr>
        <w:t>Journal of World Investment &amp; Trade</w:t>
      </w:r>
      <w:r w:rsidR="00077FF0">
        <w:rPr>
          <w:lang w:val="en-US"/>
        </w:rPr>
        <w:t xml:space="preserve"> [online], final draft posted on 21 September 2017. Available from: </w:t>
      </w:r>
      <w:hyperlink r:id="rId59" w:history="1">
        <w:r w:rsidR="00ED58F8" w:rsidRPr="00A66D8F">
          <w:rPr>
            <w:rStyle w:val="Hyperlink"/>
            <w:lang w:val="en-US"/>
          </w:rPr>
          <w:t>http://dx.doi.org/10.2139/ssrn.3040028</w:t>
        </w:r>
      </w:hyperlink>
      <w:r w:rsidR="00ED58F8">
        <w:rPr>
          <w:lang w:val="en-US"/>
        </w:rPr>
        <w:t xml:space="preserve"> [Accessed 27 July 2018].</w:t>
      </w:r>
    </w:p>
    <w:p w14:paraId="2AE41C74" w14:textId="1940D6D5" w:rsidR="00BD6503" w:rsidRPr="00F8630C" w:rsidRDefault="00BD6503" w:rsidP="00B028D8">
      <w:pPr>
        <w:pStyle w:val="Bibliography"/>
        <w:rPr>
          <w:lang w:val="en-US"/>
        </w:rPr>
      </w:pPr>
      <w:r w:rsidRPr="00F8630C">
        <w:rPr>
          <w:lang w:val="en-US"/>
        </w:rPr>
        <w:lastRenderedPageBreak/>
        <w:t xml:space="preserve">Pocock, J.G.A., 1992. </w:t>
      </w:r>
      <w:proofErr w:type="gramStart"/>
      <w:r w:rsidRPr="00F8630C">
        <w:rPr>
          <w:lang w:val="en-US"/>
        </w:rPr>
        <w:t xml:space="preserve">The Ideal of Citizenship </w:t>
      </w:r>
      <w:r w:rsidR="00077FF0" w:rsidRPr="00F8630C">
        <w:rPr>
          <w:lang w:val="en-US"/>
        </w:rPr>
        <w:t xml:space="preserve">since </w:t>
      </w:r>
      <w:r w:rsidRPr="00F8630C">
        <w:rPr>
          <w:lang w:val="en-US"/>
        </w:rPr>
        <w:t>Classical Times.</w:t>
      </w:r>
      <w:proofErr w:type="gramEnd"/>
      <w:r w:rsidRPr="00F8630C">
        <w:rPr>
          <w:lang w:val="en-US"/>
        </w:rPr>
        <w:t xml:space="preserve"> </w:t>
      </w:r>
      <w:r w:rsidR="00077FF0" w:rsidRPr="00F8630C">
        <w:rPr>
          <w:i/>
          <w:lang w:val="en-US"/>
        </w:rPr>
        <w:t>Queen’s</w:t>
      </w:r>
      <w:r w:rsidRPr="00F8630C">
        <w:rPr>
          <w:i/>
          <w:lang w:val="en-US"/>
        </w:rPr>
        <w:t xml:space="preserve"> Quarterly</w:t>
      </w:r>
      <w:r w:rsidRPr="00F8630C">
        <w:rPr>
          <w:lang w:val="en-US"/>
        </w:rPr>
        <w:t>,</w:t>
      </w:r>
      <w:r w:rsidR="005A3FD3" w:rsidRPr="00F8630C">
        <w:rPr>
          <w:lang w:val="en-US"/>
        </w:rPr>
        <w:t xml:space="preserve"> </w:t>
      </w:r>
      <w:r w:rsidRPr="00F8630C">
        <w:rPr>
          <w:lang w:val="en-US"/>
        </w:rPr>
        <w:t>99</w:t>
      </w:r>
      <w:r w:rsidR="00077FF0">
        <w:rPr>
          <w:lang w:val="en-US"/>
        </w:rPr>
        <w:t xml:space="preserve"> </w:t>
      </w:r>
      <w:r w:rsidRPr="00F8630C">
        <w:rPr>
          <w:lang w:val="en-US"/>
        </w:rPr>
        <w:t xml:space="preserve">(1), 33-52. </w:t>
      </w:r>
    </w:p>
    <w:p w14:paraId="67C20760" w14:textId="677E70EF" w:rsidR="00BD6503" w:rsidRPr="00077FF0" w:rsidRDefault="00BD6503" w:rsidP="00B028D8">
      <w:pPr>
        <w:pStyle w:val="Bibliography"/>
        <w:rPr>
          <w:lang w:val="en-US"/>
        </w:rPr>
      </w:pPr>
      <w:proofErr w:type="gramStart"/>
      <w:r w:rsidRPr="00077FF0">
        <w:rPr>
          <w:lang w:val="en-US"/>
        </w:rPr>
        <w:t>Prior, D., Stewart, J. and Walsh, K., 1995.</w:t>
      </w:r>
      <w:proofErr w:type="gramEnd"/>
      <w:r w:rsidR="005A3FD3" w:rsidRPr="00077FF0">
        <w:rPr>
          <w:lang w:val="en-US"/>
        </w:rPr>
        <w:t xml:space="preserve"> </w:t>
      </w:r>
      <w:r w:rsidRPr="00077FF0">
        <w:rPr>
          <w:i/>
          <w:lang w:val="en-US"/>
        </w:rPr>
        <w:t>Citizenship: Rights, Community Participation</w:t>
      </w:r>
      <w:r w:rsidR="007B0684">
        <w:rPr>
          <w:lang w:val="en-US"/>
        </w:rPr>
        <w:t xml:space="preserve">. </w:t>
      </w:r>
      <w:r w:rsidRPr="00077FF0">
        <w:rPr>
          <w:lang w:val="en-US"/>
        </w:rPr>
        <w:t>London: Pitman.</w:t>
      </w:r>
    </w:p>
    <w:p w14:paraId="154DC310" w14:textId="77777777" w:rsidR="001D0BBF" w:rsidRPr="00F8630C" w:rsidRDefault="001D0BBF" w:rsidP="001D0BBF">
      <w:pPr>
        <w:pStyle w:val="Bibliography"/>
        <w:rPr>
          <w:lang w:val="en-GB"/>
        </w:rPr>
      </w:pPr>
      <w:r w:rsidRPr="00F8630C">
        <w:rPr>
          <w:lang w:val="en-GB"/>
        </w:rPr>
        <w:t xml:space="preserve">Rankin, J., 2017. EU to find ways to make Google, Facebook and Amazon pay more tax. </w:t>
      </w:r>
      <w:r w:rsidRPr="00CF3106">
        <w:rPr>
          <w:i/>
          <w:lang w:val="en-GB"/>
        </w:rPr>
        <w:t>The Guardian</w:t>
      </w:r>
      <w:r w:rsidRPr="00F8630C">
        <w:rPr>
          <w:lang w:val="en-GB"/>
        </w:rPr>
        <w:t xml:space="preserve"> [online], 21 September. Available from: </w:t>
      </w:r>
      <w:hyperlink r:id="rId60" w:history="1">
        <w:r w:rsidRPr="00F8630C">
          <w:rPr>
            <w:rStyle w:val="Hyperlink"/>
            <w:lang w:val="en-GB"/>
          </w:rPr>
          <w:t>https://www.theguardian.com/business/2017/sep/21/tech-firms-tax-eu-turnover-google-amazon-apple</w:t>
        </w:r>
      </w:hyperlink>
      <w:r>
        <w:rPr>
          <w:lang w:val="en-GB"/>
        </w:rPr>
        <w:t xml:space="preserve"> </w:t>
      </w:r>
      <w:r>
        <w:rPr>
          <w:lang w:val="en-US"/>
        </w:rPr>
        <w:t>[Accessed 27 July 2018].</w:t>
      </w:r>
    </w:p>
    <w:p w14:paraId="73121420" w14:textId="78BF6C91" w:rsidR="00BD6503" w:rsidRPr="00F8630C" w:rsidRDefault="00BD6503" w:rsidP="00B028D8">
      <w:pPr>
        <w:pStyle w:val="Bibliography"/>
        <w:rPr>
          <w:lang w:val="en-US"/>
        </w:rPr>
      </w:pPr>
      <w:r w:rsidRPr="00F8630C">
        <w:rPr>
          <w:lang w:val="en-US"/>
        </w:rPr>
        <w:t xml:space="preserve">Rawls, J., 1993. </w:t>
      </w:r>
      <w:r w:rsidRPr="00F8630C">
        <w:rPr>
          <w:i/>
          <w:lang w:val="en-US"/>
        </w:rPr>
        <w:t>Political Liberalism</w:t>
      </w:r>
      <w:r w:rsidRPr="00F8630C">
        <w:rPr>
          <w:lang w:val="en-US"/>
        </w:rPr>
        <w:t>. New York: Col</w:t>
      </w:r>
      <w:r w:rsidR="007B0684">
        <w:rPr>
          <w:lang w:val="en-US"/>
        </w:rPr>
        <w:t>u</w:t>
      </w:r>
      <w:r w:rsidRPr="00F8630C">
        <w:rPr>
          <w:lang w:val="en-US"/>
        </w:rPr>
        <w:t>mbia University Press.</w:t>
      </w:r>
    </w:p>
    <w:p w14:paraId="326A8D62" w14:textId="62B4FE85" w:rsidR="00BD6503" w:rsidRPr="007B0684" w:rsidRDefault="00BD6503" w:rsidP="00B028D8">
      <w:pPr>
        <w:pStyle w:val="Bibliography"/>
        <w:rPr>
          <w:lang w:val="en-US"/>
        </w:rPr>
      </w:pPr>
      <w:r w:rsidRPr="007B0684">
        <w:rPr>
          <w:lang w:val="en-US"/>
        </w:rPr>
        <w:t>Romero, A.T., 1995. Labour Standards and Export Processing Zones: Situation and Pressures for Change.</w:t>
      </w:r>
      <w:r w:rsidR="005A3FD3" w:rsidRPr="007B0684">
        <w:rPr>
          <w:lang w:val="en-US"/>
        </w:rPr>
        <w:t xml:space="preserve"> </w:t>
      </w:r>
      <w:r w:rsidRPr="007B0684">
        <w:rPr>
          <w:i/>
          <w:lang w:val="en-US"/>
        </w:rPr>
        <w:t>Development Policy Review</w:t>
      </w:r>
      <w:r w:rsidR="007B0684">
        <w:rPr>
          <w:lang w:val="en-US"/>
        </w:rPr>
        <w:t xml:space="preserve"> [online], </w:t>
      </w:r>
      <w:r w:rsidRPr="007B0684">
        <w:rPr>
          <w:lang w:val="en-US"/>
        </w:rPr>
        <w:t>13</w:t>
      </w:r>
      <w:r w:rsidR="007B0684">
        <w:rPr>
          <w:lang w:val="en-US"/>
        </w:rPr>
        <w:t xml:space="preserve"> </w:t>
      </w:r>
      <w:r w:rsidRPr="007B0684">
        <w:rPr>
          <w:lang w:val="en-US"/>
        </w:rPr>
        <w:t>(3), 247-276.</w:t>
      </w:r>
      <w:r w:rsidR="007B0684">
        <w:rPr>
          <w:lang w:val="en-US"/>
        </w:rPr>
        <w:t xml:space="preserve"> Available from: </w:t>
      </w:r>
      <w:hyperlink r:id="rId61" w:history="1">
        <w:r w:rsidR="00ED58F8" w:rsidRPr="00A66D8F">
          <w:rPr>
            <w:rStyle w:val="Hyperlink"/>
            <w:lang w:val="en-US"/>
          </w:rPr>
          <w:t>https://doi.org/10.1111/j.1467-7679.1995.tb00093.x</w:t>
        </w:r>
      </w:hyperlink>
      <w:r w:rsidR="00ED58F8">
        <w:rPr>
          <w:lang w:val="en-US"/>
        </w:rPr>
        <w:t xml:space="preserve"> [Accessed 27 July 2018].</w:t>
      </w:r>
    </w:p>
    <w:p w14:paraId="7E3BCEF3" w14:textId="54951A4B" w:rsidR="00BD6503" w:rsidRPr="00F8630C" w:rsidRDefault="00BD6503" w:rsidP="00B028D8">
      <w:pPr>
        <w:pStyle w:val="Bibliography"/>
        <w:rPr>
          <w:lang w:val="en-US"/>
        </w:rPr>
      </w:pPr>
      <w:r w:rsidRPr="00F8630C">
        <w:rPr>
          <w:lang w:val="en-US"/>
        </w:rPr>
        <w:t xml:space="preserve">Saiia, D., and Cyphert, D., 2003. </w:t>
      </w:r>
      <w:proofErr w:type="gramStart"/>
      <w:r w:rsidRPr="00F8630C">
        <w:rPr>
          <w:lang w:val="en-US"/>
        </w:rPr>
        <w:t>The Public Discourse of the Corporate Citizen.</w:t>
      </w:r>
      <w:proofErr w:type="gramEnd"/>
      <w:r w:rsidRPr="00F8630C">
        <w:rPr>
          <w:lang w:val="en-US"/>
        </w:rPr>
        <w:t xml:space="preserve"> </w:t>
      </w:r>
      <w:r w:rsidRPr="00F8630C">
        <w:rPr>
          <w:i/>
          <w:lang w:val="en-US"/>
        </w:rPr>
        <w:t>Corporate Reputation Review</w:t>
      </w:r>
      <w:r w:rsidR="007602CB">
        <w:rPr>
          <w:lang w:val="en-US"/>
        </w:rPr>
        <w:t xml:space="preserve"> [online],</w:t>
      </w:r>
      <w:r w:rsidRPr="00F8630C">
        <w:rPr>
          <w:lang w:val="en-US"/>
        </w:rPr>
        <w:t xml:space="preserve"> 6</w:t>
      </w:r>
      <w:r w:rsidR="007602CB">
        <w:rPr>
          <w:lang w:val="en-US"/>
        </w:rPr>
        <w:t xml:space="preserve"> </w:t>
      </w:r>
      <w:r w:rsidRPr="00F8630C">
        <w:rPr>
          <w:lang w:val="en-US"/>
        </w:rPr>
        <w:t>(1), 47–57.</w:t>
      </w:r>
      <w:r w:rsidR="007602CB">
        <w:rPr>
          <w:lang w:val="en-US"/>
        </w:rPr>
        <w:t xml:space="preserve"> Available from: </w:t>
      </w:r>
      <w:hyperlink r:id="rId62" w:history="1">
        <w:r w:rsidR="00ED58F8" w:rsidRPr="00A66D8F">
          <w:rPr>
            <w:rStyle w:val="Hyperlink"/>
            <w:lang w:val="en-US"/>
          </w:rPr>
          <w:t>https://doi.org/10.1057/palgrave.crr.1540189</w:t>
        </w:r>
      </w:hyperlink>
      <w:r w:rsidR="00ED58F8">
        <w:rPr>
          <w:lang w:val="en-US"/>
        </w:rPr>
        <w:t xml:space="preserve"> [Accessed 27 July 2018].</w:t>
      </w:r>
    </w:p>
    <w:p w14:paraId="4912D242" w14:textId="77777777" w:rsidR="00BD6503" w:rsidRPr="00F8630C" w:rsidRDefault="00BD6503" w:rsidP="00B028D8">
      <w:pPr>
        <w:pStyle w:val="Bibliography"/>
        <w:rPr>
          <w:lang w:val="en-US"/>
        </w:rPr>
      </w:pPr>
      <w:proofErr w:type="gramStart"/>
      <w:r w:rsidRPr="00F8630C">
        <w:rPr>
          <w:lang w:val="en-US"/>
        </w:rPr>
        <w:t>Shaxson, N., 2012.</w:t>
      </w:r>
      <w:proofErr w:type="gramEnd"/>
      <w:r w:rsidRPr="00F8630C">
        <w:rPr>
          <w:lang w:val="en-US"/>
        </w:rPr>
        <w:t xml:space="preserve"> </w:t>
      </w:r>
      <w:r w:rsidRPr="00F8630C">
        <w:rPr>
          <w:i/>
          <w:lang w:val="en-US"/>
        </w:rPr>
        <w:t>Treasure Islands: tax havens and the men who stole the world</w:t>
      </w:r>
      <w:r w:rsidRPr="00F8630C">
        <w:rPr>
          <w:lang w:val="en-US"/>
        </w:rPr>
        <w:t>. London: Vintage.</w:t>
      </w:r>
    </w:p>
    <w:p w14:paraId="46E8BC1B" w14:textId="771E9140" w:rsidR="00BD6503" w:rsidRPr="007602CB" w:rsidRDefault="00BD6503" w:rsidP="00B028D8">
      <w:pPr>
        <w:pStyle w:val="Bibliography"/>
        <w:rPr>
          <w:lang w:val="en-US"/>
        </w:rPr>
      </w:pPr>
      <w:r w:rsidRPr="007602CB">
        <w:rPr>
          <w:lang w:val="en-US"/>
        </w:rPr>
        <w:t xml:space="preserve">Singh, A.M., 2005. Private Security and Crime Control. </w:t>
      </w:r>
      <w:r w:rsidRPr="007602CB">
        <w:rPr>
          <w:i/>
          <w:lang w:val="en-US"/>
        </w:rPr>
        <w:t>Theoretical Criminology</w:t>
      </w:r>
      <w:r w:rsidR="007602CB">
        <w:rPr>
          <w:lang w:val="en-US"/>
        </w:rPr>
        <w:t xml:space="preserve"> [online], </w:t>
      </w:r>
      <w:r w:rsidRPr="007602CB">
        <w:rPr>
          <w:lang w:val="en-US"/>
        </w:rPr>
        <w:t>9</w:t>
      </w:r>
      <w:r w:rsidR="007602CB">
        <w:rPr>
          <w:lang w:val="en-US"/>
        </w:rPr>
        <w:t xml:space="preserve"> </w:t>
      </w:r>
      <w:r w:rsidRPr="007602CB">
        <w:rPr>
          <w:lang w:val="en-US"/>
        </w:rPr>
        <w:t>(2), 153–174.</w:t>
      </w:r>
      <w:r w:rsidR="007602CB">
        <w:rPr>
          <w:lang w:val="en-US"/>
        </w:rPr>
        <w:t xml:space="preserve"> Available from: </w:t>
      </w:r>
      <w:hyperlink r:id="rId63" w:history="1">
        <w:r w:rsidR="00ED58F8" w:rsidRPr="00A66D8F">
          <w:rPr>
            <w:rStyle w:val="Hyperlink"/>
            <w:lang w:val="en-US"/>
          </w:rPr>
          <w:t>https://doi.org/10.1177%2F1362480605051638</w:t>
        </w:r>
      </w:hyperlink>
      <w:r w:rsidR="00ED58F8">
        <w:rPr>
          <w:lang w:val="en-US"/>
        </w:rPr>
        <w:t xml:space="preserve"> [Accessed 27 July 2018].</w:t>
      </w:r>
    </w:p>
    <w:p w14:paraId="33AC578D" w14:textId="77777777" w:rsidR="00BD6503" w:rsidRPr="00F8630C" w:rsidRDefault="00BD6503" w:rsidP="00B028D8">
      <w:pPr>
        <w:pStyle w:val="Bibliography"/>
        <w:rPr>
          <w:lang w:val="en-US"/>
        </w:rPr>
      </w:pPr>
      <w:r w:rsidRPr="00F8630C">
        <w:rPr>
          <w:lang w:val="en-US"/>
        </w:rPr>
        <w:t xml:space="preserve">Slemrod, J., 2004. Are Corporate Tax Rates, or Countries, Converging? </w:t>
      </w:r>
      <w:proofErr w:type="gramStart"/>
      <w:r w:rsidRPr="00F8630C">
        <w:rPr>
          <w:i/>
          <w:lang w:val="en-US"/>
        </w:rPr>
        <w:t>Journal of Public Economics</w:t>
      </w:r>
      <w:r w:rsidRPr="00F8630C">
        <w:rPr>
          <w:lang w:val="en-US"/>
        </w:rPr>
        <w:t>, 88 (6), 1169-1186.</w:t>
      </w:r>
      <w:proofErr w:type="gramEnd"/>
    </w:p>
    <w:p w14:paraId="35BF5D51" w14:textId="6AB73491" w:rsidR="00BD6503" w:rsidRPr="00F8630C" w:rsidRDefault="00BD6503" w:rsidP="00B028D8">
      <w:pPr>
        <w:pStyle w:val="Bibliography"/>
        <w:rPr>
          <w:lang w:val="en-US"/>
        </w:rPr>
      </w:pPr>
      <w:proofErr w:type="gramStart"/>
      <w:r w:rsidRPr="00F8630C">
        <w:rPr>
          <w:lang w:val="en-US"/>
        </w:rPr>
        <w:t>Spencer, R., 2004.</w:t>
      </w:r>
      <w:proofErr w:type="gramEnd"/>
      <w:r w:rsidRPr="00F8630C">
        <w:rPr>
          <w:lang w:val="en-US"/>
        </w:rPr>
        <w:t xml:space="preserve"> </w:t>
      </w:r>
      <w:r w:rsidRPr="00F8630C">
        <w:rPr>
          <w:i/>
          <w:lang w:val="en-US"/>
        </w:rPr>
        <w:t>Corporate Law and Structures: Exposing the Roots of the Problem</w:t>
      </w:r>
      <w:r w:rsidR="007602CB">
        <w:rPr>
          <w:lang w:val="en-US"/>
        </w:rPr>
        <w:t xml:space="preserve"> [online].</w:t>
      </w:r>
      <w:r w:rsidRPr="00F8630C">
        <w:rPr>
          <w:lang w:val="en-US"/>
        </w:rPr>
        <w:t xml:space="preserve"> Oxford: Corporate Watch.</w:t>
      </w:r>
      <w:r w:rsidR="007602CB">
        <w:rPr>
          <w:lang w:val="en-US"/>
        </w:rPr>
        <w:t xml:space="preserve"> Available from: </w:t>
      </w:r>
      <w:hyperlink r:id="rId64" w:history="1">
        <w:r w:rsidR="00ED58F8" w:rsidRPr="00A66D8F">
          <w:rPr>
            <w:rStyle w:val="Hyperlink"/>
            <w:lang w:val="en-US"/>
          </w:rPr>
          <w:t>https://corporatewatch.org/wp-content/uploads/2017/09/corporate_structures.pdf</w:t>
        </w:r>
      </w:hyperlink>
      <w:r w:rsidR="00ED58F8">
        <w:rPr>
          <w:lang w:val="en-US"/>
        </w:rPr>
        <w:t xml:space="preserve"> [Accessed 27 July 2018].</w:t>
      </w:r>
    </w:p>
    <w:p w14:paraId="0714EB35" w14:textId="27EC30C6" w:rsidR="00BD6503" w:rsidRPr="007602CB" w:rsidRDefault="00BD6503" w:rsidP="00B028D8">
      <w:pPr>
        <w:pStyle w:val="Bibliography"/>
        <w:rPr>
          <w:lang w:val="en-US"/>
        </w:rPr>
      </w:pPr>
      <w:r w:rsidRPr="007602CB">
        <w:rPr>
          <w:lang w:val="en-US"/>
        </w:rPr>
        <w:t>Springer, S., 2013</w:t>
      </w:r>
      <w:r w:rsidR="007602CB">
        <w:rPr>
          <w:lang w:val="en-US"/>
        </w:rPr>
        <w:t>.</w:t>
      </w:r>
      <w:r w:rsidRPr="007602CB">
        <w:rPr>
          <w:lang w:val="en-US"/>
        </w:rPr>
        <w:t xml:space="preserve"> Violent Accumulation: A Postanarchist Critique of Property, Dispossession, and the State of Exception in Neoliberalizing Cambodia, </w:t>
      </w:r>
      <w:r w:rsidRPr="007602CB">
        <w:rPr>
          <w:i/>
          <w:lang w:val="en-US"/>
        </w:rPr>
        <w:t>Annals of the Association of American Geographers</w:t>
      </w:r>
      <w:r w:rsidR="007602CB">
        <w:rPr>
          <w:lang w:val="en-US"/>
        </w:rPr>
        <w:t xml:space="preserve"> [online],</w:t>
      </w:r>
      <w:r w:rsidRPr="007602CB">
        <w:rPr>
          <w:lang w:val="en-US"/>
        </w:rPr>
        <w:t xml:space="preserve"> 103</w:t>
      </w:r>
      <w:r w:rsidR="007602CB">
        <w:rPr>
          <w:lang w:val="en-US"/>
        </w:rPr>
        <w:t xml:space="preserve"> </w:t>
      </w:r>
      <w:r w:rsidRPr="007602CB">
        <w:rPr>
          <w:lang w:val="en-US"/>
        </w:rPr>
        <w:t>(3), 608-626.</w:t>
      </w:r>
      <w:r w:rsidR="007602CB">
        <w:rPr>
          <w:lang w:val="en-US"/>
        </w:rPr>
        <w:t xml:space="preserve"> Available from: </w:t>
      </w:r>
      <w:hyperlink r:id="rId65" w:history="1">
        <w:r w:rsidR="00ED58F8" w:rsidRPr="00A66D8F">
          <w:rPr>
            <w:rStyle w:val="Hyperlink"/>
            <w:lang w:val="en-US"/>
          </w:rPr>
          <w:t>https://doi.org/10.1080/00045608.2011.628259</w:t>
        </w:r>
      </w:hyperlink>
      <w:r w:rsidR="00ED58F8">
        <w:rPr>
          <w:lang w:val="en-US"/>
        </w:rPr>
        <w:t xml:space="preserve"> [Accessed 27 July 2018].</w:t>
      </w:r>
    </w:p>
    <w:p w14:paraId="5625C30A" w14:textId="4C7E7395" w:rsidR="00BD6503" w:rsidRPr="00F8630C" w:rsidRDefault="00BD6503" w:rsidP="00B028D8">
      <w:pPr>
        <w:pStyle w:val="Bibliography"/>
        <w:rPr>
          <w:lang w:val="en-US"/>
        </w:rPr>
      </w:pPr>
      <w:r w:rsidRPr="007602CB">
        <w:rPr>
          <w:lang w:val="en-US"/>
        </w:rPr>
        <w:t xml:space="preserve">Stangis, D. and Valvoda Smith, K., 2017. </w:t>
      </w:r>
      <w:r w:rsidRPr="007602CB">
        <w:rPr>
          <w:i/>
          <w:lang w:val="en-US"/>
        </w:rPr>
        <w:t xml:space="preserve">The </w:t>
      </w:r>
      <w:r w:rsidR="007602CB" w:rsidRPr="007602CB">
        <w:rPr>
          <w:i/>
          <w:lang w:val="en-US"/>
        </w:rPr>
        <w:t>Executive</w:t>
      </w:r>
      <w:r w:rsidR="007602CB" w:rsidRPr="00F8630C">
        <w:rPr>
          <w:i/>
          <w:lang w:val="en-US"/>
        </w:rPr>
        <w:t>’s</w:t>
      </w:r>
      <w:r w:rsidRPr="00F8630C">
        <w:rPr>
          <w:i/>
          <w:lang w:val="en-US"/>
        </w:rPr>
        <w:t xml:space="preserve"> Guide to 21st Century Corporate Citizenship: How your Company Can Win the Battle for Reputation and Impact</w:t>
      </w:r>
      <w:r w:rsidRPr="00F8630C">
        <w:rPr>
          <w:lang w:val="en-US"/>
        </w:rPr>
        <w:t>. Somerville, MA: Emerald.</w:t>
      </w:r>
      <w:r w:rsidR="005A3FD3" w:rsidRPr="00F8630C">
        <w:rPr>
          <w:lang w:val="en-US"/>
        </w:rPr>
        <w:t xml:space="preserve"> </w:t>
      </w:r>
    </w:p>
    <w:p w14:paraId="11EEE638" w14:textId="64F9753B" w:rsidR="00BD6503" w:rsidRPr="00F8630C" w:rsidRDefault="00BD6503" w:rsidP="00B028D8">
      <w:pPr>
        <w:pStyle w:val="Bibliography"/>
        <w:rPr>
          <w:lang w:val="en-US"/>
        </w:rPr>
      </w:pPr>
      <w:r w:rsidRPr="00F8630C">
        <w:rPr>
          <w:lang w:val="en-US"/>
        </w:rPr>
        <w:t>Helgesson, K</w:t>
      </w:r>
      <w:r w:rsidR="002B7681">
        <w:rPr>
          <w:lang w:val="en-US"/>
        </w:rPr>
        <w:t>.S.</w:t>
      </w:r>
      <w:r w:rsidRPr="00F8630C">
        <w:rPr>
          <w:lang w:val="en-US"/>
        </w:rPr>
        <w:t>, and M</w:t>
      </w:r>
      <w:r w:rsidR="002B7681">
        <w:rPr>
          <w:lang w:val="en-US"/>
        </w:rPr>
        <w:t>ö</w:t>
      </w:r>
      <w:r w:rsidRPr="00F8630C">
        <w:rPr>
          <w:lang w:val="en-US"/>
        </w:rPr>
        <w:t>rth, U., eds</w:t>
      </w:r>
      <w:proofErr w:type="gramStart"/>
      <w:r w:rsidRPr="00F8630C">
        <w:rPr>
          <w:lang w:val="en-US"/>
        </w:rPr>
        <w:t>.,</w:t>
      </w:r>
      <w:proofErr w:type="gramEnd"/>
      <w:r w:rsidRPr="00F8630C">
        <w:rPr>
          <w:lang w:val="en-US"/>
        </w:rPr>
        <w:t xml:space="preserve"> 2013. </w:t>
      </w:r>
      <w:r w:rsidRPr="00F8630C">
        <w:rPr>
          <w:i/>
          <w:lang w:val="en-US"/>
        </w:rPr>
        <w:t>The Political Role of Corporate Citizens: an interdisciplinary approach</w:t>
      </w:r>
      <w:r w:rsidRPr="00F8630C">
        <w:rPr>
          <w:lang w:val="en-US"/>
        </w:rPr>
        <w:t>. Basingstoke: Palgrave Macmillan.</w:t>
      </w:r>
    </w:p>
    <w:p w14:paraId="226988EA" w14:textId="77777777" w:rsidR="00BD6503" w:rsidRPr="006F5F40" w:rsidRDefault="00BD6503" w:rsidP="00B028D8">
      <w:pPr>
        <w:pStyle w:val="Bibliography"/>
        <w:rPr>
          <w:lang w:val="en-US"/>
        </w:rPr>
      </w:pPr>
      <w:r w:rsidRPr="006F5F40">
        <w:rPr>
          <w:lang w:val="en-US"/>
        </w:rPr>
        <w:t xml:space="preserve">Tombs, S., 2016. </w:t>
      </w:r>
      <w:r w:rsidRPr="006F5F40">
        <w:rPr>
          <w:i/>
          <w:lang w:val="en-US"/>
        </w:rPr>
        <w:t>Social Protection After the Crisis: regulation without enforcement</w:t>
      </w:r>
      <w:r w:rsidRPr="006F5F40">
        <w:rPr>
          <w:lang w:val="en-US"/>
        </w:rPr>
        <w:t>. Bristol: Policy press.</w:t>
      </w:r>
    </w:p>
    <w:p w14:paraId="7A2B7353" w14:textId="77777777" w:rsidR="00BD6503" w:rsidRPr="00F8630C" w:rsidRDefault="00BD6503" w:rsidP="00B028D8">
      <w:pPr>
        <w:pStyle w:val="Bibliography"/>
        <w:rPr>
          <w:lang w:val="en-US"/>
        </w:rPr>
      </w:pPr>
      <w:r w:rsidRPr="00F8630C">
        <w:rPr>
          <w:lang w:val="en-US"/>
        </w:rPr>
        <w:t xml:space="preserve">Tombs, S., and Whyte, D., 2007. </w:t>
      </w:r>
      <w:r w:rsidRPr="00F8630C">
        <w:rPr>
          <w:i/>
          <w:lang w:val="en-US"/>
        </w:rPr>
        <w:t>Safety Crimes</w:t>
      </w:r>
      <w:r w:rsidRPr="00F8630C">
        <w:rPr>
          <w:lang w:val="en-US"/>
        </w:rPr>
        <w:t>. Cullompton: Willan.</w:t>
      </w:r>
    </w:p>
    <w:p w14:paraId="082A4228" w14:textId="77777777" w:rsidR="00BD6503" w:rsidRPr="006F5F40" w:rsidRDefault="00BD6503" w:rsidP="00B028D8">
      <w:pPr>
        <w:pStyle w:val="Bibliography"/>
        <w:rPr>
          <w:i/>
          <w:lang w:val="en-US"/>
        </w:rPr>
      </w:pPr>
      <w:r w:rsidRPr="006F5F40">
        <w:rPr>
          <w:lang w:val="en-US"/>
        </w:rPr>
        <w:t xml:space="preserve">Tombs, S. and Whyte, D., 2015. </w:t>
      </w:r>
      <w:r w:rsidRPr="006F5F40">
        <w:rPr>
          <w:i/>
          <w:lang w:val="en-US"/>
        </w:rPr>
        <w:t>The Corporate Criminal: why corporations must be abolished</w:t>
      </w:r>
      <w:r w:rsidRPr="006F5F40">
        <w:rPr>
          <w:lang w:val="en-US"/>
        </w:rPr>
        <w:t>. London: Routledge.</w:t>
      </w:r>
    </w:p>
    <w:p w14:paraId="0F822D8B" w14:textId="77777777" w:rsidR="00BD6503" w:rsidRPr="00F8630C" w:rsidRDefault="00BD6503" w:rsidP="00B028D8">
      <w:pPr>
        <w:pStyle w:val="Bibliography"/>
        <w:rPr>
          <w:lang w:val="en-US"/>
        </w:rPr>
      </w:pPr>
      <w:proofErr w:type="gramStart"/>
      <w:r w:rsidRPr="00F8630C">
        <w:rPr>
          <w:lang w:val="en-US"/>
        </w:rPr>
        <w:t>Turner, B., 1986.</w:t>
      </w:r>
      <w:proofErr w:type="gramEnd"/>
      <w:r w:rsidRPr="00F8630C">
        <w:rPr>
          <w:lang w:val="en-US"/>
        </w:rPr>
        <w:t xml:space="preserve"> </w:t>
      </w:r>
      <w:r w:rsidRPr="00F8630C">
        <w:rPr>
          <w:i/>
          <w:lang w:val="en-US"/>
        </w:rPr>
        <w:t>Citizenship and Capitalism: the debate over reformism</w:t>
      </w:r>
      <w:r w:rsidRPr="00F8630C">
        <w:rPr>
          <w:lang w:val="en-US"/>
        </w:rPr>
        <w:t>. London: Allen and Unwin.</w:t>
      </w:r>
    </w:p>
    <w:p w14:paraId="4B31C9A1" w14:textId="6D33C2C8" w:rsidR="00BD6503" w:rsidRPr="00F8630C" w:rsidRDefault="00BD6503" w:rsidP="00B028D8">
      <w:pPr>
        <w:pStyle w:val="Bibliography"/>
        <w:rPr>
          <w:lang w:val="en-US"/>
        </w:rPr>
      </w:pPr>
      <w:proofErr w:type="gramStart"/>
      <w:r w:rsidRPr="00F8630C">
        <w:rPr>
          <w:lang w:val="en-US"/>
        </w:rPr>
        <w:t>Turner, B., 1993.</w:t>
      </w:r>
      <w:proofErr w:type="gramEnd"/>
      <w:r w:rsidRPr="00F8630C">
        <w:rPr>
          <w:lang w:val="en-US"/>
        </w:rPr>
        <w:t xml:space="preserve"> </w:t>
      </w:r>
      <w:proofErr w:type="gramStart"/>
      <w:r w:rsidRPr="00F8630C">
        <w:rPr>
          <w:lang w:val="en-US"/>
        </w:rPr>
        <w:t>Contemporary Problems in the Theory of Citizenship</w:t>
      </w:r>
      <w:r w:rsidR="006F5F40">
        <w:rPr>
          <w:lang w:val="en-US"/>
        </w:rPr>
        <w:t>.</w:t>
      </w:r>
      <w:proofErr w:type="gramEnd"/>
      <w:r w:rsidR="006F5F40">
        <w:rPr>
          <w:lang w:val="en-US"/>
        </w:rPr>
        <w:t xml:space="preserve"> </w:t>
      </w:r>
      <w:r w:rsidR="006F5F40" w:rsidRPr="00CF3106">
        <w:rPr>
          <w:i/>
          <w:lang w:val="en-US"/>
        </w:rPr>
        <w:t>In</w:t>
      </w:r>
      <w:r w:rsidR="006F5F40">
        <w:rPr>
          <w:lang w:val="en-US"/>
        </w:rPr>
        <w:t>: B.</w:t>
      </w:r>
      <w:r w:rsidRPr="00F8630C">
        <w:rPr>
          <w:lang w:val="en-US"/>
        </w:rPr>
        <w:t xml:space="preserve"> Turner, ed. </w:t>
      </w:r>
      <w:r w:rsidRPr="00F8630C">
        <w:rPr>
          <w:i/>
          <w:lang w:val="en-US"/>
        </w:rPr>
        <w:t>Citizenship and Social Theory</w:t>
      </w:r>
      <w:r w:rsidRPr="00F8630C">
        <w:rPr>
          <w:lang w:val="en-US"/>
        </w:rPr>
        <w:t>. London: Sage.</w:t>
      </w:r>
    </w:p>
    <w:p w14:paraId="3861FCB4" w14:textId="7587CC0B" w:rsidR="00BD6503" w:rsidRPr="00CF3106" w:rsidRDefault="00BD6503" w:rsidP="00B028D8">
      <w:pPr>
        <w:pStyle w:val="Bibliography"/>
        <w:rPr>
          <w:lang w:val="en-US"/>
        </w:rPr>
      </w:pPr>
      <w:proofErr w:type="gramStart"/>
      <w:r w:rsidRPr="00F8630C">
        <w:rPr>
          <w:lang w:val="en-US"/>
        </w:rPr>
        <w:lastRenderedPageBreak/>
        <w:t>Venator Santiago, C., 2006.</w:t>
      </w:r>
      <w:proofErr w:type="gramEnd"/>
      <w:r w:rsidRPr="00F8630C">
        <w:rPr>
          <w:lang w:val="en-US"/>
        </w:rPr>
        <w:t xml:space="preserve"> From the insular cases to camp x-ray: Agamben</w:t>
      </w:r>
      <w:r w:rsidR="006F5F40">
        <w:rPr>
          <w:lang w:val="en-US"/>
        </w:rPr>
        <w:t>’</w:t>
      </w:r>
      <w:r w:rsidRPr="00F8630C">
        <w:rPr>
          <w:lang w:val="en-US"/>
        </w:rPr>
        <w:t xml:space="preserve">s state of exception and United States territorial law. </w:t>
      </w:r>
      <w:r w:rsidR="006F5F40" w:rsidRPr="00CF3106">
        <w:rPr>
          <w:i/>
          <w:lang w:val="en-US"/>
        </w:rPr>
        <w:t>In</w:t>
      </w:r>
      <w:r w:rsidR="006F5F40">
        <w:rPr>
          <w:lang w:val="en-US"/>
        </w:rPr>
        <w:t>: A.</w:t>
      </w:r>
      <w:r w:rsidR="006F5F40" w:rsidRPr="00F8630C">
        <w:rPr>
          <w:lang w:val="en-US"/>
        </w:rPr>
        <w:t xml:space="preserve"> </w:t>
      </w:r>
      <w:r w:rsidRPr="00F8630C">
        <w:rPr>
          <w:lang w:val="en-US"/>
        </w:rPr>
        <w:t xml:space="preserve">Sarat, ed. </w:t>
      </w:r>
      <w:r w:rsidRPr="00CF3106">
        <w:rPr>
          <w:i/>
          <w:lang w:val="en-US"/>
        </w:rPr>
        <w:t>Studies in Law, Politics and Society</w:t>
      </w:r>
      <w:r w:rsidRPr="00CF3106">
        <w:rPr>
          <w:lang w:val="en-US"/>
        </w:rPr>
        <w:t>. Somerville, MA: Emerald.</w:t>
      </w:r>
    </w:p>
    <w:p w14:paraId="019AEEF4" w14:textId="2CBD82DC" w:rsidR="00BD6503" w:rsidRPr="00F8630C" w:rsidRDefault="00BD6503" w:rsidP="00B028D8">
      <w:pPr>
        <w:pStyle w:val="Bibliography"/>
        <w:rPr>
          <w:lang w:val="en-US"/>
        </w:rPr>
      </w:pPr>
      <w:r w:rsidRPr="006F5F40">
        <w:rPr>
          <w:lang w:val="en-US"/>
        </w:rPr>
        <w:t>Waitzer E.J.</w:t>
      </w:r>
      <w:r w:rsidR="006F5F40" w:rsidRPr="00CF3106">
        <w:rPr>
          <w:lang w:val="en-US"/>
        </w:rPr>
        <w:t xml:space="preserve"> a</w:t>
      </w:r>
      <w:r w:rsidR="006F5F40">
        <w:rPr>
          <w:lang w:val="en-US"/>
        </w:rPr>
        <w:t>nd</w:t>
      </w:r>
      <w:r w:rsidRPr="006F5F40">
        <w:rPr>
          <w:lang w:val="en-US"/>
        </w:rPr>
        <w:t xml:space="preserve"> Jaswal</w:t>
      </w:r>
      <w:r w:rsidR="006F5F40">
        <w:rPr>
          <w:lang w:val="en-US"/>
        </w:rPr>
        <w:t>,</w:t>
      </w:r>
      <w:r w:rsidRPr="006F5F40">
        <w:rPr>
          <w:lang w:val="en-US"/>
        </w:rPr>
        <w:t xml:space="preserve"> J., 2012</w:t>
      </w:r>
      <w:r w:rsidR="006F5F40" w:rsidRPr="006F5F40">
        <w:rPr>
          <w:lang w:val="en-US"/>
        </w:rPr>
        <w:t>.</w:t>
      </w:r>
      <w:r w:rsidRPr="006F5F40">
        <w:rPr>
          <w:lang w:val="en-US"/>
        </w:rPr>
        <w:t xml:space="preserve"> </w:t>
      </w:r>
      <w:proofErr w:type="gramStart"/>
      <w:r w:rsidRPr="00F8630C">
        <w:rPr>
          <w:lang w:val="en-US"/>
        </w:rPr>
        <w:t>The Good Corporate Citizen.</w:t>
      </w:r>
      <w:proofErr w:type="gramEnd"/>
      <w:r w:rsidRPr="00F8630C">
        <w:rPr>
          <w:lang w:val="en-US"/>
        </w:rPr>
        <w:t xml:space="preserve"> </w:t>
      </w:r>
      <w:r w:rsidRPr="00CF3106">
        <w:rPr>
          <w:i/>
          <w:lang w:val="en-US"/>
        </w:rPr>
        <w:t>In</w:t>
      </w:r>
      <w:r w:rsidR="006F5F40">
        <w:rPr>
          <w:lang w:val="en-US"/>
        </w:rPr>
        <w:t>: T.</w:t>
      </w:r>
      <w:r w:rsidRPr="00F8630C">
        <w:rPr>
          <w:lang w:val="en-US"/>
        </w:rPr>
        <w:t xml:space="preserve"> Hebb, ed.</w:t>
      </w:r>
      <w:r w:rsidR="006F5F40">
        <w:rPr>
          <w:lang w:val="en-US"/>
        </w:rPr>
        <w:t>,</w:t>
      </w:r>
      <w:r w:rsidRPr="00F8630C">
        <w:rPr>
          <w:lang w:val="en-US"/>
        </w:rPr>
        <w:t xml:space="preserve"> </w:t>
      </w:r>
      <w:r w:rsidRPr="00F8630C">
        <w:rPr>
          <w:i/>
          <w:lang w:val="en-US"/>
        </w:rPr>
        <w:t xml:space="preserve">The Next Generation of Responsible Investing. </w:t>
      </w:r>
      <w:proofErr w:type="gramStart"/>
      <w:r w:rsidRPr="00F8630C">
        <w:rPr>
          <w:i/>
          <w:lang w:val="en-US"/>
        </w:rPr>
        <w:t xml:space="preserve">Advances in Business Ethics Research (A Journal of Business Ethics Book Series), </w:t>
      </w:r>
      <w:r w:rsidRPr="00CF3106">
        <w:rPr>
          <w:lang w:val="en-US"/>
        </w:rPr>
        <w:t>vol</w:t>
      </w:r>
      <w:r w:rsidR="006F5F40">
        <w:rPr>
          <w:lang w:val="en-US"/>
        </w:rPr>
        <w:t>.</w:t>
      </w:r>
      <w:r w:rsidRPr="00CF3106">
        <w:rPr>
          <w:lang w:val="en-US"/>
        </w:rPr>
        <w:t xml:space="preserve"> 1</w:t>
      </w:r>
      <w:r w:rsidRPr="006F5F40">
        <w:rPr>
          <w:lang w:val="en-US"/>
        </w:rPr>
        <w:t>.</w:t>
      </w:r>
      <w:proofErr w:type="gramEnd"/>
      <w:r w:rsidRPr="00F8630C">
        <w:rPr>
          <w:i/>
          <w:lang w:val="en-US"/>
        </w:rPr>
        <w:t xml:space="preserve"> </w:t>
      </w:r>
      <w:r w:rsidRPr="00F8630C">
        <w:rPr>
          <w:lang w:val="en-US"/>
        </w:rPr>
        <w:t>Dordrecht</w:t>
      </w:r>
      <w:r w:rsidR="006F5F40">
        <w:rPr>
          <w:lang w:val="en-US"/>
        </w:rPr>
        <w:t>: Springer.</w:t>
      </w:r>
    </w:p>
    <w:p w14:paraId="046F4B4C" w14:textId="6633A292" w:rsidR="00BD6503" w:rsidRPr="00F8630C" w:rsidRDefault="00BD6503" w:rsidP="00B028D8">
      <w:pPr>
        <w:pStyle w:val="Bibliography"/>
        <w:rPr>
          <w:lang w:val="en-US"/>
        </w:rPr>
      </w:pPr>
      <w:proofErr w:type="gramStart"/>
      <w:r w:rsidRPr="006F5F40">
        <w:rPr>
          <w:lang w:val="en-US"/>
        </w:rPr>
        <w:t>Whyte, D., 2003.</w:t>
      </w:r>
      <w:proofErr w:type="gramEnd"/>
      <w:r w:rsidRPr="006F5F40">
        <w:rPr>
          <w:lang w:val="en-US"/>
        </w:rPr>
        <w:t xml:space="preserve"> Lethal Regulation: State-Corporate Crime and the UK </w:t>
      </w:r>
      <w:r w:rsidR="005838E9" w:rsidRPr="00CF3106">
        <w:rPr>
          <w:lang w:val="en-US"/>
        </w:rPr>
        <w:t>Government’s</w:t>
      </w:r>
      <w:r w:rsidRPr="00F8630C">
        <w:rPr>
          <w:lang w:val="en-US"/>
        </w:rPr>
        <w:t xml:space="preserve"> New Mercenaries. </w:t>
      </w:r>
      <w:r w:rsidRPr="00F8630C">
        <w:rPr>
          <w:i/>
          <w:lang w:val="en-US"/>
        </w:rPr>
        <w:t>Journal of Law and Society</w:t>
      </w:r>
      <w:r w:rsidR="006F5F40">
        <w:rPr>
          <w:lang w:val="en-US"/>
        </w:rPr>
        <w:t xml:space="preserve"> [online], </w:t>
      </w:r>
      <w:r w:rsidRPr="00F8630C">
        <w:rPr>
          <w:lang w:val="en-US"/>
        </w:rPr>
        <w:t>30</w:t>
      </w:r>
      <w:r w:rsidR="006F5F40">
        <w:rPr>
          <w:lang w:val="en-US"/>
        </w:rPr>
        <w:t xml:space="preserve"> </w:t>
      </w:r>
      <w:r w:rsidRPr="00F8630C">
        <w:rPr>
          <w:lang w:val="en-US"/>
        </w:rPr>
        <w:t>(4), 575-600.</w:t>
      </w:r>
    </w:p>
    <w:p w14:paraId="20B4EED6" w14:textId="77777777" w:rsidR="00BD6503" w:rsidRPr="00F8630C" w:rsidRDefault="00BD6503" w:rsidP="00B028D8">
      <w:pPr>
        <w:pStyle w:val="Bibliography"/>
        <w:rPr>
          <w:lang w:val="en-US"/>
        </w:rPr>
      </w:pPr>
      <w:proofErr w:type="gramStart"/>
      <w:r w:rsidRPr="00F8630C">
        <w:rPr>
          <w:lang w:val="en-US"/>
        </w:rPr>
        <w:t>Whyte, D., 2009.</w:t>
      </w:r>
      <w:proofErr w:type="gramEnd"/>
      <w:r w:rsidRPr="00F8630C">
        <w:rPr>
          <w:lang w:val="en-US"/>
        </w:rPr>
        <w:t xml:space="preserve"> Naked Labour: putting Agamben to work. </w:t>
      </w:r>
      <w:proofErr w:type="gramStart"/>
      <w:r w:rsidRPr="00F8630C">
        <w:rPr>
          <w:i/>
          <w:lang w:val="en-US"/>
        </w:rPr>
        <w:t>Australian Feminist Law Journal</w:t>
      </w:r>
      <w:r w:rsidRPr="00F8630C">
        <w:rPr>
          <w:lang w:val="en-US"/>
        </w:rPr>
        <w:t>, 31, 57-76.</w:t>
      </w:r>
      <w:proofErr w:type="gramEnd"/>
      <w:r w:rsidRPr="00F8630C">
        <w:rPr>
          <w:lang w:val="en-US"/>
        </w:rPr>
        <w:t xml:space="preserve"> </w:t>
      </w:r>
    </w:p>
    <w:p w14:paraId="740AFD20" w14:textId="14A3F9AD" w:rsidR="00BD6503" w:rsidRPr="00F8630C" w:rsidRDefault="00BD6503" w:rsidP="00B028D8">
      <w:pPr>
        <w:pStyle w:val="Bibliography"/>
        <w:rPr>
          <w:lang w:val="en-US"/>
        </w:rPr>
      </w:pPr>
      <w:proofErr w:type="gramStart"/>
      <w:r w:rsidRPr="00F8630C">
        <w:rPr>
          <w:lang w:val="en-US"/>
        </w:rPr>
        <w:t>Whyte, D., 2010a.</w:t>
      </w:r>
      <w:proofErr w:type="gramEnd"/>
      <w:r w:rsidRPr="00F8630C">
        <w:rPr>
          <w:lang w:val="en-US"/>
        </w:rPr>
        <w:t xml:space="preserve"> The Neo-liberal State of Exception in Occupied Iraq</w:t>
      </w:r>
      <w:r w:rsidR="006F5F40">
        <w:rPr>
          <w:lang w:val="en-US"/>
        </w:rPr>
        <w:t xml:space="preserve">. </w:t>
      </w:r>
      <w:r w:rsidR="006F5F40" w:rsidRPr="00CF3106">
        <w:rPr>
          <w:i/>
          <w:lang w:val="en-US"/>
        </w:rPr>
        <w:t>In</w:t>
      </w:r>
      <w:r w:rsidR="006F5F40">
        <w:rPr>
          <w:lang w:val="en-US"/>
        </w:rPr>
        <w:t>:</w:t>
      </w:r>
      <w:r w:rsidRPr="00F8630C">
        <w:rPr>
          <w:lang w:val="en-US"/>
        </w:rPr>
        <w:t xml:space="preserve"> </w:t>
      </w:r>
      <w:r w:rsidR="006F5F40">
        <w:rPr>
          <w:lang w:val="en-US"/>
        </w:rPr>
        <w:t xml:space="preserve">W. </w:t>
      </w:r>
      <w:r w:rsidRPr="00F8630C">
        <w:rPr>
          <w:lang w:val="en-US"/>
        </w:rPr>
        <w:t xml:space="preserve">Chambliss, </w:t>
      </w:r>
      <w:r w:rsidR="006F5F40">
        <w:rPr>
          <w:lang w:val="en-US"/>
        </w:rPr>
        <w:t>R.</w:t>
      </w:r>
      <w:r w:rsidRPr="00F8630C">
        <w:rPr>
          <w:lang w:val="en-US"/>
        </w:rPr>
        <w:t xml:space="preserve"> Michalowski and </w:t>
      </w:r>
      <w:r w:rsidR="006F5F40">
        <w:rPr>
          <w:lang w:val="en-US"/>
        </w:rPr>
        <w:t xml:space="preserve">R. </w:t>
      </w:r>
      <w:r w:rsidRPr="00F8630C">
        <w:rPr>
          <w:lang w:val="en-US"/>
        </w:rPr>
        <w:t xml:space="preserve">Kramer, </w:t>
      </w:r>
      <w:proofErr w:type="gramStart"/>
      <w:r w:rsidRPr="00F8630C">
        <w:rPr>
          <w:lang w:val="en-US"/>
        </w:rPr>
        <w:t>eds</w:t>
      </w:r>
      <w:proofErr w:type="gramEnd"/>
      <w:r w:rsidRPr="00F8630C">
        <w:rPr>
          <w:lang w:val="en-US"/>
        </w:rPr>
        <w:t xml:space="preserve">. </w:t>
      </w:r>
      <w:proofErr w:type="gramStart"/>
      <w:r w:rsidRPr="00F8630C">
        <w:rPr>
          <w:i/>
          <w:lang w:val="en-US"/>
        </w:rPr>
        <w:t>State Crime in the Global Age</w:t>
      </w:r>
      <w:r w:rsidRPr="00F8630C">
        <w:rPr>
          <w:lang w:val="en-US"/>
        </w:rPr>
        <w:t>.</w:t>
      </w:r>
      <w:proofErr w:type="gramEnd"/>
      <w:r w:rsidRPr="00F8630C">
        <w:rPr>
          <w:lang w:val="en-US"/>
        </w:rPr>
        <w:t xml:space="preserve"> Collumpton: Willan.</w:t>
      </w:r>
    </w:p>
    <w:p w14:paraId="0DF04037" w14:textId="0C758DEE" w:rsidR="00BD6503" w:rsidRPr="00F8630C" w:rsidRDefault="00BD6503" w:rsidP="00B028D8">
      <w:pPr>
        <w:pStyle w:val="Bibliography"/>
        <w:rPr>
          <w:lang w:val="en-US"/>
        </w:rPr>
      </w:pPr>
      <w:proofErr w:type="gramStart"/>
      <w:r w:rsidRPr="00316424">
        <w:rPr>
          <w:lang w:val="en-US"/>
        </w:rPr>
        <w:t>Whyte, D., 2010b.</w:t>
      </w:r>
      <w:proofErr w:type="gramEnd"/>
      <w:r w:rsidRPr="00316424">
        <w:rPr>
          <w:lang w:val="en-US"/>
        </w:rPr>
        <w:t xml:space="preserve"> </w:t>
      </w:r>
      <w:proofErr w:type="gramStart"/>
      <w:r w:rsidRPr="00316424">
        <w:rPr>
          <w:lang w:val="en-US"/>
        </w:rPr>
        <w:t>An Intoxicated Politics of Regulation.</w:t>
      </w:r>
      <w:proofErr w:type="gramEnd"/>
      <w:r w:rsidRPr="00316424">
        <w:rPr>
          <w:lang w:val="en-US"/>
        </w:rPr>
        <w:t xml:space="preserve"> </w:t>
      </w:r>
      <w:r w:rsidRPr="00CF3106">
        <w:rPr>
          <w:i/>
          <w:lang w:val="en-US"/>
        </w:rPr>
        <w:t>In</w:t>
      </w:r>
      <w:r w:rsidR="00316424">
        <w:rPr>
          <w:lang w:val="en-US"/>
        </w:rPr>
        <w:t>: H.</w:t>
      </w:r>
      <w:r w:rsidRPr="00F8630C">
        <w:rPr>
          <w:lang w:val="en-US"/>
        </w:rPr>
        <w:t xml:space="preserve"> Quirk, </w:t>
      </w:r>
      <w:r w:rsidR="00316424">
        <w:rPr>
          <w:lang w:val="en-US"/>
        </w:rPr>
        <w:t>T.</w:t>
      </w:r>
      <w:r w:rsidRPr="00F8630C">
        <w:rPr>
          <w:lang w:val="en-US"/>
        </w:rPr>
        <w:t xml:space="preserve"> Seddon and </w:t>
      </w:r>
      <w:r w:rsidR="00316424">
        <w:rPr>
          <w:lang w:val="en-US"/>
        </w:rPr>
        <w:t xml:space="preserve">G. </w:t>
      </w:r>
      <w:r w:rsidRPr="00F8630C">
        <w:rPr>
          <w:lang w:val="en-US"/>
        </w:rPr>
        <w:t>Smith, eds</w:t>
      </w:r>
      <w:proofErr w:type="gramStart"/>
      <w:r w:rsidRPr="00F8630C">
        <w:rPr>
          <w:lang w:val="en-US"/>
        </w:rPr>
        <w:t>.,</w:t>
      </w:r>
      <w:proofErr w:type="gramEnd"/>
      <w:r w:rsidRPr="00F8630C">
        <w:rPr>
          <w:lang w:val="en-US"/>
        </w:rPr>
        <w:t xml:space="preserve"> </w:t>
      </w:r>
      <w:r w:rsidRPr="00F8630C">
        <w:rPr>
          <w:i/>
          <w:lang w:val="en-US"/>
        </w:rPr>
        <w:t>Regulation and Criminal Justice</w:t>
      </w:r>
      <w:r w:rsidRPr="00F8630C">
        <w:rPr>
          <w:lang w:val="en-US"/>
        </w:rPr>
        <w:t xml:space="preserve">. </w:t>
      </w:r>
      <w:proofErr w:type="gramStart"/>
      <w:r w:rsidRPr="00F8630C">
        <w:rPr>
          <w:lang w:val="en-US"/>
        </w:rPr>
        <w:t>Cambridge University Press.</w:t>
      </w:r>
      <w:proofErr w:type="gramEnd"/>
    </w:p>
    <w:p w14:paraId="20A9ACED" w14:textId="6E9BFF5B" w:rsidR="00BD6503" w:rsidRPr="00316424" w:rsidRDefault="00BD6503" w:rsidP="00B028D8">
      <w:pPr>
        <w:pStyle w:val="Bibliography"/>
        <w:rPr>
          <w:lang w:val="en-US"/>
        </w:rPr>
      </w:pPr>
      <w:proofErr w:type="gramStart"/>
      <w:r w:rsidRPr="00316424">
        <w:rPr>
          <w:lang w:val="en-US"/>
        </w:rPr>
        <w:t>Whyte, D., 2013.</w:t>
      </w:r>
      <w:proofErr w:type="gramEnd"/>
      <w:r w:rsidRPr="00316424">
        <w:rPr>
          <w:lang w:val="en-US"/>
        </w:rPr>
        <w:t xml:space="preserve"> Market Patriotism: the liberal mask slips. </w:t>
      </w:r>
      <w:r w:rsidRPr="00CF3106">
        <w:rPr>
          <w:i/>
          <w:lang w:val="en-US"/>
        </w:rPr>
        <w:t>In</w:t>
      </w:r>
      <w:r w:rsidR="00316424">
        <w:rPr>
          <w:lang w:val="en-US"/>
        </w:rPr>
        <w:t>: R.</w:t>
      </w:r>
      <w:r w:rsidRPr="00316424">
        <w:rPr>
          <w:lang w:val="en-US"/>
        </w:rPr>
        <w:t xml:space="preserve"> Fisher, ed. </w:t>
      </w:r>
      <w:r w:rsidRPr="00316424">
        <w:rPr>
          <w:i/>
          <w:lang w:val="en-US"/>
        </w:rPr>
        <w:t>Managing Democracy, Managing Dissent</w:t>
      </w:r>
      <w:r w:rsidRPr="00316424">
        <w:rPr>
          <w:lang w:val="en-US"/>
        </w:rPr>
        <w:t>. London: Corporate Watch</w:t>
      </w:r>
      <w:r w:rsidR="00316424">
        <w:rPr>
          <w:lang w:val="en-US"/>
        </w:rPr>
        <w:t>.</w:t>
      </w:r>
    </w:p>
    <w:p w14:paraId="6210340C" w14:textId="4DFD08BC" w:rsidR="00BD6503" w:rsidRPr="00F8630C" w:rsidRDefault="00BD6503" w:rsidP="00B028D8">
      <w:pPr>
        <w:pStyle w:val="Bibliography"/>
        <w:rPr>
          <w:lang w:val="en-US"/>
        </w:rPr>
      </w:pPr>
      <w:proofErr w:type="gramStart"/>
      <w:r w:rsidRPr="00F8630C">
        <w:rPr>
          <w:lang w:val="en-US"/>
        </w:rPr>
        <w:t>Whyte, D., 2015a.</w:t>
      </w:r>
      <w:proofErr w:type="gramEnd"/>
      <w:r w:rsidRPr="00F8630C">
        <w:rPr>
          <w:lang w:val="en-US"/>
        </w:rPr>
        <w:t xml:space="preserve"> </w:t>
      </w:r>
      <w:proofErr w:type="gramStart"/>
      <w:r w:rsidRPr="00F8630C">
        <w:rPr>
          <w:lang w:val="en-US"/>
        </w:rPr>
        <w:t>The Neo-Colonial State of Exception in Occupied Iraq.</w:t>
      </w:r>
      <w:proofErr w:type="gramEnd"/>
      <w:r w:rsidRPr="00F8630C">
        <w:rPr>
          <w:lang w:val="en-US"/>
        </w:rPr>
        <w:t xml:space="preserve"> </w:t>
      </w:r>
      <w:r w:rsidR="00316424" w:rsidRPr="00CF3106">
        <w:rPr>
          <w:i/>
          <w:lang w:val="en-US"/>
        </w:rPr>
        <w:t>In</w:t>
      </w:r>
      <w:r w:rsidR="00316424">
        <w:rPr>
          <w:lang w:val="en-US"/>
        </w:rPr>
        <w:t>: F.</w:t>
      </w:r>
      <w:r w:rsidR="00316424" w:rsidRPr="00F8630C">
        <w:rPr>
          <w:lang w:val="en-US"/>
        </w:rPr>
        <w:t xml:space="preserve"> </w:t>
      </w:r>
      <w:r w:rsidRPr="00F8630C">
        <w:rPr>
          <w:lang w:val="en-US"/>
        </w:rPr>
        <w:t xml:space="preserve">Cante and </w:t>
      </w:r>
      <w:r w:rsidR="00316424">
        <w:rPr>
          <w:lang w:val="en-US"/>
        </w:rPr>
        <w:t xml:space="preserve">H. </w:t>
      </w:r>
      <w:r w:rsidRPr="00F8630C">
        <w:rPr>
          <w:lang w:val="en-US"/>
        </w:rPr>
        <w:t>Quehl, eds</w:t>
      </w:r>
      <w:proofErr w:type="gramStart"/>
      <w:r w:rsidRPr="00F8630C">
        <w:rPr>
          <w:lang w:val="en-US"/>
        </w:rPr>
        <w:t>.</w:t>
      </w:r>
      <w:r w:rsidR="00316424">
        <w:rPr>
          <w:lang w:val="en-US"/>
        </w:rPr>
        <w:t>,</w:t>
      </w:r>
      <w:proofErr w:type="gramEnd"/>
      <w:r w:rsidRPr="00F8630C">
        <w:rPr>
          <w:lang w:val="en-US"/>
        </w:rPr>
        <w:t xml:space="preserve"> </w:t>
      </w:r>
      <w:r w:rsidRPr="00F8630C">
        <w:rPr>
          <w:i/>
          <w:lang w:val="en-US"/>
        </w:rPr>
        <w:t>Handbook of Research on Transitional Justice and Peace Building in Turbulent Regions</w:t>
      </w:r>
      <w:r w:rsidRPr="00F8630C">
        <w:rPr>
          <w:lang w:val="en-US"/>
        </w:rPr>
        <w:t xml:space="preserve">. Hershey, </w:t>
      </w:r>
      <w:r w:rsidR="00316424">
        <w:rPr>
          <w:lang w:val="en-US"/>
        </w:rPr>
        <w:t>PA</w:t>
      </w:r>
      <w:r w:rsidRPr="00F8630C">
        <w:rPr>
          <w:lang w:val="en-US"/>
        </w:rPr>
        <w:t>: IGI Global.</w:t>
      </w:r>
    </w:p>
    <w:p w14:paraId="5D24B854" w14:textId="6627DE92" w:rsidR="00BD6503" w:rsidRPr="00316424" w:rsidRDefault="00BD6503" w:rsidP="00B028D8">
      <w:pPr>
        <w:pStyle w:val="Bibliography"/>
        <w:rPr>
          <w:lang w:val="en-US"/>
        </w:rPr>
      </w:pPr>
      <w:proofErr w:type="gramStart"/>
      <w:r w:rsidRPr="00316424">
        <w:rPr>
          <w:lang w:val="en-US"/>
        </w:rPr>
        <w:t>Whyte, D., 2015b.</w:t>
      </w:r>
      <w:proofErr w:type="gramEnd"/>
      <w:r w:rsidRPr="00316424">
        <w:rPr>
          <w:lang w:val="en-US"/>
        </w:rPr>
        <w:t xml:space="preserve"> Introduction: a very British Corruption. </w:t>
      </w:r>
      <w:r w:rsidR="00316424" w:rsidRPr="00CF3106">
        <w:rPr>
          <w:i/>
          <w:lang w:val="en-US"/>
        </w:rPr>
        <w:t>In</w:t>
      </w:r>
      <w:r w:rsidR="00316424">
        <w:rPr>
          <w:lang w:val="en-US"/>
        </w:rPr>
        <w:t>: D.</w:t>
      </w:r>
      <w:r w:rsidR="00316424" w:rsidRPr="00316424">
        <w:rPr>
          <w:lang w:val="en-US"/>
        </w:rPr>
        <w:t xml:space="preserve"> </w:t>
      </w:r>
      <w:r w:rsidRPr="00316424">
        <w:rPr>
          <w:lang w:val="en-US"/>
        </w:rPr>
        <w:t xml:space="preserve">Whyte, ed., </w:t>
      </w:r>
      <w:r w:rsidRPr="00316424">
        <w:rPr>
          <w:i/>
          <w:lang w:val="en-US"/>
        </w:rPr>
        <w:t>How Corrupt is Britain?</w:t>
      </w:r>
      <w:r w:rsidRPr="00316424">
        <w:rPr>
          <w:lang w:val="en-US"/>
        </w:rPr>
        <w:t xml:space="preserve"> London: Pluto.</w:t>
      </w:r>
    </w:p>
    <w:p w14:paraId="40317665" w14:textId="22927A95" w:rsidR="00BD6503" w:rsidRPr="00316424" w:rsidRDefault="00BD6503" w:rsidP="00B028D8">
      <w:pPr>
        <w:pStyle w:val="Bibliography"/>
        <w:rPr>
          <w:lang w:val="en-US"/>
        </w:rPr>
      </w:pPr>
      <w:proofErr w:type="gramStart"/>
      <w:r w:rsidRPr="00316424">
        <w:rPr>
          <w:lang w:val="en-US"/>
        </w:rPr>
        <w:t>Whyte, D., 2018.</w:t>
      </w:r>
      <w:proofErr w:type="gramEnd"/>
      <w:r w:rsidRPr="00316424">
        <w:rPr>
          <w:lang w:val="en-US"/>
        </w:rPr>
        <w:t xml:space="preserve"> Death to the Corporation: a modest proposal. </w:t>
      </w:r>
      <w:r w:rsidRPr="00CF3106">
        <w:rPr>
          <w:i/>
          <w:lang w:val="en-US"/>
        </w:rPr>
        <w:t>In</w:t>
      </w:r>
      <w:r w:rsidR="00316424">
        <w:rPr>
          <w:lang w:val="en-US"/>
        </w:rPr>
        <w:t>:</w:t>
      </w:r>
      <w:r w:rsidRPr="00316424">
        <w:rPr>
          <w:lang w:val="en-US"/>
        </w:rPr>
        <w:t xml:space="preserve"> </w:t>
      </w:r>
      <w:r w:rsidR="00316424">
        <w:rPr>
          <w:lang w:val="en-US"/>
        </w:rPr>
        <w:t xml:space="preserve">L. Panitch and G. </w:t>
      </w:r>
      <w:r w:rsidRPr="00316424">
        <w:rPr>
          <w:lang w:val="en-US"/>
        </w:rPr>
        <w:t>Albo, eds</w:t>
      </w:r>
      <w:proofErr w:type="gramStart"/>
      <w:r w:rsidRPr="00316424">
        <w:rPr>
          <w:lang w:val="en-US"/>
        </w:rPr>
        <w:t>.,</w:t>
      </w:r>
      <w:proofErr w:type="gramEnd"/>
      <w:r w:rsidRPr="00316424">
        <w:rPr>
          <w:lang w:val="en-US"/>
        </w:rPr>
        <w:t xml:space="preserve"> </w:t>
      </w:r>
      <w:r w:rsidR="00316424" w:rsidRPr="00CF3106">
        <w:rPr>
          <w:i/>
          <w:lang w:val="en-US"/>
        </w:rPr>
        <w:t>The</w:t>
      </w:r>
      <w:r w:rsidR="00316424">
        <w:rPr>
          <w:lang w:val="en-US"/>
        </w:rPr>
        <w:t xml:space="preserve"> </w:t>
      </w:r>
      <w:r w:rsidRPr="00316424">
        <w:rPr>
          <w:i/>
          <w:lang w:val="en-US"/>
        </w:rPr>
        <w:t>World Turned Upside Down: Socialist Register 2019</w:t>
      </w:r>
      <w:r w:rsidRPr="00316424">
        <w:rPr>
          <w:lang w:val="en-US"/>
        </w:rPr>
        <w:t>. London: Merlin.</w:t>
      </w:r>
    </w:p>
    <w:p w14:paraId="7CEE93AA" w14:textId="2F6B5D8B" w:rsidR="00980118" w:rsidRPr="00F8630C" w:rsidRDefault="00BD6503">
      <w:pPr>
        <w:pStyle w:val="Bibliography"/>
        <w:rPr>
          <w:lang w:val="en-GB"/>
        </w:rPr>
      </w:pPr>
      <w:proofErr w:type="gramStart"/>
      <w:r w:rsidRPr="00F8630C">
        <w:rPr>
          <w:lang w:val="en-US"/>
        </w:rPr>
        <w:t>Yuval-Davis, N., 1997.</w:t>
      </w:r>
      <w:proofErr w:type="gramEnd"/>
      <w:r w:rsidRPr="00F8630C">
        <w:rPr>
          <w:lang w:val="en-US"/>
        </w:rPr>
        <w:t xml:space="preserve"> </w:t>
      </w:r>
      <w:proofErr w:type="gramStart"/>
      <w:r w:rsidRPr="00F8630C">
        <w:rPr>
          <w:lang w:val="en-US"/>
        </w:rPr>
        <w:t>Women, Citizenship and Difference.</w:t>
      </w:r>
      <w:proofErr w:type="gramEnd"/>
      <w:r w:rsidRPr="00F8630C">
        <w:rPr>
          <w:lang w:val="en-US"/>
        </w:rPr>
        <w:t xml:space="preserve"> </w:t>
      </w:r>
      <w:r w:rsidRPr="00F8630C">
        <w:rPr>
          <w:i/>
          <w:lang w:val="en-US"/>
        </w:rPr>
        <w:t>Feminist Review</w:t>
      </w:r>
      <w:r w:rsidR="00316424">
        <w:rPr>
          <w:lang w:val="en-US"/>
        </w:rPr>
        <w:t xml:space="preserve"> [online],</w:t>
      </w:r>
      <w:r w:rsidRPr="00F8630C">
        <w:rPr>
          <w:lang w:val="en-US"/>
        </w:rPr>
        <w:t xml:space="preserve"> 57</w:t>
      </w:r>
      <w:r w:rsidR="00316424">
        <w:rPr>
          <w:lang w:val="en-US"/>
        </w:rPr>
        <w:t xml:space="preserve"> </w:t>
      </w:r>
      <w:r w:rsidRPr="00F8630C">
        <w:rPr>
          <w:lang w:val="en-US"/>
        </w:rPr>
        <w:t xml:space="preserve">(1), 4–27. </w:t>
      </w:r>
      <w:r w:rsidR="00316424">
        <w:rPr>
          <w:lang w:val="en-US"/>
        </w:rPr>
        <w:t xml:space="preserve">Available from: </w:t>
      </w:r>
      <w:hyperlink r:id="rId66" w:history="1">
        <w:r w:rsidR="00ED58F8" w:rsidRPr="00CF3106">
          <w:rPr>
            <w:rStyle w:val="Hyperlink"/>
            <w:lang w:val="en-US"/>
          </w:rPr>
          <w:t>https://doi.org/10.1080/014177897339632</w:t>
        </w:r>
      </w:hyperlink>
      <w:r w:rsidR="00ED58F8">
        <w:rPr>
          <w:lang w:val="en-US"/>
        </w:rPr>
        <w:t xml:space="preserve"> [Accessed 27 July 2018].</w:t>
      </w:r>
    </w:p>
    <w:p w14:paraId="5CB19E22" w14:textId="77777777" w:rsidR="00ED58F8" w:rsidRDefault="00ED58F8">
      <w:pPr>
        <w:pStyle w:val="Bibliography"/>
        <w:rPr>
          <w:lang w:val="en-GB"/>
        </w:rPr>
      </w:pPr>
    </w:p>
    <w:p w14:paraId="128A4B41" w14:textId="77777777" w:rsidR="00D91C65" w:rsidRDefault="00D91C65" w:rsidP="00CF3106">
      <w:pPr>
        <w:pStyle w:val="Epgrafe11"/>
        <w:rPr>
          <w:lang w:val="en-GB"/>
        </w:rPr>
      </w:pPr>
      <w:bookmarkStart w:id="50" w:name="_Toc520452081"/>
      <w:r>
        <w:rPr>
          <w:lang w:val="en-GB"/>
        </w:rPr>
        <w:t>Case law</w:t>
      </w:r>
      <w:bookmarkEnd w:id="50"/>
    </w:p>
    <w:p w14:paraId="5E75C97D" w14:textId="77777777" w:rsidR="00D91C65" w:rsidRDefault="00D91C65">
      <w:pPr>
        <w:pStyle w:val="Bibliography"/>
        <w:rPr>
          <w:lang w:val="en-US"/>
        </w:rPr>
      </w:pPr>
      <w:proofErr w:type="gramStart"/>
      <w:r w:rsidRPr="00CF3106">
        <w:rPr>
          <w:i/>
          <w:lang w:val="en-US"/>
        </w:rPr>
        <w:t>Bank of the United States v. Deveaux</w:t>
      </w:r>
      <w:r w:rsidRPr="00ED58F8">
        <w:rPr>
          <w:lang w:val="en-US"/>
        </w:rPr>
        <w:t>, U.S</w:t>
      </w:r>
      <w:r w:rsidRPr="00BD6503">
        <w:rPr>
          <w:lang w:val="en-US"/>
        </w:rPr>
        <w:t>. (5 Cranch) 61 (1809).</w:t>
      </w:r>
      <w:proofErr w:type="gramEnd"/>
    </w:p>
    <w:p w14:paraId="49D92C0A" w14:textId="4399B454" w:rsidR="009E625F" w:rsidRDefault="009E625F">
      <w:pPr>
        <w:pStyle w:val="Bibliography"/>
        <w:rPr>
          <w:i/>
          <w:lang w:val="en-US"/>
        </w:rPr>
      </w:pPr>
      <w:r>
        <w:rPr>
          <w:i/>
          <w:lang w:val="en-US"/>
        </w:rPr>
        <w:t xml:space="preserve">Citiizens United v. FEC, </w:t>
      </w:r>
      <w:r w:rsidRPr="009E625F">
        <w:rPr>
          <w:lang w:val="en-US"/>
        </w:rPr>
        <w:t>558 U.S. 310 (2010)</w:t>
      </w:r>
      <w:r>
        <w:rPr>
          <w:lang w:val="en-US"/>
        </w:rPr>
        <w:t>.</w:t>
      </w:r>
    </w:p>
    <w:p w14:paraId="67BFA82F" w14:textId="4399B454" w:rsidR="00C966D3" w:rsidRDefault="00C966D3">
      <w:pPr>
        <w:pStyle w:val="Bibliography"/>
        <w:rPr>
          <w:lang w:val="en-US"/>
        </w:rPr>
      </w:pPr>
      <w:r w:rsidRPr="00CF3106">
        <w:rPr>
          <w:i/>
          <w:lang w:val="en-US"/>
        </w:rPr>
        <w:t>Louisville, Cincinnati &amp; Charleston Railroad Co. v. Letson</w:t>
      </w:r>
      <w:r w:rsidRPr="00BD6503">
        <w:rPr>
          <w:lang w:val="en-US"/>
        </w:rPr>
        <w:t>, 43 U.S. (2 How.) 497 (1844).</w:t>
      </w:r>
    </w:p>
    <w:p w14:paraId="034833DE" w14:textId="77777777" w:rsidR="007C3090" w:rsidRDefault="007C3090">
      <w:pPr>
        <w:pStyle w:val="Bibliography"/>
        <w:rPr>
          <w:lang w:val="en-US"/>
        </w:rPr>
      </w:pPr>
    </w:p>
    <w:p w14:paraId="79F25F9A" w14:textId="77777777" w:rsidR="00893FA8" w:rsidRDefault="00893FA8">
      <w:pPr>
        <w:pStyle w:val="Bibliography"/>
        <w:rPr>
          <w:lang w:val="en-US"/>
        </w:rPr>
      </w:pPr>
    </w:p>
    <w:p w14:paraId="11D5255C" w14:textId="6DA7E2B8" w:rsidR="007D1F16" w:rsidRPr="006D0C40" w:rsidRDefault="007D1F16">
      <w:pPr>
        <w:pStyle w:val="Bibliography"/>
        <w:rPr>
          <w:rFonts w:cs="Calibri"/>
          <w:lang w:val="en-GB"/>
        </w:rPr>
      </w:pPr>
    </w:p>
    <w:sectPr w:rsidR="007D1F16" w:rsidRPr="006D0C40" w:rsidSect="00217E7F">
      <w:headerReference w:type="default" r:id="rId67"/>
      <w:footerReference w:type="default" r:id="rId68"/>
      <w:headerReference w:type="first" r:id="rId69"/>
      <w:footerReference w:type="first" r:id="rId70"/>
      <w:pgSz w:w="11906" w:h="16838" w:code="9"/>
      <w:pgMar w:top="1418" w:right="1701" w:bottom="1418" w:left="1701" w:header="709" w:footer="3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CEE9AC" w15:done="0"/>
  <w15:commentEx w15:paraId="0FA7C264" w15:done="0"/>
  <w15:commentEx w15:paraId="31D92070" w15:done="0"/>
  <w15:commentEx w15:paraId="71BE45AC" w15:done="0"/>
  <w15:commentEx w15:paraId="3CAD9756" w15:done="0"/>
  <w15:commentEx w15:paraId="468B6896" w15:done="0"/>
  <w15:commentEx w15:paraId="5A0B8842" w15:done="0"/>
  <w15:commentEx w15:paraId="4410C341" w15:done="0"/>
  <w15:commentEx w15:paraId="2F53D2A0" w15:done="0"/>
  <w15:commentEx w15:paraId="49777EC7" w15:done="0"/>
  <w15:commentEx w15:paraId="148CE9EC" w15:done="0"/>
  <w15:commentEx w15:paraId="0985FB42" w15:done="0"/>
  <w15:commentEx w15:paraId="5EF5A922" w15:done="0"/>
  <w15:commentEx w15:paraId="00F58EC2" w15:done="0"/>
  <w15:commentEx w15:paraId="7B954AE2" w15:done="0"/>
  <w15:commentEx w15:paraId="0CCE5D90" w15:done="0"/>
  <w15:commentEx w15:paraId="77857ECA" w15:done="0"/>
  <w15:commentEx w15:paraId="666D1E18" w15:done="0"/>
  <w15:commentEx w15:paraId="47085594" w15:done="0"/>
  <w15:commentEx w15:paraId="651F91D7" w15:done="0"/>
  <w15:commentEx w15:paraId="6BAAB4E3" w15:done="0"/>
  <w15:commentEx w15:paraId="1764B516" w15:done="0"/>
  <w15:commentEx w15:paraId="1711B8F8" w15:done="0"/>
  <w15:commentEx w15:paraId="5A189841" w15:done="0"/>
  <w15:commentEx w15:paraId="78AD4FE9" w15:done="0"/>
  <w15:commentEx w15:paraId="0C02EE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C91B3" w14:textId="77777777" w:rsidR="0006014A" w:rsidRDefault="0006014A">
      <w:r>
        <w:separator/>
      </w:r>
    </w:p>
  </w:endnote>
  <w:endnote w:type="continuationSeparator" w:id="0">
    <w:p w14:paraId="0542E594" w14:textId="77777777" w:rsidR="0006014A" w:rsidRDefault="0006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5BC1" w14:textId="77777777" w:rsidR="0006014A" w:rsidRPr="005C6E73" w:rsidRDefault="0006014A" w:rsidP="004A4E53">
    <w:pPr>
      <w:pStyle w:val="Footer"/>
      <w:framePr w:wrap="around" w:vAnchor="page" w:hAnchor="page" w:x="1872" w:y="16217"/>
      <w:rPr>
        <w:rStyle w:val="PageNumber"/>
        <w:szCs w:val="16"/>
      </w:rPr>
    </w:pPr>
    <w:r w:rsidRPr="005C6E73">
      <w:rPr>
        <w:rStyle w:val="PageNumber"/>
        <w:szCs w:val="16"/>
      </w:rPr>
      <w:fldChar w:fldCharType="begin"/>
    </w:r>
    <w:r w:rsidRPr="005C6E73">
      <w:rPr>
        <w:rStyle w:val="PageNumber"/>
        <w:szCs w:val="16"/>
      </w:rPr>
      <w:instrText xml:space="preserve">PAGE  </w:instrText>
    </w:r>
    <w:r w:rsidRPr="005C6E73">
      <w:rPr>
        <w:rStyle w:val="PageNumber"/>
        <w:szCs w:val="16"/>
      </w:rPr>
      <w:fldChar w:fldCharType="separate"/>
    </w:r>
    <w:r w:rsidR="00B84F88">
      <w:rPr>
        <w:rStyle w:val="PageNumber"/>
        <w:noProof/>
        <w:szCs w:val="16"/>
      </w:rPr>
      <w:t>2</w:t>
    </w:r>
    <w:r w:rsidRPr="005C6E73">
      <w:rPr>
        <w:rStyle w:val="PageNumber"/>
        <w:szCs w:val="16"/>
      </w:rPr>
      <w:fldChar w:fldCharType="end"/>
    </w:r>
  </w:p>
  <w:p w14:paraId="6561C298" w14:textId="77777777" w:rsidR="0006014A" w:rsidRPr="005C6E73" w:rsidRDefault="0006014A" w:rsidP="00BE4999">
    <w:pPr>
      <w:pStyle w:val="Footer"/>
      <w:spacing w:after="120"/>
      <w:rPr>
        <w:szCs w:val="16"/>
        <w:lang w:val="en-GB"/>
      </w:rPr>
    </w:pPr>
    <w:r>
      <w:rPr>
        <w:noProof/>
        <w:szCs w:val="16"/>
        <w:lang w:val="en-US" w:eastAsia="en-US"/>
      </w:rPr>
      <mc:AlternateContent>
        <mc:Choice Requires="wps">
          <w:drawing>
            <wp:anchor distT="0" distB="0" distL="114300" distR="114300" simplePos="0" relativeHeight="251654656" behindDoc="0" locked="0" layoutInCell="1" allowOverlap="1" wp14:anchorId="4BB134D7" wp14:editId="6844F27F">
              <wp:simplePos x="0" y="0"/>
              <wp:positionH relativeFrom="column">
                <wp:posOffset>0</wp:posOffset>
              </wp:positionH>
              <wp:positionV relativeFrom="paragraph">
                <wp:posOffset>111125</wp:posOffset>
              </wp:positionV>
              <wp:extent cx="5400040" cy="0"/>
              <wp:effectExtent l="19050" t="15875" r="19685" b="127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35B64"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7k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" strokecolor="#ccc" strokeweight="2pt"/>
          </w:pict>
        </mc:Fallback>
      </mc:AlternateContent>
    </w:r>
  </w:p>
  <w:p w14:paraId="727325FF" w14:textId="5A1B9B62" w:rsidR="0006014A" w:rsidRPr="00C65CB0" w:rsidRDefault="0006014A" w:rsidP="00DB4C5D">
    <w:pPr>
      <w:pStyle w:val="Footer"/>
      <w:jc w:val="right"/>
      <w:rPr>
        <w:szCs w:val="16"/>
      </w:rPr>
    </w:pPr>
    <w:r w:rsidRPr="00C65CB0">
      <w:rPr>
        <w:szCs w:val="16"/>
      </w:rPr>
      <w:t>Oñati Socio-</w:t>
    </w:r>
    <w:r>
      <w:rPr>
        <w:szCs w:val="16"/>
      </w:rPr>
      <w:t>l</w:t>
    </w:r>
    <w:r w:rsidRPr="00C65CB0">
      <w:rPr>
        <w:szCs w:val="16"/>
      </w:rPr>
      <w:t xml:space="preserve">egal Series, </w:t>
    </w:r>
    <w:r>
      <w:rPr>
        <w:szCs w:val="16"/>
      </w:rPr>
      <w:t>forthcoming / en preparación</w:t>
    </w:r>
  </w:p>
  <w:p w14:paraId="46858D3D" w14:textId="77777777" w:rsidR="0006014A" w:rsidRPr="00223D88" w:rsidRDefault="0006014A" w:rsidP="00DB4C5D">
    <w:pPr>
      <w:pStyle w:val="Footer"/>
      <w:jc w:val="right"/>
      <w:rPr>
        <w:szCs w:val="16"/>
        <w:lang w:val="en-GB"/>
      </w:rPr>
    </w:pPr>
    <w:r w:rsidRPr="000B1C1F">
      <w:rPr>
        <w:szCs w:val="16"/>
        <w:lang w:val="en-GB"/>
      </w:rPr>
      <w:t xml:space="preserve">ISSN: </w:t>
    </w:r>
    <w:r>
      <w:rPr>
        <w:szCs w:val="16"/>
        <w:lang w:val="en-GB"/>
      </w:rPr>
      <w:t>2079-5971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387F" w14:textId="77777777" w:rsidR="0006014A" w:rsidRDefault="0006014A" w:rsidP="00BE4999">
    <w:pPr>
      <w:pStyle w:val="Footer"/>
      <w:rPr>
        <w:szCs w:val="16"/>
        <w:lang w:val="en-GB"/>
      </w:rPr>
    </w:pPr>
    <w:r>
      <w:rPr>
        <w:noProof/>
        <w:szCs w:val="16"/>
        <w:lang w:val="en-US" w:eastAsia="en-US"/>
      </w:rPr>
      <mc:AlternateContent>
        <mc:Choice Requires="wps">
          <w:drawing>
            <wp:anchor distT="0" distB="0" distL="114300" distR="114300" simplePos="0" relativeHeight="251653632" behindDoc="0" locked="0" layoutInCell="1" allowOverlap="1" wp14:anchorId="3817DC89" wp14:editId="06744AEA">
              <wp:simplePos x="0" y="0"/>
              <wp:positionH relativeFrom="column">
                <wp:posOffset>0</wp:posOffset>
              </wp:positionH>
              <wp:positionV relativeFrom="paragraph">
                <wp:posOffset>29845</wp:posOffset>
              </wp:positionV>
              <wp:extent cx="5400040" cy="0"/>
              <wp:effectExtent l="19050" t="20320" r="19685" b="177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0C5185"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T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" strokecolor="#ccc" strokeweight="2pt"/>
          </w:pict>
        </mc:Fallback>
      </mc:AlternateContent>
    </w:r>
  </w:p>
  <w:p w14:paraId="794B42D0" w14:textId="77777777" w:rsidR="0006014A" w:rsidRPr="000F5D3A" w:rsidRDefault="0006014A" w:rsidP="00193103">
    <w:pPr>
      <w:pStyle w:val="Footer"/>
      <w:framePr w:wrap="around" w:vAnchor="page" w:hAnchor="page" w:x="9980" w:y="16217"/>
      <w:rPr>
        <w:rStyle w:val="PageNumber"/>
        <w:sz w:val="20"/>
        <w:szCs w:val="20"/>
        <w:lang w:val="en-GB"/>
      </w:rPr>
    </w:pPr>
    <w:r w:rsidRPr="000B1C1F">
      <w:rPr>
        <w:rStyle w:val="PageNumber"/>
        <w:szCs w:val="16"/>
      </w:rPr>
      <w:fldChar w:fldCharType="begin"/>
    </w:r>
    <w:r w:rsidRPr="000F5D3A">
      <w:rPr>
        <w:rStyle w:val="PageNumber"/>
        <w:szCs w:val="16"/>
        <w:lang w:val="en-GB"/>
      </w:rPr>
      <w:instrText xml:space="preserve">PAGE  </w:instrText>
    </w:r>
    <w:r w:rsidRPr="000B1C1F">
      <w:rPr>
        <w:rStyle w:val="PageNumber"/>
        <w:szCs w:val="16"/>
      </w:rPr>
      <w:fldChar w:fldCharType="separate"/>
    </w:r>
    <w:r>
      <w:rPr>
        <w:rStyle w:val="PageNumber"/>
        <w:noProof/>
        <w:szCs w:val="16"/>
        <w:lang w:val="en-GB"/>
      </w:rPr>
      <w:t>3</w:t>
    </w:r>
    <w:r w:rsidRPr="000B1C1F">
      <w:rPr>
        <w:rStyle w:val="PageNumber"/>
        <w:szCs w:val="16"/>
      </w:rPr>
      <w:fldChar w:fldCharType="end"/>
    </w:r>
  </w:p>
  <w:p w14:paraId="574F2E3B" w14:textId="77777777" w:rsidR="0006014A" w:rsidRDefault="0006014A" w:rsidP="000002D7">
    <w:pPr>
      <w:pStyle w:val="Footer"/>
      <w:jc w:val="center"/>
      <w:rPr>
        <w:szCs w:val="16"/>
        <w:lang w:val="en-GB"/>
      </w:rPr>
    </w:pPr>
    <w:r>
      <w:rPr>
        <w:szCs w:val="16"/>
        <w:lang w:val="en-GB"/>
      </w:rPr>
      <w:t>Oñati International Institute for the Sociology of Law</w:t>
    </w:r>
  </w:p>
  <w:p w14:paraId="13AD7344" w14:textId="77777777" w:rsidR="0006014A" w:rsidRPr="00193103" w:rsidRDefault="0006014A" w:rsidP="000002D7">
    <w:pPr>
      <w:pStyle w:val="Footer"/>
      <w:jc w:val="center"/>
      <w:rPr>
        <w:szCs w:val="16"/>
        <w:lang w:val="pt-BR"/>
      </w:rPr>
    </w:pPr>
    <w:r w:rsidRPr="00193103">
      <w:rPr>
        <w:szCs w:val="16"/>
        <w:lang w:val="pt-BR"/>
      </w:rPr>
      <w:t>Antigua Universidad s/n - Apdo.28 20560 Oñati - Gipuzkoa – Spain</w:t>
    </w:r>
  </w:p>
  <w:p w14:paraId="002BA56A" w14:textId="77777777" w:rsidR="0006014A" w:rsidRPr="00193103" w:rsidRDefault="0006014A" w:rsidP="000002D7">
    <w:pPr>
      <w:pStyle w:val="Footer"/>
      <w:jc w:val="center"/>
      <w:rPr>
        <w:szCs w:val="16"/>
        <w:lang w:val="pt-BR"/>
      </w:rPr>
    </w:pPr>
    <w:r w:rsidRPr="00193103">
      <w:rPr>
        <w:szCs w:val="16"/>
        <w:lang w:val="pt-BR"/>
      </w:rPr>
      <w:t>Tel. (+34) 943 783064 / Fax</w:t>
    </w:r>
    <w:r>
      <w:rPr>
        <w:szCs w:val="16"/>
        <w:lang w:val="pt-BR"/>
      </w:rPr>
      <w:t xml:space="preserve"> </w:t>
    </w:r>
    <w:r w:rsidRPr="00193103">
      <w:rPr>
        <w:szCs w:val="16"/>
        <w:lang w:val="pt-BR"/>
      </w:rPr>
      <w:t>(+34) 943 783147</w:t>
    </w:r>
  </w:p>
  <w:p w14:paraId="25757F58" w14:textId="77777777" w:rsidR="0006014A" w:rsidRPr="00193103" w:rsidRDefault="0006014A" w:rsidP="000002D7">
    <w:pPr>
      <w:pStyle w:val="Footer"/>
      <w:jc w:val="center"/>
      <w:rPr>
        <w:szCs w:val="16"/>
        <w:lang w:val="pt-BR"/>
      </w:rPr>
    </w:pPr>
    <w:r w:rsidRPr="00193103">
      <w:rPr>
        <w:b/>
        <w:bCs/>
        <w:szCs w:val="16"/>
        <w:lang w:val="pt-BR"/>
      </w:rPr>
      <w:t>E</w:t>
    </w:r>
    <w:r w:rsidRPr="00193103">
      <w:rPr>
        <w:szCs w:val="16"/>
        <w:lang w:val="pt-BR"/>
      </w:rPr>
      <w:t xml:space="preserve">: </w:t>
    </w:r>
    <w:hyperlink r:id="rId1" w:history="1">
      <w:r w:rsidRPr="00193103">
        <w:rPr>
          <w:color w:val="0000FF"/>
          <w:szCs w:val="16"/>
          <w:u w:val="single"/>
          <w:lang w:val="pt-BR"/>
        </w:rPr>
        <w:t>opo@iisj.es</w:t>
      </w:r>
    </w:hyperlink>
    <w:r w:rsidRPr="00193103">
      <w:rPr>
        <w:szCs w:val="16"/>
        <w:lang w:val="pt-BR"/>
      </w:rPr>
      <w:t xml:space="preserve"> </w:t>
    </w:r>
    <w:r w:rsidRPr="00193103">
      <w:rPr>
        <w:b/>
        <w:bCs/>
        <w:szCs w:val="16"/>
        <w:lang w:val="pt-BR"/>
      </w:rPr>
      <w:t>W</w:t>
    </w:r>
    <w:r w:rsidRPr="00193103">
      <w:rPr>
        <w:szCs w:val="16"/>
        <w:lang w:val="pt-BR"/>
      </w:rPr>
      <w:t xml:space="preserve">: </w:t>
    </w:r>
    <w:hyperlink r:id="rId2" w:history="1">
      <w:r w:rsidRPr="00193103">
        <w:rPr>
          <w:rStyle w:val="Hyperlink"/>
          <w:szCs w:val="16"/>
          <w:lang w:val="pt-BR"/>
        </w:rPr>
        <w:t>http://opo.iisj.net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081CE" w14:textId="77777777" w:rsidR="0006014A" w:rsidRDefault="0006014A" w:rsidP="00217E7F">
    <w:pPr>
      <w:pStyle w:val="Footer"/>
      <w:rPr>
        <w:szCs w:val="16"/>
        <w:lang w:val="en-GB"/>
      </w:rPr>
    </w:pPr>
    <w:r>
      <w:rPr>
        <w:noProof/>
        <w:lang w:val="en-US" w:eastAsia="en-US"/>
      </w:rPr>
      <w:drawing>
        <wp:anchor distT="0" distB="0" distL="114300" distR="114300" simplePos="0" relativeHeight="251661824" behindDoc="1" locked="0" layoutInCell="1" allowOverlap="1" wp14:anchorId="23ED5859" wp14:editId="636325C6">
          <wp:simplePos x="0" y="0"/>
          <wp:positionH relativeFrom="column">
            <wp:posOffset>2326005</wp:posOffset>
          </wp:positionH>
          <wp:positionV relativeFrom="paragraph">
            <wp:posOffset>85090</wp:posOffset>
          </wp:positionV>
          <wp:extent cx="754380" cy="144780"/>
          <wp:effectExtent l="0" t="0" r="7620" b="7620"/>
          <wp:wrapTight wrapText="bothSides">
            <wp:wrapPolygon edited="0">
              <wp:start x="0" y="0"/>
              <wp:lineTo x="0" y="19895"/>
              <wp:lineTo x="21273" y="19895"/>
              <wp:lineTo x="21273" y="0"/>
              <wp:lineTo x="0" y="0"/>
            </wp:wrapPolygon>
          </wp:wrapTight>
          <wp:docPr id="21" name="Imagen 2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44780"/>
                  </a:xfrm>
                  <a:prstGeom prst="rect">
                    <a:avLst/>
                  </a:prstGeom>
                  <a:noFill/>
                </pic:spPr>
              </pic:pic>
            </a:graphicData>
          </a:graphic>
          <wp14:sizeRelH relativeFrom="page">
            <wp14:pctWidth>0</wp14:pctWidth>
          </wp14:sizeRelH>
          <wp14:sizeRelV relativeFrom="page">
            <wp14:pctHeight>0</wp14:pctHeight>
          </wp14:sizeRelV>
        </wp:anchor>
      </w:drawing>
    </w:r>
    <w:r>
      <w:rPr>
        <w:noProof/>
        <w:szCs w:val="16"/>
        <w:lang w:val="en-US" w:eastAsia="en-US"/>
      </w:rPr>
      <mc:AlternateContent>
        <mc:Choice Requires="wps">
          <w:drawing>
            <wp:anchor distT="0" distB="0" distL="114300" distR="114300" simplePos="0" relativeHeight="251660800" behindDoc="0" locked="0" layoutInCell="1" allowOverlap="1" wp14:anchorId="6DACF5CB" wp14:editId="1F5E56EC">
              <wp:simplePos x="0" y="0"/>
              <wp:positionH relativeFrom="column">
                <wp:posOffset>0</wp:posOffset>
              </wp:positionH>
              <wp:positionV relativeFrom="paragraph">
                <wp:posOffset>29845</wp:posOffset>
              </wp:positionV>
              <wp:extent cx="5400040" cy="0"/>
              <wp:effectExtent l="19050" t="20320" r="19685" b="177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54AFEA"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R4EwIAACo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" strokecolor="#ccc" strokeweight="2pt"/>
          </w:pict>
        </mc:Fallback>
      </mc:AlternateContent>
    </w:r>
  </w:p>
  <w:p w14:paraId="6B9DF548" w14:textId="77777777" w:rsidR="0006014A" w:rsidRDefault="0006014A" w:rsidP="00217E7F">
    <w:pPr>
      <w:pStyle w:val="Footer"/>
      <w:jc w:val="center"/>
      <w:rPr>
        <w:szCs w:val="16"/>
        <w:lang w:val="en-GB"/>
      </w:rPr>
    </w:pPr>
    <w:r w:rsidRPr="00E96D75">
      <w:rPr>
        <w:lang w:val="en-GB"/>
      </w:rPr>
      <w:br/>
    </w:r>
  </w:p>
  <w:p w14:paraId="36107AC7" w14:textId="25D7C7C4" w:rsidR="0006014A" w:rsidRDefault="0006014A" w:rsidP="00217E7F">
    <w:pPr>
      <w:pStyle w:val="Footer"/>
      <w:jc w:val="center"/>
      <w:rPr>
        <w:szCs w:val="16"/>
        <w:lang w:val="en-GB"/>
      </w:rPr>
    </w:pPr>
    <w:r>
      <w:rPr>
        <w:szCs w:val="16"/>
        <w:lang w:val="en-GB"/>
      </w:rPr>
      <w:t>Oñati International Institute for the Sociology of Law</w:t>
    </w:r>
  </w:p>
  <w:p w14:paraId="3142EDF3" w14:textId="77777777" w:rsidR="0006014A" w:rsidRPr="00193103" w:rsidRDefault="0006014A" w:rsidP="00217E7F">
    <w:pPr>
      <w:pStyle w:val="Footer"/>
      <w:jc w:val="center"/>
      <w:rPr>
        <w:szCs w:val="16"/>
        <w:lang w:val="pt-BR"/>
      </w:rPr>
    </w:pPr>
    <w:r w:rsidRPr="00193103">
      <w:rPr>
        <w:szCs w:val="16"/>
        <w:lang w:val="pt-BR"/>
      </w:rPr>
      <w:t>Antigua Universidad s/n - Apdo.28 20560 Oñati - Gipuzkoa – Spain</w:t>
    </w:r>
  </w:p>
  <w:p w14:paraId="6FAF4BF5" w14:textId="77777777" w:rsidR="0006014A" w:rsidRPr="0044778F" w:rsidRDefault="0006014A" w:rsidP="00217E7F">
    <w:pPr>
      <w:pStyle w:val="Footer"/>
      <w:framePr w:wrap="around" w:vAnchor="page" w:hAnchor="page" w:x="9980" w:y="16217"/>
      <w:rPr>
        <w:rStyle w:val="PageNumber"/>
        <w:sz w:val="20"/>
        <w:szCs w:val="20"/>
        <w:lang w:val="pt-BR"/>
      </w:rPr>
    </w:pPr>
    <w:r w:rsidRPr="000B1C1F">
      <w:rPr>
        <w:rStyle w:val="PageNumber"/>
        <w:szCs w:val="16"/>
      </w:rPr>
      <w:fldChar w:fldCharType="begin"/>
    </w:r>
    <w:r w:rsidRPr="0044778F">
      <w:rPr>
        <w:rStyle w:val="PageNumber"/>
        <w:szCs w:val="16"/>
        <w:lang w:val="pt-BR"/>
      </w:rPr>
      <w:instrText xml:space="preserve">PAGE  </w:instrText>
    </w:r>
    <w:r w:rsidRPr="000B1C1F">
      <w:rPr>
        <w:rStyle w:val="PageNumber"/>
        <w:szCs w:val="16"/>
      </w:rPr>
      <w:fldChar w:fldCharType="separate"/>
    </w:r>
    <w:r w:rsidR="00B84F88">
      <w:rPr>
        <w:rStyle w:val="PageNumber"/>
        <w:noProof/>
        <w:szCs w:val="16"/>
        <w:lang w:val="pt-BR"/>
      </w:rPr>
      <w:t>1</w:t>
    </w:r>
    <w:r w:rsidRPr="000B1C1F">
      <w:rPr>
        <w:rStyle w:val="PageNumber"/>
        <w:szCs w:val="16"/>
      </w:rPr>
      <w:fldChar w:fldCharType="end"/>
    </w:r>
  </w:p>
  <w:p w14:paraId="3301D730" w14:textId="77777777" w:rsidR="0006014A" w:rsidRPr="00193103" w:rsidRDefault="0006014A" w:rsidP="00217E7F">
    <w:pPr>
      <w:pStyle w:val="Footer"/>
      <w:jc w:val="center"/>
      <w:rPr>
        <w:szCs w:val="16"/>
        <w:lang w:val="pt-BR"/>
      </w:rPr>
    </w:pPr>
    <w:r>
      <w:rPr>
        <w:szCs w:val="16"/>
        <w:lang w:val="pt-BR"/>
      </w:rPr>
      <w:t>Tel. (+34) 943 783064</w:t>
    </w:r>
  </w:p>
  <w:p w14:paraId="68A9168A" w14:textId="77777777" w:rsidR="0006014A" w:rsidRPr="005D34CA" w:rsidRDefault="0006014A" w:rsidP="00217E7F">
    <w:pPr>
      <w:pStyle w:val="Footer"/>
      <w:jc w:val="center"/>
      <w:rPr>
        <w:szCs w:val="16"/>
        <w:lang w:val="pt-BR"/>
      </w:rPr>
    </w:pPr>
    <w:r w:rsidRPr="00193103">
      <w:rPr>
        <w:b/>
        <w:bCs/>
        <w:szCs w:val="16"/>
        <w:lang w:val="pt-BR"/>
      </w:rPr>
      <w:t>E</w:t>
    </w:r>
    <w:r w:rsidRPr="00193103">
      <w:rPr>
        <w:szCs w:val="16"/>
        <w:lang w:val="pt-BR"/>
      </w:rPr>
      <w:t xml:space="preserve">: </w:t>
    </w:r>
    <w:hyperlink r:id="rId2" w:history="1">
      <w:r w:rsidRPr="007431D2">
        <w:rPr>
          <w:rStyle w:val="Hyperlink"/>
          <w:szCs w:val="16"/>
          <w:lang w:val="pt-BR"/>
        </w:rPr>
        <w:t>opo@iisj.es</w:t>
      </w:r>
    </w:hyperlink>
    <w:r>
      <w:rPr>
        <w:szCs w:val="16"/>
        <w:lang w:val="pt-BR"/>
      </w:rPr>
      <w:t xml:space="preserve"> </w:t>
    </w:r>
    <w:r w:rsidRPr="00193103">
      <w:rPr>
        <w:b/>
        <w:bCs/>
        <w:szCs w:val="16"/>
        <w:lang w:val="pt-BR"/>
      </w:rPr>
      <w:t>W</w:t>
    </w:r>
    <w:r w:rsidRPr="00193103">
      <w:rPr>
        <w:szCs w:val="16"/>
        <w:lang w:val="pt-BR"/>
      </w:rPr>
      <w:t xml:space="preserve">: </w:t>
    </w:r>
    <w:hyperlink r:id="rId3" w:history="1">
      <w:r w:rsidRPr="00E96D75">
        <w:rPr>
          <w:rStyle w:val="Hyperlink"/>
          <w:szCs w:val="16"/>
          <w:lang w:val="pt-BR"/>
        </w:rPr>
        <w:t>http</w:t>
      </w:r>
      <w:r w:rsidRPr="00E96D75">
        <w:rPr>
          <w:rStyle w:val="Hyperlink"/>
          <w:lang w:val="pt-BR"/>
        </w:rPr>
        <w:t>://opo.iisj.</w:t>
      </w:r>
      <w:r w:rsidRPr="00E96D75">
        <w:rPr>
          <w:rStyle w:val="Hyperlink"/>
          <w:szCs w:val="16"/>
          <w:lang w:val="pt-BR"/>
        </w:rPr>
        <w:t>net</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A662" w14:textId="77777777" w:rsidR="0006014A" w:rsidRDefault="0006014A" w:rsidP="00BE4999">
    <w:pPr>
      <w:pStyle w:val="Footer"/>
      <w:rPr>
        <w:szCs w:val="16"/>
        <w:lang w:val="en-GB"/>
      </w:rPr>
    </w:pPr>
    <w:r>
      <w:rPr>
        <w:noProof/>
        <w:szCs w:val="16"/>
        <w:lang w:val="en-US" w:eastAsia="en-US"/>
      </w:rPr>
      <mc:AlternateContent>
        <mc:Choice Requires="wps">
          <w:drawing>
            <wp:anchor distT="0" distB="0" distL="114300" distR="114300" simplePos="0" relativeHeight="251656704" behindDoc="0" locked="0" layoutInCell="1" allowOverlap="1" wp14:anchorId="0D0E82A1" wp14:editId="00B60B4F">
              <wp:simplePos x="0" y="0"/>
              <wp:positionH relativeFrom="column">
                <wp:posOffset>0</wp:posOffset>
              </wp:positionH>
              <wp:positionV relativeFrom="paragraph">
                <wp:posOffset>29845</wp:posOffset>
              </wp:positionV>
              <wp:extent cx="5400040" cy="0"/>
              <wp:effectExtent l="19050" t="20320" r="19685" b="177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F0F6A1"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h1EwIAACo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" strokecolor="#ccc" strokeweight="2pt"/>
          </w:pict>
        </mc:Fallback>
      </mc:AlternateContent>
    </w:r>
  </w:p>
  <w:p w14:paraId="534ED4BE" w14:textId="77777777" w:rsidR="0006014A" w:rsidRPr="00193103" w:rsidRDefault="0006014A" w:rsidP="004A4E53">
    <w:pPr>
      <w:pStyle w:val="Footer"/>
      <w:framePr w:wrap="around" w:vAnchor="page" w:hAnchor="page" w:x="9980" w:y="16217"/>
      <w:rPr>
        <w:rStyle w:val="PageNumber"/>
        <w:sz w:val="20"/>
        <w:szCs w:val="20"/>
      </w:rPr>
    </w:pPr>
    <w:r w:rsidRPr="000B1C1F">
      <w:rPr>
        <w:rStyle w:val="PageNumber"/>
        <w:szCs w:val="16"/>
      </w:rPr>
      <w:fldChar w:fldCharType="begin"/>
    </w:r>
    <w:r w:rsidRPr="00193103">
      <w:rPr>
        <w:rStyle w:val="PageNumber"/>
        <w:szCs w:val="16"/>
      </w:rPr>
      <w:instrText xml:space="preserve">PAGE  </w:instrText>
    </w:r>
    <w:r w:rsidRPr="000B1C1F">
      <w:rPr>
        <w:rStyle w:val="PageNumber"/>
        <w:szCs w:val="16"/>
      </w:rPr>
      <w:fldChar w:fldCharType="separate"/>
    </w:r>
    <w:r w:rsidR="00B84F88">
      <w:rPr>
        <w:rStyle w:val="PageNumber"/>
        <w:noProof/>
        <w:szCs w:val="16"/>
      </w:rPr>
      <w:t>3</w:t>
    </w:r>
    <w:r w:rsidRPr="000B1C1F">
      <w:rPr>
        <w:rStyle w:val="PageNumber"/>
        <w:szCs w:val="16"/>
      </w:rPr>
      <w:fldChar w:fldCharType="end"/>
    </w:r>
  </w:p>
  <w:p w14:paraId="12446062" w14:textId="6938FBBD" w:rsidR="0006014A" w:rsidRPr="00C65CB0" w:rsidRDefault="0006014A" w:rsidP="00BE4999">
    <w:pPr>
      <w:pStyle w:val="Footer"/>
      <w:rPr>
        <w:szCs w:val="16"/>
      </w:rPr>
    </w:pPr>
    <w:r w:rsidRPr="00C65CB0">
      <w:rPr>
        <w:szCs w:val="16"/>
      </w:rPr>
      <w:t>Oñati Socio-</w:t>
    </w:r>
    <w:r>
      <w:rPr>
        <w:szCs w:val="16"/>
      </w:rPr>
      <w:t>l</w:t>
    </w:r>
    <w:r w:rsidRPr="00C65CB0">
      <w:rPr>
        <w:szCs w:val="16"/>
      </w:rPr>
      <w:t xml:space="preserve">egal Series, </w:t>
    </w:r>
    <w:r>
      <w:rPr>
        <w:szCs w:val="16"/>
      </w:rPr>
      <w:t>forthcoming / en preparación</w:t>
    </w:r>
  </w:p>
  <w:p w14:paraId="64323D88" w14:textId="77777777" w:rsidR="0006014A" w:rsidRDefault="0006014A" w:rsidP="00BE4999">
    <w:pPr>
      <w:pStyle w:val="Footer"/>
      <w:rPr>
        <w:szCs w:val="16"/>
        <w:lang w:val="en-GB"/>
      </w:rPr>
    </w:pPr>
    <w:r w:rsidRPr="000B1C1F">
      <w:rPr>
        <w:szCs w:val="16"/>
        <w:lang w:val="en-GB"/>
      </w:rPr>
      <w:t xml:space="preserve">ISSN: </w:t>
    </w:r>
    <w:r>
      <w:rPr>
        <w:szCs w:val="16"/>
        <w:lang w:val="en-GB"/>
      </w:rPr>
      <w:t>2079-5971</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BC98" w14:textId="77777777" w:rsidR="0006014A" w:rsidRPr="005C6E73" w:rsidRDefault="0006014A" w:rsidP="00B72FD8">
    <w:pPr>
      <w:pStyle w:val="Footer"/>
      <w:framePr w:wrap="around" w:vAnchor="page" w:hAnchor="page" w:x="1872" w:y="16217"/>
      <w:rPr>
        <w:rStyle w:val="PageNumber"/>
        <w:szCs w:val="16"/>
      </w:rPr>
    </w:pPr>
    <w:r w:rsidRPr="005C6E73">
      <w:rPr>
        <w:rStyle w:val="PageNumber"/>
        <w:szCs w:val="16"/>
      </w:rPr>
      <w:fldChar w:fldCharType="begin"/>
    </w:r>
    <w:r w:rsidRPr="005C6E73">
      <w:rPr>
        <w:rStyle w:val="PageNumber"/>
        <w:szCs w:val="16"/>
      </w:rPr>
      <w:instrText xml:space="preserve">PAGE  </w:instrText>
    </w:r>
    <w:r w:rsidRPr="005C6E73">
      <w:rPr>
        <w:rStyle w:val="PageNumber"/>
        <w:szCs w:val="16"/>
      </w:rPr>
      <w:fldChar w:fldCharType="separate"/>
    </w:r>
    <w:r>
      <w:rPr>
        <w:rStyle w:val="PageNumber"/>
        <w:noProof/>
        <w:szCs w:val="16"/>
      </w:rPr>
      <w:t>2</w:t>
    </w:r>
    <w:r w:rsidRPr="005C6E73">
      <w:rPr>
        <w:rStyle w:val="PageNumber"/>
        <w:szCs w:val="16"/>
      </w:rPr>
      <w:fldChar w:fldCharType="end"/>
    </w:r>
  </w:p>
  <w:p w14:paraId="3575D156" w14:textId="77777777" w:rsidR="0006014A" w:rsidRPr="005C6E73" w:rsidRDefault="0006014A" w:rsidP="00B72FD8">
    <w:pPr>
      <w:pStyle w:val="Footer"/>
      <w:spacing w:after="120"/>
      <w:rPr>
        <w:szCs w:val="16"/>
        <w:lang w:val="en-GB"/>
      </w:rPr>
    </w:pPr>
    <w:r>
      <w:rPr>
        <w:noProof/>
        <w:szCs w:val="16"/>
        <w:lang w:val="en-US" w:eastAsia="en-US"/>
      </w:rPr>
      <mc:AlternateContent>
        <mc:Choice Requires="wps">
          <w:drawing>
            <wp:anchor distT="0" distB="0" distL="114300" distR="114300" simplePos="0" relativeHeight="251659776" behindDoc="0" locked="0" layoutInCell="1" allowOverlap="1" wp14:anchorId="762465BA" wp14:editId="6D5F74E6">
              <wp:simplePos x="0" y="0"/>
              <wp:positionH relativeFrom="column">
                <wp:posOffset>0</wp:posOffset>
              </wp:positionH>
              <wp:positionV relativeFrom="paragraph">
                <wp:posOffset>111125</wp:posOffset>
              </wp:positionV>
              <wp:extent cx="5400040" cy="0"/>
              <wp:effectExtent l="19050" t="15875" r="196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408BEF"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1e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" strokecolor="#ccc" strokeweight="2pt"/>
          </w:pict>
        </mc:Fallback>
      </mc:AlternateContent>
    </w:r>
  </w:p>
  <w:p w14:paraId="03EC99FA" w14:textId="77777777" w:rsidR="0006014A" w:rsidRPr="00C65CB0" w:rsidRDefault="0006014A" w:rsidP="00B72FD8">
    <w:pPr>
      <w:pStyle w:val="Footer"/>
      <w:jc w:val="right"/>
      <w:rPr>
        <w:szCs w:val="16"/>
      </w:rPr>
    </w:pPr>
    <w:r w:rsidRPr="00C65CB0">
      <w:rPr>
        <w:szCs w:val="16"/>
      </w:rPr>
      <w:t xml:space="preserve">Oñati Socio-Legal Series, </w:t>
    </w:r>
    <w:r>
      <w:rPr>
        <w:szCs w:val="16"/>
      </w:rPr>
      <w:t>v</w:t>
    </w:r>
    <w:r w:rsidRPr="00C65CB0">
      <w:rPr>
        <w:szCs w:val="16"/>
      </w:rPr>
      <w:t xml:space="preserve">. </w:t>
    </w:r>
    <w:r>
      <w:rPr>
        <w:szCs w:val="16"/>
      </w:rPr>
      <w:t>x, n. x (201x)</w:t>
    </w:r>
  </w:p>
  <w:p w14:paraId="26DBB51C" w14:textId="77777777" w:rsidR="0006014A" w:rsidRPr="00223D88" w:rsidRDefault="0006014A" w:rsidP="00B72FD8">
    <w:pPr>
      <w:pStyle w:val="Footer"/>
      <w:jc w:val="right"/>
      <w:rPr>
        <w:szCs w:val="16"/>
        <w:lang w:val="en-GB"/>
      </w:rPr>
    </w:pPr>
    <w:r w:rsidRPr="000B1C1F">
      <w:rPr>
        <w:szCs w:val="16"/>
        <w:lang w:val="en-GB"/>
      </w:rPr>
      <w:t xml:space="preserve">ISSN: </w:t>
    </w:r>
    <w:r>
      <w:rPr>
        <w:szCs w:val="16"/>
        <w:lang w:val="en-GB"/>
      </w:rPr>
      <w:t>2079-5971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AD346" w14:textId="77777777" w:rsidR="0006014A" w:rsidRDefault="0006014A">
      <w:r>
        <w:separator/>
      </w:r>
    </w:p>
  </w:footnote>
  <w:footnote w:type="continuationSeparator" w:id="0">
    <w:p w14:paraId="5C30458F" w14:textId="77777777" w:rsidR="0006014A" w:rsidRDefault="0006014A">
      <w:r>
        <w:continuationSeparator/>
      </w:r>
    </w:p>
  </w:footnote>
  <w:footnote w:id="1">
    <w:p w14:paraId="672A66F4" w14:textId="43E7F40B" w:rsidR="0006014A" w:rsidRPr="00193103" w:rsidRDefault="0006014A" w:rsidP="0030684B">
      <w:pPr>
        <w:jc w:val="both"/>
        <w:rPr>
          <w:rFonts w:ascii="Verdana" w:hAnsi="Verdana"/>
          <w:sz w:val="16"/>
          <w:szCs w:val="16"/>
          <w:lang w:val="en-GB"/>
        </w:rPr>
      </w:pPr>
      <w:proofErr w:type="gramStart"/>
      <w:r>
        <w:rPr>
          <w:rFonts w:ascii="Verdana" w:hAnsi="Verdana"/>
          <w:sz w:val="16"/>
          <w:szCs w:val="16"/>
          <w:lang w:val="en-GB"/>
        </w:rPr>
        <w:t>University of Liverpool.</w:t>
      </w:r>
      <w:proofErr w:type="gramEnd"/>
      <w:r>
        <w:rPr>
          <w:rFonts w:ascii="Verdana" w:hAnsi="Verdana"/>
          <w:sz w:val="16"/>
          <w:szCs w:val="16"/>
          <w:lang w:val="en-GB"/>
        </w:rPr>
        <w:t xml:space="preserve"> </w:t>
      </w:r>
      <w:r>
        <w:rPr>
          <w:rFonts w:ascii="Verdana" w:hAnsi="Verdana"/>
          <w:sz w:val="16"/>
          <w:szCs w:val="16"/>
          <w:lang w:val="en-GB"/>
        </w:rPr>
        <w:fldChar w:fldCharType="begin"/>
      </w:r>
      <w:r>
        <w:rPr>
          <w:rFonts w:ascii="Verdana" w:hAnsi="Verdana"/>
          <w:sz w:val="16"/>
          <w:szCs w:val="16"/>
          <w:lang w:val="en-GB"/>
        </w:rPr>
        <w:instrText xml:space="preserve"> HYPERLINK "mailto:</w:instrText>
      </w:r>
      <w:r w:rsidRPr="00B84F88">
        <w:rPr>
          <w:rFonts w:ascii="Verdana" w:hAnsi="Verdana"/>
          <w:sz w:val="16"/>
          <w:szCs w:val="16"/>
          <w:lang w:val="en-GB"/>
        </w:rPr>
        <w:instrText>whyted@liverpool.ac.uk.</w:instrText>
      </w:r>
      <w:r>
        <w:rPr>
          <w:rFonts w:ascii="Verdana" w:hAnsi="Verdana"/>
          <w:sz w:val="16"/>
          <w:szCs w:val="16"/>
          <w:lang w:val="en-GB"/>
        </w:rPr>
        <w:instrText xml:space="preserve">" </w:instrText>
      </w:r>
      <w:r>
        <w:rPr>
          <w:rFonts w:ascii="Verdana" w:hAnsi="Verdana"/>
          <w:sz w:val="16"/>
          <w:szCs w:val="16"/>
          <w:lang w:val="en-GB"/>
        </w:rPr>
        <w:fldChar w:fldCharType="separate"/>
      </w:r>
      <w:r w:rsidRPr="002D1F52">
        <w:rPr>
          <w:rStyle w:val="Hyperlink"/>
          <w:rFonts w:ascii="Verdana" w:hAnsi="Verdana"/>
          <w:sz w:val="16"/>
          <w:szCs w:val="16"/>
          <w:lang w:val="en-GB"/>
        </w:rPr>
        <w:t>whyted@liverpool.ac.uk.</w:t>
      </w:r>
      <w:r>
        <w:rPr>
          <w:rFonts w:ascii="Verdana" w:hAnsi="Verdana"/>
          <w:sz w:val="16"/>
          <w:szCs w:val="16"/>
          <w:lang w:val="en-GB"/>
        </w:rPr>
        <w:fldChar w:fldCharType="end"/>
      </w:r>
      <w:r w:rsidRPr="00193103">
        <w:rPr>
          <w:rFonts w:ascii="Verdana" w:hAnsi="Verdana"/>
          <w:sz w:val="16"/>
          <w:szCs w:val="16"/>
          <w:lang w:val="en-GB"/>
        </w:rPr>
        <w:t xml:space="preserve"> </w:t>
      </w:r>
      <w:r w:rsidRPr="002D1F52">
        <w:rPr>
          <w:rFonts w:ascii="Verdana" w:hAnsi="Verdana"/>
          <w:sz w:val="16"/>
          <w:szCs w:val="16"/>
          <w:lang w:val="en-GB"/>
        </w:rPr>
        <w:t>A huge thanks goes to Jose Atiles, Vickie Cooper and Steve Tombs for their detailed comments and engagement with an early version of this paper.</w:t>
      </w:r>
      <w:r w:rsidRPr="00134E33">
        <w:rPr>
          <w:rStyle w:val="FootnoteReference"/>
          <w:rFonts w:ascii="Verdana" w:hAnsi="Verdana"/>
          <w:sz w:val="16"/>
          <w:szCs w:val="16"/>
        </w:rPr>
        <w:sym w:font="Symbol" w:char="F02A"/>
      </w:r>
      <w:r w:rsidRPr="00193103">
        <w:rPr>
          <w:rFonts w:ascii="Verdana" w:hAnsi="Verdana"/>
          <w:sz w:val="16"/>
          <w:szCs w:val="16"/>
          <w:lang w:val="en-GB"/>
        </w:rPr>
        <w:t xml:space="preserve"> </w:t>
      </w:r>
    </w:p>
  </w:footnote>
  <w:footnote w:id="2">
    <w:p w14:paraId="5280CAFB" w14:textId="08406B04" w:rsidR="0006014A" w:rsidRPr="00AA0A8F" w:rsidRDefault="0006014A" w:rsidP="00CF3106">
      <w:pPr>
        <w:pStyle w:val="Footer"/>
        <w:rPr>
          <w:lang w:val="en-US"/>
        </w:rPr>
      </w:pPr>
      <w:r>
        <w:rPr>
          <w:rStyle w:val="FootnoteReference"/>
        </w:rPr>
        <w:footnoteRef/>
      </w:r>
      <w:r w:rsidRPr="00BD6503">
        <w:rPr>
          <w:lang w:val="en-US"/>
        </w:rPr>
        <w:t xml:space="preserve"> </w:t>
      </w:r>
      <w:r>
        <w:rPr>
          <w:lang w:val="en-US"/>
        </w:rPr>
        <w:t>See, for example the Chicago Executives Club (</w:t>
      </w:r>
      <w:hyperlink r:id="rId1" w:history="1">
        <w:r w:rsidRPr="002756E5">
          <w:rPr>
            <w:rStyle w:val="Hyperlink"/>
            <w:lang w:val="en-US"/>
          </w:rPr>
          <w:t>http://www.executivesclub.org/annual-awards/corporate-citizen-of-the-year</w:t>
        </w:r>
      </w:hyperlink>
      <w:r>
        <w:rPr>
          <w:lang w:val="en-US"/>
        </w:rPr>
        <w:t>); the Denver Business Journal (</w:t>
      </w:r>
      <w:hyperlink r:id="rId2" w:history="1">
        <w:r w:rsidRPr="006D0C40">
          <w:rPr>
            <w:rStyle w:val="Hyperlink"/>
            <w:lang w:val="en-US"/>
          </w:rPr>
          <w:t>https://www.bizjournals.com/</w:t>
        </w:r>
        <w:r w:rsidRPr="00026703">
          <w:rPr>
            <w:rStyle w:val="Hyperlink"/>
            <w:lang w:val="en-US"/>
          </w:rPr>
          <w:br/>
        </w:r>
        <w:r w:rsidRPr="00CF3106">
          <w:rPr>
            <w:rStyle w:val="Hyperlink"/>
            <w:lang w:val="en-US"/>
          </w:rPr>
          <w:t>denver/news/2017/11/17/corporate-citizens-of-the-year-the-process-how-the.html</w:t>
        </w:r>
      </w:hyperlink>
      <w:r>
        <w:rPr>
          <w:lang w:val="en-US"/>
        </w:rPr>
        <w:t>); or the Evening Standard Business Awards (</w:t>
      </w:r>
      <w:hyperlink r:id="rId3" w:history="1">
        <w:r w:rsidRPr="00C966D3">
          <w:rPr>
            <w:rStyle w:val="Hyperlink"/>
            <w:lang w:val="en-US"/>
          </w:rPr>
          <w:t>https://www.standard.co.uk/business/evening-standard-business-awards-the-good-corporate-citizens-and-entrepreneurs-in-the-spotlight-a3569031.html</w:t>
        </w:r>
      </w:hyperlink>
      <w:r>
        <w:rPr>
          <w:lang w:val="en-US"/>
        </w:rPr>
        <w:t>)</w:t>
      </w:r>
    </w:p>
  </w:footnote>
  <w:footnote w:id="3">
    <w:p w14:paraId="31F7E8D5" w14:textId="77777777" w:rsidR="0006014A" w:rsidRPr="00AA0A8F" w:rsidRDefault="0006014A" w:rsidP="00CF3106">
      <w:pPr>
        <w:pStyle w:val="Footer"/>
        <w:rPr>
          <w:lang w:val="en-US"/>
        </w:rPr>
      </w:pPr>
      <w:r>
        <w:rPr>
          <w:rStyle w:val="FootnoteReference"/>
        </w:rPr>
        <w:footnoteRef/>
      </w:r>
      <w:r w:rsidRPr="00BD6503">
        <w:rPr>
          <w:lang w:val="en-US"/>
        </w:rPr>
        <w:t xml:space="preserve"> </w:t>
      </w:r>
      <w:r>
        <w:rPr>
          <w:lang w:val="en-US"/>
        </w:rPr>
        <w:t xml:space="preserve">See the </w:t>
      </w:r>
      <w:r w:rsidRPr="00AA0A8F">
        <w:rPr>
          <w:lang w:val="en-US"/>
        </w:rPr>
        <w:t>U.S. Chamber of Commerce Foundation Corporate Citizenship Center</w:t>
      </w:r>
      <w:r>
        <w:rPr>
          <w:lang w:val="en-US"/>
        </w:rPr>
        <w:t xml:space="preserve"> at: </w:t>
      </w:r>
      <w:hyperlink r:id="rId4" w:history="1">
        <w:r w:rsidRPr="00C966D3">
          <w:rPr>
            <w:rStyle w:val="Hyperlink"/>
            <w:lang w:val="en-US"/>
          </w:rPr>
          <w:t>https://www.uschamberfoundation.org/corporate-citizenship-center/about-us</w:t>
        </w:r>
      </w:hyperlink>
      <w:r>
        <w:rPr>
          <w:lang w:val="en-US"/>
        </w:rPr>
        <w:t>.</w:t>
      </w:r>
    </w:p>
  </w:footnote>
  <w:footnote w:id="4">
    <w:p w14:paraId="0EAC1191" w14:textId="7185114A" w:rsidR="0006014A" w:rsidRPr="00D55C2E" w:rsidRDefault="0006014A" w:rsidP="00CF3106">
      <w:pPr>
        <w:pStyle w:val="Footer"/>
        <w:rPr>
          <w:lang w:val="en-US"/>
        </w:rPr>
      </w:pPr>
      <w:r>
        <w:rPr>
          <w:rStyle w:val="FootnoteReference"/>
        </w:rPr>
        <w:footnoteRef/>
      </w:r>
      <w:r w:rsidRPr="00BD6503">
        <w:rPr>
          <w:lang w:val="en-US"/>
        </w:rPr>
        <w:t xml:space="preserve"> </w:t>
      </w:r>
      <w:r>
        <w:rPr>
          <w:lang w:val="en-US"/>
        </w:rPr>
        <w:t xml:space="preserve">Conclusions derived from analysis of OECD taxation available here: </w:t>
      </w:r>
      <w:hyperlink r:id="rId5" w:history="1">
        <w:r w:rsidRPr="001F2043">
          <w:rPr>
            <w:rStyle w:val="Hyperlink"/>
            <w:lang w:val="en-US"/>
          </w:rPr>
          <w:t>https://data.oecd.org/tax/tax-on-corporate-profits.htm#indicator-chart</w:t>
        </w:r>
      </w:hyperlink>
    </w:p>
  </w:footnote>
  <w:footnote w:id="5">
    <w:p w14:paraId="7A2AA783" w14:textId="10A9FB20" w:rsidR="0006014A" w:rsidRPr="00D55C2E" w:rsidRDefault="0006014A" w:rsidP="00CF3106">
      <w:pPr>
        <w:pStyle w:val="Footer"/>
        <w:rPr>
          <w:lang w:val="en-US"/>
        </w:rPr>
      </w:pPr>
      <w:r>
        <w:rPr>
          <w:rStyle w:val="FootnoteReference"/>
        </w:rPr>
        <w:footnoteRef/>
      </w:r>
      <w:r w:rsidRPr="00BD6503">
        <w:rPr>
          <w:lang w:val="en-US"/>
        </w:rPr>
        <w:t xml:space="preserve"> See fn. 4 above.</w:t>
      </w:r>
    </w:p>
  </w:footnote>
  <w:footnote w:id="6">
    <w:p w14:paraId="55DAE450" w14:textId="77777777" w:rsidR="0006014A" w:rsidRPr="001A68B2" w:rsidRDefault="0006014A" w:rsidP="00CF3106">
      <w:pPr>
        <w:pStyle w:val="Footer"/>
        <w:rPr>
          <w:lang w:val="en-US"/>
        </w:rPr>
      </w:pPr>
      <w:r>
        <w:rPr>
          <w:rStyle w:val="FootnoteReference"/>
        </w:rPr>
        <w:footnoteRef/>
      </w:r>
      <w:r w:rsidRPr="00BD6503">
        <w:rPr>
          <w:lang w:val="en-US"/>
        </w:rPr>
        <w:t xml:space="preserve"> </w:t>
      </w:r>
      <w:r>
        <w:rPr>
          <w:lang w:val="en-US"/>
        </w:rPr>
        <w:t xml:space="preserve">The City of </w:t>
      </w:r>
      <w:proofErr w:type="gramStart"/>
      <w:r>
        <w:rPr>
          <w:lang w:val="en-US"/>
        </w:rPr>
        <w:t>London which administers the area of London in which much of the financial sector is located</w:t>
      </w:r>
      <w:proofErr w:type="gramEnd"/>
      <w:r>
        <w:rPr>
          <w:lang w:val="en-US"/>
        </w:rPr>
        <w:t xml:space="preserve"> has a voting system that allocates weighted votes for each business organization according to its size. In the City of London, therefore, corporations do vote. </w:t>
      </w:r>
    </w:p>
  </w:footnote>
  <w:footnote w:id="7">
    <w:p w14:paraId="4975ABE0" w14:textId="77777777" w:rsidR="0006014A" w:rsidRPr="003C112F" w:rsidRDefault="0006014A" w:rsidP="00CF3106">
      <w:pPr>
        <w:pStyle w:val="Footer"/>
        <w:rPr>
          <w:lang w:val="en-US"/>
        </w:rPr>
      </w:pPr>
      <w:r>
        <w:rPr>
          <w:rStyle w:val="FootnoteReference"/>
        </w:rPr>
        <w:footnoteRef/>
      </w:r>
      <w:r w:rsidRPr="00BD6503">
        <w:rPr>
          <w:lang w:val="en-US"/>
        </w:rPr>
        <w:t xml:space="preserve"> </w:t>
      </w:r>
      <w:r>
        <w:rPr>
          <w:lang w:val="en-US"/>
        </w:rPr>
        <w:t>Defined as the process of colonial domination</w:t>
      </w:r>
      <w:r w:rsidRPr="003C112F">
        <w:rPr>
          <w:lang w:val="en-US"/>
        </w:rPr>
        <w:t xml:space="preserve"> through economic levels and instruments rather than dire</w:t>
      </w:r>
      <w:r>
        <w:rPr>
          <w:lang w:val="en-US"/>
        </w:rPr>
        <w:t>ct political rule (Nkrumah 1967)</w:t>
      </w:r>
      <w:r w:rsidRPr="003C112F">
        <w:rPr>
          <w:lang w:val="en-US"/>
        </w:rPr>
        <w:t>.</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0D3C7" w14:textId="6AA48FB0" w:rsidR="0006014A" w:rsidRPr="00193103" w:rsidRDefault="0006014A" w:rsidP="00BE4999">
    <w:pPr>
      <w:pStyle w:val="Header"/>
      <w:rPr>
        <w:rFonts w:ascii="Verdana" w:hAnsi="Verdana"/>
        <w:sz w:val="16"/>
        <w:szCs w:val="16"/>
        <w:lang w:val="en-GB"/>
      </w:rPr>
    </w:pPr>
    <w:r>
      <w:rPr>
        <w:rFonts w:ascii="Verdana" w:hAnsi="Verdana"/>
        <w:noProof/>
        <w:sz w:val="16"/>
        <w:szCs w:val="16"/>
        <w:lang w:val="en-US" w:eastAsia="en-US"/>
      </w:rPr>
      <mc:AlternateContent>
        <mc:Choice Requires="wps">
          <w:drawing>
            <wp:anchor distT="0" distB="0" distL="114300" distR="114300" simplePos="0" relativeHeight="251655680" behindDoc="0" locked="0" layoutInCell="1" allowOverlap="1" wp14:anchorId="4104BC82" wp14:editId="6DC0A58F">
              <wp:simplePos x="0" y="0"/>
              <wp:positionH relativeFrom="column">
                <wp:posOffset>0</wp:posOffset>
              </wp:positionH>
              <wp:positionV relativeFrom="paragraph">
                <wp:posOffset>200660</wp:posOffset>
              </wp:positionV>
              <wp:extent cx="5400040" cy="0"/>
              <wp:effectExtent l="19050" t="19685" r="19685" b="184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4C2B4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HqEgIAACo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" strokecolor="#ccc" strokeweight="2pt"/>
          </w:pict>
        </mc:Fallback>
      </mc:AlternateContent>
    </w:r>
    <w:r>
      <w:rPr>
        <w:rFonts w:ascii="Verdana" w:hAnsi="Verdana"/>
        <w:noProof/>
        <w:sz w:val="16"/>
        <w:szCs w:val="16"/>
        <w:lang w:val="en-US" w:eastAsia="en-US"/>
      </w:rPr>
      <w:t>David Whyte</w:t>
    </w:r>
    <w:r w:rsidRPr="00193103">
      <w:rPr>
        <w:rFonts w:ascii="Verdana" w:hAnsi="Verdana"/>
        <w:sz w:val="16"/>
        <w:szCs w:val="16"/>
        <w:lang w:val="en-GB"/>
      </w:rPr>
      <w:t xml:space="preserve"> </w:t>
    </w:r>
    <w:r w:rsidRPr="00193103">
      <w:rPr>
        <w:rFonts w:ascii="Verdana" w:hAnsi="Verdana"/>
        <w:sz w:val="16"/>
        <w:szCs w:val="16"/>
        <w:lang w:val="en-GB"/>
      </w:rPr>
      <w:tab/>
    </w:r>
    <w:r w:rsidRPr="00193103">
      <w:rPr>
        <w:rFonts w:ascii="Verdana" w:hAnsi="Verdana"/>
        <w:sz w:val="16"/>
        <w:szCs w:val="16"/>
        <w:lang w:val="en-GB"/>
      </w:rPr>
      <w:tab/>
    </w:r>
    <w:r>
      <w:rPr>
        <w:rFonts w:ascii="Verdana" w:hAnsi="Verdana"/>
        <w:noProof/>
        <w:sz w:val="16"/>
        <w:szCs w:val="16"/>
        <w:lang w:val="en-GB"/>
      </w:rPr>
      <w:t>The Corporate Citizen and</w:t>
    </w:r>
    <w:r w:rsidRPr="00193103">
      <w:rPr>
        <w:rFonts w:ascii="Verdana" w:hAnsi="Verdana"/>
        <w:noProof/>
        <w:sz w:val="16"/>
        <w:szCs w:val="16"/>
        <w:lang w:val="en-GB"/>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0165" w14:textId="77777777" w:rsidR="0006014A" w:rsidRPr="000B1C1F" w:rsidRDefault="0006014A">
    <w:pPr>
      <w:pStyle w:val="Header"/>
      <w:rPr>
        <w:rFonts w:ascii="Verdana" w:hAnsi="Verdana"/>
        <w:sz w:val="20"/>
        <w:szCs w:val="20"/>
      </w:rPr>
    </w:pPr>
    <w:r>
      <w:rPr>
        <w:rFonts w:ascii="Verdana" w:hAnsi="Verdana"/>
        <w:noProof/>
        <w:sz w:val="20"/>
        <w:szCs w:val="20"/>
        <w:lang w:val="en-US" w:eastAsia="en-US"/>
      </w:rPr>
      <w:drawing>
        <wp:inline distT="0" distB="0" distL="0" distR="0" wp14:anchorId="129C5317" wp14:editId="122C61D0">
          <wp:extent cx="5391150" cy="1371600"/>
          <wp:effectExtent l="0" t="0" r="0" b="0"/>
          <wp:docPr id="2" name="Imagen 2" descr="Oñati Socio-Legal Series&#10;Oñati International Institute for the Sociology of Law&#10;Instituto Internacional de Sociología Jurídica de Oñati&#10;ISSN: 207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ñati Socio-Legal Series&#10;Oñati International Institute for the Sociology of Law&#10;Instituto Internacional de Sociología Jurídica de Oñati&#10;ISSN: 2079-5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7246" w14:textId="77777777" w:rsidR="0006014A" w:rsidRPr="00B72FD8" w:rsidRDefault="0006014A" w:rsidP="00B72FD8">
    <w:pPr>
      <w:pStyle w:val="Header"/>
      <w:rPr>
        <w:szCs w:val="20"/>
      </w:rPr>
    </w:pPr>
    <w:r>
      <w:rPr>
        <w:rFonts w:ascii="Verdana" w:hAnsi="Verdana"/>
        <w:noProof/>
        <w:sz w:val="20"/>
        <w:szCs w:val="20"/>
        <w:lang w:val="en-US" w:eastAsia="en-US"/>
      </w:rPr>
      <w:drawing>
        <wp:inline distT="0" distB="0" distL="0" distR="0" wp14:anchorId="366AB000" wp14:editId="35EEC44C">
          <wp:extent cx="5391150" cy="1371600"/>
          <wp:effectExtent l="0" t="0" r="0" b="0"/>
          <wp:docPr id="3" name="Imagen 3" descr="Oñati Socio-Legal Series&#10;Oñati International Institute for the Sociology of Law&#10;Instituto Internacional de Sociología Jurídica de Oñati&#10;ISSN: 207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ñati Socio-Legal Series&#10;Oñati International Institute for the Sociology of Law&#10;Instituto Internacional de Sociología Jurídica de Oñati&#10;ISSN: 2079-5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DC58" w14:textId="77777777" w:rsidR="0006014A" w:rsidRPr="00193103" w:rsidRDefault="0006014A" w:rsidP="001B2144">
    <w:pPr>
      <w:pStyle w:val="Header"/>
      <w:rPr>
        <w:rFonts w:ascii="Verdana" w:hAnsi="Verdana"/>
        <w:sz w:val="16"/>
        <w:szCs w:val="16"/>
        <w:lang w:val="en-GB"/>
      </w:rPr>
    </w:pPr>
    <w:r w:rsidRPr="00CF3106">
      <w:rPr>
        <w:rFonts w:ascii="Verdana" w:hAnsi="Verdana"/>
        <w:noProof/>
        <w:sz w:val="16"/>
        <w:szCs w:val="16"/>
        <w:lang w:val="en-US" w:eastAsia="en-US"/>
      </w:rPr>
      <mc:AlternateContent>
        <mc:Choice Requires="wps">
          <w:drawing>
            <wp:anchor distT="0" distB="0" distL="114300" distR="114300" simplePos="0" relativeHeight="251663872" behindDoc="0" locked="0" layoutInCell="1" allowOverlap="1" wp14:anchorId="4003FBCD" wp14:editId="73DFCD86">
              <wp:simplePos x="0" y="0"/>
              <wp:positionH relativeFrom="column">
                <wp:posOffset>0</wp:posOffset>
              </wp:positionH>
              <wp:positionV relativeFrom="paragraph">
                <wp:posOffset>200660</wp:posOffset>
              </wp:positionV>
              <wp:extent cx="5400040" cy="0"/>
              <wp:effectExtent l="19050" t="19685" r="19685" b="1841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C2B5BA"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Z7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" strokecolor="#ccc" strokeweight="2pt"/>
          </w:pict>
        </mc:Fallback>
      </mc:AlternateContent>
    </w:r>
    <w:r>
      <w:rPr>
        <w:rFonts w:ascii="Verdana" w:hAnsi="Verdana"/>
        <w:noProof/>
        <w:sz w:val="16"/>
        <w:szCs w:val="16"/>
        <w:lang w:val="en-US" w:eastAsia="en-US"/>
      </w:rPr>
      <w:t>David Whyte</w:t>
    </w:r>
    <w:r w:rsidRPr="00193103">
      <w:rPr>
        <w:rFonts w:ascii="Verdana" w:hAnsi="Verdana"/>
        <w:sz w:val="16"/>
        <w:szCs w:val="16"/>
        <w:lang w:val="en-GB"/>
      </w:rPr>
      <w:t xml:space="preserve"> </w:t>
    </w:r>
    <w:r w:rsidRPr="00193103">
      <w:rPr>
        <w:rFonts w:ascii="Verdana" w:hAnsi="Verdana"/>
        <w:sz w:val="16"/>
        <w:szCs w:val="16"/>
        <w:lang w:val="en-GB"/>
      </w:rPr>
      <w:tab/>
    </w:r>
    <w:r w:rsidRPr="00193103">
      <w:rPr>
        <w:rFonts w:ascii="Verdana" w:hAnsi="Verdana"/>
        <w:sz w:val="16"/>
        <w:szCs w:val="16"/>
        <w:lang w:val="en-GB"/>
      </w:rPr>
      <w:tab/>
    </w:r>
    <w:r>
      <w:rPr>
        <w:rFonts w:ascii="Verdana" w:hAnsi="Verdana"/>
        <w:noProof/>
        <w:sz w:val="16"/>
        <w:szCs w:val="16"/>
        <w:lang w:val="en-GB"/>
      </w:rPr>
      <w:t>The Corporate Citizen and</w:t>
    </w:r>
    <w:r w:rsidRPr="00193103">
      <w:rPr>
        <w:rFonts w:ascii="Verdana" w:hAnsi="Verdana"/>
        <w:noProof/>
        <w:sz w:val="16"/>
        <w:szCs w:val="16"/>
        <w:lang w:val="en-GB"/>
      </w:rPr>
      <w:t>…</w:t>
    </w:r>
  </w:p>
  <w:p w14:paraId="334DA868" w14:textId="77777777" w:rsidR="0006014A" w:rsidRPr="00193103" w:rsidRDefault="0006014A">
    <w:pPr>
      <w:rPr>
        <w:lang w:val="en-G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25FAB" w14:textId="77777777" w:rsidR="0006014A" w:rsidRPr="00B72FD8" w:rsidRDefault="0006014A" w:rsidP="00B72FD8">
    <w:pPr>
      <w:pStyle w:val="Header"/>
      <w:rPr>
        <w:rFonts w:ascii="Verdana" w:hAnsi="Verdana"/>
        <w:noProof/>
        <w:sz w:val="16"/>
        <w:szCs w:val="16"/>
        <w:lang w:val="en-GB"/>
      </w:rPr>
    </w:pPr>
    <w:r>
      <w:rPr>
        <w:rFonts w:ascii="Verdana" w:hAnsi="Verdana"/>
        <w:noProof/>
        <w:sz w:val="16"/>
        <w:szCs w:val="16"/>
        <w:lang w:val="en-US" w:eastAsia="en-US"/>
      </w:rPr>
      <mc:AlternateContent>
        <mc:Choice Requires="wps">
          <w:drawing>
            <wp:anchor distT="0" distB="0" distL="114300" distR="114300" simplePos="0" relativeHeight="251658752" behindDoc="0" locked="0" layoutInCell="1" allowOverlap="1" wp14:anchorId="62DC82FE" wp14:editId="409A2FB1">
              <wp:simplePos x="0" y="0"/>
              <wp:positionH relativeFrom="column">
                <wp:posOffset>0</wp:posOffset>
              </wp:positionH>
              <wp:positionV relativeFrom="paragraph">
                <wp:posOffset>200660</wp:posOffset>
              </wp:positionV>
              <wp:extent cx="5400040" cy="0"/>
              <wp:effectExtent l="19050" t="19685" r="19685" b="1841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12026"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b8Eg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" strokecolor="#ccc" strokeweight="2pt"/>
          </w:pict>
        </mc:Fallback>
      </mc:AlternateContent>
    </w:r>
    <w:r w:rsidRPr="00193103">
      <w:rPr>
        <w:rFonts w:ascii="Verdana" w:hAnsi="Verdana"/>
        <w:noProof/>
        <w:sz w:val="16"/>
        <w:szCs w:val="16"/>
        <w:lang w:val="en-GB"/>
      </w:rPr>
      <w:t xml:space="preserve">Name </w:t>
    </w:r>
    <w:r>
      <w:rPr>
        <w:rFonts w:ascii="Verdana" w:hAnsi="Verdana"/>
        <w:noProof/>
        <w:sz w:val="16"/>
        <w:szCs w:val="16"/>
        <w:lang w:val="en-GB"/>
      </w:rPr>
      <w:t>S</w:t>
    </w:r>
    <w:r w:rsidRPr="00193103">
      <w:rPr>
        <w:rFonts w:ascii="Verdana" w:hAnsi="Verdana"/>
        <w:noProof/>
        <w:sz w:val="16"/>
        <w:szCs w:val="16"/>
        <w:lang w:val="en-GB"/>
      </w:rPr>
      <w:t xml:space="preserve">urname </w:t>
    </w:r>
    <w:r w:rsidRPr="00193103">
      <w:rPr>
        <w:rFonts w:ascii="Verdana" w:hAnsi="Verdana"/>
        <w:noProof/>
        <w:sz w:val="16"/>
        <w:szCs w:val="16"/>
        <w:lang w:val="en-GB"/>
      </w:rPr>
      <w:tab/>
    </w:r>
    <w:r w:rsidRPr="00193103">
      <w:rPr>
        <w:rFonts w:ascii="Verdana" w:hAnsi="Verdana"/>
        <w:noProof/>
        <w:sz w:val="16"/>
        <w:szCs w:val="16"/>
        <w:lang w:val="en-GB"/>
      </w:rPr>
      <w:tab/>
      <w:t>Abbreviated title of the article…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64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0AF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E6B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42EB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F834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1A4D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2692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4CD1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088AF2"/>
    <w:lvl w:ilvl="0">
      <w:start w:val="1"/>
      <w:numFmt w:val="decimal"/>
      <w:pStyle w:val="ListNumber"/>
      <w:lvlText w:val="%1."/>
      <w:lvlJc w:val="left"/>
      <w:pPr>
        <w:tabs>
          <w:tab w:val="num" w:pos="360"/>
        </w:tabs>
        <w:ind w:left="360" w:hanging="360"/>
      </w:pPr>
    </w:lvl>
  </w:abstractNum>
  <w:abstractNum w:abstractNumId="9">
    <w:nsid w:val="FFFFFF89"/>
    <w:multiLevelType w:val="singleLevel"/>
    <w:tmpl w:val="468A76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F359B"/>
    <w:multiLevelType w:val="hybridMultilevel"/>
    <w:tmpl w:val="F05A575C"/>
    <w:lvl w:ilvl="0" w:tplc="6E02B1A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07B2699"/>
    <w:multiLevelType w:val="hybridMultilevel"/>
    <w:tmpl w:val="1F602626"/>
    <w:lvl w:ilvl="0" w:tplc="11E876F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5647629"/>
    <w:multiLevelType w:val="hybridMultilevel"/>
    <w:tmpl w:val="BFCA19AA"/>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A8C58D7"/>
    <w:multiLevelType w:val="hybridMultilevel"/>
    <w:tmpl w:val="DB54C888"/>
    <w:lvl w:ilvl="0" w:tplc="051EC4C8">
      <w:start w:val="1"/>
      <w:numFmt w:val="bullet"/>
      <w:pStyle w:val="ListaUL"/>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0554E06"/>
    <w:multiLevelType w:val="hybridMultilevel"/>
    <w:tmpl w:val="1128908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B22AC"/>
    <w:multiLevelType w:val="hybridMultilevel"/>
    <w:tmpl w:val="8C04D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43228"/>
    <w:multiLevelType w:val="hybridMultilevel"/>
    <w:tmpl w:val="A94C6958"/>
    <w:lvl w:ilvl="0" w:tplc="E850E6F6">
      <w:start w:val="1"/>
      <w:numFmt w:val="bullet"/>
      <w:lvlText w:val="•"/>
      <w:lvlJc w:val="left"/>
      <w:pPr>
        <w:tabs>
          <w:tab w:val="num" w:pos="720"/>
        </w:tabs>
        <w:ind w:left="720" w:hanging="360"/>
      </w:pPr>
      <w:rPr>
        <w:rFonts w:ascii="Arial" w:hAnsi="Arial" w:hint="default"/>
      </w:rPr>
    </w:lvl>
    <w:lvl w:ilvl="1" w:tplc="F2B0E022">
      <w:start w:val="1"/>
      <w:numFmt w:val="bullet"/>
      <w:lvlText w:val="•"/>
      <w:lvlJc w:val="left"/>
      <w:pPr>
        <w:tabs>
          <w:tab w:val="num" w:pos="1440"/>
        </w:tabs>
        <w:ind w:left="1440" w:hanging="360"/>
      </w:pPr>
      <w:rPr>
        <w:rFonts w:ascii="Arial" w:hAnsi="Arial" w:hint="default"/>
      </w:rPr>
    </w:lvl>
    <w:lvl w:ilvl="2" w:tplc="0EAAE8DE">
      <w:start w:val="1"/>
      <w:numFmt w:val="bullet"/>
      <w:lvlText w:val="•"/>
      <w:lvlJc w:val="left"/>
      <w:pPr>
        <w:tabs>
          <w:tab w:val="num" w:pos="2160"/>
        </w:tabs>
        <w:ind w:left="2160" w:hanging="360"/>
      </w:pPr>
      <w:rPr>
        <w:rFonts w:ascii="Arial" w:hAnsi="Arial" w:hint="default"/>
      </w:rPr>
    </w:lvl>
    <w:lvl w:ilvl="3" w:tplc="31783368" w:tentative="1">
      <w:start w:val="1"/>
      <w:numFmt w:val="bullet"/>
      <w:lvlText w:val="•"/>
      <w:lvlJc w:val="left"/>
      <w:pPr>
        <w:tabs>
          <w:tab w:val="num" w:pos="2880"/>
        </w:tabs>
        <w:ind w:left="2880" w:hanging="360"/>
      </w:pPr>
      <w:rPr>
        <w:rFonts w:ascii="Arial" w:hAnsi="Arial" w:hint="default"/>
      </w:rPr>
    </w:lvl>
    <w:lvl w:ilvl="4" w:tplc="9F529780" w:tentative="1">
      <w:start w:val="1"/>
      <w:numFmt w:val="bullet"/>
      <w:lvlText w:val="•"/>
      <w:lvlJc w:val="left"/>
      <w:pPr>
        <w:tabs>
          <w:tab w:val="num" w:pos="3600"/>
        </w:tabs>
        <w:ind w:left="3600" w:hanging="360"/>
      </w:pPr>
      <w:rPr>
        <w:rFonts w:ascii="Arial" w:hAnsi="Arial" w:hint="default"/>
      </w:rPr>
    </w:lvl>
    <w:lvl w:ilvl="5" w:tplc="7504A764" w:tentative="1">
      <w:start w:val="1"/>
      <w:numFmt w:val="bullet"/>
      <w:lvlText w:val="•"/>
      <w:lvlJc w:val="left"/>
      <w:pPr>
        <w:tabs>
          <w:tab w:val="num" w:pos="4320"/>
        </w:tabs>
        <w:ind w:left="4320" w:hanging="360"/>
      </w:pPr>
      <w:rPr>
        <w:rFonts w:ascii="Arial" w:hAnsi="Arial" w:hint="default"/>
      </w:rPr>
    </w:lvl>
    <w:lvl w:ilvl="6" w:tplc="22D0EAC4" w:tentative="1">
      <w:start w:val="1"/>
      <w:numFmt w:val="bullet"/>
      <w:lvlText w:val="•"/>
      <w:lvlJc w:val="left"/>
      <w:pPr>
        <w:tabs>
          <w:tab w:val="num" w:pos="5040"/>
        </w:tabs>
        <w:ind w:left="5040" w:hanging="360"/>
      </w:pPr>
      <w:rPr>
        <w:rFonts w:ascii="Arial" w:hAnsi="Arial" w:hint="default"/>
      </w:rPr>
    </w:lvl>
    <w:lvl w:ilvl="7" w:tplc="131C799E" w:tentative="1">
      <w:start w:val="1"/>
      <w:numFmt w:val="bullet"/>
      <w:lvlText w:val="•"/>
      <w:lvlJc w:val="left"/>
      <w:pPr>
        <w:tabs>
          <w:tab w:val="num" w:pos="5760"/>
        </w:tabs>
        <w:ind w:left="5760" w:hanging="360"/>
      </w:pPr>
      <w:rPr>
        <w:rFonts w:ascii="Arial" w:hAnsi="Arial" w:hint="default"/>
      </w:rPr>
    </w:lvl>
    <w:lvl w:ilvl="8" w:tplc="3398DDFE" w:tentative="1">
      <w:start w:val="1"/>
      <w:numFmt w:val="bullet"/>
      <w:lvlText w:val="•"/>
      <w:lvlJc w:val="left"/>
      <w:pPr>
        <w:tabs>
          <w:tab w:val="num" w:pos="6480"/>
        </w:tabs>
        <w:ind w:left="6480" w:hanging="360"/>
      </w:pPr>
      <w:rPr>
        <w:rFonts w:ascii="Arial" w:hAnsi="Arial" w:hint="default"/>
      </w:rPr>
    </w:lvl>
  </w:abstractNum>
  <w:abstractNum w:abstractNumId="17">
    <w:nsid w:val="32923EF8"/>
    <w:multiLevelType w:val="hybridMultilevel"/>
    <w:tmpl w:val="CCBC067A"/>
    <w:lvl w:ilvl="0" w:tplc="6E02B1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061DE"/>
    <w:multiLevelType w:val="hybridMultilevel"/>
    <w:tmpl w:val="B7303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158BB"/>
    <w:multiLevelType w:val="hybridMultilevel"/>
    <w:tmpl w:val="75BC4BD0"/>
    <w:lvl w:ilvl="0" w:tplc="1A941F1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7025439"/>
    <w:multiLevelType w:val="hybridMultilevel"/>
    <w:tmpl w:val="B1E88B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8E7464"/>
    <w:multiLevelType w:val="hybridMultilevel"/>
    <w:tmpl w:val="0632EC24"/>
    <w:lvl w:ilvl="0" w:tplc="D3389AC6">
      <w:start w:val="1"/>
      <w:numFmt w:val="bullet"/>
      <w:lvlText w:val="•"/>
      <w:lvlJc w:val="left"/>
      <w:pPr>
        <w:tabs>
          <w:tab w:val="num" w:pos="720"/>
        </w:tabs>
        <w:ind w:left="720" w:hanging="360"/>
      </w:pPr>
      <w:rPr>
        <w:rFonts w:ascii="Arial" w:hAnsi="Arial" w:hint="default"/>
      </w:rPr>
    </w:lvl>
    <w:lvl w:ilvl="1" w:tplc="0908DF1C" w:tentative="1">
      <w:start w:val="1"/>
      <w:numFmt w:val="bullet"/>
      <w:lvlText w:val="•"/>
      <w:lvlJc w:val="left"/>
      <w:pPr>
        <w:tabs>
          <w:tab w:val="num" w:pos="1440"/>
        </w:tabs>
        <w:ind w:left="1440" w:hanging="360"/>
      </w:pPr>
      <w:rPr>
        <w:rFonts w:ascii="Arial" w:hAnsi="Arial" w:hint="default"/>
      </w:rPr>
    </w:lvl>
    <w:lvl w:ilvl="2" w:tplc="C9B4AFD8">
      <w:start w:val="1"/>
      <w:numFmt w:val="bullet"/>
      <w:lvlText w:val="•"/>
      <w:lvlJc w:val="left"/>
      <w:pPr>
        <w:tabs>
          <w:tab w:val="num" w:pos="2160"/>
        </w:tabs>
        <w:ind w:left="2160" w:hanging="360"/>
      </w:pPr>
      <w:rPr>
        <w:rFonts w:ascii="Arial" w:hAnsi="Arial" w:hint="default"/>
      </w:rPr>
    </w:lvl>
    <w:lvl w:ilvl="3" w:tplc="8FC28A84" w:tentative="1">
      <w:start w:val="1"/>
      <w:numFmt w:val="bullet"/>
      <w:lvlText w:val="•"/>
      <w:lvlJc w:val="left"/>
      <w:pPr>
        <w:tabs>
          <w:tab w:val="num" w:pos="2880"/>
        </w:tabs>
        <w:ind w:left="2880" w:hanging="360"/>
      </w:pPr>
      <w:rPr>
        <w:rFonts w:ascii="Arial" w:hAnsi="Arial" w:hint="default"/>
      </w:rPr>
    </w:lvl>
    <w:lvl w:ilvl="4" w:tplc="7390B9E2" w:tentative="1">
      <w:start w:val="1"/>
      <w:numFmt w:val="bullet"/>
      <w:lvlText w:val="•"/>
      <w:lvlJc w:val="left"/>
      <w:pPr>
        <w:tabs>
          <w:tab w:val="num" w:pos="3600"/>
        </w:tabs>
        <w:ind w:left="3600" w:hanging="360"/>
      </w:pPr>
      <w:rPr>
        <w:rFonts w:ascii="Arial" w:hAnsi="Arial" w:hint="default"/>
      </w:rPr>
    </w:lvl>
    <w:lvl w:ilvl="5" w:tplc="B5A2B264" w:tentative="1">
      <w:start w:val="1"/>
      <w:numFmt w:val="bullet"/>
      <w:lvlText w:val="•"/>
      <w:lvlJc w:val="left"/>
      <w:pPr>
        <w:tabs>
          <w:tab w:val="num" w:pos="4320"/>
        </w:tabs>
        <w:ind w:left="4320" w:hanging="360"/>
      </w:pPr>
      <w:rPr>
        <w:rFonts w:ascii="Arial" w:hAnsi="Arial" w:hint="default"/>
      </w:rPr>
    </w:lvl>
    <w:lvl w:ilvl="6" w:tplc="51C427D4" w:tentative="1">
      <w:start w:val="1"/>
      <w:numFmt w:val="bullet"/>
      <w:lvlText w:val="•"/>
      <w:lvlJc w:val="left"/>
      <w:pPr>
        <w:tabs>
          <w:tab w:val="num" w:pos="5040"/>
        </w:tabs>
        <w:ind w:left="5040" w:hanging="360"/>
      </w:pPr>
      <w:rPr>
        <w:rFonts w:ascii="Arial" w:hAnsi="Arial" w:hint="default"/>
      </w:rPr>
    </w:lvl>
    <w:lvl w:ilvl="7" w:tplc="4658F53C" w:tentative="1">
      <w:start w:val="1"/>
      <w:numFmt w:val="bullet"/>
      <w:lvlText w:val="•"/>
      <w:lvlJc w:val="left"/>
      <w:pPr>
        <w:tabs>
          <w:tab w:val="num" w:pos="5760"/>
        </w:tabs>
        <w:ind w:left="5760" w:hanging="360"/>
      </w:pPr>
      <w:rPr>
        <w:rFonts w:ascii="Arial" w:hAnsi="Arial" w:hint="default"/>
      </w:rPr>
    </w:lvl>
    <w:lvl w:ilvl="8" w:tplc="95A42AD8" w:tentative="1">
      <w:start w:val="1"/>
      <w:numFmt w:val="bullet"/>
      <w:lvlText w:val="•"/>
      <w:lvlJc w:val="left"/>
      <w:pPr>
        <w:tabs>
          <w:tab w:val="num" w:pos="6480"/>
        </w:tabs>
        <w:ind w:left="6480" w:hanging="360"/>
      </w:pPr>
      <w:rPr>
        <w:rFonts w:ascii="Arial" w:hAnsi="Arial" w:hint="default"/>
      </w:rPr>
    </w:lvl>
  </w:abstractNum>
  <w:abstractNum w:abstractNumId="22">
    <w:nsid w:val="4EEE54EA"/>
    <w:multiLevelType w:val="hybridMultilevel"/>
    <w:tmpl w:val="7912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D1C00"/>
    <w:multiLevelType w:val="hybridMultilevel"/>
    <w:tmpl w:val="E4DED840"/>
    <w:lvl w:ilvl="0" w:tplc="1A941F1A">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324B4"/>
    <w:multiLevelType w:val="hybridMultilevel"/>
    <w:tmpl w:val="0BCAA810"/>
    <w:lvl w:ilvl="0" w:tplc="544071BE">
      <w:start w:val="1"/>
      <w:numFmt w:val="low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625D0"/>
    <w:multiLevelType w:val="hybridMultilevel"/>
    <w:tmpl w:val="FDFC7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D5F1A"/>
    <w:multiLevelType w:val="hybridMultilevel"/>
    <w:tmpl w:val="BD6A1C38"/>
    <w:lvl w:ilvl="0" w:tplc="037612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E0186B"/>
    <w:multiLevelType w:val="hybridMultilevel"/>
    <w:tmpl w:val="AEEE5E86"/>
    <w:lvl w:ilvl="0" w:tplc="A7145BA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939DD"/>
    <w:multiLevelType w:val="hybridMultilevel"/>
    <w:tmpl w:val="0E30C956"/>
    <w:lvl w:ilvl="0" w:tplc="6E02B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0C4F51"/>
    <w:multiLevelType w:val="hybridMultilevel"/>
    <w:tmpl w:val="DF52FD32"/>
    <w:lvl w:ilvl="0" w:tplc="8B023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29"/>
  </w:num>
  <w:num w:numId="14">
    <w:abstractNumId w:val="27"/>
  </w:num>
  <w:num w:numId="15">
    <w:abstractNumId w:val="19"/>
  </w:num>
  <w:num w:numId="16">
    <w:abstractNumId w:val="23"/>
  </w:num>
  <w:num w:numId="17">
    <w:abstractNumId w:val="25"/>
  </w:num>
  <w:num w:numId="18">
    <w:abstractNumId w:val="22"/>
  </w:num>
  <w:num w:numId="19">
    <w:abstractNumId w:val="21"/>
  </w:num>
  <w:num w:numId="20">
    <w:abstractNumId w:val="16"/>
  </w:num>
  <w:num w:numId="21">
    <w:abstractNumId w:val="20"/>
  </w:num>
  <w:num w:numId="22">
    <w:abstractNumId w:val="15"/>
  </w:num>
  <w:num w:numId="23">
    <w:abstractNumId w:val="18"/>
  </w:num>
  <w:num w:numId="24">
    <w:abstractNumId w:val="10"/>
  </w:num>
  <w:num w:numId="25">
    <w:abstractNumId w:val="17"/>
  </w:num>
  <w:num w:numId="26">
    <w:abstractNumId w:val="28"/>
  </w:num>
  <w:num w:numId="27">
    <w:abstractNumId w:val="24"/>
  </w:num>
  <w:num w:numId="28">
    <w:abstractNumId w:val="11"/>
  </w:num>
  <w:num w:numId="29">
    <w:abstractNumId w:val="14"/>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re Kortabarria">
    <w15:presenceInfo w15:providerId="AD" w15:userId="S-1-5-21-1123561945-583907252-839522115-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o:colormru v:ext="edit" colors="#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18"/>
    <w:rsid w:val="000002D7"/>
    <w:rsid w:val="0000054D"/>
    <w:rsid w:val="000006C0"/>
    <w:rsid w:val="00000EFD"/>
    <w:rsid w:val="00001181"/>
    <w:rsid w:val="00001F58"/>
    <w:rsid w:val="00002F25"/>
    <w:rsid w:val="00003385"/>
    <w:rsid w:val="00003F36"/>
    <w:rsid w:val="00004671"/>
    <w:rsid w:val="00007239"/>
    <w:rsid w:val="00007AF8"/>
    <w:rsid w:val="00007BCF"/>
    <w:rsid w:val="00010088"/>
    <w:rsid w:val="00010AAF"/>
    <w:rsid w:val="00011765"/>
    <w:rsid w:val="000132A0"/>
    <w:rsid w:val="00013506"/>
    <w:rsid w:val="00014203"/>
    <w:rsid w:val="000175D9"/>
    <w:rsid w:val="000179A4"/>
    <w:rsid w:val="00020EB8"/>
    <w:rsid w:val="0002554E"/>
    <w:rsid w:val="000261B2"/>
    <w:rsid w:val="00026703"/>
    <w:rsid w:val="00027E0E"/>
    <w:rsid w:val="00031392"/>
    <w:rsid w:val="00031399"/>
    <w:rsid w:val="00031E22"/>
    <w:rsid w:val="0003224D"/>
    <w:rsid w:val="000334CA"/>
    <w:rsid w:val="00034E6A"/>
    <w:rsid w:val="00035288"/>
    <w:rsid w:val="00035CA4"/>
    <w:rsid w:val="0003635A"/>
    <w:rsid w:val="000375DC"/>
    <w:rsid w:val="0004039D"/>
    <w:rsid w:val="0004092C"/>
    <w:rsid w:val="00041199"/>
    <w:rsid w:val="000419E1"/>
    <w:rsid w:val="000420E0"/>
    <w:rsid w:val="00042250"/>
    <w:rsid w:val="00042CE9"/>
    <w:rsid w:val="00042D81"/>
    <w:rsid w:val="000438AF"/>
    <w:rsid w:val="00044D69"/>
    <w:rsid w:val="000462A6"/>
    <w:rsid w:val="00046C0A"/>
    <w:rsid w:val="00047D11"/>
    <w:rsid w:val="00051EAF"/>
    <w:rsid w:val="00051EE6"/>
    <w:rsid w:val="000529A0"/>
    <w:rsid w:val="00052D5A"/>
    <w:rsid w:val="00052E26"/>
    <w:rsid w:val="000554C2"/>
    <w:rsid w:val="0005583A"/>
    <w:rsid w:val="00056881"/>
    <w:rsid w:val="00057D64"/>
    <w:rsid w:val="0006014A"/>
    <w:rsid w:val="000613BC"/>
    <w:rsid w:val="00062139"/>
    <w:rsid w:val="00062540"/>
    <w:rsid w:val="000632D4"/>
    <w:rsid w:val="000656E8"/>
    <w:rsid w:val="00066364"/>
    <w:rsid w:val="000663B3"/>
    <w:rsid w:val="00072235"/>
    <w:rsid w:val="0007297A"/>
    <w:rsid w:val="00072D56"/>
    <w:rsid w:val="00072E73"/>
    <w:rsid w:val="0007338D"/>
    <w:rsid w:val="00073FBC"/>
    <w:rsid w:val="00074032"/>
    <w:rsid w:val="00075EB9"/>
    <w:rsid w:val="0007608F"/>
    <w:rsid w:val="000760AE"/>
    <w:rsid w:val="000762BB"/>
    <w:rsid w:val="00076480"/>
    <w:rsid w:val="00076B44"/>
    <w:rsid w:val="00076B65"/>
    <w:rsid w:val="00077735"/>
    <w:rsid w:val="00077D9E"/>
    <w:rsid w:val="00077FF0"/>
    <w:rsid w:val="000807DF"/>
    <w:rsid w:val="00081904"/>
    <w:rsid w:val="00082173"/>
    <w:rsid w:val="0008251F"/>
    <w:rsid w:val="00083352"/>
    <w:rsid w:val="000835B5"/>
    <w:rsid w:val="000836C5"/>
    <w:rsid w:val="000837AA"/>
    <w:rsid w:val="000847AD"/>
    <w:rsid w:val="00085DB0"/>
    <w:rsid w:val="00086042"/>
    <w:rsid w:val="000864D6"/>
    <w:rsid w:val="00086629"/>
    <w:rsid w:val="0008756B"/>
    <w:rsid w:val="000917E7"/>
    <w:rsid w:val="000927B5"/>
    <w:rsid w:val="00092ECD"/>
    <w:rsid w:val="0009396E"/>
    <w:rsid w:val="00094C9F"/>
    <w:rsid w:val="00094CF0"/>
    <w:rsid w:val="00095160"/>
    <w:rsid w:val="00095F95"/>
    <w:rsid w:val="000A07DF"/>
    <w:rsid w:val="000A0AEE"/>
    <w:rsid w:val="000A1327"/>
    <w:rsid w:val="000A1643"/>
    <w:rsid w:val="000A217E"/>
    <w:rsid w:val="000A22F3"/>
    <w:rsid w:val="000A3B6E"/>
    <w:rsid w:val="000A5CCF"/>
    <w:rsid w:val="000A6B15"/>
    <w:rsid w:val="000A726C"/>
    <w:rsid w:val="000A7456"/>
    <w:rsid w:val="000A7472"/>
    <w:rsid w:val="000A7530"/>
    <w:rsid w:val="000A761C"/>
    <w:rsid w:val="000A7869"/>
    <w:rsid w:val="000A7DFB"/>
    <w:rsid w:val="000A7ECC"/>
    <w:rsid w:val="000B22BC"/>
    <w:rsid w:val="000B255C"/>
    <w:rsid w:val="000B27E2"/>
    <w:rsid w:val="000B3428"/>
    <w:rsid w:val="000B34CD"/>
    <w:rsid w:val="000B4465"/>
    <w:rsid w:val="000B5D57"/>
    <w:rsid w:val="000B62EC"/>
    <w:rsid w:val="000B7729"/>
    <w:rsid w:val="000C122B"/>
    <w:rsid w:val="000C2FDC"/>
    <w:rsid w:val="000C38E1"/>
    <w:rsid w:val="000C675D"/>
    <w:rsid w:val="000C6954"/>
    <w:rsid w:val="000C7B75"/>
    <w:rsid w:val="000D1C77"/>
    <w:rsid w:val="000D1D38"/>
    <w:rsid w:val="000D2655"/>
    <w:rsid w:val="000D3D9E"/>
    <w:rsid w:val="000D4388"/>
    <w:rsid w:val="000D44D7"/>
    <w:rsid w:val="000D47D2"/>
    <w:rsid w:val="000D5388"/>
    <w:rsid w:val="000D5525"/>
    <w:rsid w:val="000D7807"/>
    <w:rsid w:val="000E0C17"/>
    <w:rsid w:val="000E13DB"/>
    <w:rsid w:val="000E2311"/>
    <w:rsid w:val="000E33F0"/>
    <w:rsid w:val="000E347A"/>
    <w:rsid w:val="000E3EA3"/>
    <w:rsid w:val="000E3F33"/>
    <w:rsid w:val="000E4025"/>
    <w:rsid w:val="000E470B"/>
    <w:rsid w:val="000E496B"/>
    <w:rsid w:val="000E545F"/>
    <w:rsid w:val="000E5788"/>
    <w:rsid w:val="000E6D52"/>
    <w:rsid w:val="000F0166"/>
    <w:rsid w:val="000F0DF7"/>
    <w:rsid w:val="000F16DD"/>
    <w:rsid w:val="000F3705"/>
    <w:rsid w:val="000F46F2"/>
    <w:rsid w:val="000F4FB6"/>
    <w:rsid w:val="000F51A8"/>
    <w:rsid w:val="000F5D3A"/>
    <w:rsid w:val="000F687A"/>
    <w:rsid w:val="000F71E7"/>
    <w:rsid w:val="000F7635"/>
    <w:rsid w:val="000F7724"/>
    <w:rsid w:val="0010146A"/>
    <w:rsid w:val="00101527"/>
    <w:rsid w:val="00101A7E"/>
    <w:rsid w:val="001031FE"/>
    <w:rsid w:val="00106261"/>
    <w:rsid w:val="00106B56"/>
    <w:rsid w:val="00106F26"/>
    <w:rsid w:val="00106F49"/>
    <w:rsid w:val="001073AC"/>
    <w:rsid w:val="00107B76"/>
    <w:rsid w:val="0011034F"/>
    <w:rsid w:val="00110476"/>
    <w:rsid w:val="00110BD7"/>
    <w:rsid w:val="0011141D"/>
    <w:rsid w:val="001120F1"/>
    <w:rsid w:val="001138CA"/>
    <w:rsid w:val="00113FCE"/>
    <w:rsid w:val="00114634"/>
    <w:rsid w:val="00114F2B"/>
    <w:rsid w:val="0011514F"/>
    <w:rsid w:val="0011584E"/>
    <w:rsid w:val="0011626C"/>
    <w:rsid w:val="00116F7C"/>
    <w:rsid w:val="00117AB9"/>
    <w:rsid w:val="00117EB4"/>
    <w:rsid w:val="001204C4"/>
    <w:rsid w:val="001204E1"/>
    <w:rsid w:val="00123654"/>
    <w:rsid w:val="00124301"/>
    <w:rsid w:val="0012439D"/>
    <w:rsid w:val="00125D69"/>
    <w:rsid w:val="0012696F"/>
    <w:rsid w:val="0012750D"/>
    <w:rsid w:val="001306FB"/>
    <w:rsid w:val="00131301"/>
    <w:rsid w:val="001317AB"/>
    <w:rsid w:val="00131810"/>
    <w:rsid w:val="001321E5"/>
    <w:rsid w:val="00132A30"/>
    <w:rsid w:val="00132E8C"/>
    <w:rsid w:val="001339AC"/>
    <w:rsid w:val="00133FA6"/>
    <w:rsid w:val="00134425"/>
    <w:rsid w:val="0013478A"/>
    <w:rsid w:val="00134E33"/>
    <w:rsid w:val="00135A6A"/>
    <w:rsid w:val="001376AD"/>
    <w:rsid w:val="00137E3C"/>
    <w:rsid w:val="00141001"/>
    <w:rsid w:val="001413C8"/>
    <w:rsid w:val="001421C3"/>
    <w:rsid w:val="00145D04"/>
    <w:rsid w:val="00145F1E"/>
    <w:rsid w:val="00150873"/>
    <w:rsid w:val="00150B1E"/>
    <w:rsid w:val="00150C7D"/>
    <w:rsid w:val="00151163"/>
    <w:rsid w:val="00151A54"/>
    <w:rsid w:val="001520A8"/>
    <w:rsid w:val="00153BEB"/>
    <w:rsid w:val="00156BAF"/>
    <w:rsid w:val="001576B0"/>
    <w:rsid w:val="00161DBF"/>
    <w:rsid w:val="001637D5"/>
    <w:rsid w:val="001639FD"/>
    <w:rsid w:val="00165FC2"/>
    <w:rsid w:val="0016612F"/>
    <w:rsid w:val="001679F6"/>
    <w:rsid w:val="00170819"/>
    <w:rsid w:val="00171491"/>
    <w:rsid w:val="00173293"/>
    <w:rsid w:val="001732BE"/>
    <w:rsid w:val="00173D53"/>
    <w:rsid w:val="0017489A"/>
    <w:rsid w:val="00174B63"/>
    <w:rsid w:val="00174C18"/>
    <w:rsid w:val="001751EA"/>
    <w:rsid w:val="001759AA"/>
    <w:rsid w:val="00175CE7"/>
    <w:rsid w:val="0017710C"/>
    <w:rsid w:val="001773FA"/>
    <w:rsid w:val="00177FD7"/>
    <w:rsid w:val="001834B8"/>
    <w:rsid w:val="00183E8D"/>
    <w:rsid w:val="001842F9"/>
    <w:rsid w:val="0018560D"/>
    <w:rsid w:val="001857E9"/>
    <w:rsid w:val="00186B1C"/>
    <w:rsid w:val="00186FF8"/>
    <w:rsid w:val="001872D7"/>
    <w:rsid w:val="001906E8"/>
    <w:rsid w:val="001918DE"/>
    <w:rsid w:val="00191994"/>
    <w:rsid w:val="00192EF0"/>
    <w:rsid w:val="00193103"/>
    <w:rsid w:val="001938DD"/>
    <w:rsid w:val="00194E3F"/>
    <w:rsid w:val="00195585"/>
    <w:rsid w:val="0019647B"/>
    <w:rsid w:val="001A02CD"/>
    <w:rsid w:val="001A1D4A"/>
    <w:rsid w:val="001A2702"/>
    <w:rsid w:val="001A45F2"/>
    <w:rsid w:val="001A4D09"/>
    <w:rsid w:val="001A4FCF"/>
    <w:rsid w:val="001B005A"/>
    <w:rsid w:val="001B0212"/>
    <w:rsid w:val="001B036C"/>
    <w:rsid w:val="001B0531"/>
    <w:rsid w:val="001B0A2B"/>
    <w:rsid w:val="001B14FB"/>
    <w:rsid w:val="001B15BA"/>
    <w:rsid w:val="001B2144"/>
    <w:rsid w:val="001B25DE"/>
    <w:rsid w:val="001B2CB5"/>
    <w:rsid w:val="001B3934"/>
    <w:rsid w:val="001B3DCA"/>
    <w:rsid w:val="001B4EFD"/>
    <w:rsid w:val="001B544C"/>
    <w:rsid w:val="001B593B"/>
    <w:rsid w:val="001B787B"/>
    <w:rsid w:val="001B79D2"/>
    <w:rsid w:val="001C0903"/>
    <w:rsid w:val="001C0DA7"/>
    <w:rsid w:val="001C0FF9"/>
    <w:rsid w:val="001C1C99"/>
    <w:rsid w:val="001C22C3"/>
    <w:rsid w:val="001C4901"/>
    <w:rsid w:val="001C5A0D"/>
    <w:rsid w:val="001C6F2D"/>
    <w:rsid w:val="001D0BBF"/>
    <w:rsid w:val="001D1D04"/>
    <w:rsid w:val="001D1E29"/>
    <w:rsid w:val="001D2CA5"/>
    <w:rsid w:val="001D413A"/>
    <w:rsid w:val="001D4B23"/>
    <w:rsid w:val="001D4BBB"/>
    <w:rsid w:val="001D5450"/>
    <w:rsid w:val="001D73DB"/>
    <w:rsid w:val="001E04A8"/>
    <w:rsid w:val="001E1C29"/>
    <w:rsid w:val="001E278E"/>
    <w:rsid w:val="001E3002"/>
    <w:rsid w:val="001E37A9"/>
    <w:rsid w:val="001E7269"/>
    <w:rsid w:val="001F0891"/>
    <w:rsid w:val="001F1D56"/>
    <w:rsid w:val="001F2043"/>
    <w:rsid w:val="001F426F"/>
    <w:rsid w:val="001F761E"/>
    <w:rsid w:val="001F7EE1"/>
    <w:rsid w:val="002002F3"/>
    <w:rsid w:val="0020046A"/>
    <w:rsid w:val="00200643"/>
    <w:rsid w:val="00201271"/>
    <w:rsid w:val="00201F4C"/>
    <w:rsid w:val="00202F40"/>
    <w:rsid w:val="00202F9A"/>
    <w:rsid w:val="0020305E"/>
    <w:rsid w:val="002030C3"/>
    <w:rsid w:val="00203121"/>
    <w:rsid w:val="00203C43"/>
    <w:rsid w:val="002044F8"/>
    <w:rsid w:val="00204C3D"/>
    <w:rsid w:val="0020610E"/>
    <w:rsid w:val="00206438"/>
    <w:rsid w:val="00206470"/>
    <w:rsid w:val="00206F3F"/>
    <w:rsid w:val="002076E9"/>
    <w:rsid w:val="0021008C"/>
    <w:rsid w:val="002108A2"/>
    <w:rsid w:val="00210ACA"/>
    <w:rsid w:val="00213E05"/>
    <w:rsid w:val="00213F68"/>
    <w:rsid w:val="00214626"/>
    <w:rsid w:val="002146F7"/>
    <w:rsid w:val="00214C28"/>
    <w:rsid w:val="00214FAB"/>
    <w:rsid w:val="00215993"/>
    <w:rsid w:val="002171DC"/>
    <w:rsid w:val="002172BC"/>
    <w:rsid w:val="0021767F"/>
    <w:rsid w:val="00217E7F"/>
    <w:rsid w:val="00220A49"/>
    <w:rsid w:val="0022107B"/>
    <w:rsid w:val="00222F55"/>
    <w:rsid w:val="0022363C"/>
    <w:rsid w:val="00223D88"/>
    <w:rsid w:val="0022411E"/>
    <w:rsid w:val="002302B8"/>
    <w:rsid w:val="00231D26"/>
    <w:rsid w:val="002320B5"/>
    <w:rsid w:val="00232A4E"/>
    <w:rsid w:val="00233C77"/>
    <w:rsid w:val="00235E85"/>
    <w:rsid w:val="00236B81"/>
    <w:rsid w:val="002373B4"/>
    <w:rsid w:val="002375E4"/>
    <w:rsid w:val="002416C1"/>
    <w:rsid w:val="0024258E"/>
    <w:rsid w:val="0024268E"/>
    <w:rsid w:val="00245152"/>
    <w:rsid w:val="002455B2"/>
    <w:rsid w:val="00247D48"/>
    <w:rsid w:val="00247DAD"/>
    <w:rsid w:val="002502AA"/>
    <w:rsid w:val="00250A43"/>
    <w:rsid w:val="00250DAE"/>
    <w:rsid w:val="00251450"/>
    <w:rsid w:val="002518DD"/>
    <w:rsid w:val="00251D7B"/>
    <w:rsid w:val="00252DF1"/>
    <w:rsid w:val="002531E5"/>
    <w:rsid w:val="00255835"/>
    <w:rsid w:val="00257559"/>
    <w:rsid w:val="002578C9"/>
    <w:rsid w:val="00257F4E"/>
    <w:rsid w:val="00260F9A"/>
    <w:rsid w:val="00262B30"/>
    <w:rsid w:val="00264916"/>
    <w:rsid w:val="00265DCE"/>
    <w:rsid w:val="0026615A"/>
    <w:rsid w:val="00266873"/>
    <w:rsid w:val="00266B34"/>
    <w:rsid w:val="00267366"/>
    <w:rsid w:val="00267BA5"/>
    <w:rsid w:val="00267E04"/>
    <w:rsid w:val="002700BE"/>
    <w:rsid w:val="0027026D"/>
    <w:rsid w:val="00270760"/>
    <w:rsid w:val="00271A53"/>
    <w:rsid w:val="00271D55"/>
    <w:rsid w:val="00272987"/>
    <w:rsid w:val="00273084"/>
    <w:rsid w:val="00274300"/>
    <w:rsid w:val="00274EF3"/>
    <w:rsid w:val="002756C0"/>
    <w:rsid w:val="00275FD7"/>
    <w:rsid w:val="00276A59"/>
    <w:rsid w:val="002779EE"/>
    <w:rsid w:val="00280937"/>
    <w:rsid w:val="002814A6"/>
    <w:rsid w:val="00281E4A"/>
    <w:rsid w:val="00282AF2"/>
    <w:rsid w:val="00283204"/>
    <w:rsid w:val="00283450"/>
    <w:rsid w:val="002839A9"/>
    <w:rsid w:val="00283F8B"/>
    <w:rsid w:val="00284001"/>
    <w:rsid w:val="00284285"/>
    <w:rsid w:val="00287459"/>
    <w:rsid w:val="0029165C"/>
    <w:rsid w:val="00291844"/>
    <w:rsid w:val="00291C77"/>
    <w:rsid w:val="00294F69"/>
    <w:rsid w:val="002953A9"/>
    <w:rsid w:val="00295EF4"/>
    <w:rsid w:val="00297368"/>
    <w:rsid w:val="00297925"/>
    <w:rsid w:val="002A03D8"/>
    <w:rsid w:val="002A0754"/>
    <w:rsid w:val="002A0CC0"/>
    <w:rsid w:val="002A14E6"/>
    <w:rsid w:val="002A171C"/>
    <w:rsid w:val="002A1B80"/>
    <w:rsid w:val="002A2D88"/>
    <w:rsid w:val="002A2DF8"/>
    <w:rsid w:val="002A3557"/>
    <w:rsid w:val="002A4E04"/>
    <w:rsid w:val="002A5CE6"/>
    <w:rsid w:val="002A64C5"/>
    <w:rsid w:val="002A6C5C"/>
    <w:rsid w:val="002B154C"/>
    <w:rsid w:val="002B1C0A"/>
    <w:rsid w:val="002B4706"/>
    <w:rsid w:val="002B4DE9"/>
    <w:rsid w:val="002B57F3"/>
    <w:rsid w:val="002B6349"/>
    <w:rsid w:val="002B7681"/>
    <w:rsid w:val="002C05C5"/>
    <w:rsid w:val="002C1094"/>
    <w:rsid w:val="002C3965"/>
    <w:rsid w:val="002C3A06"/>
    <w:rsid w:val="002C3F92"/>
    <w:rsid w:val="002C49A3"/>
    <w:rsid w:val="002C4D5D"/>
    <w:rsid w:val="002C7019"/>
    <w:rsid w:val="002C76CE"/>
    <w:rsid w:val="002D0BE2"/>
    <w:rsid w:val="002D1D70"/>
    <w:rsid w:val="002D1F52"/>
    <w:rsid w:val="002D2055"/>
    <w:rsid w:val="002D302C"/>
    <w:rsid w:val="002D461E"/>
    <w:rsid w:val="002D5E77"/>
    <w:rsid w:val="002D6DFA"/>
    <w:rsid w:val="002E0659"/>
    <w:rsid w:val="002E0FA5"/>
    <w:rsid w:val="002E196E"/>
    <w:rsid w:val="002E1BB4"/>
    <w:rsid w:val="002E26F7"/>
    <w:rsid w:val="002E4E74"/>
    <w:rsid w:val="002E52EB"/>
    <w:rsid w:val="002E552C"/>
    <w:rsid w:val="002F1ACB"/>
    <w:rsid w:val="002F20A5"/>
    <w:rsid w:val="002F22F2"/>
    <w:rsid w:val="002F2330"/>
    <w:rsid w:val="002F301B"/>
    <w:rsid w:val="002F4665"/>
    <w:rsid w:val="002F4851"/>
    <w:rsid w:val="002F57DE"/>
    <w:rsid w:val="002F5962"/>
    <w:rsid w:val="002F61A8"/>
    <w:rsid w:val="002F7E83"/>
    <w:rsid w:val="00300180"/>
    <w:rsid w:val="003006D0"/>
    <w:rsid w:val="00301157"/>
    <w:rsid w:val="003020BE"/>
    <w:rsid w:val="003037FA"/>
    <w:rsid w:val="0030481A"/>
    <w:rsid w:val="00304BEC"/>
    <w:rsid w:val="0030684B"/>
    <w:rsid w:val="00306945"/>
    <w:rsid w:val="00306A4A"/>
    <w:rsid w:val="00307AAF"/>
    <w:rsid w:val="00307F17"/>
    <w:rsid w:val="003101E1"/>
    <w:rsid w:val="003103B7"/>
    <w:rsid w:val="00312A26"/>
    <w:rsid w:val="00312D33"/>
    <w:rsid w:val="003136A4"/>
    <w:rsid w:val="00315DEA"/>
    <w:rsid w:val="00316424"/>
    <w:rsid w:val="003172A1"/>
    <w:rsid w:val="003172DF"/>
    <w:rsid w:val="003175CE"/>
    <w:rsid w:val="00317D0A"/>
    <w:rsid w:val="0032079D"/>
    <w:rsid w:val="00322A07"/>
    <w:rsid w:val="003234FF"/>
    <w:rsid w:val="003236B6"/>
    <w:rsid w:val="00323886"/>
    <w:rsid w:val="0032541A"/>
    <w:rsid w:val="00325525"/>
    <w:rsid w:val="00325D95"/>
    <w:rsid w:val="003261F0"/>
    <w:rsid w:val="0032637E"/>
    <w:rsid w:val="003269CD"/>
    <w:rsid w:val="003272CB"/>
    <w:rsid w:val="00327CD5"/>
    <w:rsid w:val="003309CC"/>
    <w:rsid w:val="00330B21"/>
    <w:rsid w:val="00330C1F"/>
    <w:rsid w:val="003314BC"/>
    <w:rsid w:val="00331DF7"/>
    <w:rsid w:val="00333016"/>
    <w:rsid w:val="0033353F"/>
    <w:rsid w:val="00333546"/>
    <w:rsid w:val="00333FEA"/>
    <w:rsid w:val="00335A02"/>
    <w:rsid w:val="00335FCF"/>
    <w:rsid w:val="003363EE"/>
    <w:rsid w:val="00337312"/>
    <w:rsid w:val="00337D7A"/>
    <w:rsid w:val="003403B2"/>
    <w:rsid w:val="00340A85"/>
    <w:rsid w:val="003410DF"/>
    <w:rsid w:val="0034218D"/>
    <w:rsid w:val="00342FED"/>
    <w:rsid w:val="003432BB"/>
    <w:rsid w:val="00343D19"/>
    <w:rsid w:val="003459BE"/>
    <w:rsid w:val="00347A3A"/>
    <w:rsid w:val="00347B81"/>
    <w:rsid w:val="00350763"/>
    <w:rsid w:val="00352B84"/>
    <w:rsid w:val="00353B05"/>
    <w:rsid w:val="00353BC9"/>
    <w:rsid w:val="00357E8A"/>
    <w:rsid w:val="00357F09"/>
    <w:rsid w:val="003600DF"/>
    <w:rsid w:val="0036138B"/>
    <w:rsid w:val="00361FE1"/>
    <w:rsid w:val="00362201"/>
    <w:rsid w:val="003635EA"/>
    <w:rsid w:val="00363694"/>
    <w:rsid w:val="00363914"/>
    <w:rsid w:val="003644DF"/>
    <w:rsid w:val="003665FF"/>
    <w:rsid w:val="00366E64"/>
    <w:rsid w:val="003671BB"/>
    <w:rsid w:val="003672A7"/>
    <w:rsid w:val="00367858"/>
    <w:rsid w:val="0037016F"/>
    <w:rsid w:val="00370710"/>
    <w:rsid w:val="00370877"/>
    <w:rsid w:val="00371442"/>
    <w:rsid w:val="00371EDB"/>
    <w:rsid w:val="00373C39"/>
    <w:rsid w:val="003758B5"/>
    <w:rsid w:val="003770D3"/>
    <w:rsid w:val="00377929"/>
    <w:rsid w:val="00377C85"/>
    <w:rsid w:val="00377D1B"/>
    <w:rsid w:val="003804E5"/>
    <w:rsid w:val="0038091E"/>
    <w:rsid w:val="00381A6E"/>
    <w:rsid w:val="00382C96"/>
    <w:rsid w:val="0038349B"/>
    <w:rsid w:val="00383830"/>
    <w:rsid w:val="003846F9"/>
    <w:rsid w:val="00384CD0"/>
    <w:rsid w:val="00385C60"/>
    <w:rsid w:val="00386708"/>
    <w:rsid w:val="003900B5"/>
    <w:rsid w:val="003905EF"/>
    <w:rsid w:val="00391EB0"/>
    <w:rsid w:val="003922AF"/>
    <w:rsid w:val="00392A85"/>
    <w:rsid w:val="003936B8"/>
    <w:rsid w:val="00394216"/>
    <w:rsid w:val="00396A54"/>
    <w:rsid w:val="00397B3A"/>
    <w:rsid w:val="003A2C0B"/>
    <w:rsid w:val="003A2D6B"/>
    <w:rsid w:val="003A2F95"/>
    <w:rsid w:val="003A3C54"/>
    <w:rsid w:val="003A41D6"/>
    <w:rsid w:val="003A475E"/>
    <w:rsid w:val="003A557B"/>
    <w:rsid w:val="003A58A3"/>
    <w:rsid w:val="003A6A94"/>
    <w:rsid w:val="003A7083"/>
    <w:rsid w:val="003B0505"/>
    <w:rsid w:val="003B13CB"/>
    <w:rsid w:val="003B1678"/>
    <w:rsid w:val="003B18BC"/>
    <w:rsid w:val="003B270E"/>
    <w:rsid w:val="003B2951"/>
    <w:rsid w:val="003B3ECA"/>
    <w:rsid w:val="003B50FC"/>
    <w:rsid w:val="003B5688"/>
    <w:rsid w:val="003B6813"/>
    <w:rsid w:val="003B6965"/>
    <w:rsid w:val="003B6A0E"/>
    <w:rsid w:val="003B6F97"/>
    <w:rsid w:val="003B755A"/>
    <w:rsid w:val="003B7AEB"/>
    <w:rsid w:val="003C0070"/>
    <w:rsid w:val="003C06BA"/>
    <w:rsid w:val="003C0A80"/>
    <w:rsid w:val="003C0ED2"/>
    <w:rsid w:val="003C1DF8"/>
    <w:rsid w:val="003C2239"/>
    <w:rsid w:val="003C29BD"/>
    <w:rsid w:val="003C56FD"/>
    <w:rsid w:val="003C60D8"/>
    <w:rsid w:val="003C7DE4"/>
    <w:rsid w:val="003D086F"/>
    <w:rsid w:val="003D0B74"/>
    <w:rsid w:val="003D1015"/>
    <w:rsid w:val="003D1055"/>
    <w:rsid w:val="003D27C4"/>
    <w:rsid w:val="003D327E"/>
    <w:rsid w:val="003D3D64"/>
    <w:rsid w:val="003D4CDB"/>
    <w:rsid w:val="003D542B"/>
    <w:rsid w:val="003D6859"/>
    <w:rsid w:val="003E0C36"/>
    <w:rsid w:val="003E12CE"/>
    <w:rsid w:val="003E1EAD"/>
    <w:rsid w:val="003E27A3"/>
    <w:rsid w:val="003E379D"/>
    <w:rsid w:val="003E4A15"/>
    <w:rsid w:val="003E628A"/>
    <w:rsid w:val="003E66E8"/>
    <w:rsid w:val="003E68F9"/>
    <w:rsid w:val="003E7976"/>
    <w:rsid w:val="003F052F"/>
    <w:rsid w:val="003F0E72"/>
    <w:rsid w:val="003F1D2A"/>
    <w:rsid w:val="003F32DE"/>
    <w:rsid w:val="003F529B"/>
    <w:rsid w:val="003F5780"/>
    <w:rsid w:val="003F586D"/>
    <w:rsid w:val="003F7378"/>
    <w:rsid w:val="00400361"/>
    <w:rsid w:val="00401C19"/>
    <w:rsid w:val="00402B65"/>
    <w:rsid w:val="0040445B"/>
    <w:rsid w:val="00404543"/>
    <w:rsid w:val="00404CF9"/>
    <w:rsid w:val="004053A3"/>
    <w:rsid w:val="00407763"/>
    <w:rsid w:val="00407878"/>
    <w:rsid w:val="00410F16"/>
    <w:rsid w:val="004118A3"/>
    <w:rsid w:val="00411B60"/>
    <w:rsid w:val="00411DCF"/>
    <w:rsid w:val="00411E04"/>
    <w:rsid w:val="00412168"/>
    <w:rsid w:val="0041276E"/>
    <w:rsid w:val="00414271"/>
    <w:rsid w:val="00415301"/>
    <w:rsid w:val="00415631"/>
    <w:rsid w:val="00415957"/>
    <w:rsid w:val="00415E9D"/>
    <w:rsid w:val="0041637C"/>
    <w:rsid w:val="00416E00"/>
    <w:rsid w:val="00417B18"/>
    <w:rsid w:val="004202C8"/>
    <w:rsid w:val="00420D2E"/>
    <w:rsid w:val="004212CA"/>
    <w:rsid w:val="00421386"/>
    <w:rsid w:val="00421786"/>
    <w:rsid w:val="00421A78"/>
    <w:rsid w:val="00422332"/>
    <w:rsid w:val="00422492"/>
    <w:rsid w:val="00422CEE"/>
    <w:rsid w:val="00424399"/>
    <w:rsid w:val="00424C41"/>
    <w:rsid w:val="00426C62"/>
    <w:rsid w:val="00426FC2"/>
    <w:rsid w:val="00427731"/>
    <w:rsid w:val="00427CAC"/>
    <w:rsid w:val="00430060"/>
    <w:rsid w:val="00430B97"/>
    <w:rsid w:val="00433F84"/>
    <w:rsid w:val="0043482F"/>
    <w:rsid w:val="00434B64"/>
    <w:rsid w:val="004364A8"/>
    <w:rsid w:val="00437F58"/>
    <w:rsid w:val="0044073F"/>
    <w:rsid w:val="00440F70"/>
    <w:rsid w:val="0044258E"/>
    <w:rsid w:val="00442D68"/>
    <w:rsid w:val="0044302A"/>
    <w:rsid w:val="0044383D"/>
    <w:rsid w:val="0044423E"/>
    <w:rsid w:val="004445EC"/>
    <w:rsid w:val="00446DBB"/>
    <w:rsid w:val="004471E1"/>
    <w:rsid w:val="00447528"/>
    <w:rsid w:val="00452969"/>
    <w:rsid w:val="004534EF"/>
    <w:rsid w:val="00453A2A"/>
    <w:rsid w:val="00453E6B"/>
    <w:rsid w:val="0045442A"/>
    <w:rsid w:val="004552C8"/>
    <w:rsid w:val="00456A9A"/>
    <w:rsid w:val="0045752D"/>
    <w:rsid w:val="004579A7"/>
    <w:rsid w:val="00457F70"/>
    <w:rsid w:val="004601E9"/>
    <w:rsid w:val="00461D24"/>
    <w:rsid w:val="00463D85"/>
    <w:rsid w:val="004647B1"/>
    <w:rsid w:val="004647DD"/>
    <w:rsid w:val="00467C1C"/>
    <w:rsid w:val="0047045F"/>
    <w:rsid w:val="00471A0F"/>
    <w:rsid w:val="00471A95"/>
    <w:rsid w:val="00471E5C"/>
    <w:rsid w:val="00473257"/>
    <w:rsid w:val="0047433E"/>
    <w:rsid w:val="00474ACB"/>
    <w:rsid w:val="0047622A"/>
    <w:rsid w:val="0047717A"/>
    <w:rsid w:val="00477388"/>
    <w:rsid w:val="00477D35"/>
    <w:rsid w:val="0048043C"/>
    <w:rsid w:val="00480A00"/>
    <w:rsid w:val="00481F5E"/>
    <w:rsid w:val="00482E05"/>
    <w:rsid w:val="00483C1F"/>
    <w:rsid w:val="00483D35"/>
    <w:rsid w:val="00484316"/>
    <w:rsid w:val="00484630"/>
    <w:rsid w:val="004855C7"/>
    <w:rsid w:val="00485782"/>
    <w:rsid w:val="004865D2"/>
    <w:rsid w:val="004865E7"/>
    <w:rsid w:val="0049019E"/>
    <w:rsid w:val="00490EE0"/>
    <w:rsid w:val="004918B7"/>
    <w:rsid w:val="00491F28"/>
    <w:rsid w:val="004921E2"/>
    <w:rsid w:val="0049483E"/>
    <w:rsid w:val="00495E6D"/>
    <w:rsid w:val="004961FE"/>
    <w:rsid w:val="0049659E"/>
    <w:rsid w:val="00496635"/>
    <w:rsid w:val="00496993"/>
    <w:rsid w:val="0049722B"/>
    <w:rsid w:val="00497641"/>
    <w:rsid w:val="0049790D"/>
    <w:rsid w:val="004979D0"/>
    <w:rsid w:val="00497BF2"/>
    <w:rsid w:val="004A01F1"/>
    <w:rsid w:val="004A126B"/>
    <w:rsid w:val="004A1DAB"/>
    <w:rsid w:val="004A2E34"/>
    <w:rsid w:val="004A3614"/>
    <w:rsid w:val="004A3F36"/>
    <w:rsid w:val="004A4469"/>
    <w:rsid w:val="004A4E53"/>
    <w:rsid w:val="004A533C"/>
    <w:rsid w:val="004A6662"/>
    <w:rsid w:val="004A67F7"/>
    <w:rsid w:val="004A6855"/>
    <w:rsid w:val="004A6D13"/>
    <w:rsid w:val="004B0337"/>
    <w:rsid w:val="004B034B"/>
    <w:rsid w:val="004B0516"/>
    <w:rsid w:val="004B0524"/>
    <w:rsid w:val="004B1208"/>
    <w:rsid w:val="004B1E16"/>
    <w:rsid w:val="004B33CA"/>
    <w:rsid w:val="004B38A2"/>
    <w:rsid w:val="004B3D79"/>
    <w:rsid w:val="004B3EAF"/>
    <w:rsid w:val="004B499F"/>
    <w:rsid w:val="004B5FDF"/>
    <w:rsid w:val="004B6551"/>
    <w:rsid w:val="004B6978"/>
    <w:rsid w:val="004B698E"/>
    <w:rsid w:val="004B76CA"/>
    <w:rsid w:val="004B79D8"/>
    <w:rsid w:val="004B7BBC"/>
    <w:rsid w:val="004C27EF"/>
    <w:rsid w:val="004C2C1A"/>
    <w:rsid w:val="004C32C0"/>
    <w:rsid w:val="004C41CE"/>
    <w:rsid w:val="004C43C9"/>
    <w:rsid w:val="004C55B2"/>
    <w:rsid w:val="004C6694"/>
    <w:rsid w:val="004C74FA"/>
    <w:rsid w:val="004C751F"/>
    <w:rsid w:val="004D0C6F"/>
    <w:rsid w:val="004D15FD"/>
    <w:rsid w:val="004D3229"/>
    <w:rsid w:val="004D3C6B"/>
    <w:rsid w:val="004D3DC2"/>
    <w:rsid w:val="004D4548"/>
    <w:rsid w:val="004D4697"/>
    <w:rsid w:val="004D5316"/>
    <w:rsid w:val="004D59E4"/>
    <w:rsid w:val="004D5B8C"/>
    <w:rsid w:val="004D6B6E"/>
    <w:rsid w:val="004D6FE3"/>
    <w:rsid w:val="004D7F04"/>
    <w:rsid w:val="004E13DA"/>
    <w:rsid w:val="004E1D70"/>
    <w:rsid w:val="004E1E01"/>
    <w:rsid w:val="004E2448"/>
    <w:rsid w:val="004E27CA"/>
    <w:rsid w:val="004E290A"/>
    <w:rsid w:val="004E2FC9"/>
    <w:rsid w:val="004E30B6"/>
    <w:rsid w:val="004E37C0"/>
    <w:rsid w:val="004E45D3"/>
    <w:rsid w:val="004E4B25"/>
    <w:rsid w:val="004E5511"/>
    <w:rsid w:val="004E5640"/>
    <w:rsid w:val="004E581C"/>
    <w:rsid w:val="004E74D1"/>
    <w:rsid w:val="004F0457"/>
    <w:rsid w:val="004F0CDF"/>
    <w:rsid w:val="004F130E"/>
    <w:rsid w:val="004F18C2"/>
    <w:rsid w:val="004F1B0C"/>
    <w:rsid w:val="004F2731"/>
    <w:rsid w:val="004F3092"/>
    <w:rsid w:val="004F31FA"/>
    <w:rsid w:val="004F3B61"/>
    <w:rsid w:val="004F3EC1"/>
    <w:rsid w:val="004F4A5A"/>
    <w:rsid w:val="004F65F7"/>
    <w:rsid w:val="004F77F9"/>
    <w:rsid w:val="004F7961"/>
    <w:rsid w:val="00502E1D"/>
    <w:rsid w:val="0050389B"/>
    <w:rsid w:val="00506802"/>
    <w:rsid w:val="0050687F"/>
    <w:rsid w:val="0051174B"/>
    <w:rsid w:val="00512C3D"/>
    <w:rsid w:val="00514C86"/>
    <w:rsid w:val="00516171"/>
    <w:rsid w:val="00516194"/>
    <w:rsid w:val="005175F1"/>
    <w:rsid w:val="00517F66"/>
    <w:rsid w:val="00520EB4"/>
    <w:rsid w:val="00520FA7"/>
    <w:rsid w:val="00522AA9"/>
    <w:rsid w:val="00525195"/>
    <w:rsid w:val="00525460"/>
    <w:rsid w:val="00525AF1"/>
    <w:rsid w:val="0052700E"/>
    <w:rsid w:val="00527FFA"/>
    <w:rsid w:val="00530B1E"/>
    <w:rsid w:val="00530CA4"/>
    <w:rsid w:val="00530F38"/>
    <w:rsid w:val="00530F48"/>
    <w:rsid w:val="00531355"/>
    <w:rsid w:val="00531F82"/>
    <w:rsid w:val="00533894"/>
    <w:rsid w:val="00533AA6"/>
    <w:rsid w:val="0053476B"/>
    <w:rsid w:val="00534A49"/>
    <w:rsid w:val="005351DC"/>
    <w:rsid w:val="00537392"/>
    <w:rsid w:val="0053750D"/>
    <w:rsid w:val="005375CF"/>
    <w:rsid w:val="005377ED"/>
    <w:rsid w:val="0054001B"/>
    <w:rsid w:val="005409D4"/>
    <w:rsid w:val="00541562"/>
    <w:rsid w:val="00541C8F"/>
    <w:rsid w:val="005425FA"/>
    <w:rsid w:val="00542AF6"/>
    <w:rsid w:val="0054328C"/>
    <w:rsid w:val="00543452"/>
    <w:rsid w:val="00543D20"/>
    <w:rsid w:val="0054470B"/>
    <w:rsid w:val="00544A63"/>
    <w:rsid w:val="00544D4B"/>
    <w:rsid w:val="005451CF"/>
    <w:rsid w:val="005504AF"/>
    <w:rsid w:val="00550BB6"/>
    <w:rsid w:val="00553528"/>
    <w:rsid w:val="00556427"/>
    <w:rsid w:val="0055673E"/>
    <w:rsid w:val="005568B0"/>
    <w:rsid w:val="00556D96"/>
    <w:rsid w:val="0055713C"/>
    <w:rsid w:val="0055747A"/>
    <w:rsid w:val="00557604"/>
    <w:rsid w:val="005605E8"/>
    <w:rsid w:val="0056267C"/>
    <w:rsid w:val="0056299C"/>
    <w:rsid w:val="00563780"/>
    <w:rsid w:val="00564547"/>
    <w:rsid w:val="00564856"/>
    <w:rsid w:val="00565373"/>
    <w:rsid w:val="00565A3E"/>
    <w:rsid w:val="00565B56"/>
    <w:rsid w:val="00565CD2"/>
    <w:rsid w:val="00565D29"/>
    <w:rsid w:val="0057019F"/>
    <w:rsid w:val="00571422"/>
    <w:rsid w:val="00571F11"/>
    <w:rsid w:val="00572073"/>
    <w:rsid w:val="00572D56"/>
    <w:rsid w:val="00572EC3"/>
    <w:rsid w:val="00574C61"/>
    <w:rsid w:val="00574EF0"/>
    <w:rsid w:val="00576ACF"/>
    <w:rsid w:val="0057719D"/>
    <w:rsid w:val="00577EBD"/>
    <w:rsid w:val="0058067E"/>
    <w:rsid w:val="005820EC"/>
    <w:rsid w:val="0058251D"/>
    <w:rsid w:val="005830AA"/>
    <w:rsid w:val="005838E9"/>
    <w:rsid w:val="00583A64"/>
    <w:rsid w:val="00583AC2"/>
    <w:rsid w:val="00583D41"/>
    <w:rsid w:val="00583EDF"/>
    <w:rsid w:val="00585905"/>
    <w:rsid w:val="00585A50"/>
    <w:rsid w:val="00585DA9"/>
    <w:rsid w:val="00585F04"/>
    <w:rsid w:val="0058611F"/>
    <w:rsid w:val="005865C9"/>
    <w:rsid w:val="00587344"/>
    <w:rsid w:val="00587784"/>
    <w:rsid w:val="005901A5"/>
    <w:rsid w:val="00591BDB"/>
    <w:rsid w:val="00592DC5"/>
    <w:rsid w:val="00593763"/>
    <w:rsid w:val="00593AE0"/>
    <w:rsid w:val="00596069"/>
    <w:rsid w:val="0059693D"/>
    <w:rsid w:val="00597572"/>
    <w:rsid w:val="00597E8A"/>
    <w:rsid w:val="005A0758"/>
    <w:rsid w:val="005A086A"/>
    <w:rsid w:val="005A19A0"/>
    <w:rsid w:val="005A1C24"/>
    <w:rsid w:val="005A2495"/>
    <w:rsid w:val="005A24FB"/>
    <w:rsid w:val="005A258E"/>
    <w:rsid w:val="005A26F4"/>
    <w:rsid w:val="005A3619"/>
    <w:rsid w:val="005A3FD3"/>
    <w:rsid w:val="005A43AB"/>
    <w:rsid w:val="005A5066"/>
    <w:rsid w:val="005A55AC"/>
    <w:rsid w:val="005A61DD"/>
    <w:rsid w:val="005A68DF"/>
    <w:rsid w:val="005A68EA"/>
    <w:rsid w:val="005A715C"/>
    <w:rsid w:val="005A7297"/>
    <w:rsid w:val="005B1097"/>
    <w:rsid w:val="005B1AA8"/>
    <w:rsid w:val="005B23FC"/>
    <w:rsid w:val="005B3916"/>
    <w:rsid w:val="005B397F"/>
    <w:rsid w:val="005B3B0C"/>
    <w:rsid w:val="005B3F95"/>
    <w:rsid w:val="005B45A3"/>
    <w:rsid w:val="005B50DE"/>
    <w:rsid w:val="005B535E"/>
    <w:rsid w:val="005B63E0"/>
    <w:rsid w:val="005B664A"/>
    <w:rsid w:val="005B6752"/>
    <w:rsid w:val="005C040D"/>
    <w:rsid w:val="005C10A4"/>
    <w:rsid w:val="005C1608"/>
    <w:rsid w:val="005C2AC5"/>
    <w:rsid w:val="005C357A"/>
    <w:rsid w:val="005C3E21"/>
    <w:rsid w:val="005C436D"/>
    <w:rsid w:val="005C4404"/>
    <w:rsid w:val="005C47E8"/>
    <w:rsid w:val="005C51F2"/>
    <w:rsid w:val="005C5504"/>
    <w:rsid w:val="005C5528"/>
    <w:rsid w:val="005C56E4"/>
    <w:rsid w:val="005C6500"/>
    <w:rsid w:val="005C7657"/>
    <w:rsid w:val="005C79F4"/>
    <w:rsid w:val="005C7A50"/>
    <w:rsid w:val="005C7B7C"/>
    <w:rsid w:val="005D084C"/>
    <w:rsid w:val="005D122E"/>
    <w:rsid w:val="005D181D"/>
    <w:rsid w:val="005D28CD"/>
    <w:rsid w:val="005D2A60"/>
    <w:rsid w:val="005D4254"/>
    <w:rsid w:val="005D42C3"/>
    <w:rsid w:val="005D4533"/>
    <w:rsid w:val="005D4CF4"/>
    <w:rsid w:val="005D4FAF"/>
    <w:rsid w:val="005D5598"/>
    <w:rsid w:val="005D5930"/>
    <w:rsid w:val="005E002A"/>
    <w:rsid w:val="005E0C70"/>
    <w:rsid w:val="005E15FA"/>
    <w:rsid w:val="005E1680"/>
    <w:rsid w:val="005E1991"/>
    <w:rsid w:val="005E1CFE"/>
    <w:rsid w:val="005E29EE"/>
    <w:rsid w:val="005E2E2F"/>
    <w:rsid w:val="005E366A"/>
    <w:rsid w:val="005F1B18"/>
    <w:rsid w:val="005F1CA9"/>
    <w:rsid w:val="005F1EE7"/>
    <w:rsid w:val="005F2811"/>
    <w:rsid w:val="005F3622"/>
    <w:rsid w:val="005F52EC"/>
    <w:rsid w:val="005F6077"/>
    <w:rsid w:val="005F622E"/>
    <w:rsid w:val="005F64DA"/>
    <w:rsid w:val="005F6D13"/>
    <w:rsid w:val="006004D7"/>
    <w:rsid w:val="0060142D"/>
    <w:rsid w:val="006020E2"/>
    <w:rsid w:val="006029A1"/>
    <w:rsid w:val="00603D12"/>
    <w:rsid w:val="00603F52"/>
    <w:rsid w:val="006050D9"/>
    <w:rsid w:val="006057A2"/>
    <w:rsid w:val="00605D70"/>
    <w:rsid w:val="00606382"/>
    <w:rsid w:val="00606B9E"/>
    <w:rsid w:val="006070C2"/>
    <w:rsid w:val="00607521"/>
    <w:rsid w:val="0060789A"/>
    <w:rsid w:val="006079CD"/>
    <w:rsid w:val="00607B98"/>
    <w:rsid w:val="00607E29"/>
    <w:rsid w:val="00612568"/>
    <w:rsid w:val="00613936"/>
    <w:rsid w:val="00614540"/>
    <w:rsid w:val="00614CDD"/>
    <w:rsid w:val="006164BE"/>
    <w:rsid w:val="006167E3"/>
    <w:rsid w:val="0061751A"/>
    <w:rsid w:val="00617807"/>
    <w:rsid w:val="00617B0A"/>
    <w:rsid w:val="0062079F"/>
    <w:rsid w:val="00622178"/>
    <w:rsid w:val="006225E0"/>
    <w:rsid w:val="0062363C"/>
    <w:rsid w:val="00624743"/>
    <w:rsid w:val="006258AF"/>
    <w:rsid w:val="00625DDB"/>
    <w:rsid w:val="00626811"/>
    <w:rsid w:val="00626E26"/>
    <w:rsid w:val="00626ECC"/>
    <w:rsid w:val="00627BF5"/>
    <w:rsid w:val="006301CB"/>
    <w:rsid w:val="006311B8"/>
    <w:rsid w:val="006353A1"/>
    <w:rsid w:val="00635FCE"/>
    <w:rsid w:val="00636313"/>
    <w:rsid w:val="006408E3"/>
    <w:rsid w:val="0064123F"/>
    <w:rsid w:val="00641C6E"/>
    <w:rsid w:val="006427A7"/>
    <w:rsid w:val="00642B51"/>
    <w:rsid w:val="00643973"/>
    <w:rsid w:val="00645632"/>
    <w:rsid w:val="00645E59"/>
    <w:rsid w:val="00645E6C"/>
    <w:rsid w:val="00645F35"/>
    <w:rsid w:val="006478A0"/>
    <w:rsid w:val="0064794A"/>
    <w:rsid w:val="00650C2C"/>
    <w:rsid w:val="0065121E"/>
    <w:rsid w:val="006517BB"/>
    <w:rsid w:val="00654F4C"/>
    <w:rsid w:val="00656D35"/>
    <w:rsid w:val="00657B93"/>
    <w:rsid w:val="00657C45"/>
    <w:rsid w:val="0066080D"/>
    <w:rsid w:val="0066196A"/>
    <w:rsid w:val="00661C16"/>
    <w:rsid w:val="00662C63"/>
    <w:rsid w:val="00662C76"/>
    <w:rsid w:val="006631BD"/>
    <w:rsid w:val="00663B88"/>
    <w:rsid w:val="00663CAD"/>
    <w:rsid w:val="00665491"/>
    <w:rsid w:val="00665DCE"/>
    <w:rsid w:val="0066687D"/>
    <w:rsid w:val="00667139"/>
    <w:rsid w:val="0066749B"/>
    <w:rsid w:val="006679D8"/>
    <w:rsid w:val="006706EE"/>
    <w:rsid w:val="0067080E"/>
    <w:rsid w:val="00670EA7"/>
    <w:rsid w:val="00671096"/>
    <w:rsid w:val="00671659"/>
    <w:rsid w:val="0067485B"/>
    <w:rsid w:val="00674A6A"/>
    <w:rsid w:val="00675056"/>
    <w:rsid w:val="0067552D"/>
    <w:rsid w:val="006764E5"/>
    <w:rsid w:val="00681541"/>
    <w:rsid w:val="00681581"/>
    <w:rsid w:val="006820FC"/>
    <w:rsid w:val="006829E1"/>
    <w:rsid w:val="006830A0"/>
    <w:rsid w:val="0068416B"/>
    <w:rsid w:val="00684923"/>
    <w:rsid w:val="006851A8"/>
    <w:rsid w:val="00685FD8"/>
    <w:rsid w:val="00686423"/>
    <w:rsid w:val="00686A2F"/>
    <w:rsid w:val="00687AD5"/>
    <w:rsid w:val="006902C2"/>
    <w:rsid w:val="00690D2D"/>
    <w:rsid w:val="00690E8D"/>
    <w:rsid w:val="00691E04"/>
    <w:rsid w:val="00692611"/>
    <w:rsid w:val="00695607"/>
    <w:rsid w:val="00695B91"/>
    <w:rsid w:val="00696514"/>
    <w:rsid w:val="00696CC1"/>
    <w:rsid w:val="00697C96"/>
    <w:rsid w:val="006A3934"/>
    <w:rsid w:val="006A4177"/>
    <w:rsid w:val="006A4554"/>
    <w:rsid w:val="006A58BB"/>
    <w:rsid w:val="006A6298"/>
    <w:rsid w:val="006A6CD0"/>
    <w:rsid w:val="006B05F0"/>
    <w:rsid w:val="006B1216"/>
    <w:rsid w:val="006B1D37"/>
    <w:rsid w:val="006B1E14"/>
    <w:rsid w:val="006B2150"/>
    <w:rsid w:val="006B290D"/>
    <w:rsid w:val="006B2BF3"/>
    <w:rsid w:val="006B33E8"/>
    <w:rsid w:val="006B3DA0"/>
    <w:rsid w:val="006B47DA"/>
    <w:rsid w:val="006B7041"/>
    <w:rsid w:val="006C00CE"/>
    <w:rsid w:val="006C0AFE"/>
    <w:rsid w:val="006C0F5E"/>
    <w:rsid w:val="006C1B76"/>
    <w:rsid w:val="006C1C9B"/>
    <w:rsid w:val="006C1E4A"/>
    <w:rsid w:val="006C2B65"/>
    <w:rsid w:val="006C375B"/>
    <w:rsid w:val="006C44DA"/>
    <w:rsid w:val="006C4F84"/>
    <w:rsid w:val="006C59ED"/>
    <w:rsid w:val="006C5A21"/>
    <w:rsid w:val="006C5CF4"/>
    <w:rsid w:val="006C63E0"/>
    <w:rsid w:val="006C7234"/>
    <w:rsid w:val="006D0C40"/>
    <w:rsid w:val="006D2040"/>
    <w:rsid w:val="006D2430"/>
    <w:rsid w:val="006D2A82"/>
    <w:rsid w:val="006D2BE3"/>
    <w:rsid w:val="006D309F"/>
    <w:rsid w:val="006D3BF3"/>
    <w:rsid w:val="006D417B"/>
    <w:rsid w:val="006D5772"/>
    <w:rsid w:val="006D58A3"/>
    <w:rsid w:val="006D65C8"/>
    <w:rsid w:val="006D705A"/>
    <w:rsid w:val="006E0648"/>
    <w:rsid w:val="006E1392"/>
    <w:rsid w:val="006E1C08"/>
    <w:rsid w:val="006E34FF"/>
    <w:rsid w:val="006E3DDB"/>
    <w:rsid w:val="006E4E66"/>
    <w:rsid w:val="006E4F92"/>
    <w:rsid w:val="006E55E7"/>
    <w:rsid w:val="006E5DE9"/>
    <w:rsid w:val="006E67D7"/>
    <w:rsid w:val="006F08CD"/>
    <w:rsid w:val="006F1608"/>
    <w:rsid w:val="006F1A4B"/>
    <w:rsid w:val="006F2C41"/>
    <w:rsid w:val="006F3CB3"/>
    <w:rsid w:val="006F4DC1"/>
    <w:rsid w:val="006F5442"/>
    <w:rsid w:val="006F5847"/>
    <w:rsid w:val="006F5F40"/>
    <w:rsid w:val="006F7404"/>
    <w:rsid w:val="006F7784"/>
    <w:rsid w:val="0070091C"/>
    <w:rsid w:val="00700CED"/>
    <w:rsid w:val="00701DC8"/>
    <w:rsid w:val="0070223B"/>
    <w:rsid w:val="0070287C"/>
    <w:rsid w:val="007037A5"/>
    <w:rsid w:val="0070468A"/>
    <w:rsid w:val="00705258"/>
    <w:rsid w:val="00705AAA"/>
    <w:rsid w:val="0070601F"/>
    <w:rsid w:val="00706252"/>
    <w:rsid w:val="00706FDC"/>
    <w:rsid w:val="00707056"/>
    <w:rsid w:val="00707B57"/>
    <w:rsid w:val="00707CE7"/>
    <w:rsid w:val="00707D27"/>
    <w:rsid w:val="00710225"/>
    <w:rsid w:val="007102F3"/>
    <w:rsid w:val="00711718"/>
    <w:rsid w:val="007127B8"/>
    <w:rsid w:val="00714601"/>
    <w:rsid w:val="00715955"/>
    <w:rsid w:val="00716BAB"/>
    <w:rsid w:val="00716D12"/>
    <w:rsid w:val="00717938"/>
    <w:rsid w:val="00717C26"/>
    <w:rsid w:val="00720066"/>
    <w:rsid w:val="007207C7"/>
    <w:rsid w:val="00720B89"/>
    <w:rsid w:val="007224E5"/>
    <w:rsid w:val="00722F77"/>
    <w:rsid w:val="00723B8B"/>
    <w:rsid w:val="00724980"/>
    <w:rsid w:val="007267F5"/>
    <w:rsid w:val="007268FD"/>
    <w:rsid w:val="00726B2E"/>
    <w:rsid w:val="00727217"/>
    <w:rsid w:val="0073029F"/>
    <w:rsid w:val="0073048B"/>
    <w:rsid w:val="00734396"/>
    <w:rsid w:val="007345F6"/>
    <w:rsid w:val="00734C8A"/>
    <w:rsid w:val="007358FC"/>
    <w:rsid w:val="007367B1"/>
    <w:rsid w:val="007378B9"/>
    <w:rsid w:val="00737FF4"/>
    <w:rsid w:val="0074025F"/>
    <w:rsid w:val="0074144E"/>
    <w:rsid w:val="00741ACC"/>
    <w:rsid w:val="00742A6A"/>
    <w:rsid w:val="00744BED"/>
    <w:rsid w:val="0074688B"/>
    <w:rsid w:val="007468B4"/>
    <w:rsid w:val="00746E52"/>
    <w:rsid w:val="007470A7"/>
    <w:rsid w:val="007474C7"/>
    <w:rsid w:val="00747DCD"/>
    <w:rsid w:val="0075026D"/>
    <w:rsid w:val="0075143C"/>
    <w:rsid w:val="007539FE"/>
    <w:rsid w:val="007546C0"/>
    <w:rsid w:val="007547EF"/>
    <w:rsid w:val="00754950"/>
    <w:rsid w:val="00755373"/>
    <w:rsid w:val="0075599E"/>
    <w:rsid w:val="007602CB"/>
    <w:rsid w:val="00760EFC"/>
    <w:rsid w:val="007614AE"/>
    <w:rsid w:val="0076203D"/>
    <w:rsid w:val="00762C0D"/>
    <w:rsid w:val="00763CB6"/>
    <w:rsid w:val="00764594"/>
    <w:rsid w:val="00764DD0"/>
    <w:rsid w:val="00765275"/>
    <w:rsid w:val="00765B5C"/>
    <w:rsid w:val="00765FA8"/>
    <w:rsid w:val="007666B7"/>
    <w:rsid w:val="0076677A"/>
    <w:rsid w:val="00766DAF"/>
    <w:rsid w:val="00770D7A"/>
    <w:rsid w:val="00771A31"/>
    <w:rsid w:val="0077213B"/>
    <w:rsid w:val="007738C4"/>
    <w:rsid w:val="00774B8D"/>
    <w:rsid w:val="007768EC"/>
    <w:rsid w:val="00780103"/>
    <w:rsid w:val="007815CD"/>
    <w:rsid w:val="00781602"/>
    <w:rsid w:val="0078255B"/>
    <w:rsid w:val="0078361B"/>
    <w:rsid w:val="007838D8"/>
    <w:rsid w:val="00784BFD"/>
    <w:rsid w:val="0078591E"/>
    <w:rsid w:val="00785B3E"/>
    <w:rsid w:val="007871ED"/>
    <w:rsid w:val="0078759B"/>
    <w:rsid w:val="00791F6B"/>
    <w:rsid w:val="007924C2"/>
    <w:rsid w:val="0079252F"/>
    <w:rsid w:val="00793542"/>
    <w:rsid w:val="0079361C"/>
    <w:rsid w:val="0079384F"/>
    <w:rsid w:val="0079599E"/>
    <w:rsid w:val="00795C1B"/>
    <w:rsid w:val="007A22AF"/>
    <w:rsid w:val="007A2357"/>
    <w:rsid w:val="007A293B"/>
    <w:rsid w:val="007A3932"/>
    <w:rsid w:val="007A3CAE"/>
    <w:rsid w:val="007A4758"/>
    <w:rsid w:val="007A5118"/>
    <w:rsid w:val="007A5827"/>
    <w:rsid w:val="007A593E"/>
    <w:rsid w:val="007A5FFE"/>
    <w:rsid w:val="007A789C"/>
    <w:rsid w:val="007A7D21"/>
    <w:rsid w:val="007B0684"/>
    <w:rsid w:val="007B1125"/>
    <w:rsid w:val="007B1271"/>
    <w:rsid w:val="007B166A"/>
    <w:rsid w:val="007B1BC9"/>
    <w:rsid w:val="007B20FD"/>
    <w:rsid w:val="007B286A"/>
    <w:rsid w:val="007B2D19"/>
    <w:rsid w:val="007B3264"/>
    <w:rsid w:val="007B58CF"/>
    <w:rsid w:val="007B62C8"/>
    <w:rsid w:val="007B6782"/>
    <w:rsid w:val="007B773B"/>
    <w:rsid w:val="007B79A1"/>
    <w:rsid w:val="007B7F8F"/>
    <w:rsid w:val="007C056D"/>
    <w:rsid w:val="007C0680"/>
    <w:rsid w:val="007C08D5"/>
    <w:rsid w:val="007C0919"/>
    <w:rsid w:val="007C153E"/>
    <w:rsid w:val="007C19D3"/>
    <w:rsid w:val="007C2244"/>
    <w:rsid w:val="007C2872"/>
    <w:rsid w:val="007C3079"/>
    <w:rsid w:val="007C3090"/>
    <w:rsid w:val="007C3911"/>
    <w:rsid w:val="007C3B12"/>
    <w:rsid w:val="007C5454"/>
    <w:rsid w:val="007C54AD"/>
    <w:rsid w:val="007C61B9"/>
    <w:rsid w:val="007C63A2"/>
    <w:rsid w:val="007D0280"/>
    <w:rsid w:val="007D1D9B"/>
    <w:rsid w:val="007D1F16"/>
    <w:rsid w:val="007D25D7"/>
    <w:rsid w:val="007D32A3"/>
    <w:rsid w:val="007D5776"/>
    <w:rsid w:val="007D5A2B"/>
    <w:rsid w:val="007D7137"/>
    <w:rsid w:val="007D75F1"/>
    <w:rsid w:val="007D7B68"/>
    <w:rsid w:val="007E0AD1"/>
    <w:rsid w:val="007E0AEB"/>
    <w:rsid w:val="007E1399"/>
    <w:rsid w:val="007E2602"/>
    <w:rsid w:val="007E4A21"/>
    <w:rsid w:val="007E5782"/>
    <w:rsid w:val="007E5A79"/>
    <w:rsid w:val="007E5AD4"/>
    <w:rsid w:val="007E622B"/>
    <w:rsid w:val="007E7366"/>
    <w:rsid w:val="007E785F"/>
    <w:rsid w:val="007F018C"/>
    <w:rsid w:val="007F0B36"/>
    <w:rsid w:val="007F0F8E"/>
    <w:rsid w:val="007F1527"/>
    <w:rsid w:val="007F1964"/>
    <w:rsid w:val="007F2F11"/>
    <w:rsid w:val="007F47FD"/>
    <w:rsid w:val="007F5B57"/>
    <w:rsid w:val="007F5F79"/>
    <w:rsid w:val="00800342"/>
    <w:rsid w:val="00800D5B"/>
    <w:rsid w:val="0080133F"/>
    <w:rsid w:val="00801F94"/>
    <w:rsid w:val="008027E4"/>
    <w:rsid w:val="00803121"/>
    <w:rsid w:val="0080359B"/>
    <w:rsid w:val="00803856"/>
    <w:rsid w:val="008046C0"/>
    <w:rsid w:val="00804ACC"/>
    <w:rsid w:val="00805C22"/>
    <w:rsid w:val="00806B9E"/>
    <w:rsid w:val="00810139"/>
    <w:rsid w:val="008101A1"/>
    <w:rsid w:val="00811126"/>
    <w:rsid w:val="00811E04"/>
    <w:rsid w:val="00812EC2"/>
    <w:rsid w:val="00813B45"/>
    <w:rsid w:val="0081447E"/>
    <w:rsid w:val="008159EC"/>
    <w:rsid w:val="00815AF8"/>
    <w:rsid w:val="0081616B"/>
    <w:rsid w:val="00816C6C"/>
    <w:rsid w:val="00820105"/>
    <w:rsid w:val="00821886"/>
    <w:rsid w:val="00821A49"/>
    <w:rsid w:val="008230EF"/>
    <w:rsid w:val="008232A5"/>
    <w:rsid w:val="00823345"/>
    <w:rsid w:val="0082356C"/>
    <w:rsid w:val="0082395D"/>
    <w:rsid w:val="00824531"/>
    <w:rsid w:val="0082501A"/>
    <w:rsid w:val="008250CC"/>
    <w:rsid w:val="008252C6"/>
    <w:rsid w:val="00825417"/>
    <w:rsid w:val="008257E0"/>
    <w:rsid w:val="008263C7"/>
    <w:rsid w:val="00827C23"/>
    <w:rsid w:val="008321E2"/>
    <w:rsid w:val="00832859"/>
    <w:rsid w:val="008335BC"/>
    <w:rsid w:val="00833DCE"/>
    <w:rsid w:val="008346AE"/>
    <w:rsid w:val="00835C0F"/>
    <w:rsid w:val="00835E80"/>
    <w:rsid w:val="008360FA"/>
    <w:rsid w:val="008374C0"/>
    <w:rsid w:val="00842904"/>
    <w:rsid w:val="0084300B"/>
    <w:rsid w:val="008436E4"/>
    <w:rsid w:val="00847961"/>
    <w:rsid w:val="00850385"/>
    <w:rsid w:val="00850E69"/>
    <w:rsid w:val="008516FA"/>
    <w:rsid w:val="00851C10"/>
    <w:rsid w:val="00852959"/>
    <w:rsid w:val="00855977"/>
    <w:rsid w:val="00855B26"/>
    <w:rsid w:val="00856325"/>
    <w:rsid w:val="0085635F"/>
    <w:rsid w:val="00857406"/>
    <w:rsid w:val="00860387"/>
    <w:rsid w:val="0086071A"/>
    <w:rsid w:val="00862CE3"/>
    <w:rsid w:val="00862DD2"/>
    <w:rsid w:val="00862E95"/>
    <w:rsid w:val="00863585"/>
    <w:rsid w:val="008638FD"/>
    <w:rsid w:val="008639D6"/>
    <w:rsid w:val="00863D73"/>
    <w:rsid w:val="008675A5"/>
    <w:rsid w:val="00870859"/>
    <w:rsid w:val="00870AAB"/>
    <w:rsid w:val="00870FEB"/>
    <w:rsid w:val="008721E9"/>
    <w:rsid w:val="00872C02"/>
    <w:rsid w:val="00872E2C"/>
    <w:rsid w:val="00873736"/>
    <w:rsid w:val="008742EF"/>
    <w:rsid w:val="00874FDD"/>
    <w:rsid w:val="00875929"/>
    <w:rsid w:val="00875E7E"/>
    <w:rsid w:val="00875F9D"/>
    <w:rsid w:val="00876BD5"/>
    <w:rsid w:val="0088153F"/>
    <w:rsid w:val="00882BBA"/>
    <w:rsid w:val="00883DB3"/>
    <w:rsid w:val="00884BF5"/>
    <w:rsid w:val="00884FF3"/>
    <w:rsid w:val="008868C3"/>
    <w:rsid w:val="00886B91"/>
    <w:rsid w:val="00890D3F"/>
    <w:rsid w:val="0089169F"/>
    <w:rsid w:val="00893146"/>
    <w:rsid w:val="00893A11"/>
    <w:rsid w:val="00893FA8"/>
    <w:rsid w:val="00894023"/>
    <w:rsid w:val="008946DD"/>
    <w:rsid w:val="00894AAE"/>
    <w:rsid w:val="00895194"/>
    <w:rsid w:val="00895669"/>
    <w:rsid w:val="008A0605"/>
    <w:rsid w:val="008A0785"/>
    <w:rsid w:val="008A22F0"/>
    <w:rsid w:val="008A2373"/>
    <w:rsid w:val="008A358D"/>
    <w:rsid w:val="008A3693"/>
    <w:rsid w:val="008A3C59"/>
    <w:rsid w:val="008A50A7"/>
    <w:rsid w:val="008A5B36"/>
    <w:rsid w:val="008A5DFB"/>
    <w:rsid w:val="008A7785"/>
    <w:rsid w:val="008B25C6"/>
    <w:rsid w:val="008B355B"/>
    <w:rsid w:val="008B3E0E"/>
    <w:rsid w:val="008B4BEC"/>
    <w:rsid w:val="008B5352"/>
    <w:rsid w:val="008B6316"/>
    <w:rsid w:val="008B7220"/>
    <w:rsid w:val="008B76EF"/>
    <w:rsid w:val="008B78F8"/>
    <w:rsid w:val="008C02A5"/>
    <w:rsid w:val="008C0BD9"/>
    <w:rsid w:val="008C1062"/>
    <w:rsid w:val="008C1ADC"/>
    <w:rsid w:val="008C3038"/>
    <w:rsid w:val="008C3079"/>
    <w:rsid w:val="008C4150"/>
    <w:rsid w:val="008C46A2"/>
    <w:rsid w:val="008C4C50"/>
    <w:rsid w:val="008C506C"/>
    <w:rsid w:val="008C510E"/>
    <w:rsid w:val="008C5AB4"/>
    <w:rsid w:val="008C5C5F"/>
    <w:rsid w:val="008C6608"/>
    <w:rsid w:val="008C7430"/>
    <w:rsid w:val="008C795E"/>
    <w:rsid w:val="008D0019"/>
    <w:rsid w:val="008D2339"/>
    <w:rsid w:val="008D25BC"/>
    <w:rsid w:val="008D3350"/>
    <w:rsid w:val="008D40AE"/>
    <w:rsid w:val="008D42CD"/>
    <w:rsid w:val="008D444F"/>
    <w:rsid w:val="008D60A7"/>
    <w:rsid w:val="008D7CED"/>
    <w:rsid w:val="008E2632"/>
    <w:rsid w:val="008E263A"/>
    <w:rsid w:val="008E2F68"/>
    <w:rsid w:val="008E3631"/>
    <w:rsid w:val="008E37D4"/>
    <w:rsid w:val="008E3E39"/>
    <w:rsid w:val="008E5213"/>
    <w:rsid w:val="008E5216"/>
    <w:rsid w:val="008E5D4E"/>
    <w:rsid w:val="008E6D92"/>
    <w:rsid w:val="008E7195"/>
    <w:rsid w:val="008E7243"/>
    <w:rsid w:val="008E7DC3"/>
    <w:rsid w:val="008F2B0C"/>
    <w:rsid w:val="008F3B2B"/>
    <w:rsid w:val="008F3DA2"/>
    <w:rsid w:val="008F446B"/>
    <w:rsid w:val="008F524A"/>
    <w:rsid w:val="008F5890"/>
    <w:rsid w:val="008F589D"/>
    <w:rsid w:val="008F6085"/>
    <w:rsid w:val="008F658D"/>
    <w:rsid w:val="008F679F"/>
    <w:rsid w:val="008F77CB"/>
    <w:rsid w:val="008F7E74"/>
    <w:rsid w:val="008F7EF0"/>
    <w:rsid w:val="00900B21"/>
    <w:rsid w:val="00900DAD"/>
    <w:rsid w:val="00903103"/>
    <w:rsid w:val="0090371E"/>
    <w:rsid w:val="00903DB1"/>
    <w:rsid w:val="009050E5"/>
    <w:rsid w:val="009058BE"/>
    <w:rsid w:val="0090708A"/>
    <w:rsid w:val="0091060F"/>
    <w:rsid w:val="009118CD"/>
    <w:rsid w:val="00911CB7"/>
    <w:rsid w:val="009129A3"/>
    <w:rsid w:val="00913498"/>
    <w:rsid w:val="009134C2"/>
    <w:rsid w:val="00914606"/>
    <w:rsid w:val="0091545C"/>
    <w:rsid w:val="0091778E"/>
    <w:rsid w:val="00920C7D"/>
    <w:rsid w:val="0092115A"/>
    <w:rsid w:val="00921376"/>
    <w:rsid w:val="0092173C"/>
    <w:rsid w:val="0092222E"/>
    <w:rsid w:val="00922251"/>
    <w:rsid w:val="0092244D"/>
    <w:rsid w:val="00922850"/>
    <w:rsid w:val="00922A49"/>
    <w:rsid w:val="00922D45"/>
    <w:rsid w:val="00922DB4"/>
    <w:rsid w:val="009233A2"/>
    <w:rsid w:val="009235B3"/>
    <w:rsid w:val="00925840"/>
    <w:rsid w:val="00925DF8"/>
    <w:rsid w:val="00925E6C"/>
    <w:rsid w:val="00926BAB"/>
    <w:rsid w:val="009277A5"/>
    <w:rsid w:val="00927A99"/>
    <w:rsid w:val="00927C6E"/>
    <w:rsid w:val="00931B08"/>
    <w:rsid w:val="00932912"/>
    <w:rsid w:val="00932FE5"/>
    <w:rsid w:val="009344CD"/>
    <w:rsid w:val="00935E4F"/>
    <w:rsid w:val="00936283"/>
    <w:rsid w:val="00937178"/>
    <w:rsid w:val="009376D8"/>
    <w:rsid w:val="0093778A"/>
    <w:rsid w:val="00937839"/>
    <w:rsid w:val="009403C1"/>
    <w:rsid w:val="0094163D"/>
    <w:rsid w:val="00941BE9"/>
    <w:rsid w:val="00941C93"/>
    <w:rsid w:val="00942394"/>
    <w:rsid w:val="0094294F"/>
    <w:rsid w:val="00942BED"/>
    <w:rsid w:val="009431FA"/>
    <w:rsid w:val="00945F9F"/>
    <w:rsid w:val="00946531"/>
    <w:rsid w:val="00946C01"/>
    <w:rsid w:val="00946FD0"/>
    <w:rsid w:val="009517B8"/>
    <w:rsid w:val="009536D5"/>
    <w:rsid w:val="00954BB9"/>
    <w:rsid w:val="009566D7"/>
    <w:rsid w:val="009576AB"/>
    <w:rsid w:val="00957CA8"/>
    <w:rsid w:val="00960222"/>
    <w:rsid w:val="009619B8"/>
    <w:rsid w:val="009626F9"/>
    <w:rsid w:val="009642AF"/>
    <w:rsid w:val="00964C80"/>
    <w:rsid w:val="00964D28"/>
    <w:rsid w:val="00964FA6"/>
    <w:rsid w:val="00965D09"/>
    <w:rsid w:val="00966D09"/>
    <w:rsid w:val="00967097"/>
    <w:rsid w:val="009677B6"/>
    <w:rsid w:val="0097228E"/>
    <w:rsid w:val="00973BEB"/>
    <w:rsid w:val="00974963"/>
    <w:rsid w:val="00974B20"/>
    <w:rsid w:val="00974DE4"/>
    <w:rsid w:val="00976575"/>
    <w:rsid w:val="0097721E"/>
    <w:rsid w:val="00980118"/>
    <w:rsid w:val="0098095D"/>
    <w:rsid w:val="0098220A"/>
    <w:rsid w:val="009826F9"/>
    <w:rsid w:val="0098282D"/>
    <w:rsid w:val="009851A5"/>
    <w:rsid w:val="00985826"/>
    <w:rsid w:val="009866E1"/>
    <w:rsid w:val="009875F7"/>
    <w:rsid w:val="0099096A"/>
    <w:rsid w:val="00990A97"/>
    <w:rsid w:val="00991F0A"/>
    <w:rsid w:val="0099222F"/>
    <w:rsid w:val="009933F5"/>
    <w:rsid w:val="009949F0"/>
    <w:rsid w:val="00994A17"/>
    <w:rsid w:val="009959B1"/>
    <w:rsid w:val="009960C9"/>
    <w:rsid w:val="0099702F"/>
    <w:rsid w:val="009970FE"/>
    <w:rsid w:val="00997486"/>
    <w:rsid w:val="00997977"/>
    <w:rsid w:val="009A06E7"/>
    <w:rsid w:val="009A0F62"/>
    <w:rsid w:val="009A3291"/>
    <w:rsid w:val="009A3302"/>
    <w:rsid w:val="009A3744"/>
    <w:rsid w:val="009A3C48"/>
    <w:rsid w:val="009A3EC5"/>
    <w:rsid w:val="009A4A5C"/>
    <w:rsid w:val="009A50A5"/>
    <w:rsid w:val="009A586E"/>
    <w:rsid w:val="009A5AA9"/>
    <w:rsid w:val="009A5F26"/>
    <w:rsid w:val="009A7319"/>
    <w:rsid w:val="009B0A6B"/>
    <w:rsid w:val="009B1504"/>
    <w:rsid w:val="009B2053"/>
    <w:rsid w:val="009B2BBF"/>
    <w:rsid w:val="009B3B00"/>
    <w:rsid w:val="009B3CBF"/>
    <w:rsid w:val="009B44DC"/>
    <w:rsid w:val="009B45CE"/>
    <w:rsid w:val="009B591E"/>
    <w:rsid w:val="009B5B2E"/>
    <w:rsid w:val="009B6ADA"/>
    <w:rsid w:val="009B6F16"/>
    <w:rsid w:val="009B7D2E"/>
    <w:rsid w:val="009C018E"/>
    <w:rsid w:val="009C0597"/>
    <w:rsid w:val="009C1712"/>
    <w:rsid w:val="009C2691"/>
    <w:rsid w:val="009C3CFC"/>
    <w:rsid w:val="009C4531"/>
    <w:rsid w:val="009C4982"/>
    <w:rsid w:val="009C524A"/>
    <w:rsid w:val="009C5EAC"/>
    <w:rsid w:val="009D0197"/>
    <w:rsid w:val="009D0D2A"/>
    <w:rsid w:val="009D275E"/>
    <w:rsid w:val="009D3096"/>
    <w:rsid w:val="009D3662"/>
    <w:rsid w:val="009D4DCE"/>
    <w:rsid w:val="009D5F77"/>
    <w:rsid w:val="009D687C"/>
    <w:rsid w:val="009D7EBA"/>
    <w:rsid w:val="009E032B"/>
    <w:rsid w:val="009E114B"/>
    <w:rsid w:val="009E13E4"/>
    <w:rsid w:val="009E351B"/>
    <w:rsid w:val="009E37FD"/>
    <w:rsid w:val="009E4063"/>
    <w:rsid w:val="009E4365"/>
    <w:rsid w:val="009E466D"/>
    <w:rsid w:val="009E4A9D"/>
    <w:rsid w:val="009E4C08"/>
    <w:rsid w:val="009E5326"/>
    <w:rsid w:val="009E625F"/>
    <w:rsid w:val="009E6C95"/>
    <w:rsid w:val="009E7B1B"/>
    <w:rsid w:val="009F042C"/>
    <w:rsid w:val="009F2024"/>
    <w:rsid w:val="009F3F22"/>
    <w:rsid w:val="009F482F"/>
    <w:rsid w:val="009F646A"/>
    <w:rsid w:val="009F663B"/>
    <w:rsid w:val="009F706B"/>
    <w:rsid w:val="00A00556"/>
    <w:rsid w:val="00A01037"/>
    <w:rsid w:val="00A01B03"/>
    <w:rsid w:val="00A0235B"/>
    <w:rsid w:val="00A039EF"/>
    <w:rsid w:val="00A042BC"/>
    <w:rsid w:val="00A04724"/>
    <w:rsid w:val="00A07F79"/>
    <w:rsid w:val="00A10464"/>
    <w:rsid w:val="00A10913"/>
    <w:rsid w:val="00A109C9"/>
    <w:rsid w:val="00A10C79"/>
    <w:rsid w:val="00A11486"/>
    <w:rsid w:val="00A119A6"/>
    <w:rsid w:val="00A12623"/>
    <w:rsid w:val="00A13A87"/>
    <w:rsid w:val="00A153E0"/>
    <w:rsid w:val="00A15825"/>
    <w:rsid w:val="00A17618"/>
    <w:rsid w:val="00A208C4"/>
    <w:rsid w:val="00A2142A"/>
    <w:rsid w:val="00A21907"/>
    <w:rsid w:val="00A21C3B"/>
    <w:rsid w:val="00A21F67"/>
    <w:rsid w:val="00A224FF"/>
    <w:rsid w:val="00A233A0"/>
    <w:rsid w:val="00A23DF2"/>
    <w:rsid w:val="00A25223"/>
    <w:rsid w:val="00A256A2"/>
    <w:rsid w:val="00A25794"/>
    <w:rsid w:val="00A2627A"/>
    <w:rsid w:val="00A26748"/>
    <w:rsid w:val="00A26C92"/>
    <w:rsid w:val="00A27583"/>
    <w:rsid w:val="00A27A75"/>
    <w:rsid w:val="00A30471"/>
    <w:rsid w:val="00A30BC4"/>
    <w:rsid w:val="00A30EB1"/>
    <w:rsid w:val="00A31435"/>
    <w:rsid w:val="00A31AFE"/>
    <w:rsid w:val="00A32E70"/>
    <w:rsid w:val="00A34569"/>
    <w:rsid w:val="00A34E14"/>
    <w:rsid w:val="00A373DE"/>
    <w:rsid w:val="00A37C29"/>
    <w:rsid w:val="00A37C9C"/>
    <w:rsid w:val="00A40A55"/>
    <w:rsid w:val="00A40E3E"/>
    <w:rsid w:val="00A40ECE"/>
    <w:rsid w:val="00A4311F"/>
    <w:rsid w:val="00A4355C"/>
    <w:rsid w:val="00A44501"/>
    <w:rsid w:val="00A44896"/>
    <w:rsid w:val="00A44F67"/>
    <w:rsid w:val="00A45F93"/>
    <w:rsid w:val="00A462D1"/>
    <w:rsid w:val="00A46349"/>
    <w:rsid w:val="00A4698E"/>
    <w:rsid w:val="00A4758A"/>
    <w:rsid w:val="00A47789"/>
    <w:rsid w:val="00A50BA3"/>
    <w:rsid w:val="00A512F2"/>
    <w:rsid w:val="00A51804"/>
    <w:rsid w:val="00A51D31"/>
    <w:rsid w:val="00A5204C"/>
    <w:rsid w:val="00A530B5"/>
    <w:rsid w:val="00A532B7"/>
    <w:rsid w:val="00A54065"/>
    <w:rsid w:val="00A54D47"/>
    <w:rsid w:val="00A54E3B"/>
    <w:rsid w:val="00A54ECC"/>
    <w:rsid w:val="00A55951"/>
    <w:rsid w:val="00A562EB"/>
    <w:rsid w:val="00A5675C"/>
    <w:rsid w:val="00A57313"/>
    <w:rsid w:val="00A603FE"/>
    <w:rsid w:val="00A61D6C"/>
    <w:rsid w:val="00A62830"/>
    <w:rsid w:val="00A634B8"/>
    <w:rsid w:val="00A64E02"/>
    <w:rsid w:val="00A64E95"/>
    <w:rsid w:val="00A65E44"/>
    <w:rsid w:val="00A65F51"/>
    <w:rsid w:val="00A6670A"/>
    <w:rsid w:val="00A71987"/>
    <w:rsid w:val="00A73325"/>
    <w:rsid w:val="00A73F1F"/>
    <w:rsid w:val="00A745E5"/>
    <w:rsid w:val="00A764A6"/>
    <w:rsid w:val="00A76BA0"/>
    <w:rsid w:val="00A77313"/>
    <w:rsid w:val="00A81AD4"/>
    <w:rsid w:val="00A81DAD"/>
    <w:rsid w:val="00A86BDD"/>
    <w:rsid w:val="00A900D1"/>
    <w:rsid w:val="00A90770"/>
    <w:rsid w:val="00A90CAE"/>
    <w:rsid w:val="00A913E8"/>
    <w:rsid w:val="00A91877"/>
    <w:rsid w:val="00A92565"/>
    <w:rsid w:val="00A9286D"/>
    <w:rsid w:val="00A93BAA"/>
    <w:rsid w:val="00A93E5F"/>
    <w:rsid w:val="00A9415A"/>
    <w:rsid w:val="00A94700"/>
    <w:rsid w:val="00A9520D"/>
    <w:rsid w:val="00A96677"/>
    <w:rsid w:val="00A96C09"/>
    <w:rsid w:val="00A96E57"/>
    <w:rsid w:val="00AA0020"/>
    <w:rsid w:val="00AA08DD"/>
    <w:rsid w:val="00AA123A"/>
    <w:rsid w:val="00AA2030"/>
    <w:rsid w:val="00AA2DFB"/>
    <w:rsid w:val="00AA54A8"/>
    <w:rsid w:val="00AA5A28"/>
    <w:rsid w:val="00AA5B47"/>
    <w:rsid w:val="00AA5FEA"/>
    <w:rsid w:val="00AA627A"/>
    <w:rsid w:val="00AA653D"/>
    <w:rsid w:val="00AA6A58"/>
    <w:rsid w:val="00AA7DC8"/>
    <w:rsid w:val="00AB0C44"/>
    <w:rsid w:val="00AB0F80"/>
    <w:rsid w:val="00AB0FCC"/>
    <w:rsid w:val="00AB13E4"/>
    <w:rsid w:val="00AB205E"/>
    <w:rsid w:val="00AB2748"/>
    <w:rsid w:val="00AB3C16"/>
    <w:rsid w:val="00AB3D03"/>
    <w:rsid w:val="00AB3DFF"/>
    <w:rsid w:val="00AB46A0"/>
    <w:rsid w:val="00AB4CA2"/>
    <w:rsid w:val="00AB5B83"/>
    <w:rsid w:val="00AB633B"/>
    <w:rsid w:val="00AB649F"/>
    <w:rsid w:val="00AB735B"/>
    <w:rsid w:val="00AB77DB"/>
    <w:rsid w:val="00AB79CF"/>
    <w:rsid w:val="00AB7AEE"/>
    <w:rsid w:val="00AC075F"/>
    <w:rsid w:val="00AC0F4D"/>
    <w:rsid w:val="00AC26C9"/>
    <w:rsid w:val="00AC26FD"/>
    <w:rsid w:val="00AC29A1"/>
    <w:rsid w:val="00AC42A9"/>
    <w:rsid w:val="00AC48E7"/>
    <w:rsid w:val="00AC622B"/>
    <w:rsid w:val="00AC7F1B"/>
    <w:rsid w:val="00AC7F85"/>
    <w:rsid w:val="00AD094C"/>
    <w:rsid w:val="00AD0BE4"/>
    <w:rsid w:val="00AD1CD5"/>
    <w:rsid w:val="00AD1F78"/>
    <w:rsid w:val="00AD27BE"/>
    <w:rsid w:val="00AD2EC5"/>
    <w:rsid w:val="00AD413A"/>
    <w:rsid w:val="00AD44B0"/>
    <w:rsid w:val="00AD4FC8"/>
    <w:rsid w:val="00AD6ADF"/>
    <w:rsid w:val="00AD6B69"/>
    <w:rsid w:val="00AD7CED"/>
    <w:rsid w:val="00AE0A93"/>
    <w:rsid w:val="00AE0C89"/>
    <w:rsid w:val="00AE1697"/>
    <w:rsid w:val="00AE21AD"/>
    <w:rsid w:val="00AE2C9A"/>
    <w:rsid w:val="00AE30E3"/>
    <w:rsid w:val="00AE3E76"/>
    <w:rsid w:val="00AE46DE"/>
    <w:rsid w:val="00AE5116"/>
    <w:rsid w:val="00AE5C2E"/>
    <w:rsid w:val="00AE7680"/>
    <w:rsid w:val="00AF29E7"/>
    <w:rsid w:val="00AF7DB3"/>
    <w:rsid w:val="00B01B6B"/>
    <w:rsid w:val="00B028D8"/>
    <w:rsid w:val="00B03E22"/>
    <w:rsid w:val="00B04D14"/>
    <w:rsid w:val="00B04E16"/>
    <w:rsid w:val="00B0622A"/>
    <w:rsid w:val="00B06277"/>
    <w:rsid w:val="00B06335"/>
    <w:rsid w:val="00B0679F"/>
    <w:rsid w:val="00B06C0C"/>
    <w:rsid w:val="00B078C9"/>
    <w:rsid w:val="00B106A8"/>
    <w:rsid w:val="00B10A3C"/>
    <w:rsid w:val="00B11366"/>
    <w:rsid w:val="00B12423"/>
    <w:rsid w:val="00B12AEC"/>
    <w:rsid w:val="00B12F0B"/>
    <w:rsid w:val="00B1356E"/>
    <w:rsid w:val="00B13E64"/>
    <w:rsid w:val="00B13FEA"/>
    <w:rsid w:val="00B14917"/>
    <w:rsid w:val="00B1497D"/>
    <w:rsid w:val="00B14B15"/>
    <w:rsid w:val="00B14CBF"/>
    <w:rsid w:val="00B16AE8"/>
    <w:rsid w:val="00B17389"/>
    <w:rsid w:val="00B2043D"/>
    <w:rsid w:val="00B20494"/>
    <w:rsid w:val="00B20840"/>
    <w:rsid w:val="00B210B1"/>
    <w:rsid w:val="00B21514"/>
    <w:rsid w:val="00B230AA"/>
    <w:rsid w:val="00B235BF"/>
    <w:rsid w:val="00B235E7"/>
    <w:rsid w:val="00B23AA0"/>
    <w:rsid w:val="00B24014"/>
    <w:rsid w:val="00B2426E"/>
    <w:rsid w:val="00B2546A"/>
    <w:rsid w:val="00B25CA8"/>
    <w:rsid w:val="00B260F8"/>
    <w:rsid w:val="00B26F2A"/>
    <w:rsid w:val="00B304B4"/>
    <w:rsid w:val="00B30C2E"/>
    <w:rsid w:val="00B310B8"/>
    <w:rsid w:val="00B3274D"/>
    <w:rsid w:val="00B3326D"/>
    <w:rsid w:val="00B33AB0"/>
    <w:rsid w:val="00B352FE"/>
    <w:rsid w:val="00B357A4"/>
    <w:rsid w:val="00B36089"/>
    <w:rsid w:val="00B3622E"/>
    <w:rsid w:val="00B36F20"/>
    <w:rsid w:val="00B36F97"/>
    <w:rsid w:val="00B40B28"/>
    <w:rsid w:val="00B40BC5"/>
    <w:rsid w:val="00B434A8"/>
    <w:rsid w:val="00B43558"/>
    <w:rsid w:val="00B456C7"/>
    <w:rsid w:val="00B4616E"/>
    <w:rsid w:val="00B46247"/>
    <w:rsid w:val="00B46CF1"/>
    <w:rsid w:val="00B47F4A"/>
    <w:rsid w:val="00B52A5C"/>
    <w:rsid w:val="00B52E66"/>
    <w:rsid w:val="00B53BC3"/>
    <w:rsid w:val="00B53C2B"/>
    <w:rsid w:val="00B56D6A"/>
    <w:rsid w:val="00B5732B"/>
    <w:rsid w:val="00B573D9"/>
    <w:rsid w:val="00B57D0F"/>
    <w:rsid w:val="00B609AE"/>
    <w:rsid w:val="00B6329F"/>
    <w:rsid w:val="00B6335E"/>
    <w:rsid w:val="00B63BCF"/>
    <w:rsid w:val="00B6548E"/>
    <w:rsid w:val="00B6646B"/>
    <w:rsid w:val="00B66EC1"/>
    <w:rsid w:val="00B67597"/>
    <w:rsid w:val="00B702EB"/>
    <w:rsid w:val="00B703AB"/>
    <w:rsid w:val="00B7111D"/>
    <w:rsid w:val="00B71713"/>
    <w:rsid w:val="00B72FD8"/>
    <w:rsid w:val="00B74545"/>
    <w:rsid w:val="00B757CB"/>
    <w:rsid w:val="00B76D38"/>
    <w:rsid w:val="00B77B76"/>
    <w:rsid w:val="00B77E2E"/>
    <w:rsid w:val="00B80604"/>
    <w:rsid w:val="00B832DD"/>
    <w:rsid w:val="00B83B24"/>
    <w:rsid w:val="00B83C24"/>
    <w:rsid w:val="00B84F88"/>
    <w:rsid w:val="00B85B01"/>
    <w:rsid w:val="00B85BB9"/>
    <w:rsid w:val="00B8665C"/>
    <w:rsid w:val="00B872BE"/>
    <w:rsid w:val="00B8757A"/>
    <w:rsid w:val="00B90B0D"/>
    <w:rsid w:val="00B90EB8"/>
    <w:rsid w:val="00B918ED"/>
    <w:rsid w:val="00B91AB9"/>
    <w:rsid w:val="00B92481"/>
    <w:rsid w:val="00B92EE0"/>
    <w:rsid w:val="00B93D9C"/>
    <w:rsid w:val="00B940AC"/>
    <w:rsid w:val="00B95F77"/>
    <w:rsid w:val="00B9635A"/>
    <w:rsid w:val="00B9652B"/>
    <w:rsid w:val="00B965FF"/>
    <w:rsid w:val="00B96A3C"/>
    <w:rsid w:val="00B97506"/>
    <w:rsid w:val="00BA0CD9"/>
    <w:rsid w:val="00BA0F15"/>
    <w:rsid w:val="00BA1562"/>
    <w:rsid w:val="00BA1DED"/>
    <w:rsid w:val="00BA4E3D"/>
    <w:rsid w:val="00BA5948"/>
    <w:rsid w:val="00BA6432"/>
    <w:rsid w:val="00BA6831"/>
    <w:rsid w:val="00BA72A7"/>
    <w:rsid w:val="00BA72E8"/>
    <w:rsid w:val="00BB0563"/>
    <w:rsid w:val="00BB11A7"/>
    <w:rsid w:val="00BB2499"/>
    <w:rsid w:val="00BB3981"/>
    <w:rsid w:val="00BB47BA"/>
    <w:rsid w:val="00BB4895"/>
    <w:rsid w:val="00BB5915"/>
    <w:rsid w:val="00BB612A"/>
    <w:rsid w:val="00BB69BC"/>
    <w:rsid w:val="00BB772B"/>
    <w:rsid w:val="00BC054F"/>
    <w:rsid w:val="00BC0E29"/>
    <w:rsid w:val="00BC159D"/>
    <w:rsid w:val="00BC1722"/>
    <w:rsid w:val="00BC2020"/>
    <w:rsid w:val="00BC20E7"/>
    <w:rsid w:val="00BC25D6"/>
    <w:rsid w:val="00BC3175"/>
    <w:rsid w:val="00BC37E4"/>
    <w:rsid w:val="00BC47C3"/>
    <w:rsid w:val="00BC48AF"/>
    <w:rsid w:val="00BC5C37"/>
    <w:rsid w:val="00BC63DB"/>
    <w:rsid w:val="00BD22F9"/>
    <w:rsid w:val="00BD2310"/>
    <w:rsid w:val="00BD25A9"/>
    <w:rsid w:val="00BD28FF"/>
    <w:rsid w:val="00BD406A"/>
    <w:rsid w:val="00BD48E4"/>
    <w:rsid w:val="00BD4A14"/>
    <w:rsid w:val="00BD5A4B"/>
    <w:rsid w:val="00BD5B0A"/>
    <w:rsid w:val="00BD6503"/>
    <w:rsid w:val="00BD6660"/>
    <w:rsid w:val="00BE1052"/>
    <w:rsid w:val="00BE257A"/>
    <w:rsid w:val="00BE3007"/>
    <w:rsid w:val="00BE46CC"/>
    <w:rsid w:val="00BE4999"/>
    <w:rsid w:val="00BE5010"/>
    <w:rsid w:val="00BE5291"/>
    <w:rsid w:val="00BE52DE"/>
    <w:rsid w:val="00BE5453"/>
    <w:rsid w:val="00BE5572"/>
    <w:rsid w:val="00BE5A80"/>
    <w:rsid w:val="00BE5B74"/>
    <w:rsid w:val="00BE6583"/>
    <w:rsid w:val="00BE75DC"/>
    <w:rsid w:val="00BE784E"/>
    <w:rsid w:val="00BF00B9"/>
    <w:rsid w:val="00BF0F1D"/>
    <w:rsid w:val="00BF1F2A"/>
    <w:rsid w:val="00BF22C5"/>
    <w:rsid w:val="00BF248A"/>
    <w:rsid w:val="00BF2B05"/>
    <w:rsid w:val="00BF2D93"/>
    <w:rsid w:val="00BF2FB4"/>
    <w:rsid w:val="00BF3A68"/>
    <w:rsid w:val="00BF4041"/>
    <w:rsid w:val="00BF49EF"/>
    <w:rsid w:val="00BF4C9D"/>
    <w:rsid w:val="00BF4F4E"/>
    <w:rsid w:val="00BF5C41"/>
    <w:rsid w:val="00BF6144"/>
    <w:rsid w:val="00BF6526"/>
    <w:rsid w:val="00BF671F"/>
    <w:rsid w:val="00BF6DDC"/>
    <w:rsid w:val="00BF709F"/>
    <w:rsid w:val="00C0168F"/>
    <w:rsid w:val="00C01F71"/>
    <w:rsid w:val="00C02052"/>
    <w:rsid w:val="00C03D2D"/>
    <w:rsid w:val="00C03D70"/>
    <w:rsid w:val="00C0470F"/>
    <w:rsid w:val="00C0542D"/>
    <w:rsid w:val="00C05752"/>
    <w:rsid w:val="00C05BFD"/>
    <w:rsid w:val="00C05C8E"/>
    <w:rsid w:val="00C062BF"/>
    <w:rsid w:val="00C06F01"/>
    <w:rsid w:val="00C06F39"/>
    <w:rsid w:val="00C1090E"/>
    <w:rsid w:val="00C1097C"/>
    <w:rsid w:val="00C11C7A"/>
    <w:rsid w:val="00C140BE"/>
    <w:rsid w:val="00C1575B"/>
    <w:rsid w:val="00C160A2"/>
    <w:rsid w:val="00C16508"/>
    <w:rsid w:val="00C1689A"/>
    <w:rsid w:val="00C16BD9"/>
    <w:rsid w:val="00C17041"/>
    <w:rsid w:val="00C17B3F"/>
    <w:rsid w:val="00C207B5"/>
    <w:rsid w:val="00C2172A"/>
    <w:rsid w:val="00C21C98"/>
    <w:rsid w:val="00C23AF7"/>
    <w:rsid w:val="00C23E77"/>
    <w:rsid w:val="00C249CA"/>
    <w:rsid w:val="00C25254"/>
    <w:rsid w:val="00C26068"/>
    <w:rsid w:val="00C27BEF"/>
    <w:rsid w:val="00C30D41"/>
    <w:rsid w:val="00C30E70"/>
    <w:rsid w:val="00C311DA"/>
    <w:rsid w:val="00C31BC1"/>
    <w:rsid w:val="00C31C43"/>
    <w:rsid w:val="00C325E0"/>
    <w:rsid w:val="00C32E34"/>
    <w:rsid w:val="00C3325C"/>
    <w:rsid w:val="00C33884"/>
    <w:rsid w:val="00C349A5"/>
    <w:rsid w:val="00C3572E"/>
    <w:rsid w:val="00C36562"/>
    <w:rsid w:val="00C36782"/>
    <w:rsid w:val="00C40176"/>
    <w:rsid w:val="00C4070C"/>
    <w:rsid w:val="00C40DAD"/>
    <w:rsid w:val="00C41937"/>
    <w:rsid w:val="00C41F7D"/>
    <w:rsid w:val="00C4238F"/>
    <w:rsid w:val="00C42DA4"/>
    <w:rsid w:val="00C43BEB"/>
    <w:rsid w:val="00C44851"/>
    <w:rsid w:val="00C44AA9"/>
    <w:rsid w:val="00C45640"/>
    <w:rsid w:val="00C45931"/>
    <w:rsid w:val="00C45B97"/>
    <w:rsid w:val="00C46C04"/>
    <w:rsid w:val="00C4714F"/>
    <w:rsid w:val="00C477A0"/>
    <w:rsid w:val="00C50090"/>
    <w:rsid w:val="00C50C53"/>
    <w:rsid w:val="00C51E23"/>
    <w:rsid w:val="00C532C9"/>
    <w:rsid w:val="00C53359"/>
    <w:rsid w:val="00C5486B"/>
    <w:rsid w:val="00C550D7"/>
    <w:rsid w:val="00C57C44"/>
    <w:rsid w:val="00C60414"/>
    <w:rsid w:val="00C60A34"/>
    <w:rsid w:val="00C63475"/>
    <w:rsid w:val="00C6364E"/>
    <w:rsid w:val="00C638E7"/>
    <w:rsid w:val="00C645A8"/>
    <w:rsid w:val="00C64C5B"/>
    <w:rsid w:val="00C653B9"/>
    <w:rsid w:val="00C65547"/>
    <w:rsid w:val="00C65574"/>
    <w:rsid w:val="00C65641"/>
    <w:rsid w:val="00C658C6"/>
    <w:rsid w:val="00C65A9E"/>
    <w:rsid w:val="00C65CB0"/>
    <w:rsid w:val="00C66A34"/>
    <w:rsid w:val="00C67572"/>
    <w:rsid w:val="00C678BC"/>
    <w:rsid w:val="00C67D7E"/>
    <w:rsid w:val="00C7079D"/>
    <w:rsid w:val="00C7145C"/>
    <w:rsid w:val="00C71DC6"/>
    <w:rsid w:val="00C75DDD"/>
    <w:rsid w:val="00C75FA3"/>
    <w:rsid w:val="00C7786D"/>
    <w:rsid w:val="00C824DA"/>
    <w:rsid w:val="00C82D0E"/>
    <w:rsid w:val="00C83CD1"/>
    <w:rsid w:val="00C8450C"/>
    <w:rsid w:val="00C847C3"/>
    <w:rsid w:val="00C85BA8"/>
    <w:rsid w:val="00C86177"/>
    <w:rsid w:val="00C87AB4"/>
    <w:rsid w:val="00C87C77"/>
    <w:rsid w:val="00C90401"/>
    <w:rsid w:val="00C90CC4"/>
    <w:rsid w:val="00C91F60"/>
    <w:rsid w:val="00C92CA2"/>
    <w:rsid w:val="00C93EDC"/>
    <w:rsid w:val="00C94846"/>
    <w:rsid w:val="00C94C4E"/>
    <w:rsid w:val="00C95423"/>
    <w:rsid w:val="00C956CF"/>
    <w:rsid w:val="00C95CA0"/>
    <w:rsid w:val="00C9627A"/>
    <w:rsid w:val="00C966D3"/>
    <w:rsid w:val="00C96C2C"/>
    <w:rsid w:val="00C96F9D"/>
    <w:rsid w:val="00C97212"/>
    <w:rsid w:val="00C97A98"/>
    <w:rsid w:val="00CA0A69"/>
    <w:rsid w:val="00CA0FDF"/>
    <w:rsid w:val="00CA119A"/>
    <w:rsid w:val="00CA1AA0"/>
    <w:rsid w:val="00CA23EB"/>
    <w:rsid w:val="00CA29F3"/>
    <w:rsid w:val="00CA2CA7"/>
    <w:rsid w:val="00CA3076"/>
    <w:rsid w:val="00CA5347"/>
    <w:rsid w:val="00CA5C37"/>
    <w:rsid w:val="00CA6140"/>
    <w:rsid w:val="00CA672B"/>
    <w:rsid w:val="00CA7A8B"/>
    <w:rsid w:val="00CA7D26"/>
    <w:rsid w:val="00CB088A"/>
    <w:rsid w:val="00CB0A35"/>
    <w:rsid w:val="00CB0FCF"/>
    <w:rsid w:val="00CB11C3"/>
    <w:rsid w:val="00CB1D7D"/>
    <w:rsid w:val="00CB1F6B"/>
    <w:rsid w:val="00CB26E2"/>
    <w:rsid w:val="00CB2A91"/>
    <w:rsid w:val="00CB2DEC"/>
    <w:rsid w:val="00CB5008"/>
    <w:rsid w:val="00CB6875"/>
    <w:rsid w:val="00CB7804"/>
    <w:rsid w:val="00CB7D4B"/>
    <w:rsid w:val="00CC08E4"/>
    <w:rsid w:val="00CC0BB9"/>
    <w:rsid w:val="00CC26A4"/>
    <w:rsid w:val="00CC2744"/>
    <w:rsid w:val="00CC2D74"/>
    <w:rsid w:val="00CC3A6E"/>
    <w:rsid w:val="00CC462B"/>
    <w:rsid w:val="00CC4E80"/>
    <w:rsid w:val="00CC5A70"/>
    <w:rsid w:val="00CC637C"/>
    <w:rsid w:val="00CC6396"/>
    <w:rsid w:val="00CC6D7F"/>
    <w:rsid w:val="00CC7FA6"/>
    <w:rsid w:val="00CD10C6"/>
    <w:rsid w:val="00CD2793"/>
    <w:rsid w:val="00CD2D9D"/>
    <w:rsid w:val="00CD3410"/>
    <w:rsid w:val="00CD3492"/>
    <w:rsid w:val="00CD3852"/>
    <w:rsid w:val="00CD3B7A"/>
    <w:rsid w:val="00CD4705"/>
    <w:rsid w:val="00CD4D31"/>
    <w:rsid w:val="00CD4E31"/>
    <w:rsid w:val="00CD6374"/>
    <w:rsid w:val="00CD709D"/>
    <w:rsid w:val="00CE0F37"/>
    <w:rsid w:val="00CE3C9B"/>
    <w:rsid w:val="00CE48B9"/>
    <w:rsid w:val="00CE4929"/>
    <w:rsid w:val="00CE4C2A"/>
    <w:rsid w:val="00CE5AE5"/>
    <w:rsid w:val="00CE635A"/>
    <w:rsid w:val="00CE6747"/>
    <w:rsid w:val="00CF247E"/>
    <w:rsid w:val="00CF2C13"/>
    <w:rsid w:val="00CF3106"/>
    <w:rsid w:val="00CF3429"/>
    <w:rsid w:val="00CF361C"/>
    <w:rsid w:val="00CF404F"/>
    <w:rsid w:val="00CF4D8E"/>
    <w:rsid w:val="00CF6711"/>
    <w:rsid w:val="00CF709B"/>
    <w:rsid w:val="00D00835"/>
    <w:rsid w:val="00D015AA"/>
    <w:rsid w:val="00D03905"/>
    <w:rsid w:val="00D06489"/>
    <w:rsid w:val="00D06EA6"/>
    <w:rsid w:val="00D06F86"/>
    <w:rsid w:val="00D0795A"/>
    <w:rsid w:val="00D10724"/>
    <w:rsid w:val="00D12B36"/>
    <w:rsid w:val="00D13D52"/>
    <w:rsid w:val="00D14231"/>
    <w:rsid w:val="00D14CB9"/>
    <w:rsid w:val="00D15C1E"/>
    <w:rsid w:val="00D15FCC"/>
    <w:rsid w:val="00D17063"/>
    <w:rsid w:val="00D1731E"/>
    <w:rsid w:val="00D17F67"/>
    <w:rsid w:val="00D17F8B"/>
    <w:rsid w:val="00D20463"/>
    <w:rsid w:val="00D209B1"/>
    <w:rsid w:val="00D21407"/>
    <w:rsid w:val="00D22F78"/>
    <w:rsid w:val="00D2462C"/>
    <w:rsid w:val="00D24B90"/>
    <w:rsid w:val="00D24C78"/>
    <w:rsid w:val="00D267A5"/>
    <w:rsid w:val="00D26A26"/>
    <w:rsid w:val="00D27037"/>
    <w:rsid w:val="00D27147"/>
    <w:rsid w:val="00D30235"/>
    <w:rsid w:val="00D30A12"/>
    <w:rsid w:val="00D30BE8"/>
    <w:rsid w:val="00D317B8"/>
    <w:rsid w:val="00D33349"/>
    <w:rsid w:val="00D340F1"/>
    <w:rsid w:val="00D3426D"/>
    <w:rsid w:val="00D342D7"/>
    <w:rsid w:val="00D37393"/>
    <w:rsid w:val="00D378E8"/>
    <w:rsid w:val="00D37A87"/>
    <w:rsid w:val="00D37AB4"/>
    <w:rsid w:val="00D37B5B"/>
    <w:rsid w:val="00D403EB"/>
    <w:rsid w:val="00D403F1"/>
    <w:rsid w:val="00D4080F"/>
    <w:rsid w:val="00D4192F"/>
    <w:rsid w:val="00D43C57"/>
    <w:rsid w:val="00D477B5"/>
    <w:rsid w:val="00D47B96"/>
    <w:rsid w:val="00D504D0"/>
    <w:rsid w:val="00D50A05"/>
    <w:rsid w:val="00D51BF4"/>
    <w:rsid w:val="00D54E6D"/>
    <w:rsid w:val="00D5551F"/>
    <w:rsid w:val="00D56AA3"/>
    <w:rsid w:val="00D577B4"/>
    <w:rsid w:val="00D577E1"/>
    <w:rsid w:val="00D57E42"/>
    <w:rsid w:val="00D60060"/>
    <w:rsid w:val="00D600C2"/>
    <w:rsid w:val="00D6064D"/>
    <w:rsid w:val="00D60C61"/>
    <w:rsid w:val="00D610E4"/>
    <w:rsid w:val="00D61B38"/>
    <w:rsid w:val="00D61EF2"/>
    <w:rsid w:val="00D624A9"/>
    <w:rsid w:val="00D62727"/>
    <w:rsid w:val="00D62BD0"/>
    <w:rsid w:val="00D62D99"/>
    <w:rsid w:val="00D63373"/>
    <w:rsid w:val="00D63A93"/>
    <w:rsid w:val="00D63B8A"/>
    <w:rsid w:val="00D65A5F"/>
    <w:rsid w:val="00D6605A"/>
    <w:rsid w:val="00D664D7"/>
    <w:rsid w:val="00D665E5"/>
    <w:rsid w:val="00D66CFB"/>
    <w:rsid w:val="00D67B79"/>
    <w:rsid w:val="00D67CAD"/>
    <w:rsid w:val="00D67F19"/>
    <w:rsid w:val="00D67F49"/>
    <w:rsid w:val="00D705A2"/>
    <w:rsid w:val="00D76747"/>
    <w:rsid w:val="00D768BC"/>
    <w:rsid w:val="00D77B3C"/>
    <w:rsid w:val="00D80766"/>
    <w:rsid w:val="00D8322C"/>
    <w:rsid w:val="00D83D3E"/>
    <w:rsid w:val="00D83DB7"/>
    <w:rsid w:val="00D83DE0"/>
    <w:rsid w:val="00D8414A"/>
    <w:rsid w:val="00D845C7"/>
    <w:rsid w:val="00D85F52"/>
    <w:rsid w:val="00D86ADF"/>
    <w:rsid w:val="00D901FF"/>
    <w:rsid w:val="00D90998"/>
    <w:rsid w:val="00D91C65"/>
    <w:rsid w:val="00D93CAA"/>
    <w:rsid w:val="00D93F15"/>
    <w:rsid w:val="00D94165"/>
    <w:rsid w:val="00D946B3"/>
    <w:rsid w:val="00D94ED6"/>
    <w:rsid w:val="00D95064"/>
    <w:rsid w:val="00D95A84"/>
    <w:rsid w:val="00D96A4E"/>
    <w:rsid w:val="00DA255C"/>
    <w:rsid w:val="00DA2A9C"/>
    <w:rsid w:val="00DA2C23"/>
    <w:rsid w:val="00DA3139"/>
    <w:rsid w:val="00DA36B1"/>
    <w:rsid w:val="00DA3931"/>
    <w:rsid w:val="00DA4544"/>
    <w:rsid w:val="00DA588D"/>
    <w:rsid w:val="00DA6F5D"/>
    <w:rsid w:val="00DA70E1"/>
    <w:rsid w:val="00DA78E0"/>
    <w:rsid w:val="00DB03F8"/>
    <w:rsid w:val="00DB0631"/>
    <w:rsid w:val="00DB3142"/>
    <w:rsid w:val="00DB3410"/>
    <w:rsid w:val="00DB3469"/>
    <w:rsid w:val="00DB35C1"/>
    <w:rsid w:val="00DB3831"/>
    <w:rsid w:val="00DB4A52"/>
    <w:rsid w:val="00DB4C5D"/>
    <w:rsid w:val="00DB4CD4"/>
    <w:rsid w:val="00DB500D"/>
    <w:rsid w:val="00DB563A"/>
    <w:rsid w:val="00DB6A9B"/>
    <w:rsid w:val="00DB705A"/>
    <w:rsid w:val="00DB71BA"/>
    <w:rsid w:val="00DC163C"/>
    <w:rsid w:val="00DC2738"/>
    <w:rsid w:val="00DC4BFC"/>
    <w:rsid w:val="00DC63B4"/>
    <w:rsid w:val="00DC6848"/>
    <w:rsid w:val="00DC69F2"/>
    <w:rsid w:val="00DC6C79"/>
    <w:rsid w:val="00DC7109"/>
    <w:rsid w:val="00DD006F"/>
    <w:rsid w:val="00DD0575"/>
    <w:rsid w:val="00DD089D"/>
    <w:rsid w:val="00DD13DA"/>
    <w:rsid w:val="00DD1DBE"/>
    <w:rsid w:val="00DD398A"/>
    <w:rsid w:val="00DD3EB3"/>
    <w:rsid w:val="00DD476C"/>
    <w:rsid w:val="00DD4A0C"/>
    <w:rsid w:val="00DD6919"/>
    <w:rsid w:val="00DD6D8D"/>
    <w:rsid w:val="00DD7982"/>
    <w:rsid w:val="00DD7F00"/>
    <w:rsid w:val="00DD7F77"/>
    <w:rsid w:val="00DE05DD"/>
    <w:rsid w:val="00DE336B"/>
    <w:rsid w:val="00DE397A"/>
    <w:rsid w:val="00DE3D75"/>
    <w:rsid w:val="00DE4403"/>
    <w:rsid w:val="00DE4E08"/>
    <w:rsid w:val="00DE52DA"/>
    <w:rsid w:val="00DE5817"/>
    <w:rsid w:val="00DE5CC1"/>
    <w:rsid w:val="00DE5F30"/>
    <w:rsid w:val="00DE6B39"/>
    <w:rsid w:val="00DF0157"/>
    <w:rsid w:val="00DF03E5"/>
    <w:rsid w:val="00DF0541"/>
    <w:rsid w:val="00DF0ACB"/>
    <w:rsid w:val="00DF0E77"/>
    <w:rsid w:val="00DF52F0"/>
    <w:rsid w:val="00DF5F4A"/>
    <w:rsid w:val="00DF635F"/>
    <w:rsid w:val="00DF7053"/>
    <w:rsid w:val="00DF7E5B"/>
    <w:rsid w:val="00E000C4"/>
    <w:rsid w:val="00E00643"/>
    <w:rsid w:val="00E0068D"/>
    <w:rsid w:val="00E00AA0"/>
    <w:rsid w:val="00E00D25"/>
    <w:rsid w:val="00E010C5"/>
    <w:rsid w:val="00E013CF"/>
    <w:rsid w:val="00E04A1D"/>
    <w:rsid w:val="00E0527D"/>
    <w:rsid w:val="00E05E4E"/>
    <w:rsid w:val="00E07F04"/>
    <w:rsid w:val="00E10329"/>
    <w:rsid w:val="00E11800"/>
    <w:rsid w:val="00E1244E"/>
    <w:rsid w:val="00E1470E"/>
    <w:rsid w:val="00E14E38"/>
    <w:rsid w:val="00E15258"/>
    <w:rsid w:val="00E15264"/>
    <w:rsid w:val="00E1610F"/>
    <w:rsid w:val="00E16592"/>
    <w:rsid w:val="00E20090"/>
    <w:rsid w:val="00E20CA7"/>
    <w:rsid w:val="00E213EB"/>
    <w:rsid w:val="00E21884"/>
    <w:rsid w:val="00E21D07"/>
    <w:rsid w:val="00E22744"/>
    <w:rsid w:val="00E231C3"/>
    <w:rsid w:val="00E24F31"/>
    <w:rsid w:val="00E255C1"/>
    <w:rsid w:val="00E25A09"/>
    <w:rsid w:val="00E262A5"/>
    <w:rsid w:val="00E266A9"/>
    <w:rsid w:val="00E30413"/>
    <w:rsid w:val="00E30A22"/>
    <w:rsid w:val="00E30B40"/>
    <w:rsid w:val="00E30CF8"/>
    <w:rsid w:val="00E32B49"/>
    <w:rsid w:val="00E32ECB"/>
    <w:rsid w:val="00E337DC"/>
    <w:rsid w:val="00E33C64"/>
    <w:rsid w:val="00E3445D"/>
    <w:rsid w:val="00E37746"/>
    <w:rsid w:val="00E37905"/>
    <w:rsid w:val="00E41AAC"/>
    <w:rsid w:val="00E41B07"/>
    <w:rsid w:val="00E41B0D"/>
    <w:rsid w:val="00E42532"/>
    <w:rsid w:val="00E4265C"/>
    <w:rsid w:val="00E42819"/>
    <w:rsid w:val="00E43ACA"/>
    <w:rsid w:val="00E43BEC"/>
    <w:rsid w:val="00E43C8E"/>
    <w:rsid w:val="00E441DC"/>
    <w:rsid w:val="00E44ED1"/>
    <w:rsid w:val="00E44F55"/>
    <w:rsid w:val="00E45CCD"/>
    <w:rsid w:val="00E45DEB"/>
    <w:rsid w:val="00E46E4F"/>
    <w:rsid w:val="00E4764B"/>
    <w:rsid w:val="00E4796A"/>
    <w:rsid w:val="00E47C9E"/>
    <w:rsid w:val="00E47DEA"/>
    <w:rsid w:val="00E516C7"/>
    <w:rsid w:val="00E531F3"/>
    <w:rsid w:val="00E5333D"/>
    <w:rsid w:val="00E53377"/>
    <w:rsid w:val="00E54A9F"/>
    <w:rsid w:val="00E54B5B"/>
    <w:rsid w:val="00E54BAF"/>
    <w:rsid w:val="00E55071"/>
    <w:rsid w:val="00E5627B"/>
    <w:rsid w:val="00E57696"/>
    <w:rsid w:val="00E57752"/>
    <w:rsid w:val="00E63CD8"/>
    <w:rsid w:val="00E64D77"/>
    <w:rsid w:val="00E65565"/>
    <w:rsid w:val="00E65D0C"/>
    <w:rsid w:val="00E66932"/>
    <w:rsid w:val="00E66BD1"/>
    <w:rsid w:val="00E672E8"/>
    <w:rsid w:val="00E67428"/>
    <w:rsid w:val="00E67DB7"/>
    <w:rsid w:val="00E712C1"/>
    <w:rsid w:val="00E76768"/>
    <w:rsid w:val="00E76DA9"/>
    <w:rsid w:val="00E77A05"/>
    <w:rsid w:val="00E77A2F"/>
    <w:rsid w:val="00E80189"/>
    <w:rsid w:val="00E8027E"/>
    <w:rsid w:val="00E80A28"/>
    <w:rsid w:val="00E8101A"/>
    <w:rsid w:val="00E81CA8"/>
    <w:rsid w:val="00E824C5"/>
    <w:rsid w:val="00E82712"/>
    <w:rsid w:val="00E82CB3"/>
    <w:rsid w:val="00E82CC1"/>
    <w:rsid w:val="00E83462"/>
    <w:rsid w:val="00E83E83"/>
    <w:rsid w:val="00E85301"/>
    <w:rsid w:val="00E853BF"/>
    <w:rsid w:val="00E85CF7"/>
    <w:rsid w:val="00E87553"/>
    <w:rsid w:val="00E87803"/>
    <w:rsid w:val="00E87884"/>
    <w:rsid w:val="00E87C7D"/>
    <w:rsid w:val="00E90965"/>
    <w:rsid w:val="00E90AAC"/>
    <w:rsid w:val="00E90EAD"/>
    <w:rsid w:val="00E91919"/>
    <w:rsid w:val="00E922BB"/>
    <w:rsid w:val="00E9236B"/>
    <w:rsid w:val="00E92AB6"/>
    <w:rsid w:val="00E93A63"/>
    <w:rsid w:val="00E949FF"/>
    <w:rsid w:val="00E96177"/>
    <w:rsid w:val="00E96581"/>
    <w:rsid w:val="00E96876"/>
    <w:rsid w:val="00E96966"/>
    <w:rsid w:val="00EA1384"/>
    <w:rsid w:val="00EA2281"/>
    <w:rsid w:val="00EA32C7"/>
    <w:rsid w:val="00EA4478"/>
    <w:rsid w:val="00EA4DE9"/>
    <w:rsid w:val="00EA795D"/>
    <w:rsid w:val="00EA7C68"/>
    <w:rsid w:val="00EB19CE"/>
    <w:rsid w:val="00EB2A09"/>
    <w:rsid w:val="00EB2C60"/>
    <w:rsid w:val="00EB2CA0"/>
    <w:rsid w:val="00EB2DE3"/>
    <w:rsid w:val="00EB2EC7"/>
    <w:rsid w:val="00EB303E"/>
    <w:rsid w:val="00EB339D"/>
    <w:rsid w:val="00EB4582"/>
    <w:rsid w:val="00EB4ECE"/>
    <w:rsid w:val="00EB4F4C"/>
    <w:rsid w:val="00EC0CD4"/>
    <w:rsid w:val="00EC1C6E"/>
    <w:rsid w:val="00EC26AC"/>
    <w:rsid w:val="00EC325C"/>
    <w:rsid w:val="00EC4484"/>
    <w:rsid w:val="00EC4AA6"/>
    <w:rsid w:val="00EC4C11"/>
    <w:rsid w:val="00EC5972"/>
    <w:rsid w:val="00EC5CB1"/>
    <w:rsid w:val="00EC60FC"/>
    <w:rsid w:val="00EC7EEF"/>
    <w:rsid w:val="00ED01F3"/>
    <w:rsid w:val="00ED115A"/>
    <w:rsid w:val="00ED14D8"/>
    <w:rsid w:val="00ED1964"/>
    <w:rsid w:val="00ED218C"/>
    <w:rsid w:val="00ED2EAE"/>
    <w:rsid w:val="00ED30C8"/>
    <w:rsid w:val="00ED33DC"/>
    <w:rsid w:val="00ED3495"/>
    <w:rsid w:val="00ED4119"/>
    <w:rsid w:val="00ED4145"/>
    <w:rsid w:val="00ED58F8"/>
    <w:rsid w:val="00ED6EB6"/>
    <w:rsid w:val="00ED75CF"/>
    <w:rsid w:val="00ED7D3F"/>
    <w:rsid w:val="00EE299F"/>
    <w:rsid w:val="00EE4B3F"/>
    <w:rsid w:val="00EE4CC8"/>
    <w:rsid w:val="00EE5BFC"/>
    <w:rsid w:val="00EE5D30"/>
    <w:rsid w:val="00EE66D6"/>
    <w:rsid w:val="00EE7299"/>
    <w:rsid w:val="00EE77C4"/>
    <w:rsid w:val="00EE7A6A"/>
    <w:rsid w:val="00EF223F"/>
    <w:rsid w:val="00EF2F0B"/>
    <w:rsid w:val="00EF56F3"/>
    <w:rsid w:val="00EF6208"/>
    <w:rsid w:val="00EF6C2F"/>
    <w:rsid w:val="00EF7910"/>
    <w:rsid w:val="00EF79BC"/>
    <w:rsid w:val="00EF7E79"/>
    <w:rsid w:val="00F00EB6"/>
    <w:rsid w:val="00F01617"/>
    <w:rsid w:val="00F0527C"/>
    <w:rsid w:val="00F05586"/>
    <w:rsid w:val="00F05892"/>
    <w:rsid w:val="00F05AA4"/>
    <w:rsid w:val="00F0638A"/>
    <w:rsid w:val="00F068A8"/>
    <w:rsid w:val="00F07C79"/>
    <w:rsid w:val="00F10750"/>
    <w:rsid w:val="00F1244C"/>
    <w:rsid w:val="00F132C8"/>
    <w:rsid w:val="00F138A8"/>
    <w:rsid w:val="00F1530D"/>
    <w:rsid w:val="00F16AAD"/>
    <w:rsid w:val="00F16EE3"/>
    <w:rsid w:val="00F17396"/>
    <w:rsid w:val="00F2039F"/>
    <w:rsid w:val="00F2069C"/>
    <w:rsid w:val="00F20807"/>
    <w:rsid w:val="00F20D47"/>
    <w:rsid w:val="00F2185B"/>
    <w:rsid w:val="00F226C6"/>
    <w:rsid w:val="00F23321"/>
    <w:rsid w:val="00F23404"/>
    <w:rsid w:val="00F2425A"/>
    <w:rsid w:val="00F24B6E"/>
    <w:rsid w:val="00F24C1F"/>
    <w:rsid w:val="00F24DF2"/>
    <w:rsid w:val="00F25382"/>
    <w:rsid w:val="00F25578"/>
    <w:rsid w:val="00F25657"/>
    <w:rsid w:val="00F25B25"/>
    <w:rsid w:val="00F268B6"/>
    <w:rsid w:val="00F3075C"/>
    <w:rsid w:val="00F31185"/>
    <w:rsid w:val="00F31769"/>
    <w:rsid w:val="00F318A9"/>
    <w:rsid w:val="00F31AB0"/>
    <w:rsid w:val="00F322AC"/>
    <w:rsid w:val="00F32C45"/>
    <w:rsid w:val="00F32CCC"/>
    <w:rsid w:val="00F333BD"/>
    <w:rsid w:val="00F335FA"/>
    <w:rsid w:val="00F33635"/>
    <w:rsid w:val="00F34C8C"/>
    <w:rsid w:val="00F3561A"/>
    <w:rsid w:val="00F35AB1"/>
    <w:rsid w:val="00F35BF9"/>
    <w:rsid w:val="00F35FEE"/>
    <w:rsid w:val="00F368F1"/>
    <w:rsid w:val="00F36ED3"/>
    <w:rsid w:val="00F37877"/>
    <w:rsid w:val="00F400C2"/>
    <w:rsid w:val="00F40A41"/>
    <w:rsid w:val="00F40C26"/>
    <w:rsid w:val="00F42D2F"/>
    <w:rsid w:val="00F4374A"/>
    <w:rsid w:val="00F43B3F"/>
    <w:rsid w:val="00F441E3"/>
    <w:rsid w:val="00F45D1A"/>
    <w:rsid w:val="00F468F3"/>
    <w:rsid w:val="00F46F38"/>
    <w:rsid w:val="00F474C1"/>
    <w:rsid w:val="00F4773F"/>
    <w:rsid w:val="00F50030"/>
    <w:rsid w:val="00F5118E"/>
    <w:rsid w:val="00F51281"/>
    <w:rsid w:val="00F51CF9"/>
    <w:rsid w:val="00F520B1"/>
    <w:rsid w:val="00F523E1"/>
    <w:rsid w:val="00F53F5C"/>
    <w:rsid w:val="00F55E59"/>
    <w:rsid w:val="00F56EC1"/>
    <w:rsid w:val="00F602DF"/>
    <w:rsid w:val="00F60504"/>
    <w:rsid w:val="00F6079E"/>
    <w:rsid w:val="00F60A71"/>
    <w:rsid w:val="00F643F7"/>
    <w:rsid w:val="00F647A9"/>
    <w:rsid w:val="00F6498A"/>
    <w:rsid w:val="00F6625B"/>
    <w:rsid w:val="00F6627B"/>
    <w:rsid w:val="00F66956"/>
    <w:rsid w:val="00F66B44"/>
    <w:rsid w:val="00F671F3"/>
    <w:rsid w:val="00F6789F"/>
    <w:rsid w:val="00F70AE3"/>
    <w:rsid w:val="00F70D76"/>
    <w:rsid w:val="00F7163C"/>
    <w:rsid w:val="00F71A8F"/>
    <w:rsid w:val="00F723E6"/>
    <w:rsid w:val="00F73D5A"/>
    <w:rsid w:val="00F73EF0"/>
    <w:rsid w:val="00F74FC5"/>
    <w:rsid w:val="00F75400"/>
    <w:rsid w:val="00F77853"/>
    <w:rsid w:val="00F77B7A"/>
    <w:rsid w:val="00F77E51"/>
    <w:rsid w:val="00F801B8"/>
    <w:rsid w:val="00F802BE"/>
    <w:rsid w:val="00F80456"/>
    <w:rsid w:val="00F805C1"/>
    <w:rsid w:val="00F8092F"/>
    <w:rsid w:val="00F80A61"/>
    <w:rsid w:val="00F81B77"/>
    <w:rsid w:val="00F81F93"/>
    <w:rsid w:val="00F829E9"/>
    <w:rsid w:val="00F83881"/>
    <w:rsid w:val="00F83BB8"/>
    <w:rsid w:val="00F8630C"/>
    <w:rsid w:val="00F86BA3"/>
    <w:rsid w:val="00F87180"/>
    <w:rsid w:val="00F87968"/>
    <w:rsid w:val="00F91328"/>
    <w:rsid w:val="00F91E6A"/>
    <w:rsid w:val="00F93013"/>
    <w:rsid w:val="00F95709"/>
    <w:rsid w:val="00F95735"/>
    <w:rsid w:val="00F9628D"/>
    <w:rsid w:val="00F96773"/>
    <w:rsid w:val="00F96A0A"/>
    <w:rsid w:val="00F96C61"/>
    <w:rsid w:val="00F97437"/>
    <w:rsid w:val="00F97657"/>
    <w:rsid w:val="00F97912"/>
    <w:rsid w:val="00FA01A5"/>
    <w:rsid w:val="00FA097E"/>
    <w:rsid w:val="00FA0C5D"/>
    <w:rsid w:val="00FA19F5"/>
    <w:rsid w:val="00FA2091"/>
    <w:rsid w:val="00FA2F5D"/>
    <w:rsid w:val="00FA4187"/>
    <w:rsid w:val="00FA4A07"/>
    <w:rsid w:val="00FA4A10"/>
    <w:rsid w:val="00FA5C82"/>
    <w:rsid w:val="00FA6D00"/>
    <w:rsid w:val="00FA71B5"/>
    <w:rsid w:val="00FA7A72"/>
    <w:rsid w:val="00FB1BD2"/>
    <w:rsid w:val="00FB53EA"/>
    <w:rsid w:val="00FB5E18"/>
    <w:rsid w:val="00FB657F"/>
    <w:rsid w:val="00FB6B31"/>
    <w:rsid w:val="00FB7CA4"/>
    <w:rsid w:val="00FB7EAD"/>
    <w:rsid w:val="00FC04FA"/>
    <w:rsid w:val="00FC0AE7"/>
    <w:rsid w:val="00FC290C"/>
    <w:rsid w:val="00FC3616"/>
    <w:rsid w:val="00FC3AEB"/>
    <w:rsid w:val="00FC3B1D"/>
    <w:rsid w:val="00FC4494"/>
    <w:rsid w:val="00FC4933"/>
    <w:rsid w:val="00FC5B57"/>
    <w:rsid w:val="00FC6274"/>
    <w:rsid w:val="00FC7EDE"/>
    <w:rsid w:val="00FD094C"/>
    <w:rsid w:val="00FD0ECB"/>
    <w:rsid w:val="00FD0F42"/>
    <w:rsid w:val="00FD10AE"/>
    <w:rsid w:val="00FD19E2"/>
    <w:rsid w:val="00FD2237"/>
    <w:rsid w:val="00FD25E2"/>
    <w:rsid w:val="00FD2A26"/>
    <w:rsid w:val="00FD5831"/>
    <w:rsid w:val="00FD5B98"/>
    <w:rsid w:val="00FD6A92"/>
    <w:rsid w:val="00FD6AA1"/>
    <w:rsid w:val="00FD7564"/>
    <w:rsid w:val="00FE093B"/>
    <w:rsid w:val="00FE0B9C"/>
    <w:rsid w:val="00FE0C3D"/>
    <w:rsid w:val="00FE1871"/>
    <w:rsid w:val="00FE1FFE"/>
    <w:rsid w:val="00FE2C8A"/>
    <w:rsid w:val="00FE2D32"/>
    <w:rsid w:val="00FE4810"/>
    <w:rsid w:val="00FE52D0"/>
    <w:rsid w:val="00FE58D7"/>
    <w:rsid w:val="00FE618F"/>
    <w:rsid w:val="00FF08E8"/>
    <w:rsid w:val="00FF0B1A"/>
    <w:rsid w:val="00FF14E9"/>
    <w:rsid w:val="00FF19B0"/>
    <w:rsid w:val="00FF1F68"/>
    <w:rsid w:val="00FF3CEA"/>
    <w:rsid w:val="00FF4116"/>
    <w:rsid w:val="00FF4268"/>
    <w:rsid w:val="00FF48F7"/>
    <w:rsid w:val="00FF4EC9"/>
    <w:rsid w:val="00FF4F3A"/>
    <w:rsid w:val="00FF545F"/>
    <w:rsid w:val="00FF6AF4"/>
    <w:rsid w:val="00FF75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cc"/>
    </o:shapedefaults>
    <o:shapelayout v:ext="edit">
      <o:idmap v:ext="edit" data="1"/>
    </o:shapelayout>
  </w:shapeDefaults>
  <w:decimalSymbol w:val="."/>
  <w:listSeparator w:val=","/>
  <w14:docId w14:val="0FC2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18"/>
    <w:rPr>
      <w:sz w:val="24"/>
      <w:szCs w:val="24"/>
    </w:rPr>
  </w:style>
  <w:style w:type="paragraph" w:styleId="Heading1">
    <w:name w:val="heading 1"/>
    <w:basedOn w:val="Normal"/>
    <w:next w:val="Normal"/>
    <w:qFormat/>
    <w:rsid w:val="006C2B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2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7E1"/>
    <w:pPr>
      <w:keepNext/>
      <w:spacing w:before="240" w:after="60"/>
      <w:outlineLvl w:val="2"/>
    </w:pPr>
    <w:rPr>
      <w:rFonts w:ascii="Arial" w:hAnsi="Arial" w:cs="Arial"/>
      <w:b/>
      <w:bCs/>
      <w:sz w:val="26"/>
      <w:szCs w:val="26"/>
    </w:rPr>
  </w:style>
  <w:style w:type="paragraph" w:styleId="Heading4">
    <w:name w:val="heading 4"/>
    <w:basedOn w:val="Normal"/>
    <w:next w:val="Normal"/>
    <w:qFormat/>
    <w:rsid w:val="00D577E1"/>
    <w:pPr>
      <w:keepNext/>
      <w:spacing w:before="240" w:after="60"/>
      <w:outlineLvl w:val="3"/>
    </w:pPr>
    <w:rPr>
      <w:b/>
      <w:bCs/>
      <w:sz w:val="28"/>
      <w:szCs w:val="28"/>
    </w:rPr>
  </w:style>
  <w:style w:type="paragraph" w:styleId="Heading5">
    <w:name w:val="heading 5"/>
    <w:basedOn w:val="Normal"/>
    <w:next w:val="Normal"/>
    <w:qFormat/>
    <w:rsid w:val="00D577E1"/>
    <w:pPr>
      <w:spacing w:before="240" w:after="60"/>
      <w:outlineLvl w:val="4"/>
    </w:pPr>
    <w:rPr>
      <w:b/>
      <w:bCs/>
      <w:i/>
      <w:iCs/>
      <w:sz w:val="26"/>
      <w:szCs w:val="26"/>
    </w:rPr>
  </w:style>
  <w:style w:type="paragraph" w:styleId="Heading6">
    <w:name w:val="heading 6"/>
    <w:basedOn w:val="Normal"/>
    <w:next w:val="Normal"/>
    <w:qFormat/>
    <w:rsid w:val="00D577E1"/>
    <w:pPr>
      <w:spacing w:before="240" w:after="60"/>
      <w:outlineLvl w:val="5"/>
    </w:pPr>
    <w:rPr>
      <w:b/>
      <w:bCs/>
      <w:sz w:val="22"/>
      <w:szCs w:val="22"/>
    </w:rPr>
  </w:style>
  <w:style w:type="paragraph" w:styleId="Heading7">
    <w:name w:val="heading 7"/>
    <w:basedOn w:val="Normal"/>
    <w:next w:val="Normal"/>
    <w:qFormat/>
    <w:rsid w:val="00D577E1"/>
    <w:pPr>
      <w:spacing w:before="240" w:after="60"/>
      <w:outlineLvl w:val="6"/>
    </w:pPr>
  </w:style>
  <w:style w:type="paragraph" w:styleId="Heading8">
    <w:name w:val="heading 8"/>
    <w:basedOn w:val="Normal"/>
    <w:next w:val="Normal"/>
    <w:qFormat/>
    <w:rsid w:val="00D577E1"/>
    <w:pPr>
      <w:spacing w:before="240" w:after="60"/>
      <w:outlineLvl w:val="7"/>
    </w:pPr>
    <w:rPr>
      <w:i/>
      <w:iCs/>
    </w:rPr>
  </w:style>
  <w:style w:type="paragraph" w:styleId="Heading9">
    <w:name w:val="heading 9"/>
    <w:basedOn w:val="Normal"/>
    <w:next w:val="Normal"/>
    <w:qFormat/>
    <w:rsid w:val="00D577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 a pie"/>
    <w:uiPriority w:val="99"/>
    <w:rsid w:val="00671659"/>
    <w:rPr>
      <w:vertAlign w:val="superscript"/>
    </w:rPr>
  </w:style>
  <w:style w:type="paragraph" w:styleId="FootnoteText">
    <w:name w:val="footnote text"/>
    <w:aliases w:val="Nota a pie de página,Char Char Char, Char Char,single space"/>
    <w:basedOn w:val="Normal"/>
    <w:link w:val="FootnoteTextChar"/>
    <w:uiPriority w:val="99"/>
    <w:qFormat/>
    <w:rsid w:val="005A0758"/>
    <w:pPr>
      <w:jc w:val="both"/>
    </w:pPr>
    <w:rPr>
      <w:rFonts w:ascii="Verdana" w:hAnsi="Verdana"/>
    </w:rPr>
  </w:style>
  <w:style w:type="character" w:customStyle="1" w:styleId="FootnoteTextChar">
    <w:name w:val="Footnote Text Char"/>
    <w:aliases w:val="Nota a pie de página Char,Char Char Char Char, Char Char Char,single space Char"/>
    <w:link w:val="FootnoteText"/>
    <w:uiPriority w:val="99"/>
    <w:rsid w:val="008A50A7"/>
    <w:rPr>
      <w:rFonts w:ascii="Verdana" w:hAnsi="Verdana"/>
      <w:sz w:val="24"/>
      <w:szCs w:val="24"/>
      <w:lang w:val="es-ES" w:eastAsia="es-ES" w:bidi="ar-SA"/>
    </w:rPr>
  </w:style>
  <w:style w:type="character" w:styleId="Hyperlink">
    <w:name w:val="Hyperlink"/>
    <w:uiPriority w:val="99"/>
    <w:rsid w:val="00980118"/>
    <w:rPr>
      <w:color w:val="0000FF"/>
      <w:u w:val="single"/>
    </w:rPr>
  </w:style>
  <w:style w:type="paragraph" w:styleId="Header">
    <w:name w:val="header"/>
    <w:basedOn w:val="Normal"/>
    <w:link w:val="HeaderChar"/>
    <w:uiPriority w:val="99"/>
    <w:rsid w:val="000F5D3A"/>
    <w:pPr>
      <w:tabs>
        <w:tab w:val="center" w:pos="4252"/>
        <w:tab w:val="right" w:pos="8504"/>
      </w:tabs>
    </w:pPr>
  </w:style>
  <w:style w:type="paragraph" w:styleId="Footer">
    <w:name w:val="footer"/>
    <w:basedOn w:val="Normal"/>
    <w:link w:val="FooterChar"/>
    <w:uiPriority w:val="99"/>
    <w:rsid w:val="00CB5008"/>
    <w:pPr>
      <w:tabs>
        <w:tab w:val="center" w:pos="4252"/>
        <w:tab w:val="right" w:pos="8504"/>
      </w:tabs>
      <w:jc w:val="both"/>
    </w:pPr>
    <w:rPr>
      <w:rFonts w:ascii="Verdana" w:hAnsi="Verdana"/>
      <w:sz w:val="16"/>
    </w:rPr>
  </w:style>
  <w:style w:type="character" w:styleId="PageNumber">
    <w:name w:val="page number"/>
    <w:basedOn w:val="DefaultParagraphFont"/>
    <w:uiPriority w:val="99"/>
    <w:rsid w:val="000F5D3A"/>
  </w:style>
  <w:style w:type="character" w:styleId="EndnoteReference">
    <w:name w:val="endnote reference"/>
    <w:semiHidden/>
    <w:rsid w:val="00134E33"/>
    <w:rPr>
      <w:vertAlign w:val="superscript"/>
    </w:rPr>
  </w:style>
  <w:style w:type="paragraph" w:customStyle="1" w:styleId="Parrafo">
    <w:name w:val="Parrafo"/>
    <w:basedOn w:val="Normal"/>
    <w:rsid w:val="004A4469"/>
    <w:pPr>
      <w:spacing w:before="120" w:after="120"/>
      <w:jc w:val="both"/>
    </w:pPr>
    <w:rPr>
      <w:rFonts w:ascii="Verdana" w:hAnsi="Verdana"/>
      <w:sz w:val="20"/>
      <w:szCs w:val="20"/>
    </w:rPr>
  </w:style>
  <w:style w:type="paragraph" w:customStyle="1" w:styleId="citaparrafopropio">
    <w:name w:val="cita parrafo propio"/>
    <w:basedOn w:val="Parrafo"/>
    <w:rsid w:val="004A4469"/>
    <w:pPr>
      <w:ind w:left="851"/>
    </w:pPr>
    <w:rPr>
      <w:sz w:val="18"/>
    </w:rPr>
  </w:style>
  <w:style w:type="character" w:styleId="Strong">
    <w:name w:val="Strong"/>
    <w:qFormat/>
    <w:rsid w:val="000002D7"/>
    <w:rPr>
      <w:b/>
      <w:bCs/>
    </w:rPr>
  </w:style>
  <w:style w:type="paragraph" w:customStyle="1" w:styleId="Tabla-grficottulo">
    <w:name w:val="Tabla-gráfico: título"/>
    <w:basedOn w:val="Parrafo"/>
    <w:rsid w:val="00FB5E18"/>
    <w:pPr>
      <w:keepNext/>
      <w:jc w:val="center"/>
    </w:pPr>
    <w:rPr>
      <w:sz w:val="22"/>
    </w:rPr>
  </w:style>
  <w:style w:type="paragraph" w:customStyle="1" w:styleId="Epgrafe11">
    <w:name w:val="Epígrafe 1.1."/>
    <w:basedOn w:val="Heading3"/>
    <w:next w:val="Parrafo"/>
    <w:rsid w:val="00D317B8"/>
    <w:pPr>
      <w:spacing w:after="120"/>
      <w:ind w:left="357"/>
      <w:jc w:val="both"/>
    </w:pPr>
    <w:rPr>
      <w:rFonts w:ascii="Verdana" w:hAnsi="Verdana"/>
      <w:b w:val="0"/>
      <w:i/>
      <w:iCs/>
      <w:sz w:val="20"/>
      <w:szCs w:val="20"/>
    </w:rPr>
  </w:style>
  <w:style w:type="paragraph" w:customStyle="1" w:styleId="Ttuloartculo">
    <w:name w:val="Título artículo"/>
    <w:basedOn w:val="Title"/>
    <w:next w:val="Autorartculo"/>
    <w:rsid w:val="00D577E1"/>
    <w:pPr>
      <w:spacing w:before="360" w:after="120"/>
    </w:pPr>
    <w:rPr>
      <w:rFonts w:ascii="Verdana" w:hAnsi="Verdana"/>
      <w:bCs w:val="0"/>
      <w:sz w:val="24"/>
      <w:szCs w:val="24"/>
    </w:rPr>
  </w:style>
  <w:style w:type="paragraph" w:customStyle="1" w:styleId="Autorartculo">
    <w:name w:val="Autor artículo"/>
    <w:basedOn w:val="Normal"/>
    <w:rsid w:val="00D577E1"/>
    <w:pPr>
      <w:spacing w:before="240" w:after="240"/>
      <w:ind w:firstLine="709"/>
      <w:jc w:val="right"/>
    </w:pPr>
    <w:rPr>
      <w:rFonts w:ascii="Verdana" w:hAnsi="Verdana"/>
      <w:smallCaps/>
      <w:sz w:val="20"/>
      <w:szCs w:val="20"/>
    </w:rPr>
  </w:style>
  <w:style w:type="paragraph" w:customStyle="1" w:styleId="EstiloParrafoNegrita">
    <w:name w:val="Estilo Parrafo + Negrita"/>
    <w:basedOn w:val="Parrafo"/>
    <w:rsid w:val="004865D2"/>
    <w:rPr>
      <w:b/>
      <w:bCs/>
    </w:rPr>
  </w:style>
  <w:style w:type="character" w:customStyle="1" w:styleId="FooterChar">
    <w:name w:val="Footer Char"/>
    <w:link w:val="Footer"/>
    <w:uiPriority w:val="99"/>
    <w:rsid w:val="00217E7F"/>
    <w:rPr>
      <w:rFonts w:ascii="Verdana" w:hAnsi="Verdana"/>
      <w:sz w:val="16"/>
      <w:szCs w:val="24"/>
      <w:lang w:val="es-ES" w:eastAsia="es-ES" w:bidi="ar-SA"/>
    </w:rPr>
  </w:style>
  <w:style w:type="paragraph" w:customStyle="1" w:styleId="Epgrafe1">
    <w:name w:val="Epígrafe 1"/>
    <w:basedOn w:val="Heading2"/>
    <w:next w:val="Parrafo"/>
    <w:rsid w:val="00541C8F"/>
    <w:pPr>
      <w:spacing w:after="120"/>
      <w:jc w:val="both"/>
    </w:pPr>
    <w:rPr>
      <w:rFonts w:ascii="Verdana" w:hAnsi="Verdana"/>
      <w:bCs w:val="0"/>
      <w:i w:val="0"/>
      <w:sz w:val="20"/>
      <w:szCs w:val="20"/>
    </w:rPr>
  </w:style>
  <w:style w:type="paragraph" w:styleId="DocumentMap">
    <w:name w:val="Document Map"/>
    <w:basedOn w:val="Normal"/>
    <w:semiHidden/>
    <w:rsid w:val="006C2B65"/>
    <w:pPr>
      <w:shd w:val="clear" w:color="auto" w:fill="000080"/>
    </w:pPr>
    <w:rPr>
      <w:rFonts w:ascii="Tahoma" w:hAnsi="Tahoma" w:cs="Tahoma"/>
    </w:rPr>
  </w:style>
  <w:style w:type="paragraph" w:styleId="CommentText">
    <w:name w:val="annotation text"/>
    <w:basedOn w:val="Normal"/>
    <w:link w:val="CommentTextChar"/>
    <w:uiPriority w:val="99"/>
    <w:semiHidden/>
    <w:rsid w:val="00D577E1"/>
    <w:rPr>
      <w:sz w:val="20"/>
      <w:szCs w:val="20"/>
    </w:rPr>
  </w:style>
  <w:style w:type="paragraph" w:styleId="CommentSubject">
    <w:name w:val="annotation subject"/>
    <w:basedOn w:val="CommentText"/>
    <w:next w:val="CommentText"/>
    <w:link w:val="CommentSubjectChar"/>
    <w:uiPriority w:val="99"/>
    <w:semiHidden/>
    <w:rsid w:val="00D577E1"/>
    <w:rPr>
      <w:b/>
      <w:bCs/>
    </w:rPr>
  </w:style>
  <w:style w:type="paragraph" w:styleId="Closing">
    <w:name w:val="Closing"/>
    <w:basedOn w:val="Normal"/>
    <w:rsid w:val="00D577E1"/>
    <w:pPr>
      <w:ind w:left="4252"/>
    </w:pPr>
  </w:style>
  <w:style w:type="paragraph" w:styleId="ListContinue">
    <w:name w:val="List Continue"/>
    <w:basedOn w:val="Normal"/>
    <w:rsid w:val="00D577E1"/>
    <w:pPr>
      <w:spacing w:after="120"/>
      <w:ind w:left="283"/>
    </w:pPr>
  </w:style>
  <w:style w:type="paragraph" w:styleId="ListContinue2">
    <w:name w:val="List Continue 2"/>
    <w:basedOn w:val="Normal"/>
    <w:rsid w:val="00D577E1"/>
    <w:pPr>
      <w:spacing w:after="120"/>
      <w:ind w:left="566"/>
    </w:pPr>
  </w:style>
  <w:style w:type="paragraph" w:styleId="ListContinue3">
    <w:name w:val="List Continue 3"/>
    <w:basedOn w:val="Normal"/>
    <w:rsid w:val="00D577E1"/>
    <w:pPr>
      <w:spacing w:after="120"/>
      <w:ind w:left="849"/>
    </w:pPr>
  </w:style>
  <w:style w:type="paragraph" w:styleId="ListContinue4">
    <w:name w:val="List Continue 4"/>
    <w:basedOn w:val="Normal"/>
    <w:rsid w:val="00D577E1"/>
    <w:pPr>
      <w:spacing w:after="120"/>
      <w:ind w:left="1132"/>
    </w:pPr>
  </w:style>
  <w:style w:type="paragraph" w:styleId="ListContinue5">
    <w:name w:val="List Continue 5"/>
    <w:basedOn w:val="Normal"/>
    <w:rsid w:val="00D577E1"/>
    <w:pPr>
      <w:spacing w:after="120"/>
      <w:ind w:left="1415"/>
    </w:pPr>
  </w:style>
  <w:style w:type="paragraph" w:styleId="HTMLAddress">
    <w:name w:val="HTML Address"/>
    <w:basedOn w:val="Normal"/>
    <w:rsid w:val="00D577E1"/>
    <w:rPr>
      <w:i/>
      <w:iCs/>
    </w:rPr>
  </w:style>
  <w:style w:type="paragraph" w:styleId="EnvelopeAddress">
    <w:name w:val="envelope address"/>
    <w:basedOn w:val="Normal"/>
    <w:rsid w:val="00D577E1"/>
    <w:pPr>
      <w:framePr w:w="7920" w:h="1980" w:hRule="exact" w:hSpace="141" w:wrap="auto" w:hAnchor="page" w:xAlign="center" w:yAlign="bottom"/>
      <w:ind w:left="2880"/>
    </w:pPr>
    <w:rPr>
      <w:rFonts w:ascii="Arial" w:hAnsi="Arial" w:cs="Arial"/>
    </w:rPr>
  </w:style>
  <w:style w:type="paragraph" w:styleId="TOAHeading">
    <w:name w:val="toa heading"/>
    <w:basedOn w:val="Normal"/>
    <w:next w:val="Normal"/>
    <w:semiHidden/>
    <w:rsid w:val="00D577E1"/>
    <w:pPr>
      <w:spacing w:before="120"/>
    </w:pPr>
    <w:rPr>
      <w:rFonts w:ascii="Arial" w:hAnsi="Arial" w:cs="Arial"/>
      <w:b/>
      <w:bCs/>
    </w:rPr>
  </w:style>
  <w:style w:type="paragraph" w:styleId="MessageHeader">
    <w:name w:val="Message Header"/>
    <w:basedOn w:val="Normal"/>
    <w:rsid w:val="00D577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D577E1"/>
  </w:style>
  <w:style w:type="paragraph" w:styleId="Caption">
    <w:name w:val="caption"/>
    <w:basedOn w:val="Normal"/>
    <w:next w:val="Normal"/>
    <w:qFormat/>
    <w:rsid w:val="00D577E1"/>
    <w:pPr>
      <w:spacing w:before="120" w:after="120"/>
    </w:pPr>
    <w:rPr>
      <w:b/>
      <w:bCs/>
      <w:sz w:val="20"/>
      <w:szCs w:val="20"/>
    </w:rPr>
  </w:style>
  <w:style w:type="paragraph" w:styleId="Date">
    <w:name w:val="Date"/>
    <w:basedOn w:val="Normal"/>
    <w:next w:val="Normal"/>
    <w:rsid w:val="00D577E1"/>
  </w:style>
  <w:style w:type="paragraph" w:styleId="Signature">
    <w:name w:val="Signature"/>
    <w:basedOn w:val="Normal"/>
    <w:rsid w:val="00D577E1"/>
    <w:pPr>
      <w:ind w:left="4252"/>
    </w:pPr>
  </w:style>
  <w:style w:type="paragraph" w:styleId="E-mailSignature">
    <w:name w:val="E-mail Signature"/>
    <w:basedOn w:val="Normal"/>
    <w:rsid w:val="00D577E1"/>
  </w:style>
  <w:style w:type="paragraph" w:styleId="HTMLPreformatted">
    <w:name w:val="HTML Preformatted"/>
    <w:basedOn w:val="Normal"/>
    <w:link w:val="HTMLPreformattedChar"/>
    <w:rsid w:val="00D577E1"/>
    <w:rPr>
      <w:rFonts w:ascii="Courier New" w:hAnsi="Courier New" w:cs="Courier New"/>
      <w:sz w:val="20"/>
      <w:szCs w:val="20"/>
    </w:rPr>
  </w:style>
  <w:style w:type="paragraph" w:styleId="Index1">
    <w:name w:val="index 1"/>
    <w:basedOn w:val="Normal"/>
    <w:next w:val="Normal"/>
    <w:autoRedefine/>
    <w:semiHidden/>
    <w:rsid w:val="00D577E1"/>
    <w:pPr>
      <w:ind w:left="240" w:hanging="240"/>
    </w:pPr>
  </w:style>
  <w:style w:type="paragraph" w:styleId="Index2">
    <w:name w:val="index 2"/>
    <w:basedOn w:val="Normal"/>
    <w:next w:val="Normal"/>
    <w:autoRedefine/>
    <w:semiHidden/>
    <w:rsid w:val="00D577E1"/>
    <w:pPr>
      <w:ind w:left="480" w:hanging="240"/>
    </w:pPr>
  </w:style>
  <w:style w:type="paragraph" w:styleId="Index3">
    <w:name w:val="index 3"/>
    <w:basedOn w:val="Normal"/>
    <w:next w:val="Normal"/>
    <w:autoRedefine/>
    <w:semiHidden/>
    <w:rsid w:val="00D577E1"/>
    <w:pPr>
      <w:ind w:left="720" w:hanging="240"/>
    </w:pPr>
  </w:style>
  <w:style w:type="paragraph" w:styleId="Index4">
    <w:name w:val="index 4"/>
    <w:basedOn w:val="Normal"/>
    <w:next w:val="Normal"/>
    <w:autoRedefine/>
    <w:semiHidden/>
    <w:rsid w:val="00D577E1"/>
    <w:pPr>
      <w:ind w:left="960" w:hanging="240"/>
    </w:pPr>
  </w:style>
  <w:style w:type="paragraph" w:styleId="Index5">
    <w:name w:val="index 5"/>
    <w:basedOn w:val="Normal"/>
    <w:next w:val="Normal"/>
    <w:autoRedefine/>
    <w:semiHidden/>
    <w:rsid w:val="00D577E1"/>
    <w:pPr>
      <w:ind w:left="1200" w:hanging="240"/>
    </w:pPr>
  </w:style>
  <w:style w:type="paragraph" w:styleId="Index6">
    <w:name w:val="index 6"/>
    <w:basedOn w:val="Normal"/>
    <w:next w:val="Normal"/>
    <w:autoRedefine/>
    <w:semiHidden/>
    <w:rsid w:val="00D577E1"/>
    <w:pPr>
      <w:ind w:left="1440" w:hanging="240"/>
    </w:pPr>
  </w:style>
  <w:style w:type="paragraph" w:styleId="Index7">
    <w:name w:val="index 7"/>
    <w:basedOn w:val="Normal"/>
    <w:next w:val="Normal"/>
    <w:autoRedefine/>
    <w:semiHidden/>
    <w:rsid w:val="00D577E1"/>
    <w:pPr>
      <w:ind w:left="1680" w:hanging="240"/>
    </w:pPr>
  </w:style>
  <w:style w:type="paragraph" w:styleId="Index8">
    <w:name w:val="index 8"/>
    <w:basedOn w:val="Normal"/>
    <w:next w:val="Normal"/>
    <w:autoRedefine/>
    <w:semiHidden/>
    <w:rsid w:val="00D577E1"/>
    <w:pPr>
      <w:ind w:left="1920" w:hanging="240"/>
    </w:pPr>
  </w:style>
  <w:style w:type="paragraph" w:styleId="Index9">
    <w:name w:val="index 9"/>
    <w:basedOn w:val="Normal"/>
    <w:next w:val="Normal"/>
    <w:autoRedefine/>
    <w:semiHidden/>
    <w:rsid w:val="00D577E1"/>
    <w:pPr>
      <w:ind w:left="2160" w:hanging="240"/>
    </w:pPr>
  </w:style>
  <w:style w:type="paragraph" w:styleId="List">
    <w:name w:val="List"/>
    <w:basedOn w:val="Normal"/>
    <w:rsid w:val="00D577E1"/>
    <w:pPr>
      <w:ind w:left="283" w:hanging="283"/>
    </w:pPr>
  </w:style>
  <w:style w:type="paragraph" w:styleId="List2">
    <w:name w:val="List 2"/>
    <w:basedOn w:val="Normal"/>
    <w:rsid w:val="00D577E1"/>
    <w:pPr>
      <w:ind w:left="566" w:hanging="283"/>
    </w:pPr>
  </w:style>
  <w:style w:type="paragraph" w:styleId="List3">
    <w:name w:val="List 3"/>
    <w:basedOn w:val="Normal"/>
    <w:rsid w:val="00D577E1"/>
    <w:pPr>
      <w:ind w:left="849" w:hanging="283"/>
    </w:pPr>
  </w:style>
  <w:style w:type="paragraph" w:styleId="List4">
    <w:name w:val="List 4"/>
    <w:basedOn w:val="Normal"/>
    <w:rsid w:val="00D577E1"/>
    <w:pPr>
      <w:ind w:left="1132" w:hanging="283"/>
    </w:pPr>
  </w:style>
  <w:style w:type="paragraph" w:styleId="List5">
    <w:name w:val="List 5"/>
    <w:basedOn w:val="Normal"/>
    <w:rsid w:val="00D577E1"/>
    <w:pPr>
      <w:ind w:left="1415" w:hanging="283"/>
    </w:pPr>
  </w:style>
  <w:style w:type="paragraph" w:styleId="ListNumber">
    <w:name w:val="List Number"/>
    <w:basedOn w:val="Normal"/>
    <w:rsid w:val="00D577E1"/>
    <w:pPr>
      <w:numPr>
        <w:numId w:val="1"/>
      </w:numPr>
    </w:pPr>
  </w:style>
  <w:style w:type="paragraph" w:styleId="ListNumber2">
    <w:name w:val="List Number 2"/>
    <w:basedOn w:val="Normal"/>
    <w:rsid w:val="00D577E1"/>
    <w:pPr>
      <w:numPr>
        <w:numId w:val="2"/>
      </w:numPr>
    </w:pPr>
  </w:style>
  <w:style w:type="paragraph" w:styleId="ListNumber3">
    <w:name w:val="List Number 3"/>
    <w:basedOn w:val="Normal"/>
    <w:rsid w:val="00D577E1"/>
    <w:pPr>
      <w:numPr>
        <w:numId w:val="3"/>
      </w:numPr>
    </w:pPr>
  </w:style>
  <w:style w:type="paragraph" w:styleId="ListNumber4">
    <w:name w:val="List Number 4"/>
    <w:basedOn w:val="Normal"/>
    <w:rsid w:val="00D577E1"/>
    <w:pPr>
      <w:numPr>
        <w:numId w:val="4"/>
      </w:numPr>
    </w:pPr>
  </w:style>
  <w:style w:type="paragraph" w:styleId="ListNumber5">
    <w:name w:val="List Number 5"/>
    <w:basedOn w:val="Normal"/>
    <w:rsid w:val="00D577E1"/>
    <w:pPr>
      <w:numPr>
        <w:numId w:val="5"/>
      </w:numPr>
    </w:pPr>
  </w:style>
  <w:style w:type="paragraph" w:styleId="ListBullet">
    <w:name w:val="List Bullet"/>
    <w:basedOn w:val="Normal"/>
    <w:autoRedefine/>
    <w:rsid w:val="00D577E1"/>
    <w:pPr>
      <w:numPr>
        <w:numId w:val="6"/>
      </w:numPr>
    </w:pPr>
  </w:style>
  <w:style w:type="paragraph" w:styleId="ListBullet2">
    <w:name w:val="List Bullet 2"/>
    <w:basedOn w:val="Normal"/>
    <w:autoRedefine/>
    <w:rsid w:val="00D577E1"/>
    <w:pPr>
      <w:numPr>
        <w:numId w:val="7"/>
      </w:numPr>
    </w:pPr>
  </w:style>
  <w:style w:type="paragraph" w:styleId="ListBullet3">
    <w:name w:val="List Bullet 3"/>
    <w:basedOn w:val="Normal"/>
    <w:autoRedefine/>
    <w:rsid w:val="00D577E1"/>
    <w:pPr>
      <w:numPr>
        <w:numId w:val="8"/>
      </w:numPr>
    </w:pPr>
  </w:style>
  <w:style w:type="paragraph" w:styleId="ListBullet4">
    <w:name w:val="List Bullet 4"/>
    <w:basedOn w:val="Normal"/>
    <w:autoRedefine/>
    <w:rsid w:val="00D577E1"/>
    <w:pPr>
      <w:numPr>
        <w:numId w:val="9"/>
      </w:numPr>
    </w:pPr>
  </w:style>
  <w:style w:type="paragraph" w:styleId="ListBullet5">
    <w:name w:val="List Bullet 5"/>
    <w:basedOn w:val="Normal"/>
    <w:autoRedefine/>
    <w:rsid w:val="00D577E1"/>
    <w:pPr>
      <w:numPr>
        <w:numId w:val="10"/>
      </w:numPr>
    </w:pPr>
  </w:style>
  <w:style w:type="paragraph" w:styleId="NormalWeb">
    <w:name w:val="Normal (Web)"/>
    <w:basedOn w:val="Normal"/>
    <w:uiPriority w:val="99"/>
    <w:rsid w:val="00D577E1"/>
  </w:style>
  <w:style w:type="paragraph" w:styleId="EnvelopeReturn">
    <w:name w:val="envelope return"/>
    <w:basedOn w:val="Normal"/>
    <w:rsid w:val="00D577E1"/>
    <w:rPr>
      <w:rFonts w:ascii="Arial" w:hAnsi="Arial" w:cs="Arial"/>
      <w:sz w:val="20"/>
      <w:szCs w:val="20"/>
    </w:rPr>
  </w:style>
  <w:style w:type="paragraph" w:styleId="Salutation">
    <w:name w:val="Salutation"/>
    <w:basedOn w:val="Normal"/>
    <w:next w:val="Normal"/>
    <w:rsid w:val="00D577E1"/>
  </w:style>
  <w:style w:type="paragraph" w:styleId="BodyTextIndent2">
    <w:name w:val="Body Text Indent 2"/>
    <w:basedOn w:val="Normal"/>
    <w:rsid w:val="00D577E1"/>
    <w:pPr>
      <w:spacing w:after="120" w:line="480" w:lineRule="auto"/>
      <w:ind w:left="283"/>
    </w:pPr>
  </w:style>
  <w:style w:type="paragraph" w:styleId="BodyTextIndent3">
    <w:name w:val="Body Text Indent 3"/>
    <w:basedOn w:val="Normal"/>
    <w:rsid w:val="00D577E1"/>
    <w:pPr>
      <w:spacing w:after="120"/>
      <w:ind w:left="283"/>
    </w:pPr>
    <w:rPr>
      <w:sz w:val="16"/>
      <w:szCs w:val="16"/>
    </w:rPr>
  </w:style>
  <w:style w:type="paragraph" w:styleId="BodyTextIndent">
    <w:name w:val="Body Text Indent"/>
    <w:basedOn w:val="Normal"/>
    <w:rsid w:val="00D577E1"/>
    <w:pPr>
      <w:spacing w:after="120"/>
      <w:ind w:left="283"/>
    </w:pPr>
  </w:style>
  <w:style w:type="paragraph" w:styleId="NormalIndent">
    <w:name w:val="Normal Indent"/>
    <w:basedOn w:val="Normal"/>
    <w:rsid w:val="00D577E1"/>
    <w:pPr>
      <w:ind w:left="708"/>
    </w:pPr>
  </w:style>
  <w:style w:type="paragraph" w:styleId="Subtitle">
    <w:name w:val="Subtitle"/>
    <w:basedOn w:val="Normal"/>
    <w:qFormat/>
    <w:rsid w:val="00D577E1"/>
    <w:pPr>
      <w:spacing w:after="60"/>
      <w:jc w:val="center"/>
      <w:outlineLvl w:val="1"/>
    </w:pPr>
    <w:rPr>
      <w:rFonts w:ascii="Arial" w:hAnsi="Arial" w:cs="Arial"/>
    </w:rPr>
  </w:style>
  <w:style w:type="paragraph" w:styleId="TableofFigures">
    <w:name w:val="table of figures"/>
    <w:basedOn w:val="Normal"/>
    <w:next w:val="Normal"/>
    <w:semiHidden/>
    <w:rsid w:val="00D577E1"/>
    <w:pPr>
      <w:ind w:left="480" w:hanging="480"/>
    </w:pPr>
  </w:style>
  <w:style w:type="paragraph" w:styleId="TOC1">
    <w:name w:val="toc 1"/>
    <w:basedOn w:val="Normal"/>
    <w:next w:val="Normal"/>
    <w:autoRedefine/>
    <w:uiPriority w:val="39"/>
    <w:rsid w:val="00D577E1"/>
  </w:style>
  <w:style w:type="paragraph" w:styleId="TOC2">
    <w:name w:val="toc 2"/>
    <w:basedOn w:val="Normal"/>
    <w:next w:val="Normal"/>
    <w:autoRedefine/>
    <w:uiPriority w:val="39"/>
    <w:rsid w:val="00257559"/>
    <w:pPr>
      <w:tabs>
        <w:tab w:val="right" w:leader="dot" w:pos="8494"/>
      </w:tabs>
    </w:pPr>
  </w:style>
  <w:style w:type="paragraph" w:styleId="TOC3">
    <w:name w:val="toc 3"/>
    <w:basedOn w:val="Normal"/>
    <w:next w:val="Normal"/>
    <w:autoRedefine/>
    <w:uiPriority w:val="39"/>
    <w:rsid w:val="00257559"/>
    <w:pPr>
      <w:tabs>
        <w:tab w:val="right" w:leader="dot" w:pos="8494"/>
      </w:tabs>
      <w:ind w:left="360"/>
    </w:pPr>
  </w:style>
  <w:style w:type="paragraph" w:styleId="TOC4">
    <w:name w:val="toc 4"/>
    <w:basedOn w:val="Normal"/>
    <w:next w:val="Normal"/>
    <w:autoRedefine/>
    <w:semiHidden/>
    <w:rsid w:val="00D577E1"/>
    <w:pPr>
      <w:ind w:left="720"/>
    </w:pPr>
  </w:style>
  <w:style w:type="paragraph" w:styleId="TOC5">
    <w:name w:val="toc 5"/>
    <w:basedOn w:val="Normal"/>
    <w:next w:val="Normal"/>
    <w:autoRedefine/>
    <w:semiHidden/>
    <w:rsid w:val="00D577E1"/>
    <w:pPr>
      <w:ind w:left="960"/>
    </w:pPr>
  </w:style>
  <w:style w:type="paragraph" w:styleId="TOC6">
    <w:name w:val="toc 6"/>
    <w:basedOn w:val="Normal"/>
    <w:next w:val="Normal"/>
    <w:autoRedefine/>
    <w:semiHidden/>
    <w:rsid w:val="00D577E1"/>
    <w:pPr>
      <w:ind w:left="1200"/>
    </w:pPr>
  </w:style>
  <w:style w:type="paragraph" w:styleId="TOC7">
    <w:name w:val="toc 7"/>
    <w:basedOn w:val="Normal"/>
    <w:next w:val="Normal"/>
    <w:autoRedefine/>
    <w:semiHidden/>
    <w:rsid w:val="00D577E1"/>
    <w:pPr>
      <w:ind w:left="1440"/>
    </w:pPr>
  </w:style>
  <w:style w:type="paragraph" w:styleId="TOC8">
    <w:name w:val="toc 8"/>
    <w:basedOn w:val="Normal"/>
    <w:next w:val="Normal"/>
    <w:autoRedefine/>
    <w:semiHidden/>
    <w:rsid w:val="00D577E1"/>
    <w:pPr>
      <w:ind w:left="1680"/>
    </w:pPr>
  </w:style>
  <w:style w:type="paragraph" w:styleId="TOC9">
    <w:name w:val="toc 9"/>
    <w:basedOn w:val="Normal"/>
    <w:next w:val="Normal"/>
    <w:autoRedefine/>
    <w:semiHidden/>
    <w:rsid w:val="00D577E1"/>
    <w:pPr>
      <w:ind w:left="1920"/>
    </w:pPr>
  </w:style>
  <w:style w:type="paragraph" w:styleId="TableofAuthorities">
    <w:name w:val="table of authorities"/>
    <w:basedOn w:val="Normal"/>
    <w:next w:val="Normal"/>
    <w:semiHidden/>
    <w:rsid w:val="00D577E1"/>
    <w:pPr>
      <w:ind w:left="240" w:hanging="240"/>
    </w:pPr>
  </w:style>
  <w:style w:type="paragraph" w:styleId="BlockText">
    <w:name w:val="Block Text"/>
    <w:basedOn w:val="Normal"/>
    <w:rsid w:val="00D577E1"/>
    <w:pPr>
      <w:spacing w:after="120"/>
      <w:ind w:left="1440" w:right="1440"/>
    </w:pPr>
  </w:style>
  <w:style w:type="paragraph" w:styleId="BalloonText">
    <w:name w:val="Balloon Text"/>
    <w:basedOn w:val="Normal"/>
    <w:link w:val="BalloonTextChar"/>
    <w:uiPriority w:val="99"/>
    <w:semiHidden/>
    <w:rsid w:val="00D577E1"/>
    <w:rPr>
      <w:rFonts w:ascii="Tahoma" w:hAnsi="Tahoma" w:cs="Tahoma"/>
      <w:sz w:val="16"/>
      <w:szCs w:val="16"/>
    </w:rPr>
  </w:style>
  <w:style w:type="paragraph" w:styleId="BodyText">
    <w:name w:val="Body Text"/>
    <w:basedOn w:val="Normal"/>
    <w:rsid w:val="00D577E1"/>
    <w:pPr>
      <w:spacing w:after="120"/>
    </w:pPr>
  </w:style>
  <w:style w:type="paragraph" w:styleId="BodyText2">
    <w:name w:val="Body Text 2"/>
    <w:basedOn w:val="Normal"/>
    <w:rsid w:val="00D577E1"/>
    <w:pPr>
      <w:spacing w:after="120" w:line="480" w:lineRule="auto"/>
    </w:pPr>
  </w:style>
  <w:style w:type="paragraph" w:styleId="BodyText3">
    <w:name w:val="Body Text 3"/>
    <w:basedOn w:val="Normal"/>
    <w:rsid w:val="00D577E1"/>
    <w:pPr>
      <w:spacing w:after="120"/>
    </w:pPr>
    <w:rPr>
      <w:sz w:val="16"/>
      <w:szCs w:val="16"/>
    </w:rPr>
  </w:style>
  <w:style w:type="paragraph" w:styleId="BodyTextFirstIndent">
    <w:name w:val="Body Text First Indent"/>
    <w:basedOn w:val="BodyText"/>
    <w:rsid w:val="00D577E1"/>
    <w:pPr>
      <w:ind w:firstLine="210"/>
    </w:pPr>
  </w:style>
  <w:style w:type="paragraph" w:styleId="BodyTextFirstIndent2">
    <w:name w:val="Body Text First Indent 2"/>
    <w:basedOn w:val="BodyTextIndent"/>
    <w:rsid w:val="00D577E1"/>
    <w:pPr>
      <w:ind w:firstLine="210"/>
    </w:pPr>
  </w:style>
  <w:style w:type="paragraph" w:styleId="MacroText">
    <w:name w:val="macro"/>
    <w:semiHidden/>
    <w:rsid w:val="00D577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sid w:val="00D577E1"/>
    <w:rPr>
      <w:sz w:val="20"/>
      <w:szCs w:val="20"/>
    </w:rPr>
  </w:style>
  <w:style w:type="paragraph" w:styleId="PlainText">
    <w:name w:val="Plain Text"/>
    <w:basedOn w:val="Normal"/>
    <w:rsid w:val="00D577E1"/>
    <w:rPr>
      <w:rFonts w:ascii="Courier New" w:hAnsi="Courier New" w:cs="Courier New"/>
      <w:sz w:val="20"/>
      <w:szCs w:val="20"/>
    </w:rPr>
  </w:style>
  <w:style w:type="paragraph" w:styleId="Title">
    <w:name w:val="Title"/>
    <w:basedOn w:val="Normal"/>
    <w:qFormat/>
    <w:rsid w:val="00D577E1"/>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sid w:val="00D577E1"/>
    <w:rPr>
      <w:rFonts w:ascii="Arial" w:hAnsi="Arial" w:cs="Arial"/>
      <w:b/>
      <w:bCs/>
    </w:rPr>
  </w:style>
  <w:style w:type="paragraph" w:customStyle="1" w:styleId="Epgrafe111">
    <w:name w:val="Epígrafe 1.1.1."/>
    <w:basedOn w:val="Heading4"/>
    <w:next w:val="Parrafo"/>
    <w:rsid w:val="00FA19F5"/>
    <w:pPr>
      <w:spacing w:before="120"/>
      <w:ind w:left="540"/>
    </w:pPr>
    <w:rPr>
      <w:rFonts w:ascii="Verdana" w:hAnsi="Verdana"/>
      <w:b w:val="0"/>
      <w:bCs w:val="0"/>
      <w:iCs/>
      <w:sz w:val="20"/>
    </w:rPr>
  </w:style>
  <w:style w:type="paragraph" w:customStyle="1" w:styleId="Tabla-grfico-pie">
    <w:name w:val="Tabla-gráfico - pie"/>
    <w:basedOn w:val="Normal"/>
    <w:rsid w:val="00A913E8"/>
    <w:pPr>
      <w:ind w:left="720" w:right="1124" w:hanging="11"/>
      <w:jc w:val="both"/>
    </w:pPr>
    <w:rPr>
      <w:rFonts w:ascii="Verdana" w:hAnsi="Verdana"/>
      <w:sz w:val="16"/>
      <w:szCs w:val="20"/>
    </w:rPr>
  </w:style>
  <w:style w:type="paragraph" w:customStyle="1" w:styleId="ListaUL">
    <w:name w:val="Lista UL"/>
    <w:basedOn w:val="Normal"/>
    <w:rsid w:val="0099702F"/>
    <w:pPr>
      <w:numPr>
        <w:numId w:val="11"/>
      </w:numPr>
      <w:spacing w:before="60" w:after="60"/>
      <w:ind w:left="714" w:hanging="357"/>
      <w:jc w:val="both"/>
    </w:pPr>
    <w:rPr>
      <w:rFonts w:ascii="Verdana" w:hAnsi="Verdana"/>
      <w:sz w:val="20"/>
    </w:rPr>
  </w:style>
  <w:style w:type="paragraph" w:styleId="Bibliography">
    <w:name w:val="Bibliography"/>
    <w:rsid w:val="002502AA"/>
    <w:pPr>
      <w:spacing w:before="120" w:after="120"/>
      <w:ind w:left="539" w:hanging="539"/>
    </w:pPr>
    <w:rPr>
      <w:rFonts w:ascii="Verdana" w:hAnsi="Verdana"/>
      <w:szCs w:val="24"/>
    </w:rPr>
  </w:style>
  <w:style w:type="paragraph" w:styleId="ListParagraph">
    <w:name w:val="List Paragraph"/>
    <w:basedOn w:val="Normal"/>
    <w:uiPriority w:val="34"/>
    <w:qFormat/>
    <w:rsid w:val="00BD6503"/>
    <w:pPr>
      <w:spacing w:after="200"/>
      <w:ind w:left="720"/>
      <w:contextualSpacing/>
    </w:pPr>
    <w:rPr>
      <w:rFonts w:asciiTheme="minorHAnsi" w:eastAsiaTheme="minorEastAsia" w:hAnsiTheme="minorHAnsi" w:cstheme="minorBidi"/>
      <w:lang w:val="en-US" w:eastAsia="ja-JP"/>
    </w:rPr>
  </w:style>
  <w:style w:type="character" w:customStyle="1" w:styleId="HTMLPreformattedChar">
    <w:name w:val="HTML Preformatted Char"/>
    <w:basedOn w:val="DefaultParagraphFont"/>
    <w:link w:val="HTMLPreformatted"/>
    <w:rsid w:val="00BD6503"/>
    <w:rPr>
      <w:rFonts w:ascii="Courier New" w:hAnsi="Courier New" w:cs="Courier New"/>
    </w:rPr>
  </w:style>
  <w:style w:type="character" w:customStyle="1" w:styleId="Heading2Char">
    <w:name w:val="Heading 2 Char"/>
    <w:basedOn w:val="DefaultParagraphFont"/>
    <w:link w:val="Heading2"/>
    <w:rsid w:val="00BD6503"/>
    <w:rPr>
      <w:rFonts w:ascii="Arial" w:hAnsi="Arial" w:cs="Arial"/>
      <w:b/>
      <w:bCs/>
      <w:i/>
      <w:iCs/>
      <w:sz w:val="28"/>
      <w:szCs w:val="28"/>
    </w:rPr>
  </w:style>
  <w:style w:type="character" w:styleId="Emphasis">
    <w:name w:val="Emphasis"/>
    <w:basedOn w:val="DefaultParagraphFont"/>
    <w:qFormat/>
    <w:rsid w:val="00BD6503"/>
    <w:rPr>
      <w:i/>
      <w:iCs/>
    </w:rPr>
  </w:style>
  <w:style w:type="character" w:customStyle="1" w:styleId="BalloonTextChar">
    <w:name w:val="Balloon Text Char"/>
    <w:basedOn w:val="DefaultParagraphFont"/>
    <w:link w:val="BalloonText"/>
    <w:uiPriority w:val="99"/>
    <w:semiHidden/>
    <w:rsid w:val="00BD6503"/>
    <w:rPr>
      <w:rFonts w:ascii="Tahoma" w:hAnsi="Tahoma" w:cs="Tahoma"/>
      <w:sz w:val="16"/>
      <w:szCs w:val="16"/>
    </w:rPr>
  </w:style>
  <w:style w:type="character" w:styleId="CommentReference">
    <w:name w:val="annotation reference"/>
    <w:basedOn w:val="DefaultParagraphFont"/>
    <w:uiPriority w:val="99"/>
    <w:semiHidden/>
    <w:unhideWhenUsed/>
    <w:rsid w:val="00BD6503"/>
    <w:rPr>
      <w:sz w:val="18"/>
      <w:szCs w:val="18"/>
    </w:rPr>
  </w:style>
  <w:style w:type="character" w:customStyle="1" w:styleId="CommentTextChar">
    <w:name w:val="Comment Text Char"/>
    <w:basedOn w:val="DefaultParagraphFont"/>
    <w:link w:val="CommentText"/>
    <w:uiPriority w:val="99"/>
    <w:semiHidden/>
    <w:rsid w:val="00BD6503"/>
  </w:style>
  <w:style w:type="character" w:customStyle="1" w:styleId="CommentSubjectChar">
    <w:name w:val="Comment Subject Char"/>
    <w:basedOn w:val="CommentTextChar"/>
    <w:link w:val="CommentSubject"/>
    <w:uiPriority w:val="99"/>
    <w:semiHidden/>
    <w:rsid w:val="00BD6503"/>
    <w:rPr>
      <w:b/>
      <w:bCs/>
    </w:rPr>
  </w:style>
  <w:style w:type="paragraph" w:styleId="Revision">
    <w:name w:val="Revision"/>
    <w:hidden/>
    <w:uiPriority w:val="99"/>
    <w:semiHidden/>
    <w:rsid w:val="00BD6503"/>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BD6503"/>
    <w:rPr>
      <w:sz w:val="24"/>
      <w:szCs w:val="24"/>
    </w:rPr>
  </w:style>
  <w:style w:type="character" w:styleId="FollowedHyperlink">
    <w:name w:val="FollowedHyperlink"/>
    <w:basedOn w:val="DefaultParagraphFont"/>
    <w:uiPriority w:val="99"/>
    <w:semiHidden/>
    <w:unhideWhenUsed/>
    <w:rsid w:val="00BD6503"/>
    <w:rPr>
      <w:color w:val="800080" w:themeColor="followedHyperlink"/>
      <w:u w:val="single"/>
    </w:rPr>
  </w:style>
  <w:style w:type="table" w:styleId="TableGrid">
    <w:name w:val="Table Grid"/>
    <w:basedOn w:val="TableNormal"/>
    <w:uiPriority w:val="59"/>
    <w:rsid w:val="00BD6503"/>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B214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info">
    <w:name w:val="info"/>
    <w:basedOn w:val="DefaultParagraphFont"/>
    <w:rsid w:val="00C249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18"/>
    <w:rPr>
      <w:sz w:val="24"/>
      <w:szCs w:val="24"/>
    </w:rPr>
  </w:style>
  <w:style w:type="paragraph" w:styleId="Heading1">
    <w:name w:val="heading 1"/>
    <w:basedOn w:val="Normal"/>
    <w:next w:val="Normal"/>
    <w:qFormat/>
    <w:rsid w:val="006C2B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2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7E1"/>
    <w:pPr>
      <w:keepNext/>
      <w:spacing w:before="240" w:after="60"/>
      <w:outlineLvl w:val="2"/>
    </w:pPr>
    <w:rPr>
      <w:rFonts w:ascii="Arial" w:hAnsi="Arial" w:cs="Arial"/>
      <w:b/>
      <w:bCs/>
      <w:sz w:val="26"/>
      <w:szCs w:val="26"/>
    </w:rPr>
  </w:style>
  <w:style w:type="paragraph" w:styleId="Heading4">
    <w:name w:val="heading 4"/>
    <w:basedOn w:val="Normal"/>
    <w:next w:val="Normal"/>
    <w:qFormat/>
    <w:rsid w:val="00D577E1"/>
    <w:pPr>
      <w:keepNext/>
      <w:spacing w:before="240" w:after="60"/>
      <w:outlineLvl w:val="3"/>
    </w:pPr>
    <w:rPr>
      <w:b/>
      <w:bCs/>
      <w:sz w:val="28"/>
      <w:szCs w:val="28"/>
    </w:rPr>
  </w:style>
  <w:style w:type="paragraph" w:styleId="Heading5">
    <w:name w:val="heading 5"/>
    <w:basedOn w:val="Normal"/>
    <w:next w:val="Normal"/>
    <w:qFormat/>
    <w:rsid w:val="00D577E1"/>
    <w:pPr>
      <w:spacing w:before="240" w:after="60"/>
      <w:outlineLvl w:val="4"/>
    </w:pPr>
    <w:rPr>
      <w:b/>
      <w:bCs/>
      <w:i/>
      <w:iCs/>
      <w:sz w:val="26"/>
      <w:szCs w:val="26"/>
    </w:rPr>
  </w:style>
  <w:style w:type="paragraph" w:styleId="Heading6">
    <w:name w:val="heading 6"/>
    <w:basedOn w:val="Normal"/>
    <w:next w:val="Normal"/>
    <w:qFormat/>
    <w:rsid w:val="00D577E1"/>
    <w:pPr>
      <w:spacing w:before="240" w:after="60"/>
      <w:outlineLvl w:val="5"/>
    </w:pPr>
    <w:rPr>
      <w:b/>
      <w:bCs/>
      <w:sz w:val="22"/>
      <w:szCs w:val="22"/>
    </w:rPr>
  </w:style>
  <w:style w:type="paragraph" w:styleId="Heading7">
    <w:name w:val="heading 7"/>
    <w:basedOn w:val="Normal"/>
    <w:next w:val="Normal"/>
    <w:qFormat/>
    <w:rsid w:val="00D577E1"/>
    <w:pPr>
      <w:spacing w:before="240" w:after="60"/>
      <w:outlineLvl w:val="6"/>
    </w:pPr>
  </w:style>
  <w:style w:type="paragraph" w:styleId="Heading8">
    <w:name w:val="heading 8"/>
    <w:basedOn w:val="Normal"/>
    <w:next w:val="Normal"/>
    <w:qFormat/>
    <w:rsid w:val="00D577E1"/>
    <w:pPr>
      <w:spacing w:before="240" w:after="60"/>
      <w:outlineLvl w:val="7"/>
    </w:pPr>
    <w:rPr>
      <w:i/>
      <w:iCs/>
    </w:rPr>
  </w:style>
  <w:style w:type="paragraph" w:styleId="Heading9">
    <w:name w:val="heading 9"/>
    <w:basedOn w:val="Normal"/>
    <w:next w:val="Normal"/>
    <w:qFormat/>
    <w:rsid w:val="00D577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 a pie"/>
    <w:uiPriority w:val="99"/>
    <w:rsid w:val="00671659"/>
    <w:rPr>
      <w:vertAlign w:val="superscript"/>
    </w:rPr>
  </w:style>
  <w:style w:type="paragraph" w:styleId="FootnoteText">
    <w:name w:val="footnote text"/>
    <w:aliases w:val="Nota a pie de página,Char Char Char, Char Char,single space"/>
    <w:basedOn w:val="Normal"/>
    <w:link w:val="FootnoteTextChar"/>
    <w:uiPriority w:val="99"/>
    <w:qFormat/>
    <w:rsid w:val="005A0758"/>
    <w:pPr>
      <w:jc w:val="both"/>
    </w:pPr>
    <w:rPr>
      <w:rFonts w:ascii="Verdana" w:hAnsi="Verdana"/>
    </w:rPr>
  </w:style>
  <w:style w:type="character" w:customStyle="1" w:styleId="FootnoteTextChar">
    <w:name w:val="Footnote Text Char"/>
    <w:aliases w:val="Nota a pie de página Char,Char Char Char Char, Char Char Char,single space Char"/>
    <w:link w:val="FootnoteText"/>
    <w:uiPriority w:val="99"/>
    <w:rsid w:val="008A50A7"/>
    <w:rPr>
      <w:rFonts w:ascii="Verdana" w:hAnsi="Verdana"/>
      <w:sz w:val="24"/>
      <w:szCs w:val="24"/>
      <w:lang w:val="es-ES" w:eastAsia="es-ES" w:bidi="ar-SA"/>
    </w:rPr>
  </w:style>
  <w:style w:type="character" w:styleId="Hyperlink">
    <w:name w:val="Hyperlink"/>
    <w:uiPriority w:val="99"/>
    <w:rsid w:val="00980118"/>
    <w:rPr>
      <w:color w:val="0000FF"/>
      <w:u w:val="single"/>
    </w:rPr>
  </w:style>
  <w:style w:type="paragraph" w:styleId="Header">
    <w:name w:val="header"/>
    <w:basedOn w:val="Normal"/>
    <w:link w:val="HeaderChar"/>
    <w:uiPriority w:val="99"/>
    <w:rsid w:val="000F5D3A"/>
    <w:pPr>
      <w:tabs>
        <w:tab w:val="center" w:pos="4252"/>
        <w:tab w:val="right" w:pos="8504"/>
      </w:tabs>
    </w:pPr>
  </w:style>
  <w:style w:type="paragraph" w:styleId="Footer">
    <w:name w:val="footer"/>
    <w:basedOn w:val="Normal"/>
    <w:link w:val="FooterChar"/>
    <w:uiPriority w:val="99"/>
    <w:rsid w:val="00CB5008"/>
    <w:pPr>
      <w:tabs>
        <w:tab w:val="center" w:pos="4252"/>
        <w:tab w:val="right" w:pos="8504"/>
      </w:tabs>
      <w:jc w:val="both"/>
    </w:pPr>
    <w:rPr>
      <w:rFonts w:ascii="Verdana" w:hAnsi="Verdana"/>
      <w:sz w:val="16"/>
    </w:rPr>
  </w:style>
  <w:style w:type="character" w:styleId="PageNumber">
    <w:name w:val="page number"/>
    <w:basedOn w:val="DefaultParagraphFont"/>
    <w:uiPriority w:val="99"/>
    <w:rsid w:val="000F5D3A"/>
  </w:style>
  <w:style w:type="character" w:styleId="EndnoteReference">
    <w:name w:val="endnote reference"/>
    <w:semiHidden/>
    <w:rsid w:val="00134E33"/>
    <w:rPr>
      <w:vertAlign w:val="superscript"/>
    </w:rPr>
  </w:style>
  <w:style w:type="paragraph" w:customStyle="1" w:styleId="Parrafo">
    <w:name w:val="Parrafo"/>
    <w:basedOn w:val="Normal"/>
    <w:rsid w:val="004A4469"/>
    <w:pPr>
      <w:spacing w:before="120" w:after="120"/>
      <w:jc w:val="both"/>
    </w:pPr>
    <w:rPr>
      <w:rFonts w:ascii="Verdana" w:hAnsi="Verdana"/>
      <w:sz w:val="20"/>
      <w:szCs w:val="20"/>
    </w:rPr>
  </w:style>
  <w:style w:type="paragraph" w:customStyle="1" w:styleId="citaparrafopropio">
    <w:name w:val="cita parrafo propio"/>
    <w:basedOn w:val="Parrafo"/>
    <w:rsid w:val="004A4469"/>
    <w:pPr>
      <w:ind w:left="851"/>
    </w:pPr>
    <w:rPr>
      <w:sz w:val="18"/>
    </w:rPr>
  </w:style>
  <w:style w:type="character" w:styleId="Strong">
    <w:name w:val="Strong"/>
    <w:qFormat/>
    <w:rsid w:val="000002D7"/>
    <w:rPr>
      <w:b/>
      <w:bCs/>
    </w:rPr>
  </w:style>
  <w:style w:type="paragraph" w:customStyle="1" w:styleId="Tabla-grficottulo">
    <w:name w:val="Tabla-gráfico: título"/>
    <w:basedOn w:val="Parrafo"/>
    <w:rsid w:val="00FB5E18"/>
    <w:pPr>
      <w:keepNext/>
      <w:jc w:val="center"/>
    </w:pPr>
    <w:rPr>
      <w:sz w:val="22"/>
    </w:rPr>
  </w:style>
  <w:style w:type="paragraph" w:customStyle="1" w:styleId="Epgrafe11">
    <w:name w:val="Epígrafe 1.1."/>
    <w:basedOn w:val="Heading3"/>
    <w:next w:val="Parrafo"/>
    <w:rsid w:val="00D317B8"/>
    <w:pPr>
      <w:spacing w:after="120"/>
      <w:ind w:left="357"/>
      <w:jc w:val="both"/>
    </w:pPr>
    <w:rPr>
      <w:rFonts w:ascii="Verdana" w:hAnsi="Verdana"/>
      <w:b w:val="0"/>
      <w:i/>
      <w:iCs/>
      <w:sz w:val="20"/>
      <w:szCs w:val="20"/>
    </w:rPr>
  </w:style>
  <w:style w:type="paragraph" w:customStyle="1" w:styleId="Ttuloartculo">
    <w:name w:val="Título artículo"/>
    <w:basedOn w:val="Title"/>
    <w:next w:val="Autorartculo"/>
    <w:rsid w:val="00D577E1"/>
    <w:pPr>
      <w:spacing w:before="360" w:after="120"/>
    </w:pPr>
    <w:rPr>
      <w:rFonts w:ascii="Verdana" w:hAnsi="Verdana"/>
      <w:bCs w:val="0"/>
      <w:sz w:val="24"/>
      <w:szCs w:val="24"/>
    </w:rPr>
  </w:style>
  <w:style w:type="paragraph" w:customStyle="1" w:styleId="Autorartculo">
    <w:name w:val="Autor artículo"/>
    <w:basedOn w:val="Normal"/>
    <w:rsid w:val="00D577E1"/>
    <w:pPr>
      <w:spacing w:before="240" w:after="240"/>
      <w:ind w:firstLine="709"/>
      <w:jc w:val="right"/>
    </w:pPr>
    <w:rPr>
      <w:rFonts w:ascii="Verdana" w:hAnsi="Verdana"/>
      <w:smallCaps/>
      <w:sz w:val="20"/>
      <w:szCs w:val="20"/>
    </w:rPr>
  </w:style>
  <w:style w:type="paragraph" w:customStyle="1" w:styleId="EstiloParrafoNegrita">
    <w:name w:val="Estilo Parrafo + Negrita"/>
    <w:basedOn w:val="Parrafo"/>
    <w:rsid w:val="004865D2"/>
    <w:rPr>
      <w:b/>
      <w:bCs/>
    </w:rPr>
  </w:style>
  <w:style w:type="character" w:customStyle="1" w:styleId="FooterChar">
    <w:name w:val="Footer Char"/>
    <w:link w:val="Footer"/>
    <w:uiPriority w:val="99"/>
    <w:rsid w:val="00217E7F"/>
    <w:rPr>
      <w:rFonts w:ascii="Verdana" w:hAnsi="Verdana"/>
      <w:sz w:val="16"/>
      <w:szCs w:val="24"/>
      <w:lang w:val="es-ES" w:eastAsia="es-ES" w:bidi="ar-SA"/>
    </w:rPr>
  </w:style>
  <w:style w:type="paragraph" w:customStyle="1" w:styleId="Epgrafe1">
    <w:name w:val="Epígrafe 1"/>
    <w:basedOn w:val="Heading2"/>
    <w:next w:val="Parrafo"/>
    <w:rsid w:val="00541C8F"/>
    <w:pPr>
      <w:spacing w:after="120"/>
      <w:jc w:val="both"/>
    </w:pPr>
    <w:rPr>
      <w:rFonts w:ascii="Verdana" w:hAnsi="Verdana"/>
      <w:bCs w:val="0"/>
      <w:i w:val="0"/>
      <w:sz w:val="20"/>
      <w:szCs w:val="20"/>
    </w:rPr>
  </w:style>
  <w:style w:type="paragraph" w:styleId="DocumentMap">
    <w:name w:val="Document Map"/>
    <w:basedOn w:val="Normal"/>
    <w:semiHidden/>
    <w:rsid w:val="006C2B65"/>
    <w:pPr>
      <w:shd w:val="clear" w:color="auto" w:fill="000080"/>
    </w:pPr>
    <w:rPr>
      <w:rFonts w:ascii="Tahoma" w:hAnsi="Tahoma" w:cs="Tahoma"/>
    </w:rPr>
  </w:style>
  <w:style w:type="paragraph" w:styleId="CommentText">
    <w:name w:val="annotation text"/>
    <w:basedOn w:val="Normal"/>
    <w:link w:val="CommentTextChar"/>
    <w:uiPriority w:val="99"/>
    <w:semiHidden/>
    <w:rsid w:val="00D577E1"/>
    <w:rPr>
      <w:sz w:val="20"/>
      <w:szCs w:val="20"/>
    </w:rPr>
  </w:style>
  <w:style w:type="paragraph" w:styleId="CommentSubject">
    <w:name w:val="annotation subject"/>
    <w:basedOn w:val="CommentText"/>
    <w:next w:val="CommentText"/>
    <w:link w:val="CommentSubjectChar"/>
    <w:uiPriority w:val="99"/>
    <w:semiHidden/>
    <w:rsid w:val="00D577E1"/>
    <w:rPr>
      <w:b/>
      <w:bCs/>
    </w:rPr>
  </w:style>
  <w:style w:type="paragraph" w:styleId="Closing">
    <w:name w:val="Closing"/>
    <w:basedOn w:val="Normal"/>
    <w:rsid w:val="00D577E1"/>
    <w:pPr>
      <w:ind w:left="4252"/>
    </w:pPr>
  </w:style>
  <w:style w:type="paragraph" w:styleId="ListContinue">
    <w:name w:val="List Continue"/>
    <w:basedOn w:val="Normal"/>
    <w:rsid w:val="00D577E1"/>
    <w:pPr>
      <w:spacing w:after="120"/>
      <w:ind w:left="283"/>
    </w:pPr>
  </w:style>
  <w:style w:type="paragraph" w:styleId="ListContinue2">
    <w:name w:val="List Continue 2"/>
    <w:basedOn w:val="Normal"/>
    <w:rsid w:val="00D577E1"/>
    <w:pPr>
      <w:spacing w:after="120"/>
      <w:ind w:left="566"/>
    </w:pPr>
  </w:style>
  <w:style w:type="paragraph" w:styleId="ListContinue3">
    <w:name w:val="List Continue 3"/>
    <w:basedOn w:val="Normal"/>
    <w:rsid w:val="00D577E1"/>
    <w:pPr>
      <w:spacing w:after="120"/>
      <w:ind w:left="849"/>
    </w:pPr>
  </w:style>
  <w:style w:type="paragraph" w:styleId="ListContinue4">
    <w:name w:val="List Continue 4"/>
    <w:basedOn w:val="Normal"/>
    <w:rsid w:val="00D577E1"/>
    <w:pPr>
      <w:spacing w:after="120"/>
      <w:ind w:left="1132"/>
    </w:pPr>
  </w:style>
  <w:style w:type="paragraph" w:styleId="ListContinue5">
    <w:name w:val="List Continue 5"/>
    <w:basedOn w:val="Normal"/>
    <w:rsid w:val="00D577E1"/>
    <w:pPr>
      <w:spacing w:after="120"/>
      <w:ind w:left="1415"/>
    </w:pPr>
  </w:style>
  <w:style w:type="paragraph" w:styleId="HTMLAddress">
    <w:name w:val="HTML Address"/>
    <w:basedOn w:val="Normal"/>
    <w:rsid w:val="00D577E1"/>
    <w:rPr>
      <w:i/>
      <w:iCs/>
    </w:rPr>
  </w:style>
  <w:style w:type="paragraph" w:styleId="EnvelopeAddress">
    <w:name w:val="envelope address"/>
    <w:basedOn w:val="Normal"/>
    <w:rsid w:val="00D577E1"/>
    <w:pPr>
      <w:framePr w:w="7920" w:h="1980" w:hRule="exact" w:hSpace="141" w:wrap="auto" w:hAnchor="page" w:xAlign="center" w:yAlign="bottom"/>
      <w:ind w:left="2880"/>
    </w:pPr>
    <w:rPr>
      <w:rFonts w:ascii="Arial" w:hAnsi="Arial" w:cs="Arial"/>
    </w:rPr>
  </w:style>
  <w:style w:type="paragraph" w:styleId="TOAHeading">
    <w:name w:val="toa heading"/>
    <w:basedOn w:val="Normal"/>
    <w:next w:val="Normal"/>
    <w:semiHidden/>
    <w:rsid w:val="00D577E1"/>
    <w:pPr>
      <w:spacing w:before="120"/>
    </w:pPr>
    <w:rPr>
      <w:rFonts w:ascii="Arial" w:hAnsi="Arial" w:cs="Arial"/>
      <w:b/>
      <w:bCs/>
    </w:rPr>
  </w:style>
  <w:style w:type="paragraph" w:styleId="MessageHeader">
    <w:name w:val="Message Header"/>
    <w:basedOn w:val="Normal"/>
    <w:rsid w:val="00D577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D577E1"/>
  </w:style>
  <w:style w:type="paragraph" w:styleId="Caption">
    <w:name w:val="caption"/>
    <w:basedOn w:val="Normal"/>
    <w:next w:val="Normal"/>
    <w:qFormat/>
    <w:rsid w:val="00D577E1"/>
    <w:pPr>
      <w:spacing w:before="120" w:after="120"/>
    </w:pPr>
    <w:rPr>
      <w:b/>
      <w:bCs/>
      <w:sz w:val="20"/>
      <w:szCs w:val="20"/>
    </w:rPr>
  </w:style>
  <w:style w:type="paragraph" w:styleId="Date">
    <w:name w:val="Date"/>
    <w:basedOn w:val="Normal"/>
    <w:next w:val="Normal"/>
    <w:rsid w:val="00D577E1"/>
  </w:style>
  <w:style w:type="paragraph" w:styleId="Signature">
    <w:name w:val="Signature"/>
    <w:basedOn w:val="Normal"/>
    <w:rsid w:val="00D577E1"/>
    <w:pPr>
      <w:ind w:left="4252"/>
    </w:pPr>
  </w:style>
  <w:style w:type="paragraph" w:styleId="E-mailSignature">
    <w:name w:val="E-mail Signature"/>
    <w:basedOn w:val="Normal"/>
    <w:rsid w:val="00D577E1"/>
  </w:style>
  <w:style w:type="paragraph" w:styleId="HTMLPreformatted">
    <w:name w:val="HTML Preformatted"/>
    <w:basedOn w:val="Normal"/>
    <w:link w:val="HTMLPreformattedChar"/>
    <w:rsid w:val="00D577E1"/>
    <w:rPr>
      <w:rFonts w:ascii="Courier New" w:hAnsi="Courier New" w:cs="Courier New"/>
      <w:sz w:val="20"/>
      <w:szCs w:val="20"/>
    </w:rPr>
  </w:style>
  <w:style w:type="paragraph" w:styleId="Index1">
    <w:name w:val="index 1"/>
    <w:basedOn w:val="Normal"/>
    <w:next w:val="Normal"/>
    <w:autoRedefine/>
    <w:semiHidden/>
    <w:rsid w:val="00D577E1"/>
    <w:pPr>
      <w:ind w:left="240" w:hanging="240"/>
    </w:pPr>
  </w:style>
  <w:style w:type="paragraph" w:styleId="Index2">
    <w:name w:val="index 2"/>
    <w:basedOn w:val="Normal"/>
    <w:next w:val="Normal"/>
    <w:autoRedefine/>
    <w:semiHidden/>
    <w:rsid w:val="00D577E1"/>
    <w:pPr>
      <w:ind w:left="480" w:hanging="240"/>
    </w:pPr>
  </w:style>
  <w:style w:type="paragraph" w:styleId="Index3">
    <w:name w:val="index 3"/>
    <w:basedOn w:val="Normal"/>
    <w:next w:val="Normal"/>
    <w:autoRedefine/>
    <w:semiHidden/>
    <w:rsid w:val="00D577E1"/>
    <w:pPr>
      <w:ind w:left="720" w:hanging="240"/>
    </w:pPr>
  </w:style>
  <w:style w:type="paragraph" w:styleId="Index4">
    <w:name w:val="index 4"/>
    <w:basedOn w:val="Normal"/>
    <w:next w:val="Normal"/>
    <w:autoRedefine/>
    <w:semiHidden/>
    <w:rsid w:val="00D577E1"/>
    <w:pPr>
      <w:ind w:left="960" w:hanging="240"/>
    </w:pPr>
  </w:style>
  <w:style w:type="paragraph" w:styleId="Index5">
    <w:name w:val="index 5"/>
    <w:basedOn w:val="Normal"/>
    <w:next w:val="Normal"/>
    <w:autoRedefine/>
    <w:semiHidden/>
    <w:rsid w:val="00D577E1"/>
    <w:pPr>
      <w:ind w:left="1200" w:hanging="240"/>
    </w:pPr>
  </w:style>
  <w:style w:type="paragraph" w:styleId="Index6">
    <w:name w:val="index 6"/>
    <w:basedOn w:val="Normal"/>
    <w:next w:val="Normal"/>
    <w:autoRedefine/>
    <w:semiHidden/>
    <w:rsid w:val="00D577E1"/>
    <w:pPr>
      <w:ind w:left="1440" w:hanging="240"/>
    </w:pPr>
  </w:style>
  <w:style w:type="paragraph" w:styleId="Index7">
    <w:name w:val="index 7"/>
    <w:basedOn w:val="Normal"/>
    <w:next w:val="Normal"/>
    <w:autoRedefine/>
    <w:semiHidden/>
    <w:rsid w:val="00D577E1"/>
    <w:pPr>
      <w:ind w:left="1680" w:hanging="240"/>
    </w:pPr>
  </w:style>
  <w:style w:type="paragraph" w:styleId="Index8">
    <w:name w:val="index 8"/>
    <w:basedOn w:val="Normal"/>
    <w:next w:val="Normal"/>
    <w:autoRedefine/>
    <w:semiHidden/>
    <w:rsid w:val="00D577E1"/>
    <w:pPr>
      <w:ind w:left="1920" w:hanging="240"/>
    </w:pPr>
  </w:style>
  <w:style w:type="paragraph" w:styleId="Index9">
    <w:name w:val="index 9"/>
    <w:basedOn w:val="Normal"/>
    <w:next w:val="Normal"/>
    <w:autoRedefine/>
    <w:semiHidden/>
    <w:rsid w:val="00D577E1"/>
    <w:pPr>
      <w:ind w:left="2160" w:hanging="240"/>
    </w:pPr>
  </w:style>
  <w:style w:type="paragraph" w:styleId="List">
    <w:name w:val="List"/>
    <w:basedOn w:val="Normal"/>
    <w:rsid w:val="00D577E1"/>
    <w:pPr>
      <w:ind w:left="283" w:hanging="283"/>
    </w:pPr>
  </w:style>
  <w:style w:type="paragraph" w:styleId="List2">
    <w:name w:val="List 2"/>
    <w:basedOn w:val="Normal"/>
    <w:rsid w:val="00D577E1"/>
    <w:pPr>
      <w:ind w:left="566" w:hanging="283"/>
    </w:pPr>
  </w:style>
  <w:style w:type="paragraph" w:styleId="List3">
    <w:name w:val="List 3"/>
    <w:basedOn w:val="Normal"/>
    <w:rsid w:val="00D577E1"/>
    <w:pPr>
      <w:ind w:left="849" w:hanging="283"/>
    </w:pPr>
  </w:style>
  <w:style w:type="paragraph" w:styleId="List4">
    <w:name w:val="List 4"/>
    <w:basedOn w:val="Normal"/>
    <w:rsid w:val="00D577E1"/>
    <w:pPr>
      <w:ind w:left="1132" w:hanging="283"/>
    </w:pPr>
  </w:style>
  <w:style w:type="paragraph" w:styleId="List5">
    <w:name w:val="List 5"/>
    <w:basedOn w:val="Normal"/>
    <w:rsid w:val="00D577E1"/>
    <w:pPr>
      <w:ind w:left="1415" w:hanging="283"/>
    </w:pPr>
  </w:style>
  <w:style w:type="paragraph" w:styleId="ListNumber">
    <w:name w:val="List Number"/>
    <w:basedOn w:val="Normal"/>
    <w:rsid w:val="00D577E1"/>
    <w:pPr>
      <w:numPr>
        <w:numId w:val="1"/>
      </w:numPr>
    </w:pPr>
  </w:style>
  <w:style w:type="paragraph" w:styleId="ListNumber2">
    <w:name w:val="List Number 2"/>
    <w:basedOn w:val="Normal"/>
    <w:rsid w:val="00D577E1"/>
    <w:pPr>
      <w:numPr>
        <w:numId w:val="2"/>
      </w:numPr>
    </w:pPr>
  </w:style>
  <w:style w:type="paragraph" w:styleId="ListNumber3">
    <w:name w:val="List Number 3"/>
    <w:basedOn w:val="Normal"/>
    <w:rsid w:val="00D577E1"/>
    <w:pPr>
      <w:numPr>
        <w:numId w:val="3"/>
      </w:numPr>
    </w:pPr>
  </w:style>
  <w:style w:type="paragraph" w:styleId="ListNumber4">
    <w:name w:val="List Number 4"/>
    <w:basedOn w:val="Normal"/>
    <w:rsid w:val="00D577E1"/>
    <w:pPr>
      <w:numPr>
        <w:numId w:val="4"/>
      </w:numPr>
    </w:pPr>
  </w:style>
  <w:style w:type="paragraph" w:styleId="ListNumber5">
    <w:name w:val="List Number 5"/>
    <w:basedOn w:val="Normal"/>
    <w:rsid w:val="00D577E1"/>
    <w:pPr>
      <w:numPr>
        <w:numId w:val="5"/>
      </w:numPr>
    </w:pPr>
  </w:style>
  <w:style w:type="paragraph" w:styleId="ListBullet">
    <w:name w:val="List Bullet"/>
    <w:basedOn w:val="Normal"/>
    <w:autoRedefine/>
    <w:rsid w:val="00D577E1"/>
    <w:pPr>
      <w:numPr>
        <w:numId w:val="6"/>
      </w:numPr>
    </w:pPr>
  </w:style>
  <w:style w:type="paragraph" w:styleId="ListBullet2">
    <w:name w:val="List Bullet 2"/>
    <w:basedOn w:val="Normal"/>
    <w:autoRedefine/>
    <w:rsid w:val="00D577E1"/>
    <w:pPr>
      <w:numPr>
        <w:numId w:val="7"/>
      </w:numPr>
    </w:pPr>
  </w:style>
  <w:style w:type="paragraph" w:styleId="ListBullet3">
    <w:name w:val="List Bullet 3"/>
    <w:basedOn w:val="Normal"/>
    <w:autoRedefine/>
    <w:rsid w:val="00D577E1"/>
    <w:pPr>
      <w:numPr>
        <w:numId w:val="8"/>
      </w:numPr>
    </w:pPr>
  </w:style>
  <w:style w:type="paragraph" w:styleId="ListBullet4">
    <w:name w:val="List Bullet 4"/>
    <w:basedOn w:val="Normal"/>
    <w:autoRedefine/>
    <w:rsid w:val="00D577E1"/>
    <w:pPr>
      <w:numPr>
        <w:numId w:val="9"/>
      </w:numPr>
    </w:pPr>
  </w:style>
  <w:style w:type="paragraph" w:styleId="ListBullet5">
    <w:name w:val="List Bullet 5"/>
    <w:basedOn w:val="Normal"/>
    <w:autoRedefine/>
    <w:rsid w:val="00D577E1"/>
    <w:pPr>
      <w:numPr>
        <w:numId w:val="10"/>
      </w:numPr>
    </w:pPr>
  </w:style>
  <w:style w:type="paragraph" w:styleId="NormalWeb">
    <w:name w:val="Normal (Web)"/>
    <w:basedOn w:val="Normal"/>
    <w:uiPriority w:val="99"/>
    <w:rsid w:val="00D577E1"/>
  </w:style>
  <w:style w:type="paragraph" w:styleId="EnvelopeReturn">
    <w:name w:val="envelope return"/>
    <w:basedOn w:val="Normal"/>
    <w:rsid w:val="00D577E1"/>
    <w:rPr>
      <w:rFonts w:ascii="Arial" w:hAnsi="Arial" w:cs="Arial"/>
      <w:sz w:val="20"/>
      <w:szCs w:val="20"/>
    </w:rPr>
  </w:style>
  <w:style w:type="paragraph" w:styleId="Salutation">
    <w:name w:val="Salutation"/>
    <w:basedOn w:val="Normal"/>
    <w:next w:val="Normal"/>
    <w:rsid w:val="00D577E1"/>
  </w:style>
  <w:style w:type="paragraph" w:styleId="BodyTextIndent2">
    <w:name w:val="Body Text Indent 2"/>
    <w:basedOn w:val="Normal"/>
    <w:rsid w:val="00D577E1"/>
    <w:pPr>
      <w:spacing w:after="120" w:line="480" w:lineRule="auto"/>
      <w:ind w:left="283"/>
    </w:pPr>
  </w:style>
  <w:style w:type="paragraph" w:styleId="BodyTextIndent3">
    <w:name w:val="Body Text Indent 3"/>
    <w:basedOn w:val="Normal"/>
    <w:rsid w:val="00D577E1"/>
    <w:pPr>
      <w:spacing w:after="120"/>
      <w:ind w:left="283"/>
    </w:pPr>
    <w:rPr>
      <w:sz w:val="16"/>
      <w:szCs w:val="16"/>
    </w:rPr>
  </w:style>
  <w:style w:type="paragraph" w:styleId="BodyTextIndent">
    <w:name w:val="Body Text Indent"/>
    <w:basedOn w:val="Normal"/>
    <w:rsid w:val="00D577E1"/>
    <w:pPr>
      <w:spacing w:after="120"/>
      <w:ind w:left="283"/>
    </w:pPr>
  </w:style>
  <w:style w:type="paragraph" w:styleId="NormalIndent">
    <w:name w:val="Normal Indent"/>
    <w:basedOn w:val="Normal"/>
    <w:rsid w:val="00D577E1"/>
    <w:pPr>
      <w:ind w:left="708"/>
    </w:pPr>
  </w:style>
  <w:style w:type="paragraph" w:styleId="Subtitle">
    <w:name w:val="Subtitle"/>
    <w:basedOn w:val="Normal"/>
    <w:qFormat/>
    <w:rsid w:val="00D577E1"/>
    <w:pPr>
      <w:spacing w:after="60"/>
      <w:jc w:val="center"/>
      <w:outlineLvl w:val="1"/>
    </w:pPr>
    <w:rPr>
      <w:rFonts w:ascii="Arial" w:hAnsi="Arial" w:cs="Arial"/>
    </w:rPr>
  </w:style>
  <w:style w:type="paragraph" w:styleId="TableofFigures">
    <w:name w:val="table of figures"/>
    <w:basedOn w:val="Normal"/>
    <w:next w:val="Normal"/>
    <w:semiHidden/>
    <w:rsid w:val="00D577E1"/>
    <w:pPr>
      <w:ind w:left="480" w:hanging="480"/>
    </w:pPr>
  </w:style>
  <w:style w:type="paragraph" w:styleId="TOC1">
    <w:name w:val="toc 1"/>
    <w:basedOn w:val="Normal"/>
    <w:next w:val="Normal"/>
    <w:autoRedefine/>
    <w:uiPriority w:val="39"/>
    <w:rsid w:val="00D577E1"/>
  </w:style>
  <w:style w:type="paragraph" w:styleId="TOC2">
    <w:name w:val="toc 2"/>
    <w:basedOn w:val="Normal"/>
    <w:next w:val="Normal"/>
    <w:autoRedefine/>
    <w:uiPriority w:val="39"/>
    <w:rsid w:val="00257559"/>
    <w:pPr>
      <w:tabs>
        <w:tab w:val="right" w:leader="dot" w:pos="8494"/>
      </w:tabs>
    </w:pPr>
  </w:style>
  <w:style w:type="paragraph" w:styleId="TOC3">
    <w:name w:val="toc 3"/>
    <w:basedOn w:val="Normal"/>
    <w:next w:val="Normal"/>
    <w:autoRedefine/>
    <w:uiPriority w:val="39"/>
    <w:rsid w:val="00257559"/>
    <w:pPr>
      <w:tabs>
        <w:tab w:val="right" w:leader="dot" w:pos="8494"/>
      </w:tabs>
      <w:ind w:left="360"/>
    </w:pPr>
  </w:style>
  <w:style w:type="paragraph" w:styleId="TOC4">
    <w:name w:val="toc 4"/>
    <w:basedOn w:val="Normal"/>
    <w:next w:val="Normal"/>
    <w:autoRedefine/>
    <w:semiHidden/>
    <w:rsid w:val="00D577E1"/>
    <w:pPr>
      <w:ind w:left="720"/>
    </w:pPr>
  </w:style>
  <w:style w:type="paragraph" w:styleId="TOC5">
    <w:name w:val="toc 5"/>
    <w:basedOn w:val="Normal"/>
    <w:next w:val="Normal"/>
    <w:autoRedefine/>
    <w:semiHidden/>
    <w:rsid w:val="00D577E1"/>
    <w:pPr>
      <w:ind w:left="960"/>
    </w:pPr>
  </w:style>
  <w:style w:type="paragraph" w:styleId="TOC6">
    <w:name w:val="toc 6"/>
    <w:basedOn w:val="Normal"/>
    <w:next w:val="Normal"/>
    <w:autoRedefine/>
    <w:semiHidden/>
    <w:rsid w:val="00D577E1"/>
    <w:pPr>
      <w:ind w:left="1200"/>
    </w:pPr>
  </w:style>
  <w:style w:type="paragraph" w:styleId="TOC7">
    <w:name w:val="toc 7"/>
    <w:basedOn w:val="Normal"/>
    <w:next w:val="Normal"/>
    <w:autoRedefine/>
    <w:semiHidden/>
    <w:rsid w:val="00D577E1"/>
    <w:pPr>
      <w:ind w:left="1440"/>
    </w:pPr>
  </w:style>
  <w:style w:type="paragraph" w:styleId="TOC8">
    <w:name w:val="toc 8"/>
    <w:basedOn w:val="Normal"/>
    <w:next w:val="Normal"/>
    <w:autoRedefine/>
    <w:semiHidden/>
    <w:rsid w:val="00D577E1"/>
    <w:pPr>
      <w:ind w:left="1680"/>
    </w:pPr>
  </w:style>
  <w:style w:type="paragraph" w:styleId="TOC9">
    <w:name w:val="toc 9"/>
    <w:basedOn w:val="Normal"/>
    <w:next w:val="Normal"/>
    <w:autoRedefine/>
    <w:semiHidden/>
    <w:rsid w:val="00D577E1"/>
    <w:pPr>
      <w:ind w:left="1920"/>
    </w:pPr>
  </w:style>
  <w:style w:type="paragraph" w:styleId="TableofAuthorities">
    <w:name w:val="table of authorities"/>
    <w:basedOn w:val="Normal"/>
    <w:next w:val="Normal"/>
    <w:semiHidden/>
    <w:rsid w:val="00D577E1"/>
    <w:pPr>
      <w:ind w:left="240" w:hanging="240"/>
    </w:pPr>
  </w:style>
  <w:style w:type="paragraph" w:styleId="BlockText">
    <w:name w:val="Block Text"/>
    <w:basedOn w:val="Normal"/>
    <w:rsid w:val="00D577E1"/>
    <w:pPr>
      <w:spacing w:after="120"/>
      <w:ind w:left="1440" w:right="1440"/>
    </w:pPr>
  </w:style>
  <w:style w:type="paragraph" w:styleId="BalloonText">
    <w:name w:val="Balloon Text"/>
    <w:basedOn w:val="Normal"/>
    <w:link w:val="BalloonTextChar"/>
    <w:uiPriority w:val="99"/>
    <w:semiHidden/>
    <w:rsid w:val="00D577E1"/>
    <w:rPr>
      <w:rFonts w:ascii="Tahoma" w:hAnsi="Tahoma" w:cs="Tahoma"/>
      <w:sz w:val="16"/>
      <w:szCs w:val="16"/>
    </w:rPr>
  </w:style>
  <w:style w:type="paragraph" w:styleId="BodyText">
    <w:name w:val="Body Text"/>
    <w:basedOn w:val="Normal"/>
    <w:rsid w:val="00D577E1"/>
    <w:pPr>
      <w:spacing w:after="120"/>
    </w:pPr>
  </w:style>
  <w:style w:type="paragraph" w:styleId="BodyText2">
    <w:name w:val="Body Text 2"/>
    <w:basedOn w:val="Normal"/>
    <w:rsid w:val="00D577E1"/>
    <w:pPr>
      <w:spacing w:after="120" w:line="480" w:lineRule="auto"/>
    </w:pPr>
  </w:style>
  <w:style w:type="paragraph" w:styleId="BodyText3">
    <w:name w:val="Body Text 3"/>
    <w:basedOn w:val="Normal"/>
    <w:rsid w:val="00D577E1"/>
    <w:pPr>
      <w:spacing w:after="120"/>
    </w:pPr>
    <w:rPr>
      <w:sz w:val="16"/>
      <w:szCs w:val="16"/>
    </w:rPr>
  </w:style>
  <w:style w:type="paragraph" w:styleId="BodyTextFirstIndent">
    <w:name w:val="Body Text First Indent"/>
    <w:basedOn w:val="BodyText"/>
    <w:rsid w:val="00D577E1"/>
    <w:pPr>
      <w:ind w:firstLine="210"/>
    </w:pPr>
  </w:style>
  <w:style w:type="paragraph" w:styleId="BodyTextFirstIndent2">
    <w:name w:val="Body Text First Indent 2"/>
    <w:basedOn w:val="BodyTextIndent"/>
    <w:rsid w:val="00D577E1"/>
    <w:pPr>
      <w:ind w:firstLine="210"/>
    </w:pPr>
  </w:style>
  <w:style w:type="paragraph" w:styleId="MacroText">
    <w:name w:val="macro"/>
    <w:semiHidden/>
    <w:rsid w:val="00D577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sid w:val="00D577E1"/>
    <w:rPr>
      <w:sz w:val="20"/>
      <w:szCs w:val="20"/>
    </w:rPr>
  </w:style>
  <w:style w:type="paragraph" w:styleId="PlainText">
    <w:name w:val="Plain Text"/>
    <w:basedOn w:val="Normal"/>
    <w:rsid w:val="00D577E1"/>
    <w:rPr>
      <w:rFonts w:ascii="Courier New" w:hAnsi="Courier New" w:cs="Courier New"/>
      <w:sz w:val="20"/>
      <w:szCs w:val="20"/>
    </w:rPr>
  </w:style>
  <w:style w:type="paragraph" w:styleId="Title">
    <w:name w:val="Title"/>
    <w:basedOn w:val="Normal"/>
    <w:qFormat/>
    <w:rsid w:val="00D577E1"/>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sid w:val="00D577E1"/>
    <w:rPr>
      <w:rFonts w:ascii="Arial" w:hAnsi="Arial" w:cs="Arial"/>
      <w:b/>
      <w:bCs/>
    </w:rPr>
  </w:style>
  <w:style w:type="paragraph" w:customStyle="1" w:styleId="Epgrafe111">
    <w:name w:val="Epígrafe 1.1.1."/>
    <w:basedOn w:val="Heading4"/>
    <w:next w:val="Parrafo"/>
    <w:rsid w:val="00FA19F5"/>
    <w:pPr>
      <w:spacing w:before="120"/>
      <w:ind w:left="540"/>
    </w:pPr>
    <w:rPr>
      <w:rFonts w:ascii="Verdana" w:hAnsi="Verdana"/>
      <w:b w:val="0"/>
      <w:bCs w:val="0"/>
      <w:iCs/>
      <w:sz w:val="20"/>
    </w:rPr>
  </w:style>
  <w:style w:type="paragraph" w:customStyle="1" w:styleId="Tabla-grfico-pie">
    <w:name w:val="Tabla-gráfico - pie"/>
    <w:basedOn w:val="Normal"/>
    <w:rsid w:val="00A913E8"/>
    <w:pPr>
      <w:ind w:left="720" w:right="1124" w:hanging="11"/>
      <w:jc w:val="both"/>
    </w:pPr>
    <w:rPr>
      <w:rFonts w:ascii="Verdana" w:hAnsi="Verdana"/>
      <w:sz w:val="16"/>
      <w:szCs w:val="20"/>
    </w:rPr>
  </w:style>
  <w:style w:type="paragraph" w:customStyle="1" w:styleId="ListaUL">
    <w:name w:val="Lista UL"/>
    <w:basedOn w:val="Normal"/>
    <w:rsid w:val="0099702F"/>
    <w:pPr>
      <w:numPr>
        <w:numId w:val="11"/>
      </w:numPr>
      <w:spacing w:before="60" w:after="60"/>
      <w:ind w:left="714" w:hanging="357"/>
      <w:jc w:val="both"/>
    </w:pPr>
    <w:rPr>
      <w:rFonts w:ascii="Verdana" w:hAnsi="Verdana"/>
      <w:sz w:val="20"/>
    </w:rPr>
  </w:style>
  <w:style w:type="paragraph" w:styleId="Bibliography">
    <w:name w:val="Bibliography"/>
    <w:rsid w:val="002502AA"/>
    <w:pPr>
      <w:spacing w:before="120" w:after="120"/>
      <w:ind w:left="539" w:hanging="539"/>
    </w:pPr>
    <w:rPr>
      <w:rFonts w:ascii="Verdana" w:hAnsi="Verdana"/>
      <w:szCs w:val="24"/>
    </w:rPr>
  </w:style>
  <w:style w:type="paragraph" w:styleId="ListParagraph">
    <w:name w:val="List Paragraph"/>
    <w:basedOn w:val="Normal"/>
    <w:uiPriority w:val="34"/>
    <w:qFormat/>
    <w:rsid w:val="00BD6503"/>
    <w:pPr>
      <w:spacing w:after="200"/>
      <w:ind w:left="720"/>
      <w:contextualSpacing/>
    </w:pPr>
    <w:rPr>
      <w:rFonts w:asciiTheme="minorHAnsi" w:eastAsiaTheme="minorEastAsia" w:hAnsiTheme="minorHAnsi" w:cstheme="minorBidi"/>
      <w:lang w:val="en-US" w:eastAsia="ja-JP"/>
    </w:rPr>
  </w:style>
  <w:style w:type="character" w:customStyle="1" w:styleId="HTMLPreformattedChar">
    <w:name w:val="HTML Preformatted Char"/>
    <w:basedOn w:val="DefaultParagraphFont"/>
    <w:link w:val="HTMLPreformatted"/>
    <w:rsid w:val="00BD6503"/>
    <w:rPr>
      <w:rFonts w:ascii="Courier New" w:hAnsi="Courier New" w:cs="Courier New"/>
    </w:rPr>
  </w:style>
  <w:style w:type="character" w:customStyle="1" w:styleId="Heading2Char">
    <w:name w:val="Heading 2 Char"/>
    <w:basedOn w:val="DefaultParagraphFont"/>
    <w:link w:val="Heading2"/>
    <w:rsid w:val="00BD6503"/>
    <w:rPr>
      <w:rFonts w:ascii="Arial" w:hAnsi="Arial" w:cs="Arial"/>
      <w:b/>
      <w:bCs/>
      <w:i/>
      <w:iCs/>
      <w:sz w:val="28"/>
      <w:szCs w:val="28"/>
    </w:rPr>
  </w:style>
  <w:style w:type="character" w:styleId="Emphasis">
    <w:name w:val="Emphasis"/>
    <w:basedOn w:val="DefaultParagraphFont"/>
    <w:qFormat/>
    <w:rsid w:val="00BD6503"/>
    <w:rPr>
      <w:i/>
      <w:iCs/>
    </w:rPr>
  </w:style>
  <w:style w:type="character" w:customStyle="1" w:styleId="BalloonTextChar">
    <w:name w:val="Balloon Text Char"/>
    <w:basedOn w:val="DefaultParagraphFont"/>
    <w:link w:val="BalloonText"/>
    <w:uiPriority w:val="99"/>
    <w:semiHidden/>
    <w:rsid w:val="00BD6503"/>
    <w:rPr>
      <w:rFonts w:ascii="Tahoma" w:hAnsi="Tahoma" w:cs="Tahoma"/>
      <w:sz w:val="16"/>
      <w:szCs w:val="16"/>
    </w:rPr>
  </w:style>
  <w:style w:type="character" w:styleId="CommentReference">
    <w:name w:val="annotation reference"/>
    <w:basedOn w:val="DefaultParagraphFont"/>
    <w:uiPriority w:val="99"/>
    <w:semiHidden/>
    <w:unhideWhenUsed/>
    <w:rsid w:val="00BD6503"/>
    <w:rPr>
      <w:sz w:val="18"/>
      <w:szCs w:val="18"/>
    </w:rPr>
  </w:style>
  <w:style w:type="character" w:customStyle="1" w:styleId="CommentTextChar">
    <w:name w:val="Comment Text Char"/>
    <w:basedOn w:val="DefaultParagraphFont"/>
    <w:link w:val="CommentText"/>
    <w:uiPriority w:val="99"/>
    <w:semiHidden/>
    <w:rsid w:val="00BD6503"/>
  </w:style>
  <w:style w:type="character" w:customStyle="1" w:styleId="CommentSubjectChar">
    <w:name w:val="Comment Subject Char"/>
    <w:basedOn w:val="CommentTextChar"/>
    <w:link w:val="CommentSubject"/>
    <w:uiPriority w:val="99"/>
    <w:semiHidden/>
    <w:rsid w:val="00BD6503"/>
    <w:rPr>
      <w:b/>
      <w:bCs/>
    </w:rPr>
  </w:style>
  <w:style w:type="paragraph" w:styleId="Revision">
    <w:name w:val="Revision"/>
    <w:hidden/>
    <w:uiPriority w:val="99"/>
    <w:semiHidden/>
    <w:rsid w:val="00BD6503"/>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BD6503"/>
    <w:rPr>
      <w:sz w:val="24"/>
      <w:szCs w:val="24"/>
    </w:rPr>
  </w:style>
  <w:style w:type="character" w:styleId="FollowedHyperlink">
    <w:name w:val="FollowedHyperlink"/>
    <w:basedOn w:val="DefaultParagraphFont"/>
    <w:uiPriority w:val="99"/>
    <w:semiHidden/>
    <w:unhideWhenUsed/>
    <w:rsid w:val="00BD6503"/>
    <w:rPr>
      <w:color w:val="800080" w:themeColor="followedHyperlink"/>
      <w:u w:val="single"/>
    </w:rPr>
  </w:style>
  <w:style w:type="table" w:styleId="TableGrid">
    <w:name w:val="Table Grid"/>
    <w:basedOn w:val="TableNormal"/>
    <w:uiPriority w:val="59"/>
    <w:rsid w:val="00BD6503"/>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B2144"/>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info">
    <w:name w:val="info"/>
    <w:basedOn w:val="DefaultParagraphFont"/>
    <w:rsid w:val="00C2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4.jpg"/><Relationship Id="rId18" Type="http://schemas.openxmlformats.org/officeDocument/2006/relationships/hyperlink" Target="http://contentdm.washburnlaw.edu/utils/getdownloaditem/collection/wlj/id/5272/filename/5273.pdf/mapsto/pdf" TargetMode="External"/><Relationship Id="rId19" Type="http://schemas.openxmlformats.org/officeDocument/2006/relationships/hyperlink" Target="http://works.bepress.com/deborah_weiss/4" TargetMode="External"/><Relationship Id="rId63" Type="http://schemas.openxmlformats.org/officeDocument/2006/relationships/hyperlink" Target="https://doi.org/10.1177%2F1362480605051638" TargetMode="External"/><Relationship Id="rId64" Type="http://schemas.openxmlformats.org/officeDocument/2006/relationships/hyperlink" Target="https://corporatewatch.org/wp-content/uploads/2017/09/corporate_structures.pdf" TargetMode="External"/><Relationship Id="rId65" Type="http://schemas.openxmlformats.org/officeDocument/2006/relationships/hyperlink" Target="https://doi.org/10.1080/00045608.2011.628259" TargetMode="External"/><Relationship Id="rId66" Type="http://schemas.openxmlformats.org/officeDocument/2006/relationships/hyperlink" Target="https://doi.org/10.1080/014177897339632" TargetMode="External"/><Relationship Id="rId67" Type="http://schemas.openxmlformats.org/officeDocument/2006/relationships/header" Target="header4.xml"/><Relationship Id="rId68" Type="http://schemas.openxmlformats.org/officeDocument/2006/relationships/footer" Target="footer4.xml"/><Relationship Id="rId69" Type="http://schemas.openxmlformats.org/officeDocument/2006/relationships/header" Target="header5.xml"/><Relationship Id="rId50" Type="http://schemas.openxmlformats.org/officeDocument/2006/relationships/hyperlink" Target="https://tidsskrift.dk/outlines/article/view/2107" TargetMode="External"/><Relationship Id="rId51" Type="http://schemas.openxmlformats.org/officeDocument/2006/relationships/hyperlink" Target="https://doi.org/10.1111/j.1467-937X.2005.00351.x" TargetMode="External"/><Relationship Id="rId52" Type="http://schemas.openxmlformats.org/officeDocument/2006/relationships/hyperlink" Target="https://doi.org/10.1177%2F0038038587021003003" TargetMode="External"/><Relationship Id="rId53" Type="http://schemas.openxmlformats.org/officeDocument/2006/relationships/hyperlink" Target="https://www.marxists.org/archive/marx/works/1844/jewish-question/" TargetMode="External"/><Relationship Id="rId54" Type="http://schemas.openxmlformats.org/officeDocument/2006/relationships/hyperlink" Target="https://doi.org/10.1111/j.1475-5890.1995.tb00232.x" TargetMode="External"/><Relationship Id="rId55" Type="http://schemas.openxmlformats.org/officeDocument/2006/relationships/hyperlink" Target="http://www.nepza.gov.ng/images/NEPZA631992.pdf" TargetMode="External"/><Relationship Id="rId56" Type="http://schemas.openxmlformats.org/officeDocument/2006/relationships/hyperlink" Target="https://www.jstor.org/stable/591814" TargetMode="External"/><Relationship Id="rId57" Type="http://schemas.openxmlformats.org/officeDocument/2006/relationships/hyperlink" Target="https://www.forbes.com/sites/mikepatton/2015/10/31/a-brief-history-of-the-individual-and-corporate-income-tax/" TargetMode="External"/><Relationship Id="rId58" Type="http://schemas.openxmlformats.org/officeDocument/2006/relationships/hyperlink" Target="https://doi.org/10.1080/10714839.2016.1228169" TargetMode="External"/><Relationship Id="rId59" Type="http://schemas.openxmlformats.org/officeDocument/2006/relationships/hyperlink" Target="http://dx.doi.org/10.2139/ssrn.3040028" TargetMode="External"/><Relationship Id="rId40" Type="http://schemas.openxmlformats.org/officeDocument/2006/relationships/hyperlink" Target="http://speri.dept.shef.ac.uk/wp-content/uploads/2015/07/SPERI-Paper-24-The-British-Corporate-Welfare-State.pdf" TargetMode="External"/><Relationship Id="rId41" Type="http://schemas.openxmlformats.org/officeDocument/2006/relationships/hyperlink" Target="https://anthrosource.onlinelibrary.wiley.com/doi/epdf/10.1525/aa.2005.107.3.377" TargetMode="External"/><Relationship Id="rId42" Type="http://schemas.openxmlformats.org/officeDocument/2006/relationships/hyperlink" Target="https://assets.publishing.service.gov.uk/government/uploads/system/uploads/attachment_data/file/35438/business-charter.pdf" TargetMode="External"/><Relationship Id="rId43" Type="http://schemas.openxmlformats.org/officeDocument/2006/relationships/hyperlink" Target="https://doi.org/10.1111/ajes.12222" TargetMode="External"/><Relationship Id="rId44" Type="http://schemas.openxmlformats.org/officeDocument/2006/relationships/hyperlink" Target="https://dx.doi.org/10.1215%2F03616878-3632203" TargetMode="External"/><Relationship Id="rId45" Type="http://schemas.openxmlformats.org/officeDocument/2006/relationships/hyperlink" Target="https://doi.org/10.1080/09644016.2015.1105176" TargetMode="External"/><Relationship Id="rId46" Type="http://schemas.openxmlformats.org/officeDocument/2006/relationships/hyperlink" Target="http://www.njas.helsinki.fi/pdf-files/vol14num2/ikelegbe.pdf" TargetMode="External"/><Relationship Id="rId47" Type="http://schemas.openxmlformats.org/officeDocument/2006/relationships/hyperlink" Target="https://www.ilo.org/wcmsp5/groups/public/---ed_dialogue/---actrav/documents/publication/wcms_324632.pdf" TargetMode="External"/><Relationship Id="rId48" Type="http://schemas.openxmlformats.org/officeDocument/2006/relationships/hyperlink" Target="http://www.ilo.org/wcmsp5/groups/public/---ed_dialogue/---actrav/documents/publication/wcms_114918.pdf" TargetMode="External"/><Relationship Id="rId49" Type="http://schemas.openxmlformats.org/officeDocument/2006/relationships/hyperlink" Target="http://lawecommons.luc.edu/luclj/vol37/iss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rn.com/abstract=3221143" TargetMode="External"/><Relationship Id="rId30" Type="http://schemas.openxmlformats.org/officeDocument/2006/relationships/hyperlink" Target="https://doi.org/10.1080/1360082032000132135" TargetMode="External"/><Relationship Id="rId31" Type="http://schemas.openxmlformats.org/officeDocument/2006/relationships/hyperlink" Target="https://doi.org/10.1080%2F00420980500380428" TargetMode="External"/><Relationship Id="rId32" Type="http://schemas.openxmlformats.org/officeDocument/2006/relationships/hyperlink" Target="https://www.echr.coe.int/Documents/Convention_ENG.pdf" TargetMode="External"/><Relationship Id="rId33" Type="http://schemas.openxmlformats.org/officeDocument/2006/relationships/hyperlink" Target="https://doi.org/10.1177%2F0007650302041003002" TargetMode="External"/><Relationship Id="rId34" Type="http://schemas.openxmlformats.org/officeDocument/2006/relationships/hyperlink" Target="http://www.jstor.org/stable/1833178?origin=JSTOR-pdf" TargetMode="External"/><Relationship Id="rId35" Type="http://schemas.openxmlformats.org/officeDocument/2006/relationships/hyperlink" Target="https://doi.org/10.1016/j.jpubeco.2007.09.005" TargetMode="External"/><Relationship Id="rId36" Type="http://schemas.openxmlformats.org/officeDocument/2006/relationships/hyperlink" Target="http://rci.rutgers.edu/~tripmcc/phil/dewey-historic_background_of_corporate_legal_personality.pdf" TargetMode="External"/><Relationship Id="rId37" Type="http://schemas.openxmlformats.org/officeDocument/2006/relationships/hyperlink" Target="https://www.tni.org/files/download/profitingfrominjustice.pdf" TargetMode="External"/><Relationship Id="rId38" Type="http://schemas.openxmlformats.org/officeDocument/2006/relationships/hyperlink" Target="https://doi.org/10.1111/j.1475-5890.1984.tb00385.x" TargetMode="External"/><Relationship Id="rId39" Type="http://schemas.openxmlformats.org/officeDocument/2006/relationships/hyperlink" Target="https://www.independent.co.uk/news/uk/six-british-multinationals-including-shell-vodafone-lloyds-banking-group-did-not-paid-any-a6844676.html" TargetMode="External"/><Relationship Id="rId70" Type="http://schemas.openxmlformats.org/officeDocument/2006/relationships/footer" Target="footer5.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s://doi.org/10.1016/S0047-2727(02)00018-X" TargetMode="External"/><Relationship Id="rId21" Type="http://schemas.openxmlformats.org/officeDocument/2006/relationships/hyperlink" Target="https://doi.org/10.4000/rfcb.850" TargetMode="External"/><Relationship Id="rId22" Type="http://schemas.openxmlformats.org/officeDocument/2006/relationships/hyperlink" Target="https://doi.org/10.1007/s10612-016-9340-9" TargetMode="External"/><Relationship Id="rId23" Type="http://schemas.openxmlformats.org/officeDocument/2006/relationships/hyperlink" Target="https://www.theguardian.com/business/2016/nov/04/google-pays-47m-euros-tax-ireland-22bn-euros-revenue" TargetMode="External"/><Relationship Id="rId24" Type="http://schemas.openxmlformats.org/officeDocument/2006/relationships/hyperlink" Target="https://doi.org/10.1108/01443330610657188" TargetMode="External"/><Relationship Id="rId25" Type="http://schemas.openxmlformats.org/officeDocument/2006/relationships/hyperlink" Target="https://doi.org/10.1111/0045-3609.00008" TargetMode="External"/><Relationship Id="rId26" Type="http://schemas.openxmlformats.org/officeDocument/2006/relationships/hyperlink" Target="https://link.springer.com/article/10.1057/palgrave.ip.8800107" TargetMode="External"/><Relationship Id="rId27" Type="http://schemas.openxmlformats.org/officeDocument/2006/relationships/hyperlink" Target="https://www.google.com/url?sa=t&amp;rct=j&amp;q=&amp;esrc=s&amp;source=web&amp;cd=1&amp;ved=2ahUKEwjqn4X2jL_cAhWOy4UKHYt6BVYQFjAAegQIABAC&amp;url=https%3A%2F%2Fwww.ohchr.org%2FDocuments%2FIssues%2FFAssociation%2FInfoNoteSLAPPsFoAA.docx&amp;usg=AOvVaw2g2D1CNNK3K_21zXVZbY3b" TargetMode="External"/><Relationship Id="rId28" Type="http://schemas.openxmlformats.org/officeDocument/2006/relationships/hyperlink" Target="https://ssrn.com/abstract=3194643" TargetMode="External"/><Relationship Id="rId29" Type="http://schemas.openxmlformats.org/officeDocument/2006/relationships/hyperlink" Target="https://www.ntanet.org/NTJ/62/4/ntj-v62n04p703-25-multinational-firm-tax-avoidance.pdf" TargetMode="External"/><Relationship Id="rId73" Type="http://schemas.microsoft.com/office/2011/relationships/people" Target="people.xml"/><Relationship Id="rId74" Type="http://schemas.microsoft.com/office/2011/relationships/commentsExtended" Target="commentsExtended.xml"/><Relationship Id="rId60" Type="http://schemas.openxmlformats.org/officeDocument/2006/relationships/hyperlink" Target="https://www.theguardian.com/business/2017/sep/21/tech-firms-tax-eu-turnover-google-amazon-apple" TargetMode="External"/><Relationship Id="rId61" Type="http://schemas.openxmlformats.org/officeDocument/2006/relationships/hyperlink" Target="https://doi.org/10.1111/j.1467-7679.1995.tb00093.x" TargetMode="External"/><Relationship Id="rId62" Type="http://schemas.openxmlformats.org/officeDocument/2006/relationships/hyperlink" Target="https://doi.org/10.1057/palgrave.crr.1540189" TargetMode="Externa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po@iisj.es" TargetMode="External"/><Relationship Id="rId2" Type="http://schemas.openxmlformats.org/officeDocument/2006/relationships/hyperlink" Target="http://opo.iisj.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po@iisj.es" TargetMode="External"/><Relationship Id="rId3" Type="http://schemas.openxmlformats.org/officeDocument/2006/relationships/hyperlink" Target="http://opo.iisj.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ndard.co.uk/business/evening-standard-business-awards-the-good-corporate-citizens-and-entrepreneurs-in-the-spotlight-a3569031.html" TargetMode="External"/><Relationship Id="rId4" Type="http://schemas.openxmlformats.org/officeDocument/2006/relationships/hyperlink" Target="https://www.uschamberfoundation.org/corporate-citizenship-center/about-us" TargetMode="External"/><Relationship Id="rId5" Type="http://schemas.openxmlformats.org/officeDocument/2006/relationships/hyperlink" Target="https://data.oecd.org/tax/tax-on-corporate-profits.htm%23indicator-chart" TargetMode="External"/><Relationship Id="rId1" Type="http://schemas.openxmlformats.org/officeDocument/2006/relationships/hyperlink" Target="http://www.executivesclub.org/annual-awards/corporate-citizen-of-the-year" TargetMode="External"/><Relationship Id="rId2" Type="http://schemas.openxmlformats.org/officeDocument/2006/relationships/hyperlink" Target="https://www.bizjournals.com/denver/news/2017/11/17/corporate-citizens-of-the-year-the-process-how-th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5463-753F-484B-B0BD-A1AA5E04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13302</Words>
  <Characters>75825</Characters>
  <Application>Microsoft Macintosh Word</Application>
  <DocSecurity>0</DocSecurity>
  <Lines>631</Lines>
  <Paragraphs>177</Paragraphs>
  <ScaleCrop>false</ScaleCrop>
  <HeadingPairs>
    <vt:vector size="2" baseType="variant">
      <vt:variant>
        <vt:lpstr>Título</vt:lpstr>
      </vt:variant>
      <vt:variant>
        <vt:i4>1</vt:i4>
      </vt:variant>
    </vt:vector>
  </HeadingPairs>
  <TitlesOfParts>
    <vt:vector size="1" baseType="lpstr">
      <vt:lpstr>Oñati Socio-Legal Series, v</vt:lpstr>
    </vt:vector>
  </TitlesOfParts>
  <Company/>
  <LinksUpToDate>false</LinksUpToDate>
  <CharactersWithSpaces>88950</CharactersWithSpaces>
  <SharedDoc>false</SharedDoc>
  <HLinks>
    <vt:vector size="78" baseType="variant">
      <vt:variant>
        <vt:i4>2228263</vt:i4>
      </vt:variant>
      <vt:variant>
        <vt:i4>39</vt:i4>
      </vt:variant>
      <vt:variant>
        <vt:i4>0</vt:i4>
      </vt:variant>
      <vt:variant>
        <vt:i4>5</vt:i4>
      </vt:variant>
      <vt:variant>
        <vt:lpwstr>http://www.blackwellreference.com/</vt:lpwstr>
      </vt:variant>
      <vt:variant>
        <vt:lpwstr/>
      </vt:variant>
      <vt:variant>
        <vt:i4>1966137</vt:i4>
      </vt:variant>
      <vt:variant>
        <vt:i4>32</vt:i4>
      </vt:variant>
      <vt:variant>
        <vt:i4>0</vt:i4>
      </vt:variant>
      <vt:variant>
        <vt:i4>5</vt:i4>
      </vt:variant>
      <vt:variant>
        <vt:lpwstr/>
      </vt:variant>
      <vt:variant>
        <vt:lpwstr>_Toc349550686</vt:lpwstr>
      </vt:variant>
      <vt:variant>
        <vt:i4>1966137</vt:i4>
      </vt:variant>
      <vt:variant>
        <vt:i4>26</vt:i4>
      </vt:variant>
      <vt:variant>
        <vt:i4>0</vt:i4>
      </vt:variant>
      <vt:variant>
        <vt:i4>5</vt:i4>
      </vt:variant>
      <vt:variant>
        <vt:lpwstr/>
      </vt:variant>
      <vt:variant>
        <vt:lpwstr>_Toc349550685</vt:lpwstr>
      </vt:variant>
      <vt:variant>
        <vt:i4>1966137</vt:i4>
      </vt:variant>
      <vt:variant>
        <vt:i4>20</vt:i4>
      </vt:variant>
      <vt:variant>
        <vt:i4>0</vt:i4>
      </vt:variant>
      <vt:variant>
        <vt:i4>5</vt:i4>
      </vt:variant>
      <vt:variant>
        <vt:lpwstr/>
      </vt:variant>
      <vt:variant>
        <vt:lpwstr>_Toc349550684</vt:lpwstr>
      </vt:variant>
      <vt:variant>
        <vt:i4>1966137</vt:i4>
      </vt:variant>
      <vt:variant>
        <vt:i4>14</vt:i4>
      </vt:variant>
      <vt:variant>
        <vt:i4>0</vt:i4>
      </vt:variant>
      <vt:variant>
        <vt:i4>5</vt:i4>
      </vt:variant>
      <vt:variant>
        <vt:lpwstr/>
      </vt:variant>
      <vt:variant>
        <vt:lpwstr>_Toc349550683</vt:lpwstr>
      </vt:variant>
      <vt:variant>
        <vt:i4>1966137</vt:i4>
      </vt:variant>
      <vt:variant>
        <vt:i4>8</vt:i4>
      </vt:variant>
      <vt:variant>
        <vt:i4>0</vt:i4>
      </vt:variant>
      <vt:variant>
        <vt:i4>5</vt:i4>
      </vt:variant>
      <vt:variant>
        <vt:lpwstr/>
      </vt:variant>
      <vt:variant>
        <vt:lpwstr>_Toc349550682</vt:lpwstr>
      </vt:variant>
      <vt:variant>
        <vt:i4>4653148</vt:i4>
      </vt:variant>
      <vt:variant>
        <vt:i4>0</vt:i4>
      </vt:variant>
      <vt:variant>
        <vt:i4>0</vt:i4>
      </vt:variant>
      <vt:variant>
        <vt:i4>5</vt:i4>
      </vt:variant>
      <vt:variant>
        <vt:lpwstr>http://ssrn.com/abstract=xxxxxxx</vt:lpwstr>
      </vt:variant>
      <vt:variant>
        <vt:lpwstr/>
      </vt:variant>
      <vt:variant>
        <vt:i4>1507370</vt:i4>
      </vt:variant>
      <vt:variant>
        <vt:i4>0</vt:i4>
      </vt:variant>
      <vt:variant>
        <vt:i4>0</vt:i4>
      </vt:variant>
      <vt:variant>
        <vt:i4>5</vt:i4>
      </vt:variant>
      <vt:variant>
        <vt:lpwstr>mailto:email@address.com</vt:lpwstr>
      </vt:variant>
      <vt:variant>
        <vt:lpwstr/>
      </vt:variant>
      <vt:variant>
        <vt:i4>5570638</vt:i4>
      </vt:variant>
      <vt:variant>
        <vt:i4>18</vt:i4>
      </vt:variant>
      <vt:variant>
        <vt:i4>0</vt:i4>
      </vt:variant>
      <vt:variant>
        <vt:i4>5</vt:i4>
      </vt:variant>
      <vt:variant>
        <vt:lpwstr>http://opo.iisj.net/</vt:lpwstr>
      </vt:variant>
      <vt:variant>
        <vt:lpwstr/>
      </vt:variant>
      <vt:variant>
        <vt:i4>2424860</vt:i4>
      </vt:variant>
      <vt:variant>
        <vt:i4>15</vt:i4>
      </vt:variant>
      <vt:variant>
        <vt:i4>0</vt:i4>
      </vt:variant>
      <vt:variant>
        <vt:i4>5</vt:i4>
      </vt:variant>
      <vt:variant>
        <vt:lpwstr>mailto:opo@iisj.es</vt:lpwstr>
      </vt:variant>
      <vt:variant>
        <vt:lpwstr/>
      </vt:variant>
      <vt:variant>
        <vt:i4>5570638</vt:i4>
      </vt:variant>
      <vt:variant>
        <vt:i4>9</vt:i4>
      </vt:variant>
      <vt:variant>
        <vt:i4>0</vt:i4>
      </vt:variant>
      <vt:variant>
        <vt:i4>5</vt:i4>
      </vt:variant>
      <vt:variant>
        <vt:lpwstr>http://opo.iisj.net/</vt:lpwstr>
      </vt:variant>
      <vt:variant>
        <vt:lpwstr/>
      </vt:variant>
      <vt:variant>
        <vt:i4>2424860</vt:i4>
      </vt:variant>
      <vt:variant>
        <vt:i4>6</vt:i4>
      </vt:variant>
      <vt:variant>
        <vt:i4>0</vt:i4>
      </vt:variant>
      <vt:variant>
        <vt:i4>5</vt:i4>
      </vt:variant>
      <vt:variant>
        <vt:lpwstr>mailto:opo@iisj.es</vt:lpwstr>
      </vt:variant>
      <vt:variant>
        <vt:lpwstr/>
      </vt:variant>
      <vt:variant>
        <vt:i4>1900624</vt:i4>
      </vt:variant>
      <vt:variant>
        <vt:i4>-1</vt:i4>
      </vt:variant>
      <vt:variant>
        <vt:i4>2069</vt:i4>
      </vt:variant>
      <vt:variant>
        <vt:i4>1</vt:i4>
      </vt:variant>
      <vt:variant>
        <vt:lpwstr>http://i.creativecommons.org/l/by-nc-nd/3.0/80x15.png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Oñati Socio-Legal Series, v</dc:title>
  <dc:creator>Cristina Ruiz</dc:creator>
  <cp:lastModifiedBy>David Whyte</cp:lastModifiedBy>
  <cp:revision>3</cp:revision>
  <cp:lastPrinted>1901-01-01T00:00:00Z</cp:lastPrinted>
  <dcterms:created xsi:type="dcterms:W3CDTF">2018-08-01T20:50:00Z</dcterms:created>
  <dcterms:modified xsi:type="dcterms:W3CDTF">2018-08-01T20:51:00Z</dcterms:modified>
</cp:coreProperties>
</file>