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A3A" w:rsidRPr="004D5EDF" w:rsidRDefault="009F2A3A" w:rsidP="00A543C8">
      <w:pPr>
        <w:shd w:val="clear" w:color="auto" w:fill="FFFFFF"/>
        <w:spacing w:after="0" w:line="240" w:lineRule="auto"/>
        <w:rPr>
          <w:rFonts w:ascii="Times New Roman" w:eastAsia="Times New Roman" w:hAnsi="Times New Roman" w:cs="Times New Roman"/>
          <w:i/>
          <w:iCs/>
          <w:color w:val="212121"/>
          <w:sz w:val="24"/>
          <w:szCs w:val="24"/>
          <w:lang w:eastAsia="en-GB"/>
        </w:rPr>
      </w:pPr>
      <w:bookmarkStart w:id="0" w:name="_GoBack"/>
      <w:bookmarkEnd w:id="0"/>
    </w:p>
    <w:p w:rsidR="00E31B22" w:rsidRPr="001C4B0C" w:rsidRDefault="00A06B80" w:rsidP="00E31B22">
      <w:pPr>
        <w:contextualSpacing/>
        <w:jc w:val="center"/>
        <w:rPr>
          <w:rFonts w:ascii="Times New Roman" w:hAnsi="Times New Roman" w:cs="Times New Roman"/>
          <w:b/>
          <w:sz w:val="28"/>
          <w:szCs w:val="28"/>
        </w:rPr>
      </w:pPr>
      <w:r>
        <w:rPr>
          <w:rFonts w:ascii="Times New Roman" w:hAnsi="Times New Roman" w:cs="Times New Roman"/>
          <w:b/>
          <w:sz w:val="28"/>
          <w:szCs w:val="28"/>
        </w:rPr>
        <w:t>States of Exception, Torture and the Control of Racial Others</w:t>
      </w:r>
    </w:p>
    <w:p w:rsidR="00E31B22" w:rsidRPr="001C4B0C" w:rsidRDefault="00E31B22" w:rsidP="00E31B22">
      <w:pPr>
        <w:spacing w:line="480" w:lineRule="auto"/>
        <w:contextualSpacing/>
        <w:rPr>
          <w:rFonts w:ascii="Times New Roman" w:hAnsi="Times New Roman" w:cs="Times New Roman"/>
          <w:sz w:val="28"/>
          <w:szCs w:val="28"/>
        </w:rPr>
      </w:pPr>
    </w:p>
    <w:p w:rsidR="00E31B22" w:rsidRDefault="00E31B22" w:rsidP="00E31B22">
      <w:pPr>
        <w:spacing w:line="480" w:lineRule="auto"/>
        <w:rPr>
          <w:rFonts w:ascii="Times New Roman" w:hAnsi="Times New Roman" w:cs="Times New Roman"/>
          <w:sz w:val="28"/>
          <w:szCs w:val="28"/>
        </w:rPr>
      </w:pPr>
      <w:r w:rsidRPr="001C4B0C">
        <w:rPr>
          <w:rFonts w:ascii="Times New Roman" w:hAnsi="Times New Roman" w:cs="Times New Roman"/>
          <w:sz w:val="28"/>
          <w:szCs w:val="28"/>
        </w:rPr>
        <w:tab/>
        <w:t xml:space="preserve">The torture regime initiated by the United States in Iraq and other contexts in the aftermath of 9/11 was spurred by a spectacular moment of boundary transgression that, in fracturing the external borders of the United States, made manifest a new imperial, biopolitical and exceptional global order. Such an order has witnessed the escalation of new forms of violence, including both what Slavoj </w:t>
      </w:r>
      <w:r w:rsidRPr="00221BF2">
        <w:rPr>
          <w:rFonts w:ascii="Times New Roman" w:eastAsia="MS Mincho" w:hAnsi="Times New Roman" w:cs="Times New Roman"/>
          <w:bCs/>
          <w:sz w:val="28"/>
          <w:szCs w:val="28"/>
        </w:rPr>
        <w:t>Ž</w:t>
      </w:r>
      <w:r w:rsidRPr="00221BF2">
        <w:rPr>
          <w:rFonts w:ascii="Times New Roman" w:hAnsi="Times New Roman" w:cs="Times New Roman"/>
          <w:bCs/>
          <w:sz w:val="28"/>
          <w:szCs w:val="28"/>
        </w:rPr>
        <w:t>i</w:t>
      </w:r>
      <w:r w:rsidRPr="00221BF2">
        <w:rPr>
          <w:rFonts w:ascii="Times New Roman" w:eastAsia="MS Mincho" w:hAnsi="Times New Roman" w:cs="Times New Roman"/>
          <w:bCs/>
          <w:sz w:val="28"/>
          <w:szCs w:val="28"/>
        </w:rPr>
        <w:t>ž</w:t>
      </w:r>
      <w:r w:rsidRPr="00221BF2">
        <w:rPr>
          <w:rFonts w:ascii="Times New Roman" w:hAnsi="Times New Roman" w:cs="Times New Roman"/>
          <w:bCs/>
          <w:sz w:val="28"/>
          <w:szCs w:val="28"/>
        </w:rPr>
        <w:t>ek</w:t>
      </w:r>
      <w:r w:rsidR="00221BF2">
        <w:rPr>
          <w:rFonts w:ascii="Times New Roman" w:hAnsi="Times New Roman" w:cs="Times New Roman"/>
          <w:bCs/>
          <w:sz w:val="28"/>
          <w:szCs w:val="28"/>
        </w:rPr>
        <w:t>,</w:t>
      </w:r>
      <w:r w:rsidR="00221BF2" w:rsidRPr="00221BF2">
        <w:rPr>
          <w:rFonts w:ascii="Times New Roman" w:hAnsi="Times New Roman" w:cs="Times New Roman"/>
          <w:sz w:val="28"/>
          <w:szCs w:val="28"/>
        </w:rPr>
        <w:t xml:space="preserve"> in </w:t>
      </w:r>
      <w:r w:rsidR="00221BF2" w:rsidRPr="00221BF2">
        <w:rPr>
          <w:rFonts w:ascii="Times New Roman" w:hAnsi="Times New Roman" w:cs="Times New Roman"/>
          <w:i/>
          <w:sz w:val="28"/>
          <w:szCs w:val="28"/>
        </w:rPr>
        <w:t xml:space="preserve">Violence: Six Sideways Reflections </w:t>
      </w:r>
      <w:r w:rsidR="00221BF2" w:rsidRPr="00221BF2">
        <w:rPr>
          <w:rFonts w:ascii="Times New Roman" w:hAnsi="Times New Roman" w:cs="Times New Roman"/>
          <w:bCs/>
          <w:sz w:val="28"/>
          <w:szCs w:val="28"/>
        </w:rPr>
        <w:t>(</w:t>
      </w:r>
      <w:r w:rsidR="00221BF2">
        <w:rPr>
          <w:rFonts w:ascii="Times New Roman" w:hAnsi="Times New Roman" w:cs="Times New Roman"/>
          <w:bCs/>
          <w:sz w:val="28"/>
          <w:szCs w:val="28"/>
        </w:rPr>
        <w:t>2008</w:t>
      </w:r>
      <w:r w:rsidR="00221BF2" w:rsidRPr="00221BF2">
        <w:rPr>
          <w:rFonts w:ascii="Times New Roman" w:hAnsi="Times New Roman" w:cs="Times New Roman"/>
          <w:bCs/>
          <w:sz w:val="28"/>
          <w:szCs w:val="28"/>
        </w:rPr>
        <w:t>)</w:t>
      </w:r>
      <w:r w:rsidR="00221BF2">
        <w:rPr>
          <w:rFonts w:ascii="Times New Roman" w:hAnsi="Times New Roman" w:cs="Times New Roman"/>
          <w:bCs/>
          <w:sz w:val="28"/>
          <w:szCs w:val="28"/>
        </w:rPr>
        <w:t xml:space="preserve">, </w:t>
      </w:r>
      <w:r w:rsidRPr="00221BF2">
        <w:rPr>
          <w:rFonts w:ascii="Times New Roman" w:hAnsi="Times New Roman" w:cs="Times New Roman"/>
          <w:sz w:val="28"/>
          <w:szCs w:val="28"/>
        </w:rPr>
        <w:t xml:space="preserve">terms </w:t>
      </w:r>
      <w:r w:rsidRPr="00221BF2">
        <w:rPr>
          <w:rFonts w:ascii="Times New Roman" w:hAnsi="Times New Roman" w:cs="Times New Roman"/>
          <w:i/>
          <w:sz w:val="28"/>
          <w:szCs w:val="28"/>
        </w:rPr>
        <w:t>subjective</w:t>
      </w:r>
      <w:r w:rsidRPr="00221BF2">
        <w:rPr>
          <w:rFonts w:ascii="Times New Roman" w:hAnsi="Times New Roman" w:cs="Times New Roman"/>
          <w:sz w:val="28"/>
          <w:szCs w:val="28"/>
        </w:rPr>
        <w:t xml:space="preserve"> violence, </w:t>
      </w:r>
      <w:r w:rsidR="00221BF2">
        <w:rPr>
          <w:rFonts w:ascii="Times New Roman" w:hAnsi="Times New Roman" w:cs="Times New Roman"/>
          <w:sz w:val="28"/>
          <w:szCs w:val="28"/>
        </w:rPr>
        <w:t>which is a disruption of the ‘normal’ state of things</w:t>
      </w:r>
      <w:r w:rsidRPr="00221BF2">
        <w:rPr>
          <w:rFonts w:ascii="Times New Roman" w:hAnsi="Times New Roman" w:cs="Times New Roman"/>
          <w:sz w:val="28"/>
          <w:szCs w:val="28"/>
        </w:rPr>
        <w:t xml:space="preserve"> (such as drone attacks), and </w:t>
      </w:r>
      <w:r w:rsidRPr="00221BF2">
        <w:rPr>
          <w:rFonts w:ascii="Times New Roman" w:hAnsi="Times New Roman" w:cs="Times New Roman"/>
          <w:i/>
          <w:sz w:val="28"/>
          <w:szCs w:val="28"/>
        </w:rPr>
        <w:t>objective</w:t>
      </w:r>
      <w:r w:rsidRPr="00221BF2">
        <w:rPr>
          <w:rFonts w:ascii="Times New Roman" w:hAnsi="Times New Roman" w:cs="Times New Roman"/>
          <w:sz w:val="28"/>
          <w:szCs w:val="28"/>
        </w:rPr>
        <w:t xml:space="preserve"> violence, which includes </w:t>
      </w:r>
      <w:r w:rsidR="00221BF2">
        <w:rPr>
          <w:rFonts w:ascii="Times New Roman" w:hAnsi="Times New Roman" w:cs="Times New Roman"/>
          <w:sz w:val="28"/>
          <w:szCs w:val="28"/>
        </w:rPr>
        <w:t xml:space="preserve">both </w:t>
      </w:r>
      <w:r w:rsidRPr="00221BF2">
        <w:rPr>
          <w:rFonts w:ascii="Times New Roman" w:hAnsi="Times New Roman" w:cs="Times New Roman"/>
          <w:sz w:val="28"/>
          <w:szCs w:val="28"/>
        </w:rPr>
        <w:t xml:space="preserve">structural </w:t>
      </w:r>
      <w:r w:rsidRPr="001C4B0C">
        <w:rPr>
          <w:rFonts w:ascii="Times New Roman" w:hAnsi="Times New Roman" w:cs="Times New Roman"/>
          <w:sz w:val="28"/>
          <w:szCs w:val="28"/>
        </w:rPr>
        <w:t xml:space="preserve">and symbolic </w:t>
      </w:r>
      <w:r w:rsidR="00221BF2">
        <w:rPr>
          <w:rFonts w:ascii="Times New Roman" w:hAnsi="Times New Roman" w:cs="Times New Roman"/>
          <w:sz w:val="28"/>
          <w:szCs w:val="28"/>
        </w:rPr>
        <w:t>violence</w:t>
      </w:r>
      <w:r w:rsidR="00363060">
        <w:rPr>
          <w:rFonts w:ascii="Times New Roman" w:hAnsi="Times New Roman" w:cs="Times New Roman"/>
          <w:sz w:val="28"/>
          <w:szCs w:val="28"/>
        </w:rPr>
        <w:t xml:space="preserve"> (such as, in the case of the former, </w:t>
      </w:r>
      <w:r w:rsidR="00221BF2" w:rsidRPr="001C4B0C">
        <w:rPr>
          <w:rFonts w:ascii="Times New Roman" w:hAnsi="Times New Roman" w:cs="Times New Roman"/>
          <w:sz w:val="28"/>
          <w:szCs w:val="28"/>
        </w:rPr>
        <w:t>infrastructural warfare and economic sanctions</w:t>
      </w:r>
      <w:r w:rsidR="00363060">
        <w:rPr>
          <w:rFonts w:ascii="Times New Roman" w:hAnsi="Times New Roman" w:cs="Times New Roman"/>
          <w:sz w:val="28"/>
          <w:szCs w:val="28"/>
        </w:rPr>
        <w:t>, and in the latter the</w:t>
      </w:r>
      <w:r w:rsidRPr="001C4B0C">
        <w:rPr>
          <w:rFonts w:ascii="Times New Roman" w:hAnsi="Times New Roman" w:cs="Times New Roman"/>
          <w:sz w:val="28"/>
          <w:szCs w:val="28"/>
        </w:rPr>
        <w:t xml:space="preserve"> wide-scale denigration of Muslim cultures</w:t>
      </w:r>
      <w:r w:rsidR="00221BF2">
        <w:rPr>
          <w:rFonts w:ascii="Times New Roman" w:hAnsi="Times New Roman" w:cs="Times New Roman"/>
          <w:sz w:val="28"/>
          <w:szCs w:val="28"/>
        </w:rPr>
        <w:t xml:space="preserve">). </w:t>
      </w:r>
      <w:r w:rsidRPr="001C4B0C">
        <w:rPr>
          <w:rFonts w:ascii="Times New Roman" w:hAnsi="Times New Roman" w:cs="Times New Roman"/>
          <w:sz w:val="28"/>
          <w:szCs w:val="28"/>
        </w:rPr>
        <w:t xml:space="preserve">Central to both such forms of violence has been a stunning disregard for the lives of </w:t>
      </w:r>
      <w:r>
        <w:rPr>
          <w:rFonts w:ascii="Times New Roman" w:hAnsi="Times New Roman" w:cs="Times New Roman"/>
          <w:sz w:val="28"/>
          <w:szCs w:val="28"/>
        </w:rPr>
        <w:t>others,</w:t>
      </w:r>
      <w:r w:rsidRPr="001C4B0C">
        <w:rPr>
          <w:rFonts w:ascii="Times New Roman" w:hAnsi="Times New Roman" w:cs="Times New Roman"/>
          <w:sz w:val="28"/>
          <w:szCs w:val="28"/>
        </w:rPr>
        <w:t xml:space="preserve"> primarily Muslims, vast numbers of whom have been reduced to </w:t>
      </w:r>
      <w:r>
        <w:rPr>
          <w:rFonts w:ascii="Times New Roman" w:hAnsi="Times New Roman" w:cs="Times New Roman"/>
          <w:sz w:val="28"/>
          <w:szCs w:val="28"/>
        </w:rPr>
        <w:t>what</w:t>
      </w:r>
      <w:r w:rsidR="00363060">
        <w:rPr>
          <w:rFonts w:ascii="Times New Roman" w:hAnsi="Times New Roman" w:cs="Times New Roman"/>
          <w:sz w:val="28"/>
          <w:szCs w:val="28"/>
        </w:rPr>
        <w:t xml:space="preserve">, in </w:t>
      </w:r>
      <w:r w:rsidR="00363060">
        <w:rPr>
          <w:rFonts w:ascii="Times New Roman" w:hAnsi="Times New Roman" w:cs="Times New Roman"/>
          <w:i/>
          <w:sz w:val="28"/>
          <w:szCs w:val="28"/>
        </w:rPr>
        <w:t xml:space="preserve">Homo Sacer: Sovereign Power and Bare </w:t>
      </w:r>
      <w:r w:rsidR="00363060" w:rsidRPr="00363060">
        <w:rPr>
          <w:rFonts w:ascii="Times New Roman" w:hAnsi="Times New Roman" w:cs="Times New Roman"/>
          <w:i/>
          <w:sz w:val="28"/>
          <w:szCs w:val="28"/>
        </w:rPr>
        <w:t>Life</w:t>
      </w:r>
      <w:r w:rsidR="00363060">
        <w:rPr>
          <w:rFonts w:ascii="Times New Roman" w:hAnsi="Times New Roman" w:cs="Times New Roman"/>
          <w:i/>
          <w:sz w:val="28"/>
          <w:szCs w:val="28"/>
        </w:rPr>
        <w:t xml:space="preserve"> </w:t>
      </w:r>
      <w:r w:rsidR="00363060">
        <w:rPr>
          <w:rFonts w:ascii="Times New Roman" w:hAnsi="Times New Roman" w:cs="Times New Roman"/>
          <w:sz w:val="28"/>
          <w:szCs w:val="28"/>
        </w:rPr>
        <w:t>(1998)</w:t>
      </w:r>
      <w:r>
        <w:rPr>
          <w:rFonts w:ascii="Times New Roman" w:hAnsi="Times New Roman" w:cs="Times New Roman"/>
          <w:sz w:val="28"/>
          <w:szCs w:val="28"/>
        </w:rPr>
        <w:t xml:space="preserve"> </w:t>
      </w:r>
      <w:r w:rsidR="00363060">
        <w:rPr>
          <w:rFonts w:ascii="Times New Roman" w:hAnsi="Times New Roman" w:cs="Times New Roman"/>
          <w:sz w:val="28"/>
          <w:szCs w:val="28"/>
        </w:rPr>
        <w:t xml:space="preserve">the philosopher </w:t>
      </w:r>
      <w:r>
        <w:rPr>
          <w:rFonts w:ascii="Times New Roman" w:hAnsi="Times New Roman" w:cs="Times New Roman"/>
          <w:sz w:val="28"/>
          <w:szCs w:val="28"/>
        </w:rPr>
        <w:t xml:space="preserve">Giorgio Agamben </w:t>
      </w:r>
      <w:r w:rsidRPr="00363060">
        <w:rPr>
          <w:rFonts w:ascii="Times New Roman" w:hAnsi="Times New Roman" w:cs="Times New Roman"/>
          <w:sz w:val="28"/>
          <w:szCs w:val="28"/>
        </w:rPr>
        <w:t>terms</w:t>
      </w:r>
      <w:r>
        <w:rPr>
          <w:rFonts w:ascii="Times New Roman" w:hAnsi="Times New Roman" w:cs="Times New Roman"/>
          <w:sz w:val="28"/>
          <w:szCs w:val="28"/>
        </w:rPr>
        <w:t xml:space="preserve"> </w:t>
      </w:r>
      <w:r w:rsidRPr="001C4B0C">
        <w:rPr>
          <w:rFonts w:ascii="Times New Roman" w:hAnsi="Times New Roman" w:cs="Times New Roman"/>
          <w:sz w:val="28"/>
          <w:szCs w:val="28"/>
        </w:rPr>
        <w:t>bare life</w:t>
      </w:r>
      <w:r w:rsidR="00EF39F0">
        <w:rPr>
          <w:rFonts w:ascii="Times New Roman" w:hAnsi="Times New Roman" w:cs="Times New Roman"/>
          <w:sz w:val="28"/>
          <w:szCs w:val="28"/>
        </w:rPr>
        <w:t>,</w:t>
      </w:r>
      <w:r w:rsidRPr="001C4B0C">
        <w:rPr>
          <w:rFonts w:ascii="Times New Roman" w:hAnsi="Times New Roman" w:cs="Times New Roman"/>
          <w:sz w:val="28"/>
          <w:szCs w:val="28"/>
        </w:rPr>
        <w:t xml:space="preserve"> and untold (and uncalculated) numbers killed with impunity. The new global order has also, however, been marked by the scandalous resurgence of an older and more familiar form of violence, namely torture, which instead of being a ‘barbaric’ remnant of the west’s recent past and an aberrant aspect of the present, has revealed itself to be central to the manufacture of sovereignty (and, in light of </w:t>
      </w:r>
      <w:r w:rsidRPr="001C4B0C">
        <w:rPr>
          <w:rFonts w:ascii="Times New Roman" w:hAnsi="Times New Roman" w:cs="Times New Roman"/>
          <w:sz w:val="28"/>
          <w:szCs w:val="28"/>
        </w:rPr>
        <w:lastRenderedPageBreak/>
        <w:t>wide-scale public support for such violence, of consent) in liberal democratic states.</w:t>
      </w:r>
      <w:r w:rsidR="00EF39F0">
        <w:rPr>
          <w:rFonts w:ascii="Times New Roman" w:hAnsi="Times New Roman" w:cs="Times New Roman"/>
          <w:sz w:val="28"/>
          <w:szCs w:val="28"/>
        </w:rPr>
        <w:t xml:space="preserve"> </w:t>
      </w:r>
      <w:r w:rsidR="00A06B80">
        <w:rPr>
          <w:rFonts w:ascii="Times New Roman" w:hAnsi="Times New Roman" w:cs="Times New Roman"/>
          <w:sz w:val="28"/>
          <w:szCs w:val="28"/>
        </w:rPr>
        <w:t>My aim</w:t>
      </w:r>
      <w:r w:rsidR="008C7158">
        <w:rPr>
          <w:rFonts w:ascii="Times New Roman" w:hAnsi="Times New Roman" w:cs="Times New Roman"/>
          <w:sz w:val="28"/>
          <w:szCs w:val="28"/>
        </w:rPr>
        <w:t xml:space="preserve">, here, </w:t>
      </w:r>
      <w:r w:rsidRPr="001C4B0C">
        <w:rPr>
          <w:rFonts w:ascii="Times New Roman" w:hAnsi="Times New Roman" w:cs="Times New Roman"/>
          <w:sz w:val="28"/>
          <w:szCs w:val="28"/>
        </w:rPr>
        <w:t>is tease out the e</w:t>
      </w:r>
      <w:r>
        <w:rPr>
          <w:rFonts w:ascii="Times New Roman" w:hAnsi="Times New Roman" w:cs="Times New Roman"/>
          <w:sz w:val="28"/>
          <w:szCs w:val="28"/>
        </w:rPr>
        <w:t>xceptional natu</w:t>
      </w:r>
      <w:r w:rsidR="008C7158">
        <w:rPr>
          <w:rFonts w:ascii="Times New Roman" w:hAnsi="Times New Roman" w:cs="Times New Roman"/>
          <w:sz w:val="28"/>
          <w:szCs w:val="28"/>
        </w:rPr>
        <w:t xml:space="preserve">re of Abu Ghraib and </w:t>
      </w:r>
      <w:r w:rsidRPr="001C4B0C">
        <w:rPr>
          <w:rFonts w:ascii="Times New Roman" w:hAnsi="Times New Roman" w:cs="Times New Roman"/>
          <w:sz w:val="28"/>
          <w:szCs w:val="28"/>
        </w:rPr>
        <w:t xml:space="preserve">the sorts of violence </w:t>
      </w:r>
      <w:r w:rsidR="004C06B0">
        <w:rPr>
          <w:rFonts w:ascii="Times New Roman" w:hAnsi="Times New Roman" w:cs="Times New Roman"/>
          <w:sz w:val="28"/>
          <w:szCs w:val="28"/>
        </w:rPr>
        <w:t>such a legal state of exception made possible – particularly torture –</w:t>
      </w:r>
      <w:r w:rsidRPr="001C4B0C">
        <w:rPr>
          <w:rFonts w:ascii="Times New Roman" w:hAnsi="Times New Roman" w:cs="Times New Roman"/>
          <w:sz w:val="28"/>
          <w:szCs w:val="28"/>
        </w:rPr>
        <w:t xml:space="preserve"> </w:t>
      </w:r>
      <w:r w:rsidR="008C7158">
        <w:rPr>
          <w:rFonts w:ascii="Times New Roman" w:hAnsi="Times New Roman" w:cs="Times New Roman"/>
          <w:sz w:val="28"/>
          <w:szCs w:val="28"/>
        </w:rPr>
        <w:t xml:space="preserve">as well as to think about how both the exception and the scandals that exceptional spaces produce operate as </w:t>
      </w:r>
      <w:r w:rsidR="00B17E41">
        <w:rPr>
          <w:rFonts w:ascii="Times New Roman" w:hAnsi="Times New Roman" w:cs="Times New Roman"/>
          <w:sz w:val="28"/>
          <w:szCs w:val="28"/>
        </w:rPr>
        <w:t>means of controlling racial others</w:t>
      </w:r>
      <w:r w:rsidR="008C7158">
        <w:rPr>
          <w:rFonts w:ascii="Times New Roman" w:hAnsi="Times New Roman" w:cs="Times New Roman"/>
          <w:sz w:val="28"/>
          <w:szCs w:val="28"/>
        </w:rPr>
        <w:t>.</w:t>
      </w:r>
    </w:p>
    <w:p w:rsidR="005354A4" w:rsidRPr="005354A4" w:rsidRDefault="00E31B22" w:rsidP="00E31B22">
      <w:pPr>
        <w:spacing w:line="480" w:lineRule="auto"/>
        <w:rPr>
          <w:rFonts w:ascii="Times New Roman" w:hAnsi="Times New Roman" w:cs="Times New Roman"/>
          <w:sz w:val="28"/>
          <w:szCs w:val="28"/>
        </w:rPr>
      </w:pPr>
      <w:r w:rsidRPr="001C4B0C">
        <w:rPr>
          <w:rFonts w:ascii="Times New Roman" w:hAnsi="Times New Roman" w:cs="Times New Roman"/>
          <w:sz w:val="28"/>
          <w:szCs w:val="28"/>
        </w:rPr>
        <w:tab/>
      </w:r>
      <w:r w:rsidR="004C06B0">
        <w:rPr>
          <w:rFonts w:ascii="Times New Roman" w:hAnsi="Times New Roman" w:cs="Times New Roman"/>
          <w:sz w:val="28"/>
          <w:szCs w:val="28"/>
        </w:rPr>
        <w:t xml:space="preserve">The </w:t>
      </w:r>
      <w:r w:rsidR="00A06B80">
        <w:rPr>
          <w:rFonts w:ascii="Times New Roman" w:hAnsi="Times New Roman" w:cs="Times New Roman"/>
          <w:sz w:val="28"/>
          <w:szCs w:val="28"/>
        </w:rPr>
        <w:t>generation</w:t>
      </w:r>
      <w:r w:rsidR="004C06B0">
        <w:rPr>
          <w:rFonts w:ascii="Times New Roman" w:hAnsi="Times New Roman" w:cs="Times New Roman"/>
          <w:sz w:val="28"/>
          <w:szCs w:val="28"/>
        </w:rPr>
        <w:t xml:space="preserve"> of a state of exception by the United States after 9/11</w:t>
      </w:r>
      <w:r w:rsidRPr="001C4B0C">
        <w:rPr>
          <w:rFonts w:ascii="Times New Roman" w:hAnsi="Times New Roman" w:cs="Times New Roman"/>
          <w:sz w:val="28"/>
          <w:szCs w:val="28"/>
        </w:rPr>
        <w:t xml:space="preserve"> </w:t>
      </w:r>
      <w:r w:rsidR="004C06B0">
        <w:rPr>
          <w:rFonts w:ascii="Times New Roman" w:hAnsi="Times New Roman" w:cs="Times New Roman"/>
          <w:sz w:val="28"/>
          <w:szCs w:val="28"/>
        </w:rPr>
        <w:t xml:space="preserve">was, to begin with, spurred by boundary loss, namely by a </w:t>
      </w:r>
      <w:r w:rsidRPr="001C4B0C">
        <w:rPr>
          <w:rFonts w:ascii="Times New Roman" w:hAnsi="Times New Roman" w:cs="Times New Roman"/>
          <w:sz w:val="28"/>
          <w:szCs w:val="28"/>
        </w:rPr>
        <w:t xml:space="preserve">shattering of the United States’ </w:t>
      </w:r>
      <w:r w:rsidR="004C06B0">
        <w:rPr>
          <w:rFonts w:ascii="Times New Roman" w:hAnsi="Times New Roman" w:cs="Times New Roman"/>
          <w:sz w:val="28"/>
          <w:szCs w:val="28"/>
        </w:rPr>
        <w:t xml:space="preserve">belief that it has a right to transgress the sovereign borders of other states, but never </w:t>
      </w:r>
      <w:r w:rsidR="00A06B80">
        <w:rPr>
          <w:rFonts w:ascii="Times New Roman" w:hAnsi="Times New Roman" w:cs="Times New Roman"/>
          <w:sz w:val="28"/>
          <w:szCs w:val="28"/>
        </w:rPr>
        <w:t xml:space="preserve">to </w:t>
      </w:r>
      <w:r w:rsidR="004C06B0">
        <w:rPr>
          <w:rFonts w:ascii="Times New Roman" w:hAnsi="Times New Roman" w:cs="Times New Roman"/>
          <w:sz w:val="28"/>
          <w:szCs w:val="28"/>
        </w:rPr>
        <w:t xml:space="preserve">be in the position of having its own borders transgressed. </w:t>
      </w:r>
      <w:r w:rsidR="004C06B0" w:rsidRPr="004C06B0">
        <w:rPr>
          <w:rFonts w:ascii="Times New Roman" w:hAnsi="Times New Roman" w:cs="Times New Roman"/>
          <w:sz w:val="28"/>
          <w:szCs w:val="28"/>
        </w:rPr>
        <w:t xml:space="preserve">The country’s response to such a threat was to declare a national emergency, which included the enactment of a military order </w:t>
      </w:r>
      <w:r w:rsidR="004C06B0">
        <w:rPr>
          <w:rFonts w:ascii="Times New Roman" w:hAnsi="Times New Roman" w:cs="Times New Roman"/>
          <w:sz w:val="28"/>
          <w:szCs w:val="28"/>
        </w:rPr>
        <w:t>regarding the “</w:t>
      </w:r>
      <w:r w:rsidR="004C06B0" w:rsidRPr="004C06B0">
        <w:rPr>
          <w:rFonts w:ascii="Times New Roman" w:hAnsi="Times New Roman" w:cs="Times New Roman"/>
          <w:sz w:val="28"/>
          <w:szCs w:val="28"/>
        </w:rPr>
        <w:t>Detention, Treatment, and Trial of Certain Non-Citize</w:t>
      </w:r>
      <w:r w:rsidR="004C06B0">
        <w:rPr>
          <w:rFonts w:ascii="Times New Roman" w:hAnsi="Times New Roman" w:cs="Times New Roman"/>
          <w:sz w:val="28"/>
          <w:szCs w:val="28"/>
        </w:rPr>
        <w:t>ns in the War Against Terrorism</w:t>
      </w:r>
      <w:r w:rsidR="004C06B0" w:rsidRPr="004C06B0">
        <w:rPr>
          <w:rFonts w:ascii="Times New Roman" w:hAnsi="Times New Roman" w:cs="Times New Roman"/>
          <w:sz w:val="28"/>
          <w:szCs w:val="28"/>
        </w:rPr>
        <w:t>”</w:t>
      </w:r>
      <w:r w:rsidR="004C06B0">
        <w:rPr>
          <w:rFonts w:ascii="Times New Roman" w:hAnsi="Times New Roman" w:cs="Times New Roman"/>
          <w:sz w:val="28"/>
          <w:szCs w:val="28"/>
        </w:rPr>
        <w:t>. The order sanctioned the indefinite detention</w:t>
      </w:r>
      <w:r w:rsidRPr="001C4B0C">
        <w:rPr>
          <w:rFonts w:ascii="Times New Roman" w:hAnsi="Times New Roman" w:cs="Times New Roman"/>
          <w:sz w:val="28"/>
          <w:szCs w:val="28"/>
        </w:rPr>
        <w:t xml:space="preserve"> and extra-judicial trial of individuals engaged in what the U.S. regarded as suspected terrorist activities who were not </w:t>
      </w:r>
      <w:r w:rsidR="00B17E41">
        <w:rPr>
          <w:rFonts w:ascii="Times New Roman" w:hAnsi="Times New Roman" w:cs="Times New Roman"/>
          <w:sz w:val="28"/>
          <w:szCs w:val="28"/>
        </w:rPr>
        <w:t>United States</w:t>
      </w:r>
      <w:r w:rsidR="005354A4">
        <w:rPr>
          <w:rFonts w:ascii="Times New Roman" w:hAnsi="Times New Roman" w:cs="Times New Roman"/>
          <w:sz w:val="28"/>
          <w:szCs w:val="28"/>
        </w:rPr>
        <w:t xml:space="preserve"> citizens</w:t>
      </w:r>
      <w:r w:rsidR="005354A4" w:rsidRPr="003E09A1">
        <w:rPr>
          <w:rFonts w:ascii="Times New Roman" w:hAnsi="Times New Roman" w:cs="Times New Roman"/>
          <w:sz w:val="24"/>
          <w:szCs w:val="24"/>
        </w:rPr>
        <w:t xml:space="preserve">. </w:t>
      </w:r>
      <w:r w:rsidR="005354A4" w:rsidRPr="005354A4">
        <w:rPr>
          <w:rFonts w:ascii="Times New Roman" w:hAnsi="Times New Roman" w:cs="Times New Roman"/>
          <w:sz w:val="28"/>
          <w:szCs w:val="28"/>
        </w:rPr>
        <w:t>Suspects detained under the order could be jailed without charge, refused knowledge of the evidence used against them and sentenced by courts that followed no recognised rules. Guantánamo, an imperial relic, was selected as the site of detention for such suspects in light of its ambiguous sovereign status as part neither of Cuba nor the United States.</w:t>
      </w:r>
    </w:p>
    <w:p w:rsidR="00E31B22" w:rsidRPr="001C4B0C" w:rsidRDefault="00E31B22" w:rsidP="005354A4">
      <w:pPr>
        <w:spacing w:line="480" w:lineRule="auto"/>
        <w:ind w:firstLine="720"/>
        <w:rPr>
          <w:rFonts w:ascii="Times New Roman" w:hAnsi="Times New Roman" w:cs="Times New Roman"/>
          <w:sz w:val="28"/>
          <w:szCs w:val="28"/>
        </w:rPr>
      </w:pPr>
      <w:r w:rsidRPr="001C4B0C">
        <w:rPr>
          <w:rFonts w:ascii="Times New Roman" w:hAnsi="Times New Roman" w:cs="Times New Roman"/>
          <w:sz w:val="28"/>
          <w:szCs w:val="28"/>
        </w:rPr>
        <w:lastRenderedPageBreak/>
        <w:t xml:space="preserve">What </w:t>
      </w:r>
      <w:r w:rsidR="00A06B80">
        <w:rPr>
          <w:rFonts w:ascii="Times New Roman" w:hAnsi="Times New Roman" w:cs="Times New Roman"/>
          <w:sz w:val="28"/>
          <w:szCs w:val="28"/>
        </w:rPr>
        <w:t>the</w:t>
      </w:r>
      <w:r w:rsidRPr="001C4B0C">
        <w:rPr>
          <w:rFonts w:ascii="Times New Roman" w:hAnsi="Times New Roman" w:cs="Times New Roman"/>
          <w:sz w:val="28"/>
          <w:szCs w:val="28"/>
        </w:rPr>
        <w:t xml:space="preserve"> order therefore established was a state of exception, for in eradicating the legal status of individuals such an order served to suspend the juridical order and render them subject to a system of rule outside the law and judicial oversight. It was this suspension of the law that enabled the extension of sovereign power through governmental practices, namely through the aegis of managerial officials, operating extra-legally,</w:t>
      </w:r>
      <w:r w:rsidR="005354A4">
        <w:rPr>
          <w:rFonts w:ascii="Times New Roman" w:hAnsi="Times New Roman" w:cs="Times New Roman"/>
          <w:sz w:val="28"/>
          <w:szCs w:val="28"/>
        </w:rPr>
        <w:t xml:space="preserve"> who</w:t>
      </w:r>
      <w:r w:rsidRPr="001C4B0C">
        <w:rPr>
          <w:rFonts w:ascii="Times New Roman" w:hAnsi="Times New Roman" w:cs="Times New Roman"/>
          <w:sz w:val="28"/>
          <w:szCs w:val="28"/>
        </w:rPr>
        <w:t xml:space="preserve"> assumed the power to decide who was to be detained (including indefinitely) and tried. The soverei</w:t>
      </w:r>
      <w:r w:rsidR="005354A4">
        <w:rPr>
          <w:rFonts w:ascii="Times New Roman" w:hAnsi="Times New Roman" w:cs="Times New Roman"/>
          <w:sz w:val="28"/>
          <w:szCs w:val="28"/>
        </w:rPr>
        <w:t>gnty thus produced was, therefore, a rogue and lawless one</w:t>
      </w:r>
      <w:r w:rsidRPr="001C4B0C">
        <w:rPr>
          <w:rFonts w:ascii="Times New Roman" w:hAnsi="Times New Roman" w:cs="Times New Roman"/>
          <w:sz w:val="28"/>
          <w:szCs w:val="28"/>
        </w:rPr>
        <w:t xml:space="preserve"> in which the executive, in conjunction with military authorities, </w:t>
      </w:r>
      <w:r w:rsidR="00F75B1F">
        <w:rPr>
          <w:rFonts w:ascii="Times New Roman" w:hAnsi="Times New Roman" w:cs="Times New Roman"/>
          <w:sz w:val="28"/>
          <w:szCs w:val="28"/>
        </w:rPr>
        <w:t>became</w:t>
      </w:r>
      <w:r w:rsidRPr="001C4B0C">
        <w:rPr>
          <w:rFonts w:ascii="Times New Roman" w:hAnsi="Times New Roman" w:cs="Times New Roman"/>
          <w:sz w:val="28"/>
          <w:szCs w:val="28"/>
        </w:rPr>
        <w:t xml:space="preserve"> the final arbiter of individuals’ guilt or innocence, as well as their punishment. </w:t>
      </w:r>
    </w:p>
    <w:p w:rsidR="00E31B22" w:rsidRPr="001C4B0C" w:rsidRDefault="00E31B22" w:rsidP="00240408">
      <w:pPr>
        <w:spacing w:line="480" w:lineRule="auto"/>
        <w:ind w:firstLine="720"/>
        <w:rPr>
          <w:rFonts w:ascii="Times New Roman" w:hAnsi="Times New Roman" w:cs="Times New Roman"/>
          <w:sz w:val="28"/>
          <w:szCs w:val="28"/>
        </w:rPr>
      </w:pPr>
      <w:r w:rsidRPr="001C4B0C">
        <w:rPr>
          <w:rFonts w:ascii="Times New Roman" w:hAnsi="Times New Roman" w:cs="Times New Roman"/>
          <w:sz w:val="28"/>
          <w:szCs w:val="28"/>
        </w:rPr>
        <w:t>The individuals detained under such prerogatory power were th</w:t>
      </w:r>
      <w:r w:rsidR="00315CAB">
        <w:rPr>
          <w:rFonts w:ascii="Times New Roman" w:hAnsi="Times New Roman" w:cs="Times New Roman"/>
          <w:sz w:val="28"/>
          <w:szCs w:val="28"/>
        </w:rPr>
        <w:t>erefore</w:t>
      </w:r>
      <w:r w:rsidRPr="001C4B0C">
        <w:rPr>
          <w:rFonts w:ascii="Times New Roman" w:hAnsi="Times New Roman" w:cs="Times New Roman"/>
          <w:sz w:val="28"/>
          <w:szCs w:val="28"/>
        </w:rPr>
        <w:t xml:space="preserve"> rendered what</w:t>
      </w:r>
      <w:r>
        <w:rPr>
          <w:rFonts w:ascii="Times New Roman" w:hAnsi="Times New Roman" w:cs="Times New Roman"/>
          <w:sz w:val="28"/>
          <w:szCs w:val="28"/>
        </w:rPr>
        <w:t xml:space="preserve"> </w:t>
      </w:r>
      <w:r w:rsidRPr="001C4B0C">
        <w:rPr>
          <w:rFonts w:ascii="Times New Roman" w:hAnsi="Times New Roman" w:cs="Times New Roman"/>
          <w:sz w:val="28"/>
          <w:szCs w:val="28"/>
        </w:rPr>
        <w:t xml:space="preserve">Agamben refers to as bare life, or </w:t>
      </w:r>
      <w:r w:rsidRPr="001C4B0C">
        <w:rPr>
          <w:rFonts w:ascii="Times New Roman" w:hAnsi="Times New Roman" w:cs="Times New Roman"/>
          <w:i/>
          <w:sz w:val="28"/>
          <w:szCs w:val="28"/>
        </w:rPr>
        <w:t>homines sacrii</w:t>
      </w:r>
      <w:r w:rsidRPr="001C4B0C">
        <w:rPr>
          <w:rFonts w:ascii="Times New Roman" w:hAnsi="Times New Roman" w:cs="Times New Roman"/>
          <w:sz w:val="28"/>
          <w:szCs w:val="28"/>
        </w:rPr>
        <w:t xml:space="preserve">, and hence as capable of </w:t>
      </w:r>
      <w:r w:rsidR="00315CAB">
        <w:rPr>
          <w:rFonts w:ascii="Times New Roman" w:hAnsi="Times New Roman" w:cs="Times New Roman"/>
          <w:sz w:val="28"/>
          <w:szCs w:val="28"/>
        </w:rPr>
        <w:t>being subjected to the full force of sovereign power</w:t>
      </w:r>
      <w:r w:rsidR="00240408">
        <w:rPr>
          <w:rFonts w:ascii="Times New Roman" w:hAnsi="Times New Roman" w:cs="Times New Roman"/>
          <w:sz w:val="28"/>
          <w:szCs w:val="28"/>
        </w:rPr>
        <w:t>, including torture</w:t>
      </w:r>
      <w:r w:rsidR="00315CAB">
        <w:rPr>
          <w:rFonts w:ascii="Times New Roman" w:hAnsi="Times New Roman" w:cs="Times New Roman"/>
          <w:sz w:val="28"/>
          <w:szCs w:val="28"/>
        </w:rPr>
        <w:t>.</w:t>
      </w:r>
      <w:r w:rsidR="00240408">
        <w:rPr>
          <w:rFonts w:ascii="Times New Roman" w:hAnsi="Times New Roman" w:cs="Times New Roman"/>
          <w:sz w:val="28"/>
          <w:szCs w:val="28"/>
        </w:rPr>
        <w:t xml:space="preserve"> </w:t>
      </w:r>
      <w:r w:rsidRPr="001C4B0C">
        <w:rPr>
          <w:rFonts w:ascii="Times New Roman" w:hAnsi="Times New Roman" w:cs="Times New Roman"/>
          <w:sz w:val="28"/>
          <w:szCs w:val="28"/>
        </w:rPr>
        <w:t>The military order and the location of Guantánamo served</w:t>
      </w:r>
      <w:r w:rsidR="00240408">
        <w:rPr>
          <w:rFonts w:ascii="Times New Roman" w:hAnsi="Times New Roman" w:cs="Times New Roman"/>
          <w:sz w:val="28"/>
          <w:szCs w:val="28"/>
        </w:rPr>
        <w:t>, in fact,</w:t>
      </w:r>
      <w:r w:rsidRPr="001C4B0C">
        <w:rPr>
          <w:rFonts w:ascii="Times New Roman" w:hAnsi="Times New Roman" w:cs="Times New Roman"/>
          <w:sz w:val="28"/>
          <w:szCs w:val="28"/>
        </w:rPr>
        <w:t xml:space="preserve"> to annul domestic legal means to protect prisoners from torture, although torture was, notably, carried o</w:t>
      </w:r>
      <w:r w:rsidR="00240408">
        <w:rPr>
          <w:rFonts w:ascii="Times New Roman" w:hAnsi="Times New Roman" w:cs="Times New Roman"/>
          <w:sz w:val="28"/>
          <w:szCs w:val="28"/>
        </w:rPr>
        <w:t>ut in other spaces of exception</w:t>
      </w:r>
      <w:r w:rsidR="00E24883">
        <w:rPr>
          <w:rFonts w:ascii="Times New Roman" w:hAnsi="Times New Roman" w:cs="Times New Roman"/>
          <w:sz w:val="28"/>
          <w:szCs w:val="28"/>
        </w:rPr>
        <w:t xml:space="preserve"> – most notably, of course, at</w:t>
      </w:r>
      <w:r w:rsidR="00240408">
        <w:rPr>
          <w:rFonts w:ascii="Times New Roman" w:hAnsi="Times New Roman" w:cs="Times New Roman"/>
          <w:sz w:val="28"/>
          <w:szCs w:val="28"/>
        </w:rPr>
        <w:t xml:space="preserve"> </w:t>
      </w:r>
      <w:r w:rsidRPr="001C4B0C">
        <w:rPr>
          <w:rFonts w:ascii="Times New Roman" w:hAnsi="Times New Roman" w:cs="Times New Roman"/>
          <w:sz w:val="28"/>
          <w:szCs w:val="28"/>
        </w:rPr>
        <w:t xml:space="preserve">Abu Ghraib. Moreover, the International Convention Against Torture and Other Cruel, Inhuman or Degrading Treatment or Punishment, ratified by the United States in 1994, was circumvented by attempts to distinguish between torture and acts that, while </w:t>
      </w:r>
      <w:r w:rsidR="00240408">
        <w:rPr>
          <w:rFonts w:ascii="Times New Roman" w:hAnsi="Times New Roman" w:cs="Times New Roman"/>
          <w:sz w:val="28"/>
          <w:szCs w:val="28"/>
        </w:rPr>
        <w:t>cruel or degrading, fell short of actual torture</w:t>
      </w:r>
      <w:r w:rsidRPr="001C4B0C">
        <w:rPr>
          <w:rFonts w:ascii="Times New Roman" w:hAnsi="Times New Roman" w:cs="Times New Roman"/>
          <w:sz w:val="28"/>
          <w:szCs w:val="28"/>
        </w:rPr>
        <w:t xml:space="preserve">. </w:t>
      </w:r>
    </w:p>
    <w:p w:rsidR="000F2A75" w:rsidRDefault="00E31B22" w:rsidP="000F2A75">
      <w:pPr>
        <w:spacing w:line="480" w:lineRule="auto"/>
        <w:ind w:firstLine="720"/>
        <w:rPr>
          <w:rFonts w:ascii="Times New Roman" w:hAnsi="Times New Roman" w:cs="Times New Roman"/>
          <w:sz w:val="28"/>
          <w:szCs w:val="28"/>
        </w:rPr>
      </w:pPr>
      <w:r w:rsidRPr="001C4B0C">
        <w:rPr>
          <w:rFonts w:ascii="Times New Roman" w:hAnsi="Times New Roman" w:cs="Times New Roman"/>
          <w:sz w:val="28"/>
          <w:szCs w:val="28"/>
        </w:rPr>
        <w:t>Although the United States’ international torture regime was an open secret, and had already been subject to an internal investigation, it did not become a scandal until the torture at Abu Ghraib was exposed on the progr</w:t>
      </w:r>
      <w:r w:rsidR="00240408">
        <w:rPr>
          <w:rFonts w:ascii="Times New Roman" w:hAnsi="Times New Roman" w:cs="Times New Roman"/>
          <w:sz w:val="28"/>
          <w:szCs w:val="28"/>
        </w:rPr>
        <w:t xml:space="preserve">amme </w:t>
      </w:r>
      <w:r w:rsidR="00240408" w:rsidRPr="00240408">
        <w:rPr>
          <w:rFonts w:ascii="Times New Roman" w:hAnsi="Times New Roman" w:cs="Times New Roman"/>
          <w:i/>
          <w:sz w:val="28"/>
          <w:szCs w:val="28"/>
        </w:rPr>
        <w:t>60 Minutes II</w:t>
      </w:r>
      <w:r w:rsidRPr="001C4B0C">
        <w:rPr>
          <w:rFonts w:ascii="Times New Roman" w:hAnsi="Times New Roman" w:cs="Times New Roman"/>
          <w:sz w:val="28"/>
          <w:szCs w:val="28"/>
        </w:rPr>
        <w:t xml:space="preserve"> in April 2004. The response of the U.S. administration was two-fold: to depict such torture as an aberration, since it was anathema to the American values of democracy, freedom and human rights; and to displace blame from the state, which had systemati</w:t>
      </w:r>
      <w:r w:rsidR="00A06B80">
        <w:rPr>
          <w:rFonts w:ascii="Times New Roman" w:hAnsi="Times New Roman" w:cs="Times New Roman"/>
          <w:sz w:val="28"/>
          <w:szCs w:val="28"/>
        </w:rPr>
        <w:t>s</w:t>
      </w:r>
      <w:r w:rsidRPr="001C4B0C">
        <w:rPr>
          <w:rFonts w:ascii="Times New Roman" w:hAnsi="Times New Roman" w:cs="Times New Roman"/>
          <w:sz w:val="28"/>
          <w:szCs w:val="28"/>
        </w:rPr>
        <w:t>ed the use of torture as a technolo</w:t>
      </w:r>
      <w:r w:rsidR="00240408">
        <w:rPr>
          <w:rFonts w:ascii="Times New Roman" w:hAnsi="Times New Roman" w:cs="Times New Roman"/>
          <w:sz w:val="28"/>
          <w:szCs w:val="28"/>
        </w:rPr>
        <w:t>gy of sovereign violence, onto rogue individuals</w:t>
      </w:r>
      <w:r w:rsidRPr="001C4B0C">
        <w:rPr>
          <w:rFonts w:ascii="Times New Roman" w:hAnsi="Times New Roman" w:cs="Times New Roman"/>
          <w:sz w:val="28"/>
          <w:szCs w:val="28"/>
        </w:rPr>
        <w:t xml:space="preserve">. While the United States has a long history of torturing </w:t>
      </w:r>
      <w:r w:rsidR="00240408">
        <w:rPr>
          <w:rFonts w:ascii="Times New Roman" w:hAnsi="Times New Roman" w:cs="Times New Roman"/>
          <w:sz w:val="28"/>
          <w:szCs w:val="28"/>
        </w:rPr>
        <w:t>racial others</w:t>
      </w:r>
      <w:r w:rsidRPr="001C4B0C">
        <w:rPr>
          <w:rFonts w:ascii="Times New Roman" w:hAnsi="Times New Roman" w:cs="Times New Roman"/>
          <w:sz w:val="28"/>
          <w:szCs w:val="28"/>
        </w:rPr>
        <w:t xml:space="preserve"> or of exporting torture training to its non-democratic allies, what was particularly striking about the Abu Ghraib scandal was what it revealed about the relationship between torture, pornography and spectacle in American culture. The photographs of naked Iraqi men in chains, on a lead, stacked in a monstrous pile and performing or simulating sex acts were conceptualised and carried out as pornography. In being photographed undergoing various forms of sexual violence, violation and humiliation the torture victims in the photographs were not only, therefore, being forced into the role of pornographic actors</w:t>
      </w:r>
      <w:r w:rsidR="00ED3569">
        <w:rPr>
          <w:rFonts w:ascii="Times New Roman" w:hAnsi="Times New Roman" w:cs="Times New Roman"/>
          <w:sz w:val="28"/>
          <w:szCs w:val="28"/>
        </w:rPr>
        <w:t>,</w:t>
      </w:r>
      <w:r w:rsidRPr="001C4B0C">
        <w:rPr>
          <w:rFonts w:ascii="Times New Roman" w:hAnsi="Times New Roman" w:cs="Times New Roman"/>
          <w:sz w:val="28"/>
          <w:szCs w:val="28"/>
        </w:rPr>
        <w:t xml:space="preserve"> they were also being inducted into American culture. Since pornography, like torture, is a form of dehumanisation, the staging of torture as pornography served</w:t>
      </w:r>
      <w:r w:rsidR="00A06B80">
        <w:rPr>
          <w:rFonts w:ascii="Times New Roman" w:hAnsi="Times New Roman" w:cs="Times New Roman"/>
          <w:sz w:val="28"/>
          <w:szCs w:val="28"/>
        </w:rPr>
        <w:t xml:space="preserve"> </w:t>
      </w:r>
      <w:r w:rsidRPr="001C4B0C">
        <w:rPr>
          <w:rFonts w:ascii="Times New Roman" w:hAnsi="Times New Roman" w:cs="Times New Roman"/>
          <w:sz w:val="28"/>
          <w:szCs w:val="28"/>
        </w:rPr>
        <w:t xml:space="preserve">not only to humiliate and emasculate Iraqi men, but to </w:t>
      </w:r>
      <w:r w:rsidRPr="001C4B0C">
        <w:rPr>
          <w:rFonts w:ascii="Times New Roman" w:hAnsi="Times New Roman" w:cs="Times New Roman"/>
          <w:i/>
          <w:sz w:val="28"/>
          <w:szCs w:val="28"/>
        </w:rPr>
        <w:t>transform</w:t>
      </w:r>
      <w:r w:rsidRPr="001C4B0C">
        <w:rPr>
          <w:rFonts w:ascii="Times New Roman" w:hAnsi="Times New Roman" w:cs="Times New Roman"/>
          <w:sz w:val="28"/>
          <w:szCs w:val="28"/>
        </w:rPr>
        <w:t xml:space="preserve"> them into the (white) American image of non-white men, namely as hyper-sexual, unmasculine, and inhuman – and, in the process, to justify the violence and dehumani</w:t>
      </w:r>
      <w:r w:rsidR="002419F8">
        <w:rPr>
          <w:rFonts w:ascii="Times New Roman" w:hAnsi="Times New Roman" w:cs="Times New Roman"/>
          <w:sz w:val="28"/>
          <w:szCs w:val="28"/>
        </w:rPr>
        <w:t>s</w:t>
      </w:r>
      <w:r w:rsidRPr="001C4B0C">
        <w:rPr>
          <w:rFonts w:ascii="Times New Roman" w:hAnsi="Times New Roman" w:cs="Times New Roman"/>
          <w:sz w:val="28"/>
          <w:szCs w:val="28"/>
        </w:rPr>
        <w:t xml:space="preserve">ation to which they were subject. </w:t>
      </w:r>
    </w:p>
    <w:p w:rsidR="00E31B22" w:rsidRPr="000F2A75" w:rsidRDefault="00E31B22" w:rsidP="000F2A75">
      <w:pPr>
        <w:spacing w:line="480" w:lineRule="auto"/>
        <w:ind w:firstLine="720"/>
        <w:rPr>
          <w:rFonts w:ascii="Times New Roman" w:hAnsi="Times New Roman" w:cs="Times New Roman"/>
          <w:sz w:val="28"/>
          <w:szCs w:val="28"/>
        </w:rPr>
      </w:pPr>
      <w:r w:rsidRPr="001C4B0C">
        <w:rPr>
          <w:rFonts w:ascii="Times New Roman" w:hAnsi="Times New Roman" w:cs="Times New Roman"/>
          <w:color w:val="000000"/>
          <w:sz w:val="28"/>
          <w:szCs w:val="28"/>
        </w:rPr>
        <w:t>Rather than being an aberration, the photographs t</w:t>
      </w:r>
      <w:r w:rsidR="00A06B80">
        <w:rPr>
          <w:rFonts w:ascii="Times New Roman" w:hAnsi="Times New Roman" w:cs="Times New Roman"/>
          <w:color w:val="000000"/>
          <w:sz w:val="28"/>
          <w:szCs w:val="28"/>
        </w:rPr>
        <w:t>hus instead</w:t>
      </w:r>
      <w:r w:rsidRPr="001C4B0C">
        <w:rPr>
          <w:rFonts w:ascii="Times New Roman" w:hAnsi="Times New Roman" w:cs="Times New Roman"/>
          <w:color w:val="000000"/>
          <w:sz w:val="28"/>
          <w:szCs w:val="28"/>
        </w:rPr>
        <w:t xml:space="preserve"> laid bare the reality not only that “American values” such as democracy, freedom and human rights did not apply to those perceived as inhuman others, but that the enactment of sexual violence on “deviant” bodies, and its transformation into spectacle, were central to the construction of such values. </w:t>
      </w:r>
      <w:r w:rsidR="002419F8">
        <w:rPr>
          <w:rFonts w:ascii="Times New Roman" w:hAnsi="Times New Roman" w:cs="Times New Roman"/>
          <w:color w:val="000000"/>
          <w:sz w:val="28"/>
          <w:szCs w:val="28"/>
        </w:rPr>
        <w:t>The focus on a handful of purportedly rogue individuals</w:t>
      </w:r>
      <w:r w:rsidRPr="001C4B0C">
        <w:rPr>
          <w:rFonts w:ascii="Times New Roman" w:hAnsi="Times New Roman" w:cs="Times New Roman"/>
          <w:color w:val="000000"/>
          <w:sz w:val="28"/>
          <w:szCs w:val="28"/>
        </w:rPr>
        <w:t xml:space="preserve"> as the agents of torture at Abu Ghraib ultimately served, </w:t>
      </w:r>
      <w:r w:rsidR="000F2A75">
        <w:rPr>
          <w:rFonts w:ascii="Times New Roman" w:hAnsi="Times New Roman" w:cs="Times New Roman"/>
          <w:color w:val="000000"/>
          <w:sz w:val="28"/>
          <w:szCs w:val="28"/>
        </w:rPr>
        <w:t>moreover</w:t>
      </w:r>
      <w:r w:rsidRPr="001C4B0C">
        <w:rPr>
          <w:rFonts w:ascii="Times New Roman" w:hAnsi="Times New Roman" w:cs="Times New Roman"/>
          <w:color w:val="000000"/>
          <w:sz w:val="28"/>
          <w:szCs w:val="28"/>
        </w:rPr>
        <w:t xml:space="preserve">, to obscure the structural and systemic nature of such violence in the perpetuation of the </w:t>
      </w:r>
      <w:r>
        <w:rPr>
          <w:rFonts w:ascii="Times New Roman" w:hAnsi="Times New Roman" w:cs="Times New Roman"/>
          <w:color w:val="000000"/>
          <w:sz w:val="28"/>
          <w:szCs w:val="28"/>
        </w:rPr>
        <w:t xml:space="preserve">so-called </w:t>
      </w:r>
      <w:r w:rsidRPr="001C4B0C">
        <w:rPr>
          <w:rFonts w:ascii="Times New Roman" w:hAnsi="Times New Roman" w:cs="Times New Roman"/>
          <w:color w:val="000000"/>
          <w:sz w:val="28"/>
          <w:szCs w:val="28"/>
        </w:rPr>
        <w:t>“war on terror”</w:t>
      </w:r>
      <w:r w:rsidR="00A06B80">
        <w:rPr>
          <w:rFonts w:ascii="Times New Roman" w:hAnsi="Times New Roman" w:cs="Times New Roman"/>
          <w:color w:val="000000"/>
          <w:sz w:val="28"/>
          <w:szCs w:val="28"/>
        </w:rPr>
        <w:t>,</w:t>
      </w:r>
      <w:r w:rsidRPr="001C4B0C">
        <w:rPr>
          <w:rFonts w:ascii="Times New Roman" w:hAnsi="Times New Roman" w:cs="Times New Roman"/>
          <w:color w:val="000000"/>
          <w:sz w:val="28"/>
          <w:szCs w:val="28"/>
        </w:rPr>
        <w:t xml:space="preserve"> and the ways in which, since </w:t>
      </w:r>
      <w:r w:rsidR="000F2A75">
        <w:rPr>
          <w:rFonts w:ascii="Times New Roman" w:hAnsi="Times New Roman" w:cs="Times New Roman"/>
          <w:color w:val="000000"/>
          <w:sz w:val="28"/>
          <w:szCs w:val="28"/>
        </w:rPr>
        <w:t xml:space="preserve">one of the primary aims of torture is to terrorise, </w:t>
      </w:r>
      <w:r w:rsidRPr="001C4B0C">
        <w:rPr>
          <w:rFonts w:ascii="Times New Roman" w:hAnsi="Times New Roman" w:cs="Times New Roman"/>
          <w:color w:val="000000"/>
          <w:sz w:val="28"/>
          <w:szCs w:val="28"/>
        </w:rPr>
        <w:t xml:space="preserve">torture operated as part of what was in reality a war </w:t>
      </w:r>
      <w:r w:rsidRPr="001C4B0C">
        <w:rPr>
          <w:rFonts w:ascii="Times New Roman" w:hAnsi="Times New Roman" w:cs="Times New Roman"/>
          <w:i/>
          <w:color w:val="000000"/>
          <w:sz w:val="28"/>
          <w:szCs w:val="28"/>
        </w:rPr>
        <w:t>of</w:t>
      </w:r>
      <w:r w:rsidRPr="001C4B0C">
        <w:rPr>
          <w:rFonts w:ascii="Times New Roman" w:hAnsi="Times New Roman" w:cs="Times New Roman"/>
          <w:color w:val="000000"/>
          <w:sz w:val="28"/>
          <w:szCs w:val="28"/>
        </w:rPr>
        <w:t xml:space="preserve"> terro</w:t>
      </w:r>
      <w:r w:rsidR="000F2A75">
        <w:rPr>
          <w:rFonts w:ascii="Times New Roman" w:hAnsi="Times New Roman" w:cs="Times New Roman"/>
          <w:color w:val="000000"/>
          <w:sz w:val="28"/>
          <w:szCs w:val="28"/>
        </w:rPr>
        <w:t>r against colonised populations</w:t>
      </w:r>
      <w:r w:rsidRPr="001C4B0C">
        <w:rPr>
          <w:rFonts w:ascii="Times New Roman" w:hAnsi="Times New Roman" w:cs="Times New Roman"/>
          <w:color w:val="000000"/>
          <w:sz w:val="28"/>
          <w:szCs w:val="28"/>
        </w:rPr>
        <w:t>.</w:t>
      </w:r>
    </w:p>
    <w:p w:rsidR="00E31B22" w:rsidRPr="001C4B0C" w:rsidRDefault="00E31B22" w:rsidP="00E31B22">
      <w:pPr>
        <w:spacing w:line="480" w:lineRule="auto"/>
        <w:rPr>
          <w:rFonts w:ascii="Times New Roman" w:hAnsi="Times New Roman" w:cs="Times New Roman"/>
          <w:color w:val="000000"/>
          <w:sz w:val="28"/>
          <w:szCs w:val="28"/>
        </w:rPr>
      </w:pPr>
      <w:r w:rsidRPr="001C4B0C">
        <w:rPr>
          <w:rFonts w:ascii="Times New Roman" w:hAnsi="Times New Roman" w:cs="Times New Roman"/>
          <w:color w:val="000000"/>
          <w:sz w:val="28"/>
          <w:szCs w:val="28"/>
        </w:rPr>
        <w:tab/>
        <w:t xml:space="preserve">The Abu Ghraib scandal did nothing, therefore, to effect justice, or to transform the system of structural violence that produced it – but such scandals never do. </w:t>
      </w:r>
      <w:r w:rsidR="00DD549B">
        <w:rPr>
          <w:rFonts w:ascii="Times New Roman" w:hAnsi="Times New Roman" w:cs="Times New Roman"/>
          <w:color w:val="000000"/>
          <w:sz w:val="28"/>
          <w:szCs w:val="28"/>
        </w:rPr>
        <w:t xml:space="preserve">In fact, as the Indian historian Nicholas Dirks argues in </w:t>
      </w:r>
      <w:r w:rsidR="00DD549B">
        <w:rPr>
          <w:rFonts w:ascii="Times New Roman" w:hAnsi="Times New Roman" w:cs="Times New Roman"/>
          <w:i/>
          <w:color w:val="000000"/>
          <w:sz w:val="28"/>
          <w:szCs w:val="28"/>
        </w:rPr>
        <w:t>The Scandal of Empire</w:t>
      </w:r>
      <w:r w:rsidR="00DD549B">
        <w:rPr>
          <w:rFonts w:ascii="Times New Roman" w:hAnsi="Times New Roman" w:cs="Times New Roman"/>
          <w:color w:val="000000"/>
          <w:sz w:val="28"/>
          <w:szCs w:val="28"/>
        </w:rPr>
        <w:t xml:space="preserve"> (2006), public scandals instead operate as ritual moments that serve to erase the scandal itself, not </w:t>
      </w:r>
      <w:r w:rsidR="002419F8">
        <w:rPr>
          <w:rFonts w:ascii="Times New Roman" w:hAnsi="Times New Roman" w:cs="Times New Roman"/>
          <w:color w:val="000000"/>
          <w:sz w:val="28"/>
          <w:szCs w:val="28"/>
        </w:rPr>
        <w:t>its systemic causes</w:t>
      </w:r>
      <w:r w:rsidR="00DD549B">
        <w:rPr>
          <w:rFonts w:ascii="Times New Roman" w:hAnsi="Times New Roman" w:cs="Times New Roman"/>
          <w:color w:val="000000"/>
          <w:sz w:val="28"/>
          <w:szCs w:val="28"/>
        </w:rPr>
        <w:t xml:space="preserve">. </w:t>
      </w:r>
      <w:r w:rsidRPr="001C4B0C">
        <w:rPr>
          <w:rFonts w:ascii="Times New Roman" w:hAnsi="Times New Roman" w:cs="Times New Roman"/>
          <w:color w:val="000000"/>
          <w:sz w:val="28"/>
          <w:szCs w:val="28"/>
        </w:rPr>
        <w:t xml:space="preserve">When it comes to empire, scandalous revelations about the transgression of social and political boundaries serve, therefore, to re-legitimise existing norms and to make empire appear to be a natural expansion of the sovereignty of the conquering power. </w:t>
      </w:r>
      <w:r w:rsidR="00D63190">
        <w:rPr>
          <w:rFonts w:ascii="Times New Roman" w:hAnsi="Times New Roman" w:cs="Times New Roman"/>
          <w:color w:val="000000"/>
          <w:sz w:val="28"/>
          <w:szCs w:val="28"/>
        </w:rPr>
        <w:t>In addition</w:t>
      </w:r>
      <w:r w:rsidRPr="001C4B0C">
        <w:rPr>
          <w:rFonts w:ascii="Times New Roman" w:hAnsi="Times New Roman" w:cs="Times New Roman"/>
          <w:color w:val="000000"/>
          <w:sz w:val="28"/>
          <w:szCs w:val="28"/>
        </w:rPr>
        <w:t>, in affirming the co</w:t>
      </w:r>
      <w:r w:rsidR="00D63190">
        <w:rPr>
          <w:rFonts w:ascii="Times New Roman" w:hAnsi="Times New Roman" w:cs="Times New Roman"/>
          <w:color w:val="000000"/>
          <w:sz w:val="28"/>
          <w:szCs w:val="28"/>
        </w:rPr>
        <w:t>lonisers’ view of the colonised</w:t>
      </w:r>
      <w:r w:rsidRPr="001C4B0C">
        <w:rPr>
          <w:rFonts w:ascii="Times New Roman" w:hAnsi="Times New Roman" w:cs="Times New Roman"/>
          <w:color w:val="000000"/>
          <w:sz w:val="28"/>
          <w:szCs w:val="28"/>
        </w:rPr>
        <w:t xml:space="preserve"> such scandals provide further justification for empire rather than undermining it. </w:t>
      </w:r>
    </w:p>
    <w:p w:rsidR="00E31B22" w:rsidRPr="001C4B0C" w:rsidRDefault="00E31B22" w:rsidP="00E31B22">
      <w:pPr>
        <w:spacing w:line="480" w:lineRule="auto"/>
        <w:ind w:firstLine="720"/>
        <w:rPr>
          <w:rFonts w:ascii="Times New Roman" w:hAnsi="Times New Roman" w:cs="Times New Roman"/>
          <w:sz w:val="28"/>
          <w:szCs w:val="28"/>
        </w:rPr>
      </w:pPr>
      <w:r w:rsidRPr="001C4B0C">
        <w:rPr>
          <w:rFonts w:ascii="Times New Roman" w:hAnsi="Times New Roman" w:cs="Times New Roman"/>
          <w:sz w:val="28"/>
          <w:szCs w:val="28"/>
        </w:rPr>
        <w:t xml:space="preserve">As the most recent in a long line of imperial torture scandals, the Abu Ghraib scandal </w:t>
      </w:r>
      <w:r w:rsidR="00CC2888">
        <w:rPr>
          <w:rFonts w:ascii="Times New Roman" w:hAnsi="Times New Roman" w:cs="Times New Roman"/>
          <w:sz w:val="28"/>
          <w:szCs w:val="28"/>
        </w:rPr>
        <w:t xml:space="preserve">thus </w:t>
      </w:r>
      <w:r w:rsidRPr="001C4B0C">
        <w:rPr>
          <w:rFonts w:ascii="Times New Roman" w:hAnsi="Times New Roman" w:cs="Times New Roman"/>
          <w:sz w:val="28"/>
          <w:szCs w:val="28"/>
        </w:rPr>
        <w:t xml:space="preserve">reveals how torture operates in imperial and colonial contexts. </w:t>
      </w:r>
      <w:r w:rsidR="00A06B80">
        <w:rPr>
          <w:rFonts w:ascii="Times New Roman" w:hAnsi="Times New Roman" w:cs="Times New Roman"/>
          <w:sz w:val="28"/>
          <w:szCs w:val="28"/>
        </w:rPr>
        <w:t>It</w:t>
      </w:r>
      <w:r w:rsidRPr="001C4B0C">
        <w:rPr>
          <w:rFonts w:ascii="Times New Roman" w:hAnsi="Times New Roman" w:cs="Times New Roman"/>
          <w:sz w:val="28"/>
          <w:szCs w:val="28"/>
        </w:rPr>
        <w:t xml:space="preserve"> makes evident, firstly, the unstable nature of imperial and colonial sovereignty, and of how, in an effort to restore and extend such sovereignty, the exception not only emerges but becomes the norm. </w:t>
      </w:r>
      <w:r>
        <w:rPr>
          <w:rFonts w:ascii="Times New Roman" w:hAnsi="Times New Roman" w:cs="Times New Roman"/>
          <w:sz w:val="28"/>
          <w:szCs w:val="28"/>
        </w:rPr>
        <w:t>It</w:t>
      </w:r>
      <w:r w:rsidRPr="001C4B0C">
        <w:rPr>
          <w:rFonts w:ascii="Times New Roman" w:hAnsi="Times New Roman" w:cs="Times New Roman"/>
          <w:sz w:val="28"/>
          <w:szCs w:val="28"/>
        </w:rPr>
        <w:t xml:space="preserve"> also expo</w:t>
      </w:r>
      <w:r w:rsidR="00D63190">
        <w:rPr>
          <w:rFonts w:ascii="Times New Roman" w:hAnsi="Times New Roman" w:cs="Times New Roman"/>
          <w:sz w:val="28"/>
          <w:szCs w:val="28"/>
        </w:rPr>
        <w:t>ses the biopolitical nature of imperial and colonial</w:t>
      </w:r>
      <w:r w:rsidRPr="001C4B0C">
        <w:rPr>
          <w:rFonts w:ascii="Times New Roman" w:hAnsi="Times New Roman" w:cs="Times New Roman"/>
          <w:sz w:val="28"/>
          <w:szCs w:val="28"/>
        </w:rPr>
        <w:t xml:space="preserve"> states in regard to </w:t>
      </w:r>
      <w:r w:rsidR="00CC2888">
        <w:rPr>
          <w:rFonts w:ascii="Times New Roman" w:hAnsi="Times New Roman" w:cs="Times New Roman"/>
          <w:sz w:val="28"/>
          <w:szCs w:val="28"/>
        </w:rPr>
        <w:t>racial others,</w:t>
      </w:r>
      <w:r w:rsidRPr="001C4B0C">
        <w:rPr>
          <w:rFonts w:ascii="Times New Roman" w:hAnsi="Times New Roman" w:cs="Times New Roman"/>
          <w:sz w:val="28"/>
          <w:szCs w:val="28"/>
        </w:rPr>
        <w:t xml:space="preserve"> and the ways in which the colonised are transformed into </w:t>
      </w:r>
      <w:r w:rsidRPr="001C4B0C">
        <w:rPr>
          <w:rFonts w:ascii="Times New Roman" w:hAnsi="Times New Roman" w:cs="Times New Roman"/>
          <w:i/>
          <w:sz w:val="28"/>
          <w:szCs w:val="28"/>
        </w:rPr>
        <w:t>homines sacrii</w:t>
      </w:r>
      <w:r w:rsidRPr="001C4B0C">
        <w:rPr>
          <w:rFonts w:ascii="Times New Roman" w:hAnsi="Times New Roman" w:cs="Times New Roman"/>
          <w:sz w:val="28"/>
          <w:szCs w:val="28"/>
        </w:rPr>
        <w:t>. The scandal demonstrates, furthermore, that the goal of torture in imperial and colonial contexts is not (or not solely) the infliction of pain, but to dehumanise, humiliate and resocialise the victims, a</w:t>
      </w:r>
      <w:r w:rsidR="00D63190">
        <w:rPr>
          <w:rFonts w:ascii="Times New Roman" w:hAnsi="Times New Roman" w:cs="Times New Roman"/>
          <w:sz w:val="28"/>
          <w:szCs w:val="28"/>
        </w:rPr>
        <w:t>s well as</w:t>
      </w:r>
      <w:r w:rsidRPr="001C4B0C">
        <w:rPr>
          <w:rFonts w:ascii="Times New Roman" w:hAnsi="Times New Roman" w:cs="Times New Roman"/>
          <w:sz w:val="28"/>
          <w:szCs w:val="28"/>
        </w:rPr>
        <w:t xml:space="preserve"> that sexual violence and spectacle are central to such processes. It illustrates</w:t>
      </w:r>
      <w:r w:rsidR="00A06B80">
        <w:rPr>
          <w:rFonts w:ascii="Times New Roman" w:hAnsi="Times New Roman" w:cs="Times New Roman"/>
          <w:sz w:val="28"/>
          <w:szCs w:val="28"/>
        </w:rPr>
        <w:t>, in addition,</w:t>
      </w:r>
      <w:r w:rsidRPr="001C4B0C">
        <w:rPr>
          <w:rFonts w:ascii="Times New Roman" w:hAnsi="Times New Roman" w:cs="Times New Roman"/>
          <w:sz w:val="28"/>
          <w:szCs w:val="28"/>
        </w:rPr>
        <w:t xml:space="preserve"> that, although torture is an open secret in </w:t>
      </w:r>
      <w:r w:rsidR="00A06B80">
        <w:rPr>
          <w:rFonts w:ascii="Times New Roman" w:hAnsi="Times New Roman" w:cs="Times New Roman"/>
          <w:sz w:val="28"/>
          <w:szCs w:val="28"/>
        </w:rPr>
        <w:t>imperial and colonial</w:t>
      </w:r>
      <w:r w:rsidRPr="001C4B0C">
        <w:rPr>
          <w:rFonts w:ascii="Times New Roman" w:hAnsi="Times New Roman" w:cs="Times New Roman"/>
          <w:sz w:val="28"/>
          <w:szCs w:val="28"/>
        </w:rPr>
        <w:t xml:space="preserve"> contexts, it erupts into public discourse only when it becomes a scandalous spectacle. Moreover, it uncovers how, while a few “rogue” individuals may be punished, the system that produced it emerges unscathed, and often strengthened. Finally, it demonstrates that, rather than being a deviant aspect of the west’s past, torture is an aspect of colonial modernity, and plays a vital role in ‘civilising’</w:t>
      </w:r>
      <w:r w:rsidR="00CC2888">
        <w:rPr>
          <w:rFonts w:ascii="Times New Roman" w:hAnsi="Times New Roman" w:cs="Times New Roman"/>
          <w:sz w:val="28"/>
          <w:szCs w:val="28"/>
        </w:rPr>
        <w:t xml:space="preserve">, and </w:t>
      </w:r>
      <w:r w:rsidR="00446E06">
        <w:rPr>
          <w:rFonts w:ascii="Times New Roman" w:hAnsi="Times New Roman" w:cs="Times New Roman"/>
          <w:sz w:val="28"/>
          <w:szCs w:val="28"/>
        </w:rPr>
        <w:t>hence</w:t>
      </w:r>
      <w:r w:rsidR="00CC2888">
        <w:rPr>
          <w:rFonts w:ascii="Times New Roman" w:hAnsi="Times New Roman" w:cs="Times New Roman"/>
          <w:sz w:val="28"/>
          <w:szCs w:val="28"/>
        </w:rPr>
        <w:t xml:space="preserve"> </w:t>
      </w:r>
      <w:r w:rsidR="00A06B80">
        <w:rPr>
          <w:rFonts w:ascii="Times New Roman" w:hAnsi="Times New Roman" w:cs="Times New Roman"/>
          <w:sz w:val="28"/>
          <w:szCs w:val="28"/>
        </w:rPr>
        <w:t>controlling</w:t>
      </w:r>
      <w:r w:rsidR="00CC2888">
        <w:rPr>
          <w:rFonts w:ascii="Times New Roman" w:hAnsi="Times New Roman" w:cs="Times New Roman"/>
          <w:sz w:val="28"/>
          <w:szCs w:val="28"/>
        </w:rPr>
        <w:t>,</w:t>
      </w:r>
      <w:r w:rsidRPr="001C4B0C">
        <w:rPr>
          <w:rFonts w:ascii="Times New Roman" w:hAnsi="Times New Roman" w:cs="Times New Roman"/>
          <w:sz w:val="28"/>
          <w:szCs w:val="28"/>
        </w:rPr>
        <w:t xml:space="preserve"> the colonised. </w:t>
      </w:r>
    </w:p>
    <w:p w:rsidR="00D148B7" w:rsidRPr="004D5EDF" w:rsidRDefault="00D148B7" w:rsidP="004D5EDF">
      <w:pPr>
        <w:pStyle w:val="NormalWeb"/>
        <w:spacing w:after="300" w:afterAutospacing="0" w:line="480" w:lineRule="auto"/>
        <w:ind w:firstLine="720"/>
        <w:contextualSpacing/>
      </w:pPr>
    </w:p>
    <w:sectPr w:rsidR="00D148B7" w:rsidRPr="004D5EDF">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626" w:rsidRDefault="00F26626" w:rsidP="00D148B7">
      <w:pPr>
        <w:spacing w:after="0" w:line="240" w:lineRule="auto"/>
      </w:pPr>
      <w:r>
        <w:separator/>
      </w:r>
    </w:p>
  </w:endnote>
  <w:endnote w:type="continuationSeparator" w:id="0">
    <w:p w:rsidR="00F26626" w:rsidRDefault="00F26626" w:rsidP="00D14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264353"/>
      <w:docPartObj>
        <w:docPartGallery w:val="Page Numbers (Bottom of Page)"/>
        <w:docPartUnique/>
      </w:docPartObj>
    </w:sdtPr>
    <w:sdtEndPr>
      <w:rPr>
        <w:noProof/>
      </w:rPr>
    </w:sdtEndPr>
    <w:sdtContent>
      <w:p w:rsidR="00A06B80" w:rsidRDefault="00A06B8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A06B80" w:rsidRDefault="00A06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626" w:rsidRDefault="00F26626" w:rsidP="00D148B7">
      <w:pPr>
        <w:spacing w:after="0" w:line="240" w:lineRule="auto"/>
      </w:pPr>
      <w:r>
        <w:separator/>
      </w:r>
    </w:p>
  </w:footnote>
  <w:footnote w:type="continuationSeparator" w:id="0">
    <w:p w:rsidR="00F26626" w:rsidRDefault="00F26626" w:rsidP="00D148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3C8"/>
    <w:rsid w:val="00022E94"/>
    <w:rsid w:val="00057D63"/>
    <w:rsid w:val="0007395F"/>
    <w:rsid w:val="000F2A75"/>
    <w:rsid w:val="001B329C"/>
    <w:rsid w:val="001B6E9C"/>
    <w:rsid w:val="001D2F0B"/>
    <w:rsid w:val="00221BF2"/>
    <w:rsid w:val="00237D0E"/>
    <w:rsid w:val="00240408"/>
    <w:rsid w:val="002419F8"/>
    <w:rsid w:val="00315CAB"/>
    <w:rsid w:val="00363060"/>
    <w:rsid w:val="003739F2"/>
    <w:rsid w:val="00446E06"/>
    <w:rsid w:val="00476120"/>
    <w:rsid w:val="004C06B0"/>
    <w:rsid w:val="004D5EDF"/>
    <w:rsid w:val="004D70F9"/>
    <w:rsid w:val="005354A4"/>
    <w:rsid w:val="006C3A9D"/>
    <w:rsid w:val="007D4BD6"/>
    <w:rsid w:val="008022CD"/>
    <w:rsid w:val="00813103"/>
    <w:rsid w:val="008C7158"/>
    <w:rsid w:val="009F2A3A"/>
    <w:rsid w:val="00A06B80"/>
    <w:rsid w:val="00A543C8"/>
    <w:rsid w:val="00B00A8D"/>
    <w:rsid w:val="00B17E41"/>
    <w:rsid w:val="00CC2888"/>
    <w:rsid w:val="00D141FB"/>
    <w:rsid w:val="00D148B7"/>
    <w:rsid w:val="00D63190"/>
    <w:rsid w:val="00DD549B"/>
    <w:rsid w:val="00E24883"/>
    <w:rsid w:val="00E31B22"/>
    <w:rsid w:val="00ED3569"/>
    <w:rsid w:val="00EF39F0"/>
    <w:rsid w:val="00F26626"/>
    <w:rsid w:val="00F75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EEF6C-763C-4D68-8C03-8B547AE5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3C8"/>
    <w:rPr>
      <w:color w:val="0000FF"/>
      <w:u w:val="single"/>
    </w:rPr>
  </w:style>
  <w:style w:type="paragraph" w:styleId="FootnoteText">
    <w:name w:val="footnote text"/>
    <w:basedOn w:val="Normal"/>
    <w:link w:val="FootnoteTextChar"/>
    <w:uiPriority w:val="99"/>
    <w:unhideWhenUsed/>
    <w:rsid w:val="00D148B7"/>
    <w:pPr>
      <w:spacing w:after="0" w:line="480" w:lineRule="auto"/>
    </w:pPr>
    <w:rPr>
      <w:rFonts w:ascii="Times New Roman" w:hAnsi="Times New Roman" w:cs="Times New Roman"/>
      <w:sz w:val="24"/>
      <w:szCs w:val="20"/>
    </w:rPr>
  </w:style>
  <w:style w:type="character" w:customStyle="1" w:styleId="FootnoteTextChar">
    <w:name w:val="Footnote Text Char"/>
    <w:basedOn w:val="DefaultParagraphFont"/>
    <w:link w:val="FootnoteText"/>
    <w:uiPriority w:val="99"/>
    <w:rsid w:val="00D148B7"/>
    <w:rPr>
      <w:rFonts w:ascii="Times New Roman" w:hAnsi="Times New Roman" w:cs="Times New Roman"/>
      <w:sz w:val="24"/>
      <w:szCs w:val="20"/>
    </w:rPr>
  </w:style>
  <w:style w:type="paragraph" w:styleId="NormalWeb">
    <w:name w:val="Normal (Web)"/>
    <w:basedOn w:val="Normal"/>
    <w:uiPriority w:val="99"/>
    <w:unhideWhenUsed/>
    <w:rsid w:val="00D148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D148B7"/>
    <w:rPr>
      <w:vertAlign w:val="superscript"/>
    </w:rPr>
  </w:style>
  <w:style w:type="paragraph" w:styleId="Header">
    <w:name w:val="header"/>
    <w:basedOn w:val="Normal"/>
    <w:link w:val="HeaderChar"/>
    <w:uiPriority w:val="99"/>
    <w:unhideWhenUsed/>
    <w:rsid w:val="00A06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B80"/>
  </w:style>
  <w:style w:type="paragraph" w:styleId="Footer">
    <w:name w:val="footer"/>
    <w:basedOn w:val="Normal"/>
    <w:link w:val="FooterChar"/>
    <w:uiPriority w:val="99"/>
    <w:unhideWhenUsed/>
    <w:rsid w:val="00A06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06715">
      <w:bodyDiv w:val="1"/>
      <w:marLeft w:val="0"/>
      <w:marRight w:val="0"/>
      <w:marTop w:val="0"/>
      <w:marBottom w:val="0"/>
      <w:divBdr>
        <w:top w:val="none" w:sz="0" w:space="0" w:color="auto"/>
        <w:left w:val="none" w:sz="0" w:space="0" w:color="auto"/>
        <w:bottom w:val="none" w:sz="0" w:space="0" w:color="auto"/>
        <w:right w:val="none" w:sz="0" w:space="0" w:color="auto"/>
      </w:divBdr>
      <w:divsChild>
        <w:div w:id="2073191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285537">
              <w:marLeft w:val="0"/>
              <w:marRight w:val="0"/>
              <w:marTop w:val="0"/>
              <w:marBottom w:val="0"/>
              <w:divBdr>
                <w:top w:val="none" w:sz="0" w:space="0" w:color="auto"/>
                <w:left w:val="none" w:sz="0" w:space="0" w:color="auto"/>
                <w:bottom w:val="none" w:sz="0" w:space="0" w:color="auto"/>
                <w:right w:val="none" w:sz="0" w:space="0" w:color="auto"/>
              </w:divBdr>
              <w:divsChild>
                <w:div w:id="1335064362">
                  <w:marLeft w:val="0"/>
                  <w:marRight w:val="0"/>
                  <w:marTop w:val="0"/>
                  <w:marBottom w:val="0"/>
                  <w:divBdr>
                    <w:top w:val="none" w:sz="0" w:space="0" w:color="auto"/>
                    <w:left w:val="none" w:sz="0" w:space="0" w:color="auto"/>
                    <w:bottom w:val="none" w:sz="0" w:space="0" w:color="auto"/>
                    <w:right w:val="none" w:sz="0" w:space="0" w:color="auto"/>
                  </w:divBdr>
                  <w:divsChild>
                    <w:div w:id="879980083">
                      <w:marLeft w:val="0"/>
                      <w:marRight w:val="0"/>
                      <w:marTop w:val="0"/>
                      <w:marBottom w:val="0"/>
                      <w:divBdr>
                        <w:top w:val="none" w:sz="0" w:space="0" w:color="auto"/>
                        <w:left w:val="none" w:sz="0" w:space="0" w:color="auto"/>
                        <w:bottom w:val="none" w:sz="0" w:space="0" w:color="auto"/>
                        <w:right w:val="none" w:sz="0" w:space="0" w:color="auto"/>
                      </w:divBdr>
                      <w:divsChild>
                        <w:div w:id="601691894">
                          <w:marLeft w:val="0"/>
                          <w:marRight w:val="0"/>
                          <w:marTop w:val="0"/>
                          <w:marBottom w:val="0"/>
                          <w:divBdr>
                            <w:top w:val="none" w:sz="0" w:space="0" w:color="auto"/>
                            <w:left w:val="none" w:sz="0" w:space="0" w:color="auto"/>
                            <w:bottom w:val="none" w:sz="0" w:space="0" w:color="auto"/>
                            <w:right w:val="none" w:sz="0" w:space="0" w:color="auto"/>
                          </w:divBdr>
                        </w:div>
                        <w:div w:id="1756515494">
                          <w:marLeft w:val="0"/>
                          <w:marRight w:val="0"/>
                          <w:marTop w:val="0"/>
                          <w:marBottom w:val="0"/>
                          <w:divBdr>
                            <w:top w:val="none" w:sz="0" w:space="0" w:color="auto"/>
                            <w:left w:val="none" w:sz="0" w:space="0" w:color="auto"/>
                            <w:bottom w:val="none" w:sz="0" w:space="0" w:color="auto"/>
                            <w:right w:val="none" w:sz="0" w:space="0" w:color="auto"/>
                          </w:divBdr>
                        </w:div>
                        <w:div w:id="3390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dc:creator>
  <cp:keywords/>
  <dc:description/>
  <cp:lastModifiedBy>Deana</cp:lastModifiedBy>
  <cp:revision>2</cp:revision>
  <dcterms:created xsi:type="dcterms:W3CDTF">2018-08-08T11:44:00Z</dcterms:created>
  <dcterms:modified xsi:type="dcterms:W3CDTF">2018-08-08T11:44:00Z</dcterms:modified>
</cp:coreProperties>
</file>