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91BBF" w14:textId="6EB9CAE5" w:rsidR="00C6198F" w:rsidRPr="00EE30C1" w:rsidRDefault="006C574A" w:rsidP="0014558B">
      <w:pPr>
        <w:spacing w:after="120" w:line="360" w:lineRule="auto"/>
        <w:jc w:val="center"/>
        <w:rPr>
          <w:b/>
          <w:bCs/>
        </w:rPr>
      </w:pPr>
      <w:r>
        <w:rPr>
          <w:b/>
          <w:bCs/>
        </w:rPr>
        <w:t>A</w:t>
      </w:r>
      <w:r w:rsidR="00142CCC" w:rsidRPr="00EE30C1">
        <w:rPr>
          <w:b/>
          <w:bCs/>
        </w:rPr>
        <w:t xml:space="preserve">rchives and social change in </w:t>
      </w:r>
      <w:r w:rsidR="001A0538">
        <w:rPr>
          <w:b/>
          <w:bCs/>
        </w:rPr>
        <w:t>Italy</w:t>
      </w:r>
      <w:r w:rsidR="008A7A90" w:rsidRPr="00EE30C1">
        <w:rPr>
          <w:b/>
          <w:bCs/>
        </w:rPr>
        <w:t xml:space="preserve">, </w:t>
      </w:r>
      <w:r w:rsidR="008A7A90" w:rsidRPr="00EE30C1">
        <w:rPr>
          <w:b/>
          <w:bCs/>
          <w:i/>
        </w:rPr>
        <w:t>c.</w:t>
      </w:r>
      <w:r w:rsidR="008A7A90" w:rsidRPr="00EE30C1">
        <w:rPr>
          <w:b/>
          <w:bCs/>
        </w:rPr>
        <w:t>900-1100</w:t>
      </w:r>
      <w:r>
        <w:rPr>
          <w:b/>
          <w:bCs/>
        </w:rPr>
        <w:t>: the evidence of dispute notices</w:t>
      </w:r>
    </w:p>
    <w:p w14:paraId="7EEA478C" w14:textId="77777777" w:rsidR="00C6198F" w:rsidRPr="00EE30C1" w:rsidRDefault="00C6198F" w:rsidP="0014558B">
      <w:pPr>
        <w:spacing w:after="120" w:line="360" w:lineRule="auto"/>
        <w:jc w:val="center"/>
        <w:rPr>
          <w:i/>
          <w:iCs/>
        </w:rPr>
      </w:pPr>
      <w:r w:rsidRPr="00EE30C1">
        <w:rPr>
          <w:i/>
          <w:iCs/>
        </w:rPr>
        <w:t>Marios Costambeys</w:t>
      </w:r>
    </w:p>
    <w:p w14:paraId="7CC7CBE7" w14:textId="77777777" w:rsidR="00C6198F" w:rsidRDefault="00C6198F" w:rsidP="0014558B">
      <w:pPr>
        <w:spacing w:after="120" w:line="360" w:lineRule="auto"/>
      </w:pPr>
    </w:p>
    <w:p w14:paraId="17E65B7A" w14:textId="6EC240D6" w:rsidR="00C6198F" w:rsidRPr="00EE30C1" w:rsidRDefault="006C574A" w:rsidP="0014558B">
      <w:pPr>
        <w:spacing w:after="120" w:line="360" w:lineRule="auto"/>
      </w:pPr>
      <w:r>
        <w:t>The notices produced by law courts are among the most fruitful types of evidence for early medieval societies and social change that we possess, as Chris Wickham’s work amply demonstrat</w:t>
      </w:r>
      <w:r w:rsidR="00715A7A">
        <w:t>es.  As he has rightly observed, ‘d</w:t>
      </w:r>
      <w:r w:rsidR="00C6198F" w:rsidRPr="00EE30C1">
        <w:t>ispute documents are so regular in Italian archives, from the late eighth century onwards, that gaps in their survival are always potentially significant …’</w:t>
      </w:r>
      <w:r w:rsidR="00C6198F" w:rsidRPr="00EE30C1">
        <w:rPr>
          <w:rStyle w:val="FootnoteReference"/>
        </w:rPr>
        <w:footnoteReference w:id="1"/>
      </w:r>
      <w:r w:rsidR="00C6198F" w:rsidRPr="00EE30C1">
        <w:t xml:space="preserve">  </w:t>
      </w:r>
      <w:r>
        <w:t>I should like here to</w:t>
      </w:r>
      <w:r w:rsidR="00C6198F" w:rsidRPr="00EE30C1">
        <w:t xml:space="preserve"> consider </w:t>
      </w:r>
      <w:r>
        <w:t xml:space="preserve">the significance of </w:t>
      </w:r>
      <w:r w:rsidR="00C6198F" w:rsidRPr="00EE30C1">
        <w:t>precisely such a gap</w:t>
      </w:r>
      <w:r>
        <w:t xml:space="preserve"> in a handful of geographically diverse Italian archives of documents dating between t</w:t>
      </w:r>
      <w:r w:rsidR="00715A7A">
        <w:t>he ninth and eleventh centuries</w:t>
      </w:r>
      <w:r w:rsidR="00C6198F">
        <w:t>.</w:t>
      </w:r>
    </w:p>
    <w:p w14:paraId="478A537D" w14:textId="401E4455" w:rsidR="00C6198F" w:rsidRPr="00EE30C1" w:rsidRDefault="00C6198F" w:rsidP="0014558B">
      <w:pPr>
        <w:spacing w:after="120" w:line="360" w:lineRule="auto"/>
        <w:ind w:firstLine="720"/>
      </w:pPr>
      <w:r w:rsidRPr="00EE30C1">
        <w:t xml:space="preserve">The gap in question occurs in runs of documents of a particular sort: dispute notices – produced at or immediately following </w:t>
      </w:r>
      <w:r>
        <w:t>law court</w:t>
      </w:r>
      <w:r w:rsidRPr="00EE30C1">
        <w:t xml:space="preserve"> hearings – </w:t>
      </w:r>
      <w:r>
        <w:t>which</w:t>
      </w:r>
      <w:r w:rsidRPr="00EE30C1">
        <w:t xml:space="preserve"> take a particular limited set of formats, known variously in the literature </w:t>
      </w:r>
      <w:r>
        <w:t xml:space="preserve">as ‘undefended’, </w:t>
      </w:r>
      <w:r w:rsidRPr="00EE30C1">
        <w:t>‘ficti</w:t>
      </w:r>
      <w:r w:rsidR="006C574A">
        <w:t>tious</w:t>
      </w:r>
      <w:r w:rsidRPr="00EE30C1">
        <w:t>’</w:t>
      </w:r>
      <w:r>
        <w:t xml:space="preserve"> or ‘apparent’ court cases.</w:t>
      </w:r>
      <w:r w:rsidRPr="00EE30C1">
        <w:rPr>
          <w:rStyle w:val="FootnoteReference"/>
        </w:rPr>
        <w:footnoteReference w:id="2"/>
      </w:r>
      <w:r>
        <w:t xml:space="preserve"> T</w:t>
      </w:r>
      <w:r w:rsidRPr="00EE30C1">
        <w:t xml:space="preserve">his paper is not </w:t>
      </w:r>
      <w:r>
        <w:t xml:space="preserve">therefore </w:t>
      </w:r>
      <w:r w:rsidRPr="00EE30C1">
        <w:t xml:space="preserve">about disputes but about the documents generated by </w:t>
      </w:r>
      <w:r>
        <w:t>law court</w:t>
      </w:r>
      <w:r w:rsidRPr="00EE30C1">
        <w:t>s, and in particular about the sub-genre of those documents</w:t>
      </w:r>
      <w:r>
        <w:t xml:space="preserve"> t</w:t>
      </w:r>
      <w:r w:rsidR="00A371AF">
        <w:t xml:space="preserve">hat records no dispute at all. </w:t>
      </w:r>
      <w:r w:rsidR="006C574A">
        <w:t xml:space="preserve">Through the course of the ninth century, Italian law court notices began to take formats that </w:t>
      </w:r>
      <w:r>
        <w:t>express</w:t>
      </w:r>
      <w:r w:rsidR="006C574A">
        <w:t>ed</w:t>
      </w:r>
      <w:r>
        <w:t xml:space="preserve"> </w:t>
      </w:r>
      <w:r w:rsidR="006C574A">
        <w:t>the</w:t>
      </w:r>
      <w:r>
        <w:t xml:space="preserve"> court case</w:t>
      </w:r>
      <w:r w:rsidR="006C574A">
        <w:t xml:space="preserve"> in question</w:t>
      </w:r>
      <w:r>
        <w:t xml:space="preserve"> as undefended until, by its last quarter, whole </w:t>
      </w:r>
      <w:r w:rsidRPr="00EE30C1">
        <w:t>templates had emerged that categorically obscured any real arguments that may have taken place in court, and replaced them with anodyne agreements and concessions.</w:t>
      </w:r>
      <w:r>
        <w:rPr>
          <w:rStyle w:val="FootnoteReference"/>
        </w:rPr>
        <w:footnoteReference w:id="3"/>
      </w:r>
      <w:r w:rsidR="00A371AF">
        <w:t xml:space="preserve"> </w:t>
      </w:r>
      <w:r w:rsidRPr="00EE30C1">
        <w:t xml:space="preserve">The earliest such </w:t>
      </w:r>
      <w:r w:rsidR="006C574A">
        <w:t xml:space="preserve">identifiable </w:t>
      </w:r>
      <w:r w:rsidRPr="00EE30C1">
        <w:t>form to appear</w:t>
      </w:r>
      <w:r>
        <w:t xml:space="preserve">, in </w:t>
      </w:r>
      <w:r>
        <w:lastRenderedPageBreak/>
        <w:t>the 870s,</w:t>
      </w:r>
      <w:r w:rsidRPr="00EE30C1">
        <w:t xml:space="preserve"> is known as </w:t>
      </w:r>
      <w:r w:rsidRPr="00EE30C1">
        <w:rPr>
          <w:i/>
          <w:iCs/>
        </w:rPr>
        <w:t xml:space="preserve">finis </w:t>
      </w:r>
      <w:proofErr w:type="spellStart"/>
      <w:r w:rsidRPr="00EE30C1">
        <w:rPr>
          <w:i/>
          <w:iCs/>
        </w:rPr>
        <w:t>intentionis</w:t>
      </w:r>
      <w:proofErr w:type="spellEnd"/>
      <w:r w:rsidRPr="00EE30C1">
        <w:t xml:space="preserve"> (</w:t>
      </w:r>
      <w:r w:rsidRPr="00EE30C1">
        <w:rPr>
          <w:i/>
          <w:iCs/>
        </w:rPr>
        <w:t xml:space="preserve">finis </w:t>
      </w:r>
      <w:proofErr w:type="spellStart"/>
      <w:r w:rsidRPr="00EE30C1">
        <w:rPr>
          <w:i/>
          <w:iCs/>
        </w:rPr>
        <w:t>intentionis</w:t>
      </w:r>
      <w:proofErr w:type="spellEnd"/>
      <w:r w:rsidRPr="00EE30C1">
        <w:rPr>
          <w:i/>
          <w:iCs/>
        </w:rPr>
        <w:t xml:space="preserve"> terrae</w:t>
      </w:r>
      <w:r w:rsidRPr="00EE30C1">
        <w:t xml:space="preserve"> or </w:t>
      </w:r>
      <w:r w:rsidRPr="00EE30C1">
        <w:rPr>
          <w:i/>
          <w:iCs/>
        </w:rPr>
        <w:t xml:space="preserve">finis </w:t>
      </w:r>
      <w:proofErr w:type="spellStart"/>
      <w:r w:rsidRPr="00EE30C1">
        <w:rPr>
          <w:i/>
          <w:iCs/>
        </w:rPr>
        <w:t>intentionis</w:t>
      </w:r>
      <w:proofErr w:type="spellEnd"/>
      <w:r w:rsidRPr="00EE30C1">
        <w:rPr>
          <w:i/>
          <w:iCs/>
        </w:rPr>
        <w:t xml:space="preserve"> status</w:t>
      </w:r>
      <w:r>
        <w:t>), in which, typically, a</w:t>
      </w:r>
      <w:r w:rsidRPr="00216212">
        <w:t xml:space="preserve"> plaintiff made a stat</w:t>
      </w:r>
      <w:r>
        <w:t>ement of his rights in a thing</w:t>
      </w:r>
      <w:r w:rsidRPr="00216212">
        <w:t>, declared himself ready to confront an opponent, and requested a formal recognition of his</w:t>
      </w:r>
      <w:r>
        <w:t xml:space="preserve"> rights from a ‘defendant’; the</w:t>
      </w:r>
      <w:r w:rsidRPr="00216212">
        <w:t xml:space="preserve"> latter party then simply state</w:t>
      </w:r>
      <w:r>
        <w:t>d that he had no rights in the thing</w:t>
      </w:r>
      <w:r w:rsidRPr="00EE30C1">
        <w:t>.</w:t>
      </w:r>
      <w:r w:rsidRPr="00EE30C1">
        <w:rPr>
          <w:rStyle w:val="FootnoteReference"/>
        </w:rPr>
        <w:footnoteReference w:id="4"/>
      </w:r>
      <w:r w:rsidR="00A371AF">
        <w:t xml:space="preserve"> </w:t>
      </w:r>
      <w:r w:rsidRPr="00EE30C1">
        <w:t xml:space="preserve">A related form was the </w:t>
      </w:r>
      <w:proofErr w:type="spellStart"/>
      <w:r w:rsidRPr="00EE30C1">
        <w:rPr>
          <w:i/>
          <w:iCs/>
        </w:rPr>
        <w:t>ostensio</w:t>
      </w:r>
      <w:proofErr w:type="spellEnd"/>
      <w:r w:rsidRPr="00EE30C1">
        <w:rPr>
          <w:i/>
          <w:iCs/>
        </w:rPr>
        <w:t xml:space="preserve"> </w:t>
      </w:r>
      <w:proofErr w:type="spellStart"/>
      <w:r w:rsidRPr="00EE30C1">
        <w:rPr>
          <w:i/>
          <w:iCs/>
        </w:rPr>
        <w:t>cartae</w:t>
      </w:r>
      <w:proofErr w:type="spellEnd"/>
      <w:r w:rsidRPr="00EE30C1">
        <w:t xml:space="preserve">, first appearing in 880/1, </w:t>
      </w:r>
      <w:r>
        <w:t xml:space="preserve">which differed </w:t>
      </w:r>
      <w:r w:rsidRPr="00216212">
        <w:t xml:space="preserve">from the </w:t>
      </w:r>
      <w:r w:rsidRPr="00216212">
        <w:rPr>
          <w:i/>
          <w:iCs/>
        </w:rPr>
        <w:t xml:space="preserve">finis </w:t>
      </w:r>
      <w:proofErr w:type="spellStart"/>
      <w:r w:rsidRPr="00216212">
        <w:rPr>
          <w:i/>
          <w:iCs/>
        </w:rPr>
        <w:t>intentionis</w:t>
      </w:r>
      <w:proofErr w:type="spellEnd"/>
      <w:r w:rsidRPr="00216212">
        <w:t xml:space="preserve"> </w:t>
      </w:r>
      <w:r>
        <w:t xml:space="preserve">largely by including a copy in </w:t>
      </w:r>
      <w:proofErr w:type="spellStart"/>
      <w:r>
        <w:t>extenso</w:t>
      </w:r>
      <w:proofErr w:type="spellEnd"/>
      <w:r>
        <w:t xml:space="preserve"> of the plaintiff’s written proof</w:t>
      </w:r>
      <w:r w:rsidRPr="00EE30C1">
        <w:t>.</w:t>
      </w:r>
      <w:r w:rsidRPr="00EE30C1">
        <w:rPr>
          <w:rStyle w:val="FootnoteReference"/>
        </w:rPr>
        <w:footnoteReference w:id="5"/>
      </w:r>
      <w:r w:rsidR="00A371AF">
        <w:t xml:space="preserve"> </w:t>
      </w:r>
      <w:r w:rsidRPr="00EE30C1">
        <w:t xml:space="preserve">The third </w:t>
      </w:r>
      <w:r w:rsidR="006C574A">
        <w:t>format</w:t>
      </w:r>
      <w:r w:rsidRPr="00EE30C1">
        <w:t xml:space="preserve">, appearing first in 874 (but not again then until 896), was the </w:t>
      </w:r>
      <w:proofErr w:type="spellStart"/>
      <w:r w:rsidRPr="00EE30C1">
        <w:rPr>
          <w:i/>
          <w:iCs/>
        </w:rPr>
        <w:t>investitura</w:t>
      </w:r>
      <w:proofErr w:type="spellEnd"/>
      <w:r w:rsidRPr="00EE30C1">
        <w:rPr>
          <w:i/>
          <w:iCs/>
        </w:rPr>
        <w:t xml:space="preserve"> </w:t>
      </w:r>
      <w:proofErr w:type="spellStart"/>
      <w:r w:rsidRPr="00EE30C1">
        <w:rPr>
          <w:i/>
          <w:iCs/>
        </w:rPr>
        <w:t>salva</w:t>
      </w:r>
      <w:proofErr w:type="spellEnd"/>
      <w:r w:rsidRPr="00EE30C1">
        <w:rPr>
          <w:i/>
          <w:iCs/>
        </w:rPr>
        <w:t xml:space="preserve"> </w:t>
      </w:r>
      <w:proofErr w:type="spellStart"/>
      <w:r w:rsidRPr="00EE30C1">
        <w:rPr>
          <w:i/>
          <w:iCs/>
        </w:rPr>
        <w:t>querela</w:t>
      </w:r>
      <w:proofErr w:type="spellEnd"/>
      <w:r w:rsidRPr="00EE30C1">
        <w:t xml:space="preserve">, </w:t>
      </w:r>
      <w:r w:rsidRPr="006877A2">
        <w:t xml:space="preserve">which </w:t>
      </w:r>
      <w:r>
        <w:t>concluded</w:t>
      </w:r>
      <w:r w:rsidRPr="006877A2">
        <w:t xml:space="preserve"> with </w:t>
      </w:r>
      <w:r>
        <w:t>the court formally investing</w:t>
      </w:r>
      <w:r w:rsidRPr="00EE30C1">
        <w:t xml:space="preserve"> the plaintiff with possession</w:t>
      </w:r>
      <w:r>
        <w:t xml:space="preserve"> of the claimed property</w:t>
      </w:r>
      <w:r w:rsidRPr="00EE30C1">
        <w:t>.</w:t>
      </w:r>
      <w:r w:rsidRPr="00EE30C1">
        <w:rPr>
          <w:rStyle w:val="FootnoteReference"/>
        </w:rPr>
        <w:footnoteReference w:id="6"/>
      </w:r>
      <w:r w:rsidRPr="00EE30C1">
        <w:t xml:space="preserve">  </w:t>
      </w:r>
    </w:p>
    <w:p w14:paraId="21EC0622" w14:textId="0B6486F6" w:rsidR="00C6198F" w:rsidRDefault="00C6198F" w:rsidP="0014558B">
      <w:pPr>
        <w:spacing w:after="120" w:line="360" w:lineRule="auto"/>
        <w:ind w:firstLine="720"/>
      </w:pPr>
      <w:r>
        <w:t>In choosing this genre of documents I do not intend to dwell on the content of their texts, but on t</w:t>
      </w:r>
      <w:r w:rsidR="00A371AF">
        <w:t xml:space="preserve">heir patterns of preservation. </w:t>
      </w:r>
      <w:r w:rsidR="000B69BC">
        <w:t xml:space="preserve">My comments therefore contribute to the debate about the relationship between social change in this period and the documentary record, and can be seen as contradicting what we might call an extreme </w:t>
      </w:r>
      <w:proofErr w:type="spellStart"/>
      <w:r w:rsidR="000B69BC" w:rsidRPr="006A0CC4">
        <w:rPr>
          <w:i/>
        </w:rPr>
        <w:t>mutatio</w:t>
      </w:r>
      <w:r w:rsidR="006E5CD5">
        <w:rPr>
          <w:i/>
        </w:rPr>
        <w:t>n</w:t>
      </w:r>
      <w:r w:rsidR="000B69BC" w:rsidRPr="006A0CC4">
        <w:rPr>
          <w:i/>
        </w:rPr>
        <w:t>niste</w:t>
      </w:r>
      <w:proofErr w:type="spellEnd"/>
      <w:r w:rsidR="000B69BC">
        <w:t xml:space="preserve"> view that encourages the idea that what we see most often for this period is change (</w:t>
      </w:r>
      <w:r w:rsidR="000B69BC" w:rsidRPr="000B69BC">
        <w:rPr>
          <w:i/>
        </w:rPr>
        <w:t>mutation</w:t>
      </w:r>
      <w:r w:rsidR="000B69BC">
        <w:t>) in the pattern of our documentary sources, rather than real change in society.</w:t>
      </w:r>
      <w:r w:rsidRPr="00EE30C1">
        <w:rPr>
          <w:rStyle w:val="FootnoteReference"/>
        </w:rPr>
        <w:footnoteReference w:id="7"/>
      </w:r>
      <w:r w:rsidRPr="00EE30C1">
        <w:t xml:space="preserve"> </w:t>
      </w:r>
      <w:r w:rsidR="00715A7A">
        <w:t xml:space="preserve">I </w:t>
      </w:r>
      <w:r>
        <w:t>argue</w:t>
      </w:r>
      <w:r w:rsidR="000B69BC">
        <w:t xml:space="preserve"> here that the profiles of the transmission of particular classes of documents in par</w:t>
      </w:r>
      <w:r w:rsidR="00D80552">
        <w:t>ticular archives actually grant</w:t>
      </w:r>
      <w:r w:rsidR="000B69BC">
        <w:t xml:space="preserve"> us better access to real social changes than </w:t>
      </w:r>
      <w:r w:rsidR="00A371AF">
        <w:t xml:space="preserve">the words of their texts. </w:t>
      </w:r>
      <w:r w:rsidRPr="00EE30C1">
        <w:t xml:space="preserve">In any case, Italian dispute notices present a direct contrast to those from </w:t>
      </w:r>
      <w:r w:rsidRPr="00EE30C1">
        <w:lastRenderedPageBreak/>
        <w:t xml:space="preserve">France that have provided the grist for </w:t>
      </w:r>
      <w:proofErr w:type="spellStart"/>
      <w:r w:rsidRPr="006877A2">
        <w:rPr>
          <w:i/>
        </w:rPr>
        <w:t>mutatio</w:t>
      </w:r>
      <w:r w:rsidR="006E5CD5">
        <w:rPr>
          <w:i/>
        </w:rPr>
        <w:t>n</w:t>
      </w:r>
      <w:r w:rsidRPr="006877A2">
        <w:rPr>
          <w:i/>
        </w:rPr>
        <w:t>niste</w:t>
      </w:r>
      <w:proofErr w:type="spellEnd"/>
      <w:r w:rsidR="00A371AF">
        <w:t xml:space="preserve"> arguments. </w:t>
      </w:r>
      <w:r>
        <w:t>Where</w:t>
      </w:r>
      <w:r w:rsidRPr="00EE30C1">
        <w:t xml:space="preserve"> the latter become less standardized, Italian </w:t>
      </w:r>
      <w:r>
        <w:t>law court</w:t>
      </w:r>
      <w:r w:rsidRPr="00EE30C1">
        <w:t xml:space="preserve"> notices become more formulaic, more restricted to a</w:t>
      </w:r>
      <w:r w:rsidR="00A371AF">
        <w:t xml:space="preserve"> few tightly scripted formats. </w:t>
      </w:r>
      <w:r w:rsidRPr="00EE30C1">
        <w:t>While the ‘undefended’ versions of these scripts are not much use as evidence for actual disputes, since they do not record them, this does not mean that they do not document social change.</w:t>
      </w:r>
      <w:r>
        <w:rPr>
          <w:rStyle w:val="FootnoteReference"/>
        </w:rPr>
        <w:footnoteReference w:id="8"/>
      </w:r>
      <w:r>
        <w:t xml:space="preserve">  </w:t>
      </w:r>
    </w:p>
    <w:p w14:paraId="74CE45CB" w14:textId="45AADEF3" w:rsidR="00C6198F" w:rsidRDefault="00C6198F" w:rsidP="0014558B">
      <w:pPr>
        <w:spacing w:after="120" w:line="360" w:lineRule="auto"/>
        <w:ind w:firstLine="720"/>
      </w:pPr>
      <w:r>
        <w:t xml:space="preserve">The function that these </w:t>
      </w:r>
      <w:r w:rsidRPr="00EE30C1">
        <w:t>‘undefended case’</w:t>
      </w:r>
      <w:r>
        <w:t xml:space="preserve"> scripts were intended to perform is evident from the generally very short space of time between the redaction of the charters copied into notices using the </w:t>
      </w:r>
      <w:proofErr w:type="spellStart"/>
      <w:r w:rsidRPr="00EE30C1">
        <w:rPr>
          <w:i/>
          <w:iCs/>
        </w:rPr>
        <w:t>ostensio</w:t>
      </w:r>
      <w:proofErr w:type="spellEnd"/>
      <w:r w:rsidRPr="00EE30C1">
        <w:rPr>
          <w:i/>
          <w:iCs/>
        </w:rPr>
        <w:t xml:space="preserve"> </w:t>
      </w:r>
      <w:proofErr w:type="spellStart"/>
      <w:r w:rsidRPr="00EE30C1">
        <w:rPr>
          <w:i/>
          <w:iCs/>
        </w:rPr>
        <w:t>cartae</w:t>
      </w:r>
      <w:proofErr w:type="spellEnd"/>
      <w:r>
        <w:t xml:space="preserve"> formula and the redaction of the notice itself: too short a time, realistically, for an </w:t>
      </w:r>
      <w:r w:rsidR="00A371AF">
        <w:t xml:space="preserve">actual dispute to have arisen. </w:t>
      </w:r>
      <w:r>
        <w:t xml:space="preserve">The </w:t>
      </w:r>
      <w:r w:rsidR="00CA4E4E">
        <w:t xml:space="preserve">notice </w:t>
      </w:r>
      <w:r>
        <w:t xml:space="preserve">therefore </w:t>
      </w:r>
      <w:r w:rsidRPr="00EE30C1">
        <w:t xml:space="preserve">seems to </w:t>
      </w:r>
      <w:r w:rsidR="00CA4E4E">
        <w:t>have been drawn up</w:t>
      </w:r>
      <w:r w:rsidRPr="00EE30C1">
        <w:t xml:space="preserve"> not as a </w:t>
      </w:r>
      <w:r>
        <w:t>record of dispute resolution</w:t>
      </w:r>
      <w:r w:rsidRPr="00EE30C1">
        <w:t>, but rather as a final corroborative stage in the validation of a transaction.</w:t>
      </w:r>
      <w:r w:rsidRPr="00EE30C1">
        <w:rPr>
          <w:rStyle w:val="FootnoteReference"/>
        </w:rPr>
        <w:footnoteReference w:id="9"/>
      </w:r>
      <w:r w:rsidR="00A371AF">
        <w:t xml:space="preserve"> </w:t>
      </w:r>
      <w:r w:rsidRPr="00EE30C1">
        <w:t xml:space="preserve">Looking for ‘real’ disputes in this evidence </w:t>
      </w:r>
      <w:r>
        <w:t xml:space="preserve">therefore </w:t>
      </w:r>
      <w:r w:rsidRPr="00EE30C1">
        <w:t>runs the r</w:t>
      </w:r>
      <w:r>
        <w:t>isk of missing its true point</w:t>
      </w:r>
      <w:r w:rsidRPr="00EE30C1">
        <w:t>.</w:t>
      </w:r>
      <w:r w:rsidRPr="00EE30C1">
        <w:rPr>
          <w:rStyle w:val="FootnoteReference"/>
        </w:rPr>
        <w:footnoteReference w:id="10"/>
      </w:r>
      <w:r w:rsidR="00A371AF">
        <w:t xml:space="preserve"> </w:t>
      </w:r>
      <w:r>
        <w:t xml:space="preserve">The </w:t>
      </w:r>
      <w:r w:rsidRPr="00EE30C1">
        <w:t xml:space="preserve">proliferation of the ‘undefended case’ model </w:t>
      </w:r>
      <w:r>
        <w:t>should be seen rather as indicating</w:t>
      </w:r>
      <w:r w:rsidRPr="00EE30C1">
        <w:t xml:space="preserve"> </w:t>
      </w:r>
      <w:r>
        <w:t>a desire</w:t>
      </w:r>
      <w:r w:rsidRPr="00EE30C1">
        <w:t xml:space="preserve"> to exploit the rhetoric of harmony under royal jurisdiction that underpinned the court system and, almost as a by-product, produced stronger </w:t>
      </w:r>
      <w:r>
        <w:t>validation of property rights; and</w:t>
      </w:r>
      <w:r w:rsidRPr="00EE30C1">
        <w:t xml:space="preserve"> the surviving examples </w:t>
      </w:r>
      <w:r>
        <w:t>suggest that the parties</w:t>
      </w:r>
      <w:r w:rsidRPr="00EE30C1">
        <w:t xml:space="preserve"> </w:t>
      </w:r>
      <w:r>
        <w:t>best</w:t>
      </w:r>
      <w:r w:rsidRPr="00EE30C1">
        <w:t xml:space="preserve"> </w:t>
      </w:r>
      <w:r>
        <w:t xml:space="preserve">able </w:t>
      </w:r>
      <w:r w:rsidRPr="00EE30C1">
        <w:t xml:space="preserve">to take advantage of </w:t>
      </w:r>
      <w:r>
        <w:t>these kinds of</w:t>
      </w:r>
      <w:r w:rsidRPr="00EE30C1">
        <w:t xml:space="preserve"> scriptural elements </w:t>
      </w:r>
      <w:r>
        <w:t xml:space="preserve">in law court documents were </w:t>
      </w:r>
      <w:r w:rsidRPr="00E67958">
        <w:t xml:space="preserve">cathedral churches </w:t>
      </w:r>
      <w:r>
        <w:t>and</w:t>
      </w:r>
      <w:r w:rsidRPr="00E67958">
        <w:t xml:space="preserve"> monasteries</w:t>
      </w:r>
      <w:r w:rsidR="00A371AF">
        <w:t xml:space="preserve">. </w:t>
      </w:r>
      <w:r>
        <w:t xml:space="preserve">Their ability to do so became more important as </w:t>
      </w:r>
      <w:r w:rsidRPr="00EE30C1">
        <w:t xml:space="preserve">lay interest groups, </w:t>
      </w:r>
      <w:r>
        <w:t>especially</w:t>
      </w:r>
      <w:r w:rsidRPr="00EE30C1">
        <w:t xml:space="preserve"> </w:t>
      </w:r>
      <w:r w:rsidRPr="00E67958">
        <w:t xml:space="preserve">increasingly </w:t>
      </w:r>
      <w:r w:rsidRPr="00E67958">
        <w:lastRenderedPageBreak/>
        <w:t xml:space="preserve">identifiable </w:t>
      </w:r>
      <w:proofErr w:type="spellStart"/>
      <w:r>
        <w:t>signorial</w:t>
      </w:r>
      <w:proofErr w:type="spellEnd"/>
      <w:r>
        <w:t xml:space="preserve"> </w:t>
      </w:r>
      <w:r w:rsidRPr="00EE30C1">
        <w:t>families</w:t>
      </w:r>
      <w:r>
        <w:t>,</w:t>
      </w:r>
      <w:r w:rsidRPr="00EE30C1">
        <w:t xml:space="preserve"> </w:t>
      </w:r>
      <w:r>
        <w:t>sought to draw</w:t>
      </w:r>
      <w:r w:rsidRPr="00EE30C1">
        <w:t xml:space="preserve"> properties and offices into their hands.</w:t>
      </w:r>
      <w:r w:rsidR="00A371AF">
        <w:t xml:space="preserve"> </w:t>
      </w:r>
      <w:r w:rsidRPr="00EE30C1">
        <w:t xml:space="preserve">To the extent that documents like this </w:t>
      </w:r>
      <w:r>
        <w:t>beca</w:t>
      </w:r>
      <w:r w:rsidRPr="00EE30C1">
        <w:t>me the c</w:t>
      </w:r>
      <w:r>
        <w:t xml:space="preserve">urrency of proprietorship, then, they might be seen as constituting </w:t>
      </w:r>
      <w:r w:rsidRPr="00EE30C1">
        <w:t xml:space="preserve">an Italian episode in the broadening and deepening of ideas of ownership noted </w:t>
      </w:r>
      <w:r w:rsidR="00ED0F7C">
        <w:t xml:space="preserve">in their different ways </w:t>
      </w:r>
      <w:r w:rsidRPr="00EE30C1">
        <w:t xml:space="preserve">by </w:t>
      </w:r>
      <w:r w:rsidR="00ED0F7C">
        <w:t xml:space="preserve">Chris Wickham and </w:t>
      </w:r>
      <w:r w:rsidRPr="00EE30C1">
        <w:t>Charles West.</w:t>
      </w:r>
      <w:r w:rsidRPr="00EE30C1">
        <w:rPr>
          <w:rStyle w:val="FootnoteReference"/>
        </w:rPr>
        <w:footnoteReference w:id="11"/>
      </w:r>
      <w:r w:rsidRPr="00EE30C1">
        <w:t xml:space="preserve"> But in any case, although </w:t>
      </w:r>
      <w:r w:rsidR="00ED0F7C">
        <w:t>we might rationally suppose</w:t>
      </w:r>
      <w:r w:rsidRPr="00EE30C1">
        <w:t xml:space="preserve"> that ‘undefended case’ notices were kept </w:t>
      </w:r>
      <w:r w:rsidR="00ED0F7C">
        <w:t xml:space="preserve">initially </w:t>
      </w:r>
      <w:r w:rsidRPr="00EE30C1">
        <w:t xml:space="preserve">for the same reason that they were produced – in order to strengthen rights, especially to property – this in itself </w:t>
      </w:r>
      <w:r w:rsidR="00ED0F7C">
        <w:t>only takes us part of the way to explaining fully why such documents continued to be kept in such a way that they might come down to us.</w:t>
      </w:r>
      <w:r w:rsidR="00781D69">
        <w:rPr>
          <w:rStyle w:val="FootnoteReference"/>
        </w:rPr>
        <w:footnoteReference w:id="12"/>
      </w:r>
      <w:r w:rsidR="00A371AF">
        <w:t xml:space="preserve"> </w:t>
      </w:r>
      <w:r w:rsidR="00ED0F7C">
        <w:t>A</w:t>
      </w:r>
      <w:r w:rsidRPr="00EE30C1">
        <w:t>ll archives present patterns of survival, and the challenge for us is to determine when and how those patterns were formed.</w:t>
      </w:r>
    </w:p>
    <w:p w14:paraId="28586A5E" w14:textId="500AFA6A" w:rsidR="009E2EBD" w:rsidRPr="00EE30C1" w:rsidRDefault="00C6198F" w:rsidP="0014558B">
      <w:pPr>
        <w:spacing w:after="120" w:line="360" w:lineRule="auto"/>
        <w:ind w:firstLine="720"/>
      </w:pPr>
      <w:r w:rsidRPr="00EE30C1">
        <w:t xml:space="preserve">An instructive example is provided by the documents from S. Salvatore on Monte Amiata, a collection of originals that constitute the substantial remnants of the archive of that abbey, founded </w:t>
      </w:r>
      <w:r>
        <w:t>762x770</w:t>
      </w:r>
      <w:r w:rsidRPr="00EE30C1">
        <w:t>.</w:t>
      </w:r>
      <w:r w:rsidRPr="00EE30C1">
        <w:rPr>
          <w:rStyle w:val="FootnoteReference"/>
        </w:rPr>
        <w:footnoteReference w:id="13"/>
      </w:r>
      <w:r w:rsidR="00A371AF">
        <w:t xml:space="preserve"> </w:t>
      </w:r>
      <w:r w:rsidR="00781D69">
        <w:t xml:space="preserve">Every law court record dated after 828 in </w:t>
      </w:r>
      <w:r w:rsidR="00781D69" w:rsidRPr="00EE30C1">
        <w:t xml:space="preserve">Monte </w:t>
      </w:r>
      <w:proofErr w:type="spellStart"/>
      <w:r w:rsidR="00781D69" w:rsidRPr="00EE30C1">
        <w:t>Amiata’s</w:t>
      </w:r>
      <w:proofErr w:type="spellEnd"/>
      <w:r w:rsidR="00781D69" w:rsidRPr="00EE30C1">
        <w:t xml:space="preserve"> </w:t>
      </w:r>
      <w:r w:rsidR="00781D69">
        <w:t xml:space="preserve">surviving collection </w:t>
      </w:r>
      <w:r w:rsidR="00781D69" w:rsidRPr="00EE30C1">
        <w:t>belong</w:t>
      </w:r>
      <w:r w:rsidR="00781D69">
        <w:t>s</w:t>
      </w:r>
      <w:r w:rsidR="00781D69" w:rsidRPr="00EE30C1">
        <w:t xml:space="preserve"> firmly to one or other of the ‘undefended case’ document models.</w:t>
      </w:r>
      <w:r w:rsidR="009E2EBD" w:rsidRPr="00EE30C1">
        <w:rPr>
          <w:rStyle w:val="FootnoteReference"/>
        </w:rPr>
        <w:footnoteReference w:id="14"/>
      </w:r>
      <w:r w:rsidR="00A371AF">
        <w:t xml:space="preserve"> </w:t>
      </w:r>
      <w:r w:rsidR="009E2EBD">
        <w:t xml:space="preserve">Equally notable in </w:t>
      </w:r>
      <w:r w:rsidR="009E2EBD" w:rsidRPr="00EE30C1">
        <w:t xml:space="preserve">Monte </w:t>
      </w:r>
      <w:proofErr w:type="spellStart"/>
      <w:r w:rsidR="009E2EBD" w:rsidRPr="00EE30C1">
        <w:t>Amiata’s</w:t>
      </w:r>
      <w:proofErr w:type="spellEnd"/>
      <w:r w:rsidR="009E2EBD" w:rsidRPr="00EE30C1">
        <w:t xml:space="preserve"> </w:t>
      </w:r>
      <w:r w:rsidR="009E2EBD">
        <w:t xml:space="preserve">run of early medieval documents </w:t>
      </w:r>
      <w:r w:rsidR="009E2EBD" w:rsidRPr="00EE30C1">
        <w:t xml:space="preserve">is the </w:t>
      </w:r>
      <w:r w:rsidR="009E2EBD">
        <w:t>long</w:t>
      </w:r>
      <w:r w:rsidR="009E2EBD" w:rsidRPr="00EE30C1">
        <w:t xml:space="preserve"> lacuna in the survival of any type of document in the mid-tenth century: from the thirty-five years from 927 to 961 inclusive, only two documents survive.</w:t>
      </w:r>
      <w:r w:rsidR="009E2EBD">
        <w:t xml:space="preserve"> </w:t>
      </w:r>
      <w:r w:rsidR="009E2EBD" w:rsidRPr="00EE30C1">
        <w:t xml:space="preserve">It is </w:t>
      </w:r>
      <w:r w:rsidR="009E2EBD" w:rsidRPr="006E5CD5">
        <w:rPr>
          <w:i/>
        </w:rPr>
        <w:t xml:space="preserve">prima </w:t>
      </w:r>
      <w:r w:rsidR="009E2EBD" w:rsidRPr="006E5CD5">
        <w:rPr>
          <w:i/>
        </w:rPr>
        <w:lastRenderedPageBreak/>
        <w:t xml:space="preserve">facie </w:t>
      </w:r>
      <w:r w:rsidR="009E2EBD" w:rsidRPr="00EE30C1">
        <w:t>unlikely that th</w:t>
      </w:r>
      <w:r w:rsidR="009E2EBD">
        <w:t>ese</w:t>
      </w:r>
      <w:r w:rsidR="009E2EBD" w:rsidRPr="00EE30C1">
        <w:t xml:space="preserve"> w</w:t>
      </w:r>
      <w:r w:rsidR="009E2EBD">
        <w:t>ere</w:t>
      </w:r>
      <w:r w:rsidR="009E2EBD" w:rsidRPr="00EE30C1">
        <w:t xml:space="preserve"> the only such transaction to have taken place across that period: we must be dealing with an effect of transmission.</w:t>
      </w:r>
      <w:r w:rsidR="009E2EBD" w:rsidRPr="00EE30C1">
        <w:rPr>
          <w:rStyle w:val="FootnoteReference"/>
        </w:rPr>
        <w:footnoteReference w:id="15"/>
      </w:r>
    </w:p>
    <w:p w14:paraId="5E273BF3" w14:textId="4978DCEF" w:rsidR="009E2EBD" w:rsidRDefault="009E2EBD" w:rsidP="0014558B">
      <w:pPr>
        <w:spacing w:after="120" w:line="360" w:lineRule="auto"/>
        <w:ind w:firstLine="720"/>
      </w:pPr>
      <w:r w:rsidRPr="00EE30C1">
        <w:t>Those who preserved documents at Monte Amiata were evidently deliber</w:t>
      </w:r>
      <w:r w:rsidR="000D3557">
        <w:t xml:space="preserve">ately selective in their work. </w:t>
      </w:r>
      <w:r w:rsidRPr="00EE30C1">
        <w:t>Dorsal notes on some of the earliest charters indicate that some attempt was made to arrange an archival system almost from the abbey’s inception.</w:t>
      </w:r>
      <w:r w:rsidRPr="00EE30C1">
        <w:rPr>
          <w:rStyle w:val="FootnoteReference"/>
        </w:rPr>
        <w:footnoteReference w:id="16"/>
      </w:r>
      <w:r w:rsidR="000D3557">
        <w:t xml:space="preserve"> </w:t>
      </w:r>
      <w:r w:rsidRPr="00EE30C1">
        <w:t>They also show that those attempts were periodically repeated, in different ways: attempts, that is, to sort, select and, unquestionably, to discard.</w:t>
      </w:r>
      <w:r w:rsidRPr="00EE30C1">
        <w:rPr>
          <w:rStyle w:val="FootnoteReference"/>
        </w:rPr>
        <w:footnoteReference w:id="17"/>
      </w:r>
      <w:r w:rsidR="000D3557">
        <w:t xml:space="preserve"> </w:t>
      </w:r>
      <w:r w:rsidRPr="00EE30C1">
        <w:t>In practice, of course, there must in fact have been numerous moments of selection in the long history of the archive from its inception to the transfer of many of its documents to Siena and Florence in the modern age.</w:t>
      </w:r>
      <w:r w:rsidRPr="00EE30C1">
        <w:rPr>
          <w:rStyle w:val="FootnoteReference"/>
        </w:rPr>
        <w:footnoteReference w:id="18"/>
      </w:r>
      <w:r w:rsidR="000D3557">
        <w:t xml:space="preserve"> </w:t>
      </w:r>
      <w:r w:rsidRPr="00EE30C1">
        <w:t xml:space="preserve">But we can add a little more definition to </w:t>
      </w:r>
      <w:r>
        <w:t xml:space="preserve">the history of </w:t>
      </w:r>
      <w:r w:rsidRPr="00EE30C1">
        <w:t xml:space="preserve">Monte </w:t>
      </w:r>
      <w:proofErr w:type="spellStart"/>
      <w:r w:rsidRPr="00EE30C1">
        <w:t>Amiata’s</w:t>
      </w:r>
      <w:proofErr w:type="spellEnd"/>
      <w:r w:rsidRPr="00EE30C1">
        <w:t xml:space="preserve"> </w:t>
      </w:r>
      <w:r>
        <w:t xml:space="preserve">archive in the early </w:t>
      </w:r>
      <w:proofErr w:type="gramStart"/>
      <w:r>
        <w:t>middle ages</w:t>
      </w:r>
      <w:proofErr w:type="gramEnd"/>
      <w:r w:rsidRPr="00EE30C1">
        <w:t xml:space="preserve"> thanks to the very fortunate survival of a theological tract, </w:t>
      </w:r>
      <w:proofErr w:type="spellStart"/>
      <w:r w:rsidRPr="00EE30C1">
        <w:t>B</w:t>
      </w:r>
      <w:r w:rsidR="000D3557">
        <w:t>iblioteca</w:t>
      </w:r>
      <w:proofErr w:type="spellEnd"/>
      <w:r w:rsidR="000D3557">
        <w:t xml:space="preserve"> </w:t>
      </w:r>
      <w:proofErr w:type="spellStart"/>
      <w:r w:rsidRPr="00EE30C1">
        <w:t>A</w:t>
      </w:r>
      <w:r w:rsidR="000D3557">
        <w:t>postolica</w:t>
      </w:r>
      <w:proofErr w:type="spellEnd"/>
      <w:r w:rsidR="000D3557">
        <w:t xml:space="preserve"> </w:t>
      </w:r>
      <w:proofErr w:type="spellStart"/>
      <w:r w:rsidRPr="00EE30C1">
        <w:t>V</w:t>
      </w:r>
      <w:r w:rsidR="000D3557">
        <w:t>aticana</w:t>
      </w:r>
      <w:proofErr w:type="spellEnd"/>
      <w:r w:rsidR="000D3557">
        <w:t>,</w:t>
      </w:r>
      <w:r w:rsidRPr="00EE30C1">
        <w:t xml:space="preserve"> Vat. pal. lat. 165, written in part on </w:t>
      </w:r>
      <w:proofErr w:type="spellStart"/>
      <w:r w:rsidRPr="00EE30C1">
        <w:t>palimpsested</w:t>
      </w:r>
      <w:proofErr w:type="spellEnd"/>
      <w:r w:rsidRPr="00EE30C1">
        <w:t xml:space="preserve"> mid-ninth century charters from the ab</w:t>
      </w:r>
      <w:r w:rsidR="000D3557">
        <w:t xml:space="preserve">bey’s archive. </w:t>
      </w:r>
      <w:r w:rsidRPr="00EE30C1">
        <w:t>Some of these were re-used as soon as the transactions they contained had expired, either because the contract was time-limited, or becau</w:t>
      </w:r>
      <w:r>
        <w:t>se the land in question had become</w:t>
      </w:r>
      <w:r w:rsidRPr="00EE30C1">
        <w:t xml:space="preserve"> subject to a new contract.</w:t>
      </w:r>
      <w:r w:rsidRPr="00EE30C1">
        <w:rPr>
          <w:rStyle w:val="FootnoteReference"/>
        </w:rPr>
        <w:footnoteReference w:id="19"/>
      </w:r>
      <w:r w:rsidR="000D3557">
        <w:t xml:space="preserve"> </w:t>
      </w:r>
      <w:r w:rsidRPr="00EE30C1">
        <w:t xml:space="preserve">They indicate that the late ninth century marked a watershed in Monte </w:t>
      </w:r>
      <w:proofErr w:type="spellStart"/>
      <w:r w:rsidRPr="00EE30C1">
        <w:t>Amiata’s</w:t>
      </w:r>
      <w:proofErr w:type="spellEnd"/>
      <w:r w:rsidRPr="00EE30C1">
        <w:t xml:space="preserve"> archive</w:t>
      </w:r>
      <w:r>
        <w:t>.  Moreover, r</w:t>
      </w:r>
      <w:r w:rsidRPr="00EE30C1">
        <w:t xml:space="preserve">ecent research by Mario </w:t>
      </w:r>
      <w:proofErr w:type="spellStart"/>
      <w:r w:rsidRPr="00EE30C1">
        <w:t>Marrocchi</w:t>
      </w:r>
      <w:proofErr w:type="spellEnd"/>
      <w:r w:rsidRPr="00EE30C1">
        <w:t xml:space="preserve"> has emphasized the importance in shaping </w:t>
      </w:r>
      <w:r w:rsidRPr="00EE30C1">
        <w:lastRenderedPageBreak/>
        <w:t>the abbey’s memory of efforts during another watershed period in the first half of the eleventh century</w:t>
      </w:r>
      <w:r>
        <w:t xml:space="preserve"> (from the abbacy of </w:t>
      </w:r>
      <w:proofErr w:type="spellStart"/>
      <w:r>
        <w:t>Winizo</w:t>
      </w:r>
      <w:proofErr w:type="spellEnd"/>
      <w:r>
        <w:t xml:space="preserve"> II</w:t>
      </w:r>
      <w:r w:rsidR="008D6998">
        <w:t>, 1004</w:t>
      </w:r>
      <w:r w:rsidR="0054591A">
        <w:t>-1035</w:t>
      </w:r>
      <w:r>
        <w:t>)</w:t>
      </w:r>
      <w:r w:rsidRPr="00EE30C1">
        <w:t>.</w:t>
      </w:r>
      <w:r w:rsidRPr="00EE30C1">
        <w:rPr>
          <w:rStyle w:val="FootnoteReference"/>
        </w:rPr>
        <w:footnoteReference w:id="20"/>
      </w:r>
      <w:r w:rsidRPr="00EE30C1">
        <w:t xml:space="preserve"> </w:t>
      </w:r>
    </w:p>
    <w:p w14:paraId="0ACE3279" w14:textId="28ABED74" w:rsidR="009E2EBD" w:rsidRPr="00EE30C1" w:rsidRDefault="009E2EBD" w:rsidP="0014558B">
      <w:pPr>
        <w:spacing w:after="120" w:line="360" w:lineRule="auto"/>
        <w:ind w:firstLine="720"/>
      </w:pPr>
      <w:r>
        <w:t xml:space="preserve">We can observe this kind of sea-change in the </w:t>
      </w:r>
      <w:r w:rsidRPr="00EE30C1">
        <w:t>preservation of documents</w:t>
      </w:r>
      <w:r>
        <w:t xml:space="preserve"> in a number of cities and institutions of northern and central Italy, but t</w:t>
      </w:r>
      <w:r w:rsidRPr="00EE30C1">
        <w:t xml:space="preserve">he rise and fall in Monte </w:t>
      </w:r>
      <w:proofErr w:type="spellStart"/>
      <w:r w:rsidRPr="00EE30C1">
        <w:t>Amiata’s</w:t>
      </w:r>
      <w:proofErr w:type="spellEnd"/>
      <w:r w:rsidRPr="00EE30C1">
        <w:t xml:space="preserve"> overall numbers of charters follows most close</w:t>
      </w:r>
      <w:r>
        <w:t xml:space="preserve">ly those </w:t>
      </w:r>
      <w:r w:rsidR="00945BEC">
        <w:t xml:space="preserve">of the abbey of </w:t>
      </w:r>
      <w:proofErr w:type="spellStart"/>
      <w:r w:rsidR="00945BEC">
        <w:t>Farfa</w:t>
      </w:r>
      <w:proofErr w:type="spellEnd"/>
      <w:r w:rsidR="00945BEC">
        <w:t xml:space="preserve">. </w:t>
      </w:r>
      <w:r w:rsidRPr="00EE30C1">
        <w:t xml:space="preserve">The difference between the two is of course that </w:t>
      </w:r>
      <w:proofErr w:type="spellStart"/>
      <w:r w:rsidRPr="00EE30C1">
        <w:t>Farfa’s</w:t>
      </w:r>
      <w:proofErr w:type="spellEnd"/>
      <w:r w:rsidRPr="00EE30C1">
        <w:t xml:space="preserve"> documents survive only in a very deliberately concocted set of cartularies</w:t>
      </w:r>
      <w:r w:rsidR="00945BEC">
        <w:t xml:space="preserve">. </w:t>
      </w:r>
      <w:r w:rsidRPr="00EE30C1">
        <w:t>As is we</w:t>
      </w:r>
      <w:r>
        <w:t xml:space="preserve">ll known, the abbey’s archivist and </w:t>
      </w:r>
      <w:r w:rsidRPr="00EE30C1">
        <w:t xml:space="preserve">chronicler at the turn of the twelfth century, Gregory of </w:t>
      </w:r>
      <w:proofErr w:type="spellStart"/>
      <w:r w:rsidRPr="00EE30C1">
        <w:t>Catino</w:t>
      </w:r>
      <w:proofErr w:type="spellEnd"/>
      <w:r>
        <w:t>,</w:t>
      </w:r>
      <w:r w:rsidRPr="00EE30C1">
        <w:t xml:space="preserve"> </w:t>
      </w:r>
      <w:r>
        <w:t>wrote in succession four works through which he sought to reinforce his abbey’s claims by emphasizing the recovery of its properties after periods of loss, which occurred especially, as at Monte Amiata, in the l</w:t>
      </w:r>
      <w:r w:rsidR="00945BEC">
        <w:t xml:space="preserve">ate ninth and tenth centuries. </w:t>
      </w:r>
      <w:r>
        <w:t>H</w:t>
      </w:r>
      <w:r w:rsidRPr="00EE30C1">
        <w:t xml:space="preserve">is </w:t>
      </w:r>
      <w:r>
        <w:t xml:space="preserve">attitude </w:t>
      </w:r>
      <w:r w:rsidRPr="00EE30C1">
        <w:t xml:space="preserve">is evident in his </w:t>
      </w:r>
      <w:r>
        <w:t>inclusion</w:t>
      </w:r>
      <w:r w:rsidRPr="00EE30C1">
        <w:t xml:space="preserve"> of dispute notices: in </w:t>
      </w:r>
      <w:r>
        <w:t>the first and largest of Gregory’s works, the</w:t>
      </w:r>
      <w:r w:rsidRPr="00EE30C1">
        <w:t xml:space="preserve"> </w:t>
      </w:r>
      <w:proofErr w:type="spellStart"/>
      <w:r w:rsidRPr="00C35D5A">
        <w:rPr>
          <w:i/>
        </w:rPr>
        <w:t>Regestum</w:t>
      </w:r>
      <w:proofErr w:type="spellEnd"/>
      <w:r w:rsidRPr="00C35D5A">
        <w:rPr>
          <w:i/>
        </w:rPr>
        <w:t xml:space="preserve"> </w:t>
      </w:r>
      <w:proofErr w:type="spellStart"/>
      <w:r w:rsidRPr="00C35D5A">
        <w:rPr>
          <w:i/>
        </w:rPr>
        <w:t>Farfense</w:t>
      </w:r>
      <w:proofErr w:type="spellEnd"/>
      <w:r>
        <w:t>,</w:t>
      </w:r>
      <w:r w:rsidRPr="00EE30C1">
        <w:t xml:space="preserve"> </w:t>
      </w:r>
      <w:r w:rsidRPr="00E43F36">
        <w:t xml:space="preserve">there are just three </w:t>
      </w:r>
      <w:r w:rsidRPr="00EE30C1">
        <w:t>for the 149 years between 845 and 994, one of which is an imperial adjudication in a dispute over the abbacy; the other two are undefended cases from the 940s.</w:t>
      </w:r>
      <w:r w:rsidRPr="00EE30C1">
        <w:rPr>
          <w:rStyle w:val="FootnoteReference"/>
        </w:rPr>
        <w:footnoteReference w:id="21"/>
      </w:r>
      <w:r w:rsidR="00945BEC">
        <w:t xml:space="preserve"> </w:t>
      </w:r>
      <w:r>
        <w:t xml:space="preserve">Pierre </w:t>
      </w:r>
      <w:proofErr w:type="spellStart"/>
      <w:r w:rsidRPr="00EE30C1">
        <w:t>Toubert</w:t>
      </w:r>
      <w:r>
        <w:t>’s</w:t>
      </w:r>
      <w:proofErr w:type="spellEnd"/>
      <w:r>
        <w:t xml:space="preserve"> interpretation of this striking gap looks still to be the most satisfying: </w:t>
      </w:r>
      <w:r w:rsidRPr="00EE30C1">
        <w:t xml:space="preserve">that </w:t>
      </w:r>
      <w:r>
        <w:t xml:space="preserve">apart from these three </w:t>
      </w:r>
      <w:r w:rsidRPr="00EE30C1">
        <w:t>all</w:t>
      </w:r>
      <w:r>
        <w:t xml:space="preserve"> the</w:t>
      </w:r>
      <w:r w:rsidRPr="00EE30C1">
        <w:t xml:space="preserve"> other disputes notices </w:t>
      </w:r>
      <w:r>
        <w:t>were</w:t>
      </w:r>
      <w:r w:rsidRPr="00EE30C1">
        <w:t xml:space="preserve"> regarded as mere ‘</w:t>
      </w:r>
      <w:proofErr w:type="spellStart"/>
      <w:r w:rsidRPr="00EE30C1">
        <w:t>tabellionage</w:t>
      </w:r>
      <w:proofErr w:type="spellEnd"/>
      <w:r w:rsidRPr="00EE30C1">
        <w:t>’</w:t>
      </w:r>
      <w:r>
        <w:t xml:space="preserve"> – the business only of notaries</w:t>
      </w:r>
      <w:r w:rsidRPr="00EE30C1">
        <w:t>.</w:t>
      </w:r>
      <w:r w:rsidRPr="00EE30C1">
        <w:rPr>
          <w:rStyle w:val="FootnoteReference"/>
        </w:rPr>
        <w:footnoteReference w:id="22"/>
      </w:r>
      <w:r w:rsidR="00945BEC">
        <w:t xml:space="preserve"> </w:t>
      </w:r>
      <w:r w:rsidRPr="00EE30C1">
        <w:t xml:space="preserve">The superficial similarities between </w:t>
      </w:r>
      <w:proofErr w:type="spellStart"/>
      <w:r w:rsidRPr="00EE30C1">
        <w:t>Farfa</w:t>
      </w:r>
      <w:proofErr w:type="spellEnd"/>
      <w:r w:rsidRPr="00EE30C1">
        <w:t xml:space="preserve"> and Monte </w:t>
      </w:r>
      <w:proofErr w:type="spellStart"/>
      <w:r w:rsidRPr="00EE30C1">
        <w:t>Amiata</w:t>
      </w:r>
      <w:proofErr w:type="spellEnd"/>
      <w:r w:rsidRPr="00EE30C1">
        <w:t xml:space="preserve"> – that both were monasteries and both theoretically enjoyed royal protection – do not seem sufficient to explain this parallel</w:t>
      </w:r>
      <w:r>
        <w:t xml:space="preserve"> in their transmission of dispute notices</w:t>
      </w:r>
      <w:r w:rsidR="00945BEC">
        <w:t xml:space="preserve">. </w:t>
      </w:r>
      <w:r w:rsidRPr="00EE30C1">
        <w:t xml:space="preserve">Rather, these common patterns have to be seen as having been caused by similar decisions on the part of the guardians of the two monasteries’ institutional memories; and it seems prima facie likely that similar decisions responded to similar social pressures.  An association of this sort would certainly help to confirm that the profile of Monte </w:t>
      </w:r>
      <w:proofErr w:type="spellStart"/>
      <w:r w:rsidRPr="00EE30C1">
        <w:t>Amiata’s</w:t>
      </w:r>
      <w:proofErr w:type="spellEnd"/>
      <w:r w:rsidRPr="00EE30C1">
        <w:t xml:space="preserve"> archive was established in this, rather than a later, period, because </w:t>
      </w:r>
      <w:proofErr w:type="spellStart"/>
      <w:r w:rsidRPr="00EE30C1">
        <w:t>Farfa’s</w:t>
      </w:r>
      <w:proofErr w:type="spellEnd"/>
      <w:r w:rsidRPr="00EE30C1">
        <w:t xml:space="preserve"> </w:t>
      </w:r>
      <w:r w:rsidRPr="00EE30C1">
        <w:lastRenderedPageBreak/>
        <w:t xml:space="preserve">record has the clear terminus ante </w:t>
      </w:r>
      <w:proofErr w:type="spellStart"/>
      <w:r w:rsidRPr="00EE30C1">
        <w:t>quem</w:t>
      </w:r>
      <w:proofErr w:type="spellEnd"/>
      <w:r w:rsidRPr="00EE30C1">
        <w:t xml:space="preserve"> of Gregory of</w:t>
      </w:r>
      <w:r>
        <w:t xml:space="preserve"> </w:t>
      </w:r>
      <w:proofErr w:type="spellStart"/>
      <w:r>
        <w:t>Catino’s</w:t>
      </w:r>
      <w:proofErr w:type="spellEnd"/>
      <w:r>
        <w:t xml:space="preserve"> work: that is, between 1099 and c.1130.</w:t>
      </w:r>
      <w:r>
        <w:rPr>
          <w:rStyle w:val="FootnoteReference"/>
        </w:rPr>
        <w:footnoteReference w:id="23"/>
      </w:r>
      <w:r w:rsidRPr="00EE30C1">
        <w:t xml:space="preserve"> </w:t>
      </w:r>
    </w:p>
    <w:p w14:paraId="0C4B47AF" w14:textId="090FAEF0" w:rsidR="009E2EBD" w:rsidRPr="00EE30C1" w:rsidRDefault="009E2EBD" w:rsidP="0014558B">
      <w:pPr>
        <w:spacing w:after="120" w:line="360" w:lineRule="auto"/>
        <w:ind w:firstLine="720"/>
      </w:pPr>
      <w:r>
        <w:t>T</w:t>
      </w:r>
      <w:r w:rsidRPr="00EE30C1">
        <w:t xml:space="preserve">he complete dominance of ‘undefended case’ types </w:t>
      </w:r>
      <w:r>
        <w:t>a</w:t>
      </w:r>
      <w:r w:rsidRPr="00371295">
        <w:t xml:space="preserve">mong the law court </w:t>
      </w:r>
      <w:r w:rsidRPr="00371295">
        <w:rPr>
          <w:iCs/>
        </w:rPr>
        <w:t>notices</w:t>
      </w:r>
      <w:r w:rsidRPr="00371295">
        <w:t xml:space="preserve"> in the Monte Amiata archive </w:t>
      </w:r>
      <w:r w:rsidRPr="00EE30C1">
        <w:t>is an extreme expre</w:t>
      </w:r>
      <w:r w:rsidR="00945BEC">
        <w:t xml:space="preserve">ssion of a more general trend. </w:t>
      </w:r>
      <w:r w:rsidRPr="00EE30C1">
        <w:t xml:space="preserve">Across the kingdom of Italy as a whole, </w:t>
      </w:r>
      <w:r>
        <w:t>at the beginning of the tenth century</w:t>
      </w:r>
      <w:r w:rsidRPr="00EE30C1">
        <w:t xml:space="preserve"> ‘traditional’ dispute </w:t>
      </w:r>
      <w:r w:rsidRPr="00371295">
        <w:rPr>
          <w:iCs/>
        </w:rPr>
        <w:t>notices</w:t>
      </w:r>
      <w:r w:rsidRPr="00EE30C1">
        <w:t xml:space="preserve"> – that is, those that do not fall into one of the ‘undefended case’ categories – constitute no more t</w:t>
      </w:r>
      <w:r w:rsidR="00945BEC">
        <w:t xml:space="preserve">han one in three of the total. </w:t>
      </w:r>
      <w:r w:rsidRPr="00EE30C1">
        <w:t>By the Ottonian period (from 962) this prop</w:t>
      </w:r>
      <w:r w:rsidR="00945BEC">
        <w:t xml:space="preserve">ortion has become one in five. </w:t>
      </w:r>
      <w:r w:rsidRPr="00EE30C1">
        <w:t xml:space="preserve">After a slight rally in the 1020s, the traditional form of dispute </w:t>
      </w:r>
      <w:r w:rsidRPr="00371295">
        <w:rPr>
          <w:iCs/>
        </w:rPr>
        <w:t>notice</w:t>
      </w:r>
      <w:r w:rsidRPr="00EE30C1">
        <w:t xml:space="preserve"> disappears from archives altogether over the course of the next few decades.</w:t>
      </w:r>
      <w:r w:rsidRPr="00EE30C1">
        <w:rPr>
          <w:rStyle w:val="FootnoteReference"/>
        </w:rPr>
        <w:footnoteReference w:id="24"/>
      </w:r>
      <w:r w:rsidR="00945BEC">
        <w:t xml:space="preserve"> </w:t>
      </w:r>
      <w:proofErr w:type="spellStart"/>
      <w:r w:rsidRPr="00EE30C1">
        <w:t>Farfa</w:t>
      </w:r>
      <w:proofErr w:type="spellEnd"/>
      <w:r w:rsidRPr="00EE30C1">
        <w:t xml:space="preserve"> certainl</w:t>
      </w:r>
      <w:r w:rsidR="00AF7ABF">
        <w:t>y conforms to the trend, with nine of the fifteen</w:t>
      </w:r>
      <w:r w:rsidRPr="00EE30C1">
        <w:t xml:space="preserve"> dispute notices that survive after the lacuna of 845-994 taking ‘undefended’ formats.</w:t>
      </w:r>
      <w:r w:rsidRPr="00EE30C1">
        <w:rPr>
          <w:rStyle w:val="FootnoteReference"/>
        </w:rPr>
        <w:footnoteReference w:id="25"/>
      </w:r>
      <w:r w:rsidR="00945BEC">
        <w:t xml:space="preserve"> </w:t>
      </w:r>
      <w:r w:rsidRPr="00EE30C1">
        <w:t xml:space="preserve">Monte </w:t>
      </w:r>
      <w:proofErr w:type="spellStart"/>
      <w:r w:rsidRPr="00EE30C1">
        <w:t>Amiata’s</w:t>
      </w:r>
      <w:proofErr w:type="spellEnd"/>
      <w:r w:rsidRPr="00EE30C1">
        <w:t xml:space="preserve"> surviving archive looks like the shape of things to come.  </w:t>
      </w:r>
    </w:p>
    <w:p w14:paraId="7203869C" w14:textId="3ADAE8A4" w:rsidR="009E2EBD" w:rsidRPr="00EE30C1" w:rsidRDefault="009E2EBD" w:rsidP="0014558B">
      <w:pPr>
        <w:spacing w:after="120" w:line="360" w:lineRule="auto"/>
        <w:ind w:firstLine="720"/>
      </w:pPr>
      <w:r w:rsidRPr="00EE30C1">
        <w:t>Examples of monastic archives whose patterning bears visible imprints of developments in the world beyond the cloister help to explain Monte</w:t>
      </w:r>
      <w:r w:rsidR="00945BEC">
        <w:t xml:space="preserve"> </w:t>
      </w:r>
      <w:proofErr w:type="spellStart"/>
      <w:r w:rsidR="00945BEC">
        <w:t>Amiata’s</w:t>
      </w:r>
      <w:proofErr w:type="spellEnd"/>
      <w:r w:rsidR="00945BEC">
        <w:t xml:space="preserve"> distinctive profile. </w:t>
      </w:r>
      <w:r w:rsidR="006E5CD5">
        <w:t>One such is St Gall</w:t>
      </w:r>
      <w:r w:rsidRPr="00EE30C1">
        <w:t>, whose archive of original documents shows detectable signs of sy</w:t>
      </w:r>
      <w:r w:rsidR="00AF7ABF">
        <w:t>stematic efforts at (re-)organis</w:t>
      </w:r>
      <w:r w:rsidRPr="00EE30C1">
        <w:t xml:space="preserve">ation in two instances in the Carolingian era, </w:t>
      </w:r>
      <w:r w:rsidR="00945BEC" w:rsidRPr="00945BEC">
        <w:rPr>
          <w:i/>
          <w:iCs/>
        </w:rPr>
        <w:t>c</w:t>
      </w:r>
      <w:r w:rsidR="00945BEC">
        <w:rPr>
          <w:iCs/>
        </w:rPr>
        <w:t xml:space="preserve">. </w:t>
      </w:r>
      <w:r w:rsidRPr="00945BEC">
        <w:t>802</w:t>
      </w:r>
      <w:r w:rsidRPr="00EE30C1">
        <w:t xml:space="preserve">-15 and </w:t>
      </w:r>
      <w:r w:rsidR="00945BEC" w:rsidRPr="00945BEC">
        <w:rPr>
          <w:i/>
          <w:iCs/>
        </w:rPr>
        <w:t>c</w:t>
      </w:r>
      <w:r w:rsidR="00945BEC">
        <w:rPr>
          <w:iCs/>
        </w:rPr>
        <w:t xml:space="preserve">. </w:t>
      </w:r>
      <w:r w:rsidRPr="00945BEC">
        <w:t>840</w:t>
      </w:r>
      <w:r w:rsidRPr="00EE30C1">
        <w:t>, both linked with the political vicissitudes of the abbey and its region at the time.</w:t>
      </w:r>
      <w:r w:rsidRPr="00EE30C1">
        <w:rPr>
          <w:rStyle w:val="FootnoteReference"/>
        </w:rPr>
        <w:footnoteReference w:id="26"/>
      </w:r>
      <w:r w:rsidRPr="00EE30C1">
        <w:t xml:space="preserve"> We can also point to the changes in monastic archival practices north of the Alps </w:t>
      </w:r>
      <w:r w:rsidRPr="00EE30C1">
        <w:lastRenderedPageBreak/>
        <w:t>in the e</w:t>
      </w:r>
      <w:r w:rsidR="008C1C44">
        <w:t xml:space="preserve">leventh and twelfth centuries. </w:t>
      </w:r>
      <w:r w:rsidRPr="00EE30C1">
        <w:t xml:space="preserve">Cogent arguments link the growth of ideas associated with the reform of Christian life, both in monasteries and more widely, and the related reconfiguration of the relationships between monasteries and their lay patrons and </w:t>
      </w:r>
      <w:proofErr w:type="spellStart"/>
      <w:r w:rsidRPr="00EE30C1">
        <w:t>neighbours</w:t>
      </w:r>
      <w:proofErr w:type="spellEnd"/>
      <w:r w:rsidRPr="00EE30C1">
        <w:t xml:space="preserve">, with the </w:t>
      </w:r>
      <w:proofErr w:type="spellStart"/>
      <w:r w:rsidRPr="00EE30C1">
        <w:t>cartularization</w:t>
      </w:r>
      <w:proofErr w:type="spellEnd"/>
      <w:r w:rsidRPr="00EE30C1">
        <w:t xml:space="preserve"> of monasteries’ records, when loose original charters were selectively copied into books that set out a particular version of the house’s history.</w:t>
      </w:r>
      <w:r w:rsidRPr="00EE30C1">
        <w:rPr>
          <w:rStyle w:val="FootnoteReference"/>
        </w:rPr>
        <w:footnoteReference w:id="27"/>
      </w:r>
      <w:r w:rsidR="008C1C44">
        <w:t xml:space="preserve"> </w:t>
      </w:r>
      <w:r w:rsidRPr="00EE30C1">
        <w:t xml:space="preserve">This phenomenon is not entirely absent in Italy, but is confined to the large rural abbeys of the </w:t>
      </w:r>
      <w:proofErr w:type="spellStart"/>
      <w:r w:rsidRPr="00EE30C1">
        <w:t>centre</w:t>
      </w:r>
      <w:proofErr w:type="spellEnd"/>
      <w:r w:rsidRPr="00EE30C1">
        <w:t xml:space="preserve"> and south of the peninsula: during the eleventh </w:t>
      </w:r>
      <w:r>
        <w:t xml:space="preserve">and early twelfth centuries </w:t>
      </w:r>
      <w:r w:rsidRPr="00EE30C1">
        <w:t xml:space="preserve">cartularies or cartulary-chronicles were written for </w:t>
      </w:r>
      <w:proofErr w:type="spellStart"/>
      <w:r w:rsidRPr="00EE30C1">
        <w:t>Farfa</w:t>
      </w:r>
      <w:proofErr w:type="spellEnd"/>
      <w:r w:rsidRPr="00EE30C1">
        <w:t xml:space="preserve">, as we have seen, and also for San Vincenzo al </w:t>
      </w:r>
      <w:proofErr w:type="spellStart"/>
      <w:r w:rsidRPr="00EE30C1">
        <w:t>Volturno</w:t>
      </w:r>
      <w:proofErr w:type="spellEnd"/>
      <w:r w:rsidRPr="00EE30C1">
        <w:t xml:space="preserve">, San Clemente a </w:t>
      </w:r>
      <w:proofErr w:type="spellStart"/>
      <w:r w:rsidRPr="00EE30C1">
        <w:t>Casauria</w:t>
      </w:r>
      <w:proofErr w:type="spellEnd"/>
      <w:r w:rsidRPr="00EE30C1">
        <w:t xml:space="preserve">, and San Benedetto a </w:t>
      </w:r>
      <w:proofErr w:type="spellStart"/>
      <w:r w:rsidRPr="00EE30C1">
        <w:t>Montecassino</w:t>
      </w:r>
      <w:proofErr w:type="spellEnd"/>
      <w:r w:rsidRPr="00EE30C1">
        <w:t>.</w:t>
      </w:r>
      <w:r w:rsidRPr="00EE30C1">
        <w:rPr>
          <w:rStyle w:val="FootnoteReference"/>
        </w:rPr>
        <w:footnoteReference w:id="28"/>
      </w:r>
      <w:r w:rsidRPr="00EE30C1">
        <w:t xml:space="preserve">  </w:t>
      </w:r>
    </w:p>
    <w:p w14:paraId="73523BFC" w14:textId="096B4A09" w:rsidR="009E2EBD" w:rsidRPr="00EE30C1" w:rsidRDefault="009E2EBD" w:rsidP="0014558B">
      <w:pPr>
        <w:spacing w:after="120" w:line="360" w:lineRule="auto"/>
        <w:ind w:firstLine="720"/>
      </w:pPr>
      <w:r w:rsidRPr="00EE30C1">
        <w:t xml:space="preserve">In this regard, one feature of Monte </w:t>
      </w:r>
      <w:proofErr w:type="spellStart"/>
      <w:r w:rsidRPr="00EE30C1">
        <w:t>Amiata’s</w:t>
      </w:r>
      <w:proofErr w:type="spellEnd"/>
      <w:r w:rsidRPr="00EE30C1">
        <w:t xml:space="preserve"> law court </w:t>
      </w:r>
      <w:r w:rsidRPr="00D30075">
        <w:rPr>
          <w:iCs/>
        </w:rPr>
        <w:t>notices</w:t>
      </w:r>
      <w:r w:rsidRPr="00EE30C1">
        <w:t xml:space="preserve">, indeed, of the abbey’s surviving charters more generally, is clearly relevant: the growing prominence in </w:t>
      </w:r>
      <w:r w:rsidRPr="00EE30C1">
        <w:lastRenderedPageBreak/>
        <w:t>them of the highest elite.</w:t>
      </w:r>
      <w:r w:rsidRPr="00EE30C1">
        <w:rPr>
          <w:rStyle w:val="FootnoteReference"/>
        </w:rPr>
        <w:footnoteReference w:id="29"/>
      </w:r>
      <w:r w:rsidR="008C1C44">
        <w:t xml:space="preserve"> </w:t>
      </w:r>
      <w:r w:rsidRPr="00EE30C1">
        <w:t xml:space="preserve">Demonstrable members of the elite were the ‘opposing’ party to Monte Amiata in five of its nine extant </w:t>
      </w:r>
      <w:r w:rsidRPr="00D30075">
        <w:rPr>
          <w:iCs/>
        </w:rPr>
        <w:t>notices</w:t>
      </w:r>
      <w:r w:rsidRPr="00EE30C1">
        <w:t xml:space="preserve"> from the late ninth century onwards.</w:t>
      </w:r>
      <w:r w:rsidRPr="00EE30C1">
        <w:rPr>
          <w:rStyle w:val="FootnoteReference"/>
        </w:rPr>
        <w:footnoteReference w:id="30"/>
      </w:r>
      <w:r w:rsidR="00F23E2A">
        <w:t xml:space="preserve"> </w:t>
      </w:r>
      <w:r w:rsidRPr="00EE30C1">
        <w:t xml:space="preserve">Overall, of the seventy-five genuine charters surviving between the years 1000 and 1071 (not counting the </w:t>
      </w:r>
      <w:r>
        <w:t xml:space="preserve">law court </w:t>
      </w:r>
      <w:r>
        <w:rPr>
          <w:iCs/>
        </w:rPr>
        <w:t>notices</w:t>
      </w:r>
      <w:r w:rsidRPr="00EE30C1">
        <w:t>) thirty-four concern either a ruler or the pope, a count, a member of a count’s family, or, in a handful of cases, someone who held land next to that of a count (and took care to say so).</w:t>
      </w:r>
      <w:r w:rsidRPr="00EE30C1">
        <w:rPr>
          <w:rStyle w:val="FootnoteReference"/>
        </w:rPr>
        <w:footnoteReference w:id="31"/>
      </w:r>
      <w:r w:rsidR="00F23E2A">
        <w:t xml:space="preserve"> </w:t>
      </w:r>
      <w:r>
        <w:t>A large proportion</w:t>
      </w:r>
      <w:r w:rsidRPr="00EE30C1">
        <w:t xml:space="preserve"> of the others involve members of aristocratic families</w:t>
      </w:r>
      <w:r>
        <w:t xml:space="preserve">, even if they are not immediately identifiable through </w:t>
      </w:r>
      <w:r w:rsidRPr="00EE30C1">
        <w:t>distinguishing titles.</w:t>
      </w:r>
      <w:r w:rsidRPr="00EE30C1">
        <w:rPr>
          <w:rStyle w:val="FootnoteReference"/>
        </w:rPr>
        <w:footnoteReference w:id="32"/>
      </w:r>
      <w:r w:rsidRPr="00EE30C1">
        <w:t xml:space="preserve"> In short, Monte </w:t>
      </w:r>
      <w:proofErr w:type="spellStart"/>
      <w:r w:rsidRPr="00EE30C1">
        <w:t>Amiata’s</w:t>
      </w:r>
      <w:proofErr w:type="spellEnd"/>
      <w:r w:rsidRPr="00EE30C1">
        <w:t xml:space="preserve"> surviving charters engage in a sort of ‘social climbing’, increasingly confining themselves to the business of the rich and titled.  </w:t>
      </w:r>
    </w:p>
    <w:p w14:paraId="4759135D" w14:textId="58B7D007" w:rsidR="009E2EBD" w:rsidRDefault="009E2EBD" w:rsidP="0014558B">
      <w:pPr>
        <w:spacing w:after="120" w:line="360" w:lineRule="auto"/>
        <w:ind w:firstLine="720"/>
      </w:pPr>
      <w:r w:rsidRPr="00EE30C1">
        <w:t>This trend must arise from the uneven preservation of documents, rather than from any cessation in the production of documents abo</w:t>
      </w:r>
      <w:r w:rsidR="00F23E2A">
        <w:t xml:space="preserve">ut and for the poorer classes. </w:t>
      </w:r>
      <w:r w:rsidRPr="00EE30C1">
        <w:t>Tenth-century peasants were in general no less likely to need and have access to documents than had been thei</w:t>
      </w:r>
      <w:r>
        <w:t>r ninth-century predecessors, a</w:t>
      </w:r>
      <w:r w:rsidRPr="00EE30C1">
        <w:t xml:space="preserve">nd this is true despite the increasing use of the </w:t>
      </w:r>
      <w:proofErr w:type="spellStart"/>
      <w:r w:rsidRPr="00EE30C1">
        <w:rPr>
          <w:i/>
        </w:rPr>
        <w:t>libellus</w:t>
      </w:r>
      <w:proofErr w:type="spellEnd"/>
      <w:r w:rsidRPr="00EE30C1">
        <w:t xml:space="preserve">, a form of agrarian contract that tended to give details about the terms of peasants’ practical relationships with their lords that had previously sometimes been set down in writing in </w:t>
      </w:r>
      <w:r>
        <w:t>law court</w:t>
      </w:r>
      <w:r w:rsidRPr="00EE30C1">
        <w:t xml:space="preserve"> notices.</w:t>
      </w:r>
      <w:r w:rsidRPr="00EE30C1">
        <w:rPr>
          <w:rStyle w:val="FootnoteReference"/>
        </w:rPr>
        <w:footnoteReference w:id="33"/>
      </w:r>
      <w:r w:rsidR="00F23E2A">
        <w:t xml:space="preserve"> </w:t>
      </w:r>
      <w:r w:rsidRPr="00EE30C1">
        <w:t xml:space="preserve">Even taking this into account, there is every reason to think that in the tenth century people outside the </w:t>
      </w:r>
      <w:r>
        <w:t xml:space="preserve">high </w:t>
      </w:r>
      <w:r w:rsidRPr="00EE30C1">
        <w:t xml:space="preserve">elite continued both to make legal claims against each other and to use charters.  </w:t>
      </w:r>
    </w:p>
    <w:p w14:paraId="61006F11" w14:textId="47F43798" w:rsidR="00C6198F" w:rsidRPr="00EE30C1" w:rsidRDefault="009E2EBD" w:rsidP="0014558B">
      <w:pPr>
        <w:spacing w:after="120" w:line="360" w:lineRule="auto"/>
        <w:ind w:firstLine="720"/>
      </w:pPr>
      <w:r>
        <w:t>If we examine</w:t>
      </w:r>
      <w:r w:rsidRPr="00EE30C1">
        <w:t xml:space="preserve"> Monte </w:t>
      </w:r>
      <w:proofErr w:type="spellStart"/>
      <w:r w:rsidRPr="00EE30C1">
        <w:t>Amiata’s</w:t>
      </w:r>
      <w:proofErr w:type="spellEnd"/>
      <w:r w:rsidRPr="00EE30C1">
        <w:t xml:space="preserve"> history </w:t>
      </w:r>
      <w:r>
        <w:t>for</w:t>
      </w:r>
      <w:r w:rsidRPr="00EE30C1">
        <w:t xml:space="preserve"> reasons for the particular profile of its surviving charters</w:t>
      </w:r>
      <w:r>
        <w:t>, we quickly notice that</w:t>
      </w:r>
      <w:r w:rsidRPr="00EE30C1">
        <w:t xml:space="preserve"> </w:t>
      </w:r>
      <w:r>
        <w:t>i</w:t>
      </w:r>
      <w:r w:rsidRPr="00EE30C1">
        <w:t xml:space="preserve">ts landholdings had to be re-established by Otto I after the depredations of ‘evil men’, and its fortunes were not properly revived after a mid-tenth-century slump until the abbacy of </w:t>
      </w:r>
      <w:proofErr w:type="spellStart"/>
      <w:r w:rsidRPr="00EE30C1">
        <w:t>Winizo</w:t>
      </w:r>
      <w:proofErr w:type="spellEnd"/>
      <w:r w:rsidRPr="00EE30C1">
        <w:t xml:space="preserve"> I (996-1002), with the help of privileges from</w:t>
      </w:r>
      <w:r w:rsidR="00F23E2A">
        <w:t xml:space="preserve"> Otto III and Henry II. </w:t>
      </w:r>
      <w:r w:rsidRPr="00EE30C1">
        <w:t xml:space="preserve">Although this sketch of its history has to be </w:t>
      </w:r>
      <w:r w:rsidRPr="00EE30C1">
        <w:lastRenderedPageBreak/>
        <w:t xml:space="preserve">reconstructed from its surviving archive (the abbey having produced no </w:t>
      </w:r>
      <w:r>
        <w:t xml:space="preserve">reliable </w:t>
      </w:r>
      <w:r w:rsidRPr="00EE30C1">
        <w:t>house chronicler),</w:t>
      </w:r>
      <w:r>
        <w:rPr>
          <w:rStyle w:val="FootnoteReference"/>
        </w:rPr>
        <w:footnoteReference w:id="34"/>
      </w:r>
      <w:r>
        <w:t xml:space="preserve"> </w:t>
      </w:r>
      <w:r w:rsidR="00C6198F" w:rsidRPr="00EE30C1">
        <w:t xml:space="preserve">it nonetheless rings true in general, partly because it helps us to </w:t>
      </w:r>
      <w:r w:rsidR="0051200D">
        <w:t>observe</w:t>
      </w:r>
      <w:r w:rsidR="0051200D" w:rsidRPr="00EE30C1">
        <w:t xml:space="preserve"> </w:t>
      </w:r>
      <w:r w:rsidR="00C6198F" w:rsidRPr="00EE30C1">
        <w:t>the rise in the region of a family whose power is evident in plenty of othe</w:t>
      </w:r>
      <w:r w:rsidR="00F23E2A">
        <w:t xml:space="preserve">r sources: the </w:t>
      </w:r>
      <w:proofErr w:type="spellStart"/>
      <w:r w:rsidR="00F23E2A">
        <w:t>Aldobrandeschi</w:t>
      </w:r>
      <w:proofErr w:type="spellEnd"/>
      <w:r w:rsidR="00F23E2A">
        <w:t xml:space="preserve">. </w:t>
      </w:r>
      <w:r w:rsidR="00C6198F" w:rsidRPr="00EE30C1">
        <w:t xml:space="preserve">The starting-point for tracing the growth of their power in southern Tuscany is a list of </w:t>
      </w:r>
      <w:proofErr w:type="spellStart"/>
      <w:r w:rsidR="00C6198F" w:rsidRPr="00EE30C1">
        <w:t>Aldobrandeschi</w:t>
      </w:r>
      <w:proofErr w:type="spellEnd"/>
      <w:r w:rsidR="00C6198F" w:rsidRPr="00EE30C1">
        <w:t xml:space="preserve"> </w:t>
      </w:r>
      <w:proofErr w:type="spellStart"/>
      <w:r w:rsidR="00C6198F" w:rsidRPr="00EE30C1">
        <w:rPr>
          <w:i/>
          <w:iCs/>
        </w:rPr>
        <w:t>castelli</w:t>
      </w:r>
      <w:proofErr w:type="spellEnd"/>
      <w:r w:rsidR="00C6198F" w:rsidRPr="00EE30C1">
        <w:t xml:space="preserve"> in a charter of 973 preserved in the Monte Amiata archive:</w:t>
      </w:r>
      <w:r w:rsidR="00C6198F" w:rsidRPr="00EE30C1">
        <w:rPr>
          <w:rStyle w:val="FootnoteReference"/>
        </w:rPr>
        <w:footnoteReference w:id="35"/>
      </w:r>
      <w:r w:rsidR="00C6198F" w:rsidRPr="00EE30C1">
        <w:t xml:space="preserve"> it coincides, in other words, with the end of the lacuna in Monte </w:t>
      </w:r>
      <w:proofErr w:type="spellStart"/>
      <w:r w:rsidR="00C6198F" w:rsidRPr="00EE30C1">
        <w:t>Amiata’s</w:t>
      </w:r>
      <w:proofErr w:type="spellEnd"/>
      <w:r w:rsidR="00C6198F" w:rsidRPr="00EE30C1">
        <w:t xml:space="preserve"> documentation, and the subs</w:t>
      </w:r>
      <w:r w:rsidR="00F23E2A">
        <w:t xml:space="preserve">equent shift in its character. </w:t>
      </w:r>
      <w:r w:rsidR="00C6198F" w:rsidRPr="00EE30C1">
        <w:t>The fact that the abbey was not a party to the 973 charter is an indication of its role as a repository for the important</w:t>
      </w:r>
      <w:r w:rsidR="00F23E2A">
        <w:t xml:space="preserve"> documents of the local laity. </w:t>
      </w:r>
      <w:r w:rsidR="00C6198F" w:rsidRPr="00EE30C1">
        <w:t xml:space="preserve">As this suggests, for some time after their first appearance relations between the </w:t>
      </w:r>
      <w:proofErr w:type="spellStart"/>
      <w:r w:rsidR="00C6198F" w:rsidRPr="00EE30C1">
        <w:t>Aldobrandeschi</w:t>
      </w:r>
      <w:proofErr w:type="spellEnd"/>
      <w:r w:rsidR="00C6198F" w:rsidRPr="00EE30C1">
        <w:t xml:space="preserve"> and Monte </w:t>
      </w:r>
      <w:proofErr w:type="spellStart"/>
      <w:r w:rsidR="00F23E2A">
        <w:t>Amiata</w:t>
      </w:r>
      <w:proofErr w:type="spellEnd"/>
      <w:r w:rsidR="00F23E2A">
        <w:t xml:space="preserve"> seem to have been good. </w:t>
      </w:r>
      <w:r w:rsidR="00C6198F" w:rsidRPr="00EE30C1">
        <w:t xml:space="preserve">The first evidence of the </w:t>
      </w:r>
      <w:proofErr w:type="spellStart"/>
      <w:r w:rsidR="00C6198F" w:rsidRPr="00EE30C1">
        <w:t>Aldobrandeschi</w:t>
      </w:r>
      <w:proofErr w:type="spellEnd"/>
      <w:r w:rsidR="00C6198F" w:rsidRPr="00EE30C1">
        <w:t xml:space="preserve"> possessing explicit </w:t>
      </w:r>
      <w:proofErr w:type="spellStart"/>
      <w:r w:rsidR="00C6198F">
        <w:t>signorial</w:t>
      </w:r>
      <w:proofErr w:type="spellEnd"/>
      <w:r w:rsidR="00C6198F" w:rsidRPr="00EE30C1">
        <w:t xml:space="preserve"> rights in the region does not come until 1077,</w:t>
      </w:r>
      <w:r w:rsidR="00C6198F" w:rsidRPr="00EE30C1">
        <w:rPr>
          <w:rStyle w:val="FootnoteReference"/>
        </w:rPr>
        <w:footnoteReference w:id="36"/>
      </w:r>
      <w:r w:rsidR="00C6198F" w:rsidRPr="00EE30C1">
        <w:t xml:space="preserve"> and Chris </w:t>
      </w:r>
      <w:r w:rsidR="0051200D">
        <w:t xml:space="preserve">Wickham </w:t>
      </w:r>
      <w:r w:rsidR="00C6198F" w:rsidRPr="00EE30C1">
        <w:t>has argued persuasively that it was only around then that the family’s power began to threaten that of other entities in the region, and then not because they were seizing lands but because of their privatization of the powers of local office, which allowed them to impose new exactions on the locality.</w:t>
      </w:r>
      <w:r w:rsidR="00C6198F" w:rsidRPr="00EE30C1">
        <w:rPr>
          <w:rStyle w:val="FootnoteReference"/>
        </w:rPr>
        <w:footnoteReference w:id="37"/>
      </w:r>
      <w:r w:rsidR="00C6198F" w:rsidRPr="00EE30C1">
        <w:t xml:space="preserve"> </w:t>
      </w:r>
    </w:p>
    <w:p w14:paraId="121F8758" w14:textId="6131EBC1" w:rsidR="00C6198F" w:rsidRPr="00EE30C1" w:rsidRDefault="00C6198F" w:rsidP="0014558B">
      <w:pPr>
        <w:spacing w:after="120" w:line="360" w:lineRule="auto"/>
        <w:ind w:firstLine="720"/>
      </w:pPr>
      <w:r w:rsidRPr="00EE30C1">
        <w:t>We can therefore identify two periods that brought trauma to the abbey and its monks: the mid-tenth century, when its estates were widely appropriated by unfortunately nameless predators, and the later eleventh century, when a family with a very firm identity and status threa</w:t>
      </w:r>
      <w:r w:rsidR="00F23E2A">
        <w:t xml:space="preserve">tened its material well-being. </w:t>
      </w:r>
      <w:r w:rsidRPr="00EE30C1">
        <w:t>Either or both of these may have prompted a reshaping of the abbey’s archive</w:t>
      </w:r>
      <w:r>
        <w:t xml:space="preserve">, but it is </w:t>
      </w:r>
      <w:r w:rsidRPr="00EE30C1">
        <w:t xml:space="preserve">the pressure of the </w:t>
      </w:r>
      <w:proofErr w:type="spellStart"/>
      <w:r w:rsidRPr="00EE30C1">
        <w:t>Aldobrandeschi</w:t>
      </w:r>
      <w:proofErr w:type="spellEnd"/>
      <w:r w:rsidRPr="00EE30C1">
        <w:t xml:space="preserve"> </w:t>
      </w:r>
      <w:r>
        <w:t>that seems most</w:t>
      </w:r>
      <w:r w:rsidRPr="00EE30C1">
        <w:t xml:space="preserve"> likely to have had an impact on</w:t>
      </w:r>
      <w:r w:rsidR="00F23E2A">
        <w:t xml:space="preserve"> that aspect of monastic life. </w:t>
      </w:r>
      <w:r w:rsidRPr="00EE30C1">
        <w:t>Charters that Monte Amiata itself held show that this was a lay family that placed some emphasis on written documentation in their own affa</w:t>
      </w:r>
      <w:r w:rsidR="00F23E2A">
        <w:t xml:space="preserve">irs. </w:t>
      </w:r>
      <w:r w:rsidRPr="00EE30C1">
        <w:t xml:space="preserve">They may thus have exerted an influence on </w:t>
      </w:r>
      <w:r w:rsidRPr="00EE30C1">
        <w:lastRenderedPageBreak/>
        <w:t xml:space="preserve">the monks to shape their archive according to their </w:t>
      </w:r>
      <w:r w:rsidR="00F23E2A">
        <w:t xml:space="preserve">relationship with that family. </w:t>
      </w:r>
      <w:r w:rsidRPr="00EE30C1">
        <w:t>To the extent that the monk-archivists had until then kept records of all the abbey’s property transactions (as well, indeed, as those of some lay families), they now concentrat</w:t>
      </w:r>
      <w:r w:rsidR="0051200D">
        <w:t>ed their energies</w:t>
      </w:r>
      <w:r w:rsidRPr="00EE30C1">
        <w:t xml:space="preserve"> on building a record of their monastery’s relationship with </w:t>
      </w:r>
      <w:proofErr w:type="spellStart"/>
      <w:r w:rsidRPr="00EE30C1">
        <w:t>signorial</w:t>
      </w:r>
      <w:proofErr w:type="spellEnd"/>
      <w:r w:rsidRPr="00EE30C1">
        <w:t xml:space="preserve"> power.  Thus, the lower – even the middle – classes, who are evident in the documents preserved from the Lombard and Carolingian periods, fade out of the picture.</w:t>
      </w:r>
    </w:p>
    <w:p w14:paraId="394864FD" w14:textId="7BD6B61E" w:rsidR="00C6198F" w:rsidRPr="00EE30C1" w:rsidRDefault="00C6198F" w:rsidP="0014558B">
      <w:pPr>
        <w:spacing w:after="120" w:line="360" w:lineRule="auto"/>
        <w:ind w:firstLine="720"/>
      </w:pPr>
      <w:r w:rsidRPr="00EE30C1">
        <w:t xml:space="preserve">Monte </w:t>
      </w:r>
      <w:proofErr w:type="spellStart"/>
      <w:r w:rsidRPr="00EE30C1">
        <w:t>Amiata’s</w:t>
      </w:r>
      <w:proofErr w:type="spellEnd"/>
      <w:r w:rsidRPr="00EE30C1">
        <w:t xml:space="preserve"> unique archive bears the imprint of social change not so much in the texts of the documents it preserves,</w:t>
      </w:r>
      <w:r w:rsidR="00F23E2A">
        <w:t xml:space="preserve"> but in their overall profile. </w:t>
      </w:r>
      <w:r w:rsidRPr="00EE30C1">
        <w:t xml:space="preserve">This contrasts with French documents of this period which, as </w:t>
      </w:r>
      <w:r>
        <w:t>said earlier</w:t>
      </w:r>
      <w:r w:rsidRPr="00EE30C1">
        <w:t>, show changes in their actual wording; in Tuscany the documents’ wording retaine</w:t>
      </w:r>
      <w:r>
        <w:t>d the range of types that it had</w:t>
      </w:r>
      <w:r w:rsidRPr="00EE30C1">
        <w:t xml:space="preserve"> always had, and change </w:t>
      </w:r>
      <w:r>
        <w:t>came</w:t>
      </w:r>
      <w:r w:rsidRPr="00EE30C1">
        <w:t xml:space="preserve"> inst</w:t>
      </w:r>
      <w:r w:rsidR="00F23E2A">
        <w:t xml:space="preserve">ead in the way they were kept. </w:t>
      </w:r>
      <w:r w:rsidRPr="00EE30C1">
        <w:t xml:space="preserve">Moreover, while </w:t>
      </w:r>
      <w:r>
        <w:t xml:space="preserve">advocates of </w:t>
      </w:r>
      <w:proofErr w:type="spellStart"/>
      <w:r w:rsidRPr="00130554">
        <w:rPr>
          <w:i/>
        </w:rPr>
        <w:t>mutation</w:t>
      </w:r>
      <w:r w:rsidR="00E331D9">
        <w:rPr>
          <w:i/>
        </w:rPr>
        <w:t>n</w:t>
      </w:r>
      <w:r w:rsidRPr="00130554">
        <w:rPr>
          <w:i/>
        </w:rPr>
        <w:t>isme</w:t>
      </w:r>
      <w:proofErr w:type="spellEnd"/>
      <w:r>
        <w:t xml:space="preserve"> have </w:t>
      </w:r>
      <w:r w:rsidRPr="00EE30C1">
        <w:t>has seen</w:t>
      </w:r>
      <w:r>
        <w:t xml:space="preserve"> no significant social pressure</w:t>
      </w:r>
      <w:r w:rsidRPr="00EE30C1">
        <w:t xml:space="preserve"> behind French documentary change, there is a good case for saying that the change in this Italian archive was directly occasioned by a real social movement, the rise of a </w:t>
      </w:r>
      <w:proofErr w:type="spellStart"/>
      <w:r w:rsidRPr="00EE30C1">
        <w:t>signorial</w:t>
      </w:r>
      <w:proofErr w:type="spellEnd"/>
      <w:r w:rsidRPr="00EE30C1">
        <w:t xml:space="preserve"> family.</w:t>
      </w:r>
    </w:p>
    <w:p w14:paraId="0D6D8FF8" w14:textId="529E821E" w:rsidR="00C6198F" w:rsidRPr="00EE30C1" w:rsidRDefault="00C6198F" w:rsidP="0014558B">
      <w:pPr>
        <w:spacing w:after="120" w:line="360" w:lineRule="auto"/>
        <w:ind w:firstLine="720"/>
      </w:pPr>
      <w:r w:rsidRPr="00EE30C1">
        <w:t>To test the representativeness of the Monte Amiata evidence, we can turn to the city of Piacenza in Emilia, which, like the south Tuscan monastery, fortunately preserves a relatively large number of original documents (or, occasionall</w:t>
      </w:r>
      <w:r w:rsidR="00F23E2A">
        <w:t xml:space="preserve">y, generally reliable copies). </w:t>
      </w:r>
      <w:r w:rsidRPr="00EE30C1">
        <w:t xml:space="preserve">Early medieval documents actually survive at Piacenza in four different archives: the vast majority </w:t>
      </w:r>
      <w:r>
        <w:t>reside either in the archive of</w:t>
      </w:r>
      <w:r w:rsidRPr="00EE30C1">
        <w:t xml:space="preserve"> the cathedral chapter</w:t>
      </w:r>
      <w:r>
        <w:t xml:space="preserve"> or in that of </w:t>
      </w:r>
      <w:r w:rsidRPr="00EE30C1">
        <w:t xml:space="preserve">the church of S. Antonino, but there are also survivals from the monasteries of S. </w:t>
      </w:r>
      <w:proofErr w:type="spellStart"/>
      <w:r w:rsidRPr="00EE30C1">
        <w:t>Sisto</w:t>
      </w:r>
      <w:proofErr w:type="spellEnd"/>
      <w:r w:rsidRPr="00EE30C1">
        <w:t xml:space="preserve"> and S. </w:t>
      </w:r>
      <w:proofErr w:type="spellStart"/>
      <w:r w:rsidRPr="00EE30C1">
        <w:t>Savino</w:t>
      </w:r>
      <w:proofErr w:type="spellEnd"/>
      <w:r>
        <w:t xml:space="preserve"> in two </w:t>
      </w:r>
      <w:proofErr w:type="spellStart"/>
      <w:r>
        <w:t>Archivi</w:t>
      </w:r>
      <w:proofErr w:type="spellEnd"/>
      <w:r>
        <w:t xml:space="preserve"> di </w:t>
      </w:r>
      <w:proofErr w:type="spellStart"/>
      <w:r>
        <w:t>Stato</w:t>
      </w:r>
      <w:proofErr w:type="spellEnd"/>
      <w:r w:rsidRPr="00EE30C1">
        <w:t>; many of the tenth-century documents remain unpublished in full (almost uniquely for Italy).</w:t>
      </w:r>
      <w:r w:rsidRPr="00EE30C1">
        <w:rPr>
          <w:rStyle w:val="FootnoteReference"/>
        </w:rPr>
        <w:footnoteReference w:id="38"/>
      </w:r>
      <w:r w:rsidR="00F23E2A">
        <w:t xml:space="preserve"> </w:t>
      </w:r>
      <w:r w:rsidRPr="00EE30C1">
        <w:t xml:space="preserve">If we take all four together for the purpose of </w:t>
      </w:r>
      <w:r w:rsidRPr="00EE30C1">
        <w:lastRenderedPageBreak/>
        <w:t>comparison we find that, unlike at Monte Amiata, charters of sale constitute the most prevalent type across the whole period to 1000</w:t>
      </w:r>
      <w:r w:rsidR="00B1297E">
        <w:t>; the number</w:t>
      </w:r>
      <w:r w:rsidR="0090747E">
        <w:t>s</w:t>
      </w:r>
      <w:r w:rsidR="00B1297E">
        <w:t xml:space="preserve"> </w:t>
      </w:r>
      <w:r w:rsidR="0090747E">
        <w:t xml:space="preserve">of </w:t>
      </w:r>
      <w:proofErr w:type="spellStart"/>
      <w:r w:rsidR="0090747E" w:rsidRPr="00B1297E">
        <w:rPr>
          <w:i/>
        </w:rPr>
        <w:t>livelli</w:t>
      </w:r>
      <w:proofErr w:type="spellEnd"/>
      <w:r w:rsidR="0090747E">
        <w:t>, by contrast, dwindle markedly through the tenth century</w:t>
      </w:r>
      <w:r w:rsidRPr="00EE30C1">
        <w:t>.</w:t>
      </w:r>
      <w:r w:rsidRPr="00EE30C1">
        <w:rPr>
          <w:rStyle w:val="FootnoteReference"/>
        </w:rPr>
        <w:footnoteReference w:id="39"/>
      </w:r>
      <w:r w:rsidR="00E06F51">
        <w:t xml:space="preserve"> </w:t>
      </w:r>
      <w:r w:rsidRPr="00EE30C1">
        <w:t xml:space="preserve">In the profiles of their law court </w:t>
      </w:r>
      <w:r w:rsidRPr="00EE30C1">
        <w:rPr>
          <w:iCs/>
        </w:rPr>
        <w:t>notices</w:t>
      </w:r>
      <w:r w:rsidRPr="00EE30C1">
        <w:t>, however, Piacenza and Monte A</w:t>
      </w:r>
      <w:r w:rsidR="00E06F51">
        <w:t xml:space="preserve">miata present clear parallels. </w:t>
      </w:r>
      <w:r w:rsidRPr="00EE30C1">
        <w:t xml:space="preserve">The complete lacuna in Monte </w:t>
      </w:r>
      <w:proofErr w:type="spellStart"/>
      <w:r w:rsidRPr="00EE30C1">
        <w:t>Amiata’s</w:t>
      </w:r>
      <w:proofErr w:type="spellEnd"/>
      <w:r w:rsidRPr="00EE30C1">
        <w:t xml:space="preserve"> record in the mid-tenth century is echoed across an even longer period in Piacenza’s run of dispute </w:t>
      </w:r>
      <w:r w:rsidRPr="00EE30C1">
        <w:rPr>
          <w:iCs/>
        </w:rPr>
        <w:t>notices</w:t>
      </w:r>
      <w:r w:rsidRPr="00EE30C1">
        <w:t>, of which t</w:t>
      </w:r>
      <w:r>
        <w:t>here is none between 911 and 976</w:t>
      </w:r>
      <w:r w:rsidRPr="00EE30C1">
        <w:t>.</w:t>
      </w:r>
      <w:r w:rsidRPr="00EE30C1">
        <w:rPr>
          <w:rStyle w:val="FootnoteReference"/>
        </w:rPr>
        <w:footnoteReference w:id="40"/>
      </w:r>
      <w:r w:rsidRPr="00EE30C1">
        <w:t xml:space="preserve"> </w:t>
      </w:r>
      <w:r w:rsidR="00E06F51">
        <w:t>F</w:t>
      </w:r>
      <w:r w:rsidRPr="00EE30C1">
        <w:t>urthermore, and very like Monte Amiata, nearly all follow one or other of the ‘undefended case’ models.</w:t>
      </w:r>
      <w:r w:rsidR="00B1297E">
        <w:rPr>
          <w:rStyle w:val="FootnoteReference"/>
        </w:rPr>
        <w:footnoteReference w:id="41"/>
      </w:r>
      <w:r w:rsidR="00E06F51">
        <w:t xml:space="preserve"> </w:t>
      </w:r>
      <w:r w:rsidR="00B1297E">
        <w:rPr>
          <w:rFonts w:eastAsia="MS Mincho"/>
        </w:rPr>
        <w:t>Twenty o</w:t>
      </w:r>
      <w:r>
        <w:rPr>
          <w:rFonts w:eastAsia="MS Mincho"/>
        </w:rPr>
        <w:t xml:space="preserve">f the thirty-four charters classed as dispute </w:t>
      </w:r>
      <w:r>
        <w:t xml:space="preserve">notices </w:t>
      </w:r>
      <w:r>
        <w:rPr>
          <w:rFonts w:eastAsia="MS Mincho"/>
        </w:rPr>
        <w:t xml:space="preserve">by </w:t>
      </w:r>
      <w:proofErr w:type="spellStart"/>
      <w:r>
        <w:rPr>
          <w:rFonts w:eastAsia="MS Mincho"/>
        </w:rPr>
        <w:t>Manaresi</w:t>
      </w:r>
      <w:proofErr w:type="spellEnd"/>
      <w:r>
        <w:rPr>
          <w:rFonts w:eastAsia="MS Mincho"/>
        </w:rPr>
        <w:t xml:space="preserve"> and </w:t>
      </w:r>
      <w:proofErr w:type="spellStart"/>
      <w:r>
        <w:rPr>
          <w:rFonts w:eastAsia="MS Mincho"/>
        </w:rPr>
        <w:t>Volpini</w:t>
      </w:r>
      <w:proofErr w:type="spellEnd"/>
      <w:r>
        <w:rPr>
          <w:rFonts w:eastAsia="MS Mincho"/>
        </w:rPr>
        <w:t xml:space="preserve"> </w:t>
      </w:r>
      <w:r w:rsidR="00B1297E">
        <w:rPr>
          <w:rFonts w:eastAsia="MS Mincho"/>
        </w:rPr>
        <w:t xml:space="preserve">take an </w:t>
      </w:r>
      <w:r>
        <w:rPr>
          <w:rFonts w:eastAsia="MS Mincho"/>
        </w:rPr>
        <w:t xml:space="preserve">‘undefended’ </w:t>
      </w:r>
      <w:r w:rsidR="00B1297E">
        <w:rPr>
          <w:rFonts w:eastAsia="MS Mincho"/>
        </w:rPr>
        <w:t>format</w:t>
      </w:r>
      <w:r>
        <w:rPr>
          <w:rFonts w:eastAsia="MS Mincho"/>
        </w:rPr>
        <w:t xml:space="preserve"> (ten take the </w:t>
      </w:r>
      <w:proofErr w:type="spellStart"/>
      <w:r>
        <w:rPr>
          <w:rFonts w:eastAsia="MS Mincho"/>
          <w:i/>
        </w:rPr>
        <w:t>ostensio</w:t>
      </w:r>
      <w:proofErr w:type="spellEnd"/>
      <w:r>
        <w:rPr>
          <w:rFonts w:eastAsia="MS Mincho"/>
          <w:i/>
        </w:rPr>
        <w:t xml:space="preserve"> </w:t>
      </w:r>
      <w:proofErr w:type="spellStart"/>
      <w:r>
        <w:rPr>
          <w:rFonts w:eastAsia="MS Mincho"/>
          <w:i/>
        </w:rPr>
        <w:t>cartae</w:t>
      </w:r>
      <w:proofErr w:type="spellEnd"/>
      <w:r>
        <w:rPr>
          <w:rFonts w:eastAsia="MS Mincho"/>
        </w:rPr>
        <w:t xml:space="preserve"> form, and five each the </w:t>
      </w:r>
      <w:r>
        <w:rPr>
          <w:rFonts w:eastAsia="MS Mincho"/>
          <w:i/>
        </w:rPr>
        <w:t xml:space="preserve">finis </w:t>
      </w:r>
      <w:proofErr w:type="spellStart"/>
      <w:r>
        <w:rPr>
          <w:rFonts w:eastAsia="MS Mincho"/>
          <w:i/>
        </w:rPr>
        <w:t>intentionis</w:t>
      </w:r>
      <w:proofErr w:type="spellEnd"/>
      <w:r>
        <w:rPr>
          <w:rFonts w:eastAsia="MS Mincho"/>
        </w:rPr>
        <w:t xml:space="preserve"> and </w:t>
      </w:r>
      <w:proofErr w:type="spellStart"/>
      <w:r>
        <w:rPr>
          <w:rFonts w:eastAsia="MS Mincho"/>
          <w:i/>
        </w:rPr>
        <w:t>investitura</w:t>
      </w:r>
      <w:proofErr w:type="spellEnd"/>
      <w:r>
        <w:rPr>
          <w:rFonts w:eastAsia="MS Mincho"/>
          <w:i/>
        </w:rPr>
        <w:t xml:space="preserve"> </w:t>
      </w:r>
      <w:proofErr w:type="spellStart"/>
      <w:r>
        <w:rPr>
          <w:rFonts w:eastAsia="MS Mincho"/>
          <w:i/>
        </w:rPr>
        <w:t>salva</w:t>
      </w:r>
      <w:proofErr w:type="spellEnd"/>
      <w:r>
        <w:rPr>
          <w:rFonts w:eastAsia="MS Mincho"/>
          <w:i/>
        </w:rPr>
        <w:t xml:space="preserve"> </w:t>
      </w:r>
      <w:proofErr w:type="spellStart"/>
      <w:r>
        <w:rPr>
          <w:rFonts w:eastAsia="MS Mincho"/>
          <w:i/>
        </w:rPr>
        <w:t>querela</w:t>
      </w:r>
      <w:proofErr w:type="spellEnd"/>
      <w:r>
        <w:rPr>
          <w:rFonts w:eastAsia="MS Mincho"/>
        </w:rPr>
        <w:t xml:space="preserve">), two conclude with an </w:t>
      </w:r>
      <w:proofErr w:type="spellStart"/>
      <w:r>
        <w:rPr>
          <w:rFonts w:eastAsia="MS Mincho"/>
          <w:i/>
        </w:rPr>
        <w:t>amica</w:t>
      </w:r>
      <w:proofErr w:type="spellEnd"/>
      <w:r>
        <w:rPr>
          <w:rFonts w:eastAsia="MS Mincho"/>
          <w:i/>
        </w:rPr>
        <w:t xml:space="preserve"> </w:t>
      </w:r>
      <w:proofErr w:type="spellStart"/>
      <w:r>
        <w:rPr>
          <w:rFonts w:eastAsia="MS Mincho"/>
          <w:i/>
        </w:rPr>
        <w:t>pactuacio</w:t>
      </w:r>
      <w:proofErr w:type="spellEnd"/>
      <w:r>
        <w:rPr>
          <w:rFonts w:eastAsia="MS Mincho"/>
        </w:rPr>
        <w:t>, and a further six can be regarded as early versions of these forms.</w:t>
      </w:r>
      <w:r>
        <w:rPr>
          <w:rStyle w:val="FootnoteCharacters"/>
          <w:rFonts w:eastAsia="MS Mincho"/>
        </w:rPr>
        <w:footnoteReference w:id="42"/>
      </w:r>
      <w:r>
        <w:rPr>
          <w:rFonts w:eastAsia="MS Mincho"/>
        </w:rPr>
        <w:t xml:space="preserve"> Of the remaining six, only one might record a</w:t>
      </w:r>
      <w:r w:rsidR="00555F81">
        <w:rPr>
          <w:rFonts w:eastAsia="MS Mincho"/>
        </w:rPr>
        <w:t>n actual</w:t>
      </w:r>
      <w:r>
        <w:rPr>
          <w:rFonts w:eastAsia="MS Mincho"/>
        </w:rPr>
        <w:t xml:space="preserve"> dispute resolved through a court.</w:t>
      </w:r>
      <w:r>
        <w:rPr>
          <w:rStyle w:val="FootnoteReference"/>
          <w:rFonts w:eastAsia="MS Mincho"/>
        </w:rPr>
        <w:footnoteReference w:id="43"/>
      </w:r>
      <w:r>
        <w:rPr>
          <w:rFonts w:eastAsia="MS Mincho"/>
        </w:rPr>
        <w:t xml:space="preserve">  </w:t>
      </w:r>
      <w:r w:rsidR="00555F81">
        <w:rPr>
          <w:rFonts w:eastAsia="MS Mincho"/>
        </w:rPr>
        <w:t>W</w:t>
      </w:r>
      <w:r>
        <w:rPr>
          <w:rFonts w:eastAsia="MS Mincho"/>
        </w:rPr>
        <w:t>hen we examine just the notices surviving after the long lacuna (that is, from 976 through to the final pre-1100 example, from 1077), we find a far greater concentration on the activities o</w:t>
      </w:r>
      <w:r w:rsidR="00B1297E">
        <w:rPr>
          <w:rFonts w:eastAsia="MS Mincho"/>
        </w:rPr>
        <w:t>f the very highest in society. Seven of the</w:t>
      </w:r>
      <w:r>
        <w:rPr>
          <w:rFonts w:eastAsia="MS Mincho"/>
        </w:rPr>
        <w:t xml:space="preserve"> sixteen such </w:t>
      </w:r>
      <w:r w:rsidR="00B1297E">
        <w:rPr>
          <w:rFonts w:eastAsia="MS Mincho"/>
        </w:rPr>
        <w:t xml:space="preserve">documents involve the bishop of Piacenza, </w:t>
      </w:r>
      <w:r>
        <w:rPr>
          <w:rFonts w:eastAsia="MS Mincho"/>
        </w:rPr>
        <w:t xml:space="preserve">another bishop </w:t>
      </w:r>
      <w:r w:rsidR="00B1297E">
        <w:rPr>
          <w:rFonts w:eastAsia="MS Mincho"/>
        </w:rPr>
        <w:t>or</w:t>
      </w:r>
      <w:r>
        <w:rPr>
          <w:rFonts w:eastAsia="MS Mincho"/>
        </w:rPr>
        <w:t xml:space="preserve"> members of comital families.</w:t>
      </w:r>
      <w:r>
        <w:rPr>
          <w:rStyle w:val="FootnoteCharacters"/>
          <w:rFonts w:eastAsia="MS Mincho"/>
        </w:rPr>
        <w:footnoteReference w:id="44"/>
      </w:r>
      <w:r>
        <w:rPr>
          <w:rFonts w:eastAsia="MS Mincho"/>
        </w:rPr>
        <w:t xml:space="preserve"> Three </w:t>
      </w:r>
      <w:r w:rsidR="00B1297E">
        <w:rPr>
          <w:rFonts w:eastAsia="MS Mincho"/>
        </w:rPr>
        <w:t>concern</w:t>
      </w:r>
      <w:r>
        <w:rPr>
          <w:rFonts w:eastAsia="MS Mincho"/>
        </w:rPr>
        <w:t xml:space="preserve"> marquises who were prominent landowners in the region</w:t>
      </w:r>
      <w:r w:rsidR="00B1297E">
        <w:rPr>
          <w:rFonts w:eastAsia="MS Mincho"/>
        </w:rPr>
        <w:t xml:space="preserve">, and one has </w:t>
      </w:r>
      <w:r>
        <w:rPr>
          <w:rFonts w:eastAsia="MS Mincho"/>
        </w:rPr>
        <w:t xml:space="preserve">a count of the </w:t>
      </w:r>
      <w:r>
        <w:rPr>
          <w:rFonts w:eastAsia="MS Mincho"/>
        </w:rPr>
        <w:lastRenderedPageBreak/>
        <w:t>palace</w:t>
      </w:r>
      <w:r w:rsidR="00B1297E">
        <w:rPr>
          <w:rFonts w:eastAsia="MS Mincho"/>
        </w:rPr>
        <w:t xml:space="preserve"> as its main protagonist</w:t>
      </w:r>
      <w:r>
        <w:rPr>
          <w:rFonts w:eastAsia="MS Mincho"/>
        </w:rPr>
        <w:t>.</w:t>
      </w:r>
      <w:r>
        <w:rPr>
          <w:rStyle w:val="FootnoteCharacters"/>
          <w:rFonts w:eastAsia="MS Mincho"/>
        </w:rPr>
        <w:footnoteReference w:id="45"/>
      </w:r>
      <w:r>
        <w:rPr>
          <w:rFonts w:eastAsia="MS Mincho"/>
        </w:rPr>
        <w:t xml:space="preserve"> Four </w:t>
      </w:r>
      <w:r w:rsidR="00B1297E">
        <w:rPr>
          <w:rFonts w:eastAsia="MS Mincho"/>
        </w:rPr>
        <w:t>were</w:t>
      </w:r>
      <w:r>
        <w:rPr>
          <w:rFonts w:eastAsia="MS Mincho"/>
        </w:rPr>
        <w:t xml:space="preserve"> legal actions by prominent local clerics (a deacon, an archdeacon, an abbess and an abbot) and the final one is </w:t>
      </w:r>
      <w:r w:rsidR="00555F81">
        <w:rPr>
          <w:rFonts w:eastAsia="MS Mincho"/>
        </w:rPr>
        <w:t xml:space="preserve">a </w:t>
      </w:r>
      <w:r>
        <w:rPr>
          <w:rFonts w:eastAsia="MS Mincho"/>
        </w:rPr>
        <w:t xml:space="preserve">grant of royal </w:t>
      </w:r>
      <w:proofErr w:type="spellStart"/>
      <w:r>
        <w:rPr>
          <w:rFonts w:eastAsia="MS Mincho"/>
          <w:i/>
        </w:rPr>
        <w:t>bannum</w:t>
      </w:r>
      <w:proofErr w:type="spellEnd"/>
      <w:r>
        <w:rPr>
          <w:rFonts w:eastAsia="MS Mincho"/>
        </w:rPr>
        <w:t xml:space="preserve"> to S. Antonino.</w:t>
      </w:r>
      <w:r>
        <w:rPr>
          <w:rStyle w:val="FootnoteCharacters"/>
          <w:rFonts w:eastAsia="MS Mincho"/>
        </w:rPr>
        <w:footnoteReference w:id="46"/>
      </w:r>
      <w:r w:rsidR="00C20A5B">
        <w:t xml:space="preserve"> </w:t>
      </w:r>
      <w:r w:rsidRPr="00EE30C1">
        <w:t xml:space="preserve">We no longer find preserved documents relating to figures a rung or two down the social ladder such as the </w:t>
      </w:r>
      <w:proofErr w:type="spellStart"/>
      <w:r w:rsidRPr="00EE30C1">
        <w:rPr>
          <w:i/>
          <w:iCs/>
        </w:rPr>
        <w:t>sculdahis</w:t>
      </w:r>
      <w:proofErr w:type="spellEnd"/>
      <w:r w:rsidRPr="00EE30C1">
        <w:t xml:space="preserve"> from </w:t>
      </w:r>
      <w:proofErr w:type="spellStart"/>
      <w:r w:rsidRPr="00EE30C1">
        <w:t>Niviano</w:t>
      </w:r>
      <w:proofErr w:type="spellEnd"/>
      <w:r w:rsidRPr="00EE30C1">
        <w:t>, Petrus, whose dossier of documents, extending for forty years from the 870s, found its way into the archives of S. Antonino.</w:t>
      </w:r>
      <w:r w:rsidRPr="00EE30C1">
        <w:rPr>
          <w:rStyle w:val="FootnoteReference"/>
        </w:rPr>
        <w:footnoteReference w:id="47"/>
      </w:r>
      <w:r w:rsidR="00C20A5B">
        <w:t xml:space="preserve"> T</w:t>
      </w:r>
      <w:r w:rsidRPr="00EE30C1">
        <w:t xml:space="preserve">o judge from the </w:t>
      </w:r>
      <w:r w:rsidRPr="00EE30C1">
        <w:rPr>
          <w:iCs/>
        </w:rPr>
        <w:t>notices</w:t>
      </w:r>
      <w:r w:rsidRPr="00EE30C1">
        <w:t>, archivists at Piacenza were increasingly selective about what they preserved</w:t>
      </w:r>
      <w:r w:rsidRPr="00D8621B">
        <w:t>, just as at Monte Amiata</w:t>
      </w:r>
      <w:r w:rsidRPr="00EE30C1">
        <w:t xml:space="preserve">.  </w:t>
      </w:r>
    </w:p>
    <w:p w14:paraId="0158A635" w14:textId="5957799B" w:rsidR="00C6198F" w:rsidRPr="00EE30C1" w:rsidRDefault="00C6198F" w:rsidP="0014558B">
      <w:pPr>
        <w:spacing w:after="120" w:line="360" w:lineRule="auto"/>
        <w:ind w:firstLine="720"/>
      </w:pPr>
      <w:r w:rsidRPr="00EE30C1">
        <w:t xml:space="preserve">Piacenza’s overall documentary profile bears signs of its political vicissitudes at least as strongly as Monte </w:t>
      </w:r>
      <w:proofErr w:type="spellStart"/>
      <w:r w:rsidRPr="00EE30C1">
        <w:t>Amiata’s</w:t>
      </w:r>
      <w:proofErr w:type="spellEnd"/>
      <w:r w:rsidRPr="00EE30C1">
        <w:t>.</w:t>
      </w:r>
      <w:r w:rsidRPr="00EE30C1">
        <w:rPr>
          <w:rStyle w:val="FootnoteReference"/>
        </w:rPr>
        <w:footnoteReference w:id="48"/>
      </w:r>
      <w:r w:rsidR="00C20A5B">
        <w:t xml:space="preserve"> </w:t>
      </w:r>
      <w:r w:rsidRPr="00EE30C1">
        <w:t xml:space="preserve">The lacuna in its dispute </w:t>
      </w:r>
      <w:r w:rsidRPr="00EE30C1">
        <w:rPr>
          <w:iCs/>
        </w:rPr>
        <w:t>notices</w:t>
      </w:r>
      <w:r>
        <w:t xml:space="preserve"> between 911 and 976</w:t>
      </w:r>
      <w:r w:rsidRPr="00EE30C1">
        <w:t xml:space="preserve"> is a deeper version of a trough in the whole of its </w:t>
      </w:r>
      <w:r w:rsidR="00976579">
        <w:t xml:space="preserve">tenth-century </w:t>
      </w:r>
      <w:r w:rsidRPr="00EE30C1">
        <w:t>documentation</w:t>
      </w:r>
      <w:r w:rsidR="00976579">
        <w:t xml:space="preserve">: of the major types of documented transaction, only </w:t>
      </w:r>
      <w:proofErr w:type="spellStart"/>
      <w:r w:rsidR="00976579" w:rsidRPr="0090747E">
        <w:rPr>
          <w:i/>
        </w:rPr>
        <w:t>livelli</w:t>
      </w:r>
      <w:proofErr w:type="spellEnd"/>
      <w:r w:rsidR="00976579">
        <w:t xml:space="preserve"> appear in the archive in consistent </w:t>
      </w:r>
      <w:r w:rsidR="00C20A5B">
        <w:t xml:space="preserve">numbers for the whole century. </w:t>
      </w:r>
      <w:r w:rsidR="00976579">
        <w:t>This near-</w:t>
      </w:r>
      <w:r w:rsidRPr="00EE30C1">
        <w:t>silence</w:t>
      </w:r>
      <w:r w:rsidR="00976579">
        <w:t xml:space="preserve"> in the documentary evidence</w:t>
      </w:r>
      <w:r w:rsidRPr="00EE30C1">
        <w:t xml:space="preserve"> </w:t>
      </w:r>
      <w:r w:rsidR="00976579">
        <w:t>was associated by</w:t>
      </w:r>
      <w:r w:rsidRPr="00EE30C1">
        <w:t xml:space="preserve"> Vito </w:t>
      </w:r>
      <w:proofErr w:type="spellStart"/>
      <w:r w:rsidRPr="00EE30C1">
        <w:t>Fumagalli</w:t>
      </w:r>
      <w:proofErr w:type="spellEnd"/>
      <w:r w:rsidRPr="00EE30C1">
        <w:t xml:space="preserve"> with a generational change, and fragmenting of power, within the </w:t>
      </w:r>
      <w:proofErr w:type="spellStart"/>
      <w:r w:rsidRPr="00EE30C1">
        <w:t>Gandolfingi</w:t>
      </w:r>
      <w:proofErr w:type="spellEnd"/>
      <w:r w:rsidRPr="00EE30C1">
        <w:t xml:space="preserve"> family then dominant in the </w:t>
      </w:r>
      <w:proofErr w:type="spellStart"/>
      <w:r w:rsidRPr="00EE30C1">
        <w:t>Piacentino</w:t>
      </w:r>
      <w:proofErr w:type="spellEnd"/>
      <w:r w:rsidR="00976579">
        <w:t>.</w:t>
      </w:r>
      <w:r w:rsidRPr="00EE30C1">
        <w:rPr>
          <w:rStyle w:val="FootnoteReference"/>
        </w:rPr>
        <w:footnoteReference w:id="49"/>
      </w:r>
      <w:r w:rsidR="00C20A5B">
        <w:t xml:space="preserve"> </w:t>
      </w:r>
      <w:r w:rsidRPr="00EE30C1">
        <w:t>This raises the possibility of a similar connection between archival and political d</w:t>
      </w:r>
      <w:r w:rsidR="00C20A5B">
        <w:t xml:space="preserve">evelopment as at Monte Amiata. </w:t>
      </w:r>
      <w:r w:rsidRPr="00EE30C1">
        <w:t xml:space="preserve">In Piacenza, such an association is especially evident in traces of the influence over archiving of the city’s bishop. Increasingly, Piacenza’s bishop was the most important focus of power in the city, because the tenth century saw the gradual shift of comital powers into his hands. This was effected partly by royal grant, from </w:t>
      </w:r>
      <w:proofErr w:type="spellStart"/>
      <w:r w:rsidRPr="00EE30C1">
        <w:t>Berengar</w:t>
      </w:r>
      <w:proofErr w:type="spellEnd"/>
      <w:r w:rsidRPr="00EE30C1">
        <w:t xml:space="preserve"> I’s creation of Bishop Guy as permanent royal </w:t>
      </w:r>
      <w:r w:rsidRPr="00EE30C1">
        <w:rPr>
          <w:i/>
          <w:iCs/>
        </w:rPr>
        <w:t>missus</w:t>
      </w:r>
      <w:r w:rsidRPr="00EE30C1">
        <w:t xml:space="preserve">, with attendant judicial prerogatives, between 915 and 920, to Otto III’s concession of all royal prerogatives over </w:t>
      </w:r>
      <w:r w:rsidRPr="00EE30C1">
        <w:lastRenderedPageBreak/>
        <w:t xml:space="preserve">the city and its suburbs to Bishop </w:t>
      </w:r>
      <w:proofErr w:type="spellStart"/>
      <w:r w:rsidRPr="00EE30C1">
        <w:t>Sigefred</w:t>
      </w:r>
      <w:proofErr w:type="spellEnd"/>
      <w:r w:rsidRPr="00EE30C1">
        <w:t xml:space="preserve"> in 997.</w:t>
      </w:r>
      <w:r w:rsidRPr="00EE30C1">
        <w:rPr>
          <w:rStyle w:val="FootnoteReference"/>
        </w:rPr>
        <w:footnoteReference w:id="50"/>
      </w:r>
      <w:r w:rsidR="00C20A5B">
        <w:t xml:space="preserve"> </w:t>
      </w:r>
      <w:r w:rsidRPr="00EE30C1">
        <w:t xml:space="preserve">Partly too, though, it was a side effect of the intermittent familial links between the bishop and local </w:t>
      </w:r>
      <w:proofErr w:type="spellStart"/>
      <w:r w:rsidRPr="00EE30C1">
        <w:t>signorial</w:t>
      </w:r>
      <w:proofErr w:type="spellEnd"/>
      <w:r w:rsidRPr="00EE30C1">
        <w:t xml:space="preserve"> families: Bishop Guy had been a member of the then-dominant da </w:t>
      </w:r>
      <w:proofErr w:type="spellStart"/>
      <w:r w:rsidRPr="00EE30C1">
        <w:t>Gorgo</w:t>
      </w:r>
      <w:proofErr w:type="spellEnd"/>
      <w:r w:rsidRPr="00EE30C1">
        <w:t xml:space="preserve"> family, for instance.</w:t>
      </w:r>
      <w:r w:rsidRPr="00EE30C1">
        <w:rPr>
          <w:rStyle w:val="FootnoteReference"/>
        </w:rPr>
        <w:footnoteReference w:id="51"/>
      </w:r>
      <w:r w:rsidRPr="00EE30C1">
        <w:t xml:space="preserve">  Both aspects are reflected in the </w:t>
      </w:r>
      <w:r w:rsidR="00875C1D">
        <w:t xml:space="preserve">dispute </w:t>
      </w:r>
      <w:r w:rsidRPr="00EE30C1">
        <w:rPr>
          <w:iCs/>
        </w:rPr>
        <w:t>notices</w:t>
      </w:r>
      <w:r w:rsidRPr="00EE30C1">
        <w:t xml:space="preserve">: their tight adherence to formulae speaks of close institutional direction, and the bishop’s own relations with comital aristocrats is reflected in, for instance, the cathedral’s possession of two </w:t>
      </w:r>
      <w:proofErr w:type="spellStart"/>
      <w:r w:rsidRPr="00EE30C1">
        <w:rPr>
          <w:i/>
          <w:iCs/>
        </w:rPr>
        <w:t>investiturae</w:t>
      </w:r>
      <w:proofErr w:type="spellEnd"/>
      <w:r w:rsidRPr="00EE30C1">
        <w:rPr>
          <w:i/>
          <w:iCs/>
        </w:rPr>
        <w:t xml:space="preserve"> </w:t>
      </w:r>
      <w:proofErr w:type="spellStart"/>
      <w:r w:rsidRPr="00EE30C1">
        <w:rPr>
          <w:i/>
          <w:iCs/>
        </w:rPr>
        <w:t>salva</w:t>
      </w:r>
      <w:proofErr w:type="spellEnd"/>
      <w:r w:rsidRPr="00EE30C1">
        <w:rPr>
          <w:i/>
          <w:iCs/>
        </w:rPr>
        <w:t xml:space="preserve"> </w:t>
      </w:r>
      <w:proofErr w:type="spellStart"/>
      <w:r w:rsidRPr="00EE30C1">
        <w:rPr>
          <w:i/>
          <w:iCs/>
        </w:rPr>
        <w:t>querela</w:t>
      </w:r>
      <w:proofErr w:type="spellEnd"/>
      <w:r w:rsidRPr="00EE30C1">
        <w:t xml:space="preserve"> to the benefit of Marquis </w:t>
      </w:r>
      <w:proofErr w:type="spellStart"/>
      <w:r w:rsidRPr="00EE30C1">
        <w:t>Boso</w:t>
      </w:r>
      <w:proofErr w:type="spellEnd"/>
      <w:r w:rsidRPr="00EE30C1">
        <w:t xml:space="preserve">, the principal representative of </w:t>
      </w:r>
      <w:r w:rsidR="00875C1D" w:rsidRPr="00EE30C1">
        <w:t xml:space="preserve">the important </w:t>
      </w:r>
      <w:proofErr w:type="spellStart"/>
      <w:r w:rsidR="00875C1D" w:rsidRPr="00EE30C1">
        <w:t>Gandolfingi</w:t>
      </w:r>
      <w:proofErr w:type="spellEnd"/>
      <w:r w:rsidR="00875C1D" w:rsidRPr="00EE30C1">
        <w:t xml:space="preserve"> family</w:t>
      </w:r>
      <w:r w:rsidRPr="00EE30C1">
        <w:t>.</w:t>
      </w:r>
      <w:r w:rsidRPr="00EE30C1">
        <w:rPr>
          <w:rStyle w:val="FootnoteReference"/>
        </w:rPr>
        <w:footnoteReference w:id="52"/>
      </w:r>
      <w:r w:rsidR="00C20A5B">
        <w:t xml:space="preserve"> </w:t>
      </w:r>
      <w:r w:rsidRPr="00EE30C1">
        <w:t xml:space="preserve">What records we have of the </w:t>
      </w:r>
      <w:proofErr w:type="spellStart"/>
      <w:r w:rsidRPr="00EE30C1">
        <w:t>Gandolfingi</w:t>
      </w:r>
      <w:proofErr w:type="spellEnd"/>
      <w:r w:rsidRPr="00EE30C1">
        <w:t xml:space="preserve"> are in fact mostly preserved at the cathedral.  But the final document of their property testifies to a second major current in </w:t>
      </w:r>
      <w:proofErr w:type="spellStart"/>
      <w:r w:rsidRPr="00EE30C1">
        <w:t>Piacentine</w:t>
      </w:r>
      <w:proofErr w:type="spellEnd"/>
      <w:r w:rsidRPr="00EE30C1">
        <w:t xml:space="preserve"> politics: while the bishopric’s power was growing in cahoots with local </w:t>
      </w:r>
      <w:r w:rsidRPr="00EE30C1">
        <w:rPr>
          <w:i/>
          <w:iCs/>
        </w:rPr>
        <w:t>signori</w:t>
      </w:r>
      <w:r w:rsidRPr="00EE30C1">
        <w:t xml:space="preserve">, the </w:t>
      </w:r>
      <w:proofErr w:type="spellStart"/>
      <w:r w:rsidRPr="00EE30C1">
        <w:t>Obertenghi</w:t>
      </w:r>
      <w:proofErr w:type="spellEnd"/>
      <w:r w:rsidRPr="00EE30C1">
        <w:t xml:space="preserve"> family was achieving a dominance of its own among lay aristocrats, largely through the sheer extent of its estates and attendant client network.</w:t>
      </w:r>
      <w:r w:rsidRPr="00EE30C1">
        <w:rPr>
          <w:rStyle w:val="FootnoteReference"/>
        </w:rPr>
        <w:footnoteReference w:id="53"/>
      </w:r>
      <w:r w:rsidRPr="00EE30C1">
        <w:t xml:space="preserve">  Thus we find the last representative of the </w:t>
      </w:r>
      <w:proofErr w:type="spellStart"/>
      <w:r w:rsidRPr="00EE30C1">
        <w:t>Gandolfingi</w:t>
      </w:r>
      <w:proofErr w:type="spellEnd"/>
      <w:r w:rsidRPr="00EE30C1">
        <w:t xml:space="preserve"> passing his lands on to Marquis Hugh of the </w:t>
      </w:r>
      <w:proofErr w:type="spellStart"/>
      <w:r w:rsidRPr="00EE30C1">
        <w:t>Obertenghi</w:t>
      </w:r>
      <w:proofErr w:type="spellEnd"/>
      <w:r w:rsidRPr="00EE30C1">
        <w:t xml:space="preserve"> in 1028, an act given full force by its confirmation in an </w:t>
      </w:r>
      <w:proofErr w:type="spellStart"/>
      <w:r w:rsidRPr="00EE30C1">
        <w:rPr>
          <w:i/>
          <w:iCs/>
        </w:rPr>
        <w:t>ostensio</w:t>
      </w:r>
      <w:proofErr w:type="spellEnd"/>
      <w:r w:rsidRPr="00EE30C1">
        <w:rPr>
          <w:i/>
          <w:iCs/>
        </w:rPr>
        <w:t xml:space="preserve"> </w:t>
      </w:r>
      <w:proofErr w:type="spellStart"/>
      <w:r w:rsidRPr="00EE30C1">
        <w:rPr>
          <w:i/>
          <w:iCs/>
        </w:rPr>
        <w:t>cartae</w:t>
      </w:r>
      <w:proofErr w:type="spellEnd"/>
      <w:r w:rsidRPr="00EE30C1">
        <w:t xml:space="preserve"> in 1034.</w:t>
      </w:r>
      <w:r w:rsidRPr="00EE30C1">
        <w:rPr>
          <w:vertAlign w:val="superscript"/>
        </w:rPr>
        <w:footnoteReference w:id="54"/>
      </w:r>
      <w:r w:rsidR="00C20A5B">
        <w:t xml:space="preserve"> </w:t>
      </w:r>
      <w:r w:rsidRPr="00EE30C1">
        <w:t xml:space="preserve">It is tempting to suggest, then, that the social changes of the late tenth and eleventh centuries, which as in southern Tuscany saw a greater concentration of local power in the hands of fewer </w:t>
      </w:r>
      <w:proofErr w:type="spellStart"/>
      <w:r w:rsidRPr="00EE30C1">
        <w:t>signorial</w:t>
      </w:r>
      <w:proofErr w:type="spellEnd"/>
      <w:r w:rsidRPr="00EE30C1">
        <w:t xml:space="preserve"> families, had a general effect on </w:t>
      </w:r>
      <w:proofErr w:type="spellStart"/>
      <w:r w:rsidRPr="00EE30C1">
        <w:t>Piacentine</w:t>
      </w:r>
      <w:proofErr w:type="spellEnd"/>
      <w:r w:rsidRPr="00EE30C1">
        <w:t xml:space="preserve"> inst</w:t>
      </w:r>
      <w:r>
        <w:t>itutions’ archival perspective.</w:t>
      </w:r>
    </w:p>
    <w:p w14:paraId="22950B9B" w14:textId="5FCF6A95" w:rsidR="00C6198F" w:rsidRDefault="00C6198F" w:rsidP="004514BD">
      <w:pPr>
        <w:spacing w:after="120" w:line="360" w:lineRule="auto"/>
        <w:ind w:firstLine="720"/>
      </w:pPr>
      <w:r w:rsidRPr="00EE30C1">
        <w:t>At Piacenza, therefore, we can suggest that the ecclesiastical archivists’ role became both more important and more discriminating in response to polit</w:t>
      </w:r>
      <w:r w:rsidR="00C20A5B">
        <w:t xml:space="preserve">ical developments in the city. </w:t>
      </w:r>
      <w:r w:rsidRPr="00EE30C1">
        <w:t>The draining of the count’s administrative (and, especially, judicial) powers into the bishopric heightened the importance of ecclesiastical archives as repositories</w:t>
      </w:r>
      <w:r w:rsidR="00C20A5B">
        <w:t xml:space="preserve"> of the right kinds of models. </w:t>
      </w:r>
      <w:r w:rsidRPr="00EE30C1">
        <w:t xml:space="preserve">At the same time, the concentration of effective </w:t>
      </w:r>
      <w:r w:rsidRPr="00EE30C1">
        <w:lastRenderedPageBreak/>
        <w:t xml:space="preserve">non-comital power into the hands of a few, and then one, preponderant landowning </w:t>
      </w:r>
      <w:proofErr w:type="spellStart"/>
      <w:r w:rsidRPr="00EE30C1">
        <w:t>signorial</w:t>
      </w:r>
      <w:proofErr w:type="spellEnd"/>
      <w:r w:rsidRPr="00EE30C1">
        <w:t xml:space="preserve"> family greatly simplified the political relation</w:t>
      </w:r>
      <w:r>
        <w:t>s of their client institutions.</w:t>
      </w:r>
      <w:r w:rsidR="00117F00">
        <w:t xml:space="preserve"> </w:t>
      </w:r>
      <w:r w:rsidRPr="00EE30C1">
        <w:t>The result was a change in the role of the archives themselves: from being open to the civic community, they came to be concentrated on reflecting the interests on</w:t>
      </w:r>
      <w:r w:rsidR="004514BD">
        <w:t xml:space="preserve">ly of their immediate patrons. </w:t>
      </w:r>
      <w:r w:rsidRPr="00EE30C1">
        <w:t>The dénouement of this process was surely the bishopric of Dionysius (1062-1082x85), who explicitly combined the roles of bishop and count.</w:t>
      </w:r>
      <w:r w:rsidRPr="00EE30C1">
        <w:rPr>
          <w:rStyle w:val="FootnoteReference"/>
        </w:rPr>
        <w:footnoteReference w:id="55"/>
      </w:r>
      <w:r w:rsidR="004514BD">
        <w:t xml:space="preserve"> </w:t>
      </w:r>
      <w:r w:rsidRPr="00EE30C1">
        <w:t>The traditional documentation of comital justice faded away thereafter, as Piacenza made the tran</w:t>
      </w:r>
      <w:r w:rsidR="004514BD">
        <w:t xml:space="preserve">sition to communal government. </w:t>
      </w:r>
      <w:r w:rsidRPr="00EE30C1">
        <w:t xml:space="preserve">By 1126, the city had consuls, and different means of recording disputes and </w:t>
      </w:r>
      <w:r>
        <w:t>court proceedings</w:t>
      </w:r>
      <w:r w:rsidRPr="00EE30C1">
        <w:t xml:space="preserve"> </w:t>
      </w:r>
      <w:r>
        <w:t>started to become</w:t>
      </w:r>
      <w:r w:rsidRPr="00EE30C1">
        <w:t xml:space="preserve"> available.</w:t>
      </w:r>
      <w:r>
        <w:rPr>
          <w:rStyle w:val="FootnoteReference"/>
        </w:rPr>
        <w:footnoteReference w:id="56"/>
      </w:r>
      <w:r w:rsidRPr="00EE30C1">
        <w:t xml:space="preserve"> </w:t>
      </w:r>
    </w:p>
    <w:p w14:paraId="35D79B29" w14:textId="229AF98F" w:rsidR="00C6198F" w:rsidRDefault="00C6198F" w:rsidP="004514BD">
      <w:pPr>
        <w:spacing w:after="120" w:line="360" w:lineRule="auto"/>
        <w:ind w:firstLine="720"/>
      </w:pPr>
      <w:r>
        <w:t>The patterns of survival of documents at Monte Amiata and Piacen</w:t>
      </w:r>
      <w:r w:rsidR="004514BD">
        <w:t xml:space="preserve">za show a number of parallels. </w:t>
      </w:r>
      <w:r>
        <w:t>Both include a significant la</w:t>
      </w:r>
      <w:r w:rsidR="00117F00">
        <w:t xml:space="preserve">cuna in the mid-tenth century. </w:t>
      </w:r>
      <w:r>
        <w:t>In both that gap occurs equally in their overall run of documents and in those emanating</w:t>
      </w:r>
      <w:r w:rsidR="004514BD">
        <w:t xml:space="preserve"> specifically from law courts. </w:t>
      </w:r>
      <w:r>
        <w:t xml:space="preserve">Among the latter, in both places </w:t>
      </w:r>
      <w:r>
        <w:rPr>
          <w:iCs/>
        </w:rPr>
        <w:t>notices</w:t>
      </w:r>
      <w:r>
        <w:t xml:space="preserve"> of the ‘undefended case’ type were entirely dominant by the tenth century; </w:t>
      </w:r>
      <w:r>
        <w:rPr>
          <w:iCs/>
        </w:rPr>
        <w:t>notices</w:t>
      </w:r>
      <w:r>
        <w:t xml:space="preserve"> reporting actual court pr</w:t>
      </w:r>
      <w:r w:rsidR="004514BD">
        <w:t xml:space="preserve">oceedings were no longer kept. </w:t>
      </w:r>
      <w:r>
        <w:t>These parallels exist despite obvious differences in the context of preservation in each place: Monte Amiata was a single monastic institution, while the record from Piacenza is actually that of four institutions, of which the mos</w:t>
      </w:r>
      <w:r w:rsidR="004514BD">
        <w:t xml:space="preserve">t important was the bishopric. </w:t>
      </w:r>
      <w:r>
        <w:t xml:space="preserve">The parallel patterns of their documentation in spite of these differences suggest that each was affected by similar external influences. </w:t>
      </w:r>
    </w:p>
    <w:p w14:paraId="5A97E12F" w14:textId="660DCCB2" w:rsidR="00C6198F" w:rsidRDefault="00C6198F" w:rsidP="003562B8">
      <w:pPr>
        <w:spacing w:after="120" w:line="360" w:lineRule="auto"/>
        <w:ind w:firstLine="720"/>
      </w:pPr>
      <w:r>
        <w:t>Beyond numbers and genres, the most striking element of similarity is the growing dominance among both sets of documents of the social</w:t>
      </w:r>
      <w:r w:rsidR="00117F00">
        <w:t xml:space="preserve"> elite. </w:t>
      </w:r>
      <w:r>
        <w:t xml:space="preserve">This is noticeable at Monte Amiata after 1000; in Piacenza, it is obvious after the long lacuna in the city’s </w:t>
      </w:r>
      <w:r w:rsidR="0090747E">
        <w:t>dispute notices</w:t>
      </w:r>
      <w:r>
        <w:t xml:space="preserve"> ends in 9</w:t>
      </w:r>
      <w:r w:rsidR="0090747E">
        <w:t>76.</w:t>
      </w:r>
      <w:r w:rsidR="004514BD">
        <w:t xml:space="preserve"> </w:t>
      </w:r>
      <w:r>
        <w:t xml:space="preserve">A similar chronological pattern is evident also in the more specific interactions of the institutions in each place with particular groups of aristocrats.  Monte Amiata was involved amicably with the </w:t>
      </w:r>
      <w:proofErr w:type="spellStart"/>
      <w:r>
        <w:t>Aldobrandeschi</w:t>
      </w:r>
      <w:proofErr w:type="spellEnd"/>
      <w:r>
        <w:t xml:space="preserve"> from, apparently, the second quarter of the tenth century until about the year 1000, but relations soured in the </w:t>
      </w:r>
      <w:r>
        <w:lastRenderedPageBreak/>
        <w:t xml:space="preserve">middle decades of the eleventh century, and were evidently inimical by the 1070s.  In Piacenza the bishop had a symbiotic relationship with prominent local families such as the da </w:t>
      </w:r>
      <w:proofErr w:type="spellStart"/>
      <w:r>
        <w:t>Gorgo</w:t>
      </w:r>
      <w:proofErr w:type="spellEnd"/>
      <w:r>
        <w:t xml:space="preserve"> and the </w:t>
      </w:r>
      <w:proofErr w:type="spellStart"/>
      <w:r>
        <w:t>Gandolfingi</w:t>
      </w:r>
      <w:proofErr w:type="spellEnd"/>
      <w:r>
        <w:t xml:space="preserve"> until the first decades of the eleventh century, when the </w:t>
      </w:r>
      <w:proofErr w:type="spellStart"/>
      <w:r>
        <w:t>Obertenghi</w:t>
      </w:r>
      <w:proofErr w:type="spellEnd"/>
      <w:r>
        <w:t xml:space="preserve"> seized the organs of secular power and became the principal protagon</w:t>
      </w:r>
      <w:r w:rsidR="003562B8">
        <w:t xml:space="preserve">ist for the </w:t>
      </w:r>
      <w:proofErr w:type="spellStart"/>
      <w:r w:rsidR="003562B8">
        <w:t>Piacentine</w:t>
      </w:r>
      <w:proofErr w:type="spellEnd"/>
      <w:r w:rsidR="003562B8">
        <w:t xml:space="preserve"> clergy. </w:t>
      </w:r>
      <w:r>
        <w:t>It is unlikely that this concentratio</w:t>
      </w:r>
      <w:r w:rsidR="003562B8">
        <w:t xml:space="preserve">n of our record is accidental. </w:t>
      </w:r>
      <w:r>
        <w:t>But as for France, for Italy the key question is how far it reflects real social change, and how far it attests the constraints acting on, and choices exercised by, archivists.</w:t>
      </w:r>
    </w:p>
    <w:p w14:paraId="0FA6B420" w14:textId="5F6CF4F6" w:rsidR="00E3393B" w:rsidRDefault="00686C42" w:rsidP="003562B8">
      <w:pPr>
        <w:spacing w:after="120" w:line="360" w:lineRule="auto"/>
        <w:ind w:firstLine="720"/>
      </w:pPr>
      <w:r>
        <w:t>A</w:t>
      </w:r>
      <w:r w:rsidR="00C6198F">
        <w:t xml:space="preserve">lthough the archives at </w:t>
      </w:r>
      <w:r w:rsidR="00C6198F" w:rsidRPr="00351F5E">
        <w:t xml:space="preserve">Monte Amiata and Piacenza </w:t>
      </w:r>
      <w:r w:rsidR="00C6198F">
        <w:t>were, as we have seen, as prone as any other medieval archive to later disruption, the most prominent shared traits of the survivals are best explained by selection decisions taken closer to the time of the documents’ production.</w:t>
      </w:r>
      <w:r w:rsidR="00C6198F">
        <w:rPr>
          <w:rStyle w:val="FootnoteReference"/>
        </w:rPr>
        <w:footnoteReference w:id="57"/>
      </w:r>
      <w:r w:rsidR="003562B8">
        <w:t xml:space="preserve"> </w:t>
      </w:r>
      <w:r w:rsidR="00C6198F">
        <w:t>What was distinctive about the</w:t>
      </w:r>
      <w:r w:rsidR="00C6198F" w:rsidRPr="00434420">
        <w:t xml:space="preserve"> tenth and eleventh centuries</w:t>
      </w:r>
      <w:r w:rsidR="00C6198F">
        <w:t xml:space="preserve"> in this respect was not a concern with property rights per se – these were, of course, a perennially important element of legal documentation – but a concern with rights defined in particular and limited forms and applied to a partic</w:t>
      </w:r>
      <w:r w:rsidR="003562B8">
        <w:t xml:space="preserve">ular and limited social group. </w:t>
      </w:r>
      <w:r w:rsidR="00C6198F">
        <w:t>This must be related to the bundle of social changes that historians have highlighted in this period: the weakening of supra-local jurisdictions, the coalescence of landholdings, the emergence of apparently new, locally-based aristocratic lineages, the fragmentation of comital responsibilities and their assumption by new entities to legiti</w:t>
      </w:r>
      <w:r w:rsidR="003562B8">
        <w:t xml:space="preserve">mate their landed power. </w:t>
      </w:r>
      <w:r w:rsidR="00C6198F">
        <w:t xml:space="preserve">In short, power </w:t>
      </w:r>
      <w:r w:rsidR="00C6198F" w:rsidRPr="007B46BB">
        <w:t xml:space="preserve">in Italian city territories </w:t>
      </w:r>
      <w:r w:rsidR="00C6198F">
        <w:t xml:space="preserve">was collecting into the hands of </w:t>
      </w:r>
      <w:r w:rsidR="00C6198F" w:rsidRPr="00553F33">
        <w:t xml:space="preserve">more sharply defined ecclesiastical institutions and of </w:t>
      </w:r>
      <w:proofErr w:type="spellStart"/>
      <w:r w:rsidR="00C6198F" w:rsidRPr="00553F33">
        <w:t>signorial</w:t>
      </w:r>
      <w:proofErr w:type="spellEnd"/>
      <w:r w:rsidR="00C6198F" w:rsidRPr="00553F33">
        <w:t xml:space="preserve"> families</w:t>
      </w:r>
      <w:r w:rsidR="00C6198F">
        <w:t xml:space="preserve">, and both groups were as a consequence </w:t>
      </w:r>
      <w:r w:rsidR="00C6198F" w:rsidRPr="007B46BB">
        <w:t>developing new techniques of estate management and record-keeping</w:t>
      </w:r>
      <w:r w:rsidR="00C6198F">
        <w:t xml:space="preserve">, evident in archival notes – usually on charter’s </w:t>
      </w:r>
      <w:proofErr w:type="spellStart"/>
      <w:r w:rsidR="00C6198F">
        <w:t>dorses</w:t>
      </w:r>
      <w:proofErr w:type="spellEnd"/>
      <w:r w:rsidR="00C6198F">
        <w:t xml:space="preserve"> – that attest storage not according to the norms of modern reference literacy but in terms of the geography of estate ownership.</w:t>
      </w:r>
      <w:r w:rsidR="00C6198F">
        <w:rPr>
          <w:rStyle w:val="FootnoteReference"/>
        </w:rPr>
        <w:footnoteReference w:id="58"/>
      </w:r>
      <w:r w:rsidR="00C6198F">
        <w:t xml:space="preserve"> </w:t>
      </w:r>
      <w:r w:rsidR="00DF3516">
        <w:t>At Monte Amiata and Piacenza, l</w:t>
      </w:r>
      <w:r w:rsidR="00E3393B">
        <w:t xml:space="preserve">egal </w:t>
      </w:r>
      <w:r w:rsidR="00DF3516">
        <w:t>instruments</w:t>
      </w:r>
      <w:r w:rsidR="00E3393B">
        <w:t xml:space="preserve"> were responding to the</w:t>
      </w:r>
      <w:r w:rsidR="00DF3516">
        <w:t xml:space="preserve"> efforts of ecclesiastical institutions and aristocratic networks to</w:t>
      </w:r>
      <w:r w:rsidR="00E3393B">
        <w:t xml:space="preserve"> </w:t>
      </w:r>
      <w:r w:rsidR="00DF3516">
        <w:t xml:space="preserve">formalize their power in </w:t>
      </w:r>
      <w:r w:rsidR="00E3393B">
        <w:lastRenderedPageBreak/>
        <w:t xml:space="preserve">new </w:t>
      </w:r>
      <w:r w:rsidR="00DF3516">
        <w:t>ways (o</w:t>
      </w:r>
      <w:r w:rsidR="003562B8">
        <w:t xml:space="preserve">r at least, ways new to them). </w:t>
      </w:r>
      <w:r w:rsidR="00DF3516">
        <w:t>P</w:t>
      </w:r>
      <w:r w:rsidR="00E3393B">
        <w:t xml:space="preserve">rominent among the </w:t>
      </w:r>
      <w:r w:rsidR="00DF3516">
        <w:t>evidence for this</w:t>
      </w:r>
      <w:r w:rsidR="00E3393B">
        <w:t xml:space="preserve"> are </w:t>
      </w:r>
      <w:r w:rsidR="00DF3516">
        <w:t xml:space="preserve">law court notices of </w:t>
      </w:r>
      <w:r w:rsidR="00E3393B">
        <w:t>‘undefended case</w:t>
      </w:r>
      <w:r w:rsidR="00DF3516">
        <w:t>s</w:t>
      </w:r>
      <w:r w:rsidR="00E3393B">
        <w:t xml:space="preserve">’, which reveal </w:t>
      </w:r>
      <w:r w:rsidR="00DF3516">
        <w:t xml:space="preserve">that it was precisely the new </w:t>
      </w:r>
      <w:proofErr w:type="spellStart"/>
      <w:r w:rsidR="00DF3516">
        <w:t>signorial</w:t>
      </w:r>
      <w:proofErr w:type="spellEnd"/>
      <w:r w:rsidR="00DF3516">
        <w:t xml:space="preserve"> lineages and their associates who </w:t>
      </w:r>
      <w:r w:rsidR="00E3393B">
        <w:t>had the readiest access to this mechanism f</w:t>
      </w:r>
      <w:r w:rsidR="00DF3516">
        <w:t>or substantiating their rights.</w:t>
      </w:r>
    </w:p>
    <w:p w14:paraId="0958E042" w14:textId="77777777" w:rsidR="00E3393B" w:rsidRDefault="00E3393B" w:rsidP="0014558B">
      <w:pPr>
        <w:spacing w:after="120" w:line="360" w:lineRule="auto"/>
      </w:pPr>
    </w:p>
    <w:p w14:paraId="319FF308" w14:textId="77777777" w:rsidR="00E3393B" w:rsidRPr="00EE30C1" w:rsidRDefault="00E3393B" w:rsidP="0014558B">
      <w:pPr>
        <w:spacing w:after="120" w:line="360" w:lineRule="auto"/>
      </w:pPr>
    </w:p>
    <w:p w14:paraId="603B5671" w14:textId="77777777" w:rsidR="00142CCC" w:rsidRPr="00EE30C1" w:rsidRDefault="00142CCC" w:rsidP="0014558B">
      <w:pPr>
        <w:spacing w:after="120" w:line="360" w:lineRule="auto"/>
      </w:pPr>
    </w:p>
    <w:sectPr w:rsidR="00142CCC" w:rsidRPr="00EE30C1" w:rsidSect="002248D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C2977" w14:textId="77777777" w:rsidR="00F23E2A" w:rsidRDefault="00F23E2A" w:rsidP="00142CCC">
      <w:r>
        <w:separator/>
      </w:r>
    </w:p>
  </w:endnote>
  <w:endnote w:type="continuationSeparator" w:id="0">
    <w:p w14:paraId="15CCC69B" w14:textId="77777777" w:rsidR="00F23E2A" w:rsidRDefault="00F23E2A" w:rsidP="0014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939C" w14:textId="77777777" w:rsidR="008D573E" w:rsidRDefault="008D5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ED37" w14:textId="77777777" w:rsidR="008D573E" w:rsidRDefault="008D57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D321" w14:textId="77777777" w:rsidR="008D573E" w:rsidRDefault="008D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01367" w14:textId="77777777" w:rsidR="00F23E2A" w:rsidRDefault="00F23E2A" w:rsidP="00142CCC">
      <w:r>
        <w:separator/>
      </w:r>
    </w:p>
  </w:footnote>
  <w:footnote w:type="continuationSeparator" w:id="0">
    <w:p w14:paraId="01EB5DA2" w14:textId="77777777" w:rsidR="00F23E2A" w:rsidRDefault="00F23E2A" w:rsidP="00142CCC">
      <w:r>
        <w:continuationSeparator/>
      </w:r>
    </w:p>
  </w:footnote>
  <w:footnote w:id="1">
    <w:p w14:paraId="6A66B751" w14:textId="7505E4C7"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Chris Wickham, ‘T</w:t>
      </w:r>
      <w:r>
        <w:rPr>
          <w:szCs w:val="20"/>
        </w:rPr>
        <w:t>he “Feudal Revolution” and the Origins of Italian City C</w:t>
      </w:r>
      <w:r w:rsidRPr="00541560">
        <w:rPr>
          <w:szCs w:val="20"/>
        </w:rPr>
        <w:t xml:space="preserve">ommunes’, </w:t>
      </w:r>
      <w:r w:rsidRPr="00541560">
        <w:rPr>
          <w:i/>
          <w:szCs w:val="20"/>
        </w:rPr>
        <w:t>Transactions of the Royal Historical Society</w:t>
      </w:r>
      <w:r w:rsidRPr="00541560">
        <w:rPr>
          <w:szCs w:val="20"/>
        </w:rPr>
        <w:t>, 6</w:t>
      </w:r>
      <w:r w:rsidRPr="00541560">
        <w:rPr>
          <w:szCs w:val="20"/>
          <w:vertAlign w:val="superscript"/>
        </w:rPr>
        <w:t>th</w:t>
      </w:r>
      <w:r w:rsidRPr="00541560">
        <w:rPr>
          <w:szCs w:val="20"/>
        </w:rPr>
        <w:t xml:space="preserve"> ser., xxiv (2014), 29-55, at 39-40.</w:t>
      </w:r>
    </w:p>
  </w:footnote>
  <w:footnote w:id="2">
    <w:p w14:paraId="019380D0" w14:textId="7419ECCB"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On the ‘undefended’ script, see Chris Wickham, ‘Justice in the Kingdom of Italy in the Eleventh Century’ in </w:t>
      </w:r>
      <w:r w:rsidRPr="00541560">
        <w:rPr>
          <w:i/>
          <w:szCs w:val="20"/>
        </w:rPr>
        <w:t xml:space="preserve">La </w:t>
      </w:r>
      <w:proofErr w:type="spellStart"/>
      <w:r w:rsidRPr="00541560">
        <w:rPr>
          <w:i/>
          <w:szCs w:val="20"/>
        </w:rPr>
        <w:t>giustizia</w:t>
      </w:r>
      <w:proofErr w:type="spellEnd"/>
      <w:r w:rsidRPr="00541560">
        <w:rPr>
          <w:i/>
          <w:szCs w:val="20"/>
        </w:rPr>
        <w:t xml:space="preserve"> </w:t>
      </w:r>
      <w:proofErr w:type="spellStart"/>
      <w:r w:rsidRPr="00541560">
        <w:rPr>
          <w:i/>
          <w:szCs w:val="20"/>
        </w:rPr>
        <w:t>nell’alto</w:t>
      </w:r>
      <w:proofErr w:type="spellEnd"/>
      <w:r w:rsidRPr="00541560">
        <w:rPr>
          <w:i/>
          <w:szCs w:val="20"/>
        </w:rPr>
        <w:t xml:space="preserve"> </w:t>
      </w:r>
      <w:proofErr w:type="spellStart"/>
      <w:r w:rsidRPr="00541560">
        <w:rPr>
          <w:i/>
          <w:szCs w:val="20"/>
        </w:rPr>
        <w:t>medioevo</w:t>
      </w:r>
      <w:proofErr w:type="spellEnd"/>
      <w:r w:rsidRPr="00541560">
        <w:rPr>
          <w:i/>
          <w:szCs w:val="20"/>
        </w:rPr>
        <w:t xml:space="preserve"> (</w:t>
      </w:r>
      <w:proofErr w:type="spellStart"/>
      <w:r w:rsidRPr="00541560">
        <w:rPr>
          <w:i/>
          <w:szCs w:val="20"/>
        </w:rPr>
        <w:t>secoli</w:t>
      </w:r>
      <w:proofErr w:type="spellEnd"/>
      <w:r w:rsidRPr="00541560">
        <w:rPr>
          <w:i/>
          <w:szCs w:val="20"/>
        </w:rPr>
        <w:t xml:space="preserve"> IX-XI)</w:t>
      </w:r>
      <w:r w:rsidRPr="00541560">
        <w:rPr>
          <w:szCs w:val="20"/>
        </w:rPr>
        <w:t xml:space="preserve"> (</w:t>
      </w:r>
      <w:proofErr w:type="spellStart"/>
      <w:r w:rsidRPr="00541560">
        <w:rPr>
          <w:szCs w:val="20"/>
        </w:rPr>
        <w:t>Settimane</w:t>
      </w:r>
      <w:proofErr w:type="spellEnd"/>
      <w:r w:rsidRPr="00541560">
        <w:rPr>
          <w:szCs w:val="20"/>
        </w:rPr>
        <w:t xml:space="preserve"> di studio del Centro </w:t>
      </w:r>
      <w:proofErr w:type="spellStart"/>
      <w:r w:rsidRPr="00541560">
        <w:rPr>
          <w:szCs w:val="20"/>
        </w:rPr>
        <w:t>italiano</w:t>
      </w:r>
      <w:proofErr w:type="spellEnd"/>
      <w:r w:rsidRPr="00541560">
        <w:rPr>
          <w:szCs w:val="20"/>
        </w:rPr>
        <w:t xml:space="preserve"> di </w:t>
      </w:r>
      <w:proofErr w:type="spellStart"/>
      <w:r w:rsidRPr="00541560">
        <w:rPr>
          <w:szCs w:val="20"/>
        </w:rPr>
        <w:t>studi</w:t>
      </w:r>
      <w:proofErr w:type="spellEnd"/>
      <w:r w:rsidRPr="00541560">
        <w:rPr>
          <w:szCs w:val="20"/>
        </w:rPr>
        <w:t xml:space="preserve"> </w:t>
      </w:r>
      <w:proofErr w:type="spellStart"/>
      <w:r w:rsidRPr="00541560">
        <w:rPr>
          <w:szCs w:val="20"/>
        </w:rPr>
        <w:t>sull’alto</w:t>
      </w:r>
      <w:proofErr w:type="spellEnd"/>
      <w:r w:rsidRPr="00541560">
        <w:rPr>
          <w:szCs w:val="20"/>
        </w:rPr>
        <w:t xml:space="preserve"> </w:t>
      </w:r>
      <w:proofErr w:type="spellStart"/>
      <w:r w:rsidRPr="00541560">
        <w:rPr>
          <w:szCs w:val="20"/>
        </w:rPr>
        <w:t>Medioevo</w:t>
      </w:r>
      <w:proofErr w:type="spellEnd"/>
      <w:r w:rsidRPr="00541560">
        <w:rPr>
          <w:szCs w:val="20"/>
        </w:rPr>
        <w:t xml:space="preserve">, xliv, Spoleto, 1997), 179-255; François </w:t>
      </w:r>
      <w:proofErr w:type="spellStart"/>
      <w:r w:rsidRPr="00541560">
        <w:rPr>
          <w:szCs w:val="20"/>
        </w:rPr>
        <w:t>Bougard</w:t>
      </w:r>
      <w:proofErr w:type="spellEnd"/>
      <w:r w:rsidRPr="00541560">
        <w:rPr>
          <w:szCs w:val="20"/>
        </w:rPr>
        <w:t xml:space="preserve">, </w:t>
      </w:r>
      <w:r w:rsidRPr="00541560">
        <w:rPr>
          <w:i/>
          <w:iCs/>
          <w:szCs w:val="20"/>
        </w:rPr>
        <w:t xml:space="preserve">La justice </w:t>
      </w:r>
      <w:proofErr w:type="spellStart"/>
      <w:r w:rsidRPr="00541560">
        <w:rPr>
          <w:i/>
          <w:iCs/>
          <w:szCs w:val="20"/>
        </w:rPr>
        <w:t>dans</w:t>
      </w:r>
      <w:proofErr w:type="spellEnd"/>
      <w:r w:rsidRPr="00541560">
        <w:rPr>
          <w:i/>
          <w:iCs/>
          <w:szCs w:val="20"/>
        </w:rPr>
        <w:t xml:space="preserve"> le </w:t>
      </w:r>
      <w:proofErr w:type="spellStart"/>
      <w:r w:rsidRPr="00541560">
        <w:rPr>
          <w:i/>
          <w:iCs/>
          <w:szCs w:val="20"/>
        </w:rPr>
        <w:t>royaume</w:t>
      </w:r>
      <w:proofErr w:type="spellEnd"/>
      <w:r w:rsidRPr="00541560">
        <w:rPr>
          <w:i/>
          <w:iCs/>
          <w:szCs w:val="20"/>
        </w:rPr>
        <w:t xml:space="preserve"> </w:t>
      </w:r>
      <w:proofErr w:type="spellStart"/>
      <w:r w:rsidRPr="00541560">
        <w:rPr>
          <w:i/>
          <w:iCs/>
          <w:szCs w:val="20"/>
        </w:rPr>
        <w:t>d’Italie</w:t>
      </w:r>
      <w:proofErr w:type="spellEnd"/>
      <w:r w:rsidRPr="00541560">
        <w:rPr>
          <w:i/>
          <w:iCs/>
          <w:szCs w:val="20"/>
        </w:rPr>
        <w:t xml:space="preserve"> de la fin du </w:t>
      </w:r>
      <w:proofErr w:type="spellStart"/>
      <w:r w:rsidRPr="00541560">
        <w:rPr>
          <w:i/>
          <w:iCs/>
          <w:szCs w:val="20"/>
        </w:rPr>
        <w:t>VIII</w:t>
      </w:r>
      <w:r w:rsidRPr="00541560">
        <w:rPr>
          <w:i/>
          <w:iCs/>
          <w:szCs w:val="20"/>
          <w:vertAlign w:val="superscript"/>
        </w:rPr>
        <w:t>e</w:t>
      </w:r>
      <w:proofErr w:type="spellEnd"/>
      <w:r w:rsidRPr="00541560">
        <w:rPr>
          <w:i/>
          <w:iCs/>
          <w:szCs w:val="20"/>
        </w:rPr>
        <w:t xml:space="preserve"> siècle au début du </w:t>
      </w:r>
      <w:proofErr w:type="spellStart"/>
      <w:r w:rsidRPr="00541560">
        <w:rPr>
          <w:i/>
          <w:iCs/>
          <w:szCs w:val="20"/>
        </w:rPr>
        <w:t>XI</w:t>
      </w:r>
      <w:r w:rsidRPr="00541560">
        <w:rPr>
          <w:i/>
          <w:iCs/>
          <w:szCs w:val="20"/>
          <w:vertAlign w:val="superscript"/>
        </w:rPr>
        <w:t>e</w:t>
      </w:r>
      <w:proofErr w:type="spellEnd"/>
      <w:r w:rsidRPr="00541560">
        <w:rPr>
          <w:i/>
          <w:iCs/>
          <w:szCs w:val="20"/>
        </w:rPr>
        <w:t xml:space="preserve"> siècle</w:t>
      </w:r>
      <w:r w:rsidRPr="00541560">
        <w:rPr>
          <w:szCs w:val="20"/>
        </w:rPr>
        <w:t xml:space="preserve"> (</w:t>
      </w:r>
      <w:proofErr w:type="spellStart"/>
      <w:r w:rsidRPr="00541560">
        <w:rPr>
          <w:szCs w:val="20"/>
        </w:rPr>
        <w:t>Bibliothèque</w:t>
      </w:r>
      <w:proofErr w:type="spellEnd"/>
      <w:r w:rsidRPr="00541560">
        <w:rPr>
          <w:szCs w:val="20"/>
        </w:rPr>
        <w:t xml:space="preserve"> des </w:t>
      </w:r>
      <w:proofErr w:type="spellStart"/>
      <w:r w:rsidRPr="00541560">
        <w:rPr>
          <w:szCs w:val="20"/>
        </w:rPr>
        <w:t>Écoles</w:t>
      </w:r>
      <w:proofErr w:type="spellEnd"/>
      <w:r w:rsidRPr="00541560">
        <w:rPr>
          <w:szCs w:val="20"/>
        </w:rPr>
        <w:t xml:space="preserve"> </w:t>
      </w:r>
      <w:proofErr w:type="spellStart"/>
      <w:r w:rsidRPr="00541560">
        <w:rPr>
          <w:szCs w:val="20"/>
        </w:rPr>
        <w:t>Françaises</w:t>
      </w:r>
      <w:proofErr w:type="spellEnd"/>
      <w:r w:rsidRPr="00541560">
        <w:rPr>
          <w:szCs w:val="20"/>
        </w:rPr>
        <w:t xml:space="preserve"> </w:t>
      </w:r>
      <w:proofErr w:type="spellStart"/>
      <w:r w:rsidRPr="00541560">
        <w:rPr>
          <w:szCs w:val="20"/>
        </w:rPr>
        <w:t>d’Athènes</w:t>
      </w:r>
      <w:proofErr w:type="spellEnd"/>
      <w:r w:rsidRPr="00541560">
        <w:rPr>
          <w:szCs w:val="20"/>
        </w:rPr>
        <w:t xml:space="preserve"> et de Rome, ccxci, Rome, 1995), </w:t>
      </w:r>
      <w:r w:rsidRPr="00541560">
        <w:rPr>
          <w:bCs/>
          <w:szCs w:val="20"/>
        </w:rPr>
        <w:t xml:space="preserve">307-39. For an earlier view, with references to the arguments for these documents’ validity as evidence for real disputes, see Chris Wickham, ‘Land Disputes and Their Social Framework in Lombard-Carolingian Italy, 700-900’, in Wendy Davies and Paul </w:t>
      </w:r>
      <w:proofErr w:type="spellStart"/>
      <w:r w:rsidRPr="00541560">
        <w:rPr>
          <w:bCs/>
          <w:szCs w:val="20"/>
        </w:rPr>
        <w:t>Fouracre</w:t>
      </w:r>
      <w:proofErr w:type="spellEnd"/>
      <w:r w:rsidRPr="00541560">
        <w:rPr>
          <w:bCs/>
          <w:szCs w:val="20"/>
        </w:rPr>
        <w:t xml:space="preserve"> (eds.), </w:t>
      </w:r>
      <w:r w:rsidRPr="00541560">
        <w:rPr>
          <w:bCs/>
          <w:i/>
          <w:szCs w:val="20"/>
        </w:rPr>
        <w:t>The Settlement of Disputes in Early Medieval Europe</w:t>
      </w:r>
      <w:r w:rsidRPr="00541560">
        <w:rPr>
          <w:bCs/>
          <w:szCs w:val="20"/>
        </w:rPr>
        <w:t xml:space="preserve"> (Cambridge, 1986), 246 with n. 33.  </w:t>
      </w:r>
      <w:r w:rsidRPr="00541560">
        <w:rPr>
          <w:szCs w:val="20"/>
        </w:rPr>
        <w:t xml:space="preserve">I shall generally refer to the documents produced by law courts as ‘notices’ here, though including Latin terms when precision is needed.  A good introduction is </w:t>
      </w:r>
      <w:proofErr w:type="spellStart"/>
      <w:r w:rsidRPr="00541560">
        <w:rPr>
          <w:szCs w:val="20"/>
        </w:rPr>
        <w:t>Bougard</w:t>
      </w:r>
      <w:proofErr w:type="spellEnd"/>
      <w:r w:rsidRPr="00541560">
        <w:rPr>
          <w:szCs w:val="20"/>
        </w:rPr>
        <w:t xml:space="preserve">, </w:t>
      </w:r>
      <w:r w:rsidRPr="00541560">
        <w:rPr>
          <w:i/>
          <w:iCs/>
          <w:szCs w:val="20"/>
        </w:rPr>
        <w:t>La justice</w:t>
      </w:r>
      <w:r w:rsidRPr="00541560">
        <w:rPr>
          <w:szCs w:val="20"/>
        </w:rPr>
        <w:t xml:space="preserve">, 119-33.  Strictly speaking, </w:t>
      </w:r>
      <w:proofErr w:type="spellStart"/>
      <w:r w:rsidRPr="00541560">
        <w:rPr>
          <w:i/>
          <w:iCs/>
          <w:szCs w:val="20"/>
        </w:rPr>
        <w:t>placitum</w:t>
      </w:r>
      <w:proofErr w:type="spellEnd"/>
      <w:r w:rsidRPr="00541560">
        <w:rPr>
          <w:szCs w:val="20"/>
        </w:rPr>
        <w:t xml:space="preserve"> referred to the actual judicial assembly, </w:t>
      </w:r>
      <w:proofErr w:type="spellStart"/>
      <w:r w:rsidRPr="00541560">
        <w:rPr>
          <w:i/>
          <w:iCs/>
          <w:szCs w:val="20"/>
        </w:rPr>
        <w:t>notitia</w:t>
      </w:r>
      <w:proofErr w:type="spellEnd"/>
      <w:r w:rsidRPr="00541560">
        <w:rPr>
          <w:szCs w:val="20"/>
        </w:rPr>
        <w:t xml:space="preserve"> (</w:t>
      </w:r>
      <w:proofErr w:type="spellStart"/>
      <w:r w:rsidRPr="00541560">
        <w:rPr>
          <w:i/>
          <w:iCs/>
          <w:szCs w:val="20"/>
        </w:rPr>
        <w:t>iudicati</w:t>
      </w:r>
      <w:proofErr w:type="spellEnd"/>
      <w:r w:rsidRPr="00541560">
        <w:rPr>
          <w:szCs w:val="20"/>
        </w:rPr>
        <w:t xml:space="preserve">) or </w:t>
      </w:r>
      <w:proofErr w:type="spellStart"/>
      <w:r w:rsidRPr="00541560">
        <w:rPr>
          <w:i/>
          <w:iCs/>
          <w:szCs w:val="20"/>
        </w:rPr>
        <w:t>iudicatum</w:t>
      </w:r>
      <w:proofErr w:type="spellEnd"/>
      <w:r w:rsidRPr="00541560">
        <w:rPr>
          <w:szCs w:val="20"/>
        </w:rPr>
        <w:t xml:space="preserve"> (plus other less common synonyms) to the document issued at the order of the judges, ostensibly as a record of those proceedings. </w:t>
      </w:r>
    </w:p>
  </w:footnote>
  <w:footnote w:id="3">
    <w:p w14:paraId="12C14BA3" w14:textId="3B07A6DF" w:rsidR="00F23E2A" w:rsidRPr="00541560" w:rsidRDefault="00F23E2A" w:rsidP="004B02E6">
      <w:pPr>
        <w:pStyle w:val="FootnoteText"/>
        <w:rPr>
          <w:szCs w:val="20"/>
          <w:lang w:val="en-GB"/>
        </w:rPr>
      </w:pPr>
      <w:r w:rsidRPr="00541560">
        <w:rPr>
          <w:rStyle w:val="FootnoteReference"/>
          <w:szCs w:val="20"/>
        </w:rPr>
        <w:footnoteRef/>
      </w:r>
      <w:r w:rsidRPr="00541560">
        <w:rPr>
          <w:szCs w:val="20"/>
        </w:rPr>
        <w:t xml:space="preserve"> The development is summarized in Marios Costambeys, ‘Disputes and Documents in Early Medieval Italy’, in Kate Cooper and Conrad Leyser (eds.), </w:t>
      </w:r>
      <w:r w:rsidRPr="00541560">
        <w:rPr>
          <w:i/>
          <w:szCs w:val="20"/>
          <w:lang w:val="en-GB"/>
        </w:rPr>
        <w:t>Making Early Medieval Societies. Conflict and Belonging in the Latin West, 300–1200</w:t>
      </w:r>
      <w:r w:rsidRPr="00541560">
        <w:rPr>
          <w:szCs w:val="20"/>
          <w:lang w:val="en-GB"/>
        </w:rPr>
        <w:t xml:space="preserve"> (Cambridge, 2016), 125-154, esp. 135-6</w:t>
      </w:r>
      <w:r w:rsidRPr="00541560">
        <w:rPr>
          <w:szCs w:val="20"/>
        </w:rPr>
        <w:t xml:space="preserve">. The first Italian </w:t>
      </w:r>
      <w:proofErr w:type="spellStart"/>
      <w:r w:rsidRPr="00541560">
        <w:rPr>
          <w:i/>
          <w:iCs/>
          <w:szCs w:val="20"/>
        </w:rPr>
        <w:t>notitia</w:t>
      </w:r>
      <w:proofErr w:type="spellEnd"/>
      <w:r w:rsidRPr="00541560">
        <w:rPr>
          <w:i/>
          <w:iCs/>
          <w:szCs w:val="20"/>
        </w:rPr>
        <w:t xml:space="preserve"> </w:t>
      </w:r>
      <w:proofErr w:type="spellStart"/>
      <w:r w:rsidRPr="00541560">
        <w:rPr>
          <w:i/>
          <w:iCs/>
          <w:szCs w:val="20"/>
        </w:rPr>
        <w:t>iudicati</w:t>
      </w:r>
      <w:proofErr w:type="spellEnd"/>
      <w:r w:rsidRPr="00541560">
        <w:rPr>
          <w:szCs w:val="20"/>
        </w:rPr>
        <w:t xml:space="preserve"> to take a form of words that departed from a strictly adversarial format dates from 814, a document issued by a judicial tribunal headed by the king’s envoy (</w:t>
      </w:r>
      <w:r w:rsidRPr="00541560">
        <w:rPr>
          <w:i/>
          <w:iCs/>
          <w:szCs w:val="20"/>
        </w:rPr>
        <w:t>missus</w:t>
      </w:r>
      <w:r w:rsidRPr="00541560">
        <w:rPr>
          <w:szCs w:val="20"/>
        </w:rPr>
        <w:t xml:space="preserve">) meeting in Spoleto, which is preserved in </w:t>
      </w:r>
      <w:proofErr w:type="spellStart"/>
      <w:r w:rsidRPr="00541560">
        <w:rPr>
          <w:szCs w:val="20"/>
        </w:rPr>
        <w:t>Farfa’s</w:t>
      </w:r>
      <w:proofErr w:type="spellEnd"/>
      <w:r w:rsidRPr="00541560">
        <w:rPr>
          <w:szCs w:val="20"/>
        </w:rPr>
        <w:t xml:space="preserve"> eleventh-century cartulary: </w:t>
      </w:r>
      <w:r w:rsidRPr="00541560">
        <w:rPr>
          <w:i/>
          <w:iCs/>
          <w:szCs w:val="20"/>
          <w:lang w:val="it-IT"/>
        </w:rPr>
        <w:t>I placiti</w:t>
      </w:r>
      <w:r w:rsidRPr="00541560">
        <w:rPr>
          <w:szCs w:val="20"/>
          <w:lang w:val="it-IT"/>
        </w:rPr>
        <w:t xml:space="preserve"> </w:t>
      </w:r>
      <w:r w:rsidRPr="00541560">
        <w:rPr>
          <w:i/>
          <w:iCs/>
          <w:szCs w:val="20"/>
          <w:lang w:val="it-IT"/>
        </w:rPr>
        <w:t>del regnum Italiae</w:t>
      </w:r>
      <w:r w:rsidRPr="00541560">
        <w:rPr>
          <w:iCs/>
          <w:szCs w:val="20"/>
          <w:lang w:val="it-IT"/>
        </w:rPr>
        <w:t>,</w:t>
      </w:r>
      <w:r w:rsidRPr="00541560">
        <w:rPr>
          <w:szCs w:val="20"/>
          <w:lang w:val="it-IT"/>
        </w:rPr>
        <w:t xml:space="preserve"> ed. Cesare Manaresi, 3 vols. (Rome, 1955–60)</w:t>
      </w:r>
      <w:r w:rsidRPr="00541560">
        <w:rPr>
          <w:szCs w:val="20"/>
        </w:rPr>
        <w:t xml:space="preserve">, no. 28 (= </w:t>
      </w:r>
      <w:r w:rsidRPr="00541560">
        <w:rPr>
          <w:i/>
          <w:iCs/>
          <w:szCs w:val="20"/>
        </w:rPr>
        <w:t xml:space="preserve">Il </w:t>
      </w:r>
      <w:proofErr w:type="spellStart"/>
      <w:r w:rsidRPr="00541560">
        <w:rPr>
          <w:i/>
          <w:iCs/>
          <w:szCs w:val="20"/>
        </w:rPr>
        <w:t>Regesto</w:t>
      </w:r>
      <w:proofErr w:type="spellEnd"/>
      <w:r w:rsidRPr="00541560">
        <w:rPr>
          <w:i/>
          <w:iCs/>
          <w:szCs w:val="20"/>
        </w:rPr>
        <w:t xml:space="preserve"> di </w:t>
      </w:r>
      <w:proofErr w:type="spellStart"/>
      <w:r w:rsidRPr="00541560">
        <w:rPr>
          <w:i/>
          <w:iCs/>
          <w:szCs w:val="20"/>
        </w:rPr>
        <w:t>Farfa</w:t>
      </w:r>
      <w:proofErr w:type="spellEnd"/>
      <w:r w:rsidRPr="00541560">
        <w:rPr>
          <w:szCs w:val="20"/>
        </w:rPr>
        <w:t xml:space="preserve">, ed. Ignazio Giorgi and Ugo </w:t>
      </w:r>
      <w:proofErr w:type="spellStart"/>
      <w:r w:rsidRPr="00541560">
        <w:rPr>
          <w:szCs w:val="20"/>
        </w:rPr>
        <w:t>Balzani</w:t>
      </w:r>
      <w:proofErr w:type="spellEnd"/>
      <w:r w:rsidRPr="00541560">
        <w:rPr>
          <w:szCs w:val="20"/>
        </w:rPr>
        <w:t xml:space="preserve">, 5 vols. (Rome, 1879–1914), ii, no. 207). For further comment on this case, see Marios Costambeys, ‘Disputes and courts in Lombard and Carolingian central Italy’, </w:t>
      </w:r>
      <w:r w:rsidRPr="00541560">
        <w:rPr>
          <w:i/>
          <w:iCs/>
          <w:szCs w:val="20"/>
        </w:rPr>
        <w:t>Early Medieval Europe</w:t>
      </w:r>
      <w:r w:rsidRPr="00541560">
        <w:rPr>
          <w:iCs/>
          <w:szCs w:val="20"/>
        </w:rPr>
        <w:t>,</w:t>
      </w:r>
      <w:r w:rsidRPr="00541560">
        <w:rPr>
          <w:szCs w:val="20"/>
        </w:rPr>
        <w:t xml:space="preserve"> xv (2007), 265-89 at 286-7.  For the rapidity with which these formulae spread, see </w:t>
      </w:r>
      <w:proofErr w:type="spellStart"/>
      <w:r w:rsidRPr="00541560">
        <w:rPr>
          <w:szCs w:val="20"/>
        </w:rPr>
        <w:t>Bougard</w:t>
      </w:r>
      <w:proofErr w:type="spellEnd"/>
      <w:r w:rsidRPr="00541560">
        <w:rPr>
          <w:szCs w:val="20"/>
        </w:rPr>
        <w:t xml:space="preserve">, </w:t>
      </w:r>
      <w:r w:rsidRPr="00541560">
        <w:rPr>
          <w:i/>
          <w:iCs/>
          <w:szCs w:val="20"/>
        </w:rPr>
        <w:t>La justice</w:t>
      </w:r>
      <w:r w:rsidRPr="00541560">
        <w:rPr>
          <w:szCs w:val="20"/>
        </w:rPr>
        <w:t>, 308.</w:t>
      </w:r>
    </w:p>
  </w:footnote>
  <w:footnote w:id="4">
    <w:p w14:paraId="1C7F55CE" w14:textId="1910FF49"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t>
      </w:r>
      <w:proofErr w:type="spellStart"/>
      <w:r w:rsidRPr="00541560">
        <w:rPr>
          <w:i/>
          <w:szCs w:val="20"/>
        </w:rPr>
        <w:t>Placiti</w:t>
      </w:r>
      <w:proofErr w:type="spellEnd"/>
      <w:r w:rsidRPr="00541560">
        <w:rPr>
          <w:szCs w:val="20"/>
        </w:rPr>
        <w:t xml:space="preserve">, ed. </w:t>
      </w:r>
      <w:proofErr w:type="spellStart"/>
      <w:r w:rsidRPr="00541560">
        <w:rPr>
          <w:szCs w:val="20"/>
        </w:rPr>
        <w:t>Manaresi</w:t>
      </w:r>
      <w:proofErr w:type="spellEnd"/>
      <w:r w:rsidRPr="00541560">
        <w:rPr>
          <w:szCs w:val="20"/>
        </w:rPr>
        <w:t xml:space="preserve">, nos. 74, 75, 79, 80, 82, 83, 84, 85, 86 (all from </w:t>
      </w:r>
      <w:proofErr w:type="spellStart"/>
      <w:r w:rsidRPr="00541560">
        <w:rPr>
          <w:szCs w:val="20"/>
        </w:rPr>
        <w:t>Casauria</w:t>
      </w:r>
      <w:proofErr w:type="spellEnd"/>
      <w:r w:rsidRPr="00541560">
        <w:rPr>
          <w:szCs w:val="20"/>
        </w:rPr>
        <w:t>).</w:t>
      </w:r>
    </w:p>
  </w:footnote>
  <w:footnote w:id="5">
    <w:p w14:paraId="5C0B778B" w14:textId="6DA1CF02"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t>
      </w:r>
      <w:proofErr w:type="gramStart"/>
      <w:r w:rsidRPr="00541560">
        <w:rPr>
          <w:i/>
          <w:szCs w:val="20"/>
        </w:rPr>
        <w:t>Ibid</w:t>
      </w:r>
      <w:r w:rsidRPr="00541560">
        <w:rPr>
          <w:szCs w:val="20"/>
        </w:rPr>
        <w:t>.,</w:t>
      </w:r>
      <w:proofErr w:type="gramEnd"/>
      <w:r w:rsidRPr="00541560">
        <w:rPr>
          <w:szCs w:val="20"/>
        </w:rPr>
        <w:t xml:space="preserve"> no. 91, from Piacenza, with facsimile edition in </w:t>
      </w:r>
      <w:r w:rsidRPr="00541560">
        <w:rPr>
          <w:i/>
          <w:szCs w:val="20"/>
          <w:lang w:val="it-IT"/>
        </w:rPr>
        <w:t>Chartae Latinae Antiquiores. Facsimile Edition of the Latin Charters, 2nd series: Ninth Century</w:t>
      </w:r>
      <w:r w:rsidRPr="00541560">
        <w:rPr>
          <w:szCs w:val="20"/>
          <w:lang w:val="it-IT"/>
        </w:rPr>
        <w:t xml:space="preserve">, ed. Guglielmo Cavallo </w:t>
      </w:r>
      <w:r w:rsidRPr="00541560">
        <w:rPr>
          <w:i/>
          <w:szCs w:val="20"/>
          <w:lang w:val="it-IT"/>
        </w:rPr>
        <w:t>et al</w:t>
      </w:r>
      <w:r w:rsidRPr="00541560">
        <w:rPr>
          <w:szCs w:val="20"/>
          <w:lang w:val="it-IT"/>
        </w:rPr>
        <w:t xml:space="preserve">., 59 vols. to date, in progress (Olten and Lausanne, 1997- : hereafter </w:t>
      </w:r>
      <w:r w:rsidRPr="00541560">
        <w:rPr>
          <w:i/>
          <w:iCs/>
          <w:szCs w:val="20"/>
        </w:rPr>
        <w:t>ChLA</w:t>
      </w:r>
      <w:r w:rsidRPr="00541560">
        <w:rPr>
          <w:iCs/>
          <w:szCs w:val="20"/>
          <w:vertAlign w:val="superscript"/>
        </w:rPr>
        <w:t>2</w:t>
      </w:r>
      <w:r w:rsidRPr="00541560">
        <w:rPr>
          <w:szCs w:val="20"/>
          <w:lang w:val="it-IT"/>
        </w:rPr>
        <w:t>),</w:t>
      </w:r>
      <w:r w:rsidRPr="00541560">
        <w:rPr>
          <w:szCs w:val="20"/>
        </w:rPr>
        <w:t xml:space="preserve"> lxx, no. 6, where its authenticity is convincingly established; further examples until 900 are </w:t>
      </w:r>
      <w:proofErr w:type="spellStart"/>
      <w:r w:rsidRPr="00541560">
        <w:rPr>
          <w:i/>
          <w:szCs w:val="20"/>
        </w:rPr>
        <w:t>Placiti</w:t>
      </w:r>
      <w:proofErr w:type="spellEnd"/>
      <w:r w:rsidRPr="00541560">
        <w:rPr>
          <w:szCs w:val="20"/>
        </w:rPr>
        <w:t xml:space="preserve">, ed. </w:t>
      </w:r>
      <w:proofErr w:type="spellStart"/>
      <w:r w:rsidRPr="00541560">
        <w:rPr>
          <w:szCs w:val="20"/>
        </w:rPr>
        <w:t>Manaresi</w:t>
      </w:r>
      <w:proofErr w:type="spellEnd"/>
      <w:r w:rsidRPr="00541560">
        <w:rPr>
          <w:szCs w:val="20"/>
        </w:rPr>
        <w:t xml:space="preserve">, nos. 99, 105, 106, 107. </w:t>
      </w:r>
      <w:proofErr w:type="spellStart"/>
      <w:r w:rsidRPr="00541560">
        <w:rPr>
          <w:szCs w:val="20"/>
        </w:rPr>
        <w:t>Bougard</w:t>
      </w:r>
      <w:proofErr w:type="spellEnd"/>
      <w:r w:rsidRPr="00541560">
        <w:rPr>
          <w:szCs w:val="20"/>
        </w:rPr>
        <w:t xml:space="preserve">, </w:t>
      </w:r>
      <w:r w:rsidRPr="00541560">
        <w:rPr>
          <w:i/>
          <w:iCs/>
          <w:szCs w:val="20"/>
        </w:rPr>
        <w:t>La justice</w:t>
      </w:r>
      <w:r w:rsidRPr="00541560">
        <w:rPr>
          <w:szCs w:val="20"/>
        </w:rPr>
        <w:t xml:space="preserve">, 312-314, argues that this procedure was developed as a necessary response to the practice in which properties were initially occupied illegally and then successively alienated, or their usufruct granted and re-granted, until the original owner’s rights were lost sight of.  </w:t>
      </w:r>
    </w:p>
  </w:footnote>
  <w:footnote w:id="6">
    <w:p w14:paraId="3EF5FE6E" w14:textId="246C6CB7"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First in </w:t>
      </w:r>
      <w:proofErr w:type="spellStart"/>
      <w:r w:rsidRPr="00541560">
        <w:rPr>
          <w:i/>
          <w:szCs w:val="20"/>
        </w:rPr>
        <w:t>Placiti</w:t>
      </w:r>
      <w:proofErr w:type="spellEnd"/>
      <w:r w:rsidRPr="00541560">
        <w:rPr>
          <w:szCs w:val="20"/>
        </w:rPr>
        <w:t xml:space="preserve">, ed. </w:t>
      </w:r>
      <w:proofErr w:type="spellStart"/>
      <w:r w:rsidRPr="00541560">
        <w:rPr>
          <w:szCs w:val="20"/>
        </w:rPr>
        <w:t>Manaresi</w:t>
      </w:r>
      <w:proofErr w:type="spellEnd"/>
      <w:r w:rsidRPr="00541560">
        <w:rPr>
          <w:szCs w:val="20"/>
        </w:rPr>
        <w:t xml:space="preserve">, no. 77, then nos. 101, 102. </w:t>
      </w:r>
      <w:proofErr w:type="spellStart"/>
      <w:r w:rsidRPr="00541560">
        <w:rPr>
          <w:szCs w:val="20"/>
        </w:rPr>
        <w:t>Bougard</w:t>
      </w:r>
      <w:proofErr w:type="spellEnd"/>
      <w:r w:rsidRPr="00541560">
        <w:rPr>
          <w:szCs w:val="20"/>
        </w:rPr>
        <w:t xml:space="preserve">, </w:t>
      </w:r>
      <w:r w:rsidRPr="00541560">
        <w:rPr>
          <w:i/>
          <w:iCs/>
          <w:szCs w:val="20"/>
        </w:rPr>
        <w:t>La justice</w:t>
      </w:r>
      <w:r w:rsidRPr="00541560">
        <w:rPr>
          <w:szCs w:val="20"/>
        </w:rPr>
        <w:t>, 314-319, argues that this was simply the logical progression from a series of previous norms and procedures aimed at combatting contumacy.</w:t>
      </w:r>
    </w:p>
  </w:footnote>
  <w:footnote w:id="7">
    <w:p w14:paraId="59C61F8E" w14:textId="140B4318"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Chris Wickham’s own contribution to the debate has been crucial. See for instance, Wickham, ‘Debate: the “Feudal Revolution”’, </w:t>
      </w:r>
      <w:r w:rsidRPr="00541560">
        <w:rPr>
          <w:i/>
          <w:szCs w:val="20"/>
        </w:rPr>
        <w:t>Past and Present</w:t>
      </w:r>
      <w:r w:rsidRPr="00541560">
        <w:rPr>
          <w:szCs w:val="20"/>
        </w:rPr>
        <w:t>, clv (1997), 196-208, as well as Wickham, ‘“Feudal Revolution”</w:t>
      </w:r>
      <w:r>
        <w:rPr>
          <w:szCs w:val="20"/>
        </w:rPr>
        <w:t xml:space="preserve"> and the Origins</w:t>
      </w:r>
      <w:r w:rsidRPr="00541560">
        <w:rPr>
          <w:szCs w:val="20"/>
        </w:rPr>
        <w:t>’.</w:t>
      </w:r>
    </w:p>
  </w:footnote>
  <w:footnote w:id="8">
    <w:p w14:paraId="20B56062" w14:textId="4F1D0161" w:rsidR="00F23E2A" w:rsidRPr="00541560" w:rsidRDefault="00F23E2A" w:rsidP="004B02E6">
      <w:pPr>
        <w:pStyle w:val="FootnoteText"/>
        <w:rPr>
          <w:szCs w:val="20"/>
          <w:lang w:val="en-GB"/>
        </w:rPr>
      </w:pPr>
      <w:r w:rsidRPr="00541560">
        <w:rPr>
          <w:rStyle w:val="FootnoteReference"/>
          <w:szCs w:val="20"/>
        </w:rPr>
        <w:footnoteRef/>
      </w:r>
      <w:r w:rsidRPr="00541560">
        <w:rPr>
          <w:szCs w:val="20"/>
        </w:rPr>
        <w:t xml:space="preserve"> I do not have space here to dwell on the association that their appearance implies between formulae and formalization. One could construct an argument along the lines that the increasingly formulaic nature of public law court notices provided room for the formalization of non-public structures (informed by, in particular, Charles West, </w:t>
      </w:r>
      <w:r w:rsidRPr="00541560">
        <w:rPr>
          <w:i/>
          <w:szCs w:val="20"/>
        </w:rPr>
        <w:t>Reframing the Feudal Revolution: Political and Social Transformation between Marne and Moselle, c. 800-c. 1100</w:t>
      </w:r>
      <w:r w:rsidRPr="00541560">
        <w:rPr>
          <w:szCs w:val="20"/>
        </w:rPr>
        <w:t xml:space="preserve"> (Cambridge, 2013), 185). But in any case, parchment was expensive and was not used frivolously on the whole, and the surviving notices of the ‘undefended’ type give every appearance of being serious documents, so they cannot simply be dismissed.  </w:t>
      </w:r>
    </w:p>
  </w:footnote>
  <w:footnote w:id="9">
    <w:p w14:paraId="693F4240" w14:textId="4D9F2C22" w:rsidR="00F23E2A" w:rsidRPr="00541560" w:rsidRDefault="00F23E2A" w:rsidP="004B02E6">
      <w:pPr>
        <w:autoSpaceDE w:val="0"/>
        <w:autoSpaceDN w:val="0"/>
        <w:adjustRightInd w:val="0"/>
        <w:rPr>
          <w:sz w:val="20"/>
          <w:szCs w:val="20"/>
        </w:rPr>
      </w:pPr>
      <w:r w:rsidRPr="00541560">
        <w:rPr>
          <w:rStyle w:val="FootnoteReference"/>
          <w:sz w:val="20"/>
          <w:szCs w:val="20"/>
        </w:rPr>
        <w:footnoteRef/>
      </w:r>
      <w:r w:rsidRPr="00541560">
        <w:rPr>
          <w:sz w:val="20"/>
          <w:szCs w:val="20"/>
        </w:rPr>
        <w:t xml:space="preserve"> Corroboration of the relatively recent date of most of the charters reaffirmed in </w:t>
      </w:r>
      <w:proofErr w:type="spellStart"/>
      <w:r w:rsidRPr="00541560">
        <w:rPr>
          <w:i/>
          <w:iCs/>
          <w:sz w:val="20"/>
          <w:szCs w:val="20"/>
        </w:rPr>
        <w:t>ostensio</w:t>
      </w:r>
      <w:proofErr w:type="spellEnd"/>
      <w:r w:rsidRPr="00541560">
        <w:rPr>
          <w:i/>
          <w:iCs/>
          <w:sz w:val="20"/>
          <w:szCs w:val="20"/>
        </w:rPr>
        <w:t xml:space="preserve"> </w:t>
      </w:r>
      <w:proofErr w:type="spellStart"/>
      <w:r w:rsidRPr="00541560">
        <w:rPr>
          <w:i/>
          <w:iCs/>
          <w:sz w:val="20"/>
          <w:szCs w:val="20"/>
        </w:rPr>
        <w:t>cartae</w:t>
      </w:r>
      <w:proofErr w:type="spellEnd"/>
      <w:r w:rsidRPr="00541560">
        <w:rPr>
          <w:sz w:val="20"/>
          <w:szCs w:val="20"/>
        </w:rPr>
        <w:t xml:space="preserve"> documents is provided by </w:t>
      </w:r>
      <w:proofErr w:type="spellStart"/>
      <w:r w:rsidRPr="00541560">
        <w:rPr>
          <w:sz w:val="20"/>
          <w:szCs w:val="20"/>
        </w:rPr>
        <w:t>Swen</w:t>
      </w:r>
      <w:proofErr w:type="spellEnd"/>
      <w:r w:rsidRPr="00541560">
        <w:rPr>
          <w:sz w:val="20"/>
          <w:szCs w:val="20"/>
        </w:rPr>
        <w:t xml:space="preserve"> Holger </w:t>
      </w:r>
      <w:proofErr w:type="spellStart"/>
      <w:r w:rsidRPr="00541560">
        <w:rPr>
          <w:sz w:val="20"/>
          <w:szCs w:val="20"/>
        </w:rPr>
        <w:t>Brunsch</w:t>
      </w:r>
      <w:proofErr w:type="spellEnd"/>
      <w:r w:rsidRPr="00541560">
        <w:rPr>
          <w:sz w:val="20"/>
          <w:szCs w:val="20"/>
        </w:rPr>
        <w:t xml:space="preserve">, ‘The Authority of Documents in Early Medieval Italian Pleas’, in Brenda Bolton and Christine Meek (eds.), </w:t>
      </w:r>
      <w:r w:rsidRPr="00541560">
        <w:rPr>
          <w:i/>
          <w:iCs/>
          <w:sz w:val="20"/>
          <w:szCs w:val="20"/>
        </w:rPr>
        <w:t>Aspects of Power and Authority in the Middle Ages</w:t>
      </w:r>
      <w:r w:rsidRPr="00541560">
        <w:rPr>
          <w:sz w:val="20"/>
          <w:szCs w:val="20"/>
        </w:rPr>
        <w:t xml:space="preserve"> (</w:t>
      </w:r>
      <w:proofErr w:type="spellStart"/>
      <w:r w:rsidRPr="00541560">
        <w:rPr>
          <w:sz w:val="20"/>
          <w:szCs w:val="20"/>
        </w:rPr>
        <w:t>Turnhout</w:t>
      </w:r>
      <w:proofErr w:type="spellEnd"/>
      <w:r w:rsidRPr="00541560">
        <w:rPr>
          <w:sz w:val="20"/>
          <w:szCs w:val="20"/>
        </w:rPr>
        <w:t xml:space="preserve">, 2007), 277-88. That charters needed to be validated by a court is in any case explicitly required by one of Charles the Fat’s Ravenna constitutions: </w:t>
      </w:r>
      <w:r w:rsidRPr="00541560">
        <w:rPr>
          <w:i/>
          <w:sz w:val="20"/>
          <w:szCs w:val="20"/>
          <w:lang w:val="en-GB"/>
        </w:rPr>
        <w:t xml:space="preserve">Die </w:t>
      </w:r>
      <w:proofErr w:type="spellStart"/>
      <w:r w:rsidRPr="00541560">
        <w:rPr>
          <w:i/>
          <w:sz w:val="20"/>
          <w:szCs w:val="20"/>
          <w:lang w:val="en-GB"/>
        </w:rPr>
        <w:t>Urkunden</w:t>
      </w:r>
      <w:proofErr w:type="spellEnd"/>
      <w:r w:rsidRPr="00541560">
        <w:rPr>
          <w:i/>
          <w:sz w:val="20"/>
          <w:szCs w:val="20"/>
          <w:lang w:val="en-GB"/>
        </w:rPr>
        <w:t xml:space="preserve"> der </w:t>
      </w:r>
      <w:proofErr w:type="spellStart"/>
      <w:r w:rsidRPr="00541560">
        <w:rPr>
          <w:i/>
          <w:sz w:val="20"/>
          <w:szCs w:val="20"/>
          <w:lang w:val="en-GB"/>
        </w:rPr>
        <w:t>deutschen</w:t>
      </w:r>
      <w:proofErr w:type="spellEnd"/>
      <w:r w:rsidRPr="00541560">
        <w:rPr>
          <w:i/>
          <w:sz w:val="20"/>
          <w:szCs w:val="20"/>
          <w:lang w:val="en-GB"/>
        </w:rPr>
        <w:t xml:space="preserve"> </w:t>
      </w:r>
      <w:proofErr w:type="spellStart"/>
      <w:r w:rsidRPr="00541560">
        <w:rPr>
          <w:i/>
          <w:sz w:val="20"/>
          <w:szCs w:val="20"/>
          <w:lang w:val="en-GB"/>
        </w:rPr>
        <w:t>Karolinger</w:t>
      </w:r>
      <w:proofErr w:type="spellEnd"/>
      <w:r w:rsidRPr="00541560">
        <w:rPr>
          <w:sz w:val="20"/>
          <w:szCs w:val="20"/>
          <w:lang w:val="en-GB"/>
        </w:rPr>
        <w:t xml:space="preserve">, II: </w:t>
      </w:r>
      <w:r w:rsidRPr="00541560">
        <w:rPr>
          <w:i/>
          <w:sz w:val="20"/>
          <w:szCs w:val="20"/>
          <w:lang w:val="en-GB"/>
        </w:rPr>
        <w:t xml:space="preserve">Die </w:t>
      </w:r>
      <w:proofErr w:type="spellStart"/>
      <w:r w:rsidRPr="00541560">
        <w:rPr>
          <w:i/>
          <w:sz w:val="20"/>
          <w:szCs w:val="20"/>
          <w:lang w:val="en-GB"/>
        </w:rPr>
        <w:t>Urkunden</w:t>
      </w:r>
      <w:proofErr w:type="spellEnd"/>
      <w:r w:rsidRPr="00541560">
        <w:rPr>
          <w:i/>
          <w:sz w:val="20"/>
          <w:szCs w:val="20"/>
          <w:lang w:val="en-GB"/>
        </w:rPr>
        <w:t xml:space="preserve"> </w:t>
      </w:r>
      <w:proofErr w:type="spellStart"/>
      <w:r w:rsidRPr="00541560">
        <w:rPr>
          <w:i/>
          <w:sz w:val="20"/>
          <w:szCs w:val="20"/>
          <w:lang w:val="en-GB"/>
        </w:rPr>
        <w:t>Karls</w:t>
      </w:r>
      <w:proofErr w:type="spellEnd"/>
      <w:r w:rsidRPr="00541560">
        <w:rPr>
          <w:i/>
          <w:sz w:val="20"/>
          <w:szCs w:val="20"/>
          <w:lang w:val="en-GB"/>
        </w:rPr>
        <w:t xml:space="preserve"> III.</w:t>
      </w:r>
      <w:r w:rsidRPr="00541560">
        <w:rPr>
          <w:sz w:val="20"/>
          <w:szCs w:val="20"/>
          <w:lang w:val="en-GB"/>
        </w:rPr>
        <w:t xml:space="preserve">, ed. Paul </w:t>
      </w:r>
      <w:proofErr w:type="spellStart"/>
      <w:r w:rsidRPr="00541560">
        <w:rPr>
          <w:sz w:val="20"/>
          <w:szCs w:val="20"/>
          <w:lang w:val="en-GB"/>
        </w:rPr>
        <w:t>Kehr</w:t>
      </w:r>
      <w:proofErr w:type="spellEnd"/>
      <w:r w:rsidRPr="00541560">
        <w:rPr>
          <w:sz w:val="20"/>
          <w:szCs w:val="20"/>
          <w:lang w:val="en-GB"/>
        </w:rPr>
        <w:t xml:space="preserve"> (</w:t>
      </w:r>
      <w:proofErr w:type="spellStart"/>
      <w:r w:rsidRPr="00541560">
        <w:rPr>
          <w:sz w:val="20"/>
          <w:szCs w:val="20"/>
          <w:lang w:val="en-GB"/>
        </w:rPr>
        <w:t>Monumenta</w:t>
      </w:r>
      <w:proofErr w:type="spellEnd"/>
      <w:r w:rsidRPr="00541560">
        <w:rPr>
          <w:sz w:val="20"/>
          <w:szCs w:val="20"/>
          <w:lang w:val="en-GB"/>
        </w:rPr>
        <w:t xml:space="preserve"> </w:t>
      </w:r>
      <w:proofErr w:type="spellStart"/>
      <w:r w:rsidRPr="00541560">
        <w:rPr>
          <w:sz w:val="20"/>
          <w:szCs w:val="20"/>
          <w:lang w:val="en-GB"/>
        </w:rPr>
        <w:t>Germaniae</w:t>
      </w:r>
      <w:proofErr w:type="spellEnd"/>
      <w:r w:rsidRPr="00541560">
        <w:rPr>
          <w:sz w:val="20"/>
          <w:szCs w:val="20"/>
          <w:lang w:val="en-GB"/>
        </w:rPr>
        <w:t xml:space="preserve"> </w:t>
      </w:r>
      <w:proofErr w:type="spellStart"/>
      <w:r w:rsidRPr="00541560">
        <w:rPr>
          <w:sz w:val="20"/>
          <w:szCs w:val="20"/>
          <w:lang w:val="en-GB"/>
        </w:rPr>
        <w:t>Historica</w:t>
      </w:r>
      <w:proofErr w:type="spellEnd"/>
      <w:r w:rsidRPr="00541560">
        <w:rPr>
          <w:sz w:val="20"/>
          <w:szCs w:val="20"/>
          <w:lang w:val="en-GB"/>
        </w:rPr>
        <w:t xml:space="preserve">, </w:t>
      </w:r>
      <w:proofErr w:type="spellStart"/>
      <w:r w:rsidRPr="00541560">
        <w:rPr>
          <w:sz w:val="20"/>
          <w:szCs w:val="20"/>
          <w:lang w:val="en-GB"/>
        </w:rPr>
        <w:t>Diplomata</w:t>
      </w:r>
      <w:proofErr w:type="spellEnd"/>
      <w:r w:rsidRPr="00541560">
        <w:rPr>
          <w:sz w:val="20"/>
          <w:szCs w:val="20"/>
          <w:lang w:val="en-GB"/>
        </w:rPr>
        <w:t xml:space="preserve">, Berlin, 1937), </w:t>
      </w:r>
      <w:r w:rsidRPr="00541560">
        <w:rPr>
          <w:sz w:val="20"/>
          <w:szCs w:val="20"/>
        </w:rPr>
        <w:t xml:space="preserve">no. 49, on which see further </w:t>
      </w:r>
      <w:r>
        <w:rPr>
          <w:sz w:val="20"/>
          <w:szCs w:val="20"/>
        </w:rPr>
        <w:t>Simon</w:t>
      </w:r>
      <w:r w:rsidRPr="00541560">
        <w:rPr>
          <w:sz w:val="20"/>
          <w:szCs w:val="20"/>
        </w:rPr>
        <w:t xml:space="preserve"> MacLean, </w:t>
      </w:r>
      <w:r w:rsidRPr="00541560">
        <w:rPr>
          <w:rFonts w:eastAsia="Times New Roman"/>
          <w:sz w:val="20"/>
          <w:szCs w:val="20"/>
        </w:rPr>
        <w:t xml:space="preserve">‘Legislation and Politics in Late Carolingian Italy: the Ravenna Constitutions’, </w:t>
      </w:r>
      <w:r w:rsidRPr="00541560">
        <w:rPr>
          <w:rStyle w:val="Emphasis"/>
          <w:rFonts w:eastAsia="Times New Roman"/>
          <w:sz w:val="20"/>
          <w:szCs w:val="20"/>
        </w:rPr>
        <w:t>Early Medieval Europe</w:t>
      </w:r>
      <w:r>
        <w:rPr>
          <w:rStyle w:val="Emphasis"/>
          <w:rFonts w:eastAsia="Times New Roman"/>
          <w:i w:val="0"/>
          <w:sz w:val="20"/>
          <w:szCs w:val="20"/>
        </w:rPr>
        <w:t>, xviii</w:t>
      </w:r>
      <w:r w:rsidRPr="00541560">
        <w:rPr>
          <w:rFonts w:eastAsia="Times New Roman"/>
          <w:sz w:val="20"/>
          <w:szCs w:val="20"/>
        </w:rPr>
        <w:t xml:space="preserve"> (2010), 394-416</w:t>
      </w:r>
      <w:r w:rsidRPr="00541560">
        <w:rPr>
          <w:sz w:val="20"/>
          <w:szCs w:val="20"/>
        </w:rPr>
        <w:t xml:space="preserve">.  And </w:t>
      </w:r>
      <w:proofErr w:type="spellStart"/>
      <w:r w:rsidRPr="00541560">
        <w:rPr>
          <w:sz w:val="20"/>
          <w:szCs w:val="20"/>
        </w:rPr>
        <w:t>Reinhard</w:t>
      </w:r>
      <w:proofErr w:type="spellEnd"/>
      <w:r w:rsidRPr="00541560">
        <w:rPr>
          <w:sz w:val="20"/>
          <w:szCs w:val="20"/>
        </w:rPr>
        <w:t xml:space="preserve"> </w:t>
      </w:r>
      <w:proofErr w:type="spellStart"/>
      <w:r w:rsidRPr="00541560">
        <w:rPr>
          <w:sz w:val="20"/>
          <w:szCs w:val="20"/>
        </w:rPr>
        <w:t>Härtel</w:t>
      </w:r>
      <w:proofErr w:type="spellEnd"/>
      <w:r w:rsidRPr="00541560">
        <w:rPr>
          <w:sz w:val="20"/>
          <w:szCs w:val="20"/>
        </w:rPr>
        <w:t xml:space="preserve"> has argued that law court notices were written as much with an eye on possible future claims as with the intentio</w:t>
      </w:r>
      <w:r>
        <w:rPr>
          <w:sz w:val="20"/>
          <w:szCs w:val="20"/>
        </w:rPr>
        <w:t xml:space="preserve">n of settling existing ones: </w:t>
      </w:r>
      <w:r w:rsidR="009B230A">
        <w:rPr>
          <w:sz w:val="20"/>
          <w:szCs w:val="20"/>
        </w:rPr>
        <w:t xml:space="preserve">R. </w:t>
      </w:r>
      <w:proofErr w:type="spellStart"/>
      <w:r w:rsidRPr="00541560">
        <w:rPr>
          <w:sz w:val="20"/>
          <w:szCs w:val="20"/>
        </w:rPr>
        <w:t>Härtel</w:t>
      </w:r>
      <w:proofErr w:type="spellEnd"/>
      <w:r w:rsidRPr="00541560">
        <w:rPr>
          <w:sz w:val="20"/>
          <w:szCs w:val="20"/>
        </w:rPr>
        <w:t>, ‘</w:t>
      </w:r>
      <w:proofErr w:type="spellStart"/>
      <w:r w:rsidRPr="00541560">
        <w:rPr>
          <w:sz w:val="20"/>
          <w:szCs w:val="20"/>
        </w:rPr>
        <w:t>Procedura</w:t>
      </w:r>
      <w:proofErr w:type="spellEnd"/>
      <w:r w:rsidRPr="00541560">
        <w:rPr>
          <w:sz w:val="20"/>
          <w:szCs w:val="20"/>
        </w:rPr>
        <w:t xml:space="preserve"> </w:t>
      </w:r>
      <w:proofErr w:type="spellStart"/>
      <w:r w:rsidRPr="00541560">
        <w:rPr>
          <w:sz w:val="20"/>
          <w:szCs w:val="20"/>
        </w:rPr>
        <w:t>orale</w:t>
      </w:r>
      <w:proofErr w:type="spellEnd"/>
      <w:r w:rsidRPr="00541560">
        <w:rPr>
          <w:sz w:val="20"/>
          <w:szCs w:val="20"/>
        </w:rPr>
        <w:t xml:space="preserve"> e </w:t>
      </w:r>
      <w:proofErr w:type="spellStart"/>
      <w:r w:rsidRPr="00541560">
        <w:rPr>
          <w:sz w:val="20"/>
          <w:szCs w:val="20"/>
        </w:rPr>
        <w:t>documentazione</w:t>
      </w:r>
      <w:proofErr w:type="spellEnd"/>
      <w:r w:rsidRPr="00541560">
        <w:rPr>
          <w:sz w:val="20"/>
          <w:szCs w:val="20"/>
        </w:rPr>
        <w:t xml:space="preserve"> </w:t>
      </w:r>
      <w:proofErr w:type="spellStart"/>
      <w:r w:rsidRPr="00541560">
        <w:rPr>
          <w:sz w:val="20"/>
          <w:szCs w:val="20"/>
        </w:rPr>
        <w:t>scritta</w:t>
      </w:r>
      <w:proofErr w:type="spellEnd"/>
      <w:r w:rsidRPr="00541560">
        <w:rPr>
          <w:sz w:val="20"/>
          <w:szCs w:val="20"/>
        </w:rPr>
        <w:t xml:space="preserve"> </w:t>
      </w:r>
      <w:proofErr w:type="spellStart"/>
      <w:r w:rsidRPr="00541560">
        <w:rPr>
          <w:sz w:val="20"/>
          <w:szCs w:val="20"/>
        </w:rPr>
        <w:t>nel</w:t>
      </w:r>
      <w:proofErr w:type="spellEnd"/>
      <w:r w:rsidRPr="00541560">
        <w:rPr>
          <w:sz w:val="20"/>
          <w:szCs w:val="20"/>
        </w:rPr>
        <w:t xml:space="preserve"> </w:t>
      </w:r>
      <w:proofErr w:type="spellStart"/>
      <w:r w:rsidRPr="00541560">
        <w:rPr>
          <w:sz w:val="20"/>
          <w:szCs w:val="20"/>
        </w:rPr>
        <w:t>placito</w:t>
      </w:r>
      <w:proofErr w:type="spellEnd"/>
      <w:r w:rsidRPr="00541560">
        <w:rPr>
          <w:sz w:val="20"/>
          <w:szCs w:val="20"/>
        </w:rPr>
        <w:t xml:space="preserve"> di </w:t>
      </w:r>
      <w:proofErr w:type="spellStart"/>
      <w:r w:rsidRPr="00541560">
        <w:rPr>
          <w:sz w:val="20"/>
          <w:szCs w:val="20"/>
        </w:rPr>
        <w:t>risano</w:t>
      </w:r>
      <w:proofErr w:type="spellEnd"/>
      <w:r w:rsidRPr="00541560">
        <w:rPr>
          <w:sz w:val="20"/>
          <w:szCs w:val="20"/>
        </w:rPr>
        <w:t xml:space="preserve"> e in </w:t>
      </w:r>
      <w:proofErr w:type="spellStart"/>
      <w:r w:rsidRPr="00541560">
        <w:rPr>
          <w:sz w:val="20"/>
          <w:szCs w:val="20"/>
        </w:rPr>
        <w:t>altri</w:t>
      </w:r>
      <w:proofErr w:type="spellEnd"/>
      <w:r w:rsidRPr="00541560">
        <w:rPr>
          <w:sz w:val="20"/>
          <w:szCs w:val="20"/>
        </w:rPr>
        <w:t xml:space="preserve"> </w:t>
      </w:r>
      <w:proofErr w:type="spellStart"/>
      <w:r w:rsidRPr="00541560">
        <w:rPr>
          <w:sz w:val="20"/>
          <w:szCs w:val="20"/>
        </w:rPr>
        <w:t>documenti</w:t>
      </w:r>
      <w:proofErr w:type="spellEnd"/>
      <w:r w:rsidRPr="00541560">
        <w:rPr>
          <w:sz w:val="20"/>
          <w:szCs w:val="20"/>
        </w:rPr>
        <w:t xml:space="preserve"> </w:t>
      </w:r>
      <w:proofErr w:type="spellStart"/>
      <w:r w:rsidRPr="00541560">
        <w:rPr>
          <w:sz w:val="20"/>
          <w:szCs w:val="20"/>
        </w:rPr>
        <w:t>giudiziari</w:t>
      </w:r>
      <w:proofErr w:type="spellEnd"/>
      <w:r w:rsidRPr="00541560">
        <w:rPr>
          <w:sz w:val="20"/>
          <w:szCs w:val="20"/>
        </w:rPr>
        <w:t xml:space="preserve"> </w:t>
      </w:r>
      <w:proofErr w:type="spellStart"/>
      <w:r w:rsidRPr="00541560">
        <w:rPr>
          <w:sz w:val="20"/>
          <w:szCs w:val="20"/>
        </w:rPr>
        <w:t>fra</w:t>
      </w:r>
      <w:proofErr w:type="spellEnd"/>
      <w:r w:rsidRPr="00541560">
        <w:rPr>
          <w:sz w:val="20"/>
          <w:szCs w:val="20"/>
        </w:rPr>
        <w:t xml:space="preserve"> </w:t>
      </w:r>
      <w:proofErr w:type="spellStart"/>
      <w:r w:rsidRPr="00541560">
        <w:rPr>
          <w:sz w:val="20"/>
          <w:szCs w:val="20"/>
        </w:rPr>
        <w:t>danubio</w:t>
      </w:r>
      <w:proofErr w:type="spellEnd"/>
      <w:r w:rsidRPr="00541560">
        <w:rPr>
          <w:sz w:val="20"/>
          <w:szCs w:val="20"/>
        </w:rPr>
        <w:t xml:space="preserve"> e mare </w:t>
      </w:r>
      <w:proofErr w:type="spellStart"/>
      <w:r w:rsidRPr="00541560">
        <w:rPr>
          <w:sz w:val="20"/>
          <w:szCs w:val="20"/>
        </w:rPr>
        <w:t>adriatico</w:t>
      </w:r>
      <w:proofErr w:type="spellEnd"/>
      <w:r w:rsidRPr="00541560">
        <w:rPr>
          <w:sz w:val="20"/>
          <w:szCs w:val="20"/>
        </w:rPr>
        <w:t xml:space="preserve">’, </w:t>
      </w:r>
      <w:proofErr w:type="spellStart"/>
      <w:r w:rsidRPr="00541560">
        <w:rPr>
          <w:i/>
          <w:sz w:val="20"/>
          <w:szCs w:val="20"/>
        </w:rPr>
        <w:t>Acta</w:t>
      </w:r>
      <w:proofErr w:type="spellEnd"/>
      <w:r w:rsidRPr="00541560">
        <w:rPr>
          <w:i/>
          <w:sz w:val="20"/>
          <w:szCs w:val="20"/>
        </w:rPr>
        <w:t xml:space="preserve"> </w:t>
      </w:r>
      <w:proofErr w:type="spellStart"/>
      <w:r w:rsidRPr="00541560">
        <w:rPr>
          <w:i/>
          <w:sz w:val="20"/>
          <w:szCs w:val="20"/>
        </w:rPr>
        <w:t>Histriae</w:t>
      </w:r>
      <w:proofErr w:type="spellEnd"/>
      <w:r>
        <w:rPr>
          <w:sz w:val="20"/>
          <w:szCs w:val="20"/>
        </w:rPr>
        <w:t>, xiii (2005),</w:t>
      </w:r>
      <w:r w:rsidRPr="00541560">
        <w:rPr>
          <w:sz w:val="20"/>
          <w:szCs w:val="20"/>
        </w:rPr>
        <w:t xml:space="preserve"> 17-59.</w:t>
      </w:r>
    </w:p>
  </w:footnote>
  <w:footnote w:id="10">
    <w:p w14:paraId="3ADD895C" w14:textId="750AB4D5"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I am here mostly following </w:t>
      </w:r>
      <w:proofErr w:type="spellStart"/>
      <w:r w:rsidRPr="00541560">
        <w:rPr>
          <w:szCs w:val="20"/>
        </w:rPr>
        <w:t>Bougard</w:t>
      </w:r>
      <w:proofErr w:type="spellEnd"/>
      <w:r w:rsidRPr="00541560">
        <w:rPr>
          <w:szCs w:val="20"/>
        </w:rPr>
        <w:t xml:space="preserve">, </w:t>
      </w:r>
      <w:r w:rsidRPr="00541560">
        <w:rPr>
          <w:i/>
          <w:iCs/>
          <w:szCs w:val="20"/>
        </w:rPr>
        <w:t>La justice</w:t>
      </w:r>
      <w:r>
        <w:rPr>
          <w:szCs w:val="20"/>
        </w:rPr>
        <w:t>, 323-9, and in part Giovanna</w:t>
      </w:r>
      <w:r w:rsidRPr="00541560">
        <w:rPr>
          <w:szCs w:val="20"/>
        </w:rPr>
        <w:t xml:space="preserve"> </w:t>
      </w:r>
      <w:proofErr w:type="spellStart"/>
      <w:r w:rsidRPr="00541560">
        <w:rPr>
          <w:szCs w:val="20"/>
        </w:rPr>
        <w:t>Nicolaj</w:t>
      </w:r>
      <w:proofErr w:type="spellEnd"/>
      <w:r w:rsidRPr="00541560">
        <w:rPr>
          <w:szCs w:val="20"/>
        </w:rPr>
        <w:t>, ‘</w:t>
      </w:r>
      <w:proofErr w:type="spellStart"/>
      <w:r w:rsidRPr="00541560">
        <w:rPr>
          <w:szCs w:val="20"/>
        </w:rPr>
        <w:t>Formulari</w:t>
      </w:r>
      <w:proofErr w:type="spellEnd"/>
      <w:r w:rsidRPr="00541560">
        <w:rPr>
          <w:szCs w:val="20"/>
        </w:rPr>
        <w:t xml:space="preserve"> e </w:t>
      </w:r>
      <w:proofErr w:type="spellStart"/>
      <w:r w:rsidRPr="00541560">
        <w:rPr>
          <w:szCs w:val="20"/>
        </w:rPr>
        <w:t>nuovo</w:t>
      </w:r>
      <w:proofErr w:type="spellEnd"/>
      <w:r w:rsidRPr="00541560">
        <w:rPr>
          <w:szCs w:val="20"/>
        </w:rPr>
        <w:t xml:space="preserve"> </w:t>
      </w:r>
      <w:proofErr w:type="spellStart"/>
      <w:r w:rsidRPr="00541560">
        <w:rPr>
          <w:szCs w:val="20"/>
        </w:rPr>
        <w:t>formalismo</w:t>
      </w:r>
      <w:proofErr w:type="spellEnd"/>
      <w:r w:rsidRPr="00541560">
        <w:rPr>
          <w:szCs w:val="20"/>
        </w:rPr>
        <w:t xml:space="preserve"> </w:t>
      </w:r>
      <w:proofErr w:type="spellStart"/>
      <w:r w:rsidRPr="00541560">
        <w:rPr>
          <w:szCs w:val="20"/>
        </w:rPr>
        <w:t>nei</w:t>
      </w:r>
      <w:proofErr w:type="spellEnd"/>
      <w:r w:rsidRPr="00541560">
        <w:rPr>
          <w:szCs w:val="20"/>
        </w:rPr>
        <w:t xml:space="preserve"> </w:t>
      </w:r>
      <w:proofErr w:type="spellStart"/>
      <w:r w:rsidRPr="00541560">
        <w:rPr>
          <w:szCs w:val="20"/>
        </w:rPr>
        <w:t>processi</w:t>
      </w:r>
      <w:proofErr w:type="spellEnd"/>
      <w:r w:rsidRPr="00541560">
        <w:rPr>
          <w:szCs w:val="20"/>
        </w:rPr>
        <w:t xml:space="preserve"> del </w:t>
      </w:r>
      <w:r w:rsidRPr="00541560">
        <w:rPr>
          <w:i/>
          <w:iCs/>
          <w:szCs w:val="20"/>
        </w:rPr>
        <w:t xml:space="preserve">Regnum </w:t>
      </w:r>
      <w:proofErr w:type="spellStart"/>
      <w:r w:rsidRPr="00541560">
        <w:rPr>
          <w:i/>
          <w:iCs/>
          <w:szCs w:val="20"/>
        </w:rPr>
        <w:t>Italiae</w:t>
      </w:r>
      <w:proofErr w:type="spellEnd"/>
      <w:r w:rsidRPr="00541560">
        <w:rPr>
          <w:szCs w:val="20"/>
        </w:rPr>
        <w:t xml:space="preserve">’ in </w:t>
      </w:r>
      <w:r w:rsidRPr="00541560">
        <w:rPr>
          <w:i/>
          <w:iCs/>
          <w:szCs w:val="20"/>
        </w:rPr>
        <w:t xml:space="preserve">La </w:t>
      </w:r>
      <w:proofErr w:type="spellStart"/>
      <w:r w:rsidRPr="00541560">
        <w:rPr>
          <w:i/>
          <w:iCs/>
          <w:szCs w:val="20"/>
        </w:rPr>
        <w:t>giustizia</w:t>
      </w:r>
      <w:proofErr w:type="spellEnd"/>
      <w:r w:rsidRPr="00541560">
        <w:rPr>
          <w:i/>
          <w:iCs/>
          <w:szCs w:val="20"/>
        </w:rPr>
        <w:t xml:space="preserve"> </w:t>
      </w:r>
      <w:proofErr w:type="spellStart"/>
      <w:r w:rsidRPr="00541560">
        <w:rPr>
          <w:i/>
          <w:iCs/>
          <w:szCs w:val="20"/>
        </w:rPr>
        <w:t>nell’alto</w:t>
      </w:r>
      <w:proofErr w:type="spellEnd"/>
      <w:r w:rsidRPr="00541560">
        <w:rPr>
          <w:i/>
          <w:iCs/>
          <w:szCs w:val="20"/>
        </w:rPr>
        <w:t xml:space="preserve"> </w:t>
      </w:r>
      <w:proofErr w:type="spellStart"/>
      <w:r w:rsidRPr="00541560">
        <w:rPr>
          <w:i/>
          <w:iCs/>
          <w:szCs w:val="20"/>
        </w:rPr>
        <w:t>medioevo</w:t>
      </w:r>
      <w:proofErr w:type="spellEnd"/>
      <w:r>
        <w:rPr>
          <w:iCs/>
          <w:szCs w:val="20"/>
        </w:rPr>
        <w:t xml:space="preserve">, </w:t>
      </w:r>
      <w:r w:rsidRPr="00541560">
        <w:rPr>
          <w:szCs w:val="20"/>
        </w:rPr>
        <w:t xml:space="preserve">347-379, </w:t>
      </w:r>
      <w:r>
        <w:rPr>
          <w:szCs w:val="20"/>
        </w:rPr>
        <w:t>esp.</w:t>
      </w:r>
      <w:r w:rsidRPr="00541560">
        <w:rPr>
          <w:szCs w:val="20"/>
        </w:rPr>
        <w:t xml:space="preserve"> 357-8, though without sharing all of the assumptions there about the relationship between surviving notices and legal reality.  </w:t>
      </w:r>
    </w:p>
  </w:footnote>
  <w:footnote w:id="11">
    <w:p w14:paraId="5FEB6EC7" w14:textId="604A666F" w:rsidR="00F23E2A" w:rsidRPr="00541560" w:rsidRDefault="00F23E2A" w:rsidP="004B02E6">
      <w:pPr>
        <w:pStyle w:val="FootnoteText"/>
        <w:rPr>
          <w:szCs w:val="20"/>
        </w:rPr>
      </w:pPr>
      <w:r w:rsidRPr="00541560">
        <w:rPr>
          <w:rStyle w:val="FootnoteReference"/>
          <w:szCs w:val="20"/>
        </w:rPr>
        <w:footnoteRef/>
      </w:r>
      <w:r>
        <w:rPr>
          <w:szCs w:val="20"/>
        </w:rPr>
        <w:t xml:space="preserve"> Wickham, ‘</w:t>
      </w:r>
      <w:r w:rsidRPr="00541560">
        <w:rPr>
          <w:szCs w:val="20"/>
        </w:rPr>
        <w:t>“Feudal Revolution”</w:t>
      </w:r>
      <w:r>
        <w:rPr>
          <w:szCs w:val="20"/>
        </w:rPr>
        <w:t xml:space="preserve"> and the Origins</w:t>
      </w:r>
      <w:r w:rsidRPr="00541560">
        <w:rPr>
          <w:szCs w:val="20"/>
        </w:rPr>
        <w:t xml:space="preserve">’, 32-3; West, </w:t>
      </w:r>
      <w:r w:rsidRPr="00541560">
        <w:rPr>
          <w:i/>
          <w:szCs w:val="20"/>
        </w:rPr>
        <w:t>Reframing the Feudal Revolution</w:t>
      </w:r>
      <w:r w:rsidRPr="00541560">
        <w:rPr>
          <w:szCs w:val="20"/>
        </w:rPr>
        <w:t>, esp. 259-63.</w:t>
      </w:r>
    </w:p>
  </w:footnote>
  <w:footnote w:id="12">
    <w:p w14:paraId="1C188FE0" w14:textId="70452D86"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For the loss of part of an arch</w:t>
      </w:r>
      <w:r>
        <w:rPr>
          <w:szCs w:val="20"/>
        </w:rPr>
        <w:t xml:space="preserve">ive in more modern times, see Antonio </w:t>
      </w:r>
      <w:proofErr w:type="spellStart"/>
      <w:r>
        <w:rPr>
          <w:szCs w:val="20"/>
        </w:rPr>
        <w:t>Montefusco</w:t>
      </w:r>
      <w:proofErr w:type="spellEnd"/>
      <w:r>
        <w:rPr>
          <w:szCs w:val="20"/>
        </w:rPr>
        <w:t xml:space="preserve">, ‘“Secondo: non </w:t>
      </w:r>
      <w:proofErr w:type="spellStart"/>
      <w:r>
        <w:rPr>
          <w:szCs w:val="20"/>
        </w:rPr>
        <w:t>conservare</w:t>
      </w:r>
      <w:proofErr w:type="spellEnd"/>
      <w:r>
        <w:rPr>
          <w:szCs w:val="20"/>
        </w:rPr>
        <w:t xml:space="preserve">.” </w:t>
      </w:r>
      <w:r w:rsidRPr="00541560">
        <w:rPr>
          <w:szCs w:val="20"/>
        </w:rPr>
        <w:t xml:space="preserve">Per </w:t>
      </w:r>
      <w:proofErr w:type="spellStart"/>
      <w:r w:rsidRPr="00541560">
        <w:rPr>
          <w:szCs w:val="20"/>
        </w:rPr>
        <w:t>una</w:t>
      </w:r>
      <w:proofErr w:type="spellEnd"/>
      <w:r w:rsidRPr="00541560">
        <w:rPr>
          <w:szCs w:val="20"/>
        </w:rPr>
        <w:t xml:space="preserve"> </w:t>
      </w:r>
      <w:proofErr w:type="spellStart"/>
      <w:r w:rsidRPr="00541560">
        <w:rPr>
          <w:szCs w:val="20"/>
        </w:rPr>
        <w:t>ricostruzione</w:t>
      </w:r>
      <w:proofErr w:type="spellEnd"/>
      <w:r w:rsidRPr="00541560">
        <w:rPr>
          <w:szCs w:val="20"/>
        </w:rPr>
        <w:t xml:space="preserve"> </w:t>
      </w:r>
      <w:proofErr w:type="spellStart"/>
      <w:r w:rsidRPr="00541560">
        <w:rPr>
          <w:szCs w:val="20"/>
        </w:rPr>
        <w:t>dell’archivio</w:t>
      </w:r>
      <w:proofErr w:type="spellEnd"/>
      <w:r w:rsidRPr="00541560">
        <w:rPr>
          <w:szCs w:val="20"/>
        </w:rPr>
        <w:t xml:space="preserve"> </w:t>
      </w:r>
      <w:proofErr w:type="gramStart"/>
      <w:r w:rsidRPr="00541560">
        <w:rPr>
          <w:szCs w:val="20"/>
        </w:rPr>
        <w:t>del</w:t>
      </w:r>
      <w:proofErr w:type="gramEnd"/>
      <w:r w:rsidRPr="00541560">
        <w:rPr>
          <w:szCs w:val="20"/>
        </w:rPr>
        <w:t xml:space="preserve"> </w:t>
      </w:r>
      <w:proofErr w:type="spellStart"/>
      <w:r w:rsidRPr="00541560">
        <w:rPr>
          <w:szCs w:val="20"/>
        </w:rPr>
        <w:t>monastero</w:t>
      </w:r>
      <w:proofErr w:type="spellEnd"/>
      <w:r w:rsidRPr="00541560">
        <w:rPr>
          <w:szCs w:val="20"/>
        </w:rPr>
        <w:t xml:space="preserve"> di San Silvestro in </w:t>
      </w:r>
      <w:proofErr w:type="spellStart"/>
      <w:r w:rsidRPr="00541560">
        <w:rPr>
          <w:szCs w:val="20"/>
        </w:rPr>
        <w:t>Capite</w:t>
      </w:r>
      <w:proofErr w:type="spellEnd"/>
      <w:r w:rsidRPr="00541560">
        <w:rPr>
          <w:szCs w:val="20"/>
        </w:rPr>
        <w:t xml:space="preserve"> a Roma’, </w:t>
      </w:r>
      <w:proofErr w:type="spellStart"/>
      <w:r w:rsidRPr="00541560">
        <w:rPr>
          <w:i/>
          <w:szCs w:val="20"/>
        </w:rPr>
        <w:t>A</w:t>
      </w:r>
      <w:r>
        <w:rPr>
          <w:i/>
          <w:szCs w:val="20"/>
        </w:rPr>
        <w:t>rchivio</w:t>
      </w:r>
      <w:proofErr w:type="spellEnd"/>
      <w:r>
        <w:rPr>
          <w:i/>
          <w:szCs w:val="20"/>
        </w:rPr>
        <w:t xml:space="preserve"> </w:t>
      </w:r>
      <w:proofErr w:type="spellStart"/>
      <w:r>
        <w:rPr>
          <w:i/>
          <w:szCs w:val="20"/>
        </w:rPr>
        <w:t>della</w:t>
      </w:r>
      <w:proofErr w:type="spellEnd"/>
      <w:r>
        <w:rPr>
          <w:i/>
          <w:szCs w:val="20"/>
        </w:rPr>
        <w:t xml:space="preserve"> </w:t>
      </w:r>
      <w:proofErr w:type="spellStart"/>
      <w:r w:rsidRPr="00541560">
        <w:rPr>
          <w:i/>
          <w:szCs w:val="20"/>
        </w:rPr>
        <w:t>S</w:t>
      </w:r>
      <w:r>
        <w:rPr>
          <w:i/>
          <w:szCs w:val="20"/>
        </w:rPr>
        <w:t>ocietà</w:t>
      </w:r>
      <w:proofErr w:type="spellEnd"/>
      <w:r>
        <w:rPr>
          <w:i/>
          <w:szCs w:val="20"/>
        </w:rPr>
        <w:t xml:space="preserve"> </w:t>
      </w:r>
      <w:proofErr w:type="spellStart"/>
      <w:r w:rsidRPr="00541560">
        <w:rPr>
          <w:i/>
          <w:szCs w:val="20"/>
        </w:rPr>
        <w:t>R</w:t>
      </w:r>
      <w:r>
        <w:rPr>
          <w:i/>
          <w:szCs w:val="20"/>
        </w:rPr>
        <w:t>omana</w:t>
      </w:r>
      <w:proofErr w:type="spellEnd"/>
      <w:r>
        <w:rPr>
          <w:i/>
          <w:szCs w:val="20"/>
        </w:rPr>
        <w:t xml:space="preserve"> di </w:t>
      </w:r>
      <w:proofErr w:type="spellStart"/>
      <w:r w:rsidRPr="00541560">
        <w:rPr>
          <w:i/>
          <w:szCs w:val="20"/>
        </w:rPr>
        <w:t>S</w:t>
      </w:r>
      <w:r>
        <w:rPr>
          <w:i/>
          <w:szCs w:val="20"/>
        </w:rPr>
        <w:t>toria</w:t>
      </w:r>
      <w:proofErr w:type="spellEnd"/>
      <w:r>
        <w:rPr>
          <w:i/>
          <w:szCs w:val="20"/>
        </w:rPr>
        <w:t xml:space="preserve"> </w:t>
      </w:r>
      <w:r w:rsidRPr="00541560">
        <w:rPr>
          <w:i/>
          <w:szCs w:val="20"/>
        </w:rPr>
        <w:t>P</w:t>
      </w:r>
      <w:r>
        <w:rPr>
          <w:i/>
          <w:szCs w:val="20"/>
        </w:rPr>
        <w:t>atria</w:t>
      </w:r>
      <w:r>
        <w:rPr>
          <w:szCs w:val="20"/>
        </w:rPr>
        <w:t>, cxxxv</w:t>
      </w:r>
      <w:r w:rsidRPr="00541560">
        <w:rPr>
          <w:szCs w:val="20"/>
        </w:rPr>
        <w:t xml:space="preserve"> (2012), 5-29</w:t>
      </w:r>
      <w:r>
        <w:rPr>
          <w:szCs w:val="20"/>
        </w:rPr>
        <w:t>.</w:t>
      </w:r>
    </w:p>
  </w:footnote>
  <w:footnote w:id="13">
    <w:p w14:paraId="6605B8C2" w14:textId="392E4989"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Now in the </w:t>
      </w:r>
      <w:proofErr w:type="spellStart"/>
      <w:r w:rsidRPr="00541560">
        <w:rPr>
          <w:szCs w:val="20"/>
        </w:rPr>
        <w:t>Archivio</w:t>
      </w:r>
      <w:proofErr w:type="spellEnd"/>
      <w:r w:rsidRPr="00541560">
        <w:rPr>
          <w:szCs w:val="20"/>
        </w:rPr>
        <w:t xml:space="preserve"> di </w:t>
      </w:r>
      <w:proofErr w:type="spellStart"/>
      <w:r w:rsidRPr="00541560">
        <w:rPr>
          <w:szCs w:val="20"/>
        </w:rPr>
        <w:t>Stato</w:t>
      </w:r>
      <w:proofErr w:type="spellEnd"/>
      <w:r w:rsidRPr="00541560">
        <w:rPr>
          <w:szCs w:val="20"/>
        </w:rPr>
        <w:t xml:space="preserve">, Siena, and all edited, for the period 736-1198, in </w:t>
      </w:r>
      <w:r w:rsidRPr="00541560">
        <w:rPr>
          <w:i/>
          <w:iCs/>
          <w:szCs w:val="20"/>
          <w:lang w:val="it-IT"/>
        </w:rPr>
        <w:t xml:space="preserve">Codex diplomaticus Amiatinus. Urkundenbuch der Abtei S. Salvatore am Montamiata. Von den Anfängen bis zum Regierungsantritt Papst Innozenz III. </w:t>
      </w:r>
      <w:r w:rsidRPr="00541560">
        <w:rPr>
          <w:i/>
          <w:iCs/>
          <w:szCs w:val="20"/>
        </w:rPr>
        <w:t>(736-1198)</w:t>
      </w:r>
      <w:r w:rsidRPr="00541560">
        <w:rPr>
          <w:szCs w:val="20"/>
        </w:rPr>
        <w:t xml:space="preserve">, ed. Wilhelm </w:t>
      </w:r>
      <w:proofErr w:type="spellStart"/>
      <w:r w:rsidRPr="00541560">
        <w:rPr>
          <w:szCs w:val="20"/>
        </w:rPr>
        <w:t>Kurze</w:t>
      </w:r>
      <w:proofErr w:type="spellEnd"/>
      <w:r>
        <w:rPr>
          <w:szCs w:val="20"/>
        </w:rPr>
        <w:t xml:space="preserve"> and Mario </w:t>
      </w:r>
      <w:proofErr w:type="spellStart"/>
      <w:r>
        <w:rPr>
          <w:szCs w:val="20"/>
        </w:rPr>
        <w:t>Marocchi</w:t>
      </w:r>
      <w:proofErr w:type="spellEnd"/>
      <w:r w:rsidRPr="00541560">
        <w:rPr>
          <w:szCs w:val="20"/>
        </w:rPr>
        <w:t>,</w:t>
      </w:r>
      <w:r>
        <w:rPr>
          <w:szCs w:val="20"/>
        </w:rPr>
        <w:t xml:space="preserve"> 3 vols. in 4 (</w:t>
      </w:r>
      <w:proofErr w:type="spellStart"/>
      <w:r>
        <w:rPr>
          <w:szCs w:val="20"/>
        </w:rPr>
        <w:t>Tübingen</w:t>
      </w:r>
      <w:proofErr w:type="spellEnd"/>
      <w:r>
        <w:rPr>
          <w:szCs w:val="20"/>
        </w:rPr>
        <w:t xml:space="preserve">, 1974-2004: hereafter </w:t>
      </w:r>
      <w:r w:rsidRPr="00541560">
        <w:rPr>
          <w:i/>
          <w:iCs/>
          <w:szCs w:val="20"/>
        </w:rPr>
        <w:t>CDA</w:t>
      </w:r>
      <w:r>
        <w:rPr>
          <w:iCs/>
          <w:szCs w:val="20"/>
        </w:rPr>
        <w:t>)</w:t>
      </w:r>
      <w:r>
        <w:rPr>
          <w:szCs w:val="20"/>
        </w:rPr>
        <w:t xml:space="preserve">. </w:t>
      </w:r>
      <w:r w:rsidRPr="00541560">
        <w:rPr>
          <w:szCs w:val="20"/>
        </w:rPr>
        <w:t xml:space="preserve">Documents dating before 900 are also edited, with largely the same edited text as </w:t>
      </w:r>
      <w:r w:rsidRPr="00541560">
        <w:rPr>
          <w:i/>
          <w:szCs w:val="20"/>
        </w:rPr>
        <w:t xml:space="preserve">CDA </w:t>
      </w:r>
      <w:r w:rsidRPr="00541560">
        <w:rPr>
          <w:szCs w:val="20"/>
        </w:rPr>
        <w:t xml:space="preserve">and with facsimile reproductions, in </w:t>
      </w:r>
      <w:proofErr w:type="spellStart"/>
      <w:r w:rsidRPr="00541560">
        <w:rPr>
          <w:i/>
          <w:iCs/>
          <w:szCs w:val="20"/>
        </w:rPr>
        <w:t>Chartae</w:t>
      </w:r>
      <w:proofErr w:type="spellEnd"/>
      <w:r w:rsidRPr="00541560">
        <w:rPr>
          <w:i/>
          <w:iCs/>
          <w:szCs w:val="20"/>
        </w:rPr>
        <w:t xml:space="preserve"> </w:t>
      </w:r>
      <w:proofErr w:type="spellStart"/>
      <w:r w:rsidRPr="00541560">
        <w:rPr>
          <w:i/>
          <w:iCs/>
          <w:szCs w:val="20"/>
        </w:rPr>
        <w:t>Latin</w:t>
      </w:r>
      <w:r>
        <w:rPr>
          <w:i/>
          <w:iCs/>
          <w:szCs w:val="20"/>
        </w:rPr>
        <w:t>a</w:t>
      </w:r>
      <w:r w:rsidRPr="00541560">
        <w:rPr>
          <w:i/>
          <w:iCs/>
          <w:szCs w:val="20"/>
        </w:rPr>
        <w:t>e</w:t>
      </w:r>
      <w:proofErr w:type="spellEnd"/>
      <w:r w:rsidRPr="00541560">
        <w:rPr>
          <w:i/>
          <w:iCs/>
          <w:szCs w:val="20"/>
        </w:rPr>
        <w:t xml:space="preserve"> </w:t>
      </w:r>
      <w:proofErr w:type="spellStart"/>
      <w:r w:rsidRPr="00541560">
        <w:rPr>
          <w:i/>
          <w:iCs/>
          <w:szCs w:val="20"/>
        </w:rPr>
        <w:t>Antiquiores</w:t>
      </w:r>
      <w:proofErr w:type="spellEnd"/>
      <w:r w:rsidRPr="00541560">
        <w:rPr>
          <w:szCs w:val="20"/>
        </w:rPr>
        <w:t xml:space="preserve">, </w:t>
      </w:r>
      <w:r>
        <w:rPr>
          <w:szCs w:val="20"/>
        </w:rPr>
        <w:t xml:space="preserve">ed. Albert Bruckner and Robert </w:t>
      </w:r>
      <w:proofErr w:type="spellStart"/>
      <w:r>
        <w:rPr>
          <w:szCs w:val="20"/>
        </w:rPr>
        <w:t>Marichal</w:t>
      </w:r>
      <w:proofErr w:type="spellEnd"/>
      <w:r>
        <w:rPr>
          <w:szCs w:val="20"/>
        </w:rPr>
        <w:t>, 49 vols. (</w:t>
      </w:r>
      <w:proofErr w:type="spellStart"/>
      <w:r>
        <w:rPr>
          <w:szCs w:val="20"/>
        </w:rPr>
        <w:t>Dietikon</w:t>
      </w:r>
      <w:proofErr w:type="spellEnd"/>
      <w:r>
        <w:rPr>
          <w:szCs w:val="20"/>
        </w:rPr>
        <w:t>, 1954-98), xxiii-xxiv</w:t>
      </w:r>
      <w:r w:rsidRPr="00541560">
        <w:rPr>
          <w:szCs w:val="20"/>
          <w:lang w:val="it-IT"/>
        </w:rPr>
        <w:t xml:space="preserve">, </w:t>
      </w:r>
      <w:r>
        <w:rPr>
          <w:szCs w:val="20"/>
          <w:lang w:val="it-IT"/>
        </w:rPr>
        <w:t xml:space="preserve">and </w:t>
      </w:r>
      <w:r>
        <w:rPr>
          <w:i/>
          <w:szCs w:val="20"/>
          <w:lang w:val="it-IT"/>
        </w:rPr>
        <w:t>ChLA</w:t>
      </w:r>
      <w:r>
        <w:rPr>
          <w:szCs w:val="20"/>
          <w:vertAlign w:val="superscript"/>
          <w:lang w:val="it-IT"/>
        </w:rPr>
        <w:t>2</w:t>
      </w:r>
      <w:r>
        <w:rPr>
          <w:szCs w:val="20"/>
          <w:lang w:val="it-IT"/>
        </w:rPr>
        <w:t>, lxi-lxiii</w:t>
      </w:r>
      <w:r w:rsidRPr="00541560">
        <w:rPr>
          <w:szCs w:val="20"/>
          <w:lang w:val="it-IT"/>
        </w:rPr>
        <w:t>.</w:t>
      </w:r>
    </w:p>
  </w:footnote>
  <w:footnote w:id="14">
    <w:p w14:paraId="4AEFC69E" w14:textId="150F7F42"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Law court </w:t>
      </w:r>
      <w:r w:rsidRPr="00541560">
        <w:rPr>
          <w:i/>
          <w:iCs/>
          <w:szCs w:val="20"/>
          <w:lang w:val="it-IT"/>
        </w:rPr>
        <w:t>notices</w:t>
      </w:r>
      <w:r w:rsidRPr="00541560">
        <w:rPr>
          <w:szCs w:val="20"/>
          <w:lang w:val="it-IT"/>
        </w:rPr>
        <w:t xml:space="preserve"> dating after 828 are: </w:t>
      </w:r>
      <w:r w:rsidRPr="00541560">
        <w:rPr>
          <w:i/>
          <w:iCs/>
          <w:szCs w:val="20"/>
          <w:lang w:val="it-IT"/>
        </w:rPr>
        <w:t>CDA</w:t>
      </w:r>
      <w:r w:rsidRPr="00541560">
        <w:rPr>
          <w:szCs w:val="20"/>
          <w:lang w:val="it-IT"/>
        </w:rPr>
        <w:t xml:space="preserve">, no. 164 (= </w:t>
      </w:r>
      <w:r>
        <w:rPr>
          <w:i/>
          <w:szCs w:val="20"/>
          <w:lang w:val="it-IT"/>
        </w:rPr>
        <w:t>Placiti</w:t>
      </w:r>
      <w:r>
        <w:rPr>
          <w:szCs w:val="20"/>
          <w:lang w:val="it-IT"/>
        </w:rPr>
        <w:t xml:space="preserve">, ed. Manaresi, no. 95, dated </w:t>
      </w:r>
      <w:r w:rsidRPr="00541560">
        <w:rPr>
          <w:szCs w:val="20"/>
          <w:lang w:val="it-IT"/>
        </w:rPr>
        <w:t xml:space="preserve">886), which takes the </w:t>
      </w:r>
      <w:r w:rsidRPr="00541560">
        <w:rPr>
          <w:i/>
          <w:iCs/>
          <w:szCs w:val="20"/>
          <w:lang w:val="it-IT"/>
        </w:rPr>
        <w:t>ostensio cartae</w:t>
      </w:r>
      <w:r w:rsidRPr="00541560">
        <w:rPr>
          <w:szCs w:val="20"/>
          <w:lang w:val="it-IT"/>
        </w:rPr>
        <w:t xml:space="preserve"> format, which also means: no cases at all 828-86, the period of the change</w:t>
      </w:r>
      <w:r>
        <w:rPr>
          <w:szCs w:val="20"/>
          <w:lang w:val="it-IT"/>
        </w:rPr>
        <w:t>;</w:t>
      </w:r>
      <w:r w:rsidRPr="00541560">
        <w:rPr>
          <w:szCs w:val="20"/>
          <w:lang w:val="it-IT"/>
        </w:rPr>
        <w:t xml:space="preserve"> </w:t>
      </w:r>
      <w:r w:rsidRPr="00541560">
        <w:rPr>
          <w:i/>
          <w:iCs/>
          <w:szCs w:val="20"/>
          <w:lang w:val="it-IT"/>
        </w:rPr>
        <w:t>CDA</w:t>
      </w:r>
      <w:r w:rsidRPr="00541560">
        <w:rPr>
          <w:szCs w:val="20"/>
          <w:lang w:val="it-IT"/>
        </w:rPr>
        <w:t>, no. 180 (=</w:t>
      </w:r>
      <w:r>
        <w:rPr>
          <w:i/>
          <w:szCs w:val="20"/>
          <w:lang w:val="it-IT"/>
        </w:rPr>
        <w:t>Placiti</w:t>
      </w:r>
      <w:r>
        <w:rPr>
          <w:szCs w:val="20"/>
          <w:lang w:val="it-IT"/>
        </w:rPr>
        <w:t xml:space="preserve">, ed. </w:t>
      </w:r>
      <w:r w:rsidRPr="00541560">
        <w:rPr>
          <w:szCs w:val="20"/>
          <w:lang w:val="it-IT"/>
        </w:rPr>
        <w:t>Manaresi, no. 115</w:t>
      </w:r>
      <w:r>
        <w:rPr>
          <w:szCs w:val="20"/>
          <w:lang w:val="it-IT"/>
        </w:rPr>
        <w:t xml:space="preserve">, dated </w:t>
      </w:r>
      <w:r w:rsidRPr="00541560">
        <w:rPr>
          <w:szCs w:val="20"/>
          <w:lang w:val="it-IT"/>
        </w:rPr>
        <w:t xml:space="preserve">903: </w:t>
      </w:r>
      <w:r w:rsidRPr="00541560">
        <w:rPr>
          <w:i/>
          <w:iCs/>
          <w:szCs w:val="20"/>
          <w:lang w:val="it-IT"/>
        </w:rPr>
        <w:t>finis intentionis</w:t>
      </w:r>
      <w:r>
        <w:rPr>
          <w:szCs w:val="20"/>
          <w:lang w:val="it-IT"/>
        </w:rPr>
        <w:t>);</w:t>
      </w:r>
      <w:r w:rsidRPr="00541560">
        <w:rPr>
          <w:szCs w:val="20"/>
          <w:lang w:val="it-IT"/>
        </w:rPr>
        <w:t xml:space="preserve"> </w:t>
      </w:r>
      <w:r w:rsidRPr="00541560">
        <w:rPr>
          <w:i/>
          <w:iCs/>
          <w:szCs w:val="20"/>
          <w:lang w:val="it-IT"/>
        </w:rPr>
        <w:t>CDA</w:t>
      </w:r>
      <w:r w:rsidRPr="00541560">
        <w:rPr>
          <w:szCs w:val="20"/>
          <w:lang w:val="it-IT"/>
        </w:rPr>
        <w:t>, no. 207 (=</w:t>
      </w:r>
      <w:r>
        <w:rPr>
          <w:i/>
          <w:szCs w:val="20"/>
          <w:lang w:val="it-IT"/>
        </w:rPr>
        <w:t>Placiti</w:t>
      </w:r>
      <w:r>
        <w:rPr>
          <w:szCs w:val="20"/>
          <w:lang w:val="it-IT"/>
        </w:rPr>
        <w:t xml:space="preserve">, ed. </w:t>
      </w:r>
      <w:r w:rsidRPr="00541560">
        <w:rPr>
          <w:szCs w:val="20"/>
          <w:lang w:val="it-IT"/>
        </w:rPr>
        <w:t>Manaresi, no. 214</w:t>
      </w:r>
      <w:r>
        <w:rPr>
          <w:szCs w:val="20"/>
          <w:lang w:val="it-IT"/>
        </w:rPr>
        <w:t xml:space="preserve">, dated </w:t>
      </w:r>
      <w:r w:rsidRPr="00541560">
        <w:rPr>
          <w:szCs w:val="20"/>
          <w:lang w:val="it-IT"/>
        </w:rPr>
        <w:t xml:space="preserve">991: </w:t>
      </w:r>
      <w:r w:rsidRPr="00541560">
        <w:rPr>
          <w:i/>
          <w:iCs/>
          <w:szCs w:val="20"/>
          <w:lang w:val="it-IT"/>
        </w:rPr>
        <w:t>investitura salva querela</w:t>
      </w:r>
      <w:r>
        <w:rPr>
          <w:szCs w:val="20"/>
          <w:lang w:val="it-IT"/>
        </w:rPr>
        <w:t>);</w:t>
      </w:r>
      <w:r w:rsidRPr="00541560">
        <w:rPr>
          <w:szCs w:val="20"/>
          <w:lang w:val="it-IT"/>
        </w:rPr>
        <w:t xml:space="preserve"> </w:t>
      </w:r>
      <w:r w:rsidRPr="00541560">
        <w:rPr>
          <w:i/>
          <w:iCs/>
          <w:szCs w:val="20"/>
          <w:lang w:val="it-IT"/>
        </w:rPr>
        <w:t>CDA</w:t>
      </w:r>
      <w:r w:rsidRPr="00541560">
        <w:rPr>
          <w:szCs w:val="20"/>
          <w:lang w:val="it-IT"/>
        </w:rPr>
        <w:t>, no. 208 (=</w:t>
      </w:r>
      <w:r>
        <w:rPr>
          <w:i/>
          <w:szCs w:val="20"/>
          <w:lang w:val="it-IT"/>
        </w:rPr>
        <w:t>Placiti</w:t>
      </w:r>
      <w:r>
        <w:rPr>
          <w:szCs w:val="20"/>
          <w:lang w:val="it-IT"/>
        </w:rPr>
        <w:t xml:space="preserve">, ed. Manaresi, no. 215, dated </w:t>
      </w:r>
      <w:r w:rsidRPr="00541560">
        <w:rPr>
          <w:szCs w:val="20"/>
          <w:lang w:val="it-IT"/>
        </w:rPr>
        <w:t xml:space="preserve">991: </w:t>
      </w:r>
      <w:r w:rsidRPr="00541560">
        <w:rPr>
          <w:i/>
          <w:iCs/>
          <w:szCs w:val="20"/>
          <w:lang w:val="it-IT"/>
        </w:rPr>
        <w:t>investitura salva querela</w:t>
      </w:r>
      <w:r>
        <w:rPr>
          <w:szCs w:val="20"/>
          <w:lang w:val="it-IT"/>
        </w:rPr>
        <w:t>);</w:t>
      </w:r>
      <w:r w:rsidRPr="00541560">
        <w:rPr>
          <w:szCs w:val="20"/>
          <w:lang w:val="it-IT"/>
        </w:rPr>
        <w:t xml:space="preserve"> </w:t>
      </w:r>
      <w:r w:rsidRPr="00541560">
        <w:rPr>
          <w:i/>
          <w:iCs/>
          <w:szCs w:val="20"/>
          <w:lang w:val="it-IT"/>
        </w:rPr>
        <w:t>CDA</w:t>
      </w:r>
      <w:r w:rsidRPr="00541560">
        <w:rPr>
          <w:szCs w:val="20"/>
          <w:lang w:val="it-IT"/>
        </w:rPr>
        <w:t>, no. 242 (=</w:t>
      </w:r>
      <w:r>
        <w:rPr>
          <w:szCs w:val="20"/>
          <w:lang w:val="it-IT"/>
        </w:rPr>
        <w:t xml:space="preserve"> </w:t>
      </w:r>
      <w:r>
        <w:rPr>
          <w:i/>
          <w:szCs w:val="20"/>
          <w:lang w:val="it-IT"/>
        </w:rPr>
        <w:t>Placiti</w:t>
      </w:r>
      <w:r>
        <w:rPr>
          <w:szCs w:val="20"/>
          <w:lang w:val="it-IT"/>
        </w:rPr>
        <w:t xml:space="preserve">, ed. </w:t>
      </w:r>
      <w:r w:rsidRPr="00541560">
        <w:rPr>
          <w:szCs w:val="20"/>
          <w:lang w:val="it-IT"/>
        </w:rPr>
        <w:t>Manaresi, no. 284</w:t>
      </w:r>
      <w:r>
        <w:rPr>
          <w:szCs w:val="20"/>
          <w:lang w:val="it-IT"/>
        </w:rPr>
        <w:t xml:space="preserve">, dated </w:t>
      </w:r>
      <w:r w:rsidRPr="00541560">
        <w:rPr>
          <w:szCs w:val="20"/>
          <w:lang w:val="it-IT"/>
        </w:rPr>
        <w:t xml:space="preserve">1014: </w:t>
      </w:r>
      <w:r w:rsidRPr="00541560">
        <w:rPr>
          <w:i/>
          <w:iCs/>
          <w:szCs w:val="20"/>
          <w:lang w:val="it-IT"/>
        </w:rPr>
        <w:t>ostensio cartae</w:t>
      </w:r>
      <w:r>
        <w:rPr>
          <w:szCs w:val="20"/>
          <w:lang w:val="it-IT"/>
        </w:rPr>
        <w:t>);</w:t>
      </w:r>
      <w:r w:rsidRPr="00541560">
        <w:rPr>
          <w:szCs w:val="20"/>
          <w:lang w:val="it-IT"/>
        </w:rPr>
        <w:t xml:space="preserve"> </w:t>
      </w:r>
      <w:r w:rsidRPr="00541560">
        <w:rPr>
          <w:i/>
          <w:iCs/>
          <w:szCs w:val="20"/>
          <w:lang w:val="it-IT"/>
        </w:rPr>
        <w:t>CDA</w:t>
      </w:r>
      <w:r w:rsidRPr="00541560">
        <w:rPr>
          <w:szCs w:val="20"/>
          <w:lang w:val="it-IT"/>
        </w:rPr>
        <w:t>, no. 257 (=</w:t>
      </w:r>
      <w:r>
        <w:rPr>
          <w:szCs w:val="20"/>
          <w:lang w:val="it-IT"/>
        </w:rPr>
        <w:t xml:space="preserve"> </w:t>
      </w:r>
      <w:r>
        <w:rPr>
          <w:i/>
          <w:szCs w:val="20"/>
          <w:lang w:val="it-IT"/>
        </w:rPr>
        <w:t>Placiti</w:t>
      </w:r>
      <w:r>
        <w:rPr>
          <w:szCs w:val="20"/>
          <w:lang w:val="it-IT"/>
        </w:rPr>
        <w:t xml:space="preserve">, ed. </w:t>
      </w:r>
      <w:r w:rsidRPr="00541560">
        <w:rPr>
          <w:szCs w:val="20"/>
          <w:lang w:val="it-IT"/>
        </w:rPr>
        <w:t>Manaresi, no. 316</w:t>
      </w:r>
      <w:r>
        <w:rPr>
          <w:szCs w:val="20"/>
          <w:lang w:val="it-IT"/>
        </w:rPr>
        <w:t xml:space="preserve">, dated </w:t>
      </w:r>
      <w:r w:rsidRPr="00541560">
        <w:rPr>
          <w:szCs w:val="20"/>
          <w:lang w:val="it-IT"/>
        </w:rPr>
        <w:t xml:space="preserve">1022: </w:t>
      </w:r>
      <w:r w:rsidRPr="00541560">
        <w:rPr>
          <w:i/>
          <w:iCs/>
          <w:szCs w:val="20"/>
          <w:lang w:val="it-IT"/>
        </w:rPr>
        <w:t>finis intentionis</w:t>
      </w:r>
      <w:r>
        <w:rPr>
          <w:szCs w:val="20"/>
          <w:lang w:val="it-IT"/>
        </w:rPr>
        <w:t>);</w:t>
      </w:r>
      <w:r w:rsidRPr="00541560">
        <w:rPr>
          <w:szCs w:val="20"/>
          <w:lang w:val="it-IT"/>
        </w:rPr>
        <w:t xml:space="preserve"> </w:t>
      </w:r>
      <w:r w:rsidRPr="00541560">
        <w:rPr>
          <w:i/>
          <w:iCs/>
          <w:szCs w:val="20"/>
          <w:lang w:val="it-IT"/>
        </w:rPr>
        <w:t>CDA</w:t>
      </w:r>
      <w:r w:rsidRPr="00541560">
        <w:rPr>
          <w:szCs w:val="20"/>
          <w:lang w:val="it-IT"/>
        </w:rPr>
        <w:t xml:space="preserve">, no. 273 (= Manaresi, no. 346) (a.1037: investitura salva querela), </w:t>
      </w:r>
      <w:r w:rsidRPr="00541560">
        <w:rPr>
          <w:i/>
          <w:iCs/>
          <w:szCs w:val="20"/>
          <w:lang w:val="it-IT"/>
        </w:rPr>
        <w:t>CDA</w:t>
      </w:r>
      <w:r w:rsidRPr="00541560">
        <w:rPr>
          <w:szCs w:val="20"/>
          <w:lang w:val="it-IT"/>
        </w:rPr>
        <w:t>, no. 291 (=</w:t>
      </w:r>
      <w:r>
        <w:rPr>
          <w:i/>
          <w:szCs w:val="20"/>
          <w:lang w:val="it-IT"/>
        </w:rPr>
        <w:t>Placiti</w:t>
      </w:r>
      <w:r>
        <w:rPr>
          <w:szCs w:val="20"/>
          <w:lang w:val="it-IT"/>
        </w:rPr>
        <w:t xml:space="preserve">, ed. Manaresi, no. 426, dated </w:t>
      </w:r>
      <w:r w:rsidRPr="00541560">
        <w:rPr>
          <w:szCs w:val="20"/>
          <w:lang w:val="it-IT"/>
        </w:rPr>
        <w:t xml:space="preserve">1072: </w:t>
      </w:r>
      <w:r w:rsidRPr="00541560">
        <w:rPr>
          <w:i/>
          <w:iCs/>
          <w:szCs w:val="20"/>
          <w:lang w:val="it-IT"/>
        </w:rPr>
        <w:t>finis intentionis</w:t>
      </w:r>
      <w:r w:rsidRPr="00541560">
        <w:rPr>
          <w:szCs w:val="20"/>
          <w:lang w:val="it-IT"/>
        </w:rPr>
        <w:t xml:space="preserve">), </w:t>
      </w:r>
      <w:r w:rsidRPr="00541560">
        <w:rPr>
          <w:i/>
          <w:iCs/>
          <w:szCs w:val="20"/>
          <w:lang w:val="it-IT"/>
        </w:rPr>
        <w:t>CDA</w:t>
      </w:r>
      <w:r w:rsidRPr="00541560">
        <w:rPr>
          <w:szCs w:val="20"/>
          <w:lang w:val="it-IT"/>
        </w:rPr>
        <w:t>, no. 304 (=</w:t>
      </w:r>
      <w:r>
        <w:rPr>
          <w:i/>
          <w:szCs w:val="20"/>
          <w:lang w:val="it-IT"/>
        </w:rPr>
        <w:t>Placiti</w:t>
      </w:r>
      <w:r>
        <w:rPr>
          <w:szCs w:val="20"/>
          <w:lang w:val="it-IT"/>
        </w:rPr>
        <w:t xml:space="preserve">, ed. Manaresi, no. 448, dated </w:t>
      </w:r>
      <w:r w:rsidRPr="00541560">
        <w:rPr>
          <w:szCs w:val="20"/>
          <w:lang w:val="it-IT"/>
        </w:rPr>
        <w:t xml:space="preserve">1078: </w:t>
      </w:r>
      <w:r w:rsidRPr="00541560">
        <w:rPr>
          <w:i/>
          <w:iCs/>
          <w:szCs w:val="20"/>
          <w:lang w:val="it-IT"/>
        </w:rPr>
        <w:t>finis intentionis</w:t>
      </w:r>
      <w:r w:rsidRPr="00541560">
        <w:rPr>
          <w:szCs w:val="20"/>
          <w:lang w:val="it-IT"/>
        </w:rPr>
        <w:t>).</w:t>
      </w:r>
    </w:p>
  </w:footnote>
  <w:footnote w:id="15">
    <w:p w14:paraId="3C402C36" w14:textId="6C9D0B54"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On the lacuna in Monte Amiata documents in the later tenth century, see </w:t>
      </w:r>
      <w:proofErr w:type="spellStart"/>
      <w:r w:rsidR="006E5CD5">
        <w:rPr>
          <w:szCs w:val="20"/>
        </w:rPr>
        <w:t>Kurze</w:t>
      </w:r>
      <w:proofErr w:type="spellEnd"/>
      <w:r w:rsidR="006E5CD5">
        <w:rPr>
          <w:szCs w:val="20"/>
        </w:rPr>
        <w:t xml:space="preserve">, ed. </w:t>
      </w:r>
      <w:proofErr w:type="spellStart"/>
      <w:r>
        <w:rPr>
          <w:szCs w:val="20"/>
        </w:rPr>
        <w:t>Marocchi</w:t>
      </w:r>
      <w:proofErr w:type="spellEnd"/>
      <w:r w:rsidR="006E5CD5">
        <w:rPr>
          <w:szCs w:val="20"/>
        </w:rPr>
        <w:t>,</w:t>
      </w:r>
      <w:r>
        <w:rPr>
          <w:szCs w:val="20"/>
        </w:rPr>
        <w:t xml:space="preserve"> in </w:t>
      </w:r>
      <w:r w:rsidRPr="00541560">
        <w:rPr>
          <w:i/>
          <w:iCs/>
          <w:szCs w:val="20"/>
        </w:rPr>
        <w:t>CDA</w:t>
      </w:r>
      <w:r>
        <w:rPr>
          <w:iCs/>
          <w:szCs w:val="20"/>
        </w:rPr>
        <w:t xml:space="preserve">, iii, part </w:t>
      </w:r>
      <w:r w:rsidRPr="00541560">
        <w:rPr>
          <w:szCs w:val="20"/>
        </w:rPr>
        <w:t>1,</w:t>
      </w:r>
      <w:r>
        <w:rPr>
          <w:szCs w:val="20"/>
        </w:rPr>
        <w:t xml:space="preserve"> </w:t>
      </w:r>
      <w:r w:rsidRPr="00541560">
        <w:rPr>
          <w:szCs w:val="20"/>
        </w:rPr>
        <w:t>42-3.</w:t>
      </w:r>
    </w:p>
  </w:footnote>
  <w:footnote w:id="16">
    <w:p w14:paraId="04ECF6FA" w14:textId="0B765A1B"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t>
      </w:r>
      <w:r w:rsidRPr="00541560">
        <w:rPr>
          <w:i/>
          <w:iCs/>
          <w:szCs w:val="20"/>
        </w:rPr>
        <w:t>CDA</w:t>
      </w:r>
      <w:r>
        <w:rPr>
          <w:szCs w:val="20"/>
        </w:rPr>
        <w:t xml:space="preserve">, no. 16 (dated </w:t>
      </w:r>
      <w:r w:rsidRPr="00541560">
        <w:rPr>
          <w:szCs w:val="20"/>
        </w:rPr>
        <w:t xml:space="preserve">768) has the earliest contemporary ‘filing note’ on the </w:t>
      </w:r>
      <w:proofErr w:type="spellStart"/>
      <w:r w:rsidRPr="00541560">
        <w:rPr>
          <w:szCs w:val="20"/>
        </w:rPr>
        <w:t>dorse</w:t>
      </w:r>
      <w:proofErr w:type="spellEnd"/>
      <w:r w:rsidRPr="00541560">
        <w:rPr>
          <w:szCs w:val="20"/>
        </w:rPr>
        <w:t>, in the hand of the charter scribe, in this case giving the names of the two parties.</w:t>
      </w:r>
    </w:p>
  </w:footnote>
  <w:footnote w:id="17">
    <w:p w14:paraId="11CB82C1" w14:textId="710E6466"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E.g. </w:t>
      </w:r>
      <w:r w:rsidRPr="00541560">
        <w:rPr>
          <w:i/>
          <w:iCs/>
          <w:szCs w:val="20"/>
        </w:rPr>
        <w:t>CDA</w:t>
      </w:r>
      <w:r w:rsidRPr="00541560">
        <w:rPr>
          <w:szCs w:val="20"/>
        </w:rPr>
        <w:t>, no. 43</w:t>
      </w:r>
      <w:r>
        <w:rPr>
          <w:szCs w:val="20"/>
        </w:rPr>
        <w:t xml:space="preserve"> (dated </w:t>
      </w:r>
      <w:r w:rsidRPr="00541560">
        <w:rPr>
          <w:szCs w:val="20"/>
        </w:rPr>
        <w:t xml:space="preserve">794), the </w:t>
      </w:r>
      <w:proofErr w:type="spellStart"/>
      <w:r w:rsidRPr="00541560">
        <w:rPr>
          <w:szCs w:val="20"/>
        </w:rPr>
        <w:t>dorse</w:t>
      </w:r>
      <w:proofErr w:type="spellEnd"/>
      <w:r w:rsidRPr="00541560">
        <w:rPr>
          <w:szCs w:val="20"/>
        </w:rPr>
        <w:t xml:space="preserve"> of which bears in a ninth-century hand a </w:t>
      </w:r>
      <w:proofErr w:type="spellStart"/>
      <w:r w:rsidRPr="00541560">
        <w:rPr>
          <w:szCs w:val="20"/>
        </w:rPr>
        <w:t>toponym</w:t>
      </w:r>
      <w:proofErr w:type="spellEnd"/>
      <w:r w:rsidRPr="00541560">
        <w:rPr>
          <w:szCs w:val="20"/>
        </w:rPr>
        <w:t xml:space="preserve"> that does not appear in the text, but presumably had relevance in the ninth century, while a tenth-century hand added a note more concerned with summarizing the actual eighth-century content, including the name of the long-dead vendor and two place-names, unidentifiable now, and perhaps also then.</w:t>
      </w:r>
    </w:p>
  </w:footnote>
  <w:footnote w:id="18">
    <w:p w14:paraId="4763E6DA" w14:textId="6275F8B9"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Monte Amiata was taken over by the Cistercians in 1228, came under </w:t>
      </w:r>
      <w:proofErr w:type="spellStart"/>
      <w:r w:rsidRPr="00541560">
        <w:rPr>
          <w:szCs w:val="20"/>
        </w:rPr>
        <w:t>Sienese</w:t>
      </w:r>
      <w:proofErr w:type="spellEnd"/>
      <w:r w:rsidRPr="00541560">
        <w:rPr>
          <w:szCs w:val="20"/>
        </w:rPr>
        <w:t xml:space="preserve"> control in 1347, th</w:t>
      </w:r>
      <w:r>
        <w:rPr>
          <w:szCs w:val="20"/>
        </w:rPr>
        <w:t>en under the control</w:t>
      </w:r>
      <w:r w:rsidRPr="00541560">
        <w:rPr>
          <w:szCs w:val="20"/>
        </w:rPr>
        <w:t xml:space="preserve"> of Medici Florence in 1559, and was suppressed in 1783, at which point the bulk of the abbey’s archive was transferred to the </w:t>
      </w:r>
      <w:proofErr w:type="spellStart"/>
      <w:r>
        <w:rPr>
          <w:szCs w:val="20"/>
        </w:rPr>
        <w:t>Archivio</w:t>
      </w:r>
      <w:proofErr w:type="spellEnd"/>
      <w:r>
        <w:rPr>
          <w:szCs w:val="20"/>
        </w:rPr>
        <w:t xml:space="preserve"> di </w:t>
      </w:r>
      <w:proofErr w:type="spellStart"/>
      <w:r>
        <w:rPr>
          <w:szCs w:val="20"/>
        </w:rPr>
        <w:t>Stato</w:t>
      </w:r>
      <w:proofErr w:type="spellEnd"/>
      <w:r>
        <w:rPr>
          <w:szCs w:val="20"/>
        </w:rPr>
        <w:t xml:space="preserve"> in Florence. </w:t>
      </w:r>
      <w:r w:rsidRPr="00541560">
        <w:rPr>
          <w:szCs w:val="20"/>
        </w:rPr>
        <w:t xml:space="preserve">The great majority of documents from the earliest four centuries of the abbey’s existence were however subsequently moved back to the </w:t>
      </w:r>
      <w:proofErr w:type="spellStart"/>
      <w:r w:rsidRPr="00541560">
        <w:rPr>
          <w:szCs w:val="20"/>
        </w:rPr>
        <w:t>Archivio</w:t>
      </w:r>
      <w:proofErr w:type="spellEnd"/>
      <w:r w:rsidRPr="00541560">
        <w:rPr>
          <w:szCs w:val="20"/>
        </w:rPr>
        <w:t xml:space="preserve"> d</w:t>
      </w:r>
      <w:r>
        <w:rPr>
          <w:szCs w:val="20"/>
        </w:rPr>
        <w:t xml:space="preserve">i </w:t>
      </w:r>
      <w:proofErr w:type="spellStart"/>
      <w:r>
        <w:rPr>
          <w:szCs w:val="20"/>
        </w:rPr>
        <w:t>Stato</w:t>
      </w:r>
      <w:proofErr w:type="spellEnd"/>
      <w:r>
        <w:rPr>
          <w:szCs w:val="20"/>
        </w:rPr>
        <w:t xml:space="preserve"> in Siena: see further Mario</w:t>
      </w:r>
      <w:r w:rsidRPr="00541560">
        <w:rPr>
          <w:szCs w:val="20"/>
        </w:rPr>
        <w:t xml:space="preserve"> </w:t>
      </w:r>
      <w:proofErr w:type="spellStart"/>
      <w:r w:rsidRPr="00541560">
        <w:rPr>
          <w:szCs w:val="20"/>
        </w:rPr>
        <w:t>Marrocchi</w:t>
      </w:r>
      <w:proofErr w:type="spellEnd"/>
      <w:r w:rsidRPr="00541560">
        <w:rPr>
          <w:szCs w:val="20"/>
        </w:rPr>
        <w:t>, ‘</w:t>
      </w:r>
      <w:proofErr w:type="spellStart"/>
      <w:r w:rsidRPr="00541560">
        <w:rPr>
          <w:szCs w:val="20"/>
        </w:rPr>
        <w:t>Scritture</w:t>
      </w:r>
      <w:proofErr w:type="spellEnd"/>
      <w:r w:rsidRPr="00541560">
        <w:rPr>
          <w:szCs w:val="20"/>
        </w:rPr>
        <w:t xml:space="preserve"> </w:t>
      </w:r>
      <w:proofErr w:type="spellStart"/>
      <w:r w:rsidRPr="00541560">
        <w:rPr>
          <w:szCs w:val="20"/>
        </w:rPr>
        <w:t>documentarie</w:t>
      </w:r>
      <w:proofErr w:type="spellEnd"/>
      <w:r w:rsidRPr="00541560">
        <w:rPr>
          <w:szCs w:val="20"/>
        </w:rPr>
        <w:t xml:space="preserve"> e </w:t>
      </w:r>
      <w:proofErr w:type="spellStart"/>
      <w:r w:rsidRPr="00541560">
        <w:rPr>
          <w:szCs w:val="20"/>
        </w:rPr>
        <w:t>librarie</w:t>
      </w:r>
      <w:proofErr w:type="spellEnd"/>
      <w:r w:rsidRPr="00541560">
        <w:rPr>
          <w:szCs w:val="20"/>
        </w:rPr>
        <w:t xml:space="preserve"> per la </w:t>
      </w:r>
      <w:proofErr w:type="spellStart"/>
      <w:r w:rsidRPr="00541560">
        <w:rPr>
          <w:szCs w:val="20"/>
        </w:rPr>
        <w:t>storia</w:t>
      </w:r>
      <w:proofErr w:type="spellEnd"/>
      <w:r w:rsidRPr="00541560">
        <w:rPr>
          <w:szCs w:val="20"/>
        </w:rPr>
        <w:t xml:space="preserve"> di S. Salvatore al Monte </w:t>
      </w:r>
      <w:proofErr w:type="spellStart"/>
      <w:r w:rsidRPr="00541560">
        <w:rPr>
          <w:szCs w:val="20"/>
        </w:rPr>
        <w:t>Amiata</w:t>
      </w:r>
      <w:proofErr w:type="spellEnd"/>
      <w:r w:rsidRPr="00541560">
        <w:rPr>
          <w:szCs w:val="20"/>
        </w:rPr>
        <w:t xml:space="preserve"> (</w:t>
      </w:r>
      <w:proofErr w:type="spellStart"/>
      <w:r w:rsidRPr="00541560">
        <w:rPr>
          <w:szCs w:val="20"/>
        </w:rPr>
        <w:t>secc</w:t>
      </w:r>
      <w:proofErr w:type="spellEnd"/>
      <w:r w:rsidRPr="00541560">
        <w:rPr>
          <w:szCs w:val="20"/>
        </w:rPr>
        <w:t xml:space="preserve">. </w:t>
      </w:r>
      <w:r w:rsidRPr="00541560">
        <w:rPr>
          <w:szCs w:val="20"/>
          <w:lang w:val="it-IT"/>
        </w:rPr>
        <w:t xml:space="preserve">XI-XIII)’, </w:t>
      </w:r>
      <w:r w:rsidRPr="00541560">
        <w:rPr>
          <w:i/>
          <w:iCs/>
          <w:szCs w:val="20"/>
          <w:lang w:val="it-IT"/>
        </w:rPr>
        <w:t>Q</w:t>
      </w:r>
      <w:r>
        <w:rPr>
          <w:i/>
          <w:iCs/>
          <w:szCs w:val="20"/>
          <w:lang w:val="it-IT"/>
        </w:rPr>
        <w:t xml:space="preserve">uellen und </w:t>
      </w:r>
      <w:r w:rsidRPr="00541560">
        <w:rPr>
          <w:i/>
          <w:iCs/>
          <w:szCs w:val="20"/>
          <w:lang w:val="it-IT"/>
        </w:rPr>
        <w:t>F</w:t>
      </w:r>
      <w:r>
        <w:rPr>
          <w:i/>
          <w:iCs/>
          <w:szCs w:val="20"/>
          <w:lang w:val="it-IT"/>
        </w:rPr>
        <w:t xml:space="preserve">orschungen aus italienischen </w:t>
      </w:r>
      <w:r w:rsidRPr="00541560">
        <w:rPr>
          <w:i/>
          <w:iCs/>
          <w:szCs w:val="20"/>
          <w:lang w:val="it-IT"/>
        </w:rPr>
        <w:t>A</w:t>
      </w:r>
      <w:r>
        <w:rPr>
          <w:i/>
          <w:iCs/>
          <w:szCs w:val="20"/>
          <w:lang w:val="it-IT"/>
        </w:rPr>
        <w:t xml:space="preserve">rchiven und </w:t>
      </w:r>
      <w:r w:rsidRPr="00541560">
        <w:rPr>
          <w:i/>
          <w:iCs/>
          <w:szCs w:val="20"/>
          <w:lang w:val="it-IT"/>
        </w:rPr>
        <w:t>B</w:t>
      </w:r>
      <w:r>
        <w:rPr>
          <w:i/>
          <w:iCs/>
          <w:szCs w:val="20"/>
          <w:lang w:val="it-IT"/>
        </w:rPr>
        <w:t>ibliotheken</w:t>
      </w:r>
      <w:r>
        <w:rPr>
          <w:iCs/>
          <w:szCs w:val="20"/>
          <w:lang w:val="it-IT"/>
        </w:rPr>
        <w:t>, lxxxviii</w:t>
      </w:r>
      <w:r w:rsidRPr="00541560">
        <w:rPr>
          <w:szCs w:val="20"/>
          <w:lang w:val="it-IT"/>
        </w:rPr>
        <w:t xml:space="preserve"> (2008), 34-60, </w:t>
      </w:r>
      <w:r>
        <w:rPr>
          <w:szCs w:val="20"/>
          <w:lang w:val="it-IT"/>
        </w:rPr>
        <w:t>at</w:t>
      </w:r>
      <w:r w:rsidRPr="00541560">
        <w:rPr>
          <w:szCs w:val="20"/>
          <w:lang w:val="it-IT"/>
        </w:rPr>
        <w:t xml:space="preserve"> 53-4 with n. 79.  </w:t>
      </w:r>
    </w:p>
  </w:footnote>
  <w:footnote w:id="19">
    <w:p w14:paraId="5E9C10A3" w14:textId="708B3484" w:rsidR="00F23E2A" w:rsidRPr="00541560" w:rsidRDefault="00F23E2A" w:rsidP="004B02E6">
      <w:pPr>
        <w:pStyle w:val="FootnoteText"/>
        <w:rPr>
          <w:szCs w:val="20"/>
        </w:rPr>
      </w:pPr>
      <w:r w:rsidRPr="00541560">
        <w:rPr>
          <w:rStyle w:val="FootnoteReference"/>
          <w:szCs w:val="20"/>
        </w:rPr>
        <w:footnoteRef/>
      </w:r>
      <w:r>
        <w:rPr>
          <w:szCs w:val="20"/>
          <w:lang w:val="it-IT"/>
        </w:rPr>
        <w:t xml:space="preserve"> See Wilhelm</w:t>
      </w:r>
      <w:r w:rsidRPr="00541560">
        <w:rPr>
          <w:szCs w:val="20"/>
          <w:lang w:val="it-IT"/>
        </w:rPr>
        <w:t xml:space="preserve"> Kurze, ‘Lo storico e i fondi diplomatici medievali. </w:t>
      </w:r>
      <w:r>
        <w:rPr>
          <w:szCs w:val="20"/>
          <w:lang w:val="it-IT"/>
        </w:rPr>
        <w:t xml:space="preserve">Problemi di metodo – Analisi storiche’, in </w:t>
      </w:r>
      <w:r w:rsidRPr="00541560">
        <w:rPr>
          <w:szCs w:val="20"/>
          <w:lang w:val="it-IT"/>
        </w:rPr>
        <w:t xml:space="preserve">Kurze, </w:t>
      </w:r>
      <w:r w:rsidRPr="00541560">
        <w:rPr>
          <w:i/>
          <w:iCs/>
          <w:szCs w:val="20"/>
          <w:lang w:val="it-IT"/>
        </w:rPr>
        <w:t>Monasteri e nobiltà nel sen</w:t>
      </w:r>
      <w:r>
        <w:rPr>
          <w:i/>
          <w:iCs/>
          <w:szCs w:val="20"/>
          <w:lang w:val="it-IT"/>
        </w:rPr>
        <w:t xml:space="preserve">ese e nella Toscana medievale. </w:t>
      </w:r>
      <w:r w:rsidRPr="00541560">
        <w:rPr>
          <w:i/>
          <w:iCs/>
          <w:szCs w:val="20"/>
          <w:lang w:val="it-IT"/>
        </w:rPr>
        <w:t>Studi diplomatici, archeologici, genealogici, giuridici e sociali</w:t>
      </w:r>
      <w:r>
        <w:rPr>
          <w:szCs w:val="20"/>
          <w:lang w:val="it-IT"/>
        </w:rPr>
        <w:t xml:space="preserve"> (Siena, 1989), 1-22 at 9-10, and </w:t>
      </w:r>
      <w:r w:rsidR="00060E40">
        <w:rPr>
          <w:szCs w:val="20"/>
          <w:lang w:val="it-IT"/>
        </w:rPr>
        <w:t xml:space="preserve">Antonio </w:t>
      </w:r>
      <w:r>
        <w:rPr>
          <w:szCs w:val="20"/>
          <w:lang w:val="it-IT"/>
        </w:rPr>
        <w:t>Sennis, ‘</w:t>
      </w:r>
      <w:r w:rsidRPr="00541560">
        <w:rPr>
          <w:szCs w:val="20"/>
          <w:lang w:val="it-IT"/>
        </w:rPr>
        <w:t>“Omnia tollit aetas et cuncta tollit oblivio”</w:t>
      </w:r>
      <w:r>
        <w:rPr>
          <w:szCs w:val="20"/>
          <w:lang w:val="it-IT"/>
        </w:rPr>
        <w:t>. Ricordi smarriti e memorie costruite nei monasteri altomedievali</w:t>
      </w:r>
      <w:r w:rsidRPr="00541560">
        <w:rPr>
          <w:szCs w:val="20"/>
          <w:lang w:val="it-IT"/>
        </w:rPr>
        <w:t>’,</w:t>
      </w:r>
      <w:r>
        <w:rPr>
          <w:szCs w:val="20"/>
          <w:lang w:val="it-IT"/>
        </w:rPr>
        <w:t xml:space="preserve"> </w:t>
      </w:r>
      <w:r>
        <w:rPr>
          <w:i/>
          <w:szCs w:val="20"/>
          <w:lang w:val="it-IT"/>
        </w:rPr>
        <w:t>Bullettino dell’Istituto Storico Italiano</w:t>
      </w:r>
      <w:r>
        <w:rPr>
          <w:szCs w:val="20"/>
          <w:lang w:val="it-IT"/>
        </w:rPr>
        <w:t xml:space="preserve">, cvi (2004), 94-135, at 112. </w:t>
      </w:r>
      <w:r w:rsidRPr="00541560">
        <w:rPr>
          <w:szCs w:val="20"/>
        </w:rPr>
        <w:t>In at least one case, a purchase was superseded when the land thus acquired was leased out.</w:t>
      </w:r>
    </w:p>
  </w:footnote>
  <w:footnote w:id="20">
    <w:p w14:paraId="24371615" w14:textId="7CCA6A95"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Marrocchi, ‘Scritture documentarie e librarie’, here esp. 52-3.</w:t>
      </w:r>
    </w:p>
  </w:footnote>
  <w:footnote w:id="21">
    <w:p w14:paraId="12ED8C3E" w14:textId="746ABE8F"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t>
      </w:r>
      <w:proofErr w:type="spellStart"/>
      <w:r w:rsidRPr="00541560">
        <w:rPr>
          <w:i/>
          <w:szCs w:val="20"/>
        </w:rPr>
        <w:t>R</w:t>
      </w:r>
      <w:r>
        <w:rPr>
          <w:i/>
          <w:szCs w:val="20"/>
        </w:rPr>
        <w:t>egesto</w:t>
      </w:r>
      <w:proofErr w:type="spellEnd"/>
      <w:r>
        <w:rPr>
          <w:i/>
          <w:szCs w:val="20"/>
        </w:rPr>
        <w:t xml:space="preserve"> di </w:t>
      </w:r>
      <w:proofErr w:type="spellStart"/>
      <w:r w:rsidRPr="00541560">
        <w:rPr>
          <w:i/>
          <w:szCs w:val="20"/>
        </w:rPr>
        <w:t>F</w:t>
      </w:r>
      <w:r>
        <w:rPr>
          <w:i/>
          <w:szCs w:val="20"/>
        </w:rPr>
        <w:t>arfa</w:t>
      </w:r>
      <w:proofErr w:type="spellEnd"/>
      <w:r>
        <w:rPr>
          <w:szCs w:val="20"/>
        </w:rPr>
        <w:t xml:space="preserve">, iii, no. 395 (dated </w:t>
      </w:r>
      <w:r w:rsidRPr="00541560">
        <w:rPr>
          <w:szCs w:val="20"/>
        </w:rPr>
        <w:t>971</w:t>
      </w:r>
      <w:r>
        <w:rPr>
          <w:szCs w:val="20"/>
        </w:rPr>
        <w:t xml:space="preserve">: </w:t>
      </w:r>
      <w:r w:rsidRPr="00541560">
        <w:rPr>
          <w:szCs w:val="20"/>
        </w:rPr>
        <w:t xml:space="preserve">adjudication over abbacy); </w:t>
      </w:r>
      <w:proofErr w:type="gramStart"/>
      <w:r>
        <w:rPr>
          <w:i/>
          <w:szCs w:val="20"/>
        </w:rPr>
        <w:t>ibid</w:t>
      </w:r>
      <w:r>
        <w:rPr>
          <w:szCs w:val="20"/>
        </w:rPr>
        <w:t>.,</w:t>
      </w:r>
      <w:proofErr w:type="gramEnd"/>
      <w:r>
        <w:rPr>
          <w:szCs w:val="20"/>
        </w:rPr>
        <w:t xml:space="preserve"> iii, nos.</w:t>
      </w:r>
      <w:r w:rsidRPr="00541560">
        <w:rPr>
          <w:szCs w:val="20"/>
        </w:rPr>
        <w:t xml:space="preserve"> </w:t>
      </w:r>
      <w:r>
        <w:rPr>
          <w:szCs w:val="20"/>
        </w:rPr>
        <w:t xml:space="preserve">373, 389 (dated </w:t>
      </w:r>
      <w:r w:rsidRPr="00541560">
        <w:rPr>
          <w:szCs w:val="20"/>
        </w:rPr>
        <w:t xml:space="preserve">940, 948), both examples of the </w:t>
      </w:r>
      <w:r w:rsidRPr="00541560">
        <w:rPr>
          <w:i/>
          <w:szCs w:val="20"/>
        </w:rPr>
        <w:t xml:space="preserve">finis </w:t>
      </w:r>
      <w:proofErr w:type="spellStart"/>
      <w:r w:rsidRPr="00541560">
        <w:rPr>
          <w:i/>
          <w:szCs w:val="20"/>
        </w:rPr>
        <w:t>intentionis</w:t>
      </w:r>
      <w:proofErr w:type="spellEnd"/>
      <w:r w:rsidRPr="00541560">
        <w:rPr>
          <w:szCs w:val="20"/>
        </w:rPr>
        <w:t xml:space="preserve"> format.</w:t>
      </w:r>
    </w:p>
  </w:footnote>
  <w:footnote w:id="22">
    <w:p w14:paraId="3E29D355" w14:textId="59187259" w:rsidR="00F23E2A" w:rsidRPr="00541560" w:rsidRDefault="00F23E2A" w:rsidP="004B02E6">
      <w:pPr>
        <w:pStyle w:val="FootnoteText"/>
        <w:rPr>
          <w:szCs w:val="20"/>
        </w:rPr>
      </w:pPr>
      <w:r w:rsidRPr="00541560">
        <w:rPr>
          <w:rStyle w:val="FootnoteReference"/>
          <w:szCs w:val="20"/>
        </w:rPr>
        <w:footnoteRef/>
      </w:r>
      <w:r>
        <w:rPr>
          <w:szCs w:val="20"/>
        </w:rPr>
        <w:t xml:space="preserve"> Pierre</w:t>
      </w:r>
      <w:r w:rsidRPr="00541560">
        <w:rPr>
          <w:szCs w:val="20"/>
        </w:rPr>
        <w:t xml:space="preserve"> </w:t>
      </w:r>
      <w:proofErr w:type="spellStart"/>
      <w:r w:rsidRPr="00541560">
        <w:rPr>
          <w:szCs w:val="20"/>
        </w:rPr>
        <w:t>Toubert</w:t>
      </w:r>
      <w:proofErr w:type="spellEnd"/>
      <w:r w:rsidRPr="00541560">
        <w:rPr>
          <w:szCs w:val="20"/>
        </w:rPr>
        <w:t xml:space="preserve">, </w:t>
      </w:r>
      <w:r w:rsidRPr="00541560">
        <w:rPr>
          <w:i/>
          <w:szCs w:val="20"/>
        </w:rPr>
        <w:t xml:space="preserve">Les structures du Latium </w:t>
      </w:r>
      <w:proofErr w:type="spellStart"/>
      <w:r w:rsidRPr="00541560">
        <w:rPr>
          <w:i/>
          <w:szCs w:val="20"/>
        </w:rPr>
        <w:t>médiéval</w:t>
      </w:r>
      <w:proofErr w:type="spellEnd"/>
      <w:r w:rsidRPr="00541560">
        <w:rPr>
          <w:i/>
          <w:szCs w:val="20"/>
        </w:rPr>
        <w:t xml:space="preserve">: Le Latium </w:t>
      </w:r>
      <w:proofErr w:type="spellStart"/>
      <w:r w:rsidRPr="00541560">
        <w:rPr>
          <w:i/>
          <w:szCs w:val="20"/>
        </w:rPr>
        <w:t>méridional</w:t>
      </w:r>
      <w:proofErr w:type="spellEnd"/>
      <w:r w:rsidRPr="00541560">
        <w:rPr>
          <w:i/>
          <w:szCs w:val="20"/>
        </w:rPr>
        <w:t xml:space="preserve"> </w:t>
      </w:r>
      <w:proofErr w:type="gramStart"/>
      <w:r w:rsidRPr="00541560">
        <w:rPr>
          <w:i/>
          <w:szCs w:val="20"/>
        </w:rPr>
        <w:t>et</w:t>
      </w:r>
      <w:proofErr w:type="gramEnd"/>
      <w:r w:rsidRPr="00541560">
        <w:rPr>
          <w:i/>
          <w:szCs w:val="20"/>
        </w:rPr>
        <w:t xml:space="preserve"> la Sabine du </w:t>
      </w:r>
      <w:proofErr w:type="spellStart"/>
      <w:r w:rsidRPr="00541560">
        <w:rPr>
          <w:i/>
          <w:szCs w:val="20"/>
        </w:rPr>
        <w:t>IXe</w:t>
      </w:r>
      <w:proofErr w:type="spellEnd"/>
      <w:r w:rsidRPr="00541560">
        <w:rPr>
          <w:i/>
          <w:szCs w:val="20"/>
        </w:rPr>
        <w:t xml:space="preserve"> siècle à la fin du </w:t>
      </w:r>
      <w:proofErr w:type="spellStart"/>
      <w:r w:rsidRPr="00541560">
        <w:rPr>
          <w:i/>
          <w:szCs w:val="20"/>
        </w:rPr>
        <w:t>XIIe</w:t>
      </w:r>
      <w:proofErr w:type="spellEnd"/>
      <w:r w:rsidRPr="00541560">
        <w:rPr>
          <w:i/>
          <w:szCs w:val="20"/>
        </w:rPr>
        <w:t xml:space="preserve"> siècle</w:t>
      </w:r>
      <w:r>
        <w:rPr>
          <w:szCs w:val="20"/>
        </w:rPr>
        <w:t>, 2 vols. (</w:t>
      </w:r>
      <w:proofErr w:type="spellStart"/>
      <w:r w:rsidRPr="00541560">
        <w:rPr>
          <w:szCs w:val="20"/>
        </w:rPr>
        <w:t>Bibliothèque</w:t>
      </w:r>
      <w:proofErr w:type="spellEnd"/>
      <w:r w:rsidRPr="00541560">
        <w:rPr>
          <w:szCs w:val="20"/>
        </w:rPr>
        <w:t xml:space="preserve"> des </w:t>
      </w:r>
      <w:proofErr w:type="spellStart"/>
      <w:r w:rsidRPr="00541560">
        <w:rPr>
          <w:szCs w:val="20"/>
        </w:rPr>
        <w:t>écoles</w:t>
      </w:r>
      <w:proofErr w:type="spellEnd"/>
      <w:r w:rsidRPr="00541560">
        <w:rPr>
          <w:szCs w:val="20"/>
        </w:rPr>
        <w:t xml:space="preserve"> </w:t>
      </w:r>
      <w:proofErr w:type="spellStart"/>
      <w:r w:rsidRPr="00541560">
        <w:rPr>
          <w:szCs w:val="20"/>
        </w:rPr>
        <w:t>françaises</w:t>
      </w:r>
      <w:proofErr w:type="spellEnd"/>
      <w:r w:rsidRPr="00541560">
        <w:rPr>
          <w:szCs w:val="20"/>
        </w:rPr>
        <w:t xml:space="preserve"> </w:t>
      </w:r>
      <w:proofErr w:type="spellStart"/>
      <w:r w:rsidRPr="00541560">
        <w:rPr>
          <w:szCs w:val="20"/>
        </w:rPr>
        <w:t>d’Athènes</w:t>
      </w:r>
      <w:proofErr w:type="spellEnd"/>
      <w:r w:rsidRPr="00541560">
        <w:rPr>
          <w:szCs w:val="20"/>
        </w:rPr>
        <w:t xml:space="preserve"> et de Rome, </w:t>
      </w:r>
      <w:r>
        <w:rPr>
          <w:szCs w:val="20"/>
        </w:rPr>
        <w:t xml:space="preserve">ccxxi, </w:t>
      </w:r>
      <w:r w:rsidRPr="00541560">
        <w:rPr>
          <w:szCs w:val="20"/>
        </w:rPr>
        <w:t xml:space="preserve">Rome, 1973), </w:t>
      </w:r>
      <w:r>
        <w:rPr>
          <w:szCs w:val="20"/>
        </w:rPr>
        <w:t>ii</w:t>
      </w:r>
      <w:r w:rsidRPr="00541560">
        <w:rPr>
          <w:szCs w:val="20"/>
        </w:rPr>
        <w:t>, 1269-70.</w:t>
      </w:r>
    </w:p>
  </w:footnote>
  <w:footnote w:id="23">
    <w:p w14:paraId="659D2F2E" w14:textId="524F41F5" w:rsidR="00F23E2A" w:rsidRPr="00541560" w:rsidRDefault="00F23E2A" w:rsidP="004B02E6">
      <w:pPr>
        <w:pStyle w:val="FootnoteText"/>
        <w:rPr>
          <w:szCs w:val="20"/>
          <w:lang w:val="en-GB"/>
        </w:rPr>
      </w:pPr>
      <w:r w:rsidRPr="00541560">
        <w:rPr>
          <w:rStyle w:val="FootnoteReference"/>
          <w:szCs w:val="20"/>
        </w:rPr>
        <w:footnoteRef/>
      </w:r>
      <w:r w:rsidRPr="00541560">
        <w:rPr>
          <w:szCs w:val="20"/>
        </w:rPr>
        <w:t xml:space="preserve"> </w:t>
      </w:r>
      <w:r w:rsidRPr="00541560">
        <w:rPr>
          <w:szCs w:val="20"/>
          <w:lang w:val="en-GB"/>
        </w:rPr>
        <w:t xml:space="preserve">The generally accepted dates of Gregory’s oeuvre are: </w:t>
      </w:r>
      <w:proofErr w:type="spellStart"/>
      <w:r w:rsidRPr="00541560">
        <w:rPr>
          <w:i/>
          <w:szCs w:val="20"/>
          <w:lang w:val="en-GB"/>
        </w:rPr>
        <w:t>Regestum</w:t>
      </w:r>
      <w:proofErr w:type="spellEnd"/>
      <w:r w:rsidRPr="00541560">
        <w:rPr>
          <w:i/>
          <w:szCs w:val="20"/>
          <w:lang w:val="en-GB"/>
        </w:rPr>
        <w:t xml:space="preserve"> </w:t>
      </w:r>
      <w:proofErr w:type="spellStart"/>
      <w:r w:rsidRPr="00541560">
        <w:rPr>
          <w:i/>
          <w:szCs w:val="20"/>
          <w:lang w:val="en-GB"/>
        </w:rPr>
        <w:t>Farfense</w:t>
      </w:r>
      <w:proofErr w:type="spellEnd"/>
      <w:r w:rsidRPr="00541560">
        <w:rPr>
          <w:szCs w:val="20"/>
          <w:lang w:val="en-GB"/>
        </w:rPr>
        <w:t xml:space="preserve">, 1099-1103; </w:t>
      </w:r>
      <w:r w:rsidRPr="00541560">
        <w:rPr>
          <w:i/>
          <w:szCs w:val="20"/>
          <w:lang w:val="en-GB"/>
        </w:rPr>
        <w:t xml:space="preserve">Liber </w:t>
      </w:r>
      <w:proofErr w:type="spellStart"/>
      <w:r w:rsidRPr="00541560">
        <w:rPr>
          <w:i/>
          <w:szCs w:val="20"/>
          <w:lang w:val="en-GB"/>
        </w:rPr>
        <w:t>Largitorius</w:t>
      </w:r>
      <w:proofErr w:type="spellEnd"/>
      <w:r w:rsidRPr="00541560">
        <w:rPr>
          <w:szCs w:val="20"/>
          <w:lang w:val="en-GB"/>
        </w:rPr>
        <w:t xml:space="preserve">, 1103-1107; </w:t>
      </w:r>
      <w:proofErr w:type="spellStart"/>
      <w:r w:rsidRPr="00541560">
        <w:rPr>
          <w:i/>
          <w:szCs w:val="20"/>
          <w:lang w:val="en-GB"/>
        </w:rPr>
        <w:t>Chronicon</w:t>
      </w:r>
      <w:proofErr w:type="spellEnd"/>
      <w:r w:rsidRPr="00541560">
        <w:rPr>
          <w:i/>
          <w:szCs w:val="20"/>
          <w:lang w:val="en-GB"/>
        </w:rPr>
        <w:t xml:space="preserve"> </w:t>
      </w:r>
      <w:proofErr w:type="spellStart"/>
      <w:r w:rsidRPr="00541560">
        <w:rPr>
          <w:i/>
          <w:szCs w:val="20"/>
          <w:lang w:val="en-GB"/>
        </w:rPr>
        <w:t>Farfense</w:t>
      </w:r>
      <w:proofErr w:type="spellEnd"/>
      <w:r w:rsidRPr="00541560">
        <w:rPr>
          <w:szCs w:val="20"/>
          <w:lang w:val="en-GB"/>
        </w:rPr>
        <w:t xml:space="preserve">, 1107-1119; and </w:t>
      </w:r>
      <w:r w:rsidRPr="00541560">
        <w:rPr>
          <w:i/>
          <w:szCs w:val="20"/>
          <w:lang w:val="en-GB"/>
        </w:rPr>
        <w:t xml:space="preserve">Liber </w:t>
      </w:r>
      <w:proofErr w:type="spellStart"/>
      <w:r w:rsidRPr="00541560">
        <w:rPr>
          <w:i/>
          <w:szCs w:val="20"/>
          <w:lang w:val="en-GB"/>
        </w:rPr>
        <w:t>Floriger</w:t>
      </w:r>
      <w:proofErr w:type="spellEnd"/>
      <w:r>
        <w:rPr>
          <w:szCs w:val="20"/>
          <w:lang w:val="en-GB"/>
        </w:rPr>
        <w:t>, c.1130: see Herbert</w:t>
      </w:r>
      <w:r w:rsidRPr="00541560">
        <w:rPr>
          <w:szCs w:val="20"/>
          <w:lang w:val="en-GB"/>
        </w:rPr>
        <w:t xml:space="preserve"> Zielinski, </w:t>
      </w:r>
      <w:proofErr w:type="spellStart"/>
      <w:r w:rsidRPr="00541560">
        <w:rPr>
          <w:i/>
          <w:szCs w:val="20"/>
        </w:rPr>
        <w:t>Studien</w:t>
      </w:r>
      <w:proofErr w:type="spellEnd"/>
      <w:r w:rsidRPr="00541560">
        <w:rPr>
          <w:i/>
          <w:szCs w:val="20"/>
        </w:rPr>
        <w:t xml:space="preserve"> </w:t>
      </w:r>
      <w:proofErr w:type="spellStart"/>
      <w:r w:rsidRPr="00541560">
        <w:rPr>
          <w:i/>
          <w:szCs w:val="20"/>
        </w:rPr>
        <w:t>zu</w:t>
      </w:r>
      <w:proofErr w:type="spellEnd"/>
      <w:r w:rsidRPr="00541560">
        <w:rPr>
          <w:i/>
          <w:szCs w:val="20"/>
        </w:rPr>
        <w:t xml:space="preserve"> den </w:t>
      </w:r>
      <w:proofErr w:type="spellStart"/>
      <w:r w:rsidRPr="00541560">
        <w:rPr>
          <w:i/>
          <w:szCs w:val="20"/>
        </w:rPr>
        <w:t>spoletinischen</w:t>
      </w:r>
      <w:proofErr w:type="spellEnd"/>
      <w:r w:rsidRPr="00541560">
        <w:rPr>
          <w:i/>
          <w:szCs w:val="20"/>
        </w:rPr>
        <w:t xml:space="preserve"> ‘</w:t>
      </w:r>
      <w:proofErr w:type="spellStart"/>
      <w:r w:rsidRPr="00541560">
        <w:rPr>
          <w:i/>
          <w:szCs w:val="20"/>
        </w:rPr>
        <w:t>Privaturkunden</w:t>
      </w:r>
      <w:proofErr w:type="spellEnd"/>
      <w:r w:rsidRPr="00541560">
        <w:rPr>
          <w:i/>
          <w:szCs w:val="20"/>
        </w:rPr>
        <w:t xml:space="preserve">’ des 8. </w:t>
      </w:r>
      <w:proofErr w:type="spellStart"/>
      <w:r w:rsidRPr="00541560">
        <w:rPr>
          <w:i/>
          <w:szCs w:val="20"/>
        </w:rPr>
        <w:t>Jahrhunderts</w:t>
      </w:r>
      <w:proofErr w:type="spellEnd"/>
      <w:r w:rsidRPr="00541560">
        <w:rPr>
          <w:i/>
          <w:szCs w:val="20"/>
        </w:rPr>
        <w:t xml:space="preserve"> und </w:t>
      </w:r>
      <w:proofErr w:type="spellStart"/>
      <w:r w:rsidRPr="00541560">
        <w:rPr>
          <w:i/>
          <w:szCs w:val="20"/>
        </w:rPr>
        <w:t>ihrer</w:t>
      </w:r>
      <w:proofErr w:type="spellEnd"/>
      <w:r w:rsidRPr="00541560">
        <w:rPr>
          <w:i/>
          <w:szCs w:val="20"/>
        </w:rPr>
        <w:t xml:space="preserve"> </w:t>
      </w:r>
      <w:proofErr w:type="spellStart"/>
      <w:r w:rsidRPr="00541560">
        <w:rPr>
          <w:i/>
          <w:szCs w:val="20"/>
        </w:rPr>
        <w:t>Überlieferung</w:t>
      </w:r>
      <w:proofErr w:type="spellEnd"/>
      <w:r w:rsidRPr="00541560">
        <w:rPr>
          <w:i/>
          <w:szCs w:val="20"/>
        </w:rPr>
        <w:t xml:space="preserve"> </w:t>
      </w:r>
      <w:proofErr w:type="spellStart"/>
      <w:r w:rsidRPr="00541560">
        <w:rPr>
          <w:i/>
          <w:szCs w:val="20"/>
        </w:rPr>
        <w:t>im</w:t>
      </w:r>
      <w:proofErr w:type="spellEnd"/>
      <w:r w:rsidRPr="00541560">
        <w:rPr>
          <w:i/>
          <w:szCs w:val="20"/>
        </w:rPr>
        <w:t xml:space="preserve"> </w:t>
      </w:r>
      <w:proofErr w:type="spellStart"/>
      <w:r w:rsidRPr="00541560">
        <w:rPr>
          <w:i/>
          <w:szCs w:val="20"/>
        </w:rPr>
        <w:t>Regestum</w:t>
      </w:r>
      <w:proofErr w:type="spellEnd"/>
      <w:r w:rsidRPr="00541560">
        <w:rPr>
          <w:i/>
          <w:szCs w:val="20"/>
        </w:rPr>
        <w:t xml:space="preserve"> </w:t>
      </w:r>
      <w:proofErr w:type="spellStart"/>
      <w:r w:rsidRPr="00541560">
        <w:rPr>
          <w:i/>
          <w:szCs w:val="20"/>
        </w:rPr>
        <w:t>farfense</w:t>
      </w:r>
      <w:proofErr w:type="spellEnd"/>
      <w:r w:rsidRPr="00541560">
        <w:rPr>
          <w:szCs w:val="20"/>
        </w:rPr>
        <w:t xml:space="preserve"> </w:t>
      </w:r>
      <w:r>
        <w:rPr>
          <w:szCs w:val="20"/>
        </w:rPr>
        <w:t>(</w:t>
      </w:r>
      <w:proofErr w:type="spellStart"/>
      <w:r w:rsidRPr="00541560">
        <w:rPr>
          <w:szCs w:val="20"/>
        </w:rPr>
        <w:t>Bibliothek</w:t>
      </w:r>
      <w:proofErr w:type="spellEnd"/>
      <w:r w:rsidRPr="00541560">
        <w:rPr>
          <w:szCs w:val="20"/>
        </w:rPr>
        <w:t xml:space="preserve"> des </w:t>
      </w:r>
      <w:proofErr w:type="spellStart"/>
      <w:r w:rsidRPr="00541560">
        <w:rPr>
          <w:szCs w:val="20"/>
        </w:rPr>
        <w:t>Deutschen</w:t>
      </w:r>
      <w:proofErr w:type="spellEnd"/>
      <w:r w:rsidRPr="00541560">
        <w:rPr>
          <w:szCs w:val="20"/>
        </w:rPr>
        <w:t xml:space="preserve"> </w:t>
      </w:r>
      <w:proofErr w:type="spellStart"/>
      <w:r w:rsidRPr="00541560">
        <w:rPr>
          <w:szCs w:val="20"/>
        </w:rPr>
        <w:t>historischen</w:t>
      </w:r>
      <w:proofErr w:type="spellEnd"/>
      <w:r w:rsidRPr="00541560">
        <w:rPr>
          <w:szCs w:val="20"/>
        </w:rPr>
        <w:t xml:space="preserve"> </w:t>
      </w:r>
      <w:proofErr w:type="spellStart"/>
      <w:r w:rsidRPr="00541560">
        <w:rPr>
          <w:szCs w:val="20"/>
        </w:rPr>
        <w:t>Instituts</w:t>
      </w:r>
      <w:proofErr w:type="spellEnd"/>
      <w:r w:rsidRPr="00541560">
        <w:rPr>
          <w:szCs w:val="20"/>
        </w:rPr>
        <w:t xml:space="preserve"> in Rom</w:t>
      </w:r>
      <w:r>
        <w:rPr>
          <w:szCs w:val="20"/>
        </w:rPr>
        <w:t xml:space="preserve">, xxxix, </w:t>
      </w:r>
      <w:proofErr w:type="spellStart"/>
      <w:r w:rsidRPr="00541560">
        <w:rPr>
          <w:szCs w:val="20"/>
        </w:rPr>
        <w:t>Tübingen</w:t>
      </w:r>
      <w:proofErr w:type="spellEnd"/>
      <w:r w:rsidRPr="00541560">
        <w:rPr>
          <w:szCs w:val="20"/>
        </w:rPr>
        <w:t>, 1972), 25-32.</w:t>
      </w:r>
    </w:p>
  </w:footnote>
  <w:footnote w:id="24">
    <w:p w14:paraId="5A27E69B" w14:textId="6EAD5DA1"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t>
      </w:r>
      <w:proofErr w:type="spellStart"/>
      <w:r w:rsidRPr="00541560">
        <w:rPr>
          <w:szCs w:val="20"/>
        </w:rPr>
        <w:t>Bougard</w:t>
      </w:r>
      <w:proofErr w:type="spellEnd"/>
      <w:r w:rsidRPr="00541560">
        <w:rPr>
          <w:szCs w:val="20"/>
        </w:rPr>
        <w:t xml:space="preserve">, </w:t>
      </w:r>
      <w:r w:rsidRPr="00541560">
        <w:rPr>
          <w:i/>
          <w:iCs/>
          <w:szCs w:val="20"/>
        </w:rPr>
        <w:t>La justice</w:t>
      </w:r>
      <w:r w:rsidRPr="00541560">
        <w:rPr>
          <w:szCs w:val="20"/>
        </w:rPr>
        <w:t xml:space="preserve">, </w:t>
      </w:r>
      <w:r>
        <w:rPr>
          <w:szCs w:val="20"/>
        </w:rPr>
        <w:t xml:space="preserve">308 for these raw proportions. </w:t>
      </w:r>
      <w:r w:rsidRPr="00541560">
        <w:rPr>
          <w:szCs w:val="20"/>
        </w:rPr>
        <w:t xml:space="preserve">Further on the ‘disappearance’ of </w:t>
      </w:r>
      <w:proofErr w:type="spellStart"/>
      <w:r w:rsidRPr="00541560">
        <w:rPr>
          <w:i/>
          <w:iCs/>
          <w:szCs w:val="20"/>
        </w:rPr>
        <w:t>notitiae</w:t>
      </w:r>
      <w:proofErr w:type="spellEnd"/>
      <w:r>
        <w:rPr>
          <w:szCs w:val="20"/>
        </w:rPr>
        <w:t xml:space="preserve"> of ‘real’ disputes, see Osama</w:t>
      </w:r>
      <w:r w:rsidRPr="00541560">
        <w:rPr>
          <w:szCs w:val="20"/>
        </w:rPr>
        <w:t xml:space="preserve"> Kano, ‘La </w:t>
      </w:r>
      <w:proofErr w:type="spellStart"/>
      <w:r w:rsidRPr="00541560">
        <w:rPr>
          <w:szCs w:val="20"/>
        </w:rPr>
        <w:t>disparition</w:t>
      </w:r>
      <w:proofErr w:type="spellEnd"/>
      <w:r w:rsidRPr="00541560">
        <w:rPr>
          <w:szCs w:val="20"/>
        </w:rPr>
        <w:t xml:space="preserve"> </w:t>
      </w:r>
      <w:r>
        <w:rPr>
          <w:szCs w:val="20"/>
        </w:rPr>
        <w:t xml:space="preserve">des </w:t>
      </w:r>
      <w:proofErr w:type="spellStart"/>
      <w:r>
        <w:rPr>
          <w:szCs w:val="20"/>
        </w:rPr>
        <w:t>actes</w:t>
      </w:r>
      <w:proofErr w:type="spellEnd"/>
      <w:r>
        <w:rPr>
          <w:szCs w:val="20"/>
        </w:rPr>
        <w:t xml:space="preserve"> de </w:t>
      </w:r>
      <w:proofErr w:type="spellStart"/>
      <w:r>
        <w:rPr>
          <w:szCs w:val="20"/>
        </w:rPr>
        <w:t>jugement</w:t>
      </w:r>
      <w:proofErr w:type="spellEnd"/>
      <w:r>
        <w:rPr>
          <w:szCs w:val="20"/>
        </w:rPr>
        <w:t xml:space="preserve">: </w:t>
      </w:r>
      <w:proofErr w:type="spellStart"/>
      <w:r>
        <w:rPr>
          <w:szCs w:val="20"/>
        </w:rPr>
        <w:t>une</w:t>
      </w:r>
      <w:proofErr w:type="spellEnd"/>
      <w:r>
        <w:rPr>
          <w:szCs w:val="20"/>
        </w:rPr>
        <w:t xml:space="preserve"> </w:t>
      </w:r>
      <w:proofErr w:type="spellStart"/>
      <w:r>
        <w:rPr>
          <w:szCs w:val="20"/>
        </w:rPr>
        <w:t>consé</w:t>
      </w:r>
      <w:r w:rsidRPr="00541560">
        <w:rPr>
          <w:szCs w:val="20"/>
        </w:rPr>
        <w:t>quence</w:t>
      </w:r>
      <w:proofErr w:type="spellEnd"/>
      <w:r w:rsidRPr="00541560">
        <w:rPr>
          <w:szCs w:val="20"/>
        </w:rPr>
        <w:t xml:space="preserve"> de la reconstruction de </w:t>
      </w:r>
      <w:proofErr w:type="spellStart"/>
      <w:r w:rsidRPr="00541560">
        <w:rPr>
          <w:szCs w:val="20"/>
        </w:rPr>
        <w:t>l’espace</w:t>
      </w:r>
      <w:proofErr w:type="spellEnd"/>
      <w:r w:rsidRPr="00541560">
        <w:rPr>
          <w:szCs w:val="20"/>
        </w:rPr>
        <w:t xml:space="preserve"> de communication des </w:t>
      </w:r>
      <w:proofErr w:type="spellStart"/>
      <w:r w:rsidRPr="00541560">
        <w:rPr>
          <w:szCs w:val="20"/>
        </w:rPr>
        <w:t>diplômes</w:t>
      </w:r>
      <w:proofErr w:type="spellEnd"/>
      <w:r w:rsidRPr="00541560">
        <w:rPr>
          <w:szCs w:val="20"/>
        </w:rPr>
        <w:t xml:space="preserve"> par les </w:t>
      </w:r>
      <w:proofErr w:type="spellStart"/>
      <w:r w:rsidRPr="00541560">
        <w:rPr>
          <w:szCs w:val="20"/>
        </w:rPr>
        <w:t>Carolingiens</w:t>
      </w:r>
      <w:proofErr w:type="spellEnd"/>
      <w:r w:rsidRPr="00541560">
        <w:rPr>
          <w:szCs w:val="20"/>
        </w:rPr>
        <w:t>?</w:t>
      </w:r>
      <w:proofErr w:type="gramStart"/>
      <w:r w:rsidRPr="00541560">
        <w:rPr>
          <w:szCs w:val="20"/>
        </w:rPr>
        <w:t>’,</w:t>
      </w:r>
      <w:proofErr w:type="gramEnd"/>
      <w:r w:rsidRPr="00541560">
        <w:rPr>
          <w:szCs w:val="20"/>
        </w:rPr>
        <w:t xml:space="preserve"> </w:t>
      </w:r>
      <w:r w:rsidRPr="00541560">
        <w:rPr>
          <w:i/>
          <w:iCs/>
          <w:szCs w:val="20"/>
        </w:rPr>
        <w:t>Journal of Studies f</w:t>
      </w:r>
      <w:r>
        <w:rPr>
          <w:i/>
          <w:iCs/>
          <w:szCs w:val="20"/>
        </w:rPr>
        <w:t>or the Integrated Text Science</w:t>
      </w:r>
      <w:r>
        <w:rPr>
          <w:iCs/>
          <w:szCs w:val="20"/>
        </w:rPr>
        <w:t>,</w:t>
      </w:r>
      <w:r w:rsidRPr="00541560">
        <w:rPr>
          <w:szCs w:val="20"/>
        </w:rPr>
        <w:t xml:space="preserve"> </w:t>
      </w:r>
      <w:r>
        <w:rPr>
          <w:szCs w:val="20"/>
        </w:rPr>
        <w:t>i</w:t>
      </w:r>
      <w:r w:rsidRPr="00541560">
        <w:rPr>
          <w:szCs w:val="20"/>
        </w:rPr>
        <w:t xml:space="preserve"> (2003), </w:t>
      </w:r>
      <w:r>
        <w:rPr>
          <w:szCs w:val="20"/>
        </w:rPr>
        <w:t xml:space="preserve">31-51; François </w:t>
      </w:r>
      <w:proofErr w:type="spellStart"/>
      <w:r>
        <w:rPr>
          <w:szCs w:val="20"/>
        </w:rPr>
        <w:t>Bougard</w:t>
      </w:r>
      <w:proofErr w:type="spellEnd"/>
      <w:r>
        <w:rPr>
          <w:szCs w:val="20"/>
        </w:rPr>
        <w:t xml:space="preserve">, ‘Tempore </w:t>
      </w:r>
      <w:proofErr w:type="spellStart"/>
      <w:r>
        <w:rPr>
          <w:szCs w:val="20"/>
        </w:rPr>
        <w:t>barbarici</w:t>
      </w:r>
      <w:proofErr w:type="spellEnd"/>
      <w:r>
        <w:rPr>
          <w:szCs w:val="20"/>
        </w:rPr>
        <w:t xml:space="preserve">? </w:t>
      </w:r>
      <w:r w:rsidRPr="00541560">
        <w:rPr>
          <w:szCs w:val="20"/>
          <w:lang w:val="it-IT"/>
        </w:rPr>
        <w:t>La production documen</w:t>
      </w:r>
      <w:r>
        <w:rPr>
          <w:szCs w:val="20"/>
          <w:lang w:val="it-IT"/>
        </w:rPr>
        <w:t>taire publique et privée’, in Stefano</w:t>
      </w:r>
      <w:r w:rsidRPr="00541560">
        <w:rPr>
          <w:szCs w:val="20"/>
          <w:lang w:val="it-IT"/>
        </w:rPr>
        <w:t xml:space="preserve"> Gasparri </w:t>
      </w:r>
      <w:r>
        <w:rPr>
          <w:szCs w:val="20"/>
          <w:lang w:val="it-IT"/>
        </w:rPr>
        <w:t>(</w:t>
      </w:r>
      <w:r w:rsidRPr="00541560">
        <w:rPr>
          <w:szCs w:val="20"/>
          <w:lang w:val="it-IT"/>
        </w:rPr>
        <w:t>ed.</w:t>
      </w:r>
      <w:r>
        <w:rPr>
          <w:szCs w:val="20"/>
          <w:lang w:val="it-IT"/>
        </w:rPr>
        <w:t>)</w:t>
      </w:r>
      <w:r w:rsidRPr="00541560">
        <w:rPr>
          <w:szCs w:val="20"/>
          <w:lang w:val="it-IT"/>
        </w:rPr>
        <w:t xml:space="preserve">, </w:t>
      </w:r>
      <w:r w:rsidRPr="00541560">
        <w:rPr>
          <w:i/>
          <w:iCs/>
          <w:szCs w:val="20"/>
          <w:lang w:val="it-IT"/>
        </w:rPr>
        <w:t>774, ipotesi su una transizione</w:t>
      </w:r>
      <w:r w:rsidRPr="00541560">
        <w:rPr>
          <w:szCs w:val="20"/>
          <w:lang w:val="it-IT"/>
        </w:rPr>
        <w:t xml:space="preserve">, Atti del seminario di Poggibonsi, 16-18 febbraio 2006 (Turnhout, 2008), 331-51; </w:t>
      </w:r>
      <w:r>
        <w:rPr>
          <w:szCs w:val="20"/>
          <w:lang w:val="it-IT"/>
        </w:rPr>
        <w:t>Bougard</w:t>
      </w:r>
      <w:r w:rsidRPr="00541560">
        <w:rPr>
          <w:szCs w:val="20"/>
          <w:lang w:val="it-IT"/>
        </w:rPr>
        <w:t xml:space="preserve">, ‘“Falsum falsorum judicum consilium”: l’écrit et la justice en Italie centro-septentrionale au XIe siècle’, </w:t>
      </w:r>
      <w:r>
        <w:rPr>
          <w:i/>
          <w:iCs/>
          <w:szCs w:val="20"/>
          <w:lang w:val="it-IT"/>
        </w:rPr>
        <w:t>Bibliothèque de l'École des C</w:t>
      </w:r>
      <w:r w:rsidRPr="00541560">
        <w:rPr>
          <w:i/>
          <w:iCs/>
          <w:szCs w:val="20"/>
          <w:lang w:val="it-IT"/>
        </w:rPr>
        <w:t>hartes</w:t>
      </w:r>
      <w:r>
        <w:rPr>
          <w:iCs/>
          <w:szCs w:val="20"/>
          <w:lang w:val="it-IT"/>
        </w:rPr>
        <w:t>, clv</w:t>
      </w:r>
      <w:r w:rsidRPr="00541560">
        <w:rPr>
          <w:szCs w:val="20"/>
          <w:lang w:val="it-IT"/>
        </w:rPr>
        <w:t xml:space="preserve"> (1997), 299-314; </w:t>
      </w:r>
      <w:r>
        <w:rPr>
          <w:szCs w:val="20"/>
          <w:lang w:val="it-IT"/>
        </w:rPr>
        <w:t>Bougard</w:t>
      </w:r>
      <w:r w:rsidRPr="00541560">
        <w:rPr>
          <w:szCs w:val="20"/>
          <w:lang w:val="it-IT"/>
        </w:rPr>
        <w:t xml:space="preserve">, ‘Écrire le procès: le compte rendu judiciaire entre VIIIe et XIe siècle’, </w:t>
      </w:r>
      <w:r w:rsidRPr="00541560">
        <w:rPr>
          <w:rStyle w:val="Emphasis"/>
          <w:szCs w:val="20"/>
          <w:lang w:val="it-IT"/>
        </w:rPr>
        <w:t>Médiévales</w:t>
      </w:r>
      <w:r>
        <w:rPr>
          <w:rStyle w:val="Emphasis"/>
          <w:i w:val="0"/>
          <w:szCs w:val="20"/>
          <w:lang w:val="it-IT"/>
        </w:rPr>
        <w:t>, lvi</w:t>
      </w:r>
      <w:r w:rsidRPr="00541560">
        <w:rPr>
          <w:szCs w:val="20"/>
          <w:lang w:val="it-IT"/>
        </w:rPr>
        <w:t xml:space="preserve"> (2009), 23-40</w:t>
      </w:r>
    </w:p>
  </w:footnote>
  <w:footnote w:id="25">
    <w:p w14:paraId="47C69B8E" w14:textId="6C1D5762"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References to </w:t>
      </w:r>
      <w:proofErr w:type="spellStart"/>
      <w:r w:rsidRPr="00541560">
        <w:rPr>
          <w:szCs w:val="20"/>
        </w:rPr>
        <w:t>Farfa</w:t>
      </w:r>
      <w:proofErr w:type="spellEnd"/>
      <w:r w:rsidRPr="00541560">
        <w:rPr>
          <w:szCs w:val="20"/>
        </w:rPr>
        <w:t xml:space="preserve"> notices are best given according to their number in the edition of the </w:t>
      </w:r>
      <w:proofErr w:type="spellStart"/>
      <w:r w:rsidRPr="00541560">
        <w:rPr>
          <w:i/>
          <w:szCs w:val="20"/>
        </w:rPr>
        <w:t>Regest</w:t>
      </w:r>
      <w:r>
        <w:rPr>
          <w:i/>
          <w:szCs w:val="20"/>
        </w:rPr>
        <w:t>o</w:t>
      </w:r>
      <w:proofErr w:type="spellEnd"/>
      <w:r>
        <w:rPr>
          <w:i/>
          <w:szCs w:val="20"/>
        </w:rPr>
        <w:t xml:space="preserve"> di </w:t>
      </w:r>
      <w:proofErr w:type="spellStart"/>
      <w:r w:rsidRPr="00541560">
        <w:rPr>
          <w:i/>
          <w:szCs w:val="20"/>
        </w:rPr>
        <w:t>Farf</w:t>
      </w:r>
      <w:r>
        <w:rPr>
          <w:i/>
          <w:szCs w:val="20"/>
        </w:rPr>
        <w:t>a</w:t>
      </w:r>
      <w:proofErr w:type="spellEnd"/>
      <w:r w:rsidRPr="00541560">
        <w:rPr>
          <w:szCs w:val="20"/>
        </w:rPr>
        <w:t xml:space="preserve">, since </w:t>
      </w:r>
      <w:proofErr w:type="spellStart"/>
      <w:r w:rsidRPr="00541560">
        <w:rPr>
          <w:szCs w:val="20"/>
        </w:rPr>
        <w:t>Manaresi</w:t>
      </w:r>
      <w:proofErr w:type="spellEnd"/>
      <w:r w:rsidRPr="00541560">
        <w:rPr>
          <w:szCs w:val="20"/>
        </w:rPr>
        <w:t xml:space="preserve"> missed a few (see </w:t>
      </w:r>
      <w:proofErr w:type="spellStart"/>
      <w:r w:rsidRPr="00541560">
        <w:rPr>
          <w:szCs w:val="20"/>
        </w:rPr>
        <w:t>Bougard</w:t>
      </w:r>
      <w:proofErr w:type="spellEnd"/>
      <w:r w:rsidRPr="00541560">
        <w:rPr>
          <w:szCs w:val="20"/>
        </w:rPr>
        <w:t xml:space="preserve">, </w:t>
      </w:r>
      <w:r w:rsidRPr="00541560">
        <w:rPr>
          <w:i/>
          <w:szCs w:val="20"/>
        </w:rPr>
        <w:t>La justice</w:t>
      </w:r>
      <w:r w:rsidRPr="00541560">
        <w:rPr>
          <w:szCs w:val="20"/>
        </w:rPr>
        <w:t xml:space="preserve">, 111 with n. 12).  The surviving notices dating from 994 or after are </w:t>
      </w:r>
      <w:proofErr w:type="spellStart"/>
      <w:r w:rsidRPr="00541560">
        <w:rPr>
          <w:i/>
          <w:szCs w:val="20"/>
        </w:rPr>
        <w:t>R</w:t>
      </w:r>
      <w:r>
        <w:rPr>
          <w:i/>
          <w:szCs w:val="20"/>
        </w:rPr>
        <w:t>egesto</w:t>
      </w:r>
      <w:proofErr w:type="spellEnd"/>
      <w:r>
        <w:rPr>
          <w:i/>
          <w:szCs w:val="20"/>
        </w:rPr>
        <w:t xml:space="preserve"> di </w:t>
      </w:r>
      <w:proofErr w:type="spellStart"/>
      <w:r w:rsidRPr="00541560">
        <w:rPr>
          <w:i/>
          <w:szCs w:val="20"/>
        </w:rPr>
        <w:t>F</w:t>
      </w:r>
      <w:r>
        <w:rPr>
          <w:i/>
          <w:szCs w:val="20"/>
        </w:rPr>
        <w:t>arfa</w:t>
      </w:r>
      <w:proofErr w:type="spellEnd"/>
      <w:r>
        <w:rPr>
          <w:szCs w:val="20"/>
        </w:rPr>
        <w:t>, iii, nos.</w:t>
      </w:r>
      <w:r w:rsidRPr="00541560">
        <w:rPr>
          <w:szCs w:val="20"/>
        </w:rPr>
        <w:t xml:space="preserve"> 405, 411, 430, 437, 443, 458, 477, 492, 535, 536, 560; </w:t>
      </w:r>
      <w:proofErr w:type="gramStart"/>
      <w:r>
        <w:rPr>
          <w:szCs w:val="20"/>
        </w:rPr>
        <w:t>iv</w:t>
      </w:r>
      <w:proofErr w:type="gramEnd"/>
      <w:r>
        <w:rPr>
          <w:szCs w:val="20"/>
        </w:rPr>
        <w:t>, nos.</w:t>
      </w:r>
      <w:r w:rsidRPr="00541560">
        <w:rPr>
          <w:szCs w:val="20"/>
        </w:rPr>
        <w:t xml:space="preserve"> 813, 824; </w:t>
      </w:r>
      <w:r>
        <w:rPr>
          <w:szCs w:val="20"/>
        </w:rPr>
        <w:t>v, nos.</w:t>
      </w:r>
      <w:r w:rsidRPr="00541560">
        <w:rPr>
          <w:szCs w:val="20"/>
        </w:rPr>
        <w:t xml:space="preserve"> 1088, 1100.</w:t>
      </w:r>
    </w:p>
  </w:footnote>
  <w:footnote w:id="26">
    <w:p w14:paraId="294A68DC" w14:textId="59A1FDD4" w:rsidR="00F23E2A" w:rsidRPr="00541560" w:rsidRDefault="00F23E2A" w:rsidP="004B02E6">
      <w:pPr>
        <w:pStyle w:val="FootnoteText"/>
        <w:rPr>
          <w:szCs w:val="20"/>
        </w:rPr>
      </w:pPr>
      <w:r w:rsidRPr="00541560">
        <w:rPr>
          <w:rStyle w:val="FootnoteReference"/>
          <w:szCs w:val="20"/>
        </w:rPr>
        <w:footnoteRef/>
      </w:r>
      <w:r>
        <w:rPr>
          <w:szCs w:val="20"/>
        </w:rPr>
        <w:t xml:space="preserve"> See above all Matthew</w:t>
      </w:r>
      <w:r w:rsidRPr="00541560">
        <w:rPr>
          <w:szCs w:val="20"/>
        </w:rPr>
        <w:t xml:space="preserve"> Innes, ‘Archives, Documents and Landowner</w:t>
      </w:r>
      <w:r>
        <w:rPr>
          <w:szCs w:val="20"/>
        </w:rPr>
        <w:t xml:space="preserve">s in Carolingian </w:t>
      </w:r>
      <w:proofErr w:type="spellStart"/>
      <w:r>
        <w:rPr>
          <w:szCs w:val="20"/>
        </w:rPr>
        <w:t>Francia</w:t>
      </w:r>
      <w:proofErr w:type="spellEnd"/>
      <w:r>
        <w:rPr>
          <w:szCs w:val="20"/>
        </w:rPr>
        <w:t>’, in Warren</w:t>
      </w:r>
      <w:r w:rsidRPr="00541560">
        <w:rPr>
          <w:szCs w:val="20"/>
        </w:rPr>
        <w:t xml:space="preserve"> Brown</w:t>
      </w:r>
      <w:r>
        <w:rPr>
          <w:szCs w:val="20"/>
        </w:rPr>
        <w:t xml:space="preserve"> </w:t>
      </w:r>
      <w:r>
        <w:rPr>
          <w:i/>
          <w:szCs w:val="20"/>
        </w:rPr>
        <w:t>et al</w:t>
      </w:r>
      <w:r>
        <w:rPr>
          <w:szCs w:val="20"/>
        </w:rPr>
        <w:t>. (eds.)</w:t>
      </w:r>
      <w:r w:rsidRPr="00541560">
        <w:rPr>
          <w:szCs w:val="20"/>
        </w:rPr>
        <w:t xml:space="preserve">, </w:t>
      </w:r>
      <w:r w:rsidRPr="00541560">
        <w:rPr>
          <w:i/>
          <w:iCs/>
          <w:szCs w:val="20"/>
        </w:rPr>
        <w:t>Documentary Culture and the Laity in the Early Middle Ages</w:t>
      </w:r>
      <w:r w:rsidRPr="00541560">
        <w:rPr>
          <w:szCs w:val="20"/>
        </w:rPr>
        <w:t xml:space="preserve"> (Cambridge, 2013), 152-188, based in part on detailed studies by </w:t>
      </w:r>
      <w:r>
        <w:rPr>
          <w:rStyle w:val="FootnoteTextChar3"/>
        </w:rPr>
        <w:t>Peter</w:t>
      </w:r>
      <w:r w:rsidRPr="00541560">
        <w:rPr>
          <w:rStyle w:val="FootnoteTextChar3"/>
        </w:rPr>
        <w:t xml:space="preserve"> </w:t>
      </w:r>
      <w:proofErr w:type="spellStart"/>
      <w:r w:rsidRPr="00541560">
        <w:rPr>
          <w:rStyle w:val="FootnoteTextChar3"/>
        </w:rPr>
        <w:t>Erhart</w:t>
      </w:r>
      <w:proofErr w:type="spellEnd"/>
      <w:r w:rsidRPr="00541560">
        <w:rPr>
          <w:rStyle w:val="FootnoteTextChar3"/>
        </w:rPr>
        <w:t xml:space="preserve">, ‘Dem </w:t>
      </w:r>
      <w:proofErr w:type="spellStart"/>
      <w:r w:rsidRPr="00541560">
        <w:rPr>
          <w:rStyle w:val="FootnoteTextChar3"/>
        </w:rPr>
        <w:t>Gedächtnis</w:t>
      </w:r>
      <w:proofErr w:type="spellEnd"/>
      <w:r w:rsidRPr="00541560">
        <w:rPr>
          <w:rStyle w:val="FootnoteTextChar3"/>
        </w:rPr>
        <w:t xml:space="preserve"> auf der Spur: Das </w:t>
      </w:r>
      <w:proofErr w:type="spellStart"/>
      <w:r w:rsidRPr="00541560">
        <w:rPr>
          <w:rStyle w:val="FootnoteTextChar3"/>
        </w:rPr>
        <w:t>frühmittelalterliche</w:t>
      </w:r>
      <w:proofErr w:type="spellEnd"/>
      <w:r w:rsidRPr="00541560">
        <w:rPr>
          <w:rStyle w:val="FootnoteTextChar3"/>
        </w:rPr>
        <w:t xml:space="preserve"> </w:t>
      </w:r>
      <w:proofErr w:type="spellStart"/>
      <w:r w:rsidRPr="00541560">
        <w:rPr>
          <w:rStyle w:val="FootnoteTextChar3"/>
        </w:rPr>
        <w:t>Archiv</w:t>
      </w:r>
      <w:proofErr w:type="spellEnd"/>
      <w:r>
        <w:rPr>
          <w:rStyle w:val="FootnoteTextChar3"/>
        </w:rPr>
        <w:t xml:space="preserve"> des </w:t>
      </w:r>
      <w:proofErr w:type="spellStart"/>
      <w:r>
        <w:rPr>
          <w:rStyle w:val="FootnoteTextChar3"/>
        </w:rPr>
        <w:t>Klosters</w:t>
      </w:r>
      <w:proofErr w:type="spellEnd"/>
      <w:r>
        <w:rPr>
          <w:rStyle w:val="FootnoteTextChar3"/>
        </w:rPr>
        <w:t xml:space="preserve"> St. </w:t>
      </w:r>
      <w:proofErr w:type="spellStart"/>
      <w:r>
        <w:rPr>
          <w:rStyle w:val="FootnoteTextChar3"/>
        </w:rPr>
        <w:t>Gallen</w:t>
      </w:r>
      <w:proofErr w:type="spellEnd"/>
      <w:r>
        <w:rPr>
          <w:rStyle w:val="FootnoteTextChar3"/>
        </w:rPr>
        <w:t xml:space="preserve">’, in Peter </w:t>
      </w:r>
      <w:proofErr w:type="spellStart"/>
      <w:r>
        <w:rPr>
          <w:rStyle w:val="FootnoteTextChar3"/>
        </w:rPr>
        <w:t>Erhart</w:t>
      </w:r>
      <w:proofErr w:type="spellEnd"/>
      <w:r>
        <w:rPr>
          <w:rStyle w:val="FootnoteTextChar3"/>
        </w:rPr>
        <w:t xml:space="preserve"> and Lorenz</w:t>
      </w:r>
      <w:r w:rsidRPr="00541560">
        <w:rPr>
          <w:rStyle w:val="FootnoteTextChar3"/>
        </w:rPr>
        <w:t xml:space="preserve"> </w:t>
      </w:r>
      <w:proofErr w:type="spellStart"/>
      <w:r w:rsidRPr="00541560">
        <w:rPr>
          <w:rStyle w:val="FootnoteTextChar3"/>
        </w:rPr>
        <w:t>Hollenstein</w:t>
      </w:r>
      <w:proofErr w:type="spellEnd"/>
      <w:r w:rsidRPr="00541560">
        <w:rPr>
          <w:rStyle w:val="FootnoteTextChar3"/>
        </w:rPr>
        <w:t xml:space="preserve"> (eds.), </w:t>
      </w:r>
      <w:r w:rsidRPr="00541560">
        <w:rPr>
          <w:rStyle w:val="FootnoteTextChar3"/>
          <w:i/>
        </w:rPr>
        <w:t xml:space="preserve">Mensch und </w:t>
      </w:r>
      <w:proofErr w:type="spellStart"/>
      <w:r w:rsidRPr="00541560">
        <w:rPr>
          <w:rStyle w:val="FootnoteTextChar3"/>
          <w:i/>
        </w:rPr>
        <w:t>Schrift</w:t>
      </w:r>
      <w:proofErr w:type="spellEnd"/>
      <w:r w:rsidRPr="00541560">
        <w:rPr>
          <w:rStyle w:val="FootnoteTextChar3"/>
          <w:i/>
        </w:rPr>
        <w:t xml:space="preserve"> </w:t>
      </w:r>
      <w:proofErr w:type="spellStart"/>
      <w:r w:rsidRPr="00541560">
        <w:rPr>
          <w:rStyle w:val="FootnoteTextChar3"/>
          <w:i/>
        </w:rPr>
        <w:t>im</w:t>
      </w:r>
      <w:proofErr w:type="spellEnd"/>
      <w:r w:rsidRPr="00541560">
        <w:rPr>
          <w:rStyle w:val="FootnoteTextChar3"/>
          <w:i/>
        </w:rPr>
        <w:t xml:space="preserve"> </w:t>
      </w:r>
      <w:proofErr w:type="spellStart"/>
      <w:r w:rsidRPr="00541560">
        <w:rPr>
          <w:rStyle w:val="FootnoteTextChar3"/>
          <w:i/>
        </w:rPr>
        <w:t>frühen</w:t>
      </w:r>
      <w:proofErr w:type="spellEnd"/>
      <w:r w:rsidRPr="00541560">
        <w:rPr>
          <w:rStyle w:val="FootnoteTextChar3"/>
          <w:i/>
        </w:rPr>
        <w:t xml:space="preserve"> </w:t>
      </w:r>
      <w:proofErr w:type="spellStart"/>
      <w:r w:rsidRPr="00541560">
        <w:rPr>
          <w:rStyle w:val="FootnoteTextChar3"/>
          <w:i/>
        </w:rPr>
        <w:t>Mittelalter</w:t>
      </w:r>
      <w:proofErr w:type="spellEnd"/>
      <w:r w:rsidRPr="00541560">
        <w:rPr>
          <w:rStyle w:val="FootnoteTextChar3"/>
        </w:rPr>
        <w:t xml:space="preserve"> (St Gall, 2006), 59-66</w:t>
      </w:r>
      <w:r w:rsidRPr="00541560">
        <w:rPr>
          <w:szCs w:val="20"/>
        </w:rPr>
        <w:t xml:space="preserve">, </w:t>
      </w:r>
      <w:r w:rsidRPr="00541560">
        <w:rPr>
          <w:rStyle w:val="FootnoteTextChar3"/>
        </w:rPr>
        <w:t xml:space="preserve">and </w:t>
      </w:r>
      <w:proofErr w:type="spellStart"/>
      <w:r>
        <w:rPr>
          <w:rStyle w:val="FootnoteTextChar3"/>
        </w:rPr>
        <w:t>Erhart</w:t>
      </w:r>
      <w:proofErr w:type="spellEnd"/>
      <w:r w:rsidRPr="00541560">
        <w:rPr>
          <w:rStyle w:val="FootnoteTextChar3"/>
        </w:rPr>
        <w:t>, ‘</w:t>
      </w:r>
      <w:r w:rsidRPr="00541560">
        <w:rPr>
          <w:rStyle w:val="FootnoteTextChar3"/>
          <w:i/>
        </w:rPr>
        <w:t xml:space="preserve">Carta </w:t>
      </w:r>
      <w:proofErr w:type="spellStart"/>
      <w:r w:rsidRPr="00541560">
        <w:rPr>
          <w:rStyle w:val="FootnoteTextChar3"/>
          <w:i/>
        </w:rPr>
        <w:t>ista</w:t>
      </w:r>
      <w:proofErr w:type="spellEnd"/>
      <w:r w:rsidRPr="00541560">
        <w:rPr>
          <w:rStyle w:val="FootnoteTextChar3"/>
          <w:i/>
        </w:rPr>
        <w:t xml:space="preserve"> </w:t>
      </w:r>
      <w:proofErr w:type="spellStart"/>
      <w:r w:rsidRPr="00541560">
        <w:rPr>
          <w:rStyle w:val="FootnoteTextChar3"/>
          <w:i/>
        </w:rPr>
        <w:t>amalfitana</w:t>
      </w:r>
      <w:proofErr w:type="spellEnd"/>
      <w:r w:rsidRPr="00541560">
        <w:rPr>
          <w:rStyle w:val="FootnoteTextChar3"/>
          <w:i/>
        </w:rPr>
        <w:t xml:space="preserve"> </w:t>
      </w:r>
      <w:proofErr w:type="spellStart"/>
      <w:r w:rsidRPr="00541560">
        <w:rPr>
          <w:rStyle w:val="FootnoteTextChar3"/>
          <w:i/>
        </w:rPr>
        <w:t>est</w:t>
      </w:r>
      <w:proofErr w:type="spellEnd"/>
      <w:r w:rsidRPr="00541560">
        <w:rPr>
          <w:rStyle w:val="FootnoteTextChar3"/>
          <w:i/>
        </w:rPr>
        <w:t xml:space="preserve"> et </w:t>
      </w:r>
      <w:proofErr w:type="spellStart"/>
      <w:r w:rsidRPr="00541560">
        <w:rPr>
          <w:rStyle w:val="FootnoteTextChar3"/>
          <w:i/>
        </w:rPr>
        <w:t>nescitur</w:t>
      </w:r>
      <w:proofErr w:type="spellEnd"/>
      <w:r w:rsidRPr="00541560">
        <w:rPr>
          <w:rStyle w:val="FootnoteTextChar3"/>
          <w:i/>
        </w:rPr>
        <w:t xml:space="preserve"> </w:t>
      </w:r>
      <w:proofErr w:type="spellStart"/>
      <w:r w:rsidRPr="00541560">
        <w:rPr>
          <w:rStyle w:val="FootnoteTextChar3"/>
          <w:i/>
        </w:rPr>
        <w:t>legere</w:t>
      </w:r>
      <w:proofErr w:type="spellEnd"/>
      <w:r w:rsidRPr="00541560">
        <w:rPr>
          <w:rStyle w:val="FootnoteTextChar3"/>
        </w:rPr>
        <w:t xml:space="preserve">: The Charters of Cava </w:t>
      </w:r>
      <w:proofErr w:type="spellStart"/>
      <w:r w:rsidRPr="00541560">
        <w:rPr>
          <w:rStyle w:val="FootnoteTextChar3"/>
        </w:rPr>
        <w:t>dei</w:t>
      </w:r>
      <w:proofErr w:type="spellEnd"/>
      <w:r w:rsidRPr="00541560">
        <w:rPr>
          <w:rStyle w:val="FootnoteTextChar3"/>
        </w:rPr>
        <w:t xml:space="preserve"> </w:t>
      </w:r>
      <w:proofErr w:type="spellStart"/>
      <w:r w:rsidRPr="00541560">
        <w:rPr>
          <w:rStyle w:val="FootnoteTextChar3"/>
        </w:rPr>
        <w:t>Tirreni</w:t>
      </w:r>
      <w:proofErr w:type="spellEnd"/>
      <w:r w:rsidRPr="00541560">
        <w:rPr>
          <w:rStyle w:val="FootnoteTextChar3"/>
        </w:rPr>
        <w:t xml:space="preserve"> and St Gall and Their Evidence for Early Medieval Archival Practice’, </w:t>
      </w:r>
      <w:r w:rsidRPr="00541560">
        <w:rPr>
          <w:rStyle w:val="FootnoteTextChar3"/>
          <w:i/>
        </w:rPr>
        <w:t xml:space="preserve">Gazette du livre </w:t>
      </w:r>
      <w:r>
        <w:rPr>
          <w:rStyle w:val="FootnoteTextChar3"/>
          <w:i/>
        </w:rPr>
        <w:t>medieval</w:t>
      </w:r>
      <w:r>
        <w:rPr>
          <w:rStyle w:val="FootnoteTextChar3"/>
        </w:rPr>
        <w:t>, l</w:t>
      </w:r>
      <w:r w:rsidRPr="00541560">
        <w:rPr>
          <w:rStyle w:val="FootnoteTextChar3"/>
        </w:rPr>
        <w:t xml:space="preserve"> (2007), </w:t>
      </w:r>
      <w:r>
        <w:rPr>
          <w:rStyle w:val="FootnoteTextChar3"/>
        </w:rPr>
        <w:t xml:space="preserve">27–39, and Karl </w:t>
      </w:r>
      <w:proofErr w:type="spellStart"/>
      <w:r w:rsidRPr="00541560">
        <w:rPr>
          <w:rStyle w:val="FootnoteTextChar3"/>
        </w:rPr>
        <w:t>Heidecker</w:t>
      </w:r>
      <w:proofErr w:type="spellEnd"/>
      <w:r w:rsidRPr="00541560">
        <w:rPr>
          <w:rStyle w:val="FootnoteTextChar3"/>
        </w:rPr>
        <w:t xml:space="preserve">, ‘Les </w:t>
      </w:r>
      <w:proofErr w:type="spellStart"/>
      <w:r w:rsidRPr="00541560">
        <w:rPr>
          <w:rStyle w:val="FootnoteTextChar3"/>
        </w:rPr>
        <w:t>actes</w:t>
      </w:r>
      <w:proofErr w:type="spellEnd"/>
      <w:r w:rsidRPr="00541560">
        <w:rPr>
          <w:rStyle w:val="FootnoteTextChar3"/>
        </w:rPr>
        <w:t xml:space="preserve"> </w:t>
      </w:r>
      <w:proofErr w:type="spellStart"/>
      <w:r w:rsidRPr="00541560">
        <w:rPr>
          <w:rStyle w:val="FootnoteTextChar3"/>
        </w:rPr>
        <w:t>privés</w:t>
      </w:r>
      <w:proofErr w:type="spellEnd"/>
      <w:r w:rsidRPr="00541560">
        <w:rPr>
          <w:rStyle w:val="FootnoteTextChar3"/>
        </w:rPr>
        <w:t xml:space="preserve"> de la </w:t>
      </w:r>
      <w:proofErr w:type="spellStart"/>
      <w:r w:rsidRPr="00541560">
        <w:rPr>
          <w:rStyle w:val="FootnoteTextChar3"/>
        </w:rPr>
        <w:t>période</w:t>
      </w:r>
      <w:proofErr w:type="spellEnd"/>
      <w:r w:rsidRPr="00541560">
        <w:rPr>
          <w:rStyle w:val="FootnoteTextChar3"/>
        </w:rPr>
        <w:t xml:space="preserve"> </w:t>
      </w:r>
      <w:proofErr w:type="spellStart"/>
      <w:r w:rsidRPr="00541560">
        <w:rPr>
          <w:rStyle w:val="FootnoteTextChar3"/>
        </w:rPr>
        <w:t>carolingienne</w:t>
      </w:r>
      <w:proofErr w:type="spellEnd"/>
      <w:r w:rsidRPr="00541560">
        <w:rPr>
          <w:rStyle w:val="FootnoteTextChar3"/>
        </w:rPr>
        <w:t xml:space="preserve"> </w:t>
      </w:r>
      <w:proofErr w:type="spellStart"/>
      <w:r w:rsidRPr="00541560">
        <w:rPr>
          <w:rStyle w:val="FootnoteTextChar3"/>
        </w:rPr>
        <w:t>dans</w:t>
      </w:r>
      <w:proofErr w:type="spellEnd"/>
      <w:r w:rsidRPr="00541560">
        <w:rPr>
          <w:rStyle w:val="FootnoteTextChar3"/>
        </w:rPr>
        <w:t xml:space="preserve"> les archives de Saint-Gall’, </w:t>
      </w:r>
      <w:proofErr w:type="spellStart"/>
      <w:r w:rsidRPr="008C1C44">
        <w:rPr>
          <w:rStyle w:val="FootnoteTextChar3"/>
          <w:i/>
        </w:rPr>
        <w:t>Annuaire</w:t>
      </w:r>
      <w:proofErr w:type="spellEnd"/>
      <w:r w:rsidRPr="008C1C44">
        <w:rPr>
          <w:rStyle w:val="FootnoteTextChar3"/>
          <w:i/>
        </w:rPr>
        <w:t xml:space="preserve"> de </w:t>
      </w:r>
      <w:proofErr w:type="spellStart"/>
      <w:r w:rsidRPr="008C1C44">
        <w:rPr>
          <w:rStyle w:val="FootnoteTextChar3"/>
          <w:i/>
        </w:rPr>
        <w:t>l’École</w:t>
      </w:r>
      <w:proofErr w:type="spellEnd"/>
      <w:r w:rsidRPr="008C1C44">
        <w:rPr>
          <w:rStyle w:val="FootnoteTextChar3"/>
          <w:i/>
        </w:rPr>
        <w:t xml:space="preserve"> </w:t>
      </w:r>
      <w:proofErr w:type="spellStart"/>
      <w:r w:rsidRPr="008C1C44">
        <w:rPr>
          <w:rStyle w:val="FootnoteTextChar3"/>
          <w:i/>
        </w:rPr>
        <w:t>pratique</w:t>
      </w:r>
      <w:proofErr w:type="spellEnd"/>
      <w:r w:rsidRPr="008C1C44">
        <w:rPr>
          <w:rStyle w:val="FootnoteTextChar3"/>
          <w:i/>
        </w:rPr>
        <w:t xml:space="preserve"> des </w:t>
      </w:r>
      <w:proofErr w:type="spellStart"/>
      <w:r w:rsidRPr="008C1C44">
        <w:rPr>
          <w:rStyle w:val="FootnoteTextChar3"/>
          <w:i/>
        </w:rPr>
        <w:t>hautes</w:t>
      </w:r>
      <w:proofErr w:type="spellEnd"/>
      <w:r w:rsidRPr="008C1C44">
        <w:rPr>
          <w:rStyle w:val="FootnoteTextChar3"/>
          <w:i/>
        </w:rPr>
        <w:t xml:space="preserve"> </w:t>
      </w:r>
      <w:proofErr w:type="spellStart"/>
      <w:r w:rsidRPr="008C1C44">
        <w:rPr>
          <w:rStyle w:val="FootnoteTextChar3"/>
          <w:i/>
        </w:rPr>
        <w:t>études</w:t>
      </w:r>
      <w:proofErr w:type="spellEnd"/>
      <w:r w:rsidRPr="008C1C44">
        <w:rPr>
          <w:rStyle w:val="FootnoteTextChar3"/>
          <w:i/>
        </w:rPr>
        <w:t xml:space="preserve">, Section des sciences </w:t>
      </w:r>
      <w:proofErr w:type="spellStart"/>
      <w:r w:rsidRPr="008C1C44">
        <w:rPr>
          <w:rStyle w:val="FootnoteTextChar3"/>
          <w:i/>
        </w:rPr>
        <w:t>historiques</w:t>
      </w:r>
      <w:proofErr w:type="spellEnd"/>
      <w:r w:rsidRPr="008C1C44">
        <w:rPr>
          <w:rStyle w:val="FootnoteTextChar3"/>
          <w:i/>
        </w:rPr>
        <w:t xml:space="preserve"> et </w:t>
      </w:r>
      <w:proofErr w:type="spellStart"/>
      <w:r w:rsidRPr="008C1C44">
        <w:rPr>
          <w:rStyle w:val="FootnoteTextChar3"/>
          <w:i/>
        </w:rPr>
        <w:t>philologiques</w:t>
      </w:r>
      <w:proofErr w:type="spellEnd"/>
      <w:r>
        <w:rPr>
          <w:rStyle w:val="FootnoteTextChar3"/>
        </w:rPr>
        <w:t>, cxxxix</w:t>
      </w:r>
      <w:r w:rsidRPr="00541560">
        <w:rPr>
          <w:rStyle w:val="FootnoteTextChar3"/>
        </w:rPr>
        <w:t xml:space="preserve"> (2008), 372-7 (ashp.revues.org/index570.html, accessed 28 July 2011).</w:t>
      </w:r>
    </w:p>
  </w:footnote>
  <w:footnote w:id="27">
    <w:p w14:paraId="26A58455" w14:textId="6967AC46" w:rsidR="00F23E2A" w:rsidRPr="00541560" w:rsidRDefault="00F23E2A" w:rsidP="004B02E6">
      <w:pPr>
        <w:pStyle w:val="FootnoteText"/>
        <w:rPr>
          <w:szCs w:val="20"/>
        </w:rPr>
      </w:pPr>
      <w:r w:rsidRPr="00541560">
        <w:rPr>
          <w:rStyle w:val="FootnoteReference"/>
          <w:szCs w:val="20"/>
        </w:rPr>
        <w:footnoteRef/>
      </w:r>
      <w:r>
        <w:rPr>
          <w:szCs w:val="20"/>
        </w:rPr>
        <w:t xml:space="preserve"> On cartularies see Patrick</w:t>
      </w:r>
      <w:r w:rsidRPr="00541560">
        <w:rPr>
          <w:szCs w:val="20"/>
        </w:rPr>
        <w:t xml:space="preserve"> Geary, </w:t>
      </w:r>
      <w:r w:rsidRPr="00541560">
        <w:rPr>
          <w:i/>
          <w:iCs/>
          <w:szCs w:val="20"/>
        </w:rPr>
        <w:t xml:space="preserve">Phantoms of Remembrance. Memory and Oblivion at the End of the First Millennium </w:t>
      </w:r>
      <w:r w:rsidRPr="00541560">
        <w:rPr>
          <w:szCs w:val="20"/>
        </w:rPr>
        <w:t xml:space="preserve">(Princeton, 1993), </w:t>
      </w:r>
      <w:r>
        <w:rPr>
          <w:szCs w:val="20"/>
        </w:rPr>
        <w:t>81-114; Georges</w:t>
      </w:r>
      <w:r w:rsidRPr="00541560">
        <w:rPr>
          <w:szCs w:val="20"/>
        </w:rPr>
        <w:t xml:space="preserve"> </w:t>
      </w:r>
      <w:proofErr w:type="spellStart"/>
      <w:r w:rsidRPr="00541560">
        <w:rPr>
          <w:szCs w:val="20"/>
        </w:rPr>
        <w:t>Declercq</w:t>
      </w:r>
      <w:proofErr w:type="spellEnd"/>
      <w:r w:rsidRPr="00541560">
        <w:rPr>
          <w:szCs w:val="20"/>
        </w:rPr>
        <w:t>, ‘Originals and Cartularies: The Organization of Archival Memory (</w:t>
      </w:r>
      <w:r>
        <w:rPr>
          <w:szCs w:val="20"/>
        </w:rPr>
        <w:t>Ninth–Eleventh Centuries)’ in Karl</w:t>
      </w:r>
      <w:r w:rsidRPr="00541560">
        <w:rPr>
          <w:szCs w:val="20"/>
        </w:rPr>
        <w:t xml:space="preserve"> </w:t>
      </w:r>
      <w:proofErr w:type="spellStart"/>
      <w:r w:rsidRPr="00541560">
        <w:rPr>
          <w:szCs w:val="20"/>
        </w:rPr>
        <w:t>Heidecker</w:t>
      </w:r>
      <w:proofErr w:type="spellEnd"/>
      <w:r w:rsidRPr="00541560">
        <w:rPr>
          <w:szCs w:val="20"/>
        </w:rPr>
        <w:t xml:space="preserve"> </w:t>
      </w:r>
      <w:r>
        <w:rPr>
          <w:szCs w:val="20"/>
        </w:rPr>
        <w:t>(</w:t>
      </w:r>
      <w:r w:rsidRPr="00541560">
        <w:rPr>
          <w:szCs w:val="20"/>
        </w:rPr>
        <w:t>ed.</w:t>
      </w:r>
      <w:r>
        <w:rPr>
          <w:szCs w:val="20"/>
        </w:rPr>
        <w:t>)</w:t>
      </w:r>
      <w:r w:rsidRPr="00541560">
        <w:rPr>
          <w:szCs w:val="20"/>
        </w:rPr>
        <w:t xml:space="preserve">, </w:t>
      </w:r>
      <w:r w:rsidRPr="00541560">
        <w:rPr>
          <w:i/>
          <w:iCs/>
          <w:szCs w:val="20"/>
        </w:rPr>
        <w:t xml:space="preserve">Charters and the Use of the Written Word in Medieval Society </w:t>
      </w:r>
      <w:r w:rsidRPr="00541560">
        <w:rPr>
          <w:szCs w:val="20"/>
        </w:rPr>
        <w:t>(</w:t>
      </w:r>
      <w:proofErr w:type="spellStart"/>
      <w:r w:rsidRPr="00541560">
        <w:rPr>
          <w:szCs w:val="20"/>
        </w:rPr>
        <w:t>Turnhout</w:t>
      </w:r>
      <w:proofErr w:type="spellEnd"/>
      <w:r w:rsidRPr="00541560">
        <w:rPr>
          <w:szCs w:val="20"/>
        </w:rPr>
        <w:t xml:space="preserve">, 2000), </w:t>
      </w:r>
      <w:r>
        <w:rPr>
          <w:szCs w:val="20"/>
        </w:rPr>
        <w:t>147-70; Laurent</w:t>
      </w:r>
      <w:r w:rsidRPr="00541560">
        <w:rPr>
          <w:szCs w:val="20"/>
        </w:rPr>
        <w:t xml:space="preserve"> </w:t>
      </w:r>
      <w:proofErr w:type="spellStart"/>
      <w:r w:rsidRPr="00541560">
        <w:rPr>
          <w:szCs w:val="20"/>
        </w:rPr>
        <w:t>Morelle</w:t>
      </w:r>
      <w:proofErr w:type="spellEnd"/>
      <w:r w:rsidRPr="00541560">
        <w:rPr>
          <w:szCs w:val="20"/>
        </w:rPr>
        <w:t>, ‘The Metamorphosis of Three Monastic Charter Collections in the Eleventh Century (Saint-</w:t>
      </w:r>
      <w:proofErr w:type="spellStart"/>
      <w:r w:rsidRPr="00541560">
        <w:rPr>
          <w:szCs w:val="20"/>
        </w:rPr>
        <w:t>Amand</w:t>
      </w:r>
      <w:proofErr w:type="spellEnd"/>
      <w:r w:rsidRPr="00541560">
        <w:rPr>
          <w:szCs w:val="20"/>
        </w:rPr>
        <w:t>, Saint-</w:t>
      </w:r>
      <w:proofErr w:type="spellStart"/>
      <w:r w:rsidRPr="00541560">
        <w:rPr>
          <w:szCs w:val="20"/>
        </w:rPr>
        <w:t>Riquier</w:t>
      </w:r>
      <w:proofErr w:type="spellEnd"/>
      <w:r w:rsidRPr="00541560">
        <w:rPr>
          <w:szCs w:val="20"/>
        </w:rPr>
        <w:t xml:space="preserve">, </w:t>
      </w:r>
      <w:proofErr w:type="spellStart"/>
      <w:r w:rsidRPr="00541560">
        <w:rPr>
          <w:szCs w:val="20"/>
        </w:rPr>
        <w:t>Montier</w:t>
      </w:r>
      <w:proofErr w:type="spellEnd"/>
      <w:r w:rsidRPr="00541560">
        <w:rPr>
          <w:szCs w:val="20"/>
        </w:rPr>
        <w:t>-</w:t>
      </w:r>
      <w:proofErr w:type="spellStart"/>
      <w:r w:rsidRPr="00541560">
        <w:rPr>
          <w:szCs w:val="20"/>
        </w:rPr>
        <w:t>en</w:t>
      </w:r>
      <w:proofErr w:type="spellEnd"/>
      <w:r w:rsidRPr="00541560">
        <w:rPr>
          <w:szCs w:val="20"/>
        </w:rPr>
        <w:t xml:space="preserve">-Der)’, in </w:t>
      </w:r>
      <w:proofErr w:type="spellStart"/>
      <w:r w:rsidRPr="00541560">
        <w:rPr>
          <w:szCs w:val="20"/>
        </w:rPr>
        <w:t>Heidecker</w:t>
      </w:r>
      <w:proofErr w:type="spellEnd"/>
      <w:r w:rsidRPr="00541560">
        <w:rPr>
          <w:szCs w:val="20"/>
        </w:rPr>
        <w:t xml:space="preserve"> </w:t>
      </w:r>
      <w:r>
        <w:rPr>
          <w:szCs w:val="20"/>
        </w:rPr>
        <w:t>(</w:t>
      </w:r>
      <w:r w:rsidRPr="00541560">
        <w:rPr>
          <w:szCs w:val="20"/>
        </w:rPr>
        <w:t>ed.</w:t>
      </w:r>
      <w:r>
        <w:rPr>
          <w:szCs w:val="20"/>
        </w:rPr>
        <w:t>)</w:t>
      </w:r>
      <w:r w:rsidRPr="00541560">
        <w:rPr>
          <w:szCs w:val="20"/>
        </w:rPr>
        <w:t xml:space="preserve">, </w:t>
      </w:r>
      <w:r w:rsidRPr="00541560">
        <w:rPr>
          <w:i/>
          <w:iCs/>
          <w:szCs w:val="20"/>
        </w:rPr>
        <w:t>Charters and the Use of the Written Word</w:t>
      </w:r>
      <w:r w:rsidRPr="00541560">
        <w:rPr>
          <w:szCs w:val="20"/>
        </w:rPr>
        <w:t xml:space="preserve">, </w:t>
      </w:r>
      <w:r>
        <w:rPr>
          <w:szCs w:val="20"/>
        </w:rPr>
        <w:t>171-204; Brigitte</w:t>
      </w:r>
      <w:r w:rsidRPr="00541560">
        <w:rPr>
          <w:szCs w:val="20"/>
        </w:rPr>
        <w:t xml:space="preserve"> </w:t>
      </w:r>
      <w:proofErr w:type="spellStart"/>
      <w:r w:rsidRPr="00541560">
        <w:rPr>
          <w:szCs w:val="20"/>
        </w:rPr>
        <w:t>Resl</w:t>
      </w:r>
      <w:proofErr w:type="spellEnd"/>
      <w:r w:rsidRPr="00541560">
        <w:rPr>
          <w:szCs w:val="20"/>
        </w:rPr>
        <w:t>, ‘</w:t>
      </w:r>
      <w:proofErr w:type="spellStart"/>
      <w:r w:rsidRPr="00541560">
        <w:rPr>
          <w:szCs w:val="20"/>
        </w:rPr>
        <w:t>Nutzen</w:t>
      </w:r>
      <w:proofErr w:type="spellEnd"/>
      <w:r w:rsidRPr="00541560">
        <w:rPr>
          <w:szCs w:val="20"/>
        </w:rPr>
        <w:t xml:space="preserve"> des </w:t>
      </w:r>
      <w:proofErr w:type="spellStart"/>
      <w:r w:rsidRPr="00541560">
        <w:rPr>
          <w:szCs w:val="20"/>
        </w:rPr>
        <w:t>Abschreibens</w:t>
      </w:r>
      <w:proofErr w:type="spellEnd"/>
      <w:r w:rsidRPr="00541560">
        <w:rPr>
          <w:szCs w:val="20"/>
        </w:rPr>
        <w:t xml:space="preserve">: </w:t>
      </w:r>
      <w:proofErr w:type="spellStart"/>
      <w:r w:rsidRPr="00541560">
        <w:rPr>
          <w:szCs w:val="20"/>
        </w:rPr>
        <w:t>Überlegungen</w:t>
      </w:r>
      <w:proofErr w:type="spellEnd"/>
      <w:r w:rsidRPr="00541560">
        <w:rPr>
          <w:szCs w:val="20"/>
        </w:rPr>
        <w:t xml:space="preserve"> </w:t>
      </w:r>
      <w:proofErr w:type="spellStart"/>
      <w:r w:rsidRPr="00541560">
        <w:rPr>
          <w:szCs w:val="20"/>
        </w:rPr>
        <w:t>zu</w:t>
      </w:r>
      <w:proofErr w:type="spellEnd"/>
      <w:r w:rsidRPr="00541560">
        <w:rPr>
          <w:szCs w:val="20"/>
        </w:rPr>
        <w:t xml:space="preserve"> </w:t>
      </w:r>
      <w:proofErr w:type="spellStart"/>
      <w:r w:rsidRPr="00541560">
        <w:rPr>
          <w:szCs w:val="20"/>
        </w:rPr>
        <w:t>mitte</w:t>
      </w:r>
      <w:r>
        <w:rPr>
          <w:szCs w:val="20"/>
        </w:rPr>
        <w:t>lalterlichen</w:t>
      </w:r>
      <w:proofErr w:type="spellEnd"/>
      <w:r>
        <w:rPr>
          <w:szCs w:val="20"/>
        </w:rPr>
        <w:t xml:space="preserve"> </w:t>
      </w:r>
      <w:proofErr w:type="spellStart"/>
      <w:r>
        <w:rPr>
          <w:szCs w:val="20"/>
        </w:rPr>
        <w:t>Chartularen</w:t>
      </w:r>
      <w:proofErr w:type="spellEnd"/>
      <w:r>
        <w:rPr>
          <w:szCs w:val="20"/>
        </w:rPr>
        <w:t>’, in Walter Pohl and Paul</w:t>
      </w:r>
      <w:r w:rsidRPr="00541560">
        <w:rPr>
          <w:szCs w:val="20"/>
        </w:rPr>
        <w:t xml:space="preserve"> Herold </w:t>
      </w:r>
      <w:r>
        <w:rPr>
          <w:szCs w:val="20"/>
        </w:rPr>
        <w:t>(</w:t>
      </w:r>
      <w:r w:rsidRPr="00541560">
        <w:rPr>
          <w:szCs w:val="20"/>
        </w:rPr>
        <w:t>eds.</w:t>
      </w:r>
      <w:r>
        <w:rPr>
          <w:szCs w:val="20"/>
        </w:rPr>
        <w:t>)</w:t>
      </w:r>
      <w:r w:rsidRPr="00541560">
        <w:rPr>
          <w:szCs w:val="20"/>
        </w:rPr>
        <w:t xml:space="preserve">, </w:t>
      </w:r>
      <w:proofErr w:type="spellStart"/>
      <w:r w:rsidRPr="00541560">
        <w:rPr>
          <w:i/>
          <w:iCs/>
          <w:szCs w:val="20"/>
        </w:rPr>
        <w:t>Vom</w:t>
      </w:r>
      <w:proofErr w:type="spellEnd"/>
      <w:r w:rsidRPr="00541560">
        <w:rPr>
          <w:i/>
          <w:iCs/>
          <w:szCs w:val="20"/>
        </w:rPr>
        <w:t xml:space="preserve"> </w:t>
      </w:r>
      <w:proofErr w:type="spellStart"/>
      <w:r w:rsidRPr="00541560">
        <w:rPr>
          <w:i/>
          <w:iCs/>
          <w:szCs w:val="20"/>
        </w:rPr>
        <w:t>Nutzen</w:t>
      </w:r>
      <w:proofErr w:type="spellEnd"/>
      <w:r w:rsidRPr="00541560">
        <w:rPr>
          <w:i/>
          <w:iCs/>
          <w:szCs w:val="20"/>
        </w:rPr>
        <w:t xml:space="preserve"> des </w:t>
      </w:r>
      <w:proofErr w:type="spellStart"/>
      <w:r w:rsidRPr="00541560">
        <w:rPr>
          <w:i/>
          <w:iCs/>
          <w:szCs w:val="20"/>
        </w:rPr>
        <w:t>Schreibens</w:t>
      </w:r>
      <w:proofErr w:type="spellEnd"/>
      <w:r w:rsidRPr="00541560">
        <w:rPr>
          <w:i/>
          <w:iCs/>
          <w:szCs w:val="20"/>
        </w:rPr>
        <w:t xml:space="preserve">: </w:t>
      </w:r>
      <w:proofErr w:type="spellStart"/>
      <w:r w:rsidRPr="00541560">
        <w:rPr>
          <w:i/>
          <w:iCs/>
          <w:szCs w:val="20"/>
        </w:rPr>
        <w:t>Soziales</w:t>
      </w:r>
      <w:proofErr w:type="spellEnd"/>
      <w:r w:rsidRPr="00541560">
        <w:rPr>
          <w:i/>
          <w:iCs/>
          <w:szCs w:val="20"/>
        </w:rPr>
        <w:t xml:space="preserve"> </w:t>
      </w:r>
      <w:proofErr w:type="spellStart"/>
      <w:r w:rsidRPr="00541560">
        <w:rPr>
          <w:i/>
          <w:iCs/>
          <w:szCs w:val="20"/>
        </w:rPr>
        <w:t>Gedächtnis</w:t>
      </w:r>
      <w:proofErr w:type="spellEnd"/>
      <w:r w:rsidRPr="00541560">
        <w:rPr>
          <w:i/>
          <w:iCs/>
          <w:szCs w:val="20"/>
        </w:rPr>
        <w:t xml:space="preserve">, </w:t>
      </w:r>
      <w:proofErr w:type="spellStart"/>
      <w:r w:rsidRPr="00541560">
        <w:rPr>
          <w:i/>
          <w:iCs/>
          <w:szCs w:val="20"/>
        </w:rPr>
        <w:t>Herrschaft</w:t>
      </w:r>
      <w:proofErr w:type="spellEnd"/>
      <w:r w:rsidRPr="00541560">
        <w:rPr>
          <w:i/>
          <w:iCs/>
          <w:szCs w:val="20"/>
        </w:rPr>
        <w:t xml:space="preserve"> und </w:t>
      </w:r>
      <w:proofErr w:type="spellStart"/>
      <w:r w:rsidRPr="00541560">
        <w:rPr>
          <w:i/>
          <w:iCs/>
          <w:szCs w:val="20"/>
        </w:rPr>
        <w:t>Besitz</w:t>
      </w:r>
      <w:proofErr w:type="spellEnd"/>
      <w:r w:rsidRPr="00541560">
        <w:rPr>
          <w:i/>
          <w:iCs/>
          <w:szCs w:val="20"/>
        </w:rPr>
        <w:t xml:space="preserve"> </w:t>
      </w:r>
      <w:proofErr w:type="spellStart"/>
      <w:r w:rsidRPr="00541560">
        <w:rPr>
          <w:i/>
          <w:iCs/>
          <w:szCs w:val="20"/>
        </w:rPr>
        <w:t>im</w:t>
      </w:r>
      <w:proofErr w:type="spellEnd"/>
      <w:r w:rsidRPr="00541560">
        <w:rPr>
          <w:i/>
          <w:iCs/>
          <w:szCs w:val="20"/>
        </w:rPr>
        <w:t xml:space="preserve"> </w:t>
      </w:r>
      <w:proofErr w:type="spellStart"/>
      <w:r w:rsidRPr="00541560">
        <w:rPr>
          <w:i/>
          <w:iCs/>
          <w:szCs w:val="20"/>
        </w:rPr>
        <w:t>Mittelalter</w:t>
      </w:r>
      <w:proofErr w:type="spellEnd"/>
      <w:r w:rsidRPr="00541560">
        <w:rPr>
          <w:szCs w:val="20"/>
        </w:rPr>
        <w:t xml:space="preserve"> (Vienna, 2002), </w:t>
      </w:r>
      <w:r>
        <w:rPr>
          <w:szCs w:val="20"/>
        </w:rPr>
        <w:t xml:space="preserve">205-222; Adam J. </w:t>
      </w:r>
      <w:proofErr w:type="spellStart"/>
      <w:r>
        <w:rPr>
          <w:szCs w:val="20"/>
        </w:rPr>
        <w:t>Kosto</w:t>
      </w:r>
      <w:proofErr w:type="spellEnd"/>
      <w:r>
        <w:rPr>
          <w:szCs w:val="20"/>
        </w:rPr>
        <w:t xml:space="preserve"> and Anders</w:t>
      </w:r>
      <w:r w:rsidRPr="00541560">
        <w:rPr>
          <w:szCs w:val="20"/>
        </w:rPr>
        <w:t xml:space="preserve"> </w:t>
      </w:r>
      <w:proofErr w:type="spellStart"/>
      <w:r w:rsidRPr="00541560">
        <w:rPr>
          <w:szCs w:val="20"/>
        </w:rPr>
        <w:t>Winroth</w:t>
      </w:r>
      <w:proofErr w:type="spellEnd"/>
      <w:r w:rsidRPr="00541560">
        <w:rPr>
          <w:szCs w:val="20"/>
        </w:rPr>
        <w:t xml:space="preserve"> </w:t>
      </w:r>
      <w:r>
        <w:rPr>
          <w:szCs w:val="20"/>
        </w:rPr>
        <w:t>(</w:t>
      </w:r>
      <w:r w:rsidRPr="00541560">
        <w:rPr>
          <w:szCs w:val="20"/>
        </w:rPr>
        <w:t>eds.</w:t>
      </w:r>
      <w:r>
        <w:rPr>
          <w:szCs w:val="20"/>
        </w:rPr>
        <w:t>)</w:t>
      </w:r>
      <w:r w:rsidRPr="00541560">
        <w:rPr>
          <w:szCs w:val="20"/>
        </w:rPr>
        <w:t xml:space="preserve">, </w:t>
      </w:r>
      <w:r w:rsidRPr="00541560">
        <w:rPr>
          <w:i/>
          <w:iCs/>
          <w:szCs w:val="20"/>
        </w:rPr>
        <w:t xml:space="preserve">Charters, Cartularies and Archives: The Transmission and Preservation of Documents in the Medieval West </w:t>
      </w:r>
      <w:r>
        <w:rPr>
          <w:szCs w:val="20"/>
        </w:rPr>
        <w:t xml:space="preserve">(Toronto, 1999); Olivier </w:t>
      </w:r>
      <w:proofErr w:type="spellStart"/>
      <w:r>
        <w:rPr>
          <w:szCs w:val="20"/>
        </w:rPr>
        <w:t>Guyotjeannin</w:t>
      </w:r>
      <w:proofErr w:type="spellEnd"/>
      <w:r>
        <w:rPr>
          <w:szCs w:val="20"/>
        </w:rPr>
        <w:t>, Laurent</w:t>
      </w:r>
      <w:r w:rsidRPr="00541560">
        <w:rPr>
          <w:szCs w:val="20"/>
        </w:rPr>
        <w:t xml:space="preserve"> </w:t>
      </w:r>
      <w:proofErr w:type="spellStart"/>
      <w:r w:rsidRPr="00541560">
        <w:rPr>
          <w:szCs w:val="20"/>
        </w:rPr>
        <w:t>More</w:t>
      </w:r>
      <w:r>
        <w:rPr>
          <w:szCs w:val="20"/>
        </w:rPr>
        <w:t>lle</w:t>
      </w:r>
      <w:proofErr w:type="spellEnd"/>
      <w:r>
        <w:rPr>
          <w:szCs w:val="20"/>
        </w:rPr>
        <w:t xml:space="preserve"> and Michel Parisse</w:t>
      </w:r>
      <w:r w:rsidRPr="00541560">
        <w:rPr>
          <w:szCs w:val="20"/>
        </w:rPr>
        <w:t xml:space="preserve"> </w:t>
      </w:r>
      <w:r>
        <w:rPr>
          <w:szCs w:val="20"/>
        </w:rPr>
        <w:t>(</w:t>
      </w:r>
      <w:r w:rsidRPr="00541560">
        <w:rPr>
          <w:szCs w:val="20"/>
        </w:rPr>
        <w:t>eds.</w:t>
      </w:r>
      <w:r>
        <w:rPr>
          <w:szCs w:val="20"/>
        </w:rPr>
        <w:t>)</w:t>
      </w:r>
      <w:r w:rsidRPr="00541560">
        <w:rPr>
          <w:szCs w:val="20"/>
        </w:rPr>
        <w:t xml:space="preserve">, </w:t>
      </w:r>
      <w:r w:rsidRPr="00541560">
        <w:rPr>
          <w:i/>
          <w:iCs/>
          <w:szCs w:val="20"/>
        </w:rPr>
        <w:t xml:space="preserve">Les </w:t>
      </w:r>
      <w:proofErr w:type="spellStart"/>
      <w:r w:rsidRPr="00541560">
        <w:rPr>
          <w:i/>
          <w:iCs/>
          <w:szCs w:val="20"/>
        </w:rPr>
        <w:t>Cartulaires</w:t>
      </w:r>
      <w:proofErr w:type="spellEnd"/>
      <w:r w:rsidRPr="00541560">
        <w:rPr>
          <w:i/>
          <w:iCs/>
          <w:szCs w:val="20"/>
        </w:rPr>
        <w:t xml:space="preserve"> </w:t>
      </w:r>
      <w:r w:rsidRPr="00541560">
        <w:rPr>
          <w:szCs w:val="20"/>
        </w:rPr>
        <w:t>(Paris, 1991).</w:t>
      </w:r>
    </w:p>
  </w:footnote>
  <w:footnote w:id="28">
    <w:p w14:paraId="36D28480" w14:textId="7192B576"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Farfa: </w:t>
      </w:r>
      <w:r w:rsidRPr="00541560">
        <w:rPr>
          <w:i/>
          <w:iCs/>
          <w:szCs w:val="20"/>
          <w:lang w:val="it-IT"/>
        </w:rPr>
        <w:t>Il Chronicon Farfense di Gregorio di Catino</w:t>
      </w:r>
      <w:r>
        <w:rPr>
          <w:szCs w:val="20"/>
          <w:lang w:val="it-IT"/>
        </w:rPr>
        <w:t>, ed. Ugo</w:t>
      </w:r>
      <w:r w:rsidRPr="00541560">
        <w:rPr>
          <w:szCs w:val="20"/>
          <w:lang w:val="it-IT"/>
        </w:rPr>
        <w:t xml:space="preserve"> </w:t>
      </w:r>
      <w:r>
        <w:rPr>
          <w:szCs w:val="20"/>
          <w:lang w:val="it-IT"/>
        </w:rPr>
        <w:t xml:space="preserve">Balzani, 2 vols. (Rome, 1903). </w:t>
      </w:r>
      <w:r w:rsidRPr="00541560">
        <w:rPr>
          <w:szCs w:val="20"/>
          <w:lang w:val="it-IT"/>
        </w:rPr>
        <w:t xml:space="preserve">San Vincenzo: </w:t>
      </w:r>
      <w:r w:rsidRPr="00EC30D3">
        <w:rPr>
          <w:i/>
          <w:szCs w:val="20"/>
          <w:lang w:val="it-IT"/>
        </w:rPr>
        <w:t>Chronicon Vulturnense del Monaco Giovanni</w:t>
      </w:r>
      <w:r>
        <w:rPr>
          <w:szCs w:val="20"/>
          <w:lang w:val="it-IT"/>
        </w:rPr>
        <w:t>, ed. Vincenzo Federici (Fonti per la storia d’</w:t>
      </w:r>
      <w:r w:rsidRPr="00541560">
        <w:rPr>
          <w:szCs w:val="20"/>
          <w:lang w:val="it-IT"/>
        </w:rPr>
        <w:t xml:space="preserve">ltalia </w:t>
      </w:r>
      <w:r>
        <w:rPr>
          <w:szCs w:val="20"/>
          <w:lang w:val="it-IT"/>
        </w:rPr>
        <w:t xml:space="preserve">lviii-lx, Rome, 1925-1940). </w:t>
      </w:r>
      <w:r w:rsidRPr="00541560">
        <w:rPr>
          <w:szCs w:val="20"/>
          <w:lang w:val="it-IT"/>
        </w:rPr>
        <w:t xml:space="preserve">Montecassino: </w:t>
      </w:r>
      <w:r w:rsidRPr="00541560">
        <w:rPr>
          <w:i/>
          <w:iCs/>
          <w:szCs w:val="20"/>
          <w:lang w:val="it-IT"/>
        </w:rPr>
        <w:t>Chronica Monasterii Casinensis</w:t>
      </w:r>
      <w:r w:rsidRPr="00541560">
        <w:rPr>
          <w:szCs w:val="20"/>
          <w:lang w:val="it-IT"/>
        </w:rPr>
        <w:t xml:space="preserve">, ed. </w:t>
      </w:r>
      <w:proofErr w:type="spellStart"/>
      <w:r>
        <w:rPr>
          <w:szCs w:val="20"/>
        </w:rPr>
        <w:t>Hartmut</w:t>
      </w:r>
      <w:proofErr w:type="spellEnd"/>
      <w:r>
        <w:rPr>
          <w:szCs w:val="20"/>
        </w:rPr>
        <w:t xml:space="preserve"> Hoffmann (</w:t>
      </w:r>
      <w:proofErr w:type="spellStart"/>
      <w:r w:rsidRPr="00541560">
        <w:rPr>
          <w:szCs w:val="20"/>
        </w:rPr>
        <w:t>M</w:t>
      </w:r>
      <w:r>
        <w:rPr>
          <w:szCs w:val="20"/>
        </w:rPr>
        <w:t>onumenta</w:t>
      </w:r>
      <w:proofErr w:type="spellEnd"/>
      <w:r>
        <w:rPr>
          <w:szCs w:val="20"/>
        </w:rPr>
        <w:t xml:space="preserve"> </w:t>
      </w:r>
      <w:proofErr w:type="spellStart"/>
      <w:r w:rsidRPr="00541560">
        <w:rPr>
          <w:szCs w:val="20"/>
        </w:rPr>
        <w:t>G</w:t>
      </w:r>
      <w:r>
        <w:rPr>
          <w:szCs w:val="20"/>
        </w:rPr>
        <w:t>ermaniae</w:t>
      </w:r>
      <w:proofErr w:type="spellEnd"/>
      <w:r>
        <w:rPr>
          <w:szCs w:val="20"/>
        </w:rPr>
        <w:t xml:space="preserve"> </w:t>
      </w:r>
      <w:proofErr w:type="spellStart"/>
      <w:r w:rsidRPr="00541560">
        <w:rPr>
          <w:szCs w:val="20"/>
        </w:rPr>
        <w:t>H</w:t>
      </w:r>
      <w:r>
        <w:rPr>
          <w:szCs w:val="20"/>
        </w:rPr>
        <w:t>i</w:t>
      </w:r>
      <w:r w:rsidR="00AF7ABF">
        <w:rPr>
          <w:szCs w:val="20"/>
        </w:rPr>
        <w:t>storica</w:t>
      </w:r>
      <w:proofErr w:type="spellEnd"/>
      <w:r w:rsidR="00AF7ABF">
        <w:rPr>
          <w:szCs w:val="20"/>
        </w:rPr>
        <w:t xml:space="preserve">, </w:t>
      </w:r>
      <w:proofErr w:type="spellStart"/>
      <w:r w:rsidR="00AF7ABF">
        <w:rPr>
          <w:szCs w:val="20"/>
        </w:rPr>
        <w:t>Scriptores</w:t>
      </w:r>
      <w:proofErr w:type="spellEnd"/>
      <w:r w:rsidR="00AF7ABF">
        <w:rPr>
          <w:szCs w:val="20"/>
        </w:rPr>
        <w:t>, xxxiv, Han</w:t>
      </w:r>
      <w:r>
        <w:rPr>
          <w:szCs w:val="20"/>
        </w:rPr>
        <w:t xml:space="preserve">over, 1980). </w:t>
      </w:r>
      <w:proofErr w:type="spellStart"/>
      <w:r w:rsidRPr="00541560">
        <w:rPr>
          <w:szCs w:val="20"/>
        </w:rPr>
        <w:t>Casauria</w:t>
      </w:r>
      <w:proofErr w:type="spellEnd"/>
      <w:r w:rsidRPr="00541560">
        <w:rPr>
          <w:szCs w:val="20"/>
        </w:rPr>
        <w:t xml:space="preserve">: a facsimile edition of </w:t>
      </w:r>
      <w:proofErr w:type="spellStart"/>
      <w:r w:rsidRPr="00541560">
        <w:rPr>
          <w:szCs w:val="20"/>
        </w:rPr>
        <w:t>BnF</w:t>
      </w:r>
      <w:proofErr w:type="spellEnd"/>
      <w:r w:rsidRPr="00541560">
        <w:rPr>
          <w:szCs w:val="20"/>
        </w:rPr>
        <w:t xml:space="preserve"> lat. 5411 is </w:t>
      </w:r>
      <w:r w:rsidRPr="00541560">
        <w:rPr>
          <w:i/>
          <w:iCs/>
          <w:szCs w:val="20"/>
        </w:rPr>
        <w:t xml:space="preserve">Liber </w:t>
      </w:r>
      <w:proofErr w:type="spellStart"/>
      <w:r w:rsidRPr="00541560">
        <w:rPr>
          <w:i/>
          <w:iCs/>
          <w:szCs w:val="20"/>
        </w:rPr>
        <w:t>instrumentorum</w:t>
      </w:r>
      <w:proofErr w:type="spellEnd"/>
      <w:r w:rsidRPr="00541560">
        <w:rPr>
          <w:i/>
          <w:iCs/>
          <w:szCs w:val="20"/>
        </w:rPr>
        <w:t xml:space="preserve"> </w:t>
      </w:r>
      <w:proofErr w:type="spellStart"/>
      <w:r w:rsidRPr="00541560">
        <w:rPr>
          <w:i/>
          <w:iCs/>
          <w:szCs w:val="20"/>
        </w:rPr>
        <w:t>seu</w:t>
      </w:r>
      <w:proofErr w:type="spellEnd"/>
      <w:r w:rsidRPr="00541560">
        <w:rPr>
          <w:i/>
          <w:iCs/>
          <w:szCs w:val="20"/>
        </w:rPr>
        <w:t xml:space="preserve"> </w:t>
      </w:r>
      <w:proofErr w:type="spellStart"/>
      <w:r w:rsidRPr="00541560">
        <w:rPr>
          <w:i/>
          <w:iCs/>
          <w:szCs w:val="20"/>
        </w:rPr>
        <w:t>chronicorum</w:t>
      </w:r>
      <w:proofErr w:type="spellEnd"/>
      <w:r w:rsidRPr="00541560">
        <w:rPr>
          <w:i/>
          <w:iCs/>
          <w:szCs w:val="20"/>
        </w:rPr>
        <w:t xml:space="preserve"> </w:t>
      </w:r>
      <w:proofErr w:type="spellStart"/>
      <w:r w:rsidRPr="00541560">
        <w:rPr>
          <w:i/>
          <w:iCs/>
          <w:szCs w:val="20"/>
        </w:rPr>
        <w:t>monasterii</w:t>
      </w:r>
      <w:proofErr w:type="spellEnd"/>
      <w:r w:rsidRPr="00541560">
        <w:rPr>
          <w:i/>
          <w:iCs/>
          <w:szCs w:val="20"/>
        </w:rPr>
        <w:t xml:space="preserve"> </w:t>
      </w:r>
      <w:proofErr w:type="spellStart"/>
      <w:r w:rsidRPr="00541560">
        <w:rPr>
          <w:i/>
          <w:iCs/>
          <w:szCs w:val="20"/>
        </w:rPr>
        <w:t>Casauriense</w:t>
      </w:r>
      <w:proofErr w:type="spellEnd"/>
      <w:r>
        <w:rPr>
          <w:szCs w:val="20"/>
        </w:rPr>
        <w:t>, ed. Alessandro</w:t>
      </w:r>
      <w:r w:rsidRPr="00541560">
        <w:rPr>
          <w:szCs w:val="20"/>
        </w:rPr>
        <w:t xml:space="preserve"> </w:t>
      </w:r>
      <w:proofErr w:type="spellStart"/>
      <w:r w:rsidRPr="00541560">
        <w:rPr>
          <w:szCs w:val="20"/>
        </w:rPr>
        <w:t>Pratesi</w:t>
      </w:r>
      <w:proofErr w:type="spellEnd"/>
      <w:r w:rsidRPr="00541560">
        <w:rPr>
          <w:szCs w:val="20"/>
        </w:rPr>
        <w:t xml:space="preserve"> (L’Aquila, 1982); we await a full critical edition. This late twelfth-century compilation draws heavily on a collection of charters made, probably, around the middle of the eleventh century: L</w:t>
      </w:r>
      <w:r>
        <w:rPr>
          <w:szCs w:val="20"/>
        </w:rPr>
        <w:t>aurent</w:t>
      </w:r>
      <w:r w:rsidRPr="00541560">
        <w:rPr>
          <w:szCs w:val="20"/>
        </w:rPr>
        <w:t xml:space="preserve"> Feller, </w:t>
      </w:r>
      <w:r w:rsidRPr="00541560">
        <w:rPr>
          <w:i/>
          <w:szCs w:val="20"/>
        </w:rPr>
        <w:t xml:space="preserve">Les </w:t>
      </w:r>
      <w:proofErr w:type="spellStart"/>
      <w:r w:rsidRPr="00541560">
        <w:rPr>
          <w:i/>
          <w:szCs w:val="20"/>
        </w:rPr>
        <w:t>Abruzzes</w:t>
      </w:r>
      <w:proofErr w:type="spellEnd"/>
      <w:r w:rsidRPr="00541560">
        <w:rPr>
          <w:i/>
          <w:szCs w:val="20"/>
        </w:rPr>
        <w:t xml:space="preserve"> </w:t>
      </w:r>
      <w:proofErr w:type="spellStart"/>
      <w:r w:rsidRPr="00541560">
        <w:rPr>
          <w:i/>
          <w:szCs w:val="20"/>
        </w:rPr>
        <w:t>Médiévales</w:t>
      </w:r>
      <w:proofErr w:type="spellEnd"/>
      <w:r w:rsidRPr="00541560">
        <w:rPr>
          <w:i/>
          <w:szCs w:val="20"/>
        </w:rPr>
        <w:t xml:space="preserve">. </w:t>
      </w:r>
      <w:proofErr w:type="spellStart"/>
      <w:r w:rsidRPr="00541560">
        <w:rPr>
          <w:i/>
          <w:szCs w:val="20"/>
        </w:rPr>
        <w:t>Territoire</w:t>
      </w:r>
      <w:proofErr w:type="spellEnd"/>
      <w:r w:rsidRPr="00541560">
        <w:rPr>
          <w:i/>
          <w:szCs w:val="20"/>
        </w:rPr>
        <w:t xml:space="preserve">, </w:t>
      </w:r>
      <w:proofErr w:type="spellStart"/>
      <w:r w:rsidRPr="00541560">
        <w:rPr>
          <w:i/>
          <w:szCs w:val="20"/>
        </w:rPr>
        <w:t>Économie</w:t>
      </w:r>
      <w:proofErr w:type="spellEnd"/>
      <w:r w:rsidRPr="00541560">
        <w:rPr>
          <w:i/>
          <w:szCs w:val="20"/>
        </w:rPr>
        <w:t xml:space="preserve"> </w:t>
      </w:r>
      <w:proofErr w:type="gramStart"/>
      <w:r w:rsidRPr="00541560">
        <w:rPr>
          <w:i/>
          <w:szCs w:val="20"/>
        </w:rPr>
        <w:t>et</w:t>
      </w:r>
      <w:proofErr w:type="gramEnd"/>
      <w:r w:rsidRPr="00541560">
        <w:rPr>
          <w:i/>
          <w:szCs w:val="20"/>
        </w:rPr>
        <w:t xml:space="preserve"> </w:t>
      </w:r>
      <w:proofErr w:type="spellStart"/>
      <w:r w:rsidRPr="00541560">
        <w:rPr>
          <w:i/>
          <w:szCs w:val="20"/>
        </w:rPr>
        <w:t>Société</w:t>
      </w:r>
      <w:proofErr w:type="spellEnd"/>
      <w:r w:rsidRPr="00541560">
        <w:rPr>
          <w:i/>
          <w:szCs w:val="20"/>
        </w:rPr>
        <w:t xml:space="preserve"> </w:t>
      </w:r>
      <w:proofErr w:type="spellStart"/>
      <w:r w:rsidRPr="00541560">
        <w:rPr>
          <w:i/>
          <w:szCs w:val="20"/>
        </w:rPr>
        <w:t>en</w:t>
      </w:r>
      <w:proofErr w:type="spellEnd"/>
      <w:r w:rsidRPr="00541560">
        <w:rPr>
          <w:i/>
          <w:szCs w:val="20"/>
        </w:rPr>
        <w:t xml:space="preserve"> </w:t>
      </w:r>
      <w:proofErr w:type="spellStart"/>
      <w:r w:rsidRPr="00541560">
        <w:rPr>
          <w:i/>
          <w:szCs w:val="20"/>
        </w:rPr>
        <w:t>Italie</w:t>
      </w:r>
      <w:proofErr w:type="spellEnd"/>
      <w:r w:rsidRPr="00541560">
        <w:rPr>
          <w:i/>
          <w:szCs w:val="20"/>
        </w:rPr>
        <w:t xml:space="preserve"> Centrale du </w:t>
      </w:r>
      <w:proofErr w:type="spellStart"/>
      <w:r w:rsidRPr="00541560">
        <w:rPr>
          <w:i/>
          <w:szCs w:val="20"/>
        </w:rPr>
        <w:t>IXe</w:t>
      </w:r>
      <w:proofErr w:type="spellEnd"/>
      <w:r w:rsidRPr="00541560">
        <w:rPr>
          <w:i/>
          <w:szCs w:val="20"/>
        </w:rPr>
        <w:t xml:space="preserve"> au </w:t>
      </w:r>
      <w:proofErr w:type="spellStart"/>
      <w:r w:rsidRPr="00541560">
        <w:rPr>
          <w:i/>
          <w:szCs w:val="20"/>
        </w:rPr>
        <w:t>XIIe</w:t>
      </w:r>
      <w:proofErr w:type="spellEnd"/>
      <w:r w:rsidRPr="00541560">
        <w:rPr>
          <w:i/>
          <w:szCs w:val="20"/>
        </w:rPr>
        <w:t xml:space="preserve"> Siècle</w:t>
      </w:r>
      <w:r w:rsidRPr="00541560">
        <w:rPr>
          <w:szCs w:val="20"/>
        </w:rPr>
        <w:t xml:space="preserve"> (Rome 1998), 63-83.  For the different trajectory of episcopal and communal h</w:t>
      </w:r>
      <w:r>
        <w:rPr>
          <w:szCs w:val="20"/>
        </w:rPr>
        <w:t>istoriographies in Italy, see Alessandro</w:t>
      </w:r>
      <w:r w:rsidRPr="00541560">
        <w:rPr>
          <w:szCs w:val="20"/>
        </w:rPr>
        <w:t xml:space="preserve"> </w:t>
      </w:r>
      <w:proofErr w:type="spellStart"/>
      <w:r w:rsidRPr="00541560">
        <w:rPr>
          <w:szCs w:val="20"/>
        </w:rPr>
        <w:t>Pratesi</w:t>
      </w:r>
      <w:proofErr w:type="spellEnd"/>
      <w:r w:rsidRPr="00541560">
        <w:rPr>
          <w:szCs w:val="20"/>
        </w:rPr>
        <w:t>, ‘</w:t>
      </w:r>
      <w:proofErr w:type="spellStart"/>
      <w:r w:rsidRPr="00541560">
        <w:rPr>
          <w:szCs w:val="20"/>
        </w:rPr>
        <w:t>Cronache</w:t>
      </w:r>
      <w:proofErr w:type="spellEnd"/>
      <w:r w:rsidRPr="00541560">
        <w:rPr>
          <w:szCs w:val="20"/>
        </w:rPr>
        <w:t xml:space="preserve"> e </w:t>
      </w:r>
      <w:proofErr w:type="spellStart"/>
      <w:r w:rsidRPr="00541560">
        <w:rPr>
          <w:szCs w:val="20"/>
        </w:rPr>
        <w:t>documenti</w:t>
      </w:r>
      <w:proofErr w:type="spellEnd"/>
      <w:r w:rsidRPr="00541560">
        <w:rPr>
          <w:szCs w:val="20"/>
        </w:rPr>
        <w:t xml:space="preserve">’, in </w:t>
      </w:r>
      <w:proofErr w:type="spellStart"/>
      <w:r w:rsidRPr="00541560">
        <w:rPr>
          <w:i/>
          <w:iCs/>
          <w:szCs w:val="20"/>
        </w:rPr>
        <w:t>Fonti</w:t>
      </w:r>
      <w:proofErr w:type="spellEnd"/>
      <w:r w:rsidRPr="00541560">
        <w:rPr>
          <w:i/>
          <w:iCs/>
          <w:szCs w:val="20"/>
        </w:rPr>
        <w:t xml:space="preserve"> </w:t>
      </w:r>
      <w:proofErr w:type="spellStart"/>
      <w:r w:rsidRPr="00541560">
        <w:rPr>
          <w:i/>
          <w:iCs/>
          <w:szCs w:val="20"/>
        </w:rPr>
        <w:t>medioevali</w:t>
      </w:r>
      <w:proofErr w:type="spellEnd"/>
      <w:r w:rsidRPr="00541560">
        <w:rPr>
          <w:i/>
          <w:iCs/>
          <w:szCs w:val="20"/>
        </w:rPr>
        <w:t xml:space="preserve"> e </w:t>
      </w:r>
      <w:proofErr w:type="spellStart"/>
      <w:r w:rsidRPr="00541560">
        <w:rPr>
          <w:i/>
          <w:iCs/>
          <w:szCs w:val="20"/>
        </w:rPr>
        <w:t>problematica</w:t>
      </w:r>
      <w:proofErr w:type="spellEnd"/>
      <w:r w:rsidRPr="00541560">
        <w:rPr>
          <w:i/>
          <w:iCs/>
          <w:szCs w:val="20"/>
        </w:rPr>
        <w:t xml:space="preserve"> </w:t>
      </w:r>
      <w:proofErr w:type="spellStart"/>
      <w:r w:rsidRPr="00541560">
        <w:rPr>
          <w:i/>
          <w:iCs/>
          <w:szCs w:val="20"/>
        </w:rPr>
        <w:t>storiografia</w:t>
      </w:r>
      <w:proofErr w:type="spellEnd"/>
      <w:r w:rsidRPr="00541560">
        <w:rPr>
          <w:szCs w:val="20"/>
        </w:rPr>
        <w:t xml:space="preserve">, 2 vols. </w:t>
      </w:r>
      <w:r w:rsidRPr="00541560">
        <w:rPr>
          <w:szCs w:val="20"/>
          <w:lang w:val="it-IT"/>
        </w:rPr>
        <w:t xml:space="preserve">(Rome, 1976-7), </w:t>
      </w:r>
      <w:r>
        <w:rPr>
          <w:szCs w:val="20"/>
          <w:lang w:val="it-IT"/>
        </w:rPr>
        <w:t>i</w:t>
      </w:r>
      <w:r w:rsidRPr="00541560">
        <w:rPr>
          <w:szCs w:val="20"/>
          <w:lang w:val="it-IT"/>
        </w:rPr>
        <w:t xml:space="preserve">, </w:t>
      </w:r>
      <w:r>
        <w:rPr>
          <w:szCs w:val="20"/>
          <w:lang w:val="it-IT"/>
        </w:rPr>
        <w:t>337-350; Girolamo</w:t>
      </w:r>
      <w:r w:rsidRPr="00541560">
        <w:rPr>
          <w:szCs w:val="20"/>
          <w:lang w:val="it-IT"/>
        </w:rPr>
        <w:t xml:space="preserve"> Arnaldi, ‘Cronache con documenti, cronache “autentiche” e pubblica storiografia’, in </w:t>
      </w:r>
      <w:r w:rsidRPr="00541560">
        <w:rPr>
          <w:i/>
          <w:iCs/>
          <w:szCs w:val="20"/>
          <w:lang w:val="it-IT"/>
        </w:rPr>
        <w:t>Fonti medioevali e problematica storiografia</w:t>
      </w:r>
      <w:r w:rsidRPr="00541560">
        <w:rPr>
          <w:szCs w:val="20"/>
          <w:lang w:val="it-IT"/>
        </w:rPr>
        <w:t xml:space="preserve">, </w:t>
      </w:r>
      <w:r>
        <w:rPr>
          <w:szCs w:val="20"/>
          <w:lang w:val="it-IT"/>
        </w:rPr>
        <w:t>i,</w:t>
      </w:r>
      <w:r w:rsidRPr="00541560">
        <w:rPr>
          <w:szCs w:val="20"/>
        </w:rPr>
        <w:t xml:space="preserve"> 3</w:t>
      </w:r>
      <w:r>
        <w:rPr>
          <w:szCs w:val="20"/>
        </w:rPr>
        <w:t>51-374, and D. Foote, ‘How the P</w:t>
      </w:r>
      <w:r w:rsidRPr="00541560">
        <w:rPr>
          <w:szCs w:val="20"/>
        </w:rPr>
        <w:t xml:space="preserve">ast becomes a </w:t>
      </w:r>
      <w:r>
        <w:rPr>
          <w:szCs w:val="20"/>
        </w:rPr>
        <w:t xml:space="preserve">Rumor: The </w:t>
      </w:r>
      <w:proofErr w:type="spellStart"/>
      <w:r>
        <w:rPr>
          <w:szCs w:val="20"/>
        </w:rPr>
        <w:t>N</w:t>
      </w:r>
      <w:r w:rsidRPr="00541560">
        <w:rPr>
          <w:szCs w:val="20"/>
        </w:rPr>
        <w:t>otarialization</w:t>
      </w:r>
      <w:proofErr w:type="spellEnd"/>
      <w:r w:rsidRPr="00541560">
        <w:rPr>
          <w:szCs w:val="20"/>
        </w:rPr>
        <w:t xml:space="preserve"> of </w:t>
      </w:r>
      <w:r>
        <w:rPr>
          <w:szCs w:val="20"/>
        </w:rPr>
        <w:t>Historical C</w:t>
      </w:r>
      <w:r w:rsidRPr="00541560">
        <w:rPr>
          <w:szCs w:val="20"/>
        </w:rPr>
        <w:t xml:space="preserve">onsciousness in </w:t>
      </w:r>
      <w:r>
        <w:rPr>
          <w:szCs w:val="20"/>
        </w:rPr>
        <w:t>M</w:t>
      </w:r>
      <w:r w:rsidRPr="00541560">
        <w:rPr>
          <w:szCs w:val="20"/>
        </w:rPr>
        <w:t xml:space="preserve">edieval </w:t>
      </w:r>
      <w:proofErr w:type="spellStart"/>
      <w:r w:rsidRPr="00541560">
        <w:rPr>
          <w:szCs w:val="20"/>
        </w:rPr>
        <w:t>Orvieto</w:t>
      </w:r>
      <w:proofErr w:type="spellEnd"/>
      <w:r w:rsidRPr="00541560">
        <w:rPr>
          <w:szCs w:val="20"/>
        </w:rPr>
        <w:t xml:space="preserve">’, </w:t>
      </w:r>
      <w:r w:rsidRPr="00541560">
        <w:rPr>
          <w:i/>
          <w:iCs/>
          <w:szCs w:val="20"/>
        </w:rPr>
        <w:t>Speculum</w:t>
      </w:r>
      <w:r w:rsidRPr="00541560">
        <w:rPr>
          <w:szCs w:val="20"/>
        </w:rPr>
        <w:t xml:space="preserve"> </w:t>
      </w:r>
      <w:r>
        <w:rPr>
          <w:szCs w:val="20"/>
        </w:rPr>
        <w:t>lxxv</w:t>
      </w:r>
      <w:r w:rsidRPr="00541560">
        <w:rPr>
          <w:szCs w:val="20"/>
        </w:rPr>
        <w:t xml:space="preserve"> (2000), 794-815.</w:t>
      </w:r>
    </w:p>
  </w:footnote>
  <w:footnote w:id="29">
    <w:p w14:paraId="4531F140" w14:textId="4742994B"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For the g</w:t>
      </w:r>
      <w:r>
        <w:rPr>
          <w:szCs w:val="20"/>
        </w:rPr>
        <w:t xml:space="preserve">eneral point here, see Wilhelm </w:t>
      </w:r>
      <w:proofErr w:type="spellStart"/>
      <w:r>
        <w:rPr>
          <w:szCs w:val="20"/>
        </w:rPr>
        <w:t>Kurze</w:t>
      </w:r>
      <w:proofErr w:type="spellEnd"/>
      <w:r>
        <w:rPr>
          <w:szCs w:val="20"/>
        </w:rPr>
        <w:t>, ‘</w:t>
      </w:r>
      <w:r w:rsidRPr="00541560">
        <w:rPr>
          <w:szCs w:val="20"/>
        </w:rPr>
        <w:t>“</w:t>
      </w:r>
      <w:proofErr w:type="spellStart"/>
      <w:r w:rsidRPr="00541560">
        <w:rPr>
          <w:szCs w:val="20"/>
        </w:rPr>
        <w:t>Monasterium</w:t>
      </w:r>
      <w:proofErr w:type="spellEnd"/>
      <w:r w:rsidRPr="00541560">
        <w:rPr>
          <w:szCs w:val="20"/>
        </w:rPr>
        <w:t xml:space="preserve"> </w:t>
      </w:r>
      <w:proofErr w:type="spellStart"/>
      <w:r w:rsidRPr="00541560">
        <w:rPr>
          <w:szCs w:val="20"/>
        </w:rPr>
        <w:t>Erfonis</w:t>
      </w:r>
      <w:proofErr w:type="spellEnd"/>
      <w:r w:rsidRPr="00541560">
        <w:rPr>
          <w:szCs w:val="20"/>
        </w:rPr>
        <w:t>”</w:t>
      </w:r>
      <w:r>
        <w:rPr>
          <w:szCs w:val="20"/>
        </w:rPr>
        <w:t xml:space="preserve">, </w:t>
      </w:r>
      <w:proofErr w:type="spellStart"/>
      <w:r>
        <w:rPr>
          <w:szCs w:val="20"/>
        </w:rPr>
        <w:t>i</w:t>
      </w:r>
      <w:proofErr w:type="spellEnd"/>
      <w:r>
        <w:rPr>
          <w:szCs w:val="20"/>
        </w:rPr>
        <w:t xml:space="preserve"> </w:t>
      </w:r>
      <w:proofErr w:type="spellStart"/>
      <w:r>
        <w:rPr>
          <w:szCs w:val="20"/>
        </w:rPr>
        <w:t>primi</w:t>
      </w:r>
      <w:proofErr w:type="spellEnd"/>
      <w:r>
        <w:rPr>
          <w:szCs w:val="20"/>
        </w:rPr>
        <w:t xml:space="preserve"> </w:t>
      </w:r>
      <w:proofErr w:type="spellStart"/>
      <w:r>
        <w:rPr>
          <w:szCs w:val="20"/>
        </w:rPr>
        <w:t>tre</w:t>
      </w:r>
      <w:proofErr w:type="spellEnd"/>
      <w:r>
        <w:rPr>
          <w:szCs w:val="20"/>
        </w:rPr>
        <w:t xml:space="preserve"> </w:t>
      </w:r>
      <w:proofErr w:type="spellStart"/>
      <w:r>
        <w:rPr>
          <w:szCs w:val="20"/>
        </w:rPr>
        <w:t>secoli</w:t>
      </w:r>
      <w:proofErr w:type="spellEnd"/>
      <w:r>
        <w:rPr>
          <w:szCs w:val="20"/>
        </w:rPr>
        <w:t xml:space="preserve"> di </w:t>
      </w:r>
      <w:proofErr w:type="spellStart"/>
      <w:r>
        <w:rPr>
          <w:szCs w:val="20"/>
        </w:rPr>
        <w:t>storia</w:t>
      </w:r>
      <w:proofErr w:type="spellEnd"/>
      <w:r>
        <w:rPr>
          <w:szCs w:val="20"/>
        </w:rPr>
        <w:t xml:space="preserve"> </w:t>
      </w:r>
      <w:proofErr w:type="gramStart"/>
      <w:r>
        <w:rPr>
          <w:szCs w:val="20"/>
        </w:rPr>
        <w:t>del</w:t>
      </w:r>
      <w:proofErr w:type="gramEnd"/>
      <w:r>
        <w:rPr>
          <w:szCs w:val="20"/>
        </w:rPr>
        <w:t xml:space="preserve"> </w:t>
      </w:r>
      <w:proofErr w:type="spellStart"/>
      <w:r>
        <w:rPr>
          <w:szCs w:val="20"/>
        </w:rPr>
        <w:t>monastero</w:t>
      </w:r>
      <w:proofErr w:type="spellEnd"/>
      <w:r>
        <w:rPr>
          <w:szCs w:val="20"/>
        </w:rPr>
        <w:t xml:space="preserve"> e la </w:t>
      </w:r>
      <w:proofErr w:type="spellStart"/>
      <w:r>
        <w:rPr>
          <w:szCs w:val="20"/>
        </w:rPr>
        <w:t>loro</w:t>
      </w:r>
      <w:proofErr w:type="spellEnd"/>
      <w:r>
        <w:rPr>
          <w:szCs w:val="20"/>
        </w:rPr>
        <w:t xml:space="preserve"> </w:t>
      </w:r>
      <w:proofErr w:type="spellStart"/>
      <w:r>
        <w:rPr>
          <w:szCs w:val="20"/>
        </w:rPr>
        <w:t>tradizione</w:t>
      </w:r>
      <w:proofErr w:type="spellEnd"/>
      <w:r>
        <w:rPr>
          <w:szCs w:val="20"/>
        </w:rPr>
        <w:t xml:space="preserve"> </w:t>
      </w:r>
      <w:proofErr w:type="spellStart"/>
      <w:r>
        <w:rPr>
          <w:szCs w:val="20"/>
        </w:rPr>
        <w:t>documentaria</w:t>
      </w:r>
      <w:proofErr w:type="spellEnd"/>
      <w:r w:rsidRPr="00541560">
        <w:rPr>
          <w:szCs w:val="20"/>
        </w:rPr>
        <w:t>’,</w:t>
      </w:r>
      <w:r>
        <w:rPr>
          <w:szCs w:val="20"/>
        </w:rPr>
        <w:t xml:space="preserve"> in </w:t>
      </w:r>
      <w:proofErr w:type="spellStart"/>
      <w:r>
        <w:rPr>
          <w:i/>
          <w:szCs w:val="20"/>
        </w:rPr>
        <w:t>Abbazia</w:t>
      </w:r>
      <w:proofErr w:type="spellEnd"/>
      <w:r>
        <w:rPr>
          <w:i/>
          <w:szCs w:val="20"/>
        </w:rPr>
        <w:t xml:space="preserve"> di San Salvatore al Monte Amiata</w:t>
      </w:r>
      <w:r>
        <w:rPr>
          <w:szCs w:val="20"/>
        </w:rPr>
        <w:t xml:space="preserve"> (Monte Amiata, 1986),</w:t>
      </w:r>
      <w:r w:rsidRPr="00541560">
        <w:rPr>
          <w:szCs w:val="20"/>
        </w:rPr>
        <w:t xml:space="preserve"> 365-6.</w:t>
      </w:r>
    </w:p>
  </w:footnote>
  <w:footnote w:id="30">
    <w:p w14:paraId="2800FA6B" w14:textId="7403EBBF"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t>
      </w:r>
      <w:r w:rsidRPr="00541560">
        <w:rPr>
          <w:i/>
          <w:iCs/>
          <w:szCs w:val="20"/>
        </w:rPr>
        <w:t>CDA</w:t>
      </w:r>
      <w:r w:rsidRPr="00541560">
        <w:rPr>
          <w:szCs w:val="20"/>
        </w:rPr>
        <w:t>, no</w:t>
      </w:r>
      <w:r>
        <w:rPr>
          <w:szCs w:val="20"/>
        </w:rPr>
        <w:t>s</w:t>
      </w:r>
      <w:r w:rsidRPr="00541560">
        <w:rPr>
          <w:szCs w:val="20"/>
        </w:rPr>
        <w:t>. 164 (</w:t>
      </w:r>
      <w:proofErr w:type="spellStart"/>
      <w:r w:rsidRPr="00541560">
        <w:rPr>
          <w:szCs w:val="20"/>
        </w:rPr>
        <w:t>Eribrand</w:t>
      </w:r>
      <w:proofErr w:type="spellEnd"/>
      <w:r w:rsidRPr="00541560">
        <w:rPr>
          <w:szCs w:val="20"/>
        </w:rPr>
        <w:t xml:space="preserve"> the Frank), 207 (</w:t>
      </w:r>
      <w:proofErr w:type="spellStart"/>
      <w:r w:rsidRPr="00541560">
        <w:rPr>
          <w:szCs w:val="20"/>
        </w:rPr>
        <w:t>Alvizo</w:t>
      </w:r>
      <w:proofErr w:type="spellEnd"/>
      <w:r w:rsidRPr="00541560">
        <w:rPr>
          <w:szCs w:val="20"/>
        </w:rPr>
        <w:t xml:space="preserve"> son of </w:t>
      </w:r>
      <w:proofErr w:type="spellStart"/>
      <w:r w:rsidRPr="00541560">
        <w:rPr>
          <w:szCs w:val="20"/>
        </w:rPr>
        <w:t>Angilbert</w:t>
      </w:r>
      <w:proofErr w:type="spellEnd"/>
      <w:r w:rsidRPr="00541560">
        <w:rPr>
          <w:szCs w:val="20"/>
        </w:rPr>
        <w:t>), 208 (</w:t>
      </w:r>
      <w:proofErr w:type="spellStart"/>
      <w:r w:rsidRPr="00541560">
        <w:rPr>
          <w:szCs w:val="20"/>
        </w:rPr>
        <w:t>gastald</w:t>
      </w:r>
      <w:proofErr w:type="spellEnd"/>
      <w:r w:rsidRPr="00541560">
        <w:rPr>
          <w:szCs w:val="20"/>
        </w:rPr>
        <w:t xml:space="preserve"> </w:t>
      </w:r>
      <w:proofErr w:type="spellStart"/>
      <w:r w:rsidRPr="00541560">
        <w:rPr>
          <w:szCs w:val="20"/>
        </w:rPr>
        <w:t>Ursus</w:t>
      </w:r>
      <w:proofErr w:type="spellEnd"/>
      <w:r w:rsidRPr="00541560">
        <w:rPr>
          <w:szCs w:val="20"/>
        </w:rPr>
        <w:t xml:space="preserve">), 291 (the bishop of </w:t>
      </w:r>
      <w:proofErr w:type="spellStart"/>
      <w:r w:rsidRPr="00541560">
        <w:rPr>
          <w:szCs w:val="20"/>
        </w:rPr>
        <w:t>Chiusi</w:t>
      </w:r>
      <w:proofErr w:type="spellEnd"/>
      <w:r w:rsidRPr="00541560">
        <w:rPr>
          <w:szCs w:val="20"/>
        </w:rPr>
        <w:t xml:space="preserve"> and the abbot of S. Pietro in Campo), 304 (Count Hugh).</w:t>
      </w:r>
    </w:p>
  </w:footnote>
  <w:footnote w:id="31">
    <w:p w14:paraId="4893B05D" w14:textId="644C54F6"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w:t>
      </w:r>
      <w:r>
        <w:rPr>
          <w:i/>
          <w:iCs/>
          <w:szCs w:val="20"/>
          <w:lang w:val="it-IT"/>
        </w:rPr>
        <w:t>Ibid</w:t>
      </w:r>
      <w:r>
        <w:rPr>
          <w:iCs/>
          <w:szCs w:val="20"/>
          <w:lang w:val="it-IT"/>
        </w:rPr>
        <w:t>.</w:t>
      </w:r>
      <w:r w:rsidRPr="00541560">
        <w:rPr>
          <w:szCs w:val="20"/>
          <w:lang w:val="it-IT"/>
        </w:rPr>
        <w:t>, nos 259, 260, 267, 282.</w:t>
      </w:r>
    </w:p>
  </w:footnote>
  <w:footnote w:id="32">
    <w:p w14:paraId="64E1C34A" w14:textId="25C93D51"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w:t>
      </w:r>
      <w:r w:rsidR="006E5CD5">
        <w:rPr>
          <w:szCs w:val="20"/>
          <w:lang w:val="it-IT"/>
        </w:rPr>
        <w:t xml:space="preserve">Kurze, ed. </w:t>
      </w:r>
      <w:r>
        <w:rPr>
          <w:szCs w:val="20"/>
          <w:lang w:val="it-IT"/>
        </w:rPr>
        <w:t>Marocchi, in</w:t>
      </w:r>
      <w:r w:rsidRPr="00541560">
        <w:rPr>
          <w:szCs w:val="20"/>
          <w:lang w:val="it-IT"/>
        </w:rPr>
        <w:t xml:space="preserve"> </w:t>
      </w:r>
      <w:r w:rsidRPr="00541560">
        <w:rPr>
          <w:i/>
          <w:iCs/>
          <w:szCs w:val="20"/>
          <w:lang w:val="it-IT"/>
        </w:rPr>
        <w:t>CDA</w:t>
      </w:r>
      <w:r w:rsidRPr="00541560">
        <w:rPr>
          <w:szCs w:val="20"/>
          <w:lang w:val="it-IT"/>
        </w:rPr>
        <w:t xml:space="preserve">, </w:t>
      </w:r>
      <w:r>
        <w:rPr>
          <w:szCs w:val="20"/>
          <w:lang w:val="it-IT"/>
        </w:rPr>
        <w:t xml:space="preserve">iii, part </w:t>
      </w:r>
      <w:r w:rsidRPr="00541560">
        <w:rPr>
          <w:szCs w:val="20"/>
          <w:lang w:val="it-IT"/>
        </w:rPr>
        <w:t>1, 51-2.</w:t>
      </w:r>
    </w:p>
  </w:footnote>
  <w:footnote w:id="33">
    <w:p w14:paraId="440DD01D" w14:textId="07390241"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w:t>
      </w:r>
      <w:r w:rsidRPr="00541560">
        <w:rPr>
          <w:szCs w:val="20"/>
          <w:lang w:val="it-IT"/>
        </w:rPr>
        <w:t>For the development of the agrarian lease i</w:t>
      </w:r>
      <w:r>
        <w:rPr>
          <w:szCs w:val="20"/>
          <w:lang w:val="it-IT"/>
        </w:rPr>
        <w:t>n the context of Tuscany, see Bruno</w:t>
      </w:r>
      <w:r w:rsidRPr="00541560">
        <w:rPr>
          <w:szCs w:val="20"/>
          <w:lang w:val="it-IT"/>
        </w:rPr>
        <w:t xml:space="preserve"> Andreolli, ‘Contratti agrari e patti colonici nella Lucchesia dei secoli </w:t>
      </w:r>
      <w:r w:rsidRPr="00541560">
        <w:rPr>
          <w:szCs w:val="20"/>
          <w:lang w:val="it-IT"/>
        </w:rPr>
        <w:t xml:space="preserve">VIII e IX’, </w:t>
      </w:r>
      <w:r w:rsidRPr="00541560">
        <w:rPr>
          <w:szCs w:val="20"/>
        </w:rPr>
        <w:fldChar w:fldCharType="begin"/>
      </w:r>
      <w:r w:rsidRPr="00541560">
        <w:rPr>
          <w:szCs w:val="20"/>
        </w:rPr>
        <w:instrText xml:space="preserve"> HYPERLINK "http://opac.regesta-imperii.de/lang_de/anzeige.php?zeitschrift=Studi+medievali" </w:instrText>
      </w:r>
      <w:r w:rsidRPr="00541560">
        <w:rPr>
          <w:szCs w:val="20"/>
        </w:rPr>
        <w:fldChar w:fldCharType="separate"/>
      </w:r>
      <w:r w:rsidRPr="00541560">
        <w:rPr>
          <w:i/>
          <w:iCs/>
          <w:szCs w:val="20"/>
          <w:lang w:val="it-IT"/>
        </w:rPr>
        <w:t>Studi medievali</w:t>
      </w:r>
      <w:r w:rsidRPr="00541560">
        <w:rPr>
          <w:i/>
          <w:iCs/>
          <w:szCs w:val="20"/>
          <w:lang w:val="it-IT"/>
        </w:rPr>
        <w:fldChar w:fldCharType="end"/>
      </w:r>
      <w:r>
        <w:rPr>
          <w:szCs w:val="20"/>
          <w:lang w:val="it-IT"/>
        </w:rPr>
        <w:t xml:space="preserve">, 3rd </w:t>
      </w:r>
      <w:r w:rsidRPr="00541560">
        <w:rPr>
          <w:szCs w:val="20"/>
          <w:lang w:val="it-IT"/>
        </w:rPr>
        <w:t xml:space="preserve">ser., </w:t>
      </w:r>
      <w:r>
        <w:rPr>
          <w:szCs w:val="20"/>
          <w:lang w:val="it-IT"/>
        </w:rPr>
        <w:t>xix</w:t>
      </w:r>
      <w:r w:rsidRPr="00541560">
        <w:rPr>
          <w:szCs w:val="20"/>
          <w:lang w:val="it-IT"/>
        </w:rPr>
        <w:t xml:space="preserve"> (1978), 69-158 and </w:t>
      </w:r>
      <w:r>
        <w:rPr>
          <w:szCs w:val="20"/>
          <w:lang w:val="it-IT"/>
        </w:rPr>
        <w:t>Andreolli</w:t>
      </w:r>
      <w:r w:rsidRPr="00541560">
        <w:rPr>
          <w:szCs w:val="20"/>
          <w:lang w:val="it-IT"/>
        </w:rPr>
        <w:t>, ‘</w:t>
      </w:r>
      <w:r w:rsidRPr="00541560">
        <w:rPr>
          <w:szCs w:val="20"/>
        </w:rPr>
        <w:fldChar w:fldCharType="begin"/>
      </w:r>
      <w:r w:rsidRPr="00541560">
        <w:rPr>
          <w:szCs w:val="20"/>
        </w:rPr>
        <w:instrText xml:space="preserve"> HYPERLINK "http://opac.regesta-imperii.de/lang_de/anzeige.php?aufsatz=L%27evoluzione+dei+patti+colonici+nella+Toscana+dei+secoli+VIII-X&amp;pk=155608" </w:instrText>
      </w:r>
      <w:r w:rsidRPr="00541560">
        <w:rPr>
          <w:szCs w:val="20"/>
        </w:rPr>
        <w:fldChar w:fldCharType="separate"/>
      </w:r>
      <w:r w:rsidRPr="00541560">
        <w:rPr>
          <w:szCs w:val="20"/>
          <w:lang w:val="it-IT"/>
        </w:rPr>
        <w:t>L’evoluzione dei patti colonici nella Toscana dei secoli VIII-X</w:t>
      </w:r>
      <w:r w:rsidRPr="00541560">
        <w:rPr>
          <w:szCs w:val="20"/>
          <w:lang w:val="it-IT"/>
        </w:rPr>
        <w:fldChar w:fldCharType="end"/>
      </w:r>
      <w:r w:rsidRPr="00541560">
        <w:rPr>
          <w:szCs w:val="20"/>
          <w:lang w:val="it-IT"/>
        </w:rPr>
        <w:t xml:space="preserve">’, </w:t>
      </w:r>
      <w:r w:rsidRPr="00541560">
        <w:rPr>
          <w:i/>
          <w:iCs/>
          <w:szCs w:val="20"/>
          <w:lang w:val="it-IT"/>
        </w:rPr>
        <w:t>Quaderni medievali</w:t>
      </w:r>
      <w:r>
        <w:rPr>
          <w:iCs/>
          <w:szCs w:val="20"/>
          <w:lang w:val="it-IT"/>
        </w:rPr>
        <w:t>, xvi</w:t>
      </w:r>
      <w:r w:rsidRPr="00541560">
        <w:rPr>
          <w:szCs w:val="20"/>
          <w:lang w:val="it-IT"/>
        </w:rPr>
        <w:t xml:space="preserve"> (1983), 29-52, the latter repr. in Andreolli, </w:t>
      </w:r>
      <w:r w:rsidRPr="00541560">
        <w:rPr>
          <w:i/>
          <w:iCs/>
          <w:szCs w:val="20"/>
          <w:lang w:val="it-IT"/>
        </w:rPr>
        <w:t xml:space="preserve">Contadini su terre di signori.  Studi sulla contrattualistica agraria dell’Italia medievale </w:t>
      </w:r>
      <w:r w:rsidRPr="00541560">
        <w:rPr>
          <w:szCs w:val="20"/>
          <w:lang w:val="it-IT"/>
        </w:rPr>
        <w:t>(Bologna, 1999), 39-67</w:t>
      </w:r>
      <w:r>
        <w:rPr>
          <w:szCs w:val="20"/>
          <w:lang w:val="it-IT"/>
        </w:rPr>
        <w:t>.</w:t>
      </w:r>
    </w:p>
  </w:footnote>
  <w:footnote w:id="34">
    <w:p w14:paraId="243BECE2" w14:textId="6409F6F4" w:rsidR="00F23E2A" w:rsidRPr="00541560" w:rsidRDefault="00F23E2A" w:rsidP="004B02E6">
      <w:pPr>
        <w:pStyle w:val="FootnoteText"/>
        <w:rPr>
          <w:szCs w:val="20"/>
        </w:rPr>
      </w:pPr>
      <w:r w:rsidRPr="00541560">
        <w:rPr>
          <w:rStyle w:val="FootnoteReference"/>
          <w:szCs w:val="20"/>
        </w:rPr>
        <w:footnoteRef/>
      </w:r>
      <w:r>
        <w:rPr>
          <w:szCs w:val="20"/>
        </w:rPr>
        <w:t xml:space="preserve"> </w:t>
      </w:r>
      <w:proofErr w:type="spellStart"/>
      <w:r>
        <w:rPr>
          <w:szCs w:val="20"/>
        </w:rPr>
        <w:t>Kurze</w:t>
      </w:r>
      <w:proofErr w:type="spellEnd"/>
      <w:r>
        <w:rPr>
          <w:szCs w:val="20"/>
        </w:rPr>
        <w:t xml:space="preserve"> in </w:t>
      </w:r>
      <w:r w:rsidRPr="00541560">
        <w:rPr>
          <w:i/>
          <w:szCs w:val="20"/>
        </w:rPr>
        <w:t>CDA</w:t>
      </w:r>
      <w:r>
        <w:rPr>
          <w:szCs w:val="20"/>
        </w:rPr>
        <w:t xml:space="preserve">, iii, part </w:t>
      </w:r>
      <w:r w:rsidRPr="00541560">
        <w:rPr>
          <w:szCs w:val="20"/>
        </w:rPr>
        <w:t>1, 10.</w:t>
      </w:r>
    </w:p>
  </w:footnote>
  <w:footnote w:id="35">
    <w:p w14:paraId="60F5C765" w14:textId="6EC0D540"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t>
      </w:r>
      <w:r w:rsidRPr="00541560">
        <w:rPr>
          <w:i/>
          <w:iCs/>
          <w:szCs w:val="20"/>
        </w:rPr>
        <w:t>CDA</w:t>
      </w:r>
      <w:r>
        <w:rPr>
          <w:szCs w:val="20"/>
        </w:rPr>
        <w:t xml:space="preserve">, no. 203. </w:t>
      </w:r>
      <w:r w:rsidRPr="00541560">
        <w:rPr>
          <w:szCs w:val="20"/>
        </w:rPr>
        <w:t>For what follows, I have mainly depended on Chris Wickham’s meticulous study, ‘</w:t>
      </w:r>
      <w:proofErr w:type="spellStart"/>
      <w:r w:rsidRPr="00541560">
        <w:rPr>
          <w:szCs w:val="20"/>
        </w:rPr>
        <w:t>Paesaggi</w:t>
      </w:r>
      <w:proofErr w:type="spellEnd"/>
      <w:r w:rsidRPr="00541560">
        <w:rPr>
          <w:szCs w:val="20"/>
        </w:rPr>
        <w:t xml:space="preserve"> </w:t>
      </w:r>
      <w:proofErr w:type="spellStart"/>
      <w:r w:rsidRPr="00541560">
        <w:rPr>
          <w:szCs w:val="20"/>
        </w:rPr>
        <w:t>sepolti</w:t>
      </w:r>
      <w:proofErr w:type="spellEnd"/>
      <w:r w:rsidRPr="00541560">
        <w:rPr>
          <w:szCs w:val="20"/>
        </w:rPr>
        <w:t xml:space="preserve">: </w:t>
      </w:r>
      <w:proofErr w:type="spellStart"/>
      <w:r w:rsidRPr="00541560">
        <w:rPr>
          <w:szCs w:val="20"/>
        </w:rPr>
        <w:t>insediamento</w:t>
      </w:r>
      <w:proofErr w:type="spellEnd"/>
      <w:r w:rsidRPr="00541560">
        <w:rPr>
          <w:szCs w:val="20"/>
        </w:rPr>
        <w:t xml:space="preserve"> e </w:t>
      </w:r>
      <w:proofErr w:type="spellStart"/>
      <w:r w:rsidRPr="00541560">
        <w:rPr>
          <w:szCs w:val="20"/>
        </w:rPr>
        <w:t>incastellamen</w:t>
      </w:r>
      <w:r>
        <w:rPr>
          <w:szCs w:val="20"/>
        </w:rPr>
        <w:t>to</w:t>
      </w:r>
      <w:proofErr w:type="spellEnd"/>
      <w:r>
        <w:rPr>
          <w:szCs w:val="20"/>
        </w:rPr>
        <w:t xml:space="preserve"> </w:t>
      </w:r>
      <w:proofErr w:type="spellStart"/>
      <w:r>
        <w:rPr>
          <w:szCs w:val="20"/>
        </w:rPr>
        <w:t>sull’Amiata</w:t>
      </w:r>
      <w:proofErr w:type="spellEnd"/>
      <w:r>
        <w:rPr>
          <w:szCs w:val="20"/>
        </w:rPr>
        <w:t xml:space="preserve">, 750-1250’, in Mario </w:t>
      </w:r>
      <w:proofErr w:type="spellStart"/>
      <w:r>
        <w:rPr>
          <w:szCs w:val="20"/>
        </w:rPr>
        <w:t>Ascheri</w:t>
      </w:r>
      <w:proofErr w:type="spellEnd"/>
      <w:r>
        <w:rPr>
          <w:szCs w:val="20"/>
        </w:rPr>
        <w:t xml:space="preserve"> and Wilhelm </w:t>
      </w:r>
      <w:proofErr w:type="spellStart"/>
      <w:r>
        <w:rPr>
          <w:szCs w:val="20"/>
        </w:rPr>
        <w:t>Kurze</w:t>
      </w:r>
      <w:proofErr w:type="spellEnd"/>
      <w:r>
        <w:rPr>
          <w:szCs w:val="20"/>
        </w:rPr>
        <w:t xml:space="preserve"> (</w:t>
      </w:r>
      <w:r w:rsidRPr="00541560">
        <w:rPr>
          <w:szCs w:val="20"/>
        </w:rPr>
        <w:t>eds.</w:t>
      </w:r>
      <w:r>
        <w:rPr>
          <w:szCs w:val="20"/>
        </w:rPr>
        <w:t>)</w:t>
      </w:r>
      <w:r w:rsidRPr="00541560">
        <w:rPr>
          <w:szCs w:val="20"/>
        </w:rPr>
        <w:t xml:space="preserve">, </w:t>
      </w:r>
      <w:proofErr w:type="spellStart"/>
      <w:r w:rsidRPr="00541560">
        <w:rPr>
          <w:i/>
          <w:iCs/>
          <w:szCs w:val="20"/>
        </w:rPr>
        <w:t>L’Amiata</w:t>
      </w:r>
      <w:proofErr w:type="spellEnd"/>
      <w:r w:rsidRPr="00541560">
        <w:rPr>
          <w:i/>
          <w:iCs/>
          <w:szCs w:val="20"/>
        </w:rPr>
        <w:t xml:space="preserve"> </w:t>
      </w:r>
      <w:proofErr w:type="spellStart"/>
      <w:r w:rsidRPr="00541560">
        <w:rPr>
          <w:i/>
          <w:iCs/>
          <w:szCs w:val="20"/>
        </w:rPr>
        <w:t>nel</w:t>
      </w:r>
      <w:proofErr w:type="spellEnd"/>
      <w:r w:rsidRPr="00541560">
        <w:rPr>
          <w:i/>
          <w:iCs/>
          <w:szCs w:val="20"/>
        </w:rPr>
        <w:t xml:space="preserve"> </w:t>
      </w:r>
      <w:proofErr w:type="spellStart"/>
      <w:r w:rsidRPr="00541560">
        <w:rPr>
          <w:i/>
          <w:iCs/>
          <w:szCs w:val="20"/>
        </w:rPr>
        <w:t>medioevo</w:t>
      </w:r>
      <w:proofErr w:type="spellEnd"/>
      <w:r w:rsidRPr="00541560">
        <w:rPr>
          <w:szCs w:val="20"/>
        </w:rPr>
        <w:t xml:space="preserve"> (Rome, 1991), 101-37.  For a complete history of the </w:t>
      </w:r>
      <w:proofErr w:type="spellStart"/>
      <w:r w:rsidRPr="00541560">
        <w:rPr>
          <w:szCs w:val="20"/>
        </w:rPr>
        <w:t>Aldob</w:t>
      </w:r>
      <w:r>
        <w:rPr>
          <w:szCs w:val="20"/>
        </w:rPr>
        <w:t>randeschi</w:t>
      </w:r>
      <w:proofErr w:type="spellEnd"/>
      <w:r>
        <w:rPr>
          <w:szCs w:val="20"/>
        </w:rPr>
        <w:t xml:space="preserve"> in this period, see Simone</w:t>
      </w:r>
      <w:r w:rsidRPr="00541560">
        <w:rPr>
          <w:szCs w:val="20"/>
        </w:rPr>
        <w:t xml:space="preserve"> </w:t>
      </w:r>
      <w:proofErr w:type="spellStart"/>
      <w:r w:rsidRPr="00541560">
        <w:rPr>
          <w:szCs w:val="20"/>
        </w:rPr>
        <w:t>Collavini</w:t>
      </w:r>
      <w:proofErr w:type="spellEnd"/>
      <w:r w:rsidRPr="00541560">
        <w:rPr>
          <w:szCs w:val="20"/>
        </w:rPr>
        <w:t xml:space="preserve">, </w:t>
      </w:r>
      <w:r w:rsidR="00A1654F">
        <w:rPr>
          <w:i/>
          <w:iCs/>
          <w:szCs w:val="20"/>
        </w:rPr>
        <w:t>‘</w:t>
      </w:r>
      <w:proofErr w:type="spellStart"/>
      <w:r w:rsidRPr="00541560">
        <w:rPr>
          <w:i/>
          <w:iCs/>
          <w:szCs w:val="20"/>
        </w:rPr>
        <w:t>Honorabilis</w:t>
      </w:r>
      <w:proofErr w:type="spellEnd"/>
      <w:r w:rsidRPr="00541560">
        <w:rPr>
          <w:i/>
          <w:iCs/>
          <w:szCs w:val="20"/>
        </w:rPr>
        <w:t xml:space="preserve"> </w:t>
      </w:r>
      <w:proofErr w:type="spellStart"/>
      <w:r w:rsidRPr="00541560">
        <w:rPr>
          <w:i/>
          <w:iCs/>
          <w:szCs w:val="20"/>
        </w:rPr>
        <w:t>domus</w:t>
      </w:r>
      <w:proofErr w:type="spellEnd"/>
      <w:r w:rsidRPr="00541560">
        <w:rPr>
          <w:i/>
          <w:iCs/>
          <w:szCs w:val="20"/>
        </w:rPr>
        <w:t xml:space="preserve"> et </w:t>
      </w:r>
      <w:proofErr w:type="spellStart"/>
      <w:r w:rsidRPr="00541560">
        <w:rPr>
          <w:i/>
          <w:iCs/>
          <w:szCs w:val="20"/>
        </w:rPr>
        <w:t>spetiosissimus</w:t>
      </w:r>
      <w:proofErr w:type="spellEnd"/>
      <w:r w:rsidRPr="00541560">
        <w:rPr>
          <w:i/>
          <w:iCs/>
          <w:szCs w:val="20"/>
        </w:rPr>
        <w:t xml:space="preserve"> </w:t>
      </w:r>
      <w:proofErr w:type="spellStart"/>
      <w:r w:rsidRPr="00541560">
        <w:rPr>
          <w:i/>
          <w:iCs/>
          <w:szCs w:val="20"/>
        </w:rPr>
        <w:t>comitatu</w:t>
      </w:r>
      <w:r w:rsidR="00A1654F">
        <w:rPr>
          <w:i/>
          <w:iCs/>
          <w:szCs w:val="20"/>
        </w:rPr>
        <w:t>s</w:t>
      </w:r>
      <w:proofErr w:type="spellEnd"/>
      <w:r w:rsidR="00A1654F">
        <w:rPr>
          <w:i/>
          <w:iCs/>
          <w:szCs w:val="20"/>
        </w:rPr>
        <w:t>’</w:t>
      </w:r>
      <w:r w:rsidRPr="00541560">
        <w:rPr>
          <w:i/>
          <w:iCs/>
          <w:szCs w:val="20"/>
        </w:rPr>
        <w:t xml:space="preserve">. </w:t>
      </w:r>
      <w:r w:rsidR="00A1654F">
        <w:rPr>
          <w:i/>
          <w:iCs/>
          <w:szCs w:val="20"/>
          <w:lang w:val="it-IT"/>
        </w:rPr>
        <w:t>Gli Aldobrandeschi da ‘conti’ a ‘principi territoriali’</w:t>
      </w:r>
      <w:r w:rsidRPr="00541560">
        <w:rPr>
          <w:i/>
          <w:iCs/>
          <w:szCs w:val="20"/>
          <w:lang w:val="it-IT"/>
        </w:rPr>
        <w:t xml:space="preserve"> (secoli IX-XIII)</w:t>
      </w:r>
      <w:r w:rsidRPr="00541560">
        <w:rPr>
          <w:szCs w:val="20"/>
          <w:lang w:val="it-IT"/>
        </w:rPr>
        <w:t xml:space="preserve"> (Pisa, 1998).</w:t>
      </w:r>
    </w:p>
  </w:footnote>
  <w:footnote w:id="36">
    <w:p w14:paraId="4FEF45E2" w14:textId="5F573C11"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w:t>
      </w:r>
      <w:r w:rsidRPr="00541560">
        <w:rPr>
          <w:i/>
          <w:iCs/>
          <w:szCs w:val="20"/>
          <w:lang w:val="it-IT"/>
        </w:rPr>
        <w:t>CDA</w:t>
      </w:r>
      <w:r w:rsidRPr="00541560">
        <w:rPr>
          <w:szCs w:val="20"/>
          <w:lang w:val="it-IT"/>
        </w:rPr>
        <w:t>, no. 303</w:t>
      </w:r>
      <w:r>
        <w:rPr>
          <w:szCs w:val="20"/>
          <w:lang w:val="it-IT"/>
        </w:rPr>
        <w:t>.</w:t>
      </w:r>
    </w:p>
  </w:footnote>
  <w:footnote w:id="37">
    <w:p w14:paraId="2958C0ED" w14:textId="61E803BD"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w:t>
      </w:r>
      <w:r>
        <w:rPr>
          <w:szCs w:val="20"/>
          <w:lang w:val="it-IT"/>
        </w:rPr>
        <w:t xml:space="preserve">Wickham, ‘Paesaggi sepolti’, 125. </w:t>
      </w:r>
      <w:r w:rsidRPr="00541560">
        <w:rPr>
          <w:szCs w:val="20"/>
        </w:rPr>
        <w:t xml:space="preserve">The extent of the threat that the monks perceived from the </w:t>
      </w:r>
      <w:proofErr w:type="spellStart"/>
      <w:r w:rsidRPr="00541560">
        <w:rPr>
          <w:szCs w:val="20"/>
        </w:rPr>
        <w:t>Aldobrandeschi</w:t>
      </w:r>
      <w:proofErr w:type="spellEnd"/>
      <w:r w:rsidRPr="00541560">
        <w:rPr>
          <w:szCs w:val="20"/>
        </w:rPr>
        <w:t xml:space="preserve"> by that time is evident from their rather hysterical letter of 1084 to Henry IV, one of </w:t>
      </w:r>
      <w:proofErr w:type="spellStart"/>
      <w:r w:rsidRPr="00541560">
        <w:rPr>
          <w:szCs w:val="20"/>
        </w:rPr>
        <w:t>Fumagalli’s</w:t>
      </w:r>
      <w:proofErr w:type="spellEnd"/>
      <w:r w:rsidRPr="00541560">
        <w:rPr>
          <w:szCs w:val="20"/>
        </w:rPr>
        <w:t xml:space="preserve"> ‘</w:t>
      </w:r>
      <w:proofErr w:type="spellStart"/>
      <w:r w:rsidRPr="00541560">
        <w:rPr>
          <w:szCs w:val="20"/>
        </w:rPr>
        <w:t>polyptychs</w:t>
      </w:r>
      <w:proofErr w:type="spellEnd"/>
      <w:r w:rsidRPr="00541560">
        <w:rPr>
          <w:szCs w:val="20"/>
        </w:rPr>
        <w:t xml:space="preserve"> of misdeeds’: </w:t>
      </w:r>
      <w:r w:rsidRPr="00541560">
        <w:rPr>
          <w:i/>
          <w:iCs/>
          <w:szCs w:val="20"/>
        </w:rPr>
        <w:t>CDA</w:t>
      </w:r>
      <w:r w:rsidRPr="00541560">
        <w:rPr>
          <w:szCs w:val="20"/>
        </w:rPr>
        <w:t>, no. 309 and V</w:t>
      </w:r>
      <w:r>
        <w:rPr>
          <w:szCs w:val="20"/>
          <w:lang w:val="it-IT"/>
        </w:rPr>
        <w:t xml:space="preserve">ito </w:t>
      </w:r>
      <w:r w:rsidRPr="00541560">
        <w:rPr>
          <w:szCs w:val="20"/>
          <w:lang w:val="it-IT"/>
        </w:rPr>
        <w:t xml:space="preserve">Fumagalli, </w:t>
      </w:r>
      <w:r w:rsidRPr="00541560">
        <w:rPr>
          <w:i/>
          <w:iCs/>
          <w:szCs w:val="20"/>
          <w:lang w:val="it-IT"/>
        </w:rPr>
        <w:t>Le origini di una grande dinastia feudale: Adalberto-Atto di Canossa</w:t>
      </w:r>
      <w:r>
        <w:rPr>
          <w:szCs w:val="20"/>
          <w:lang w:val="it-IT"/>
        </w:rPr>
        <w:t xml:space="preserve"> (Tübingen, 1971), </w:t>
      </w:r>
      <w:r w:rsidRPr="00541560">
        <w:rPr>
          <w:szCs w:val="20"/>
          <w:lang w:val="it-IT"/>
        </w:rPr>
        <w:t>65-73</w:t>
      </w:r>
      <w:r w:rsidRPr="00541560">
        <w:rPr>
          <w:szCs w:val="20"/>
        </w:rPr>
        <w:t>.</w:t>
      </w:r>
    </w:p>
  </w:footnote>
  <w:footnote w:id="38">
    <w:p w14:paraId="040F4DF9" w14:textId="26921793"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The profile of Piacenza’s tenth-century documents is not easy to establish, because those who compiled the standard editions in the twentieth century were unaware of quite a large number, as noted by the twenty first-century editors of the Piacenza volumes of </w:t>
      </w:r>
      <w:r w:rsidR="00F14C35" w:rsidRPr="00541560">
        <w:rPr>
          <w:i/>
          <w:szCs w:val="20"/>
          <w:lang w:val="it-IT"/>
        </w:rPr>
        <w:t>ChLA</w:t>
      </w:r>
      <w:r w:rsidR="00F14C35" w:rsidRPr="006E5CD5">
        <w:rPr>
          <w:szCs w:val="20"/>
          <w:vertAlign w:val="superscript"/>
          <w:lang w:val="it-IT"/>
        </w:rPr>
        <w:t>2</w:t>
      </w:r>
      <w:r w:rsidRPr="00541560">
        <w:rPr>
          <w:szCs w:val="20"/>
          <w:lang w:val="it-IT"/>
        </w:rPr>
        <w:t xml:space="preserve">: e.g. </w:t>
      </w:r>
      <w:r w:rsidR="00E06F51">
        <w:rPr>
          <w:szCs w:val="20"/>
          <w:lang w:val="it-IT"/>
        </w:rPr>
        <w:t>Cristina Mantegna</w:t>
      </w:r>
      <w:r w:rsidR="00B90470">
        <w:rPr>
          <w:szCs w:val="20"/>
          <w:lang w:val="it-IT"/>
        </w:rPr>
        <w:t xml:space="preserve">, </w:t>
      </w:r>
      <w:r w:rsidR="00B90470">
        <w:rPr>
          <w:i/>
          <w:szCs w:val="20"/>
          <w:lang w:val="it-IT"/>
        </w:rPr>
        <w:t>ibid</w:t>
      </w:r>
      <w:r w:rsidR="00B90470">
        <w:rPr>
          <w:szCs w:val="20"/>
          <w:lang w:val="it-IT"/>
        </w:rPr>
        <w:t>.,</w:t>
      </w:r>
      <w:r w:rsidRPr="00541560">
        <w:rPr>
          <w:szCs w:val="20"/>
          <w:lang w:val="it-IT"/>
        </w:rPr>
        <w:t xml:space="preserve"> </w:t>
      </w:r>
      <w:r>
        <w:rPr>
          <w:szCs w:val="20"/>
          <w:lang w:val="it-IT"/>
        </w:rPr>
        <w:t>lxiv</w:t>
      </w:r>
      <w:r w:rsidRPr="00541560">
        <w:rPr>
          <w:szCs w:val="20"/>
          <w:lang w:val="it-IT"/>
        </w:rPr>
        <w:t xml:space="preserve">, 5-6, referring to </w:t>
      </w:r>
      <w:r w:rsidRPr="00541560">
        <w:rPr>
          <w:i/>
          <w:iCs/>
          <w:szCs w:val="20"/>
          <w:lang w:val="it-IT"/>
        </w:rPr>
        <w:t>Le carte più antiche di S. Antonino di Piacenza</w:t>
      </w:r>
      <w:r>
        <w:rPr>
          <w:iCs/>
          <w:szCs w:val="20"/>
          <w:lang w:val="it-IT"/>
        </w:rPr>
        <w:t xml:space="preserve">, ed. </w:t>
      </w:r>
      <w:r>
        <w:rPr>
          <w:szCs w:val="20"/>
          <w:lang w:val="it-IT"/>
        </w:rPr>
        <w:t>Ettore</w:t>
      </w:r>
      <w:r w:rsidRPr="00541560">
        <w:rPr>
          <w:szCs w:val="20"/>
          <w:lang w:val="it-IT"/>
        </w:rPr>
        <w:t xml:space="preserve"> Falconi (Parma, 1959)</w:t>
      </w:r>
      <w:r>
        <w:rPr>
          <w:szCs w:val="20"/>
          <w:lang w:val="it-IT"/>
        </w:rPr>
        <w:t xml:space="preserve">. </w:t>
      </w:r>
      <w:r w:rsidRPr="00541560">
        <w:rPr>
          <w:szCs w:val="20"/>
          <w:lang w:val="it-IT"/>
        </w:rPr>
        <w:t xml:space="preserve">From the cathedral archive, only the documents up to the mid-ninth century had received a modern edition before </w:t>
      </w:r>
      <w:r w:rsidRPr="00541560">
        <w:rPr>
          <w:i/>
          <w:szCs w:val="20"/>
          <w:lang w:val="it-IT"/>
        </w:rPr>
        <w:t>ChLA</w:t>
      </w:r>
      <w:r w:rsidRPr="006E5CD5">
        <w:rPr>
          <w:szCs w:val="20"/>
          <w:vertAlign w:val="superscript"/>
          <w:lang w:val="it-IT"/>
        </w:rPr>
        <w:t>2</w:t>
      </w:r>
      <w:r w:rsidRPr="00541560">
        <w:rPr>
          <w:szCs w:val="20"/>
          <w:lang w:val="it-IT"/>
        </w:rPr>
        <w:t xml:space="preserve">, </w:t>
      </w:r>
      <w:r>
        <w:rPr>
          <w:szCs w:val="20"/>
          <w:lang w:val="it-IT"/>
        </w:rPr>
        <w:t>lxviii-lxx</w:t>
      </w:r>
      <w:r w:rsidRPr="00541560">
        <w:rPr>
          <w:szCs w:val="20"/>
          <w:lang w:val="it-IT"/>
        </w:rPr>
        <w:t xml:space="preserve">, which itself of course stops in 899: </w:t>
      </w:r>
      <w:r w:rsidRPr="00541560">
        <w:rPr>
          <w:i/>
          <w:iCs/>
          <w:szCs w:val="20"/>
          <w:lang w:val="it-IT"/>
        </w:rPr>
        <w:t>Le carte private della cattedrale di Piacenza</w:t>
      </w:r>
      <w:r w:rsidRPr="00541560">
        <w:rPr>
          <w:szCs w:val="20"/>
          <w:lang w:val="it-IT"/>
        </w:rPr>
        <w:t>, I</w:t>
      </w:r>
      <w:r w:rsidR="00E06F51">
        <w:rPr>
          <w:szCs w:val="20"/>
          <w:lang w:val="it-IT"/>
        </w:rPr>
        <w:t xml:space="preserve">: </w:t>
      </w:r>
      <w:r w:rsidR="00E06F51" w:rsidRPr="00E06F51">
        <w:rPr>
          <w:i/>
          <w:szCs w:val="20"/>
          <w:lang w:val="it-IT"/>
        </w:rPr>
        <w:t>784-848</w:t>
      </w:r>
      <w:r w:rsidR="00E06F51">
        <w:rPr>
          <w:szCs w:val="20"/>
          <w:lang w:val="it-IT"/>
        </w:rPr>
        <w:t>, ed. Paola</w:t>
      </w:r>
      <w:r w:rsidR="00E06F51" w:rsidRPr="00541560">
        <w:rPr>
          <w:szCs w:val="20"/>
          <w:lang w:val="it-IT"/>
        </w:rPr>
        <w:t xml:space="preserve"> Galetti</w:t>
      </w:r>
      <w:r w:rsidRPr="00541560">
        <w:rPr>
          <w:szCs w:val="20"/>
          <w:lang w:val="it-IT"/>
        </w:rPr>
        <w:t xml:space="preserve"> (</w:t>
      </w:r>
      <w:r w:rsidR="00E06F51">
        <w:rPr>
          <w:szCs w:val="20"/>
          <w:lang w:val="it-IT"/>
        </w:rPr>
        <w:t xml:space="preserve">Parma, 1978). </w:t>
      </w:r>
      <w:r w:rsidRPr="00541560">
        <w:rPr>
          <w:szCs w:val="20"/>
          <w:lang w:val="it-IT"/>
        </w:rPr>
        <w:t>However, first-hand scrutiny of the original tenth-century dispute notices confirms that none serves to fill the lacuna obser</w:t>
      </w:r>
      <w:r w:rsidR="00E06F51">
        <w:rPr>
          <w:szCs w:val="20"/>
          <w:lang w:val="it-IT"/>
        </w:rPr>
        <w:t xml:space="preserve">vable in the printed editions. </w:t>
      </w:r>
      <w:r w:rsidRPr="00541560">
        <w:rPr>
          <w:szCs w:val="20"/>
          <w:lang w:val="it-IT"/>
        </w:rPr>
        <w:t>I record here my thanks in particular to Dott. Tiziano Fermi of the Archivio del Capitolo della Cattedrale di Piacenza</w:t>
      </w:r>
      <w:r w:rsidR="008D6998">
        <w:rPr>
          <w:szCs w:val="20"/>
          <w:lang w:val="it-IT"/>
        </w:rPr>
        <w:t>, and Dott.sse Anna Riva and Paola Agostinelli of the Archivio Capitolare di S. Antonino di Piacenza,</w:t>
      </w:r>
      <w:r w:rsidRPr="00541560">
        <w:rPr>
          <w:szCs w:val="20"/>
          <w:lang w:val="it-IT"/>
        </w:rPr>
        <w:t xml:space="preserve"> for </w:t>
      </w:r>
      <w:r w:rsidR="008D6998">
        <w:rPr>
          <w:szCs w:val="20"/>
          <w:lang w:val="it-IT"/>
        </w:rPr>
        <w:t>their</w:t>
      </w:r>
      <w:r w:rsidR="008D6998" w:rsidRPr="00541560">
        <w:rPr>
          <w:szCs w:val="20"/>
          <w:lang w:val="it-IT"/>
        </w:rPr>
        <w:t xml:space="preserve"> </w:t>
      </w:r>
      <w:r w:rsidR="008D6998">
        <w:rPr>
          <w:szCs w:val="20"/>
          <w:lang w:val="it-IT"/>
        </w:rPr>
        <w:t>courteous</w:t>
      </w:r>
      <w:r w:rsidR="008D6998" w:rsidRPr="00541560">
        <w:rPr>
          <w:szCs w:val="20"/>
          <w:lang w:val="it-IT"/>
        </w:rPr>
        <w:t xml:space="preserve"> </w:t>
      </w:r>
      <w:r w:rsidRPr="00541560">
        <w:rPr>
          <w:szCs w:val="20"/>
          <w:lang w:val="it-IT"/>
        </w:rPr>
        <w:t>and gen</w:t>
      </w:r>
      <w:r w:rsidR="00E06F51">
        <w:rPr>
          <w:szCs w:val="20"/>
          <w:lang w:val="it-IT"/>
        </w:rPr>
        <w:t xml:space="preserve">erous hospitality. </w:t>
      </w:r>
      <w:r w:rsidRPr="00541560">
        <w:rPr>
          <w:szCs w:val="20"/>
          <w:lang w:val="it-IT"/>
        </w:rPr>
        <w:t>Further on the vicissitudes that affected the conservation of documents at the c</w:t>
      </w:r>
      <w:r w:rsidR="00E06F51">
        <w:rPr>
          <w:szCs w:val="20"/>
          <w:lang w:val="it-IT"/>
        </w:rPr>
        <w:t>athedral and S. Antonino, see Emilio</w:t>
      </w:r>
      <w:r w:rsidRPr="00541560">
        <w:rPr>
          <w:szCs w:val="20"/>
          <w:lang w:val="it-IT"/>
        </w:rPr>
        <w:t xml:space="preserve"> Nasalli Rocca, ‘L’archivio e la biblioteca della cattedrale di Piacenza’ in </w:t>
      </w:r>
      <w:r w:rsidRPr="00541560">
        <w:rPr>
          <w:i/>
          <w:iCs/>
          <w:szCs w:val="20"/>
          <w:lang w:val="it-IT"/>
        </w:rPr>
        <w:t>Studi storici in memoria di Mons. Angelo Mercati</w:t>
      </w:r>
      <w:r w:rsidR="00E06F51">
        <w:rPr>
          <w:szCs w:val="20"/>
          <w:lang w:val="it-IT"/>
        </w:rPr>
        <w:t xml:space="preserve"> (Milan, 1956), </w:t>
      </w:r>
      <w:r w:rsidRPr="00541560">
        <w:rPr>
          <w:szCs w:val="20"/>
          <w:lang w:val="it-IT"/>
        </w:rPr>
        <w:t xml:space="preserve">251-61 and ‘L’Archivio Capitolare di S.Antonino di Piacenza’, </w:t>
      </w:r>
      <w:r w:rsidRPr="00541560">
        <w:rPr>
          <w:i/>
          <w:iCs/>
          <w:szCs w:val="20"/>
          <w:lang w:val="it-IT"/>
        </w:rPr>
        <w:t>Archivio storico italiano</w:t>
      </w:r>
      <w:r w:rsidR="00E06F51">
        <w:rPr>
          <w:iCs/>
          <w:szCs w:val="20"/>
          <w:lang w:val="it-IT"/>
        </w:rPr>
        <w:t>, lxxxix</w:t>
      </w:r>
      <w:r w:rsidRPr="00541560">
        <w:rPr>
          <w:szCs w:val="20"/>
          <w:lang w:val="it-IT"/>
        </w:rPr>
        <w:t xml:space="preserve"> (1931), 290-5.  </w:t>
      </w:r>
    </w:p>
  </w:footnote>
  <w:footnote w:id="39">
    <w:p w14:paraId="5A2F0121" w14:textId="09A56C30"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We need here to note the distinct differences between the two main </w:t>
      </w:r>
      <w:proofErr w:type="spellStart"/>
      <w:r w:rsidRPr="00541560">
        <w:rPr>
          <w:szCs w:val="20"/>
        </w:rPr>
        <w:t>Piacentine</w:t>
      </w:r>
      <w:proofErr w:type="spellEnd"/>
      <w:r w:rsidRPr="00541560">
        <w:rPr>
          <w:szCs w:val="20"/>
        </w:rPr>
        <w:t xml:space="preserve"> archives, at the cathedral and at the basil</w:t>
      </w:r>
      <w:r w:rsidR="00E06F51">
        <w:rPr>
          <w:szCs w:val="20"/>
        </w:rPr>
        <w:t xml:space="preserve">ica of S. Antonino. </w:t>
      </w:r>
      <w:r w:rsidRPr="00541560">
        <w:rPr>
          <w:szCs w:val="20"/>
        </w:rPr>
        <w:t>The latter mostly comprises ‘private’ documents and preserves ma</w:t>
      </w:r>
      <w:r w:rsidR="00E06F51">
        <w:rPr>
          <w:szCs w:val="20"/>
        </w:rPr>
        <w:t xml:space="preserve">ny more sales than the former. </w:t>
      </w:r>
      <w:r w:rsidRPr="00541560">
        <w:rPr>
          <w:szCs w:val="20"/>
        </w:rPr>
        <w:t>The co</w:t>
      </w:r>
      <w:r w:rsidR="00E06F51">
        <w:rPr>
          <w:szCs w:val="20"/>
        </w:rPr>
        <w:t>ntrast is noted more fully by Cristina</w:t>
      </w:r>
      <w:r w:rsidRPr="00541560">
        <w:rPr>
          <w:szCs w:val="20"/>
        </w:rPr>
        <w:t xml:space="preserve"> Mantegna, </w:t>
      </w:r>
      <w:r w:rsidRPr="00541560">
        <w:rPr>
          <w:i/>
          <w:szCs w:val="20"/>
        </w:rPr>
        <w:t>ChLA</w:t>
      </w:r>
      <w:r w:rsidRPr="006E5CD5">
        <w:rPr>
          <w:szCs w:val="20"/>
          <w:vertAlign w:val="superscript"/>
        </w:rPr>
        <w:t>2</w:t>
      </w:r>
      <w:r w:rsidRPr="00541560">
        <w:rPr>
          <w:szCs w:val="20"/>
        </w:rPr>
        <w:t xml:space="preserve">, </w:t>
      </w:r>
      <w:r w:rsidR="00E06F51">
        <w:rPr>
          <w:szCs w:val="20"/>
        </w:rPr>
        <w:t>lxxi</w:t>
      </w:r>
      <w:r w:rsidRPr="00541560">
        <w:rPr>
          <w:szCs w:val="20"/>
        </w:rPr>
        <w:t>, 5</w:t>
      </w:r>
      <w:r w:rsidR="00E06F51">
        <w:rPr>
          <w:szCs w:val="20"/>
        </w:rPr>
        <w:t xml:space="preserve">. </w:t>
      </w:r>
      <w:r w:rsidRPr="00541560">
        <w:rPr>
          <w:szCs w:val="20"/>
        </w:rPr>
        <w:t xml:space="preserve">The divergent profiles of different </w:t>
      </w:r>
      <w:proofErr w:type="spellStart"/>
      <w:r w:rsidRPr="00541560">
        <w:rPr>
          <w:szCs w:val="20"/>
        </w:rPr>
        <w:t>Piacentine</w:t>
      </w:r>
      <w:proofErr w:type="spellEnd"/>
      <w:r w:rsidRPr="00541560">
        <w:rPr>
          <w:szCs w:val="20"/>
        </w:rPr>
        <w:t xml:space="preserve"> archives underline that while it can be valuable to identify general trends in the pattern of documents across </w:t>
      </w:r>
      <w:r w:rsidR="00E06F51">
        <w:rPr>
          <w:szCs w:val="20"/>
        </w:rPr>
        <w:t xml:space="preserve">Italy as a whole (as does </w:t>
      </w:r>
      <w:proofErr w:type="spellStart"/>
      <w:r w:rsidR="00E06F51">
        <w:rPr>
          <w:szCs w:val="20"/>
        </w:rPr>
        <w:t>Kurze</w:t>
      </w:r>
      <w:proofErr w:type="spellEnd"/>
      <w:r w:rsidR="00E06F51">
        <w:rPr>
          <w:szCs w:val="20"/>
        </w:rPr>
        <w:t xml:space="preserve">, ed. </w:t>
      </w:r>
      <w:proofErr w:type="spellStart"/>
      <w:r w:rsidR="00E06F51">
        <w:rPr>
          <w:szCs w:val="20"/>
        </w:rPr>
        <w:t>Marocchi</w:t>
      </w:r>
      <w:proofErr w:type="spellEnd"/>
      <w:r w:rsidR="00E06F51">
        <w:rPr>
          <w:szCs w:val="20"/>
        </w:rPr>
        <w:t>, in</w:t>
      </w:r>
      <w:r w:rsidRPr="00541560">
        <w:rPr>
          <w:szCs w:val="20"/>
        </w:rPr>
        <w:t xml:space="preserve"> </w:t>
      </w:r>
      <w:r w:rsidRPr="00541560">
        <w:rPr>
          <w:i/>
          <w:iCs/>
          <w:szCs w:val="20"/>
        </w:rPr>
        <w:t>CDA</w:t>
      </w:r>
      <w:r w:rsidR="00E06F51">
        <w:rPr>
          <w:iCs/>
          <w:szCs w:val="20"/>
        </w:rPr>
        <w:t>, iii, part 1,</w:t>
      </w:r>
      <w:r w:rsidRPr="00541560">
        <w:rPr>
          <w:szCs w:val="20"/>
        </w:rPr>
        <w:t xml:space="preserve"> 20-54), the archives that constitute that whole each have their own distinctive histories.</w:t>
      </w:r>
    </w:p>
  </w:footnote>
  <w:footnote w:id="40">
    <w:p w14:paraId="584B2741" w14:textId="0DB226D8"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t>
      </w:r>
      <w:proofErr w:type="spellStart"/>
      <w:r w:rsidR="00E06F51">
        <w:rPr>
          <w:i/>
          <w:szCs w:val="20"/>
        </w:rPr>
        <w:t>Placiti</w:t>
      </w:r>
      <w:proofErr w:type="spellEnd"/>
      <w:r w:rsidR="00E06F51">
        <w:rPr>
          <w:szCs w:val="20"/>
        </w:rPr>
        <w:t xml:space="preserve">, ed. </w:t>
      </w:r>
      <w:proofErr w:type="spellStart"/>
      <w:r w:rsidRPr="00541560">
        <w:rPr>
          <w:rFonts w:eastAsia="MS Mincho"/>
          <w:szCs w:val="20"/>
        </w:rPr>
        <w:t>Manaresi</w:t>
      </w:r>
      <w:proofErr w:type="spellEnd"/>
      <w:r w:rsidRPr="00541560">
        <w:rPr>
          <w:rFonts w:eastAsia="MS Mincho"/>
          <w:szCs w:val="20"/>
        </w:rPr>
        <w:t xml:space="preserve">, no. 123, </w:t>
      </w:r>
      <w:r w:rsidR="00E06F51">
        <w:rPr>
          <w:rFonts w:eastAsia="MS Mincho"/>
          <w:szCs w:val="20"/>
        </w:rPr>
        <w:t xml:space="preserve">dated </w:t>
      </w:r>
      <w:r w:rsidRPr="00541560">
        <w:rPr>
          <w:rFonts w:eastAsia="MS Mincho"/>
          <w:szCs w:val="20"/>
        </w:rPr>
        <w:t xml:space="preserve">911, is an original charter from the cathedral archive of the </w:t>
      </w:r>
      <w:proofErr w:type="spellStart"/>
      <w:r w:rsidRPr="00541560">
        <w:rPr>
          <w:rFonts w:eastAsia="MS Mincho"/>
          <w:i/>
          <w:szCs w:val="20"/>
        </w:rPr>
        <w:t>investitura</w:t>
      </w:r>
      <w:proofErr w:type="spellEnd"/>
      <w:r w:rsidRPr="00541560">
        <w:rPr>
          <w:rFonts w:eastAsia="MS Mincho"/>
          <w:i/>
          <w:szCs w:val="20"/>
        </w:rPr>
        <w:t xml:space="preserve"> </w:t>
      </w:r>
      <w:proofErr w:type="spellStart"/>
      <w:r w:rsidRPr="00541560">
        <w:rPr>
          <w:rFonts w:eastAsia="MS Mincho"/>
          <w:i/>
          <w:szCs w:val="20"/>
        </w:rPr>
        <w:t>salva</w:t>
      </w:r>
      <w:proofErr w:type="spellEnd"/>
      <w:r w:rsidRPr="00541560">
        <w:rPr>
          <w:rFonts w:eastAsia="MS Mincho"/>
          <w:i/>
          <w:szCs w:val="20"/>
        </w:rPr>
        <w:t xml:space="preserve"> </w:t>
      </w:r>
      <w:proofErr w:type="spellStart"/>
      <w:r w:rsidRPr="00541560">
        <w:rPr>
          <w:rFonts w:eastAsia="MS Mincho"/>
          <w:i/>
          <w:szCs w:val="20"/>
        </w:rPr>
        <w:t>querela</w:t>
      </w:r>
      <w:proofErr w:type="spellEnd"/>
      <w:r w:rsidRPr="00541560">
        <w:rPr>
          <w:rFonts w:eastAsia="MS Mincho"/>
          <w:szCs w:val="20"/>
        </w:rPr>
        <w:t xml:space="preserve"> type, featuring the nunnery dedicated to the Resurrection, and SS. </w:t>
      </w:r>
      <w:proofErr w:type="spellStart"/>
      <w:r w:rsidRPr="00541560">
        <w:rPr>
          <w:rFonts w:eastAsia="MS Mincho"/>
          <w:szCs w:val="20"/>
        </w:rPr>
        <w:t>Sisto</w:t>
      </w:r>
      <w:proofErr w:type="spellEnd"/>
      <w:r w:rsidRPr="00541560">
        <w:rPr>
          <w:rFonts w:eastAsia="MS Mincho"/>
          <w:szCs w:val="20"/>
        </w:rPr>
        <w:t xml:space="preserve"> and Fabiano, in Piacenza and </w:t>
      </w:r>
      <w:proofErr w:type="spellStart"/>
      <w:r w:rsidRPr="00541560">
        <w:rPr>
          <w:rFonts w:eastAsia="MS Mincho"/>
          <w:szCs w:val="20"/>
        </w:rPr>
        <w:t>Herardus</w:t>
      </w:r>
      <w:proofErr w:type="spellEnd"/>
      <w:r w:rsidRPr="00541560">
        <w:rPr>
          <w:rFonts w:eastAsia="MS Mincho"/>
          <w:szCs w:val="20"/>
        </w:rPr>
        <w:t xml:space="preserve"> the son of a vassal of the </w:t>
      </w:r>
      <w:proofErr w:type="spellStart"/>
      <w:r w:rsidRPr="00541560">
        <w:rPr>
          <w:rFonts w:eastAsia="MS Mincho"/>
          <w:i/>
          <w:szCs w:val="20"/>
        </w:rPr>
        <w:t>vicecomes</w:t>
      </w:r>
      <w:proofErr w:type="spellEnd"/>
      <w:r w:rsidRPr="00541560">
        <w:rPr>
          <w:rFonts w:eastAsia="MS Mincho"/>
          <w:szCs w:val="20"/>
        </w:rPr>
        <w:t xml:space="preserve"> </w:t>
      </w:r>
      <w:proofErr w:type="spellStart"/>
      <w:r w:rsidRPr="00541560">
        <w:rPr>
          <w:rFonts w:eastAsia="MS Mincho"/>
          <w:szCs w:val="20"/>
        </w:rPr>
        <w:t>Elmericus</w:t>
      </w:r>
      <w:proofErr w:type="spellEnd"/>
      <w:r w:rsidRPr="00541560">
        <w:rPr>
          <w:rFonts w:eastAsia="MS Mincho"/>
          <w:szCs w:val="20"/>
        </w:rPr>
        <w:t xml:space="preserve">. </w:t>
      </w:r>
      <w:proofErr w:type="gramStart"/>
      <w:r w:rsidR="00E06F51" w:rsidRPr="00E06F51">
        <w:rPr>
          <w:rFonts w:eastAsia="MS Mincho"/>
          <w:i/>
          <w:szCs w:val="20"/>
        </w:rPr>
        <w:t>Ibid</w:t>
      </w:r>
      <w:r w:rsidR="00E06F51">
        <w:rPr>
          <w:rFonts w:eastAsia="MS Mincho"/>
          <w:szCs w:val="20"/>
        </w:rPr>
        <w:t>.,</w:t>
      </w:r>
      <w:proofErr w:type="gramEnd"/>
      <w:r w:rsidR="00E06F51">
        <w:rPr>
          <w:rFonts w:eastAsia="MS Mincho"/>
          <w:szCs w:val="20"/>
        </w:rPr>
        <w:t xml:space="preserve"> </w:t>
      </w:r>
      <w:r w:rsidRPr="00541560">
        <w:rPr>
          <w:rFonts w:eastAsia="MS Mincho"/>
          <w:szCs w:val="20"/>
        </w:rPr>
        <w:t xml:space="preserve">no. 192, </w:t>
      </w:r>
      <w:r w:rsidR="00E06F51">
        <w:rPr>
          <w:rFonts w:eastAsia="MS Mincho"/>
          <w:szCs w:val="20"/>
        </w:rPr>
        <w:t xml:space="preserve">dated </w:t>
      </w:r>
      <w:r w:rsidRPr="00541560">
        <w:rPr>
          <w:rFonts w:eastAsia="MS Mincho"/>
          <w:szCs w:val="20"/>
        </w:rPr>
        <w:t xml:space="preserve">981, is a twelfth-century copy from Cremona of a </w:t>
      </w:r>
      <w:proofErr w:type="spellStart"/>
      <w:r w:rsidRPr="00541560">
        <w:rPr>
          <w:rFonts w:eastAsia="MS Mincho"/>
          <w:i/>
          <w:szCs w:val="20"/>
        </w:rPr>
        <w:t>notitia</w:t>
      </w:r>
      <w:proofErr w:type="spellEnd"/>
      <w:r w:rsidRPr="00541560">
        <w:rPr>
          <w:rFonts w:eastAsia="MS Mincho"/>
          <w:szCs w:val="20"/>
        </w:rPr>
        <w:t xml:space="preserve"> using the </w:t>
      </w:r>
      <w:r w:rsidRPr="00541560">
        <w:rPr>
          <w:rFonts w:eastAsia="MS Mincho"/>
          <w:i/>
          <w:szCs w:val="20"/>
        </w:rPr>
        <w:t xml:space="preserve">finis </w:t>
      </w:r>
      <w:proofErr w:type="spellStart"/>
      <w:r w:rsidRPr="00541560">
        <w:rPr>
          <w:rFonts w:eastAsia="MS Mincho"/>
          <w:i/>
          <w:szCs w:val="20"/>
        </w:rPr>
        <w:t>intentionis</w:t>
      </w:r>
      <w:proofErr w:type="spellEnd"/>
      <w:r w:rsidRPr="00541560">
        <w:rPr>
          <w:rFonts w:eastAsia="MS Mincho"/>
          <w:szCs w:val="20"/>
        </w:rPr>
        <w:t xml:space="preserve"> format to affirm the possession of a large pasture by the same nunnery, and to limit the grazing rights of </w:t>
      </w:r>
      <w:proofErr w:type="spellStart"/>
      <w:r w:rsidRPr="00541560">
        <w:rPr>
          <w:rFonts w:eastAsia="MS Mincho"/>
          <w:szCs w:val="20"/>
        </w:rPr>
        <w:t>Gislebert</w:t>
      </w:r>
      <w:proofErr w:type="spellEnd"/>
      <w:r w:rsidRPr="00541560">
        <w:rPr>
          <w:rFonts w:eastAsia="MS Mincho"/>
          <w:szCs w:val="20"/>
        </w:rPr>
        <w:t>, count of the palace.</w:t>
      </w:r>
    </w:p>
  </w:footnote>
  <w:footnote w:id="41">
    <w:p w14:paraId="7A73974A" w14:textId="327498F8" w:rsidR="00F23E2A" w:rsidRPr="00541560" w:rsidRDefault="00F23E2A">
      <w:pPr>
        <w:pStyle w:val="FootnoteText"/>
        <w:rPr>
          <w:szCs w:val="20"/>
          <w:lang w:val="en-GB"/>
        </w:rPr>
      </w:pPr>
      <w:r w:rsidRPr="00541560">
        <w:rPr>
          <w:rStyle w:val="FootnoteReference"/>
          <w:szCs w:val="20"/>
        </w:rPr>
        <w:footnoteRef/>
      </w:r>
      <w:r w:rsidRPr="00541560">
        <w:rPr>
          <w:szCs w:val="20"/>
        </w:rPr>
        <w:t xml:space="preserve"> </w:t>
      </w:r>
      <w:r w:rsidRPr="00541560">
        <w:rPr>
          <w:szCs w:val="20"/>
          <w:lang w:val="en-GB"/>
        </w:rPr>
        <w:t xml:space="preserve">For comment on the profile of Piacenza’s court-case notices and their relationship with other types of document in the Piacenza archive, see </w:t>
      </w:r>
      <w:r w:rsidRPr="00541560">
        <w:rPr>
          <w:szCs w:val="20"/>
        </w:rPr>
        <w:t>Costambeys, ‘</w:t>
      </w:r>
      <w:r w:rsidR="00E06F51">
        <w:rPr>
          <w:szCs w:val="20"/>
        </w:rPr>
        <w:t>Disputes and D</w:t>
      </w:r>
      <w:r w:rsidRPr="00541560">
        <w:rPr>
          <w:szCs w:val="20"/>
        </w:rPr>
        <w:t xml:space="preserve">ocuments’, </w:t>
      </w:r>
      <w:r w:rsidR="00E06F51">
        <w:rPr>
          <w:szCs w:val="20"/>
        </w:rPr>
        <w:t>146-</w:t>
      </w:r>
      <w:r w:rsidRPr="00541560">
        <w:rPr>
          <w:szCs w:val="20"/>
        </w:rPr>
        <w:t>51.</w:t>
      </w:r>
    </w:p>
  </w:footnote>
  <w:footnote w:id="42">
    <w:p w14:paraId="562DC167" w14:textId="694C6AE4" w:rsidR="00F23E2A" w:rsidRPr="00541560" w:rsidRDefault="00F23E2A" w:rsidP="004B02E6">
      <w:pPr>
        <w:pStyle w:val="FootnoteText"/>
        <w:rPr>
          <w:rFonts w:eastAsia="MS Mincho"/>
          <w:szCs w:val="20"/>
        </w:rPr>
      </w:pPr>
      <w:r w:rsidRPr="00541560">
        <w:rPr>
          <w:rStyle w:val="FootnoteCharacters"/>
          <w:rFonts w:eastAsia="MS Mincho"/>
          <w:szCs w:val="20"/>
        </w:rPr>
        <w:footnoteRef/>
      </w:r>
      <w:r w:rsidRPr="00541560">
        <w:rPr>
          <w:rFonts w:eastAsia="MS Mincho"/>
          <w:szCs w:val="20"/>
        </w:rPr>
        <w:t xml:space="preserve"> </w:t>
      </w:r>
      <w:proofErr w:type="spellStart"/>
      <w:r w:rsidRPr="00541560">
        <w:rPr>
          <w:rFonts w:eastAsia="MS Mincho"/>
          <w:i/>
          <w:szCs w:val="20"/>
        </w:rPr>
        <w:t>Ostensio</w:t>
      </w:r>
      <w:proofErr w:type="spellEnd"/>
      <w:r w:rsidRPr="00541560">
        <w:rPr>
          <w:rFonts w:eastAsia="MS Mincho"/>
          <w:i/>
          <w:szCs w:val="20"/>
        </w:rPr>
        <w:t xml:space="preserve"> </w:t>
      </w:r>
      <w:proofErr w:type="spellStart"/>
      <w:r w:rsidRPr="00541560">
        <w:rPr>
          <w:rFonts w:eastAsia="MS Mincho"/>
          <w:i/>
          <w:szCs w:val="20"/>
        </w:rPr>
        <w:t>cartae</w:t>
      </w:r>
      <w:proofErr w:type="spellEnd"/>
      <w:r w:rsidRPr="00541560">
        <w:rPr>
          <w:rFonts w:eastAsia="MS Mincho"/>
          <w:szCs w:val="20"/>
        </w:rPr>
        <w:t xml:space="preserve">: </w:t>
      </w:r>
      <w:proofErr w:type="spellStart"/>
      <w:r w:rsidR="00E06F51">
        <w:rPr>
          <w:i/>
          <w:szCs w:val="20"/>
        </w:rPr>
        <w:t>Placiti</w:t>
      </w:r>
      <w:proofErr w:type="spellEnd"/>
      <w:r w:rsidR="00E06F51">
        <w:rPr>
          <w:szCs w:val="20"/>
        </w:rPr>
        <w:t xml:space="preserve">, ed. </w:t>
      </w:r>
      <w:proofErr w:type="spellStart"/>
      <w:r w:rsidRPr="00541560">
        <w:rPr>
          <w:rFonts w:eastAsia="MS Mincho"/>
          <w:szCs w:val="20"/>
        </w:rPr>
        <w:t>Manaresi</w:t>
      </w:r>
      <w:proofErr w:type="spellEnd"/>
      <w:r w:rsidRPr="00541560">
        <w:rPr>
          <w:rFonts w:eastAsia="MS Mincho"/>
          <w:szCs w:val="20"/>
        </w:rPr>
        <w:t xml:space="preserve">, nos. 91, 99, 105, 107, 114, 181, 213, 273, 337, 418; </w:t>
      </w:r>
      <w:r w:rsidRPr="00541560">
        <w:rPr>
          <w:rFonts w:eastAsia="MS Mincho"/>
          <w:i/>
          <w:szCs w:val="20"/>
        </w:rPr>
        <w:t xml:space="preserve">finis </w:t>
      </w:r>
      <w:proofErr w:type="spellStart"/>
      <w:r w:rsidRPr="00541560">
        <w:rPr>
          <w:rFonts w:eastAsia="MS Mincho"/>
          <w:i/>
          <w:szCs w:val="20"/>
        </w:rPr>
        <w:t>intentionis</w:t>
      </w:r>
      <w:proofErr w:type="spellEnd"/>
      <w:r w:rsidRPr="00541560">
        <w:rPr>
          <w:rFonts w:eastAsia="MS Mincho"/>
          <w:szCs w:val="20"/>
        </w:rPr>
        <w:t xml:space="preserve">: </w:t>
      </w:r>
      <w:proofErr w:type="gramStart"/>
      <w:r w:rsidR="00E06F51" w:rsidRPr="00E06F51">
        <w:rPr>
          <w:rFonts w:eastAsia="MS Mincho"/>
          <w:i/>
          <w:szCs w:val="20"/>
        </w:rPr>
        <w:t>ibid</w:t>
      </w:r>
      <w:r w:rsidR="00E06F51">
        <w:rPr>
          <w:rFonts w:eastAsia="MS Mincho"/>
          <w:szCs w:val="20"/>
        </w:rPr>
        <w:t>.,</w:t>
      </w:r>
      <w:proofErr w:type="gramEnd"/>
      <w:r w:rsidRPr="00541560">
        <w:rPr>
          <w:rFonts w:eastAsia="MS Mincho"/>
          <w:szCs w:val="20"/>
        </w:rPr>
        <w:t xml:space="preserve"> nos. 192, 212, 233, 375, 385; </w:t>
      </w:r>
      <w:proofErr w:type="spellStart"/>
      <w:r w:rsidRPr="00541560">
        <w:rPr>
          <w:rFonts w:eastAsia="MS Mincho"/>
          <w:i/>
          <w:szCs w:val="20"/>
        </w:rPr>
        <w:t>investitura</w:t>
      </w:r>
      <w:proofErr w:type="spellEnd"/>
      <w:r w:rsidRPr="00541560">
        <w:rPr>
          <w:rFonts w:eastAsia="MS Mincho"/>
          <w:i/>
          <w:szCs w:val="20"/>
        </w:rPr>
        <w:t xml:space="preserve"> </w:t>
      </w:r>
      <w:proofErr w:type="spellStart"/>
      <w:r w:rsidRPr="00541560">
        <w:rPr>
          <w:rFonts w:eastAsia="MS Mincho"/>
          <w:i/>
          <w:szCs w:val="20"/>
        </w:rPr>
        <w:t>salva</w:t>
      </w:r>
      <w:proofErr w:type="spellEnd"/>
      <w:r w:rsidRPr="00541560">
        <w:rPr>
          <w:rFonts w:eastAsia="MS Mincho"/>
          <w:i/>
          <w:szCs w:val="20"/>
        </w:rPr>
        <w:t xml:space="preserve"> </w:t>
      </w:r>
      <w:proofErr w:type="spellStart"/>
      <w:r w:rsidRPr="00541560">
        <w:rPr>
          <w:rFonts w:eastAsia="MS Mincho"/>
          <w:i/>
          <w:szCs w:val="20"/>
        </w:rPr>
        <w:t>querela</w:t>
      </w:r>
      <w:proofErr w:type="spellEnd"/>
      <w:r w:rsidRPr="00541560">
        <w:rPr>
          <w:rFonts w:eastAsia="MS Mincho"/>
          <w:szCs w:val="20"/>
        </w:rPr>
        <w:t xml:space="preserve">: </w:t>
      </w:r>
      <w:r w:rsidRPr="00E06F51">
        <w:rPr>
          <w:rFonts w:eastAsia="MS Mincho"/>
          <w:i/>
          <w:szCs w:val="20"/>
        </w:rPr>
        <w:t>i</w:t>
      </w:r>
      <w:r w:rsidR="00E06F51" w:rsidRPr="00E06F51">
        <w:rPr>
          <w:rFonts w:eastAsia="MS Mincho"/>
          <w:i/>
          <w:szCs w:val="20"/>
        </w:rPr>
        <w:t>bid</w:t>
      </w:r>
      <w:r w:rsidR="00E06F51">
        <w:rPr>
          <w:rFonts w:eastAsia="MS Mincho"/>
          <w:szCs w:val="20"/>
        </w:rPr>
        <w:t>., nos. 123, 247, 248, 298;</w:t>
      </w:r>
      <w:r w:rsidRPr="00541560">
        <w:rPr>
          <w:rFonts w:eastAsia="MS Mincho"/>
          <w:szCs w:val="20"/>
        </w:rPr>
        <w:t xml:space="preserve"> </w:t>
      </w:r>
      <w:r w:rsidR="00E06F51" w:rsidRPr="00541560">
        <w:rPr>
          <w:szCs w:val="20"/>
          <w:lang w:val="it-IT"/>
        </w:rPr>
        <w:t xml:space="preserve">Raffaello Volpini, ‘Placiti del “Regnum Italiae” (secc. IX-XI). Primi contributi per un nuovo censimento’, in Piero Zerbi </w:t>
      </w:r>
      <w:r w:rsidR="00E06F51">
        <w:rPr>
          <w:szCs w:val="20"/>
          <w:lang w:val="it-IT"/>
        </w:rPr>
        <w:t>(</w:t>
      </w:r>
      <w:r w:rsidR="00E06F51" w:rsidRPr="00541560">
        <w:rPr>
          <w:szCs w:val="20"/>
          <w:lang w:val="it-IT"/>
        </w:rPr>
        <w:t>ed.</w:t>
      </w:r>
      <w:r w:rsidR="00E06F51">
        <w:rPr>
          <w:szCs w:val="20"/>
          <w:lang w:val="it-IT"/>
        </w:rPr>
        <w:t>)</w:t>
      </w:r>
      <w:r w:rsidR="00E06F51" w:rsidRPr="00541560">
        <w:rPr>
          <w:szCs w:val="20"/>
          <w:lang w:val="it-IT"/>
        </w:rPr>
        <w:t xml:space="preserve">, </w:t>
      </w:r>
      <w:r w:rsidR="00E06F51" w:rsidRPr="00541560">
        <w:rPr>
          <w:i/>
          <w:iCs/>
          <w:szCs w:val="20"/>
          <w:lang w:val="it-IT"/>
        </w:rPr>
        <w:t>Contributi dell’Istituto di storia medioevale</w:t>
      </w:r>
      <w:r w:rsidR="00E06F51" w:rsidRPr="00541560">
        <w:rPr>
          <w:szCs w:val="20"/>
          <w:lang w:val="it-IT"/>
        </w:rPr>
        <w:t>, III (Milan, 1975),</w:t>
      </w:r>
      <w:r w:rsidR="00E06F51">
        <w:rPr>
          <w:szCs w:val="20"/>
          <w:lang w:val="it-IT"/>
        </w:rPr>
        <w:t xml:space="preserve"> </w:t>
      </w:r>
      <w:r w:rsidRPr="00541560">
        <w:rPr>
          <w:rFonts w:eastAsia="MS Mincho"/>
          <w:szCs w:val="20"/>
        </w:rPr>
        <w:t xml:space="preserve">no. 27 (in abbreviated form as </w:t>
      </w:r>
      <w:proofErr w:type="spellStart"/>
      <w:r w:rsidRPr="00541560">
        <w:rPr>
          <w:rFonts w:eastAsia="MS Mincho"/>
          <w:szCs w:val="20"/>
        </w:rPr>
        <w:t>Manaresi</w:t>
      </w:r>
      <w:proofErr w:type="spellEnd"/>
      <w:r w:rsidRPr="00541560">
        <w:rPr>
          <w:rFonts w:eastAsia="MS Mincho"/>
          <w:szCs w:val="20"/>
        </w:rPr>
        <w:t xml:space="preserve">, no. 325); </w:t>
      </w:r>
      <w:proofErr w:type="spellStart"/>
      <w:r w:rsidRPr="00541560">
        <w:rPr>
          <w:rFonts w:eastAsia="MS Mincho"/>
          <w:i/>
          <w:szCs w:val="20"/>
        </w:rPr>
        <w:t>amica</w:t>
      </w:r>
      <w:proofErr w:type="spellEnd"/>
      <w:r w:rsidRPr="00541560">
        <w:rPr>
          <w:rFonts w:eastAsia="MS Mincho"/>
          <w:i/>
          <w:szCs w:val="20"/>
        </w:rPr>
        <w:t xml:space="preserve"> </w:t>
      </w:r>
      <w:proofErr w:type="spellStart"/>
      <w:r w:rsidRPr="00541560">
        <w:rPr>
          <w:rFonts w:eastAsia="MS Mincho"/>
          <w:i/>
          <w:szCs w:val="20"/>
        </w:rPr>
        <w:t>pactuicio</w:t>
      </w:r>
      <w:proofErr w:type="spellEnd"/>
      <w:r w:rsidRPr="00541560">
        <w:rPr>
          <w:rFonts w:eastAsia="MS Mincho"/>
          <w:szCs w:val="20"/>
        </w:rPr>
        <w:t>:</w:t>
      </w:r>
      <w:r w:rsidR="00E06F51">
        <w:rPr>
          <w:rFonts w:eastAsia="MS Mincho"/>
          <w:szCs w:val="20"/>
        </w:rPr>
        <w:t xml:space="preserve"> </w:t>
      </w:r>
      <w:proofErr w:type="spellStart"/>
      <w:r w:rsidR="00E06F51">
        <w:rPr>
          <w:rFonts w:eastAsia="MS Mincho"/>
          <w:i/>
          <w:szCs w:val="20"/>
        </w:rPr>
        <w:t>Placiti</w:t>
      </w:r>
      <w:proofErr w:type="spellEnd"/>
      <w:r w:rsidR="00E06F51">
        <w:rPr>
          <w:rFonts w:eastAsia="MS Mincho"/>
          <w:szCs w:val="20"/>
        </w:rPr>
        <w:t>, ed.</w:t>
      </w:r>
      <w:r w:rsidRPr="00541560">
        <w:rPr>
          <w:rFonts w:eastAsia="MS Mincho"/>
          <w:szCs w:val="20"/>
        </w:rPr>
        <w:t xml:space="preserve"> </w:t>
      </w:r>
      <w:proofErr w:type="spellStart"/>
      <w:r w:rsidRPr="00541560">
        <w:rPr>
          <w:rFonts w:eastAsia="MS Mincho"/>
          <w:szCs w:val="20"/>
        </w:rPr>
        <w:t>Manaresi</w:t>
      </w:r>
      <w:proofErr w:type="spellEnd"/>
      <w:r w:rsidRPr="00541560">
        <w:rPr>
          <w:rFonts w:eastAsia="MS Mincho"/>
          <w:szCs w:val="20"/>
        </w:rPr>
        <w:t xml:space="preserve">, no. 97, </w:t>
      </w:r>
      <w:proofErr w:type="spellStart"/>
      <w:r w:rsidRPr="00541560">
        <w:rPr>
          <w:rFonts w:eastAsia="MS Mincho"/>
          <w:szCs w:val="20"/>
        </w:rPr>
        <w:t>Volpini</w:t>
      </w:r>
      <w:proofErr w:type="spellEnd"/>
      <w:r w:rsidRPr="00541560">
        <w:rPr>
          <w:rFonts w:eastAsia="MS Mincho"/>
          <w:szCs w:val="20"/>
        </w:rPr>
        <w:t xml:space="preserve">, </w:t>
      </w:r>
      <w:r w:rsidR="00996B7F">
        <w:rPr>
          <w:rFonts w:eastAsia="MS Mincho"/>
          <w:szCs w:val="20"/>
        </w:rPr>
        <w:t>‘</w:t>
      </w:r>
      <w:proofErr w:type="spellStart"/>
      <w:r w:rsidR="00996B7F">
        <w:rPr>
          <w:rFonts w:eastAsia="MS Mincho"/>
          <w:szCs w:val="20"/>
        </w:rPr>
        <w:t>Placiti</w:t>
      </w:r>
      <w:proofErr w:type="spellEnd"/>
      <w:r w:rsidR="00996B7F">
        <w:rPr>
          <w:rFonts w:eastAsia="MS Mincho"/>
          <w:szCs w:val="20"/>
        </w:rPr>
        <w:t xml:space="preserve">’, </w:t>
      </w:r>
      <w:proofErr w:type="spellStart"/>
      <w:r w:rsidRPr="00541560">
        <w:rPr>
          <w:rFonts w:eastAsia="MS Mincho"/>
          <w:i/>
          <w:szCs w:val="20"/>
        </w:rPr>
        <w:t>compositio</w:t>
      </w:r>
      <w:proofErr w:type="spellEnd"/>
      <w:r w:rsidRPr="00541560">
        <w:rPr>
          <w:rFonts w:eastAsia="MS Mincho"/>
          <w:szCs w:val="20"/>
        </w:rPr>
        <w:t xml:space="preserve"> </w:t>
      </w:r>
      <w:r w:rsidR="00996B7F">
        <w:rPr>
          <w:rFonts w:eastAsia="MS Mincho"/>
          <w:szCs w:val="20"/>
        </w:rPr>
        <w:t xml:space="preserve">no. </w:t>
      </w:r>
      <w:r w:rsidRPr="00541560">
        <w:rPr>
          <w:rFonts w:eastAsia="MS Mincho"/>
          <w:szCs w:val="20"/>
        </w:rPr>
        <w:t xml:space="preserve">1; early forms: </w:t>
      </w:r>
      <w:proofErr w:type="spellStart"/>
      <w:r w:rsidR="00E06F51" w:rsidRPr="00E06F51">
        <w:rPr>
          <w:rFonts w:eastAsia="MS Mincho"/>
          <w:i/>
          <w:szCs w:val="20"/>
        </w:rPr>
        <w:t>Placiti</w:t>
      </w:r>
      <w:proofErr w:type="spellEnd"/>
      <w:r w:rsidR="00E06F51">
        <w:rPr>
          <w:rFonts w:eastAsia="MS Mincho"/>
          <w:szCs w:val="20"/>
        </w:rPr>
        <w:t xml:space="preserve">, ed., </w:t>
      </w:r>
      <w:proofErr w:type="spellStart"/>
      <w:r w:rsidRPr="00E06F51">
        <w:rPr>
          <w:rFonts w:eastAsia="MS Mincho"/>
          <w:szCs w:val="20"/>
        </w:rPr>
        <w:t>Manaresi</w:t>
      </w:r>
      <w:proofErr w:type="spellEnd"/>
      <w:r w:rsidRPr="00541560">
        <w:rPr>
          <w:rFonts w:eastAsia="MS Mincho"/>
          <w:szCs w:val="20"/>
        </w:rPr>
        <w:t xml:space="preserve">, nos. 40, 63, 77, 93, </w:t>
      </w:r>
      <w:proofErr w:type="spellStart"/>
      <w:r w:rsidRPr="00541560">
        <w:rPr>
          <w:rFonts w:eastAsia="MS Mincho"/>
          <w:szCs w:val="20"/>
        </w:rPr>
        <w:t>Volpini</w:t>
      </w:r>
      <w:proofErr w:type="spellEnd"/>
      <w:r w:rsidRPr="00541560">
        <w:rPr>
          <w:rFonts w:eastAsia="MS Mincho"/>
          <w:szCs w:val="20"/>
        </w:rPr>
        <w:t xml:space="preserve">, </w:t>
      </w:r>
      <w:r w:rsidR="00E06F51">
        <w:rPr>
          <w:rFonts w:eastAsia="MS Mincho"/>
          <w:szCs w:val="20"/>
        </w:rPr>
        <w:t>‘</w:t>
      </w:r>
      <w:proofErr w:type="spellStart"/>
      <w:r w:rsidR="00E06F51">
        <w:rPr>
          <w:rFonts w:eastAsia="MS Mincho"/>
          <w:szCs w:val="20"/>
        </w:rPr>
        <w:t>Placiti</w:t>
      </w:r>
      <w:proofErr w:type="spellEnd"/>
      <w:r w:rsidR="00E06F51">
        <w:rPr>
          <w:rFonts w:eastAsia="MS Mincho"/>
          <w:szCs w:val="20"/>
        </w:rPr>
        <w:t xml:space="preserve">’, </w:t>
      </w:r>
      <w:r w:rsidRPr="00541560">
        <w:rPr>
          <w:rFonts w:eastAsia="MS Mincho"/>
          <w:szCs w:val="20"/>
        </w:rPr>
        <w:t>nos. 4 and 5.</w:t>
      </w:r>
    </w:p>
  </w:footnote>
  <w:footnote w:id="43">
    <w:p w14:paraId="4C6C4507" w14:textId="3872FED5" w:rsidR="00F23E2A" w:rsidRPr="00541560" w:rsidRDefault="00F23E2A" w:rsidP="004B02E6">
      <w:pPr>
        <w:pStyle w:val="FootnoteText"/>
        <w:rPr>
          <w:rFonts w:eastAsia="MS Mincho"/>
          <w:szCs w:val="20"/>
        </w:rPr>
      </w:pPr>
      <w:r w:rsidRPr="00541560">
        <w:rPr>
          <w:rStyle w:val="FootnoteReference"/>
          <w:rFonts w:eastAsia="MS Mincho"/>
          <w:szCs w:val="20"/>
        </w:rPr>
        <w:footnoteRef/>
      </w:r>
      <w:r w:rsidRPr="00541560">
        <w:rPr>
          <w:rFonts w:eastAsia="MS Mincho"/>
          <w:szCs w:val="20"/>
        </w:rPr>
        <w:t xml:space="preserve"> </w:t>
      </w:r>
      <w:proofErr w:type="spellStart"/>
      <w:r w:rsidRPr="00541560">
        <w:rPr>
          <w:rFonts w:eastAsia="MS Mincho"/>
          <w:szCs w:val="20"/>
        </w:rPr>
        <w:t>Volpini</w:t>
      </w:r>
      <w:proofErr w:type="spellEnd"/>
      <w:r w:rsidRPr="00541560">
        <w:rPr>
          <w:rFonts w:eastAsia="MS Mincho"/>
          <w:szCs w:val="20"/>
        </w:rPr>
        <w:t>,</w:t>
      </w:r>
      <w:r w:rsidR="00E06F51">
        <w:rPr>
          <w:rFonts w:eastAsia="MS Mincho"/>
          <w:szCs w:val="20"/>
        </w:rPr>
        <w:t xml:space="preserve"> ‘</w:t>
      </w:r>
      <w:proofErr w:type="spellStart"/>
      <w:r w:rsidR="00E06F51">
        <w:rPr>
          <w:rFonts w:eastAsia="MS Mincho"/>
          <w:szCs w:val="20"/>
        </w:rPr>
        <w:t>Placiti</w:t>
      </w:r>
      <w:proofErr w:type="spellEnd"/>
      <w:r w:rsidR="00E06F51">
        <w:rPr>
          <w:rFonts w:eastAsia="MS Mincho"/>
          <w:szCs w:val="20"/>
        </w:rPr>
        <w:t>’,</w:t>
      </w:r>
      <w:r w:rsidRPr="00541560">
        <w:rPr>
          <w:rFonts w:eastAsia="MS Mincho"/>
          <w:szCs w:val="20"/>
        </w:rPr>
        <w:t xml:space="preserve"> no. 22, a lacunose document probably dating to 1014, in which both parties eschew combat in </w:t>
      </w:r>
      <w:proofErr w:type="spellStart"/>
      <w:r w:rsidRPr="00541560">
        <w:rPr>
          <w:rFonts w:eastAsia="MS Mincho"/>
          <w:szCs w:val="20"/>
        </w:rPr>
        <w:t>favour</w:t>
      </w:r>
      <w:proofErr w:type="spellEnd"/>
      <w:r w:rsidRPr="00541560">
        <w:rPr>
          <w:rFonts w:eastAsia="MS Mincho"/>
          <w:szCs w:val="20"/>
        </w:rPr>
        <w:t xml:space="preserve"> of oath-taking as a means of resolution. </w:t>
      </w:r>
    </w:p>
  </w:footnote>
  <w:footnote w:id="44">
    <w:p w14:paraId="70A0F43B" w14:textId="6FF121F7" w:rsidR="00F23E2A" w:rsidRPr="00541560" w:rsidRDefault="00F23E2A" w:rsidP="004B02E6">
      <w:pPr>
        <w:pStyle w:val="FootnoteText"/>
        <w:rPr>
          <w:rFonts w:eastAsia="MS Mincho"/>
          <w:szCs w:val="20"/>
        </w:rPr>
      </w:pPr>
      <w:r w:rsidRPr="00541560">
        <w:rPr>
          <w:rStyle w:val="FootnoteCharacters"/>
          <w:rFonts w:eastAsia="MS Mincho"/>
          <w:szCs w:val="20"/>
        </w:rPr>
        <w:footnoteRef/>
      </w:r>
      <w:r w:rsidRPr="00541560">
        <w:rPr>
          <w:rFonts w:eastAsia="MS Mincho"/>
          <w:szCs w:val="20"/>
        </w:rPr>
        <w:t xml:space="preserve"> </w:t>
      </w:r>
      <w:proofErr w:type="spellStart"/>
      <w:r w:rsidR="00E06F51" w:rsidRPr="00E06F51">
        <w:rPr>
          <w:rFonts w:eastAsia="MS Mincho"/>
          <w:i/>
          <w:szCs w:val="20"/>
        </w:rPr>
        <w:t>Placiti</w:t>
      </w:r>
      <w:proofErr w:type="spellEnd"/>
      <w:r w:rsidR="00E06F51">
        <w:rPr>
          <w:rFonts w:eastAsia="MS Mincho"/>
          <w:szCs w:val="20"/>
        </w:rPr>
        <w:t xml:space="preserve">, ed. </w:t>
      </w:r>
      <w:proofErr w:type="spellStart"/>
      <w:r w:rsidRPr="00E06F51">
        <w:rPr>
          <w:rFonts w:eastAsia="MS Mincho"/>
          <w:szCs w:val="20"/>
        </w:rPr>
        <w:t>Manaresi</w:t>
      </w:r>
      <w:proofErr w:type="spellEnd"/>
      <w:r w:rsidRPr="00541560">
        <w:rPr>
          <w:rFonts w:eastAsia="MS Mincho"/>
          <w:szCs w:val="20"/>
        </w:rPr>
        <w:t xml:space="preserve">, nos. 181, 212, 233, 298, 375 and </w:t>
      </w:r>
      <w:proofErr w:type="spellStart"/>
      <w:r w:rsidRPr="00541560">
        <w:rPr>
          <w:rFonts w:eastAsia="MS Mincho"/>
          <w:szCs w:val="20"/>
        </w:rPr>
        <w:t>Volpini</w:t>
      </w:r>
      <w:proofErr w:type="spellEnd"/>
      <w:r w:rsidRPr="00541560">
        <w:rPr>
          <w:rFonts w:eastAsia="MS Mincho"/>
          <w:szCs w:val="20"/>
        </w:rPr>
        <w:t>,</w:t>
      </w:r>
      <w:r w:rsidR="00E06F51">
        <w:rPr>
          <w:rFonts w:eastAsia="MS Mincho"/>
          <w:szCs w:val="20"/>
        </w:rPr>
        <w:t xml:space="preserve"> ‘</w:t>
      </w:r>
      <w:proofErr w:type="spellStart"/>
      <w:r w:rsidR="00E06F51">
        <w:rPr>
          <w:rFonts w:eastAsia="MS Mincho"/>
          <w:szCs w:val="20"/>
        </w:rPr>
        <w:t>Placiti</w:t>
      </w:r>
      <w:proofErr w:type="spellEnd"/>
      <w:r w:rsidR="00E06F51">
        <w:rPr>
          <w:rFonts w:eastAsia="MS Mincho"/>
          <w:szCs w:val="20"/>
        </w:rPr>
        <w:t>’,</w:t>
      </w:r>
      <w:r w:rsidRPr="00541560">
        <w:rPr>
          <w:rFonts w:eastAsia="MS Mincho"/>
          <w:szCs w:val="20"/>
        </w:rPr>
        <w:t xml:space="preserve"> nos. 22 and 27 (a better copy of </w:t>
      </w:r>
      <w:proofErr w:type="spellStart"/>
      <w:r w:rsidR="00C20A5B">
        <w:rPr>
          <w:rFonts w:eastAsia="MS Mincho"/>
          <w:i/>
          <w:szCs w:val="20"/>
        </w:rPr>
        <w:t>Placiti</w:t>
      </w:r>
      <w:proofErr w:type="spellEnd"/>
      <w:r w:rsidR="00C20A5B">
        <w:rPr>
          <w:rFonts w:eastAsia="MS Mincho"/>
          <w:szCs w:val="20"/>
        </w:rPr>
        <w:t xml:space="preserve">, ed. </w:t>
      </w:r>
      <w:proofErr w:type="spellStart"/>
      <w:r w:rsidRPr="00541560">
        <w:rPr>
          <w:rFonts w:eastAsia="MS Mincho"/>
          <w:szCs w:val="20"/>
        </w:rPr>
        <w:t>Manaresi</w:t>
      </w:r>
      <w:proofErr w:type="spellEnd"/>
      <w:r w:rsidRPr="00541560">
        <w:rPr>
          <w:rFonts w:eastAsia="MS Mincho"/>
          <w:szCs w:val="20"/>
        </w:rPr>
        <w:t>, no. 325).</w:t>
      </w:r>
    </w:p>
  </w:footnote>
  <w:footnote w:id="45">
    <w:p w14:paraId="69C681B4" w14:textId="4AB3E249" w:rsidR="00F23E2A" w:rsidRPr="00541560" w:rsidRDefault="00F23E2A" w:rsidP="004B02E6">
      <w:pPr>
        <w:pStyle w:val="FootnoteText"/>
        <w:rPr>
          <w:rFonts w:eastAsia="MS Mincho"/>
          <w:szCs w:val="20"/>
        </w:rPr>
      </w:pPr>
      <w:r w:rsidRPr="00541560">
        <w:rPr>
          <w:rStyle w:val="FootnoteCharacters"/>
          <w:rFonts w:eastAsia="MS Mincho"/>
          <w:szCs w:val="20"/>
        </w:rPr>
        <w:footnoteRef/>
      </w:r>
      <w:r w:rsidRPr="00541560">
        <w:rPr>
          <w:rFonts w:eastAsia="MS Mincho"/>
          <w:szCs w:val="20"/>
        </w:rPr>
        <w:t xml:space="preserve"> </w:t>
      </w:r>
      <w:proofErr w:type="spellStart"/>
      <w:r w:rsidR="00C20A5B">
        <w:rPr>
          <w:rFonts w:eastAsia="MS Mincho"/>
          <w:i/>
          <w:szCs w:val="20"/>
        </w:rPr>
        <w:t>Placiti</w:t>
      </w:r>
      <w:proofErr w:type="spellEnd"/>
      <w:r w:rsidR="00C20A5B">
        <w:rPr>
          <w:rFonts w:eastAsia="MS Mincho"/>
          <w:szCs w:val="20"/>
        </w:rPr>
        <w:t xml:space="preserve">, ed. </w:t>
      </w:r>
      <w:proofErr w:type="spellStart"/>
      <w:r w:rsidRPr="00541560">
        <w:rPr>
          <w:rFonts w:eastAsia="MS Mincho"/>
          <w:szCs w:val="20"/>
        </w:rPr>
        <w:t>Manaresi</w:t>
      </w:r>
      <w:proofErr w:type="spellEnd"/>
      <w:r w:rsidRPr="00541560">
        <w:rPr>
          <w:rFonts w:eastAsia="MS Mincho"/>
          <w:szCs w:val="20"/>
        </w:rPr>
        <w:t>, no. 192 involved th</w:t>
      </w:r>
      <w:r w:rsidR="00C20A5B">
        <w:rPr>
          <w:rFonts w:eastAsia="MS Mincho"/>
          <w:szCs w:val="20"/>
        </w:rPr>
        <w:t xml:space="preserve">e count of the palace </w:t>
      </w:r>
      <w:proofErr w:type="spellStart"/>
      <w:r w:rsidR="00C20A5B">
        <w:rPr>
          <w:rFonts w:eastAsia="MS Mincho"/>
          <w:szCs w:val="20"/>
        </w:rPr>
        <w:t>Gislebert</w:t>
      </w:r>
      <w:proofErr w:type="spellEnd"/>
      <w:r w:rsidR="00C20A5B">
        <w:rPr>
          <w:rFonts w:eastAsia="MS Mincho"/>
          <w:szCs w:val="20"/>
        </w:rPr>
        <w:t>;</w:t>
      </w:r>
      <w:r w:rsidRPr="00541560">
        <w:rPr>
          <w:rFonts w:eastAsia="MS Mincho"/>
          <w:szCs w:val="20"/>
        </w:rPr>
        <w:t xml:space="preserve"> no. 247 involved Marquis </w:t>
      </w:r>
      <w:proofErr w:type="spellStart"/>
      <w:r w:rsidRPr="00541560">
        <w:rPr>
          <w:rFonts w:eastAsia="MS Mincho"/>
          <w:szCs w:val="20"/>
        </w:rPr>
        <w:t>Boso</w:t>
      </w:r>
      <w:proofErr w:type="spellEnd"/>
      <w:r w:rsidRPr="00541560">
        <w:rPr>
          <w:rFonts w:eastAsia="MS Mincho"/>
          <w:szCs w:val="20"/>
        </w:rPr>
        <w:t xml:space="preserve"> and a daug</w:t>
      </w:r>
      <w:r w:rsidR="00C20A5B">
        <w:rPr>
          <w:rFonts w:eastAsia="MS Mincho"/>
          <w:szCs w:val="20"/>
        </w:rPr>
        <w:t>hter of Count Bernard;</w:t>
      </w:r>
      <w:r w:rsidRPr="00541560">
        <w:rPr>
          <w:rFonts w:eastAsia="MS Mincho"/>
          <w:szCs w:val="20"/>
        </w:rPr>
        <w:t xml:space="preserve"> no. 248 Marquis </w:t>
      </w:r>
      <w:proofErr w:type="spellStart"/>
      <w:r w:rsidRPr="00541560">
        <w:rPr>
          <w:rFonts w:eastAsia="MS Mincho"/>
          <w:szCs w:val="20"/>
        </w:rPr>
        <w:t>Boso</w:t>
      </w:r>
      <w:proofErr w:type="spellEnd"/>
      <w:r w:rsidRPr="00541560">
        <w:rPr>
          <w:rFonts w:eastAsia="MS Mincho"/>
          <w:szCs w:val="20"/>
        </w:rPr>
        <w:t xml:space="preserve"> a</w:t>
      </w:r>
      <w:r w:rsidR="00C20A5B">
        <w:rPr>
          <w:rFonts w:eastAsia="MS Mincho"/>
          <w:szCs w:val="20"/>
        </w:rPr>
        <w:t>nd Count Lanfranc, and</w:t>
      </w:r>
      <w:r w:rsidRPr="00541560">
        <w:rPr>
          <w:rFonts w:eastAsia="MS Mincho"/>
          <w:szCs w:val="20"/>
        </w:rPr>
        <w:t xml:space="preserve"> no. 337 saw Marquis Hugh of the dominant </w:t>
      </w:r>
      <w:proofErr w:type="spellStart"/>
      <w:r w:rsidRPr="00541560">
        <w:rPr>
          <w:rFonts w:eastAsia="MS Mincho"/>
          <w:szCs w:val="20"/>
        </w:rPr>
        <w:t>Obertenghi</w:t>
      </w:r>
      <w:proofErr w:type="spellEnd"/>
      <w:r w:rsidRPr="00541560">
        <w:rPr>
          <w:rFonts w:eastAsia="MS Mincho"/>
          <w:szCs w:val="20"/>
        </w:rPr>
        <w:t xml:space="preserve"> family have confirmed the testament of Gerard, son of </w:t>
      </w:r>
      <w:proofErr w:type="spellStart"/>
      <w:r w:rsidRPr="00541560">
        <w:rPr>
          <w:rFonts w:eastAsia="MS Mincho"/>
          <w:szCs w:val="20"/>
        </w:rPr>
        <w:t>Genesius</w:t>
      </w:r>
      <w:proofErr w:type="spellEnd"/>
      <w:r w:rsidRPr="00541560">
        <w:rPr>
          <w:rFonts w:eastAsia="MS Mincho"/>
          <w:szCs w:val="20"/>
        </w:rPr>
        <w:t>, who had acquired most of the properties of</w:t>
      </w:r>
      <w:r w:rsidR="00C20A5B">
        <w:rPr>
          <w:rFonts w:eastAsia="MS Mincho"/>
          <w:szCs w:val="20"/>
        </w:rPr>
        <w:t xml:space="preserve"> the </w:t>
      </w:r>
      <w:proofErr w:type="spellStart"/>
      <w:r w:rsidR="00C20A5B">
        <w:rPr>
          <w:rFonts w:eastAsia="MS Mincho"/>
          <w:szCs w:val="20"/>
        </w:rPr>
        <w:t>Gandolfingi</w:t>
      </w:r>
      <w:proofErr w:type="spellEnd"/>
      <w:r w:rsidR="00C20A5B">
        <w:rPr>
          <w:rFonts w:eastAsia="MS Mincho"/>
          <w:szCs w:val="20"/>
        </w:rPr>
        <w:t>: see further François</w:t>
      </w:r>
      <w:r w:rsidRPr="00541560">
        <w:rPr>
          <w:rFonts w:eastAsia="MS Mincho"/>
          <w:szCs w:val="20"/>
        </w:rPr>
        <w:t xml:space="preserve"> </w:t>
      </w:r>
      <w:proofErr w:type="spellStart"/>
      <w:r w:rsidRPr="00541560">
        <w:rPr>
          <w:rFonts w:eastAsia="MS Mincho"/>
          <w:szCs w:val="20"/>
        </w:rPr>
        <w:t>Bougard</w:t>
      </w:r>
      <w:proofErr w:type="spellEnd"/>
      <w:r w:rsidRPr="00541560">
        <w:rPr>
          <w:rFonts w:eastAsia="MS Mincho"/>
          <w:szCs w:val="20"/>
        </w:rPr>
        <w:t xml:space="preserve">, ‘Entre </w:t>
      </w:r>
      <w:proofErr w:type="spellStart"/>
      <w:r w:rsidRPr="00541560">
        <w:rPr>
          <w:rFonts w:eastAsia="MS Mincho"/>
          <w:szCs w:val="20"/>
        </w:rPr>
        <w:t>Gandolfingi</w:t>
      </w:r>
      <w:proofErr w:type="spellEnd"/>
      <w:r w:rsidRPr="00541560">
        <w:rPr>
          <w:rFonts w:eastAsia="MS Mincho"/>
          <w:szCs w:val="20"/>
        </w:rPr>
        <w:t xml:space="preserve"> et </w:t>
      </w:r>
      <w:proofErr w:type="spellStart"/>
      <w:r w:rsidRPr="00541560">
        <w:rPr>
          <w:rFonts w:eastAsia="MS Mincho"/>
          <w:szCs w:val="20"/>
        </w:rPr>
        <w:t>Obertenghi</w:t>
      </w:r>
      <w:proofErr w:type="spellEnd"/>
      <w:r w:rsidRPr="00541560">
        <w:rPr>
          <w:rFonts w:eastAsia="MS Mincho"/>
          <w:szCs w:val="20"/>
        </w:rPr>
        <w:t xml:space="preserve">. Les </w:t>
      </w:r>
      <w:proofErr w:type="spellStart"/>
      <w:proofErr w:type="gramStart"/>
      <w:r w:rsidRPr="00541560">
        <w:rPr>
          <w:rFonts w:eastAsia="MS Mincho"/>
          <w:szCs w:val="20"/>
        </w:rPr>
        <w:t>comtes</w:t>
      </w:r>
      <w:proofErr w:type="spellEnd"/>
      <w:proofErr w:type="gramEnd"/>
      <w:r w:rsidRPr="00541560">
        <w:rPr>
          <w:rFonts w:eastAsia="MS Mincho"/>
          <w:szCs w:val="20"/>
        </w:rPr>
        <w:t xml:space="preserve"> de </w:t>
      </w:r>
      <w:proofErr w:type="spellStart"/>
      <w:r w:rsidRPr="00541560">
        <w:rPr>
          <w:rFonts w:eastAsia="MS Mincho"/>
          <w:szCs w:val="20"/>
        </w:rPr>
        <w:t>Plaisance</w:t>
      </w:r>
      <w:proofErr w:type="spellEnd"/>
      <w:r w:rsidRPr="00541560">
        <w:rPr>
          <w:rFonts w:eastAsia="MS Mincho"/>
          <w:szCs w:val="20"/>
        </w:rPr>
        <w:t xml:space="preserve"> aux </w:t>
      </w:r>
      <w:proofErr w:type="spellStart"/>
      <w:r w:rsidRPr="00541560">
        <w:rPr>
          <w:rFonts w:eastAsia="MS Mincho"/>
          <w:szCs w:val="20"/>
        </w:rPr>
        <w:t>Xe</w:t>
      </w:r>
      <w:proofErr w:type="spellEnd"/>
      <w:r w:rsidRPr="00541560">
        <w:rPr>
          <w:rFonts w:eastAsia="MS Mincho"/>
          <w:szCs w:val="20"/>
        </w:rPr>
        <w:t xml:space="preserve"> et </w:t>
      </w:r>
      <w:proofErr w:type="spellStart"/>
      <w:r w:rsidRPr="00541560">
        <w:rPr>
          <w:rFonts w:eastAsia="MS Mincho"/>
          <w:szCs w:val="20"/>
        </w:rPr>
        <w:t>XIe</w:t>
      </w:r>
      <w:proofErr w:type="spellEnd"/>
      <w:r w:rsidRPr="00541560">
        <w:rPr>
          <w:rFonts w:eastAsia="MS Mincho"/>
          <w:szCs w:val="20"/>
        </w:rPr>
        <w:t xml:space="preserve"> siècles’, </w:t>
      </w:r>
      <w:r w:rsidRPr="00541560">
        <w:rPr>
          <w:rFonts w:eastAsia="MS Mincho"/>
          <w:i/>
          <w:iCs/>
          <w:szCs w:val="20"/>
        </w:rPr>
        <w:t xml:space="preserve">Mélanges de </w:t>
      </w:r>
      <w:proofErr w:type="spellStart"/>
      <w:r w:rsidRPr="00541560">
        <w:rPr>
          <w:rFonts w:eastAsia="MS Mincho"/>
          <w:i/>
          <w:iCs/>
          <w:szCs w:val="20"/>
        </w:rPr>
        <w:t>l’École</w:t>
      </w:r>
      <w:proofErr w:type="spellEnd"/>
      <w:r w:rsidRPr="00541560">
        <w:rPr>
          <w:rFonts w:eastAsia="MS Mincho"/>
          <w:i/>
          <w:iCs/>
          <w:szCs w:val="20"/>
        </w:rPr>
        <w:t xml:space="preserve"> </w:t>
      </w:r>
      <w:proofErr w:type="spellStart"/>
      <w:r w:rsidRPr="00541560">
        <w:rPr>
          <w:rFonts w:eastAsia="MS Mincho"/>
          <w:i/>
          <w:iCs/>
          <w:szCs w:val="20"/>
        </w:rPr>
        <w:t>Française</w:t>
      </w:r>
      <w:proofErr w:type="spellEnd"/>
      <w:r w:rsidRPr="00541560">
        <w:rPr>
          <w:rFonts w:eastAsia="MS Mincho"/>
          <w:i/>
          <w:iCs/>
          <w:szCs w:val="20"/>
        </w:rPr>
        <w:t xml:space="preserve"> de Rome. Moyen Âge</w:t>
      </w:r>
      <w:r w:rsidRPr="00541560">
        <w:rPr>
          <w:rFonts w:eastAsia="MS Mincho"/>
          <w:szCs w:val="20"/>
        </w:rPr>
        <w:t xml:space="preserve">, </w:t>
      </w:r>
      <w:r w:rsidR="00C20A5B">
        <w:rPr>
          <w:rFonts w:eastAsia="MS Mincho"/>
          <w:szCs w:val="20"/>
        </w:rPr>
        <w:t>ci</w:t>
      </w:r>
      <w:r w:rsidRPr="00541560">
        <w:rPr>
          <w:rFonts w:eastAsia="MS Mincho"/>
          <w:szCs w:val="20"/>
        </w:rPr>
        <w:t xml:space="preserve"> (1989), 11-66, 23-7 and 32-6.</w:t>
      </w:r>
    </w:p>
  </w:footnote>
  <w:footnote w:id="46">
    <w:p w14:paraId="7F6AC368" w14:textId="3299797A" w:rsidR="00F23E2A" w:rsidRPr="00541560" w:rsidRDefault="00F23E2A" w:rsidP="004B02E6">
      <w:pPr>
        <w:pStyle w:val="FootnoteText"/>
        <w:rPr>
          <w:rFonts w:eastAsia="MS Mincho"/>
          <w:szCs w:val="20"/>
        </w:rPr>
      </w:pPr>
      <w:r w:rsidRPr="00541560">
        <w:rPr>
          <w:rStyle w:val="FootnoteCharacters"/>
          <w:rFonts w:eastAsia="MS Mincho"/>
          <w:szCs w:val="20"/>
        </w:rPr>
        <w:footnoteRef/>
      </w:r>
      <w:r w:rsidRPr="00541560">
        <w:rPr>
          <w:rFonts w:eastAsia="MS Mincho"/>
          <w:szCs w:val="20"/>
        </w:rPr>
        <w:t xml:space="preserve"> </w:t>
      </w:r>
      <w:proofErr w:type="spellStart"/>
      <w:r w:rsidR="00C20A5B">
        <w:rPr>
          <w:rFonts w:eastAsia="MS Mincho"/>
          <w:i/>
          <w:szCs w:val="20"/>
        </w:rPr>
        <w:t>Placiti</w:t>
      </w:r>
      <w:proofErr w:type="spellEnd"/>
      <w:r w:rsidR="00C20A5B">
        <w:rPr>
          <w:rFonts w:eastAsia="MS Mincho"/>
          <w:szCs w:val="20"/>
        </w:rPr>
        <w:t xml:space="preserve">, ed. </w:t>
      </w:r>
      <w:proofErr w:type="spellStart"/>
      <w:r w:rsidRPr="00541560">
        <w:rPr>
          <w:rFonts w:eastAsia="MS Mincho"/>
          <w:szCs w:val="20"/>
        </w:rPr>
        <w:t>Manaresi</w:t>
      </w:r>
      <w:proofErr w:type="spellEnd"/>
      <w:r w:rsidRPr="00541560">
        <w:rPr>
          <w:rFonts w:eastAsia="MS Mincho"/>
          <w:szCs w:val="20"/>
        </w:rPr>
        <w:t xml:space="preserve">, nos. 213, 273, 385 and 418 involved respectively Piacenza’s archdeacon </w:t>
      </w:r>
      <w:proofErr w:type="spellStart"/>
      <w:r w:rsidRPr="00541560">
        <w:rPr>
          <w:rFonts w:eastAsia="MS Mincho"/>
          <w:szCs w:val="20"/>
        </w:rPr>
        <w:t>Aginus</w:t>
      </w:r>
      <w:proofErr w:type="spellEnd"/>
      <w:r w:rsidRPr="00541560">
        <w:rPr>
          <w:rFonts w:eastAsia="MS Mincho"/>
          <w:szCs w:val="20"/>
        </w:rPr>
        <w:t xml:space="preserve">, the deacon </w:t>
      </w:r>
      <w:proofErr w:type="spellStart"/>
      <w:r w:rsidRPr="00541560">
        <w:rPr>
          <w:rFonts w:eastAsia="MS Mincho"/>
          <w:szCs w:val="20"/>
        </w:rPr>
        <w:t>Domninus</w:t>
      </w:r>
      <w:proofErr w:type="spellEnd"/>
      <w:r w:rsidRPr="00541560">
        <w:rPr>
          <w:rFonts w:eastAsia="MS Mincho"/>
          <w:szCs w:val="20"/>
        </w:rPr>
        <w:t xml:space="preserve">, </w:t>
      </w:r>
      <w:proofErr w:type="spellStart"/>
      <w:r w:rsidRPr="00541560">
        <w:rPr>
          <w:rFonts w:eastAsia="MS Mincho"/>
          <w:szCs w:val="20"/>
        </w:rPr>
        <w:t>Adelaida</w:t>
      </w:r>
      <w:proofErr w:type="spellEnd"/>
      <w:r w:rsidRPr="00541560">
        <w:rPr>
          <w:rFonts w:eastAsia="MS Mincho"/>
          <w:szCs w:val="20"/>
        </w:rPr>
        <w:t xml:space="preserve">, abbess of S. </w:t>
      </w:r>
      <w:proofErr w:type="spellStart"/>
      <w:r w:rsidRPr="00541560">
        <w:rPr>
          <w:rFonts w:eastAsia="MS Mincho"/>
          <w:szCs w:val="20"/>
        </w:rPr>
        <w:t>Sisto</w:t>
      </w:r>
      <w:proofErr w:type="spellEnd"/>
      <w:r w:rsidRPr="00541560">
        <w:rPr>
          <w:rFonts w:eastAsia="MS Mincho"/>
          <w:szCs w:val="20"/>
        </w:rPr>
        <w:t xml:space="preserve">, and </w:t>
      </w:r>
      <w:proofErr w:type="spellStart"/>
      <w:r w:rsidRPr="00541560">
        <w:rPr>
          <w:rFonts w:eastAsia="MS Mincho"/>
          <w:szCs w:val="20"/>
        </w:rPr>
        <w:t>Richezo</w:t>
      </w:r>
      <w:proofErr w:type="spellEnd"/>
      <w:r w:rsidRPr="00541560">
        <w:rPr>
          <w:rFonts w:eastAsia="MS Mincho"/>
          <w:szCs w:val="20"/>
        </w:rPr>
        <w:t xml:space="preserve">, abbot of S. </w:t>
      </w:r>
      <w:proofErr w:type="spellStart"/>
      <w:r w:rsidRPr="00541560">
        <w:rPr>
          <w:rFonts w:eastAsia="MS Mincho"/>
          <w:szCs w:val="20"/>
        </w:rPr>
        <w:t>Savino</w:t>
      </w:r>
      <w:proofErr w:type="spellEnd"/>
      <w:r w:rsidRPr="00541560">
        <w:rPr>
          <w:rFonts w:eastAsia="MS Mincho"/>
          <w:szCs w:val="20"/>
        </w:rPr>
        <w:t xml:space="preserve">. </w:t>
      </w:r>
      <w:proofErr w:type="gramStart"/>
      <w:r w:rsidR="00C20A5B" w:rsidRPr="00C20A5B">
        <w:rPr>
          <w:rFonts w:eastAsia="MS Mincho"/>
          <w:i/>
          <w:szCs w:val="20"/>
        </w:rPr>
        <w:t>Ibid</w:t>
      </w:r>
      <w:r w:rsidR="00C20A5B">
        <w:rPr>
          <w:rFonts w:eastAsia="MS Mincho"/>
          <w:szCs w:val="20"/>
        </w:rPr>
        <w:t>.,</w:t>
      </w:r>
      <w:proofErr w:type="gramEnd"/>
      <w:r w:rsidRPr="00541560">
        <w:rPr>
          <w:rFonts w:eastAsia="MS Mincho"/>
          <w:szCs w:val="20"/>
        </w:rPr>
        <w:t xml:space="preserve"> no. 438 is a grant by Henry IV of royal </w:t>
      </w:r>
      <w:proofErr w:type="spellStart"/>
      <w:r w:rsidRPr="00541560">
        <w:rPr>
          <w:rFonts w:eastAsia="MS Mincho"/>
          <w:i/>
          <w:szCs w:val="20"/>
        </w:rPr>
        <w:t>bannum</w:t>
      </w:r>
      <w:proofErr w:type="spellEnd"/>
      <w:r w:rsidRPr="00541560">
        <w:rPr>
          <w:rFonts w:eastAsia="MS Mincho"/>
          <w:szCs w:val="20"/>
        </w:rPr>
        <w:t xml:space="preserve"> over the possessions of the canons of the church of Piacenza.</w:t>
      </w:r>
    </w:p>
  </w:footnote>
  <w:footnote w:id="47">
    <w:p w14:paraId="3DD77800" w14:textId="6EB02B81"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Petrus’s dossier provides the raw material for, and is conveniently re-edited in, </w:t>
      </w:r>
      <w:r w:rsidR="00C20A5B">
        <w:rPr>
          <w:szCs w:val="20"/>
        </w:rPr>
        <w:t xml:space="preserve">François </w:t>
      </w:r>
      <w:proofErr w:type="spellStart"/>
      <w:r w:rsidRPr="00541560">
        <w:rPr>
          <w:szCs w:val="20"/>
        </w:rPr>
        <w:t>Bougard</w:t>
      </w:r>
      <w:proofErr w:type="spellEnd"/>
      <w:r w:rsidRPr="00541560">
        <w:rPr>
          <w:szCs w:val="20"/>
        </w:rPr>
        <w:t xml:space="preserve">, ‘Pierre de </w:t>
      </w:r>
      <w:proofErr w:type="spellStart"/>
      <w:r w:rsidRPr="00541560">
        <w:rPr>
          <w:szCs w:val="20"/>
        </w:rPr>
        <w:t>Niviano</w:t>
      </w:r>
      <w:proofErr w:type="spellEnd"/>
      <w:r w:rsidR="00C20A5B">
        <w:rPr>
          <w:szCs w:val="20"/>
        </w:rPr>
        <w:t xml:space="preserve">, </w:t>
      </w:r>
      <w:proofErr w:type="spellStart"/>
      <w:r w:rsidR="00C20A5B">
        <w:rPr>
          <w:szCs w:val="20"/>
        </w:rPr>
        <w:t>dit</w:t>
      </w:r>
      <w:proofErr w:type="spellEnd"/>
      <w:r w:rsidR="00C20A5B">
        <w:rPr>
          <w:szCs w:val="20"/>
        </w:rPr>
        <w:t xml:space="preserve"> le </w:t>
      </w:r>
      <w:proofErr w:type="spellStart"/>
      <w:r w:rsidR="00C20A5B">
        <w:rPr>
          <w:szCs w:val="20"/>
        </w:rPr>
        <w:t>Spolétin</w:t>
      </w:r>
      <w:proofErr w:type="spellEnd"/>
      <w:r w:rsidR="00C20A5B">
        <w:rPr>
          <w:szCs w:val="20"/>
        </w:rPr>
        <w:t xml:space="preserve">, </w:t>
      </w:r>
      <w:proofErr w:type="spellStart"/>
      <w:r w:rsidR="00C20A5B">
        <w:rPr>
          <w:szCs w:val="20"/>
        </w:rPr>
        <w:t>sculdassius</w:t>
      </w:r>
      <w:proofErr w:type="spellEnd"/>
      <w:r w:rsidR="00C20A5B">
        <w:rPr>
          <w:szCs w:val="20"/>
        </w:rPr>
        <w:t xml:space="preserve">, et le </w:t>
      </w:r>
      <w:proofErr w:type="spellStart"/>
      <w:r w:rsidR="00C20A5B">
        <w:rPr>
          <w:szCs w:val="20"/>
        </w:rPr>
        <w:t>gouvernement</w:t>
      </w:r>
      <w:proofErr w:type="spellEnd"/>
      <w:r w:rsidR="00C20A5B">
        <w:rPr>
          <w:szCs w:val="20"/>
        </w:rPr>
        <w:t xml:space="preserve"> du </w:t>
      </w:r>
      <w:proofErr w:type="spellStart"/>
      <w:r w:rsidR="00C20A5B">
        <w:rPr>
          <w:szCs w:val="20"/>
        </w:rPr>
        <w:t>comté</w:t>
      </w:r>
      <w:proofErr w:type="spellEnd"/>
      <w:r w:rsidR="00C20A5B">
        <w:rPr>
          <w:szCs w:val="20"/>
        </w:rPr>
        <w:t xml:space="preserve"> de </w:t>
      </w:r>
      <w:proofErr w:type="spellStart"/>
      <w:r w:rsidR="00C20A5B">
        <w:rPr>
          <w:szCs w:val="20"/>
        </w:rPr>
        <w:t>Plaisance</w:t>
      </w:r>
      <w:proofErr w:type="spellEnd"/>
      <w:r w:rsidR="00C20A5B">
        <w:rPr>
          <w:szCs w:val="20"/>
        </w:rPr>
        <w:t xml:space="preserve"> à </w:t>
      </w:r>
      <w:proofErr w:type="spellStart"/>
      <w:r w:rsidR="00C20A5B">
        <w:rPr>
          <w:szCs w:val="20"/>
        </w:rPr>
        <w:t>l’époque</w:t>
      </w:r>
      <w:proofErr w:type="spellEnd"/>
      <w:r w:rsidR="00C20A5B">
        <w:rPr>
          <w:szCs w:val="20"/>
        </w:rPr>
        <w:t xml:space="preserve"> </w:t>
      </w:r>
      <w:proofErr w:type="spellStart"/>
      <w:r w:rsidR="00C20A5B">
        <w:rPr>
          <w:szCs w:val="20"/>
        </w:rPr>
        <w:t>carolingienne</w:t>
      </w:r>
      <w:proofErr w:type="spellEnd"/>
      <w:r w:rsidRPr="00541560">
        <w:rPr>
          <w:szCs w:val="20"/>
        </w:rPr>
        <w:t>’</w:t>
      </w:r>
      <w:r w:rsidR="00C20A5B">
        <w:rPr>
          <w:szCs w:val="20"/>
        </w:rPr>
        <w:t xml:space="preserve">, </w:t>
      </w:r>
      <w:r w:rsidR="00C20A5B">
        <w:rPr>
          <w:i/>
          <w:szCs w:val="20"/>
        </w:rPr>
        <w:t>Journal des Savants</w:t>
      </w:r>
      <w:r w:rsidR="00C20A5B">
        <w:rPr>
          <w:szCs w:val="20"/>
        </w:rPr>
        <w:t xml:space="preserve"> (1996), 291-337</w:t>
      </w:r>
      <w:r w:rsidRPr="00541560">
        <w:rPr>
          <w:szCs w:val="20"/>
        </w:rPr>
        <w:t>.</w:t>
      </w:r>
    </w:p>
  </w:footnote>
  <w:footnote w:id="48">
    <w:p w14:paraId="0E235E5C" w14:textId="48C46569"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For a survey of the political power structures in Pia</w:t>
      </w:r>
      <w:r w:rsidR="00C20A5B">
        <w:rPr>
          <w:szCs w:val="20"/>
        </w:rPr>
        <w:t>cenza across this period, see Pierre</w:t>
      </w:r>
      <w:r w:rsidRPr="00541560">
        <w:rPr>
          <w:szCs w:val="20"/>
        </w:rPr>
        <w:t xml:space="preserve"> Racine, </w:t>
      </w:r>
      <w:proofErr w:type="spellStart"/>
      <w:r w:rsidRPr="00541560">
        <w:rPr>
          <w:i/>
          <w:iCs/>
          <w:szCs w:val="20"/>
        </w:rPr>
        <w:t>Plaisance</w:t>
      </w:r>
      <w:proofErr w:type="spellEnd"/>
      <w:r w:rsidRPr="00541560">
        <w:rPr>
          <w:i/>
          <w:iCs/>
          <w:szCs w:val="20"/>
        </w:rPr>
        <w:t xml:space="preserve"> du </w:t>
      </w:r>
      <w:proofErr w:type="spellStart"/>
      <w:r w:rsidRPr="00541560">
        <w:rPr>
          <w:i/>
          <w:iCs/>
          <w:szCs w:val="20"/>
        </w:rPr>
        <w:t>Xème</w:t>
      </w:r>
      <w:proofErr w:type="spellEnd"/>
      <w:r w:rsidRPr="00541560">
        <w:rPr>
          <w:i/>
          <w:iCs/>
          <w:szCs w:val="20"/>
        </w:rPr>
        <w:t xml:space="preserve"> à la fin du </w:t>
      </w:r>
      <w:proofErr w:type="spellStart"/>
      <w:r w:rsidRPr="00541560">
        <w:rPr>
          <w:i/>
          <w:iCs/>
          <w:szCs w:val="20"/>
        </w:rPr>
        <w:t>XIIIème</w:t>
      </w:r>
      <w:proofErr w:type="spellEnd"/>
      <w:r w:rsidRPr="00541560">
        <w:rPr>
          <w:i/>
          <w:iCs/>
          <w:szCs w:val="20"/>
        </w:rPr>
        <w:t xml:space="preserve"> siècle. </w:t>
      </w:r>
      <w:r w:rsidRPr="00541560">
        <w:rPr>
          <w:i/>
          <w:iCs/>
          <w:szCs w:val="20"/>
          <w:lang w:val="it-IT"/>
        </w:rPr>
        <w:t>Essai d’histoire urbaine</w:t>
      </w:r>
      <w:r w:rsidR="00C20A5B">
        <w:rPr>
          <w:szCs w:val="20"/>
          <w:lang w:val="it-IT"/>
        </w:rPr>
        <w:t>, 3 vols. (Paris, 1980), i</w:t>
      </w:r>
      <w:r w:rsidRPr="00541560">
        <w:rPr>
          <w:szCs w:val="20"/>
          <w:lang w:val="it-IT"/>
        </w:rPr>
        <w:t>.</w:t>
      </w:r>
    </w:p>
  </w:footnote>
  <w:footnote w:id="49">
    <w:p w14:paraId="7DE7B866" w14:textId="25C6C511" w:rsidR="00F23E2A" w:rsidRPr="00541560" w:rsidRDefault="00F23E2A" w:rsidP="004B02E6">
      <w:pPr>
        <w:pStyle w:val="FootnoteText"/>
        <w:rPr>
          <w:szCs w:val="20"/>
        </w:rPr>
      </w:pPr>
      <w:r w:rsidRPr="00541560">
        <w:rPr>
          <w:rStyle w:val="FootnoteReference"/>
          <w:szCs w:val="20"/>
        </w:rPr>
        <w:footnoteRef/>
      </w:r>
      <w:r w:rsidR="00C20A5B">
        <w:rPr>
          <w:szCs w:val="20"/>
          <w:lang w:val="it-IT"/>
        </w:rPr>
        <w:t xml:space="preserve"> Vito</w:t>
      </w:r>
      <w:r w:rsidRPr="00541560">
        <w:rPr>
          <w:szCs w:val="20"/>
          <w:lang w:val="it-IT"/>
        </w:rPr>
        <w:t xml:space="preserve"> Fumagalli, </w:t>
      </w:r>
      <w:r w:rsidRPr="00541560">
        <w:rPr>
          <w:i/>
          <w:iCs/>
          <w:szCs w:val="20"/>
          <w:lang w:val="it-IT"/>
        </w:rPr>
        <w:t xml:space="preserve">Terra e società nell’Italia padana. I secoli IX e X </w:t>
      </w:r>
      <w:r w:rsidR="00C20A5B">
        <w:rPr>
          <w:szCs w:val="20"/>
          <w:lang w:val="it-IT"/>
        </w:rPr>
        <w:t xml:space="preserve">(Torino, 1976), </w:t>
      </w:r>
      <w:r w:rsidRPr="00541560">
        <w:rPr>
          <w:szCs w:val="20"/>
          <w:lang w:val="it-IT"/>
        </w:rPr>
        <w:t>91.</w:t>
      </w:r>
    </w:p>
  </w:footnote>
  <w:footnote w:id="50">
    <w:p w14:paraId="3D9A1E1C" w14:textId="46CA0438" w:rsidR="00F23E2A" w:rsidRPr="00E331D9" w:rsidRDefault="00F23E2A" w:rsidP="004B02E6">
      <w:pPr>
        <w:pStyle w:val="FootnoteText"/>
        <w:rPr>
          <w:szCs w:val="20"/>
          <w:lang w:val="it-IT"/>
        </w:rPr>
      </w:pPr>
      <w:r w:rsidRPr="00541560">
        <w:rPr>
          <w:rStyle w:val="FootnoteReference"/>
          <w:szCs w:val="20"/>
        </w:rPr>
        <w:footnoteRef/>
      </w:r>
      <w:r w:rsidRPr="00541560">
        <w:rPr>
          <w:szCs w:val="20"/>
          <w:lang w:val="it-IT"/>
        </w:rPr>
        <w:t xml:space="preserve"> </w:t>
      </w:r>
      <w:r w:rsidRPr="00541560">
        <w:rPr>
          <w:i/>
          <w:iCs/>
          <w:szCs w:val="20"/>
          <w:lang w:val="it-IT"/>
        </w:rPr>
        <w:t>I diplomi italiani di Lodovico III e di Rodolfo II</w:t>
      </w:r>
      <w:r w:rsidR="00E331D9">
        <w:rPr>
          <w:szCs w:val="20"/>
          <w:lang w:val="it-IT"/>
        </w:rPr>
        <w:t>, ed. Luigi Schiaparelli (</w:t>
      </w:r>
      <w:r w:rsidRPr="00541560">
        <w:rPr>
          <w:szCs w:val="20"/>
          <w:lang w:val="it-IT"/>
        </w:rPr>
        <w:t>Fonti per la Storia d’Italia</w:t>
      </w:r>
      <w:r w:rsidR="00E331D9">
        <w:rPr>
          <w:szCs w:val="20"/>
          <w:lang w:val="it-IT"/>
        </w:rPr>
        <w:t>, xxxvii, Rome</w:t>
      </w:r>
      <w:r w:rsidRPr="00541560">
        <w:rPr>
          <w:szCs w:val="20"/>
          <w:lang w:val="it-IT"/>
        </w:rPr>
        <w:t xml:space="preserve">, 1910), no. 11; </w:t>
      </w:r>
      <w:r w:rsidR="00892457" w:rsidRPr="00892457">
        <w:rPr>
          <w:i/>
          <w:szCs w:val="20"/>
          <w:lang w:val="it-IT"/>
        </w:rPr>
        <w:t>Die Urkunden Otto des III</w:t>
      </w:r>
      <w:r w:rsidR="00892457">
        <w:rPr>
          <w:szCs w:val="20"/>
          <w:lang w:val="it-IT"/>
        </w:rPr>
        <w:t>., ed. Theodor Sickel (</w:t>
      </w:r>
      <w:r w:rsidRPr="00541560">
        <w:rPr>
          <w:szCs w:val="20"/>
          <w:lang w:val="it-IT"/>
        </w:rPr>
        <w:t>M</w:t>
      </w:r>
      <w:r w:rsidR="00892457">
        <w:rPr>
          <w:szCs w:val="20"/>
          <w:lang w:val="it-IT"/>
        </w:rPr>
        <w:t xml:space="preserve">onumenta </w:t>
      </w:r>
      <w:r w:rsidRPr="00541560">
        <w:rPr>
          <w:szCs w:val="20"/>
          <w:lang w:val="it-IT"/>
        </w:rPr>
        <w:t>G</w:t>
      </w:r>
      <w:r w:rsidR="00892457">
        <w:rPr>
          <w:szCs w:val="20"/>
          <w:lang w:val="it-IT"/>
        </w:rPr>
        <w:t xml:space="preserve">ermaniae </w:t>
      </w:r>
      <w:r w:rsidRPr="00541560">
        <w:rPr>
          <w:szCs w:val="20"/>
          <w:lang w:val="it-IT"/>
        </w:rPr>
        <w:t>H</w:t>
      </w:r>
      <w:r w:rsidR="00892457">
        <w:rPr>
          <w:szCs w:val="20"/>
          <w:lang w:val="it-IT"/>
        </w:rPr>
        <w:t>istorica,</w:t>
      </w:r>
      <w:r w:rsidRPr="00541560">
        <w:rPr>
          <w:szCs w:val="20"/>
          <w:lang w:val="it-IT"/>
        </w:rPr>
        <w:t xml:space="preserve"> </w:t>
      </w:r>
      <w:r w:rsidRPr="00892457">
        <w:rPr>
          <w:iCs/>
          <w:szCs w:val="20"/>
          <w:lang w:val="it-IT"/>
        </w:rPr>
        <w:t>Diplomata regum et imperatorum Germaniae</w:t>
      </w:r>
      <w:r w:rsidRPr="00541560">
        <w:rPr>
          <w:szCs w:val="20"/>
          <w:lang w:val="it-IT"/>
        </w:rPr>
        <w:t xml:space="preserve">, </w:t>
      </w:r>
      <w:r w:rsidR="00892457">
        <w:rPr>
          <w:szCs w:val="20"/>
          <w:lang w:val="it-IT"/>
        </w:rPr>
        <w:t>ii, part 2, Hanover, 1893)</w:t>
      </w:r>
      <w:r w:rsidRPr="00541560">
        <w:rPr>
          <w:szCs w:val="20"/>
          <w:lang w:val="it-IT"/>
        </w:rPr>
        <w:t>,</w:t>
      </w:r>
      <w:r w:rsidR="00892457">
        <w:rPr>
          <w:szCs w:val="20"/>
          <w:lang w:val="it-IT"/>
        </w:rPr>
        <w:t xml:space="preserve"> 666-7</w:t>
      </w:r>
      <w:r w:rsidRPr="00541560">
        <w:rPr>
          <w:szCs w:val="20"/>
          <w:lang w:val="it-IT"/>
        </w:rPr>
        <w:t xml:space="preserve"> </w:t>
      </w:r>
      <w:r w:rsidR="00892457">
        <w:rPr>
          <w:szCs w:val="20"/>
          <w:lang w:val="it-IT"/>
        </w:rPr>
        <w:t>(</w:t>
      </w:r>
      <w:r w:rsidRPr="00541560">
        <w:rPr>
          <w:szCs w:val="20"/>
          <w:lang w:val="it-IT"/>
        </w:rPr>
        <w:t>no. 250</w:t>
      </w:r>
      <w:r w:rsidR="00892457">
        <w:rPr>
          <w:szCs w:val="20"/>
          <w:lang w:val="it-IT"/>
        </w:rPr>
        <w:t>)</w:t>
      </w:r>
      <w:r w:rsidR="008E3D08">
        <w:rPr>
          <w:szCs w:val="20"/>
          <w:lang w:val="it-IT"/>
        </w:rPr>
        <w:t xml:space="preserve">. </w:t>
      </w:r>
      <w:r w:rsidR="00E331D9">
        <w:rPr>
          <w:szCs w:val="20"/>
          <w:lang w:val="it-IT"/>
        </w:rPr>
        <w:t>On the latter, see Pierre</w:t>
      </w:r>
      <w:r w:rsidRPr="00541560">
        <w:rPr>
          <w:szCs w:val="20"/>
          <w:lang w:val="it-IT"/>
        </w:rPr>
        <w:t xml:space="preserve"> Racine, </w:t>
      </w:r>
      <w:r w:rsidRPr="00541560">
        <w:rPr>
          <w:color w:val="293331"/>
          <w:szCs w:val="20"/>
          <w:lang w:val="it-IT"/>
        </w:rPr>
        <w:t xml:space="preserve">‘Il vescovo di Piacenza, signore della città (997)’, </w:t>
      </w:r>
      <w:r w:rsidRPr="00541560">
        <w:rPr>
          <w:i/>
          <w:iCs/>
          <w:szCs w:val="20"/>
          <w:lang w:val="it-IT"/>
        </w:rPr>
        <w:t>Studi di storia medioevale e di diplomatica</w:t>
      </w:r>
      <w:r w:rsidR="00E331D9">
        <w:rPr>
          <w:iCs/>
          <w:szCs w:val="20"/>
          <w:lang w:val="it-IT"/>
        </w:rPr>
        <w:t>, xviii</w:t>
      </w:r>
      <w:r w:rsidRPr="00541560">
        <w:rPr>
          <w:szCs w:val="20"/>
          <w:lang w:val="it-IT"/>
        </w:rPr>
        <w:t xml:space="preserve"> (2000)</w:t>
      </w:r>
      <w:r w:rsidR="00E331D9">
        <w:rPr>
          <w:szCs w:val="20"/>
          <w:lang w:val="it-IT"/>
        </w:rPr>
        <w:t>,</w:t>
      </w:r>
      <w:r w:rsidRPr="00541560">
        <w:rPr>
          <w:szCs w:val="20"/>
          <w:lang w:val="it-IT"/>
        </w:rPr>
        <w:t xml:space="preserve"> 79-96.</w:t>
      </w:r>
    </w:p>
  </w:footnote>
  <w:footnote w:id="51">
    <w:p w14:paraId="5C81F827" w14:textId="6E6CE3FF"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The da Gorgo were fully studied by </w:t>
      </w:r>
      <w:r w:rsidRPr="00541560">
        <w:rPr>
          <w:color w:val="000000"/>
          <w:szCs w:val="20"/>
          <w:lang w:val="it-IT"/>
        </w:rPr>
        <w:t>V</w:t>
      </w:r>
      <w:r w:rsidR="00996B7F">
        <w:rPr>
          <w:color w:val="000000"/>
          <w:szCs w:val="20"/>
          <w:lang w:val="it-IT"/>
        </w:rPr>
        <w:t>ito</w:t>
      </w:r>
      <w:r w:rsidRPr="00541560">
        <w:rPr>
          <w:color w:val="000000"/>
          <w:szCs w:val="20"/>
          <w:lang w:val="it-IT"/>
        </w:rPr>
        <w:t xml:space="preserve"> Fumagalli,</w:t>
      </w:r>
      <w:r w:rsidRPr="00541560">
        <w:rPr>
          <w:rStyle w:val="Emphasis"/>
          <w:szCs w:val="20"/>
          <w:lang w:val="it-IT"/>
        </w:rPr>
        <w:t>‘</w:t>
      </w:r>
      <w:r w:rsidRPr="00541560">
        <w:rPr>
          <w:rStyle w:val="Emphasis"/>
          <w:i w:val="0"/>
          <w:iCs w:val="0"/>
          <w:szCs w:val="20"/>
          <w:lang w:val="it-IT"/>
        </w:rPr>
        <w:t>Vescovi e conti nell</w:t>
      </w:r>
      <w:r w:rsidRPr="00541560">
        <w:rPr>
          <w:rStyle w:val="Emphasis"/>
          <w:szCs w:val="20"/>
          <w:lang w:val="it-IT"/>
        </w:rPr>
        <w:t>’</w:t>
      </w:r>
      <w:r w:rsidRPr="00541560">
        <w:rPr>
          <w:rStyle w:val="Emphasis"/>
          <w:i w:val="0"/>
          <w:iCs w:val="0"/>
          <w:szCs w:val="20"/>
          <w:lang w:val="it-IT"/>
        </w:rPr>
        <w:t>Emilia occidentale da Berengario I a Ottone I</w:t>
      </w:r>
      <w:r w:rsidRPr="00541560">
        <w:rPr>
          <w:rStyle w:val="Emphasis"/>
          <w:szCs w:val="20"/>
          <w:lang w:val="it-IT"/>
        </w:rPr>
        <w:t>’</w:t>
      </w:r>
      <w:r w:rsidRPr="00541560">
        <w:rPr>
          <w:szCs w:val="20"/>
          <w:lang w:val="it-IT"/>
        </w:rPr>
        <w:t xml:space="preserve">, </w:t>
      </w:r>
      <w:r w:rsidRPr="00541560">
        <w:rPr>
          <w:i/>
          <w:iCs/>
          <w:szCs w:val="20"/>
          <w:lang w:val="it-IT"/>
        </w:rPr>
        <w:t>Studi Medievali</w:t>
      </w:r>
      <w:r w:rsidRPr="00541560">
        <w:rPr>
          <w:szCs w:val="20"/>
          <w:lang w:val="it-IT"/>
        </w:rPr>
        <w:t xml:space="preserve">, </w:t>
      </w:r>
      <w:r w:rsidR="00956A09">
        <w:rPr>
          <w:szCs w:val="20"/>
          <w:lang w:val="it-IT"/>
        </w:rPr>
        <w:t xml:space="preserve">3rd </w:t>
      </w:r>
      <w:r w:rsidRPr="00541560">
        <w:rPr>
          <w:szCs w:val="20"/>
          <w:lang w:val="it-IT"/>
        </w:rPr>
        <w:t>ser.</w:t>
      </w:r>
      <w:r w:rsidR="00956A09">
        <w:rPr>
          <w:szCs w:val="20"/>
          <w:lang w:val="it-IT"/>
        </w:rPr>
        <w:t>, xiv</w:t>
      </w:r>
      <w:r w:rsidRPr="00541560">
        <w:rPr>
          <w:szCs w:val="20"/>
          <w:lang w:val="it-IT"/>
        </w:rPr>
        <w:t xml:space="preserve"> (1973), 137-204</w:t>
      </w:r>
      <w:r w:rsidRPr="00541560">
        <w:rPr>
          <w:color w:val="000000"/>
          <w:szCs w:val="20"/>
          <w:lang w:val="it-IT"/>
        </w:rPr>
        <w:t>.</w:t>
      </w:r>
    </w:p>
  </w:footnote>
  <w:footnote w:id="52">
    <w:p w14:paraId="0119E429" w14:textId="4B8626FB"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w:t>
      </w:r>
      <w:r w:rsidR="00956A09" w:rsidRPr="00956A09">
        <w:rPr>
          <w:i/>
          <w:szCs w:val="20"/>
          <w:lang w:val="it-IT"/>
        </w:rPr>
        <w:t>Placiti</w:t>
      </w:r>
      <w:r w:rsidR="00956A09">
        <w:rPr>
          <w:szCs w:val="20"/>
          <w:lang w:val="it-IT"/>
        </w:rPr>
        <w:t xml:space="preserve">, ed. </w:t>
      </w:r>
      <w:r w:rsidRPr="00956A09">
        <w:rPr>
          <w:szCs w:val="20"/>
          <w:lang w:val="it-IT"/>
        </w:rPr>
        <w:t>Manaresi</w:t>
      </w:r>
      <w:r w:rsidRPr="00541560">
        <w:rPr>
          <w:szCs w:val="20"/>
          <w:lang w:val="it-IT"/>
        </w:rPr>
        <w:t>, nos. 247, 248.</w:t>
      </w:r>
    </w:p>
  </w:footnote>
  <w:footnote w:id="53">
    <w:p w14:paraId="5952B343" w14:textId="754A6331" w:rsidR="00F23E2A" w:rsidRPr="00541560" w:rsidRDefault="00F23E2A" w:rsidP="004B02E6">
      <w:pPr>
        <w:pStyle w:val="FootnoteText"/>
        <w:rPr>
          <w:szCs w:val="20"/>
        </w:rPr>
      </w:pPr>
      <w:r w:rsidRPr="00541560">
        <w:rPr>
          <w:rStyle w:val="FootnoteReference"/>
          <w:szCs w:val="20"/>
        </w:rPr>
        <w:footnoteRef/>
      </w:r>
      <w:r w:rsidRPr="00541560">
        <w:rPr>
          <w:szCs w:val="20"/>
          <w:lang w:val="it-IT"/>
        </w:rPr>
        <w:t xml:space="preserve"> </w:t>
      </w:r>
      <w:r w:rsidR="00956A09">
        <w:rPr>
          <w:szCs w:val="20"/>
          <w:lang w:val="it-IT"/>
        </w:rPr>
        <w:t>See Luigi</w:t>
      </w:r>
      <w:r w:rsidRPr="00541560">
        <w:rPr>
          <w:szCs w:val="20"/>
          <w:lang w:val="it-IT"/>
        </w:rPr>
        <w:t xml:space="preserve"> Provero, ‘Il sistema di potere carolingio e la sua rielaborazione nei comitati di Parma e</w:t>
      </w:r>
      <w:r w:rsidR="00956A09">
        <w:rPr>
          <w:szCs w:val="20"/>
          <w:lang w:val="it-IT"/>
        </w:rPr>
        <w:t xml:space="preserve"> Piacenza (secoli IX-XI)’, in Roberto</w:t>
      </w:r>
      <w:r w:rsidRPr="00541560">
        <w:rPr>
          <w:szCs w:val="20"/>
          <w:lang w:val="it-IT"/>
        </w:rPr>
        <w:t xml:space="preserve"> Greci </w:t>
      </w:r>
      <w:r w:rsidR="00956A09">
        <w:rPr>
          <w:szCs w:val="20"/>
          <w:lang w:val="it-IT"/>
        </w:rPr>
        <w:t>(</w:t>
      </w:r>
      <w:r w:rsidRPr="00541560">
        <w:rPr>
          <w:szCs w:val="20"/>
          <w:lang w:val="it-IT"/>
        </w:rPr>
        <w:t>ed.</w:t>
      </w:r>
      <w:r w:rsidR="00956A09">
        <w:rPr>
          <w:szCs w:val="20"/>
          <w:lang w:val="it-IT"/>
        </w:rPr>
        <w:t>)</w:t>
      </w:r>
      <w:r w:rsidRPr="00541560">
        <w:rPr>
          <w:szCs w:val="20"/>
          <w:lang w:val="it-IT"/>
        </w:rPr>
        <w:t xml:space="preserve">, </w:t>
      </w:r>
      <w:r w:rsidRPr="00541560">
        <w:rPr>
          <w:i/>
          <w:iCs/>
          <w:szCs w:val="20"/>
          <w:lang w:val="it-IT"/>
        </w:rPr>
        <w:t>Studi sull’Emilia occidentale nel Medioevo: società e istituzioni</w:t>
      </w:r>
      <w:r w:rsidR="00956A09">
        <w:rPr>
          <w:szCs w:val="20"/>
          <w:lang w:val="it-IT"/>
        </w:rPr>
        <w:t xml:space="preserve"> (Bologna, 2001), </w:t>
      </w:r>
      <w:r w:rsidRPr="00541560">
        <w:rPr>
          <w:szCs w:val="20"/>
          <w:lang w:val="it-IT"/>
        </w:rPr>
        <w:t>43-64.</w:t>
      </w:r>
    </w:p>
  </w:footnote>
  <w:footnote w:id="54">
    <w:p w14:paraId="54B3FE49" w14:textId="256275E3"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w:t>
      </w:r>
      <w:r w:rsidR="00956A09" w:rsidRPr="00956A09">
        <w:rPr>
          <w:i/>
          <w:szCs w:val="20"/>
          <w:lang w:val="it-IT"/>
        </w:rPr>
        <w:t>Placiti</w:t>
      </w:r>
      <w:r w:rsidR="00956A09">
        <w:rPr>
          <w:szCs w:val="20"/>
          <w:lang w:val="it-IT"/>
        </w:rPr>
        <w:t xml:space="preserve">, ed. </w:t>
      </w:r>
      <w:proofErr w:type="spellStart"/>
      <w:r w:rsidRPr="00541560">
        <w:rPr>
          <w:szCs w:val="20"/>
        </w:rPr>
        <w:t>Manaresi</w:t>
      </w:r>
      <w:proofErr w:type="spellEnd"/>
      <w:r w:rsidRPr="00541560">
        <w:rPr>
          <w:szCs w:val="20"/>
        </w:rPr>
        <w:t>, no. 337.</w:t>
      </w:r>
    </w:p>
  </w:footnote>
  <w:footnote w:id="55">
    <w:p w14:paraId="182F1FDF" w14:textId="67D415A4"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See </w:t>
      </w:r>
      <w:proofErr w:type="spellStart"/>
      <w:r w:rsidRPr="00541560">
        <w:rPr>
          <w:szCs w:val="20"/>
        </w:rPr>
        <w:t>Bougard</w:t>
      </w:r>
      <w:proofErr w:type="spellEnd"/>
      <w:r w:rsidRPr="00541560">
        <w:rPr>
          <w:szCs w:val="20"/>
        </w:rPr>
        <w:t>, ‘Entre</w:t>
      </w:r>
      <w:r w:rsidR="004514BD">
        <w:rPr>
          <w:szCs w:val="20"/>
        </w:rPr>
        <w:t xml:space="preserve"> </w:t>
      </w:r>
      <w:proofErr w:type="spellStart"/>
      <w:r w:rsidR="004514BD">
        <w:rPr>
          <w:szCs w:val="20"/>
        </w:rPr>
        <w:t>Gandolfingi</w:t>
      </w:r>
      <w:proofErr w:type="spellEnd"/>
      <w:r w:rsidR="004514BD">
        <w:rPr>
          <w:szCs w:val="20"/>
        </w:rPr>
        <w:t xml:space="preserve"> et </w:t>
      </w:r>
      <w:proofErr w:type="spellStart"/>
      <w:r w:rsidR="004514BD">
        <w:rPr>
          <w:szCs w:val="20"/>
        </w:rPr>
        <w:t>Obertenghi</w:t>
      </w:r>
      <w:proofErr w:type="spellEnd"/>
      <w:r w:rsidR="004514BD">
        <w:rPr>
          <w:szCs w:val="20"/>
        </w:rPr>
        <w:t xml:space="preserve">’, </w:t>
      </w:r>
      <w:r w:rsidRPr="00541560">
        <w:rPr>
          <w:szCs w:val="20"/>
        </w:rPr>
        <w:t xml:space="preserve">31; for another aspect </w:t>
      </w:r>
      <w:r w:rsidR="003562B8">
        <w:rPr>
          <w:szCs w:val="20"/>
        </w:rPr>
        <w:t>of Dionysius’</w:t>
      </w:r>
      <w:r w:rsidR="004514BD">
        <w:rPr>
          <w:szCs w:val="20"/>
        </w:rPr>
        <w:t xml:space="preserve"> bishopric, see Dorothy</w:t>
      </w:r>
      <w:r w:rsidRPr="00541560">
        <w:rPr>
          <w:szCs w:val="20"/>
        </w:rPr>
        <w:t xml:space="preserve"> F. Glass, ‘The bishops of Piacenza, their cathedral, and </w:t>
      </w:r>
      <w:r w:rsidR="004514BD">
        <w:rPr>
          <w:szCs w:val="20"/>
        </w:rPr>
        <w:t xml:space="preserve">the reform of the Church’, in John S. </w:t>
      </w:r>
      <w:proofErr w:type="spellStart"/>
      <w:r w:rsidR="004514BD">
        <w:rPr>
          <w:szCs w:val="20"/>
        </w:rPr>
        <w:t>Ott</w:t>
      </w:r>
      <w:proofErr w:type="spellEnd"/>
      <w:r w:rsidR="004514BD">
        <w:rPr>
          <w:szCs w:val="20"/>
        </w:rPr>
        <w:t xml:space="preserve"> and Anna</w:t>
      </w:r>
      <w:r w:rsidRPr="00541560">
        <w:rPr>
          <w:szCs w:val="20"/>
        </w:rPr>
        <w:t xml:space="preserve"> </w:t>
      </w:r>
      <w:proofErr w:type="spellStart"/>
      <w:r w:rsidRPr="00541560">
        <w:rPr>
          <w:szCs w:val="20"/>
        </w:rPr>
        <w:t>Trumbore</w:t>
      </w:r>
      <w:proofErr w:type="spellEnd"/>
      <w:r w:rsidRPr="00541560">
        <w:rPr>
          <w:szCs w:val="20"/>
        </w:rPr>
        <w:t xml:space="preserve"> Jones </w:t>
      </w:r>
      <w:r w:rsidR="003562B8">
        <w:rPr>
          <w:szCs w:val="20"/>
        </w:rPr>
        <w:t>(</w:t>
      </w:r>
      <w:r w:rsidRPr="00541560">
        <w:rPr>
          <w:szCs w:val="20"/>
        </w:rPr>
        <w:t>ed</w:t>
      </w:r>
      <w:r w:rsidR="003562B8">
        <w:rPr>
          <w:szCs w:val="20"/>
        </w:rPr>
        <w:t>s</w:t>
      </w:r>
      <w:r w:rsidRPr="00541560">
        <w:rPr>
          <w:szCs w:val="20"/>
        </w:rPr>
        <w:t>.</w:t>
      </w:r>
      <w:r w:rsidR="003562B8">
        <w:rPr>
          <w:szCs w:val="20"/>
        </w:rPr>
        <w:t>)</w:t>
      </w:r>
      <w:r w:rsidRPr="00541560">
        <w:rPr>
          <w:szCs w:val="20"/>
        </w:rPr>
        <w:t xml:space="preserve">, </w:t>
      </w:r>
      <w:r w:rsidRPr="00541560">
        <w:rPr>
          <w:i/>
          <w:iCs/>
          <w:szCs w:val="20"/>
        </w:rPr>
        <w:t xml:space="preserve">The Bishop Reformed: Studies of Episcopal Power and Culture in the Central Middle Ages </w:t>
      </w:r>
      <w:r w:rsidRPr="00541560">
        <w:rPr>
          <w:szCs w:val="20"/>
        </w:rPr>
        <w:t>(</w:t>
      </w:r>
      <w:proofErr w:type="spellStart"/>
      <w:r w:rsidRPr="00541560">
        <w:rPr>
          <w:szCs w:val="20"/>
        </w:rPr>
        <w:t>Aldershot</w:t>
      </w:r>
      <w:proofErr w:type="spellEnd"/>
      <w:r w:rsidRPr="00541560">
        <w:rPr>
          <w:szCs w:val="20"/>
        </w:rPr>
        <w:t>, 2007), 219-36.</w:t>
      </w:r>
    </w:p>
  </w:footnote>
  <w:footnote w:id="56">
    <w:p w14:paraId="62E67052" w14:textId="37F311D0" w:rsidR="00F23E2A" w:rsidRPr="00541560" w:rsidRDefault="00F23E2A" w:rsidP="004B02E6">
      <w:pPr>
        <w:pStyle w:val="FootnoteText"/>
        <w:rPr>
          <w:szCs w:val="20"/>
          <w:lang w:val="en-GB"/>
        </w:rPr>
      </w:pPr>
      <w:r w:rsidRPr="00541560">
        <w:rPr>
          <w:rStyle w:val="FootnoteReference"/>
          <w:szCs w:val="20"/>
        </w:rPr>
        <w:footnoteRef/>
      </w:r>
      <w:r w:rsidRPr="00541560">
        <w:rPr>
          <w:szCs w:val="20"/>
        </w:rPr>
        <w:t xml:space="preserve"> </w:t>
      </w:r>
      <w:r w:rsidRPr="00541560">
        <w:rPr>
          <w:szCs w:val="20"/>
          <w:lang w:val="en-GB"/>
        </w:rPr>
        <w:t xml:space="preserve">For the first consuls in Piacenza, see </w:t>
      </w:r>
      <w:r w:rsidRPr="00541560">
        <w:rPr>
          <w:i/>
          <w:szCs w:val="20"/>
          <w:lang w:val="en-GB"/>
        </w:rPr>
        <w:t xml:space="preserve">Il </w:t>
      </w:r>
      <w:proofErr w:type="spellStart"/>
      <w:r w:rsidRPr="00541560">
        <w:rPr>
          <w:i/>
          <w:szCs w:val="20"/>
          <w:lang w:val="en-GB"/>
        </w:rPr>
        <w:t>Registrum</w:t>
      </w:r>
      <w:proofErr w:type="spellEnd"/>
      <w:r w:rsidRPr="00541560">
        <w:rPr>
          <w:i/>
          <w:szCs w:val="20"/>
          <w:lang w:val="en-GB"/>
        </w:rPr>
        <w:t xml:space="preserve"> Magnum del </w:t>
      </w:r>
      <w:proofErr w:type="spellStart"/>
      <w:r w:rsidRPr="00541560">
        <w:rPr>
          <w:i/>
          <w:szCs w:val="20"/>
          <w:lang w:val="en-GB"/>
        </w:rPr>
        <w:t>Comune</w:t>
      </w:r>
      <w:proofErr w:type="spellEnd"/>
      <w:r w:rsidRPr="00541560">
        <w:rPr>
          <w:i/>
          <w:szCs w:val="20"/>
          <w:lang w:val="en-GB"/>
        </w:rPr>
        <w:t xml:space="preserve"> di Piacenza</w:t>
      </w:r>
      <w:r w:rsidR="004514BD">
        <w:rPr>
          <w:szCs w:val="20"/>
          <w:lang w:val="en-GB"/>
        </w:rPr>
        <w:t xml:space="preserve">, ed. Ettore </w:t>
      </w:r>
      <w:proofErr w:type="spellStart"/>
      <w:r w:rsidR="004514BD">
        <w:rPr>
          <w:szCs w:val="20"/>
          <w:lang w:val="en-GB"/>
        </w:rPr>
        <w:t>Falconi</w:t>
      </w:r>
      <w:proofErr w:type="spellEnd"/>
      <w:r w:rsidR="004514BD">
        <w:rPr>
          <w:szCs w:val="20"/>
          <w:lang w:val="en-GB"/>
        </w:rPr>
        <w:t xml:space="preserve"> and Roberta</w:t>
      </w:r>
      <w:r w:rsidRPr="00541560">
        <w:rPr>
          <w:szCs w:val="20"/>
          <w:lang w:val="en-GB"/>
        </w:rPr>
        <w:t xml:space="preserve"> </w:t>
      </w:r>
      <w:proofErr w:type="spellStart"/>
      <w:r w:rsidRPr="00541560">
        <w:rPr>
          <w:szCs w:val="20"/>
          <w:lang w:val="en-GB"/>
        </w:rPr>
        <w:t>Peveri</w:t>
      </w:r>
      <w:proofErr w:type="spellEnd"/>
      <w:r w:rsidRPr="00541560">
        <w:rPr>
          <w:szCs w:val="20"/>
          <w:lang w:val="en-GB"/>
        </w:rPr>
        <w:t xml:space="preserve">, 4 vols. (Milan, 1984-1997), </w:t>
      </w:r>
      <w:r w:rsidR="004514BD">
        <w:rPr>
          <w:szCs w:val="20"/>
          <w:lang w:val="en-GB"/>
        </w:rPr>
        <w:t>i, 102 (no. 53)</w:t>
      </w:r>
      <w:r w:rsidRPr="00541560">
        <w:rPr>
          <w:szCs w:val="20"/>
          <w:lang w:val="en-GB"/>
        </w:rPr>
        <w:t xml:space="preserve">. </w:t>
      </w:r>
    </w:p>
  </w:footnote>
  <w:footnote w:id="57">
    <w:p w14:paraId="3D6FF07A" w14:textId="5CFE9136"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For the eleventh century as a watershed in the archives of anot</w:t>
      </w:r>
      <w:r w:rsidR="003562B8">
        <w:rPr>
          <w:szCs w:val="20"/>
        </w:rPr>
        <w:t>her Italian city, Verona, see Marios Costambeys, ‘The Laity, the Clergy, the Scribes and Their Archives: the Documentary Record of Eighth- and Ninth-C</w:t>
      </w:r>
      <w:r w:rsidRPr="00541560">
        <w:rPr>
          <w:szCs w:val="20"/>
        </w:rPr>
        <w:t>entury Italy’, in Brown</w:t>
      </w:r>
      <w:r w:rsidR="003562B8">
        <w:rPr>
          <w:szCs w:val="20"/>
        </w:rPr>
        <w:t xml:space="preserve"> </w:t>
      </w:r>
      <w:r w:rsidR="003562B8">
        <w:rPr>
          <w:i/>
          <w:szCs w:val="20"/>
        </w:rPr>
        <w:t>et al</w:t>
      </w:r>
      <w:r w:rsidR="003562B8" w:rsidRPr="003562B8">
        <w:rPr>
          <w:szCs w:val="20"/>
        </w:rPr>
        <w:t>.</w:t>
      </w:r>
      <w:r w:rsidR="003562B8">
        <w:rPr>
          <w:szCs w:val="20"/>
        </w:rPr>
        <w:t xml:space="preserve"> (eds.)</w:t>
      </w:r>
      <w:r w:rsidRPr="00541560">
        <w:rPr>
          <w:szCs w:val="20"/>
        </w:rPr>
        <w:t xml:space="preserve">, </w:t>
      </w:r>
      <w:r w:rsidRPr="00541560">
        <w:rPr>
          <w:i/>
          <w:iCs/>
          <w:szCs w:val="20"/>
        </w:rPr>
        <w:t xml:space="preserve">Documentary Culture and the </w:t>
      </w:r>
      <w:r w:rsidRPr="003562B8">
        <w:rPr>
          <w:i/>
          <w:iCs/>
          <w:szCs w:val="20"/>
        </w:rPr>
        <w:t>Laity</w:t>
      </w:r>
      <w:r w:rsidR="003562B8">
        <w:rPr>
          <w:iCs/>
          <w:szCs w:val="20"/>
        </w:rPr>
        <w:t xml:space="preserve">, </w:t>
      </w:r>
      <w:r w:rsidR="003562B8">
        <w:rPr>
          <w:szCs w:val="20"/>
        </w:rPr>
        <w:t xml:space="preserve">256-7. </w:t>
      </w:r>
      <w:r w:rsidRPr="00541560">
        <w:rPr>
          <w:szCs w:val="20"/>
        </w:rPr>
        <w:t>For an example of post-medieval disruption of a monastic archive (at St Gall i</w:t>
      </w:r>
      <w:r w:rsidR="003562B8">
        <w:rPr>
          <w:szCs w:val="20"/>
        </w:rPr>
        <w:t>n 1531), see Innes, ‘Archives, D</w:t>
      </w:r>
      <w:r w:rsidRPr="00541560">
        <w:rPr>
          <w:szCs w:val="20"/>
        </w:rPr>
        <w:t>ocuments</w:t>
      </w:r>
      <w:r w:rsidR="003562B8">
        <w:rPr>
          <w:szCs w:val="20"/>
        </w:rPr>
        <w:t xml:space="preserve"> and L</w:t>
      </w:r>
      <w:r w:rsidRPr="00541560">
        <w:rPr>
          <w:szCs w:val="20"/>
        </w:rPr>
        <w:t xml:space="preserve">andowners in Carolingian </w:t>
      </w:r>
      <w:proofErr w:type="spellStart"/>
      <w:r w:rsidRPr="00541560">
        <w:rPr>
          <w:szCs w:val="20"/>
        </w:rPr>
        <w:t>Francia</w:t>
      </w:r>
      <w:proofErr w:type="spellEnd"/>
      <w:r w:rsidRPr="00541560">
        <w:rPr>
          <w:szCs w:val="20"/>
        </w:rPr>
        <w:t>’.</w:t>
      </w:r>
    </w:p>
  </w:footnote>
  <w:footnote w:id="58">
    <w:p w14:paraId="0A694760" w14:textId="00B89893" w:rsidR="00F23E2A" w:rsidRPr="00541560" w:rsidRDefault="00F23E2A" w:rsidP="004B02E6">
      <w:pPr>
        <w:pStyle w:val="FootnoteText"/>
        <w:rPr>
          <w:szCs w:val="20"/>
        </w:rPr>
      </w:pPr>
      <w:r w:rsidRPr="00541560">
        <w:rPr>
          <w:rStyle w:val="FootnoteReference"/>
          <w:szCs w:val="20"/>
        </w:rPr>
        <w:footnoteRef/>
      </w:r>
      <w:r w:rsidRPr="00541560">
        <w:rPr>
          <w:szCs w:val="20"/>
        </w:rPr>
        <w:t xml:space="preserve"> The literature on these social changes is huge; for an overview that includes comparativ</w:t>
      </w:r>
      <w:r w:rsidR="003562B8">
        <w:rPr>
          <w:szCs w:val="20"/>
        </w:rPr>
        <w:t>e consideration of Italy, see Chris</w:t>
      </w:r>
      <w:r w:rsidRPr="00541560">
        <w:rPr>
          <w:szCs w:val="20"/>
        </w:rPr>
        <w:t xml:space="preserve"> Wickham, </w:t>
      </w:r>
      <w:r w:rsidR="003562B8">
        <w:rPr>
          <w:i/>
          <w:iCs/>
          <w:szCs w:val="20"/>
        </w:rPr>
        <w:t xml:space="preserve">The Inheritance of Rome. </w:t>
      </w:r>
      <w:r w:rsidRPr="00541560">
        <w:rPr>
          <w:i/>
          <w:iCs/>
          <w:szCs w:val="20"/>
        </w:rPr>
        <w:t>A History of Europe from 400 to 1000</w:t>
      </w:r>
      <w:r w:rsidR="003562B8">
        <w:rPr>
          <w:szCs w:val="20"/>
        </w:rPr>
        <w:t xml:space="preserve"> (London, 2009), 508-24. </w:t>
      </w:r>
      <w:r w:rsidRPr="00541560">
        <w:rPr>
          <w:szCs w:val="20"/>
        </w:rPr>
        <w:t>For new forms of accounting by monasti</w:t>
      </w:r>
      <w:r w:rsidR="003562B8">
        <w:rPr>
          <w:szCs w:val="20"/>
        </w:rPr>
        <w:t>c institutions in France, see Robert</w:t>
      </w:r>
      <w:r w:rsidRPr="00541560">
        <w:rPr>
          <w:szCs w:val="20"/>
        </w:rPr>
        <w:t xml:space="preserve"> </w:t>
      </w:r>
      <w:proofErr w:type="spellStart"/>
      <w:r w:rsidRPr="00541560">
        <w:rPr>
          <w:szCs w:val="20"/>
        </w:rPr>
        <w:t>Berkhofer</w:t>
      </w:r>
      <w:proofErr w:type="spellEnd"/>
      <w:r w:rsidRPr="00541560">
        <w:rPr>
          <w:szCs w:val="20"/>
        </w:rPr>
        <w:t xml:space="preserve">, </w:t>
      </w:r>
      <w:r w:rsidRPr="00541560">
        <w:rPr>
          <w:i/>
          <w:iCs/>
          <w:szCs w:val="20"/>
        </w:rPr>
        <w:t xml:space="preserve">Day of Reckoning: Power and Accountability in Medieval France </w:t>
      </w:r>
      <w:r w:rsidRPr="00541560">
        <w:rPr>
          <w:szCs w:val="20"/>
        </w:rPr>
        <w:t>(Philadelphia,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D03BE" w14:textId="77777777" w:rsidR="008D573E" w:rsidRDefault="008D5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1152"/>
    </w:tblGrid>
    <w:tr w:rsidR="00F23E2A" w14:paraId="59FB2398" w14:textId="77777777">
      <w:tc>
        <w:tcPr>
          <w:tcW w:w="0" w:type="auto"/>
          <w:tcBorders>
            <w:right w:val="single" w:sz="6" w:space="0" w:color="000000" w:themeColor="text1"/>
          </w:tcBorders>
        </w:tcPr>
        <w:p w14:paraId="5DF9BBC1" w14:textId="1F91854B" w:rsidR="00F23E2A" w:rsidRPr="008D573E" w:rsidRDefault="002A5FD6" w:rsidP="008D573E">
          <w:pPr>
            <w:pStyle w:val="Header"/>
            <w:jc w:val="right"/>
            <w:rPr>
              <w:bCs/>
              <w:sz w:val="18"/>
              <w:szCs w:val="18"/>
            </w:rPr>
          </w:pPr>
          <w:r w:rsidRPr="008D573E">
            <w:rPr>
              <w:bCs/>
              <w:sz w:val="18"/>
              <w:szCs w:val="18"/>
            </w:rPr>
            <w:t xml:space="preserve">‘Archives and social change’ for </w:t>
          </w:r>
          <w:r w:rsidRPr="008D573E">
            <w:rPr>
              <w:bCs/>
              <w:i/>
              <w:sz w:val="18"/>
              <w:szCs w:val="18"/>
            </w:rPr>
            <w:t>Italy and Early Medieval Europe</w:t>
          </w:r>
          <w:r w:rsidRPr="008D573E">
            <w:rPr>
              <w:bCs/>
              <w:sz w:val="18"/>
              <w:szCs w:val="18"/>
            </w:rPr>
            <w:t xml:space="preserve">.  </w:t>
          </w:r>
          <w:r w:rsidR="008D573E" w:rsidRPr="008D573E">
            <w:rPr>
              <w:bCs/>
              <w:sz w:val="18"/>
              <w:szCs w:val="18"/>
            </w:rPr>
            <w:t>Author accepted</w:t>
          </w:r>
          <w:r w:rsidRPr="008D573E">
            <w:rPr>
              <w:bCs/>
              <w:sz w:val="18"/>
              <w:szCs w:val="18"/>
            </w:rPr>
            <w:t xml:space="preserve"> version 03/03/17</w:t>
          </w:r>
        </w:p>
      </w:tc>
      <w:tc>
        <w:tcPr>
          <w:tcW w:w="1152" w:type="dxa"/>
          <w:tcBorders>
            <w:left w:val="single" w:sz="6" w:space="0" w:color="000000" w:themeColor="text1"/>
          </w:tcBorders>
        </w:tcPr>
        <w:p w14:paraId="50A4B686" w14:textId="77777777" w:rsidR="00F23E2A" w:rsidRDefault="00F23E2A">
          <w:pPr>
            <w:pStyle w:val="Header"/>
            <w:rPr>
              <w:b/>
            </w:rPr>
          </w:pPr>
          <w:r>
            <w:fldChar w:fldCharType="begin"/>
          </w:r>
          <w:r>
            <w:instrText xml:space="preserve"> PAGE   \* MERGEFORMAT </w:instrText>
          </w:r>
          <w:r>
            <w:fldChar w:fldCharType="separate"/>
          </w:r>
          <w:r w:rsidR="008D573E">
            <w:rPr>
              <w:noProof/>
            </w:rPr>
            <w:t>1</w:t>
          </w:r>
          <w:r>
            <w:rPr>
              <w:noProof/>
            </w:rPr>
            <w:fldChar w:fldCharType="end"/>
          </w:r>
        </w:p>
      </w:tc>
    </w:tr>
  </w:tbl>
  <w:p w14:paraId="12917429" w14:textId="77777777" w:rsidR="00F23E2A" w:rsidRDefault="00F23E2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81FB" w14:textId="77777777" w:rsidR="008D573E" w:rsidRDefault="008D5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CC"/>
    <w:rsid w:val="0000031C"/>
    <w:rsid w:val="00035054"/>
    <w:rsid w:val="00060E40"/>
    <w:rsid w:val="000B69BC"/>
    <w:rsid w:val="000D3557"/>
    <w:rsid w:val="000F6C74"/>
    <w:rsid w:val="0010739A"/>
    <w:rsid w:val="00113953"/>
    <w:rsid w:val="00117294"/>
    <w:rsid w:val="00117F00"/>
    <w:rsid w:val="00130554"/>
    <w:rsid w:val="00142CCC"/>
    <w:rsid w:val="0014558B"/>
    <w:rsid w:val="001548E2"/>
    <w:rsid w:val="00156185"/>
    <w:rsid w:val="0015623D"/>
    <w:rsid w:val="001633A8"/>
    <w:rsid w:val="00182750"/>
    <w:rsid w:val="001A0538"/>
    <w:rsid w:val="001C7103"/>
    <w:rsid w:val="001E74E6"/>
    <w:rsid w:val="0020714E"/>
    <w:rsid w:val="00216212"/>
    <w:rsid w:val="002248D2"/>
    <w:rsid w:val="00253D84"/>
    <w:rsid w:val="00267094"/>
    <w:rsid w:val="002A4E57"/>
    <w:rsid w:val="002A5FD6"/>
    <w:rsid w:val="002B49BA"/>
    <w:rsid w:val="003136A4"/>
    <w:rsid w:val="00314B46"/>
    <w:rsid w:val="00330ADC"/>
    <w:rsid w:val="003370C3"/>
    <w:rsid w:val="00346BE9"/>
    <w:rsid w:val="003562B8"/>
    <w:rsid w:val="00365296"/>
    <w:rsid w:val="00371295"/>
    <w:rsid w:val="003A7384"/>
    <w:rsid w:val="003B4A32"/>
    <w:rsid w:val="003D4C0B"/>
    <w:rsid w:val="003E7EAC"/>
    <w:rsid w:val="00437539"/>
    <w:rsid w:val="004514BD"/>
    <w:rsid w:val="0047396F"/>
    <w:rsid w:val="00477DB1"/>
    <w:rsid w:val="004901D9"/>
    <w:rsid w:val="004B02E6"/>
    <w:rsid w:val="004C689B"/>
    <w:rsid w:val="0051200D"/>
    <w:rsid w:val="0051362D"/>
    <w:rsid w:val="00526A34"/>
    <w:rsid w:val="00541560"/>
    <w:rsid w:val="00542137"/>
    <w:rsid w:val="0054591A"/>
    <w:rsid w:val="00555F81"/>
    <w:rsid w:val="005775A6"/>
    <w:rsid w:val="005F38D2"/>
    <w:rsid w:val="00626C45"/>
    <w:rsid w:val="00653679"/>
    <w:rsid w:val="0066238D"/>
    <w:rsid w:val="00676A84"/>
    <w:rsid w:val="00686BED"/>
    <w:rsid w:val="00686C42"/>
    <w:rsid w:val="006877A2"/>
    <w:rsid w:val="006A0CC4"/>
    <w:rsid w:val="006B5E67"/>
    <w:rsid w:val="006C3025"/>
    <w:rsid w:val="006C574A"/>
    <w:rsid w:val="006C6E28"/>
    <w:rsid w:val="006E5CD5"/>
    <w:rsid w:val="00715A7A"/>
    <w:rsid w:val="00751A63"/>
    <w:rsid w:val="00763136"/>
    <w:rsid w:val="00781D69"/>
    <w:rsid w:val="00784D34"/>
    <w:rsid w:val="0079068A"/>
    <w:rsid w:val="00793ADD"/>
    <w:rsid w:val="007A2C67"/>
    <w:rsid w:val="007D7501"/>
    <w:rsid w:val="00811C28"/>
    <w:rsid w:val="00825E5C"/>
    <w:rsid w:val="0084371C"/>
    <w:rsid w:val="00844978"/>
    <w:rsid w:val="00862208"/>
    <w:rsid w:val="00875C1D"/>
    <w:rsid w:val="00892457"/>
    <w:rsid w:val="008A7A90"/>
    <w:rsid w:val="008C1C44"/>
    <w:rsid w:val="008D4473"/>
    <w:rsid w:val="008D573E"/>
    <w:rsid w:val="008D6998"/>
    <w:rsid w:val="008E3D08"/>
    <w:rsid w:val="0090747E"/>
    <w:rsid w:val="0094268F"/>
    <w:rsid w:val="00944391"/>
    <w:rsid w:val="00945BEC"/>
    <w:rsid w:val="00956A09"/>
    <w:rsid w:val="00957FD9"/>
    <w:rsid w:val="00976579"/>
    <w:rsid w:val="00982CA6"/>
    <w:rsid w:val="009831C1"/>
    <w:rsid w:val="00996B7F"/>
    <w:rsid w:val="00997916"/>
    <w:rsid w:val="009B230A"/>
    <w:rsid w:val="009E2EBD"/>
    <w:rsid w:val="009E310E"/>
    <w:rsid w:val="009E3796"/>
    <w:rsid w:val="00A01938"/>
    <w:rsid w:val="00A057CF"/>
    <w:rsid w:val="00A1654F"/>
    <w:rsid w:val="00A2431B"/>
    <w:rsid w:val="00A371AF"/>
    <w:rsid w:val="00A84268"/>
    <w:rsid w:val="00AB343B"/>
    <w:rsid w:val="00AF7ABF"/>
    <w:rsid w:val="00AF7DB9"/>
    <w:rsid w:val="00B1297E"/>
    <w:rsid w:val="00B3417F"/>
    <w:rsid w:val="00B82DDE"/>
    <w:rsid w:val="00B85661"/>
    <w:rsid w:val="00B90470"/>
    <w:rsid w:val="00C20A5B"/>
    <w:rsid w:val="00C35D5A"/>
    <w:rsid w:val="00C51E42"/>
    <w:rsid w:val="00C6198F"/>
    <w:rsid w:val="00CA4E4E"/>
    <w:rsid w:val="00CA51A1"/>
    <w:rsid w:val="00CB7CDC"/>
    <w:rsid w:val="00CD7FF8"/>
    <w:rsid w:val="00CE1985"/>
    <w:rsid w:val="00D02377"/>
    <w:rsid w:val="00D14CAD"/>
    <w:rsid w:val="00D30075"/>
    <w:rsid w:val="00D6704A"/>
    <w:rsid w:val="00D80552"/>
    <w:rsid w:val="00D8621B"/>
    <w:rsid w:val="00DD64BF"/>
    <w:rsid w:val="00DF3516"/>
    <w:rsid w:val="00DF4614"/>
    <w:rsid w:val="00E06F51"/>
    <w:rsid w:val="00E12234"/>
    <w:rsid w:val="00E23B0F"/>
    <w:rsid w:val="00E331D9"/>
    <w:rsid w:val="00E3393B"/>
    <w:rsid w:val="00E35346"/>
    <w:rsid w:val="00E43F36"/>
    <w:rsid w:val="00E511D1"/>
    <w:rsid w:val="00E53B01"/>
    <w:rsid w:val="00E67958"/>
    <w:rsid w:val="00E74B6B"/>
    <w:rsid w:val="00E9089A"/>
    <w:rsid w:val="00EC30D3"/>
    <w:rsid w:val="00ED0F7C"/>
    <w:rsid w:val="00EE30C1"/>
    <w:rsid w:val="00F14C35"/>
    <w:rsid w:val="00F23E2A"/>
    <w:rsid w:val="00F533BF"/>
    <w:rsid w:val="00FC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5BC08"/>
  <w15:docId w15:val="{D484D64E-0648-4D86-9EE2-FCA93ABA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Char Char Char,Footnote Text Char Char Char Char1,Footnote Text Char Char,Footnote Text Char1 Char,Footnote Text Char1 Char Char Char,Footnote Text Char Char Char Char1 Char,Footnote Text Char2"/>
    <w:basedOn w:val="Normal"/>
    <w:link w:val="FootnoteTextChar"/>
    <w:unhideWhenUsed/>
    <w:rsid w:val="008D4473"/>
    <w:rPr>
      <w:sz w:val="20"/>
    </w:rPr>
  </w:style>
  <w:style w:type="character" w:customStyle="1" w:styleId="FootnoteTextChar">
    <w:name w:val="Footnote Text Char"/>
    <w:aliases w:val="Footnote Text Char1 Char1,Footnote Text Char Char Char Char Char Char,Footnote Text Char Char Char Char1 Char1,Footnote Text Char Char Char,Footnote Text Char1 Char Char,Footnote Text Char1 Char Char Char Char,Footnote Text Char2 Char"/>
    <w:basedOn w:val="DefaultParagraphFont"/>
    <w:link w:val="FootnoteText"/>
    <w:uiPriority w:val="99"/>
    <w:rsid w:val="008D4473"/>
    <w:rPr>
      <w:sz w:val="20"/>
    </w:rPr>
  </w:style>
  <w:style w:type="character" w:styleId="FootnoteReference">
    <w:name w:val="footnote reference"/>
    <w:basedOn w:val="DefaultParagraphFont"/>
    <w:unhideWhenUsed/>
    <w:rsid w:val="00142CCC"/>
    <w:rPr>
      <w:vertAlign w:val="superscript"/>
    </w:rPr>
  </w:style>
  <w:style w:type="character" w:customStyle="1" w:styleId="FootnoteTextChar3">
    <w:name w:val="Footnote Text Char3"/>
    <w:aliases w:val="Footnote Text Char1 Char2,Footnote Text Char Char Char Char Char Char1,Footnote Text Char Char Char Char1 Char2,Footnote Text Char Char Char1,Footnote Text Char1 Char Char1,Footnote Text Char1 Char Char Char Char1"/>
    <w:basedOn w:val="DefaultParagraphFont"/>
    <w:uiPriority w:val="99"/>
    <w:locked/>
    <w:rsid w:val="003B4A32"/>
    <w:rPr>
      <w:rFonts w:ascii="Times New Roman" w:hAnsi="Times New Roman" w:cs="Times New Roman"/>
      <w:sz w:val="20"/>
      <w:szCs w:val="20"/>
      <w:lang w:eastAsia="en-GB"/>
    </w:rPr>
  </w:style>
  <w:style w:type="character" w:styleId="Emphasis">
    <w:name w:val="Emphasis"/>
    <w:basedOn w:val="DefaultParagraphFont"/>
    <w:uiPriority w:val="20"/>
    <w:qFormat/>
    <w:rsid w:val="003B4A32"/>
    <w:rPr>
      <w:i/>
      <w:iCs/>
    </w:rPr>
  </w:style>
  <w:style w:type="character" w:styleId="Strong">
    <w:name w:val="Strong"/>
    <w:basedOn w:val="DefaultParagraphFont"/>
    <w:uiPriority w:val="99"/>
    <w:qFormat/>
    <w:rsid w:val="003B4A32"/>
    <w:rPr>
      <w:b/>
      <w:bCs/>
    </w:rPr>
  </w:style>
  <w:style w:type="character" w:styleId="Hyperlink">
    <w:name w:val="Hyperlink"/>
    <w:basedOn w:val="DefaultParagraphFont"/>
    <w:uiPriority w:val="99"/>
    <w:semiHidden/>
    <w:rsid w:val="003B4A32"/>
    <w:rPr>
      <w:color w:val="0000FF"/>
      <w:u w:val="single"/>
    </w:rPr>
  </w:style>
  <w:style w:type="paragraph" w:styleId="EndnoteText">
    <w:name w:val="endnote text"/>
    <w:basedOn w:val="Normal"/>
    <w:link w:val="EndnoteTextChar"/>
    <w:uiPriority w:val="99"/>
    <w:unhideWhenUsed/>
    <w:rsid w:val="00653679"/>
    <w:rPr>
      <w:sz w:val="20"/>
      <w:szCs w:val="20"/>
    </w:rPr>
  </w:style>
  <w:style w:type="character" w:customStyle="1" w:styleId="EndnoteTextChar">
    <w:name w:val="Endnote Text Char"/>
    <w:basedOn w:val="DefaultParagraphFont"/>
    <w:link w:val="EndnoteText"/>
    <w:uiPriority w:val="99"/>
    <w:rsid w:val="00653679"/>
    <w:rPr>
      <w:sz w:val="20"/>
      <w:szCs w:val="20"/>
    </w:rPr>
  </w:style>
  <w:style w:type="character" w:styleId="EndnoteReference">
    <w:name w:val="endnote reference"/>
    <w:basedOn w:val="DefaultParagraphFont"/>
    <w:uiPriority w:val="99"/>
    <w:semiHidden/>
    <w:unhideWhenUsed/>
    <w:rsid w:val="00653679"/>
    <w:rPr>
      <w:vertAlign w:val="superscript"/>
    </w:rPr>
  </w:style>
  <w:style w:type="character" w:customStyle="1" w:styleId="FootnoteCharacters">
    <w:name w:val="Footnote Characters"/>
    <w:basedOn w:val="DefaultParagraphFont"/>
    <w:rsid w:val="001A0538"/>
    <w:rPr>
      <w:rFonts w:ascii="Times New Roman" w:hAnsi="Times New Roman" w:cs="Times New Roman"/>
      <w:sz w:val="20"/>
      <w:vertAlign w:val="superscript"/>
    </w:rPr>
  </w:style>
  <w:style w:type="paragraph" w:styleId="Header">
    <w:name w:val="header"/>
    <w:basedOn w:val="Normal"/>
    <w:link w:val="HeaderChar"/>
    <w:uiPriority w:val="99"/>
    <w:unhideWhenUsed/>
    <w:rsid w:val="00AB343B"/>
    <w:pPr>
      <w:tabs>
        <w:tab w:val="center" w:pos="4513"/>
        <w:tab w:val="right" w:pos="9026"/>
      </w:tabs>
    </w:pPr>
  </w:style>
  <w:style w:type="character" w:customStyle="1" w:styleId="HeaderChar">
    <w:name w:val="Header Char"/>
    <w:basedOn w:val="DefaultParagraphFont"/>
    <w:link w:val="Header"/>
    <w:uiPriority w:val="99"/>
    <w:rsid w:val="00AB343B"/>
  </w:style>
  <w:style w:type="paragraph" w:styleId="Footer">
    <w:name w:val="footer"/>
    <w:basedOn w:val="Normal"/>
    <w:link w:val="FooterChar"/>
    <w:uiPriority w:val="99"/>
    <w:unhideWhenUsed/>
    <w:rsid w:val="00AB343B"/>
    <w:pPr>
      <w:tabs>
        <w:tab w:val="center" w:pos="4513"/>
        <w:tab w:val="right" w:pos="9026"/>
      </w:tabs>
    </w:pPr>
  </w:style>
  <w:style w:type="character" w:customStyle="1" w:styleId="FooterChar">
    <w:name w:val="Footer Char"/>
    <w:basedOn w:val="DefaultParagraphFont"/>
    <w:link w:val="Footer"/>
    <w:uiPriority w:val="99"/>
    <w:rsid w:val="00AB343B"/>
  </w:style>
  <w:style w:type="paragraph" w:styleId="BalloonText">
    <w:name w:val="Balloon Text"/>
    <w:basedOn w:val="Normal"/>
    <w:link w:val="BalloonTextChar"/>
    <w:uiPriority w:val="99"/>
    <w:semiHidden/>
    <w:unhideWhenUsed/>
    <w:rsid w:val="00AB343B"/>
    <w:rPr>
      <w:rFonts w:ascii="Tahoma" w:hAnsi="Tahoma" w:cs="Tahoma"/>
      <w:sz w:val="16"/>
      <w:szCs w:val="16"/>
    </w:rPr>
  </w:style>
  <w:style w:type="character" w:customStyle="1" w:styleId="BalloonTextChar">
    <w:name w:val="Balloon Text Char"/>
    <w:basedOn w:val="DefaultParagraphFont"/>
    <w:link w:val="BalloonText"/>
    <w:uiPriority w:val="99"/>
    <w:semiHidden/>
    <w:rsid w:val="00AB343B"/>
    <w:rPr>
      <w:rFonts w:ascii="Tahoma" w:hAnsi="Tahoma" w:cs="Tahoma"/>
      <w:sz w:val="16"/>
      <w:szCs w:val="16"/>
    </w:rPr>
  </w:style>
  <w:style w:type="table" w:styleId="TableGrid">
    <w:name w:val="Table Grid"/>
    <w:basedOn w:val="TableNormal"/>
    <w:uiPriority w:val="1"/>
    <w:rsid w:val="00AB343B"/>
    <w:rPr>
      <w:rFonts w:asciiTheme="minorHAnsi"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55F81"/>
    <w:rPr>
      <w:sz w:val="18"/>
      <w:szCs w:val="18"/>
    </w:rPr>
  </w:style>
  <w:style w:type="paragraph" w:styleId="CommentText">
    <w:name w:val="annotation text"/>
    <w:basedOn w:val="Normal"/>
    <w:link w:val="CommentTextChar"/>
    <w:uiPriority w:val="99"/>
    <w:semiHidden/>
    <w:unhideWhenUsed/>
    <w:rsid w:val="00555F81"/>
  </w:style>
  <w:style w:type="character" w:customStyle="1" w:styleId="CommentTextChar">
    <w:name w:val="Comment Text Char"/>
    <w:basedOn w:val="DefaultParagraphFont"/>
    <w:link w:val="CommentText"/>
    <w:uiPriority w:val="99"/>
    <w:semiHidden/>
    <w:rsid w:val="00555F81"/>
  </w:style>
  <w:style w:type="paragraph" w:styleId="CommentSubject">
    <w:name w:val="annotation subject"/>
    <w:basedOn w:val="CommentText"/>
    <w:next w:val="CommentText"/>
    <w:link w:val="CommentSubjectChar"/>
    <w:uiPriority w:val="99"/>
    <w:semiHidden/>
    <w:unhideWhenUsed/>
    <w:rsid w:val="00555F81"/>
    <w:rPr>
      <w:b/>
      <w:bCs/>
      <w:sz w:val="20"/>
      <w:szCs w:val="20"/>
    </w:rPr>
  </w:style>
  <w:style w:type="character" w:customStyle="1" w:styleId="CommentSubjectChar">
    <w:name w:val="Comment Subject Char"/>
    <w:basedOn w:val="CommentTextChar"/>
    <w:link w:val="CommentSubject"/>
    <w:uiPriority w:val="99"/>
    <w:semiHidden/>
    <w:rsid w:val="00555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11728-128B-4084-8407-0C200810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Wickham Fest; revised 19/02/16</vt:lpstr>
    </vt:vector>
  </TitlesOfParts>
  <Manager/>
  <Company>Marios Costambeys</Company>
  <LinksUpToDate>false</LinksUpToDate>
  <CharactersWithSpaces>27823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Wickham Fest; revised 19/02/16</dc:title>
  <dc:subject/>
  <dc:creator>Marios Costambeys</dc:creator>
  <cp:keywords/>
  <dc:description/>
  <cp:lastModifiedBy>A Reviewer</cp:lastModifiedBy>
  <cp:revision>4</cp:revision>
  <cp:lastPrinted>2016-06-03T08:57:00Z</cp:lastPrinted>
  <dcterms:created xsi:type="dcterms:W3CDTF">2017-01-06T13:02:00Z</dcterms:created>
  <dcterms:modified xsi:type="dcterms:W3CDTF">2018-08-09T13:12:00Z</dcterms:modified>
  <cp:category/>
</cp:coreProperties>
</file>