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CB5C" w14:textId="35D5FFF2" w:rsidR="00107974" w:rsidRPr="00646689" w:rsidRDefault="007D00C0" w:rsidP="00FF48CA">
      <w:pPr>
        <w:spacing w:line="360" w:lineRule="auto"/>
        <w:rPr>
          <w:rFonts w:ascii="Arial" w:hAnsi="Arial" w:cs="Arial"/>
          <w:b/>
        </w:rPr>
      </w:pPr>
      <w:r w:rsidRPr="00646689">
        <w:rPr>
          <w:rFonts w:ascii="Arial" w:hAnsi="Arial" w:cs="Arial"/>
          <w:b/>
        </w:rPr>
        <w:t xml:space="preserve">Categorical Entanglements of Scholarly Practice - </w:t>
      </w:r>
      <w:r w:rsidR="004E6FF7">
        <w:rPr>
          <w:rFonts w:ascii="Arial" w:hAnsi="Arial" w:cs="Arial"/>
          <w:b/>
        </w:rPr>
        <w:t>re-</w:t>
      </w:r>
      <w:r w:rsidRPr="00646689">
        <w:rPr>
          <w:rFonts w:ascii="Arial" w:hAnsi="Arial" w:cs="Arial"/>
          <w:b/>
        </w:rPr>
        <w:t xml:space="preserve">connecting </w:t>
      </w:r>
      <w:r w:rsidR="00C9116C" w:rsidRPr="00646689">
        <w:rPr>
          <w:rFonts w:ascii="Arial" w:hAnsi="Arial" w:cs="Arial"/>
          <w:b/>
        </w:rPr>
        <w:t xml:space="preserve">"L", </w:t>
      </w:r>
      <w:r w:rsidRPr="00646689">
        <w:rPr>
          <w:rFonts w:ascii="Arial" w:hAnsi="Arial" w:cs="Arial"/>
          <w:b/>
        </w:rPr>
        <w:t>"P" and "Q"</w:t>
      </w:r>
      <w:r w:rsidR="00B65621">
        <w:rPr>
          <w:rFonts w:ascii="Arial" w:hAnsi="Arial" w:cs="Arial"/>
          <w:b/>
        </w:rPr>
        <w:t xml:space="preserve"> in new ways</w:t>
      </w:r>
    </w:p>
    <w:p w14:paraId="4F0942CA" w14:textId="5A75BCF3" w:rsidR="00FF08A6" w:rsidRDefault="00FF08A6" w:rsidP="00FF48CA">
      <w:pPr>
        <w:spacing w:line="360" w:lineRule="auto"/>
        <w:rPr>
          <w:rFonts w:ascii="Arial" w:hAnsi="Arial" w:cs="Arial"/>
        </w:rPr>
      </w:pPr>
    </w:p>
    <w:p w14:paraId="71DE9A9B" w14:textId="599E733C" w:rsidR="00271ED7" w:rsidRPr="00271ED7" w:rsidRDefault="00271ED7" w:rsidP="005F69A4">
      <w:pPr>
        <w:spacing w:line="360" w:lineRule="auto"/>
        <w:outlineLvl w:val="0"/>
        <w:rPr>
          <w:rFonts w:ascii="Arial" w:hAnsi="Arial" w:cs="Arial"/>
          <w:b/>
        </w:rPr>
      </w:pPr>
      <w:r w:rsidRPr="00DB3A16">
        <w:rPr>
          <w:rFonts w:ascii="Arial" w:hAnsi="Arial" w:cs="Arial"/>
          <w:b/>
        </w:rPr>
        <w:t>Abstract</w:t>
      </w:r>
    </w:p>
    <w:p w14:paraId="2EB79B57" w14:textId="5987C834" w:rsidR="00271ED7" w:rsidRDefault="00271ED7" w:rsidP="00FF48CA">
      <w:pPr>
        <w:spacing w:line="360" w:lineRule="auto"/>
        <w:rPr>
          <w:rFonts w:ascii="Arial" w:hAnsi="Arial" w:cs="Arial"/>
        </w:rPr>
      </w:pPr>
    </w:p>
    <w:p w14:paraId="2AA13EAB" w14:textId="7D377715" w:rsidR="00271ED7" w:rsidRDefault="00437F88" w:rsidP="00FF48CA">
      <w:pPr>
        <w:spacing w:line="360" w:lineRule="auto"/>
        <w:rPr>
          <w:rFonts w:ascii="Arial" w:hAnsi="Arial" w:cs="Arial"/>
        </w:rPr>
      </w:pPr>
      <w:r>
        <w:rPr>
          <w:rFonts w:ascii="Arial" w:hAnsi="Arial" w:cs="Arial"/>
        </w:rPr>
        <w:t xml:space="preserve">The starting </w:t>
      </w:r>
      <w:r w:rsidR="00DB70E1">
        <w:rPr>
          <w:rFonts w:ascii="Arial" w:hAnsi="Arial" w:cs="Arial"/>
        </w:rPr>
        <w:t>assumption</w:t>
      </w:r>
      <w:r>
        <w:rPr>
          <w:rFonts w:ascii="Arial" w:hAnsi="Arial" w:cs="Arial"/>
        </w:rPr>
        <w:t xml:space="preserve"> of this paper is that the </w:t>
      </w:r>
      <w:r w:rsidR="00DB70E1">
        <w:rPr>
          <w:rFonts w:ascii="Arial" w:hAnsi="Arial" w:cs="Arial"/>
        </w:rPr>
        <w:t xml:space="preserve">management </w:t>
      </w:r>
      <w:r>
        <w:rPr>
          <w:rFonts w:ascii="Arial" w:hAnsi="Arial" w:cs="Arial"/>
        </w:rPr>
        <w:t xml:space="preserve">scholar-practitioner does not exist as a stable distinct category.  Rather, scholarly practice may be better understood as the on-going entanglements </w:t>
      </w:r>
      <w:r w:rsidR="00561719">
        <w:rPr>
          <w:rFonts w:ascii="Arial" w:hAnsi="Arial" w:cs="Arial"/>
        </w:rPr>
        <w:t xml:space="preserve">between scholarly insight and practitioner knowledge.  </w:t>
      </w:r>
      <w:r w:rsidR="0042325A">
        <w:rPr>
          <w:rFonts w:ascii="Arial" w:hAnsi="Arial" w:cs="Arial"/>
          <w:lang w:val="en-US"/>
        </w:rPr>
        <w:t>The learning that occurs when practitioners transition to scholarly-practititioners is explained with an</w:t>
      </w:r>
      <w:r w:rsidR="006B451C">
        <w:rPr>
          <w:rFonts w:ascii="Arial" w:hAnsi="Arial" w:cs="Arial"/>
          <w:lang w:val="en-US"/>
        </w:rPr>
        <w:t xml:space="preserve"> alternative reading of the classic action learning equation (L = P + Q)</w:t>
      </w:r>
      <w:r w:rsidR="0042325A">
        <w:rPr>
          <w:rFonts w:ascii="Arial" w:hAnsi="Arial" w:cs="Arial"/>
          <w:lang w:val="en-US"/>
        </w:rPr>
        <w:t xml:space="preserve">. </w:t>
      </w:r>
      <w:r w:rsidR="006B451C">
        <w:rPr>
          <w:rFonts w:ascii="Arial" w:hAnsi="Arial" w:cs="Arial"/>
          <w:lang w:val="en-US"/>
        </w:rPr>
        <w:t xml:space="preserve"> </w:t>
      </w:r>
      <w:r w:rsidR="0042325A">
        <w:rPr>
          <w:rFonts w:ascii="Arial" w:hAnsi="Arial" w:cs="Arial"/>
          <w:lang w:val="en-US"/>
        </w:rPr>
        <w:t>In this new reading</w:t>
      </w:r>
      <w:r w:rsidR="006B451C">
        <w:rPr>
          <w:rFonts w:ascii="Arial" w:hAnsi="Arial" w:cs="Arial"/>
          <w:lang w:val="en-US"/>
        </w:rPr>
        <w:t xml:space="preserve"> </w:t>
      </w:r>
      <w:r w:rsidR="006B451C" w:rsidRPr="00DB3A16">
        <w:rPr>
          <w:rFonts w:ascii="Arial" w:hAnsi="Arial" w:cs="Arial"/>
          <w:i/>
          <w:lang w:val="en-US"/>
        </w:rPr>
        <w:t>scholarly-ness</w:t>
      </w:r>
      <w:r w:rsidR="006B451C">
        <w:rPr>
          <w:rFonts w:ascii="Arial" w:hAnsi="Arial" w:cs="Arial"/>
          <w:lang w:val="en-US"/>
        </w:rPr>
        <w:t xml:space="preserve"> is identified as the source of questioning insight (Q)</w:t>
      </w:r>
      <w:r w:rsidR="0042325A">
        <w:rPr>
          <w:rFonts w:ascii="Arial" w:hAnsi="Arial" w:cs="Arial"/>
          <w:lang w:val="en-US"/>
        </w:rPr>
        <w:t xml:space="preserve"> and practitioner expert knowledge is equated with P.</w:t>
      </w:r>
      <w:r w:rsidR="00DB3A16">
        <w:rPr>
          <w:rFonts w:ascii="Arial" w:hAnsi="Arial" w:cs="Arial"/>
          <w:lang w:val="en-US"/>
        </w:rPr>
        <w:t xml:space="preserve">  </w:t>
      </w:r>
      <w:r w:rsidR="00AA03E0">
        <w:rPr>
          <w:rFonts w:ascii="Arial" w:hAnsi="Arial" w:cs="Arial"/>
          <w:lang w:val="en-US"/>
        </w:rPr>
        <w:t>T</w:t>
      </w:r>
      <w:r w:rsidR="00D765B9" w:rsidRPr="00D765B9">
        <w:rPr>
          <w:rFonts w:ascii="Arial" w:hAnsi="Arial" w:cs="Arial"/>
          <w:lang w:val="en-US"/>
        </w:rPr>
        <w:t xml:space="preserve">he mechanisms by which scholarly-ness provides questioning insight (Q), and the subsequent entanglement with expert practitioner knowledge (P), </w:t>
      </w:r>
      <w:r w:rsidR="00DB3A16">
        <w:rPr>
          <w:rFonts w:ascii="Arial" w:hAnsi="Arial" w:cs="Arial"/>
          <w:lang w:val="en-US"/>
        </w:rPr>
        <w:t xml:space="preserve">are </w:t>
      </w:r>
      <w:r w:rsidR="00ED74F4">
        <w:rPr>
          <w:rFonts w:ascii="Arial" w:hAnsi="Arial" w:cs="Arial"/>
          <w:lang w:val="en-US"/>
        </w:rPr>
        <w:t xml:space="preserve">then </w:t>
      </w:r>
      <w:r w:rsidR="00DB3A16">
        <w:rPr>
          <w:rFonts w:ascii="Arial" w:hAnsi="Arial" w:cs="Arial"/>
          <w:lang w:val="en-US"/>
        </w:rPr>
        <w:t>related</w:t>
      </w:r>
      <w:r w:rsidR="00D765B9" w:rsidRPr="00D765B9">
        <w:rPr>
          <w:rFonts w:ascii="Arial" w:hAnsi="Arial" w:cs="Arial"/>
          <w:lang w:val="en-US"/>
        </w:rPr>
        <w:t xml:space="preserve"> </w:t>
      </w:r>
      <w:r w:rsidR="00ED74F4">
        <w:rPr>
          <w:rFonts w:ascii="Arial" w:hAnsi="Arial" w:cs="Arial"/>
          <w:lang w:val="en-US"/>
        </w:rPr>
        <w:t xml:space="preserve">to </w:t>
      </w:r>
      <w:r w:rsidR="00D765B9" w:rsidRPr="00D765B9">
        <w:rPr>
          <w:rFonts w:ascii="Arial" w:hAnsi="Arial" w:cs="Arial"/>
          <w:lang w:val="en-US"/>
        </w:rPr>
        <w:t>different process theories of change (Van de Ven &amp; Pool</w:t>
      </w:r>
      <w:r w:rsidR="009D7006">
        <w:rPr>
          <w:rFonts w:ascii="Arial" w:hAnsi="Arial" w:cs="Arial"/>
          <w:lang w:val="en-US"/>
        </w:rPr>
        <w:t>e</w:t>
      </w:r>
      <w:r w:rsidR="00D765B9" w:rsidRPr="00D765B9">
        <w:rPr>
          <w:rFonts w:ascii="Arial" w:hAnsi="Arial" w:cs="Arial"/>
          <w:lang w:val="en-US"/>
        </w:rPr>
        <w:t>, 1995).  In this I posit that the mechanisms and entanglements</w:t>
      </w:r>
      <w:r w:rsidR="00ED74F4">
        <w:rPr>
          <w:rFonts w:ascii="Arial" w:hAnsi="Arial" w:cs="Arial"/>
          <w:lang w:val="en-US"/>
        </w:rPr>
        <w:t xml:space="preserve"> will be most effective if they</w:t>
      </w:r>
      <w:r w:rsidR="00D765B9" w:rsidRPr="00D765B9">
        <w:rPr>
          <w:rFonts w:ascii="Arial" w:hAnsi="Arial" w:cs="Arial"/>
          <w:lang w:val="en-US"/>
        </w:rPr>
        <w:t xml:space="preserve"> are congruent with these underlying </w:t>
      </w:r>
      <w:r w:rsidR="00DB3A16">
        <w:rPr>
          <w:rFonts w:ascii="Arial" w:hAnsi="Arial" w:cs="Arial"/>
          <w:lang w:val="en-US"/>
        </w:rPr>
        <w:t>process theories</w:t>
      </w:r>
      <w:r w:rsidR="00D765B9" w:rsidRPr="00D765B9">
        <w:rPr>
          <w:rFonts w:ascii="Arial" w:hAnsi="Arial" w:cs="Arial"/>
          <w:lang w:val="en-US"/>
        </w:rPr>
        <w:t xml:space="preserve"> of change.  This framework allows different threads of literature on scholarly practice to be reconciled into one model</w:t>
      </w:r>
      <w:r w:rsidR="00ED74F4">
        <w:rPr>
          <w:rFonts w:ascii="Arial" w:hAnsi="Arial" w:cs="Arial"/>
          <w:lang w:val="en-US"/>
        </w:rPr>
        <w:t>.</w:t>
      </w:r>
    </w:p>
    <w:p w14:paraId="31542C54" w14:textId="77777777" w:rsidR="00FF08A6" w:rsidRDefault="00FF08A6" w:rsidP="00FF48CA">
      <w:pPr>
        <w:spacing w:line="360" w:lineRule="auto"/>
        <w:rPr>
          <w:rFonts w:ascii="Arial" w:hAnsi="Arial" w:cs="Arial"/>
        </w:rPr>
      </w:pPr>
    </w:p>
    <w:p w14:paraId="05357068" w14:textId="77777777" w:rsidR="00FF08A6" w:rsidRPr="00FF48CA" w:rsidRDefault="00FF08A6" w:rsidP="005F69A4">
      <w:pPr>
        <w:spacing w:line="360" w:lineRule="auto"/>
        <w:outlineLvl w:val="0"/>
        <w:rPr>
          <w:rFonts w:ascii="Arial" w:hAnsi="Arial" w:cs="Arial"/>
          <w:b/>
        </w:rPr>
      </w:pPr>
      <w:r w:rsidRPr="00271ED7">
        <w:rPr>
          <w:rFonts w:ascii="Arial" w:hAnsi="Arial" w:cs="Arial"/>
          <w:b/>
        </w:rPr>
        <w:t>Introduction</w:t>
      </w:r>
    </w:p>
    <w:p w14:paraId="6E25E9BF" w14:textId="77777777" w:rsidR="00FF08A6" w:rsidRDefault="00FF08A6" w:rsidP="00FF48CA">
      <w:pPr>
        <w:spacing w:line="360" w:lineRule="auto"/>
        <w:rPr>
          <w:rFonts w:ascii="Arial" w:hAnsi="Arial" w:cs="Arial"/>
        </w:rPr>
      </w:pPr>
    </w:p>
    <w:p w14:paraId="691A7F3C" w14:textId="7F5F937F" w:rsidR="00E960A7" w:rsidRDefault="00DE0764" w:rsidP="00FF48CA">
      <w:pPr>
        <w:spacing w:line="360" w:lineRule="auto"/>
        <w:rPr>
          <w:rFonts w:ascii="Arial" w:hAnsi="Arial" w:cs="Arial"/>
          <w:lang w:val="en-US"/>
        </w:rPr>
      </w:pPr>
      <w:r w:rsidRPr="00DE0764">
        <w:rPr>
          <w:rFonts w:ascii="Arial" w:hAnsi="Arial" w:cs="Arial"/>
          <w:lang w:val="en-US"/>
        </w:rPr>
        <w:t xml:space="preserve">The </w:t>
      </w:r>
      <w:r w:rsidRPr="00DE0764">
        <w:rPr>
          <w:rFonts w:ascii="Arial" w:hAnsi="Arial" w:cs="Arial"/>
          <w:iCs/>
          <w:lang w:val="en-US"/>
        </w:rPr>
        <w:t>Scholar-Practitioner</w:t>
      </w:r>
      <w:r w:rsidRPr="00DE0764">
        <w:rPr>
          <w:rFonts w:ascii="Arial" w:hAnsi="Arial" w:cs="Arial"/>
          <w:lang w:val="en-US"/>
        </w:rPr>
        <w:t xml:space="preserve"> has been defined as “an ideal of professional excellence grounded in theory and research, informed by experiential knowledge, and motivated by personal values, political commitments, and ethical conduct” (McClintock, 2004, p.393).  Whilst such professionals emerged in the medical sciences, the idea has gained increasing traction within management contexts because it speaks to the perennial interest in the theory-practice interface for business and management schools (Tenkasi &amp; Hay, 2004).</w:t>
      </w:r>
      <w:r>
        <w:rPr>
          <w:rFonts w:ascii="Arial" w:hAnsi="Arial" w:cs="Arial"/>
          <w:lang w:val="en-US"/>
        </w:rPr>
        <w:t xml:space="preserve">  Such writing </w:t>
      </w:r>
      <w:r w:rsidR="00D370B4">
        <w:rPr>
          <w:rFonts w:ascii="Arial" w:hAnsi="Arial" w:cs="Arial"/>
          <w:lang w:val="en-US"/>
        </w:rPr>
        <w:t xml:space="preserve">has emphasised the agency of </w:t>
      </w:r>
      <w:r w:rsidR="00271ED7">
        <w:rPr>
          <w:rFonts w:ascii="Arial" w:hAnsi="Arial" w:cs="Arial"/>
          <w:lang w:val="en-US"/>
        </w:rPr>
        <w:t>the scholar-</w:t>
      </w:r>
      <w:r w:rsidR="00D370B4">
        <w:rPr>
          <w:rFonts w:ascii="Arial" w:hAnsi="Arial" w:cs="Arial"/>
          <w:lang w:val="en-US"/>
        </w:rPr>
        <w:t xml:space="preserve">practitioner; particularly in relation to solving organisational problems and effecting change.  </w:t>
      </w:r>
      <w:r w:rsidR="00271ED7">
        <w:rPr>
          <w:rFonts w:ascii="Arial" w:hAnsi="Arial" w:cs="Arial"/>
          <w:lang w:val="en-US"/>
        </w:rPr>
        <w:t>Ex</w:t>
      </w:r>
      <w:r w:rsidR="00D370B4">
        <w:rPr>
          <w:rFonts w:ascii="Arial" w:hAnsi="Arial" w:cs="Arial"/>
          <w:lang w:val="en-US"/>
        </w:rPr>
        <w:t>planations of what it means to be a scholar-practitioner are often accompanied by lists of attributes (e.g. Kormanik et al. 2009). And yet many of these competences might be claimed</w:t>
      </w:r>
      <w:r w:rsidR="00271ED7">
        <w:rPr>
          <w:rFonts w:ascii="Arial" w:hAnsi="Arial" w:cs="Arial"/>
          <w:lang w:val="en-US"/>
        </w:rPr>
        <w:t xml:space="preserve"> equally</w:t>
      </w:r>
      <w:r w:rsidR="00D370B4">
        <w:rPr>
          <w:rFonts w:ascii="Arial" w:hAnsi="Arial" w:cs="Arial"/>
          <w:lang w:val="en-US"/>
        </w:rPr>
        <w:t xml:space="preserve"> </w:t>
      </w:r>
      <w:r w:rsidR="00271ED7">
        <w:rPr>
          <w:rFonts w:ascii="Arial" w:hAnsi="Arial" w:cs="Arial"/>
          <w:lang w:val="en-US"/>
        </w:rPr>
        <w:t>for</w:t>
      </w:r>
      <w:r w:rsidR="00D370B4">
        <w:rPr>
          <w:rFonts w:ascii="Arial" w:hAnsi="Arial" w:cs="Arial"/>
          <w:lang w:val="en-US"/>
        </w:rPr>
        <w:t xml:space="preserve"> "scholars" and "practitioners" (e.g. dealing with ambiguity, ethics and values, integrity and trust etc.).</w:t>
      </w:r>
      <w:r w:rsidR="00271ED7">
        <w:rPr>
          <w:rFonts w:ascii="Arial" w:hAnsi="Arial" w:cs="Arial"/>
          <w:lang w:val="en-US"/>
        </w:rPr>
        <w:t xml:space="preserve">  If the attributes of </w:t>
      </w:r>
      <w:r w:rsidR="00271ED7">
        <w:rPr>
          <w:rFonts w:ascii="Arial" w:hAnsi="Arial" w:cs="Arial"/>
          <w:lang w:val="en-US"/>
        </w:rPr>
        <w:lastRenderedPageBreak/>
        <w:t xml:space="preserve">"scholar-practitioners" cannot be </w:t>
      </w:r>
      <w:r w:rsidR="008A43CD">
        <w:rPr>
          <w:rFonts w:ascii="Arial" w:hAnsi="Arial" w:cs="Arial"/>
          <w:lang w:val="en-US"/>
        </w:rPr>
        <w:t>unambiguously</w:t>
      </w:r>
      <w:r w:rsidR="00271ED7">
        <w:rPr>
          <w:rFonts w:ascii="Arial" w:hAnsi="Arial" w:cs="Arial"/>
          <w:lang w:val="en-US"/>
        </w:rPr>
        <w:t xml:space="preserve"> defined then does the term have any real meaning</w:t>
      </w:r>
      <w:r w:rsidR="00840243">
        <w:rPr>
          <w:rFonts w:ascii="Arial" w:hAnsi="Arial" w:cs="Arial"/>
          <w:lang w:val="en-US"/>
        </w:rPr>
        <w:t xml:space="preserve"> in management, or is it only a rhetorical device?</w:t>
      </w:r>
      <w:r w:rsidR="0075208B">
        <w:rPr>
          <w:rFonts w:ascii="Arial" w:hAnsi="Arial" w:cs="Arial"/>
          <w:lang w:val="en-US"/>
        </w:rPr>
        <w:t xml:space="preserve"> </w:t>
      </w:r>
    </w:p>
    <w:p w14:paraId="096EEFC8" w14:textId="77777777" w:rsidR="00E960A7" w:rsidRDefault="00E960A7" w:rsidP="00FF48CA">
      <w:pPr>
        <w:spacing w:line="360" w:lineRule="auto"/>
        <w:rPr>
          <w:rFonts w:ascii="Arial" w:hAnsi="Arial" w:cs="Arial"/>
          <w:lang w:val="en-US"/>
        </w:rPr>
      </w:pPr>
    </w:p>
    <w:p w14:paraId="72954644" w14:textId="016E70D4" w:rsidR="002E1DB8" w:rsidRDefault="0075208B" w:rsidP="00FF48CA">
      <w:pPr>
        <w:spacing w:line="360" w:lineRule="auto"/>
        <w:rPr>
          <w:rFonts w:ascii="Arial" w:hAnsi="Arial" w:cs="Arial"/>
          <w:lang w:val="en-US"/>
        </w:rPr>
      </w:pPr>
      <w:r>
        <w:rPr>
          <w:rFonts w:ascii="Arial" w:hAnsi="Arial" w:cs="Arial"/>
          <w:lang w:val="en-US"/>
        </w:rPr>
        <w:t xml:space="preserve">In this paper </w:t>
      </w:r>
      <w:r w:rsidR="007868B4">
        <w:rPr>
          <w:rFonts w:ascii="Arial" w:hAnsi="Arial" w:cs="Arial"/>
          <w:lang w:val="en-US"/>
        </w:rPr>
        <w:t>I explore the learning that occurs as a practititioner endeavours to become a scholar</w:t>
      </w:r>
      <w:r w:rsidR="00973263">
        <w:rPr>
          <w:rFonts w:ascii="Arial" w:hAnsi="Arial" w:cs="Arial"/>
          <w:lang w:val="en-US"/>
        </w:rPr>
        <w:t>-practi</w:t>
      </w:r>
      <w:r w:rsidR="007868B4">
        <w:rPr>
          <w:rFonts w:ascii="Arial" w:hAnsi="Arial" w:cs="Arial"/>
          <w:lang w:val="en-US"/>
        </w:rPr>
        <w:t>tioner.</w:t>
      </w:r>
      <w:r w:rsidR="00E960A7">
        <w:rPr>
          <w:rFonts w:ascii="Arial" w:hAnsi="Arial" w:cs="Arial"/>
          <w:lang w:val="en-US"/>
        </w:rPr>
        <w:t xml:space="preserve">  I suggest that i</w:t>
      </w:r>
      <w:r w:rsidR="007868B4">
        <w:rPr>
          <w:rFonts w:ascii="Arial" w:hAnsi="Arial" w:cs="Arial"/>
          <w:lang w:val="en-US"/>
        </w:rPr>
        <w:t>t is a journey that is never complete</w:t>
      </w:r>
    </w:p>
    <w:p w14:paraId="4F6FB366" w14:textId="0773B863" w:rsidR="007A6A2D" w:rsidRDefault="00E960A7" w:rsidP="00B312F5">
      <w:pPr>
        <w:spacing w:line="360" w:lineRule="auto"/>
        <w:rPr>
          <w:rFonts w:ascii="Arial" w:hAnsi="Arial" w:cs="Arial"/>
          <w:lang w:val="en-US"/>
        </w:rPr>
      </w:pPr>
      <w:r>
        <w:rPr>
          <w:rFonts w:ascii="Arial" w:hAnsi="Arial" w:cs="Arial"/>
          <w:lang w:val="en-US"/>
        </w:rPr>
        <w:t xml:space="preserve">because </w:t>
      </w:r>
      <w:r w:rsidR="00840243">
        <w:rPr>
          <w:rFonts w:ascii="Arial" w:hAnsi="Arial" w:cs="Arial"/>
          <w:lang w:val="en-US"/>
        </w:rPr>
        <w:t>the scholar-practitioner does not exist in the sens</w:t>
      </w:r>
      <w:r w:rsidR="0055658C">
        <w:rPr>
          <w:rFonts w:ascii="Arial" w:hAnsi="Arial" w:cs="Arial"/>
          <w:lang w:val="en-US"/>
        </w:rPr>
        <w:t>e of having</w:t>
      </w:r>
      <w:r w:rsidR="00840243">
        <w:rPr>
          <w:rFonts w:ascii="Arial" w:hAnsi="Arial" w:cs="Arial"/>
          <w:lang w:val="en-US"/>
        </w:rPr>
        <w:t xml:space="preserve"> a stable and unique ontology</w:t>
      </w:r>
      <w:r w:rsidR="00F82F77">
        <w:rPr>
          <w:rFonts w:ascii="Arial" w:hAnsi="Arial" w:cs="Arial"/>
          <w:lang w:val="en-US"/>
        </w:rPr>
        <w:t xml:space="preserve"> but rather is always a category that is "coming into being" (cf. Anderson &amp; Gold, 2015</w:t>
      </w:r>
      <w:r w:rsidR="00840243">
        <w:rPr>
          <w:rFonts w:ascii="Arial" w:hAnsi="Arial" w:cs="Arial"/>
          <w:lang w:val="en-US"/>
        </w:rPr>
        <w:t xml:space="preserve">.  </w:t>
      </w:r>
      <w:r w:rsidR="00F82F77">
        <w:rPr>
          <w:rFonts w:ascii="Arial" w:hAnsi="Arial" w:cs="Arial"/>
          <w:lang w:val="en-US"/>
        </w:rPr>
        <w:t>It has</w:t>
      </w:r>
      <w:r w:rsidR="00840243">
        <w:rPr>
          <w:rFonts w:ascii="Arial" w:hAnsi="Arial" w:cs="Arial"/>
          <w:lang w:val="en-US"/>
        </w:rPr>
        <w:t xml:space="preserve"> a </w:t>
      </w:r>
      <w:r w:rsidR="00840243" w:rsidRPr="0055658C">
        <w:rPr>
          <w:rFonts w:ascii="Arial" w:hAnsi="Arial" w:cs="Arial"/>
          <w:i/>
          <w:lang w:val="en-US"/>
        </w:rPr>
        <w:t>relational</w:t>
      </w:r>
      <w:r w:rsidR="00840243">
        <w:rPr>
          <w:rFonts w:ascii="Arial" w:hAnsi="Arial" w:cs="Arial"/>
          <w:lang w:val="en-US"/>
        </w:rPr>
        <w:t xml:space="preserve"> ontology</w:t>
      </w:r>
      <w:r w:rsidR="00973263">
        <w:rPr>
          <w:rFonts w:ascii="Arial" w:hAnsi="Arial" w:cs="Arial"/>
          <w:lang w:val="en-US"/>
        </w:rPr>
        <w:t>,</w:t>
      </w:r>
      <w:r w:rsidR="00840243">
        <w:rPr>
          <w:rFonts w:ascii="Arial" w:hAnsi="Arial" w:cs="Arial"/>
          <w:lang w:val="en-US"/>
        </w:rPr>
        <w:t xml:space="preserve"> one that is understandable only through consideration of the on-going entanglements between two more </w:t>
      </w:r>
      <w:r w:rsidR="008A43CD">
        <w:rPr>
          <w:rFonts w:ascii="Arial" w:hAnsi="Arial" w:cs="Arial"/>
          <w:lang w:val="en-US"/>
        </w:rPr>
        <w:t>stable</w:t>
      </w:r>
      <w:r w:rsidR="00840243">
        <w:rPr>
          <w:rFonts w:ascii="Arial" w:hAnsi="Arial" w:cs="Arial"/>
          <w:lang w:val="en-US"/>
        </w:rPr>
        <w:t xml:space="preserve"> categories: the "Scholar</w:t>
      </w:r>
      <w:r w:rsidR="00114809">
        <w:rPr>
          <w:rFonts w:ascii="Arial" w:hAnsi="Arial" w:cs="Arial"/>
          <w:lang w:val="en-US"/>
        </w:rPr>
        <w:t>"</w:t>
      </w:r>
      <w:r w:rsidR="00840243">
        <w:rPr>
          <w:rFonts w:ascii="Arial" w:hAnsi="Arial" w:cs="Arial"/>
          <w:lang w:val="en-US"/>
        </w:rPr>
        <w:t xml:space="preserve"> and the "Practitioner".</w:t>
      </w:r>
      <w:r w:rsidR="0055658C">
        <w:rPr>
          <w:rFonts w:ascii="Arial" w:hAnsi="Arial" w:cs="Arial"/>
          <w:lang w:val="en-US"/>
        </w:rPr>
        <w:t xml:space="preserve">  </w:t>
      </w:r>
      <w:r w:rsidR="001835A6">
        <w:rPr>
          <w:rFonts w:ascii="Arial" w:hAnsi="Arial" w:cs="Arial"/>
          <w:lang w:val="en-US"/>
        </w:rPr>
        <w:t>Because it is a learning journey that does not reach a unambigous end state</w:t>
      </w:r>
      <w:r w:rsidR="00D63EBC">
        <w:rPr>
          <w:rFonts w:ascii="Arial" w:hAnsi="Arial" w:cs="Arial"/>
          <w:lang w:val="en-US"/>
        </w:rPr>
        <w:t xml:space="preserve"> (i.e. the "Scholar-practitioner")</w:t>
      </w:r>
      <w:r w:rsidR="001835A6">
        <w:rPr>
          <w:rFonts w:ascii="Arial" w:hAnsi="Arial" w:cs="Arial"/>
          <w:lang w:val="en-US"/>
        </w:rPr>
        <w:t>, then I prefer to use the term scholar</w:t>
      </w:r>
      <w:r w:rsidR="001835A6" w:rsidRPr="009A1464">
        <w:rPr>
          <w:rFonts w:ascii="Arial" w:hAnsi="Arial" w:cs="Arial"/>
          <w:i/>
          <w:lang w:val="en-US"/>
        </w:rPr>
        <w:t>ly</w:t>
      </w:r>
      <w:r w:rsidR="001835A6">
        <w:rPr>
          <w:rFonts w:ascii="Arial" w:hAnsi="Arial" w:cs="Arial"/>
          <w:lang w:val="en-US"/>
        </w:rPr>
        <w:t>-practitioner.  By this I seek t</w:t>
      </w:r>
      <w:r w:rsidR="00D63EBC">
        <w:rPr>
          <w:rFonts w:ascii="Arial" w:hAnsi="Arial" w:cs="Arial"/>
          <w:lang w:val="en-US"/>
        </w:rPr>
        <w:t xml:space="preserve">o signify a starting point of an experienced, knowledgeable practitioner who has chosen to extend their repertoire of practice with the inclusion of scholarly activity.  </w:t>
      </w:r>
      <w:r w:rsidR="007A6A2D" w:rsidRPr="007A6A2D">
        <w:rPr>
          <w:rFonts w:ascii="Arial" w:hAnsi="Arial" w:cs="Arial"/>
        </w:rPr>
        <w:t xml:space="preserve">This is not to diminish </w:t>
      </w:r>
      <w:r w:rsidR="008336CB">
        <w:rPr>
          <w:rFonts w:ascii="Arial" w:hAnsi="Arial" w:cs="Arial"/>
        </w:rPr>
        <w:t>management</w:t>
      </w:r>
      <w:r w:rsidR="007A6A2D" w:rsidRPr="007A6A2D">
        <w:rPr>
          <w:rFonts w:ascii="Arial" w:hAnsi="Arial" w:cs="Arial"/>
        </w:rPr>
        <w:t xml:space="preserve"> practice, </w:t>
      </w:r>
      <w:r w:rsidR="00D63EBC">
        <w:rPr>
          <w:rFonts w:ascii="Arial" w:hAnsi="Arial" w:cs="Arial"/>
        </w:rPr>
        <w:t xml:space="preserve">or suggest it is somehhow incomplete by virtue of not being scholarly.  </w:t>
      </w:r>
      <w:r w:rsidR="008336CB">
        <w:rPr>
          <w:rFonts w:ascii="Arial" w:hAnsi="Arial" w:cs="Arial"/>
        </w:rPr>
        <w:t xml:space="preserve">Rather, this is one development strategy for improving management practice.  </w:t>
      </w:r>
      <w:r w:rsidR="00771934">
        <w:rPr>
          <w:rFonts w:ascii="Arial" w:hAnsi="Arial" w:cs="Arial"/>
        </w:rPr>
        <w:t>As a consequence, t</w:t>
      </w:r>
      <w:r w:rsidR="00973263">
        <w:rPr>
          <w:rFonts w:ascii="Arial" w:hAnsi="Arial" w:cs="Arial"/>
        </w:rPr>
        <w:t>his paper is not concerned with</w:t>
      </w:r>
      <w:r w:rsidR="007A6A2D" w:rsidRPr="007A6A2D">
        <w:rPr>
          <w:rFonts w:ascii="Arial" w:hAnsi="Arial" w:cs="Arial"/>
        </w:rPr>
        <w:t xml:space="preserve"> what </w:t>
      </w:r>
      <w:r w:rsidR="00973263">
        <w:rPr>
          <w:rFonts w:ascii="Arial" w:hAnsi="Arial" w:cs="Arial"/>
        </w:rPr>
        <w:t xml:space="preserve">the </w:t>
      </w:r>
      <w:r w:rsidR="007A6A2D" w:rsidRPr="007A6A2D">
        <w:rPr>
          <w:rFonts w:ascii="Arial" w:hAnsi="Arial" w:cs="Arial"/>
        </w:rPr>
        <w:t xml:space="preserve">extant scholarship </w:t>
      </w:r>
      <w:r w:rsidR="00973263">
        <w:rPr>
          <w:rFonts w:ascii="Arial" w:hAnsi="Arial" w:cs="Arial"/>
        </w:rPr>
        <w:t xml:space="preserve">of academics </w:t>
      </w:r>
      <w:r w:rsidR="007A6A2D" w:rsidRPr="007A6A2D">
        <w:rPr>
          <w:rFonts w:ascii="Arial" w:hAnsi="Arial" w:cs="Arial"/>
        </w:rPr>
        <w:t xml:space="preserve">brings to </w:t>
      </w:r>
      <w:r w:rsidR="00973263">
        <w:rPr>
          <w:rFonts w:ascii="Arial" w:hAnsi="Arial" w:cs="Arial"/>
        </w:rPr>
        <w:t>a</w:t>
      </w:r>
      <w:r w:rsidR="007A6A2D" w:rsidRPr="007A6A2D">
        <w:rPr>
          <w:rFonts w:ascii="Arial" w:hAnsi="Arial" w:cs="Arial"/>
        </w:rPr>
        <w:t xml:space="preserve"> given practice, but rather what the practitioner brings of their own practice, in light of their own scholarly activity.  </w:t>
      </w:r>
    </w:p>
    <w:p w14:paraId="72BAE23D" w14:textId="77777777" w:rsidR="007D2736" w:rsidRDefault="007D2736" w:rsidP="00B312F5">
      <w:pPr>
        <w:spacing w:line="360" w:lineRule="auto"/>
        <w:rPr>
          <w:rFonts w:ascii="Arial" w:hAnsi="Arial" w:cs="Arial"/>
          <w:lang w:val="en-US"/>
        </w:rPr>
      </w:pPr>
    </w:p>
    <w:p w14:paraId="67D18705" w14:textId="6BCAD9EC" w:rsidR="00BB1427" w:rsidRDefault="007D0AF1" w:rsidP="00BB1427">
      <w:pPr>
        <w:spacing w:line="360" w:lineRule="auto"/>
        <w:rPr>
          <w:rFonts w:ascii="Arial" w:hAnsi="Arial" w:cs="Arial"/>
          <w:lang w:val="en-US"/>
        </w:rPr>
      </w:pPr>
      <w:r>
        <w:rPr>
          <w:rFonts w:ascii="Arial" w:hAnsi="Arial" w:cs="Arial"/>
          <w:lang w:val="en-US"/>
        </w:rPr>
        <w:t xml:space="preserve">The context in which I position scholarly practice is that of organizational change.  </w:t>
      </w:r>
      <w:r w:rsidRPr="00BB1427">
        <w:rPr>
          <w:rFonts w:ascii="Arial" w:hAnsi="Arial" w:cs="Arial"/>
          <w:lang w:val="en-US"/>
        </w:rPr>
        <w:t xml:space="preserve">This is because </w:t>
      </w:r>
      <w:r w:rsidR="00811167" w:rsidRPr="00FE241F">
        <w:rPr>
          <w:rFonts w:ascii="Arial" w:hAnsi="Arial" w:cs="Arial"/>
          <w:lang w:val="en-US"/>
        </w:rPr>
        <w:t xml:space="preserve">the complexity of the issues at play within organizational change processes create a </w:t>
      </w:r>
      <w:r w:rsidR="00973263">
        <w:rPr>
          <w:rFonts w:ascii="Arial" w:hAnsi="Arial" w:cs="Arial"/>
          <w:lang w:val="en-US"/>
        </w:rPr>
        <w:t xml:space="preserve">potential </w:t>
      </w:r>
      <w:r w:rsidR="00811167" w:rsidRPr="00FE241F">
        <w:rPr>
          <w:rFonts w:ascii="Arial" w:hAnsi="Arial" w:cs="Arial"/>
          <w:lang w:val="en-US"/>
        </w:rPr>
        <w:t>role for both “practitio</w:t>
      </w:r>
      <w:r w:rsidR="00811167" w:rsidRPr="00973263">
        <w:rPr>
          <w:rFonts w:ascii="Arial" w:hAnsi="Arial" w:cs="Arial"/>
          <w:lang w:val="en-US"/>
        </w:rPr>
        <w:t>ner” and “scholarly” contributions.</w:t>
      </w:r>
      <w:r w:rsidR="00811167">
        <w:rPr>
          <w:rFonts w:ascii="Arial" w:hAnsi="Arial" w:cs="Arial"/>
          <w:lang w:val="en-US"/>
        </w:rPr>
        <w:t xml:space="preserve">  </w:t>
      </w:r>
      <w:r w:rsidRPr="007D0AF1">
        <w:rPr>
          <w:rFonts w:ascii="Arial" w:hAnsi="Arial" w:cs="Arial"/>
          <w:lang w:val="en-US"/>
        </w:rPr>
        <w:t xml:space="preserve">There are </w:t>
      </w:r>
      <w:r w:rsidR="00811167">
        <w:rPr>
          <w:rFonts w:ascii="Arial" w:hAnsi="Arial" w:cs="Arial"/>
          <w:lang w:val="en-US"/>
        </w:rPr>
        <w:t>other</w:t>
      </w:r>
      <w:r w:rsidRPr="007D0AF1">
        <w:rPr>
          <w:rFonts w:ascii="Arial" w:hAnsi="Arial" w:cs="Arial"/>
          <w:lang w:val="en-US"/>
        </w:rPr>
        <w:t xml:space="preserve"> organisational </w:t>
      </w:r>
      <w:r w:rsidR="00381FEA">
        <w:rPr>
          <w:rFonts w:ascii="Arial" w:hAnsi="Arial" w:cs="Arial"/>
          <w:lang w:val="en-US"/>
        </w:rPr>
        <w:t>issues</w:t>
      </w:r>
      <w:r w:rsidR="00381FEA" w:rsidRPr="007D0AF1">
        <w:rPr>
          <w:rFonts w:ascii="Arial" w:hAnsi="Arial" w:cs="Arial"/>
          <w:lang w:val="en-US"/>
        </w:rPr>
        <w:t xml:space="preserve"> </w:t>
      </w:r>
      <w:r w:rsidR="00811167">
        <w:rPr>
          <w:rFonts w:ascii="Arial" w:hAnsi="Arial" w:cs="Arial"/>
          <w:lang w:val="en-US"/>
        </w:rPr>
        <w:t>with which</w:t>
      </w:r>
      <w:r w:rsidRPr="007D0AF1">
        <w:rPr>
          <w:rFonts w:ascii="Arial" w:hAnsi="Arial" w:cs="Arial"/>
          <w:lang w:val="en-US"/>
        </w:rPr>
        <w:t xml:space="preserve"> the manag</w:t>
      </w:r>
      <w:r w:rsidR="00D63EBC">
        <w:rPr>
          <w:rFonts w:ascii="Arial" w:hAnsi="Arial" w:cs="Arial"/>
          <w:lang w:val="en-US"/>
        </w:rPr>
        <w:t>ement practitioner</w:t>
      </w:r>
      <w:r w:rsidR="00811167">
        <w:rPr>
          <w:rFonts w:ascii="Arial" w:hAnsi="Arial" w:cs="Arial"/>
          <w:lang w:val="en-US"/>
        </w:rPr>
        <w:t xml:space="preserve"> is very familiar</w:t>
      </w:r>
      <w:r w:rsidRPr="007D0AF1">
        <w:rPr>
          <w:rFonts w:ascii="Arial" w:hAnsi="Arial" w:cs="Arial"/>
          <w:lang w:val="en-US"/>
        </w:rPr>
        <w:t xml:space="preserve">, e.g. production has stopped at the plant, or a customer has failed to submit an expected order.  These sort of problems are the </w:t>
      </w:r>
      <w:r w:rsidR="00811167">
        <w:rPr>
          <w:rFonts w:ascii="Arial" w:hAnsi="Arial" w:cs="Arial"/>
          <w:lang w:val="en-US"/>
        </w:rPr>
        <w:t>conventional</w:t>
      </w:r>
      <w:r w:rsidRPr="007D0AF1">
        <w:rPr>
          <w:rFonts w:ascii="Arial" w:hAnsi="Arial" w:cs="Arial"/>
          <w:lang w:val="en-US"/>
        </w:rPr>
        <w:t xml:space="preserve"> day-to-day challenges of the professional manager, they are invariably solved by drawing directly on organisational experience of similar problems, and they are not considered further here.  </w:t>
      </w:r>
      <w:r w:rsidR="00811167">
        <w:rPr>
          <w:rFonts w:ascii="Arial" w:hAnsi="Arial" w:cs="Arial"/>
          <w:lang w:val="en-US"/>
        </w:rPr>
        <w:t>Scholarly practice is rather concerned with</w:t>
      </w:r>
      <w:r w:rsidRPr="007D0AF1">
        <w:rPr>
          <w:rFonts w:ascii="Arial" w:hAnsi="Arial" w:cs="Arial"/>
          <w:lang w:val="en-US"/>
        </w:rPr>
        <w:t xml:space="preserve"> the intractable issues of organizing: what have be termed "wicked problems" (Mason &amp; Mitroff, 1981).  These problems defy unambiguous formulation as different stakeholders might articulate them differently; they are made complex by antecedents that are inter-connected or in conflic</w:t>
      </w:r>
      <w:r w:rsidR="00F82F77">
        <w:rPr>
          <w:rFonts w:ascii="Arial" w:hAnsi="Arial" w:cs="Arial"/>
          <w:lang w:val="en-US"/>
        </w:rPr>
        <w:t>t.  Their solution may appear constrained</w:t>
      </w:r>
      <w:r w:rsidRPr="007D0AF1">
        <w:rPr>
          <w:rFonts w:ascii="Arial" w:hAnsi="Arial" w:cs="Arial"/>
          <w:lang w:val="en-US"/>
        </w:rPr>
        <w:t xml:space="preserve"> by organisational or institutional </w:t>
      </w:r>
      <w:r w:rsidR="00811167">
        <w:rPr>
          <w:rFonts w:ascii="Arial" w:hAnsi="Arial" w:cs="Arial"/>
          <w:lang w:val="en-US"/>
        </w:rPr>
        <w:t>factor</w:t>
      </w:r>
      <w:r w:rsidRPr="007D0AF1">
        <w:rPr>
          <w:rFonts w:ascii="Arial" w:hAnsi="Arial" w:cs="Arial"/>
          <w:lang w:val="en-US"/>
        </w:rPr>
        <w:t xml:space="preserve">s.  </w:t>
      </w:r>
      <w:r w:rsidR="00BB1427">
        <w:rPr>
          <w:rFonts w:ascii="Arial" w:hAnsi="Arial" w:cs="Arial"/>
          <w:lang w:val="en-US"/>
        </w:rPr>
        <w:t xml:space="preserve">In order to </w:t>
      </w:r>
      <w:r w:rsidR="00FE241F">
        <w:rPr>
          <w:rFonts w:ascii="Arial" w:hAnsi="Arial" w:cs="Arial"/>
          <w:lang w:val="en-US"/>
        </w:rPr>
        <w:t>make pro</w:t>
      </w:r>
      <w:r w:rsidR="00BB1427">
        <w:rPr>
          <w:rFonts w:ascii="Arial" w:hAnsi="Arial" w:cs="Arial"/>
          <w:lang w:val="en-US"/>
        </w:rPr>
        <w:t xml:space="preserve">gress </w:t>
      </w:r>
      <w:r w:rsidR="00FE241F">
        <w:rPr>
          <w:rFonts w:ascii="Arial" w:hAnsi="Arial" w:cs="Arial"/>
          <w:lang w:val="en-US"/>
        </w:rPr>
        <w:t xml:space="preserve">in the face of </w:t>
      </w:r>
      <w:r w:rsidR="00BB1427">
        <w:rPr>
          <w:rFonts w:ascii="Arial" w:hAnsi="Arial" w:cs="Arial"/>
          <w:lang w:val="en-US"/>
        </w:rPr>
        <w:t xml:space="preserve">such </w:t>
      </w:r>
      <w:r w:rsidR="00BB1427">
        <w:rPr>
          <w:rFonts w:ascii="Arial" w:hAnsi="Arial" w:cs="Arial"/>
          <w:lang w:val="en-US"/>
        </w:rPr>
        <w:lastRenderedPageBreak/>
        <w:t>"wi</w:t>
      </w:r>
      <w:r w:rsidR="006700BE">
        <w:rPr>
          <w:rFonts w:ascii="Arial" w:hAnsi="Arial" w:cs="Arial"/>
          <w:lang w:val="en-US"/>
        </w:rPr>
        <w:t>cked problems" the Practitioner</w:t>
      </w:r>
      <w:r w:rsidR="00BB1427">
        <w:rPr>
          <w:rFonts w:ascii="Arial" w:hAnsi="Arial" w:cs="Arial"/>
          <w:lang w:val="en-US"/>
        </w:rPr>
        <w:t xml:space="preserve"> needs to think anew about their practice</w:t>
      </w:r>
      <w:r w:rsidR="00FC5882">
        <w:rPr>
          <w:rFonts w:ascii="Arial" w:hAnsi="Arial" w:cs="Arial"/>
          <w:lang w:val="en-US"/>
        </w:rPr>
        <w:t>.  This is the challenge with which action learning has always been concerned (</w:t>
      </w:r>
      <w:r w:rsidR="00FC5882" w:rsidRPr="00A62241">
        <w:rPr>
          <w:rFonts w:ascii="Arial" w:hAnsi="Arial" w:cs="Arial"/>
          <w:lang w:val="en-US"/>
        </w:rPr>
        <w:t xml:space="preserve">Revans </w:t>
      </w:r>
      <w:r w:rsidR="00701478">
        <w:rPr>
          <w:rFonts w:ascii="Arial" w:hAnsi="Arial" w:cs="Arial"/>
          <w:lang w:val="en-US"/>
        </w:rPr>
        <w:t>2011</w:t>
      </w:r>
      <w:r w:rsidR="00FC5882">
        <w:rPr>
          <w:rFonts w:ascii="Arial" w:hAnsi="Arial" w:cs="Arial"/>
          <w:lang w:val="en-US"/>
        </w:rPr>
        <w:t xml:space="preserve">).  In </w:t>
      </w:r>
      <w:r w:rsidR="00FE241F">
        <w:rPr>
          <w:rFonts w:ascii="Arial" w:hAnsi="Arial" w:cs="Arial"/>
          <w:lang w:val="en-US"/>
        </w:rPr>
        <w:t xml:space="preserve">this paper </w:t>
      </w:r>
      <w:r w:rsidR="00FC5882">
        <w:rPr>
          <w:rFonts w:ascii="Arial" w:hAnsi="Arial" w:cs="Arial"/>
          <w:lang w:val="en-US"/>
        </w:rPr>
        <w:t>I consider</w:t>
      </w:r>
      <w:r w:rsidR="00FE241F">
        <w:rPr>
          <w:rFonts w:ascii="Arial" w:hAnsi="Arial" w:cs="Arial"/>
          <w:lang w:val="en-US"/>
        </w:rPr>
        <w:t xml:space="preserve"> the addition of </w:t>
      </w:r>
      <w:r w:rsidR="00FE241F" w:rsidRPr="009A1464">
        <w:rPr>
          <w:rFonts w:ascii="Arial" w:hAnsi="Arial" w:cs="Arial"/>
          <w:i/>
          <w:lang w:val="en-US"/>
        </w:rPr>
        <w:t>scholarly-ness</w:t>
      </w:r>
      <w:r w:rsidR="00FE241F">
        <w:rPr>
          <w:rFonts w:ascii="Arial" w:hAnsi="Arial" w:cs="Arial"/>
          <w:lang w:val="en-US"/>
        </w:rPr>
        <w:t xml:space="preserve"> to a reprtoire of practice</w:t>
      </w:r>
      <w:r w:rsidR="00FC5882">
        <w:rPr>
          <w:rFonts w:ascii="Arial" w:hAnsi="Arial" w:cs="Arial"/>
          <w:lang w:val="en-US"/>
        </w:rPr>
        <w:t xml:space="preserve">, and aim to surface the learning that </w:t>
      </w:r>
      <w:r w:rsidR="00135569">
        <w:rPr>
          <w:rFonts w:ascii="Arial" w:hAnsi="Arial" w:cs="Arial"/>
          <w:lang w:val="en-US"/>
        </w:rPr>
        <w:t xml:space="preserve">then </w:t>
      </w:r>
      <w:r w:rsidR="00FC5882">
        <w:rPr>
          <w:rFonts w:ascii="Arial" w:hAnsi="Arial" w:cs="Arial"/>
          <w:lang w:val="en-US"/>
        </w:rPr>
        <w:t>occurs by invoking the oft quoted equation of action learning (L = P + Q)</w:t>
      </w:r>
      <w:r w:rsidR="00FE241F">
        <w:rPr>
          <w:rFonts w:ascii="Arial" w:hAnsi="Arial" w:cs="Arial"/>
          <w:lang w:val="en-US"/>
        </w:rPr>
        <w:t xml:space="preserve">.  </w:t>
      </w:r>
    </w:p>
    <w:p w14:paraId="21AA760F" w14:textId="1508AFA8" w:rsidR="007D0AF1" w:rsidRDefault="007D0AF1" w:rsidP="00B312F5">
      <w:pPr>
        <w:spacing w:line="360" w:lineRule="auto"/>
        <w:rPr>
          <w:rFonts w:ascii="Arial" w:hAnsi="Arial" w:cs="Arial"/>
          <w:lang w:val="en-US"/>
        </w:rPr>
      </w:pPr>
    </w:p>
    <w:p w14:paraId="0F69DA56" w14:textId="77777777" w:rsidR="00B312F5" w:rsidRDefault="00B312F5" w:rsidP="00FF48CA">
      <w:pPr>
        <w:spacing w:line="360" w:lineRule="auto"/>
        <w:rPr>
          <w:rFonts w:ascii="Arial" w:hAnsi="Arial" w:cs="Arial"/>
        </w:rPr>
      </w:pPr>
    </w:p>
    <w:p w14:paraId="7CC95A0F" w14:textId="5108DF07" w:rsidR="00D9456F" w:rsidRDefault="003238F6" w:rsidP="005A6B52">
      <w:pPr>
        <w:spacing w:line="360" w:lineRule="auto"/>
        <w:rPr>
          <w:rFonts w:ascii="Arial" w:hAnsi="Arial" w:cs="Arial"/>
          <w:lang w:val="en-US"/>
        </w:rPr>
      </w:pPr>
      <w:r w:rsidRPr="00E14C7D">
        <w:rPr>
          <w:rFonts w:ascii="Arial" w:hAnsi="Arial" w:cs="Arial"/>
        </w:rPr>
        <w:t>The primary contribution</w:t>
      </w:r>
      <w:r>
        <w:rPr>
          <w:rFonts w:ascii="Arial" w:hAnsi="Arial" w:cs="Arial"/>
        </w:rPr>
        <w:t xml:space="preserve"> of this paper is a conceptual framework of scholarly practice: one that relates the entanglements of scholarly and practitioner actions to the learning that occurs </w:t>
      </w:r>
      <w:r w:rsidR="00BB1427">
        <w:rPr>
          <w:rFonts w:ascii="Arial" w:hAnsi="Arial" w:cs="Arial"/>
        </w:rPr>
        <w:t xml:space="preserve">when trying to effect </w:t>
      </w:r>
      <w:r>
        <w:rPr>
          <w:rFonts w:ascii="Arial" w:hAnsi="Arial" w:cs="Arial"/>
        </w:rPr>
        <w:t xml:space="preserve">organisational change.  The structure of the paper is as follows.  </w:t>
      </w:r>
      <w:r w:rsidR="00F33635">
        <w:rPr>
          <w:rFonts w:ascii="Arial" w:hAnsi="Arial" w:cs="Arial"/>
        </w:rPr>
        <w:t xml:space="preserve">The next section </w:t>
      </w:r>
      <w:r w:rsidR="00067989">
        <w:rPr>
          <w:rFonts w:ascii="Arial" w:hAnsi="Arial" w:cs="Arial"/>
        </w:rPr>
        <w:t xml:space="preserve">justifies </w:t>
      </w:r>
      <w:r w:rsidR="00F33635">
        <w:rPr>
          <w:rFonts w:ascii="Arial" w:hAnsi="Arial" w:cs="Arial"/>
        </w:rPr>
        <w:t xml:space="preserve">my starting assumptions </w:t>
      </w:r>
      <w:r w:rsidR="00067989">
        <w:rPr>
          <w:rFonts w:ascii="Arial" w:hAnsi="Arial" w:cs="Arial"/>
        </w:rPr>
        <w:t>and introduces</w:t>
      </w:r>
      <w:r w:rsidR="00F33635">
        <w:rPr>
          <w:rFonts w:ascii="Arial" w:hAnsi="Arial" w:cs="Arial"/>
        </w:rPr>
        <w:t xml:space="preserve"> the concepts that will be used to </w:t>
      </w:r>
      <w:r w:rsidR="00CC7F87">
        <w:rPr>
          <w:rFonts w:ascii="Arial" w:hAnsi="Arial" w:cs="Arial"/>
        </w:rPr>
        <w:t>build the conceptual framework</w:t>
      </w:r>
      <w:r w:rsidR="00F33635">
        <w:rPr>
          <w:rFonts w:ascii="Arial" w:hAnsi="Arial" w:cs="Arial"/>
        </w:rPr>
        <w:t>.</w:t>
      </w:r>
      <w:r w:rsidR="00423CE1">
        <w:rPr>
          <w:rFonts w:ascii="Arial" w:hAnsi="Arial" w:cs="Arial"/>
        </w:rPr>
        <w:t xml:space="preserve">  </w:t>
      </w:r>
      <w:r w:rsidR="0036268A">
        <w:rPr>
          <w:rFonts w:ascii="Arial" w:hAnsi="Arial" w:cs="Arial"/>
        </w:rPr>
        <w:t>The implications of these ideas for future</w:t>
      </w:r>
      <w:r w:rsidR="007F7754">
        <w:rPr>
          <w:rFonts w:ascii="Arial" w:hAnsi="Arial" w:cs="Arial"/>
        </w:rPr>
        <w:t xml:space="preserve"> </w:t>
      </w:r>
      <w:r w:rsidR="0036268A">
        <w:rPr>
          <w:rFonts w:ascii="Arial" w:hAnsi="Arial" w:cs="Arial"/>
        </w:rPr>
        <w:t>research is outlined in a closing section.</w:t>
      </w:r>
      <w:r w:rsidR="00423CE1">
        <w:rPr>
          <w:rFonts w:ascii="Arial" w:hAnsi="Arial" w:cs="Arial"/>
        </w:rPr>
        <w:t xml:space="preserve"> </w:t>
      </w:r>
    </w:p>
    <w:p w14:paraId="5390F493" w14:textId="17F8A6EC" w:rsidR="00D9456F" w:rsidRDefault="00D9456F" w:rsidP="005A6B52">
      <w:pPr>
        <w:spacing w:line="360" w:lineRule="auto"/>
        <w:rPr>
          <w:rFonts w:ascii="Arial" w:hAnsi="Arial" w:cs="Arial"/>
          <w:lang w:val="en-US"/>
        </w:rPr>
      </w:pPr>
    </w:p>
    <w:p w14:paraId="39287D2F" w14:textId="77777777" w:rsidR="007F7754" w:rsidRDefault="007F7754" w:rsidP="005A6B52">
      <w:pPr>
        <w:spacing w:line="360" w:lineRule="auto"/>
        <w:rPr>
          <w:rFonts w:ascii="Arial" w:hAnsi="Arial" w:cs="Arial"/>
          <w:lang w:val="en-US"/>
        </w:rPr>
      </w:pPr>
    </w:p>
    <w:p w14:paraId="7B038071" w14:textId="04B32B24" w:rsidR="00D9456F" w:rsidRPr="005F67EE" w:rsidRDefault="00D9456F" w:rsidP="005F69A4">
      <w:pPr>
        <w:spacing w:line="360" w:lineRule="auto"/>
        <w:outlineLvl w:val="0"/>
        <w:rPr>
          <w:rFonts w:ascii="Arial" w:hAnsi="Arial" w:cs="Arial"/>
          <w:b/>
          <w:lang w:val="en-US"/>
        </w:rPr>
      </w:pPr>
      <w:r w:rsidRPr="005F67EE">
        <w:rPr>
          <w:rFonts w:ascii="Arial" w:hAnsi="Arial" w:cs="Arial"/>
          <w:b/>
          <w:lang w:val="en-US"/>
        </w:rPr>
        <w:t xml:space="preserve">Theoretical </w:t>
      </w:r>
      <w:r w:rsidR="00B312F5">
        <w:rPr>
          <w:rFonts w:ascii="Arial" w:hAnsi="Arial" w:cs="Arial"/>
          <w:b/>
          <w:lang w:val="en-US"/>
        </w:rPr>
        <w:t>Background</w:t>
      </w:r>
    </w:p>
    <w:p w14:paraId="5C9F1F1E" w14:textId="00C8799B" w:rsidR="005F67EE" w:rsidRDefault="005F67EE" w:rsidP="005A6B52">
      <w:pPr>
        <w:spacing w:line="360" w:lineRule="auto"/>
        <w:rPr>
          <w:rFonts w:ascii="Arial" w:hAnsi="Arial" w:cs="Arial"/>
          <w:lang w:val="en-US"/>
        </w:rPr>
      </w:pPr>
    </w:p>
    <w:p w14:paraId="01913560" w14:textId="5BABFD49" w:rsidR="00E34990" w:rsidRPr="00EB6D4E" w:rsidRDefault="008A0826" w:rsidP="005A6B52">
      <w:pPr>
        <w:spacing w:line="360" w:lineRule="auto"/>
        <w:rPr>
          <w:rFonts w:ascii="Arial" w:hAnsi="Arial" w:cs="Arial"/>
          <w:lang w:val="en-US"/>
        </w:rPr>
      </w:pPr>
      <w:r>
        <w:rPr>
          <w:rFonts w:ascii="Arial" w:hAnsi="Arial" w:cs="Arial"/>
          <w:lang w:val="en-US"/>
        </w:rPr>
        <w:t xml:space="preserve">In this </w:t>
      </w:r>
      <w:r w:rsidR="00D2387B">
        <w:rPr>
          <w:rFonts w:ascii="Arial" w:hAnsi="Arial" w:cs="Arial"/>
          <w:lang w:val="en-US"/>
        </w:rPr>
        <w:t>section,</w:t>
      </w:r>
      <w:r>
        <w:rPr>
          <w:rFonts w:ascii="Arial" w:hAnsi="Arial" w:cs="Arial"/>
          <w:lang w:val="en-US"/>
        </w:rPr>
        <w:t xml:space="preserve"> I introduce the theoretical apparatus I will use to explicate the scholar-practitioner.</w:t>
      </w:r>
      <w:r w:rsidR="00B312F5">
        <w:rPr>
          <w:rFonts w:ascii="Arial" w:hAnsi="Arial" w:cs="Arial"/>
          <w:lang w:val="en-US"/>
        </w:rPr>
        <w:t xml:space="preserve">  </w:t>
      </w:r>
      <w:r w:rsidR="00E34990">
        <w:rPr>
          <w:rFonts w:ascii="Arial" w:hAnsi="Arial" w:cs="Arial"/>
          <w:lang w:val="en-US"/>
        </w:rPr>
        <w:t xml:space="preserve">The starting point is to suggest some descriptors for the categories "Scholar" and "Practitioner" as </w:t>
      </w:r>
      <w:r w:rsidR="00E41664">
        <w:rPr>
          <w:rFonts w:ascii="Arial" w:hAnsi="Arial" w:cs="Arial"/>
          <w:lang w:val="en-US"/>
        </w:rPr>
        <w:t>they apply to research</w:t>
      </w:r>
      <w:r w:rsidR="007D0AF1">
        <w:rPr>
          <w:rFonts w:ascii="Arial" w:hAnsi="Arial" w:cs="Arial"/>
          <w:lang w:val="en-US"/>
        </w:rPr>
        <w:t xml:space="preserve"> conducted in connection with organizational change</w:t>
      </w:r>
      <w:r w:rsidR="00E41664">
        <w:rPr>
          <w:rFonts w:ascii="Arial" w:hAnsi="Arial" w:cs="Arial"/>
          <w:lang w:val="en-US"/>
        </w:rPr>
        <w:t xml:space="preserve"> (Table 1)</w:t>
      </w:r>
      <w:r w:rsidR="00E34990">
        <w:rPr>
          <w:rFonts w:ascii="Arial" w:hAnsi="Arial" w:cs="Arial"/>
          <w:lang w:val="en-US"/>
        </w:rPr>
        <w:t>.</w:t>
      </w:r>
      <w:r w:rsidR="002E6ECD">
        <w:rPr>
          <w:rFonts w:ascii="Arial" w:hAnsi="Arial" w:cs="Arial"/>
          <w:lang w:val="en-US"/>
        </w:rPr>
        <w:t xml:space="preserve"> </w:t>
      </w:r>
      <w:r w:rsidR="00E41664" w:rsidRPr="00E41664">
        <w:rPr>
          <w:rFonts w:ascii="Arial" w:hAnsi="Arial" w:cs="Arial"/>
        </w:rPr>
        <w:t xml:space="preserve">Whilst recognising that the term "scholar" might itself be seen as a complex construct entailing a number of different practices (e.g. </w:t>
      </w:r>
      <w:r w:rsidR="00E41664" w:rsidRPr="00694F5F">
        <w:rPr>
          <w:rFonts w:ascii="Arial" w:hAnsi="Arial" w:cs="Arial"/>
        </w:rPr>
        <w:t>Boyer</w:t>
      </w:r>
      <w:r w:rsidR="00694F5F">
        <w:rPr>
          <w:rFonts w:ascii="Arial" w:hAnsi="Arial" w:cs="Arial"/>
        </w:rPr>
        <w:t>, 1990</w:t>
      </w:r>
      <w:r w:rsidR="00E41664" w:rsidRPr="00E41664">
        <w:rPr>
          <w:rFonts w:ascii="Arial" w:hAnsi="Arial" w:cs="Arial"/>
        </w:rPr>
        <w:t xml:space="preserve">), it is used within this paper to signify </w:t>
      </w:r>
      <w:r w:rsidR="00776FE3">
        <w:rPr>
          <w:rFonts w:ascii="Arial" w:hAnsi="Arial" w:cs="Arial"/>
        </w:rPr>
        <w:t>pure</w:t>
      </w:r>
      <w:r w:rsidR="00E41664" w:rsidRPr="00E41664">
        <w:rPr>
          <w:rFonts w:ascii="Arial" w:hAnsi="Arial" w:cs="Arial"/>
        </w:rPr>
        <w:t>, disinterested research: what Boyer terms the "scholarship of discovery".</w:t>
      </w:r>
      <w:r w:rsidR="00E41664">
        <w:rPr>
          <w:rFonts w:ascii="Arial" w:hAnsi="Arial" w:cs="Arial"/>
        </w:rPr>
        <w:t xml:space="preserve"> </w:t>
      </w:r>
      <w:r w:rsidR="002E6ECD">
        <w:rPr>
          <w:rFonts w:ascii="Arial" w:hAnsi="Arial" w:cs="Arial"/>
          <w:lang w:val="en-US"/>
        </w:rPr>
        <w:t xml:space="preserve">In the case of the "Scholar" </w:t>
      </w:r>
      <w:r w:rsidR="00776FE3" w:rsidRPr="00EB6D4E">
        <w:rPr>
          <w:rFonts w:ascii="Arial" w:hAnsi="Arial" w:cs="Arial"/>
          <w:lang w:val="en-US"/>
        </w:rPr>
        <w:t xml:space="preserve">of </w:t>
      </w:r>
      <w:r w:rsidR="00776FE3" w:rsidRPr="00EB6D4E">
        <w:rPr>
          <w:rFonts w:ascii="Arial" w:hAnsi="Arial" w:cs="Arial"/>
          <w:lang w:val="en-US"/>
        </w:rPr>
        <w:fldChar w:fldCharType="begin"/>
      </w:r>
      <w:r w:rsidR="00776FE3" w:rsidRPr="00EB6D4E">
        <w:rPr>
          <w:rFonts w:ascii="Arial" w:hAnsi="Arial" w:cs="Arial"/>
          <w:lang w:val="en-US"/>
        </w:rPr>
        <w:instrText xml:space="preserve"> REF _Ref505247727 \h </w:instrText>
      </w:r>
      <w:r w:rsidR="00776FE3" w:rsidRPr="00EB6D4E">
        <w:rPr>
          <w:rFonts w:ascii="Arial" w:hAnsi="Arial" w:cs="Arial"/>
          <w:lang w:val="en-US"/>
        </w:rPr>
      </w:r>
      <w:r w:rsidR="00776FE3" w:rsidRPr="00EB6D4E">
        <w:rPr>
          <w:rFonts w:ascii="Arial" w:hAnsi="Arial" w:cs="Arial"/>
          <w:lang w:val="en-US"/>
        </w:rPr>
        <w:fldChar w:fldCharType="separate"/>
      </w:r>
      <w:r w:rsidR="0014577F" w:rsidRPr="00EB6D4E">
        <w:rPr>
          <w:rFonts w:ascii="Arial" w:hAnsi="Arial" w:cs="Arial"/>
          <w:color w:val="000000" w:themeColor="text1"/>
        </w:rPr>
        <w:t xml:space="preserve">Table </w:t>
      </w:r>
      <w:r w:rsidR="0014577F" w:rsidRPr="00EB6D4E">
        <w:rPr>
          <w:rFonts w:ascii="Arial" w:hAnsi="Arial" w:cs="Arial"/>
          <w:noProof/>
          <w:color w:val="000000" w:themeColor="text1"/>
        </w:rPr>
        <w:t>1</w:t>
      </w:r>
      <w:r w:rsidR="00776FE3" w:rsidRPr="00EB6D4E">
        <w:rPr>
          <w:rFonts w:ascii="Arial" w:hAnsi="Arial" w:cs="Arial"/>
          <w:lang w:val="en-US"/>
        </w:rPr>
        <w:fldChar w:fldCharType="end"/>
      </w:r>
      <w:r w:rsidR="00776FE3">
        <w:rPr>
          <w:rFonts w:ascii="Arial" w:hAnsi="Arial" w:cs="Arial"/>
          <w:lang w:val="en-US"/>
        </w:rPr>
        <w:t xml:space="preserve"> </w:t>
      </w:r>
      <w:r w:rsidR="005C2005">
        <w:rPr>
          <w:rFonts w:ascii="Arial" w:hAnsi="Arial" w:cs="Arial"/>
          <w:lang w:val="en-US"/>
        </w:rPr>
        <w:t xml:space="preserve">then the archetypal illustration is the </w:t>
      </w:r>
      <w:r w:rsidR="00E41664">
        <w:rPr>
          <w:rFonts w:ascii="Arial" w:hAnsi="Arial" w:cs="Arial"/>
          <w:lang w:val="en-US"/>
        </w:rPr>
        <w:t>university</w:t>
      </w:r>
      <w:r w:rsidR="005C2005">
        <w:rPr>
          <w:rFonts w:ascii="Arial" w:hAnsi="Arial" w:cs="Arial"/>
          <w:lang w:val="en-US"/>
        </w:rPr>
        <w:t xml:space="preserve"> researcher engaged in scientific work that results in the publication</w:t>
      </w:r>
      <w:r w:rsidR="00C62FBB">
        <w:rPr>
          <w:rFonts w:ascii="Arial" w:hAnsi="Arial" w:cs="Arial"/>
          <w:lang w:val="en-US"/>
        </w:rPr>
        <w:t xml:space="preserve"> </w:t>
      </w:r>
      <w:r w:rsidR="005C2005">
        <w:rPr>
          <w:rFonts w:ascii="Arial" w:hAnsi="Arial" w:cs="Arial"/>
          <w:lang w:val="en-US"/>
        </w:rPr>
        <w:t xml:space="preserve">in academic journal.  </w:t>
      </w:r>
      <w:r w:rsidR="00741B32">
        <w:rPr>
          <w:rFonts w:ascii="Arial" w:hAnsi="Arial" w:cs="Arial"/>
          <w:lang w:val="en-US"/>
        </w:rPr>
        <w:t xml:space="preserve">By contrast, I suggest that the defining idea of practitioner research is that it is very much interested in the solving of organisational problems. </w:t>
      </w:r>
      <w:r w:rsidR="005C2005">
        <w:rPr>
          <w:rFonts w:ascii="Arial" w:hAnsi="Arial" w:cs="Arial"/>
          <w:lang w:val="en-US"/>
        </w:rPr>
        <w:t xml:space="preserve">An indicative example </w:t>
      </w:r>
      <w:r w:rsidR="00E923C8">
        <w:rPr>
          <w:rFonts w:ascii="Arial" w:hAnsi="Arial" w:cs="Arial"/>
          <w:lang w:val="en-US"/>
        </w:rPr>
        <w:t xml:space="preserve">is that of the problem-solving </w:t>
      </w:r>
      <w:r w:rsidR="00E31ED0">
        <w:rPr>
          <w:rFonts w:ascii="Arial" w:hAnsi="Arial" w:cs="Arial"/>
          <w:lang w:val="en-US"/>
        </w:rPr>
        <w:t>manager</w:t>
      </w:r>
      <w:r w:rsidR="00694F5F">
        <w:rPr>
          <w:rFonts w:ascii="Arial" w:hAnsi="Arial" w:cs="Arial"/>
          <w:lang w:val="en-US"/>
        </w:rPr>
        <w:t>; an "insider" who works for the orga</w:t>
      </w:r>
      <w:r w:rsidR="00CA598A">
        <w:rPr>
          <w:rFonts w:ascii="Arial" w:hAnsi="Arial" w:cs="Arial"/>
          <w:lang w:val="en-US"/>
        </w:rPr>
        <w:t>nisation and knows it intimately</w:t>
      </w:r>
      <w:r w:rsidR="00694F5F">
        <w:rPr>
          <w:rFonts w:ascii="Arial" w:hAnsi="Arial" w:cs="Arial"/>
          <w:lang w:val="en-US"/>
        </w:rPr>
        <w:t>.  The problem-solving of the pure "Practitioner" also</w:t>
      </w:r>
      <w:r w:rsidR="00E923C8">
        <w:rPr>
          <w:rFonts w:ascii="Arial" w:hAnsi="Arial" w:cs="Arial"/>
          <w:lang w:val="en-US"/>
        </w:rPr>
        <w:t xml:space="preserve"> </w:t>
      </w:r>
      <w:r w:rsidR="007723E6">
        <w:rPr>
          <w:rFonts w:ascii="Arial" w:hAnsi="Arial" w:cs="Arial"/>
          <w:lang w:val="en-US"/>
        </w:rPr>
        <w:t xml:space="preserve">entails research, but of a different character to the "Scholar" as elaborated </w:t>
      </w:r>
      <w:r w:rsidR="007723E6" w:rsidRPr="00EB6D4E">
        <w:rPr>
          <w:rFonts w:ascii="Arial" w:hAnsi="Arial" w:cs="Arial"/>
          <w:lang w:val="en-US"/>
        </w:rPr>
        <w:t xml:space="preserve">in </w:t>
      </w:r>
      <w:r w:rsidR="007723E6" w:rsidRPr="00EB6D4E">
        <w:rPr>
          <w:rFonts w:ascii="Arial" w:hAnsi="Arial" w:cs="Arial"/>
          <w:lang w:val="en-US"/>
        </w:rPr>
        <w:fldChar w:fldCharType="begin"/>
      </w:r>
      <w:r w:rsidR="007723E6" w:rsidRPr="00EB6D4E">
        <w:rPr>
          <w:rFonts w:ascii="Arial" w:hAnsi="Arial" w:cs="Arial"/>
          <w:lang w:val="en-US"/>
        </w:rPr>
        <w:instrText xml:space="preserve"> REF _Ref505247727 \h </w:instrText>
      </w:r>
      <w:r w:rsidR="00C56FFD" w:rsidRPr="00EB6D4E">
        <w:rPr>
          <w:rFonts w:ascii="Arial" w:hAnsi="Arial" w:cs="Arial"/>
          <w:lang w:val="en-US"/>
        </w:rPr>
        <w:instrText xml:space="preserve"> \* MERGEFORMAT </w:instrText>
      </w:r>
      <w:r w:rsidR="007723E6" w:rsidRPr="00EB6D4E">
        <w:rPr>
          <w:rFonts w:ascii="Arial" w:hAnsi="Arial" w:cs="Arial"/>
          <w:lang w:val="en-US"/>
        </w:rPr>
      </w:r>
      <w:r w:rsidR="007723E6" w:rsidRPr="00EB6D4E">
        <w:rPr>
          <w:rFonts w:ascii="Arial" w:hAnsi="Arial" w:cs="Arial"/>
          <w:lang w:val="en-US"/>
        </w:rPr>
        <w:fldChar w:fldCharType="separate"/>
      </w:r>
      <w:r w:rsidR="0014577F" w:rsidRPr="00EB6D4E">
        <w:rPr>
          <w:rFonts w:ascii="Arial" w:hAnsi="Arial" w:cs="Arial"/>
          <w:color w:val="000000" w:themeColor="text1"/>
        </w:rPr>
        <w:t xml:space="preserve">Table </w:t>
      </w:r>
      <w:r w:rsidR="0014577F" w:rsidRPr="00EB6D4E">
        <w:rPr>
          <w:rFonts w:ascii="Arial" w:hAnsi="Arial" w:cs="Arial"/>
          <w:noProof/>
          <w:color w:val="000000" w:themeColor="text1"/>
        </w:rPr>
        <w:t>1</w:t>
      </w:r>
      <w:r w:rsidR="007723E6" w:rsidRPr="00EB6D4E">
        <w:rPr>
          <w:rFonts w:ascii="Arial" w:hAnsi="Arial" w:cs="Arial"/>
          <w:lang w:val="en-US"/>
        </w:rPr>
        <w:fldChar w:fldCharType="end"/>
      </w:r>
      <w:r w:rsidR="007723E6" w:rsidRPr="00694F5F">
        <w:rPr>
          <w:rFonts w:ascii="Arial" w:hAnsi="Arial" w:cs="Arial"/>
          <w:lang w:val="en-US"/>
        </w:rPr>
        <w:t>.</w:t>
      </w:r>
      <w:r w:rsidR="00E41664">
        <w:rPr>
          <w:rFonts w:ascii="Arial" w:hAnsi="Arial" w:cs="Arial"/>
          <w:lang w:val="en-US"/>
        </w:rPr>
        <w:t xml:space="preserve"> </w:t>
      </w:r>
      <w:r w:rsidR="003A7B39">
        <w:rPr>
          <w:rFonts w:ascii="Arial" w:hAnsi="Arial" w:cs="Arial"/>
          <w:lang w:val="en-US"/>
        </w:rPr>
        <w:t xml:space="preserve"> </w:t>
      </w:r>
      <w:r w:rsidR="00A75745">
        <w:rPr>
          <w:rFonts w:ascii="Arial" w:hAnsi="Arial" w:cs="Arial"/>
          <w:lang w:val="en-US"/>
        </w:rPr>
        <w:t xml:space="preserve">Such practitioner research might include the form of inquiry inherent in Revans (1982) classic account of action </w:t>
      </w:r>
      <w:r w:rsidR="00240FA3">
        <w:rPr>
          <w:rFonts w:ascii="Arial" w:hAnsi="Arial" w:cs="Arial"/>
          <w:lang w:val="en-US"/>
        </w:rPr>
        <w:t>l</w:t>
      </w:r>
      <w:r w:rsidR="00A75745">
        <w:rPr>
          <w:rFonts w:ascii="Arial" w:hAnsi="Arial" w:cs="Arial"/>
          <w:lang w:val="en-US"/>
        </w:rPr>
        <w:t>earning (Marsick &amp; O’</w:t>
      </w:r>
      <w:r w:rsidR="00EF5412">
        <w:rPr>
          <w:rFonts w:ascii="Arial" w:hAnsi="Arial" w:cs="Arial"/>
          <w:lang w:val="en-US"/>
        </w:rPr>
        <w:t>N</w:t>
      </w:r>
      <w:r w:rsidR="00A75745">
        <w:rPr>
          <w:rFonts w:ascii="Arial" w:hAnsi="Arial" w:cs="Arial"/>
          <w:lang w:val="en-US"/>
        </w:rPr>
        <w:t xml:space="preserve">eill, 1999, 161).  </w:t>
      </w:r>
      <w:r w:rsidR="00240FA3">
        <w:rPr>
          <w:rFonts w:ascii="Arial" w:hAnsi="Arial" w:cs="Arial"/>
          <w:lang w:val="en-US"/>
        </w:rPr>
        <w:t xml:space="preserve">With </w:t>
      </w:r>
      <w:r w:rsidR="00937338">
        <w:rPr>
          <w:rFonts w:ascii="Arial" w:hAnsi="Arial" w:cs="Arial"/>
          <w:lang w:val="en-US"/>
        </w:rPr>
        <w:t>the transition from Practitioner to Scholarly-Practititioner</w:t>
      </w:r>
      <w:r w:rsidR="00E31ED0">
        <w:rPr>
          <w:rFonts w:ascii="Arial" w:hAnsi="Arial" w:cs="Arial"/>
          <w:lang w:val="en-US"/>
        </w:rPr>
        <w:t xml:space="preserve"> </w:t>
      </w:r>
      <w:r w:rsidR="00937338">
        <w:rPr>
          <w:rFonts w:ascii="Arial" w:hAnsi="Arial" w:cs="Arial"/>
          <w:lang w:val="en-US"/>
        </w:rPr>
        <w:t xml:space="preserve">I am considering an individual </w:t>
      </w:r>
      <w:r w:rsidR="00240FA3">
        <w:rPr>
          <w:rFonts w:ascii="Arial" w:hAnsi="Arial" w:cs="Arial"/>
          <w:lang w:val="en-US"/>
        </w:rPr>
        <w:t xml:space="preserve">who </w:t>
      </w:r>
      <w:r w:rsidR="007C6911">
        <w:rPr>
          <w:rFonts w:ascii="Arial" w:hAnsi="Arial" w:cs="Arial"/>
          <w:lang w:val="en-US"/>
        </w:rPr>
        <w:t xml:space="preserve">holds a comprehensive </w:t>
      </w:r>
      <w:r w:rsidR="007C6911">
        <w:rPr>
          <w:rFonts w:ascii="Arial" w:hAnsi="Arial" w:cs="Arial"/>
          <w:lang w:val="en-US"/>
        </w:rPr>
        <w:lastRenderedPageBreak/>
        <w:t xml:space="preserve">stock of </w:t>
      </w:r>
      <w:r w:rsidR="00E31ED0">
        <w:rPr>
          <w:rFonts w:ascii="Arial" w:hAnsi="Arial" w:cs="Arial"/>
          <w:lang w:val="en-US"/>
        </w:rPr>
        <w:t>practitioner resources</w:t>
      </w:r>
      <w:r w:rsidR="00240FA3">
        <w:rPr>
          <w:rFonts w:ascii="Arial" w:hAnsi="Arial" w:cs="Arial"/>
          <w:lang w:val="en-US"/>
        </w:rPr>
        <w:t xml:space="preserve">, and decides to embark on a </w:t>
      </w:r>
      <w:r w:rsidR="00337776">
        <w:rPr>
          <w:rFonts w:ascii="Arial" w:hAnsi="Arial" w:cs="Arial"/>
          <w:lang w:val="en-US"/>
        </w:rPr>
        <w:t xml:space="preserve">development journey </w:t>
      </w:r>
      <w:r w:rsidR="00240FA3">
        <w:rPr>
          <w:rFonts w:ascii="Arial" w:hAnsi="Arial" w:cs="Arial"/>
          <w:lang w:val="en-US"/>
        </w:rPr>
        <w:t>that involves,</w:t>
      </w:r>
      <w:r w:rsidR="00337776">
        <w:rPr>
          <w:rFonts w:ascii="Arial" w:hAnsi="Arial" w:cs="Arial"/>
          <w:lang w:val="en-US"/>
        </w:rPr>
        <w:t xml:space="preserve"> in an instrumental sense, the acquisition of a scholar’s resources</w:t>
      </w:r>
      <w:r w:rsidR="00CA598A">
        <w:rPr>
          <w:rFonts w:ascii="Arial" w:hAnsi="Arial" w:cs="Arial"/>
          <w:lang w:val="en-US"/>
        </w:rPr>
        <w:t xml:space="preserve"> </w:t>
      </w:r>
      <w:r w:rsidR="00CA598A" w:rsidRPr="00EB6D4E">
        <w:rPr>
          <w:rFonts w:ascii="Arial" w:hAnsi="Arial" w:cs="Arial"/>
          <w:lang w:val="en-US"/>
        </w:rPr>
        <w:t>(</w:t>
      </w:r>
      <w:r w:rsidR="00CA598A" w:rsidRPr="00EB6D4E">
        <w:rPr>
          <w:rFonts w:ascii="Arial" w:hAnsi="Arial" w:cs="Arial"/>
          <w:lang w:val="en-US"/>
        </w:rPr>
        <w:fldChar w:fldCharType="begin"/>
      </w:r>
      <w:r w:rsidR="00CA598A" w:rsidRPr="00EB6D4E">
        <w:rPr>
          <w:rFonts w:ascii="Arial" w:hAnsi="Arial" w:cs="Arial"/>
          <w:lang w:val="en-US"/>
        </w:rPr>
        <w:instrText xml:space="preserve"> REF _Ref505247727 \h </w:instrText>
      </w:r>
      <w:r w:rsidR="00CA598A" w:rsidRPr="00EB6D4E">
        <w:rPr>
          <w:rFonts w:ascii="Arial" w:hAnsi="Arial" w:cs="Arial"/>
          <w:lang w:val="en-US"/>
        </w:rPr>
      </w:r>
      <w:r w:rsidR="00CA598A" w:rsidRPr="00EB6D4E">
        <w:rPr>
          <w:rFonts w:ascii="Arial" w:hAnsi="Arial" w:cs="Arial"/>
          <w:lang w:val="en-US"/>
        </w:rPr>
        <w:fldChar w:fldCharType="separate"/>
      </w:r>
      <w:r w:rsidR="0014577F" w:rsidRPr="00EB6D4E">
        <w:rPr>
          <w:rFonts w:ascii="Arial" w:hAnsi="Arial" w:cs="Arial"/>
          <w:color w:val="000000" w:themeColor="text1"/>
        </w:rPr>
        <w:t xml:space="preserve">Table </w:t>
      </w:r>
      <w:r w:rsidR="0014577F" w:rsidRPr="00EB6D4E">
        <w:rPr>
          <w:rFonts w:ascii="Arial" w:hAnsi="Arial" w:cs="Arial"/>
          <w:noProof/>
          <w:color w:val="000000" w:themeColor="text1"/>
        </w:rPr>
        <w:t>1</w:t>
      </w:r>
      <w:r w:rsidR="00CA598A" w:rsidRPr="00EB6D4E">
        <w:rPr>
          <w:rFonts w:ascii="Arial" w:hAnsi="Arial" w:cs="Arial"/>
          <w:lang w:val="en-US"/>
        </w:rPr>
        <w:fldChar w:fldCharType="end"/>
      </w:r>
      <w:r w:rsidR="00CA598A" w:rsidRPr="00EB6D4E">
        <w:rPr>
          <w:rFonts w:ascii="Arial" w:hAnsi="Arial" w:cs="Arial"/>
          <w:lang w:val="en-US"/>
        </w:rPr>
        <w:t>)</w:t>
      </w:r>
      <w:r w:rsidR="00E31ED0" w:rsidRPr="00EB6D4E">
        <w:rPr>
          <w:rFonts w:ascii="Arial" w:hAnsi="Arial" w:cs="Arial"/>
          <w:lang w:val="en-US"/>
        </w:rPr>
        <w:t xml:space="preserve">. </w:t>
      </w:r>
      <w:r w:rsidR="00337776" w:rsidRPr="00EB6D4E">
        <w:rPr>
          <w:rFonts w:ascii="Arial" w:hAnsi="Arial" w:cs="Arial"/>
          <w:lang w:val="en-US"/>
        </w:rPr>
        <w:t xml:space="preserve"> </w:t>
      </w:r>
    </w:p>
    <w:p w14:paraId="72A6B162" w14:textId="77777777" w:rsidR="00E34990" w:rsidRDefault="00E34990" w:rsidP="005A6B52">
      <w:pPr>
        <w:spacing w:line="360" w:lineRule="auto"/>
        <w:rPr>
          <w:rFonts w:ascii="Arial" w:hAnsi="Arial" w:cs="Arial"/>
          <w:lang w:val="en-US"/>
        </w:rPr>
      </w:pPr>
    </w:p>
    <w:p w14:paraId="3474A000" w14:textId="77777777" w:rsidR="00E34990" w:rsidRDefault="00E34990" w:rsidP="005A6B52">
      <w:pPr>
        <w:spacing w:line="360" w:lineRule="auto"/>
        <w:rPr>
          <w:rFonts w:ascii="Arial" w:hAnsi="Arial" w:cs="Arial"/>
          <w:lang w:val="en-US"/>
        </w:rPr>
      </w:pPr>
    </w:p>
    <w:p w14:paraId="43885FA4" w14:textId="2FFED807" w:rsidR="005C2005" w:rsidRPr="005C2005" w:rsidRDefault="005C2005" w:rsidP="005F69A4">
      <w:pPr>
        <w:pStyle w:val="Caption"/>
        <w:keepNext/>
        <w:outlineLvl w:val="0"/>
        <w:rPr>
          <w:rFonts w:ascii="Arial" w:hAnsi="Arial" w:cs="Arial"/>
          <w:i w:val="0"/>
          <w:color w:val="000000" w:themeColor="text1"/>
          <w:sz w:val="24"/>
          <w:szCs w:val="24"/>
        </w:rPr>
      </w:pPr>
      <w:bookmarkStart w:id="0" w:name="_Ref505247727"/>
      <w:r w:rsidRPr="005C2005">
        <w:rPr>
          <w:rFonts w:ascii="Arial" w:hAnsi="Arial" w:cs="Arial"/>
          <w:i w:val="0"/>
          <w:color w:val="000000" w:themeColor="text1"/>
          <w:sz w:val="24"/>
          <w:szCs w:val="24"/>
        </w:rPr>
        <w:t xml:space="preserve">Table </w:t>
      </w:r>
      <w:r w:rsidRPr="005C2005">
        <w:rPr>
          <w:rFonts w:ascii="Arial" w:hAnsi="Arial" w:cs="Arial"/>
          <w:i w:val="0"/>
          <w:color w:val="000000" w:themeColor="text1"/>
          <w:sz w:val="24"/>
          <w:szCs w:val="24"/>
        </w:rPr>
        <w:fldChar w:fldCharType="begin"/>
      </w:r>
      <w:r w:rsidRPr="005C2005">
        <w:rPr>
          <w:rFonts w:ascii="Arial" w:hAnsi="Arial" w:cs="Arial"/>
          <w:i w:val="0"/>
          <w:color w:val="000000" w:themeColor="text1"/>
          <w:sz w:val="24"/>
          <w:szCs w:val="24"/>
        </w:rPr>
        <w:instrText xml:space="preserve"> SEQ Table \* ARABIC </w:instrText>
      </w:r>
      <w:r w:rsidRPr="005C2005">
        <w:rPr>
          <w:rFonts w:ascii="Arial" w:hAnsi="Arial" w:cs="Arial"/>
          <w:i w:val="0"/>
          <w:color w:val="000000" w:themeColor="text1"/>
          <w:sz w:val="24"/>
          <w:szCs w:val="24"/>
        </w:rPr>
        <w:fldChar w:fldCharType="separate"/>
      </w:r>
      <w:r w:rsidR="000363AD">
        <w:rPr>
          <w:rFonts w:ascii="Arial" w:hAnsi="Arial" w:cs="Arial"/>
          <w:i w:val="0"/>
          <w:noProof/>
          <w:color w:val="000000" w:themeColor="text1"/>
          <w:sz w:val="24"/>
          <w:szCs w:val="24"/>
        </w:rPr>
        <w:t>1</w:t>
      </w:r>
      <w:r w:rsidRPr="005C2005">
        <w:rPr>
          <w:rFonts w:ascii="Arial" w:hAnsi="Arial" w:cs="Arial"/>
          <w:i w:val="0"/>
          <w:color w:val="000000" w:themeColor="text1"/>
          <w:sz w:val="24"/>
          <w:szCs w:val="24"/>
        </w:rPr>
        <w:fldChar w:fldCharType="end"/>
      </w:r>
      <w:bookmarkEnd w:id="0"/>
    </w:p>
    <w:tbl>
      <w:tblPr>
        <w:tblStyle w:val="TableGrid"/>
        <w:tblW w:w="0" w:type="auto"/>
        <w:tblLook w:val="04A0" w:firstRow="1" w:lastRow="0" w:firstColumn="1" w:lastColumn="0" w:noHBand="0" w:noVBand="1"/>
      </w:tblPr>
      <w:tblGrid>
        <w:gridCol w:w="2065"/>
        <w:gridCol w:w="3330"/>
        <w:gridCol w:w="3615"/>
      </w:tblGrid>
      <w:tr w:rsidR="00AB56E0" w14:paraId="06AADE19" w14:textId="77777777" w:rsidTr="00A574C6">
        <w:tc>
          <w:tcPr>
            <w:tcW w:w="2065" w:type="dxa"/>
            <w:tcBorders>
              <w:bottom w:val="single" w:sz="4" w:space="0" w:color="auto"/>
            </w:tcBorders>
          </w:tcPr>
          <w:p w14:paraId="0EAD8DBB" w14:textId="77777777" w:rsidR="00E34990" w:rsidRDefault="00E34990" w:rsidP="00C62FBB">
            <w:pPr>
              <w:rPr>
                <w:rFonts w:ascii="Arial" w:hAnsi="Arial" w:cs="Arial"/>
                <w:lang w:val="en-US"/>
              </w:rPr>
            </w:pPr>
          </w:p>
        </w:tc>
        <w:tc>
          <w:tcPr>
            <w:tcW w:w="3330" w:type="dxa"/>
            <w:shd w:val="clear" w:color="auto" w:fill="D9D9D9" w:themeFill="background1" w:themeFillShade="D9"/>
          </w:tcPr>
          <w:p w14:paraId="332309DD" w14:textId="0975175E" w:rsidR="00E34990" w:rsidRPr="00C62FBB" w:rsidRDefault="002E6ECD" w:rsidP="00C62FBB">
            <w:pPr>
              <w:jc w:val="center"/>
              <w:rPr>
                <w:rFonts w:ascii="Arial" w:hAnsi="Arial" w:cs="Arial"/>
                <w:b/>
                <w:lang w:val="en-US"/>
              </w:rPr>
            </w:pPr>
            <w:r w:rsidRPr="00C62FBB">
              <w:rPr>
                <w:rFonts w:ascii="Arial" w:hAnsi="Arial" w:cs="Arial"/>
                <w:b/>
                <w:lang w:val="en-US"/>
              </w:rPr>
              <w:t>Scholar</w:t>
            </w:r>
          </w:p>
        </w:tc>
        <w:tc>
          <w:tcPr>
            <w:tcW w:w="3615" w:type="dxa"/>
            <w:shd w:val="clear" w:color="auto" w:fill="D9D9D9" w:themeFill="background1" w:themeFillShade="D9"/>
          </w:tcPr>
          <w:p w14:paraId="623E2F56" w14:textId="6C0E3734" w:rsidR="00E34990" w:rsidRPr="00C62FBB" w:rsidRDefault="002E6ECD" w:rsidP="00C62FBB">
            <w:pPr>
              <w:jc w:val="center"/>
              <w:rPr>
                <w:rFonts w:ascii="Arial" w:hAnsi="Arial" w:cs="Arial"/>
                <w:b/>
                <w:lang w:val="en-US"/>
              </w:rPr>
            </w:pPr>
            <w:r w:rsidRPr="00C62FBB">
              <w:rPr>
                <w:rFonts w:ascii="Arial" w:hAnsi="Arial" w:cs="Arial"/>
                <w:b/>
                <w:lang w:val="en-US"/>
              </w:rPr>
              <w:t>Practitioner</w:t>
            </w:r>
          </w:p>
        </w:tc>
      </w:tr>
      <w:tr w:rsidR="00AB56E0" w14:paraId="281DF4D9" w14:textId="77777777" w:rsidTr="00A574C6">
        <w:tc>
          <w:tcPr>
            <w:tcW w:w="2065" w:type="dxa"/>
            <w:shd w:val="clear" w:color="auto" w:fill="D9D9D9" w:themeFill="background1" w:themeFillShade="D9"/>
          </w:tcPr>
          <w:p w14:paraId="64170F1D" w14:textId="38758C59" w:rsidR="00E34990" w:rsidRPr="00A574C6" w:rsidRDefault="002E6ECD" w:rsidP="00C62FBB">
            <w:pPr>
              <w:rPr>
                <w:rFonts w:ascii="Arial" w:hAnsi="Arial" w:cs="Arial"/>
                <w:b/>
                <w:lang w:val="en-US"/>
              </w:rPr>
            </w:pPr>
            <w:r w:rsidRPr="00A574C6">
              <w:rPr>
                <w:rFonts w:ascii="Arial" w:hAnsi="Arial" w:cs="Arial"/>
                <w:b/>
                <w:lang w:val="en-US"/>
              </w:rPr>
              <w:t>Research</w:t>
            </w:r>
            <w:r w:rsidR="00C62FBB" w:rsidRPr="00A574C6">
              <w:rPr>
                <w:rFonts w:ascii="Arial" w:hAnsi="Arial" w:cs="Arial"/>
                <w:b/>
                <w:lang w:val="en-US"/>
              </w:rPr>
              <w:t xml:space="preserve"> goal</w:t>
            </w:r>
            <w:r w:rsidR="00AF676B">
              <w:rPr>
                <w:rFonts w:ascii="Arial" w:hAnsi="Arial" w:cs="Arial"/>
                <w:b/>
                <w:lang w:val="en-US"/>
              </w:rPr>
              <w:t xml:space="preserve"> (link to an organisational change)</w:t>
            </w:r>
          </w:p>
        </w:tc>
        <w:tc>
          <w:tcPr>
            <w:tcW w:w="3330" w:type="dxa"/>
          </w:tcPr>
          <w:p w14:paraId="63ABC7EA" w14:textId="44A4F095" w:rsidR="00E34990" w:rsidRDefault="00C62FBB" w:rsidP="00C62FBB">
            <w:pPr>
              <w:rPr>
                <w:rFonts w:ascii="Arial" w:hAnsi="Arial" w:cs="Arial"/>
                <w:lang w:val="en-US"/>
              </w:rPr>
            </w:pPr>
            <w:r>
              <w:rPr>
                <w:rFonts w:ascii="Arial" w:hAnsi="Arial" w:cs="Arial"/>
                <w:lang w:val="en-US"/>
              </w:rPr>
              <w:t>Advancing scientific knowledge, evidenced by a contribution to the academic literature</w:t>
            </w:r>
          </w:p>
        </w:tc>
        <w:tc>
          <w:tcPr>
            <w:tcW w:w="3615" w:type="dxa"/>
          </w:tcPr>
          <w:p w14:paraId="055C5D1D" w14:textId="77777777" w:rsidR="00E34990" w:rsidRDefault="00C62FBB" w:rsidP="00C62FBB">
            <w:pPr>
              <w:rPr>
                <w:rFonts w:ascii="Arial" w:hAnsi="Arial" w:cs="Arial"/>
                <w:lang w:val="en-US"/>
              </w:rPr>
            </w:pPr>
            <w:r>
              <w:rPr>
                <w:rFonts w:ascii="Arial" w:hAnsi="Arial" w:cs="Arial"/>
                <w:lang w:val="en-US"/>
              </w:rPr>
              <w:t>Making improvements with an organisational issue, as evidenced by a positive change in the performance of an organisation</w:t>
            </w:r>
            <w:r w:rsidR="00587D3F">
              <w:rPr>
                <w:rFonts w:ascii="Arial" w:hAnsi="Arial" w:cs="Arial"/>
                <w:lang w:val="en-US"/>
              </w:rPr>
              <w:t>.</w:t>
            </w:r>
          </w:p>
          <w:p w14:paraId="502149ED" w14:textId="6BBB23E1" w:rsidR="00587D3F" w:rsidRDefault="00587D3F" w:rsidP="00C62FBB">
            <w:pPr>
              <w:rPr>
                <w:rFonts w:ascii="Arial" w:hAnsi="Arial" w:cs="Arial"/>
                <w:lang w:val="en-US"/>
              </w:rPr>
            </w:pPr>
          </w:p>
        </w:tc>
      </w:tr>
      <w:tr w:rsidR="00AB56E0" w14:paraId="6D3235D3" w14:textId="77777777" w:rsidTr="00A574C6">
        <w:tc>
          <w:tcPr>
            <w:tcW w:w="2065" w:type="dxa"/>
            <w:shd w:val="clear" w:color="auto" w:fill="D9D9D9" w:themeFill="background1" w:themeFillShade="D9"/>
          </w:tcPr>
          <w:p w14:paraId="2046E3F4" w14:textId="7532C155" w:rsidR="00E34990" w:rsidRPr="00A574C6" w:rsidRDefault="003F5BAE" w:rsidP="00C62FBB">
            <w:pPr>
              <w:rPr>
                <w:rFonts w:ascii="Arial" w:hAnsi="Arial" w:cs="Arial"/>
                <w:b/>
                <w:lang w:val="en-US"/>
              </w:rPr>
            </w:pPr>
            <w:r>
              <w:rPr>
                <w:rFonts w:ascii="Arial" w:hAnsi="Arial" w:cs="Arial"/>
                <w:b/>
                <w:lang w:val="en-US"/>
              </w:rPr>
              <w:t>Resources</w:t>
            </w:r>
          </w:p>
        </w:tc>
        <w:tc>
          <w:tcPr>
            <w:tcW w:w="3330" w:type="dxa"/>
          </w:tcPr>
          <w:p w14:paraId="688DBFFA" w14:textId="76425047" w:rsidR="00E34990" w:rsidRDefault="00C62FBB" w:rsidP="00C62FBB">
            <w:pPr>
              <w:rPr>
                <w:rFonts w:ascii="Arial" w:hAnsi="Arial" w:cs="Arial"/>
                <w:lang w:val="en-US"/>
              </w:rPr>
            </w:pPr>
            <w:r>
              <w:rPr>
                <w:rFonts w:ascii="Arial" w:hAnsi="Arial" w:cs="Arial"/>
                <w:lang w:val="en-US"/>
              </w:rPr>
              <w:t>Extant scientific knowledge</w:t>
            </w:r>
            <w:r w:rsidR="00E31ED0">
              <w:rPr>
                <w:rFonts w:ascii="Arial" w:hAnsi="Arial" w:cs="Arial"/>
                <w:lang w:val="en-US"/>
              </w:rPr>
              <w:t>, i.e. t</w:t>
            </w:r>
            <w:r w:rsidR="003F5BAE">
              <w:rPr>
                <w:rFonts w:ascii="Arial" w:hAnsi="Arial" w:cs="Arial"/>
                <w:lang w:val="en-US"/>
              </w:rPr>
              <w:t xml:space="preserve">heories and findings </w:t>
            </w:r>
            <w:r w:rsidR="00E31ED0">
              <w:rPr>
                <w:rFonts w:ascii="Arial" w:hAnsi="Arial" w:cs="Arial"/>
                <w:lang w:val="en-US"/>
              </w:rPr>
              <w:t xml:space="preserve">available from the </w:t>
            </w:r>
            <w:r w:rsidR="003F5BAE">
              <w:rPr>
                <w:rFonts w:ascii="Arial" w:hAnsi="Arial" w:cs="Arial"/>
                <w:lang w:val="en-US"/>
              </w:rPr>
              <w:t>extant</w:t>
            </w:r>
            <w:r w:rsidR="00071FC2">
              <w:rPr>
                <w:rFonts w:ascii="Arial" w:hAnsi="Arial" w:cs="Arial"/>
                <w:lang w:val="en-US"/>
              </w:rPr>
              <w:t xml:space="preserve"> research </w:t>
            </w:r>
            <w:r w:rsidR="003F5BAE">
              <w:rPr>
                <w:rFonts w:ascii="Arial" w:hAnsi="Arial" w:cs="Arial"/>
                <w:lang w:val="en-US"/>
              </w:rPr>
              <w:t xml:space="preserve">literature.  </w:t>
            </w:r>
          </w:p>
          <w:p w14:paraId="36EAFA68" w14:textId="77777777" w:rsidR="00CF19FB" w:rsidRDefault="00CF19FB" w:rsidP="00C62FBB">
            <w:pPr>
              <w:rPr>
                <w:rFonts w:ascii="Arial" w:hAnsi="Arial" w:cs="Arial"/>
                <w:lang w:val="en-US"/>
              </w:rPr>
            </w:pPr>
          </w:p>
          <w:p w14:paraId="50BCCD26" w14:textId="634ED6B3" w:rsidR="00CF19FB" w:rsidRDefault="00071FC2" w:rsidP="00C62FBB">
            <w:pPr>
              <w:rPr>
                <w:rFonts w:ascii="Arial" w:hAnsi="Arial" w:cs="Arial"/>
                <w:lang w:val="en-US"/>
              </w:rPr>
            </w:pPr>
            <w:r>
              <w:rPr>
                <w:rFonts w:ascii="Arial" w:hAnsi="Arial" w:cs="Arial"/>
                <w:lang w:val="en-US"/>
              </w:rPr>
              <w:t xml:space="preserve">Knowledge and experience of research methodologies </w:t>
            </w:r>
            <w:r w:rsidR="00E31ED0">
              <w:rPr>
                <w:rFonts w:ascii="Arial" w:hAnsi="Arial" w:cs="Arial"/>
                <w:lang w:val="en-US"/>
              </w:rPr>
              <w:t>accepted by the community of scientists.</w:t>
            </w:r>
          </w:p>
          <w:p w14:paraId="5AA3C72E" w14:textId="2C51948E" w:rsidR="00587D3F" w:rsidRDefault="00587D3F" w:rsidP="00C62FBB">
            <w:pPr>
              <w:rPr>
                <w:rFonts w:ascii="Arial" w:hAnsi="Arial" w:cs="Arial"/>
                <w:lang w:val="en-US"/>
              </w:rPr>
            </w:pPr>
          </w:p>
        </w:tc>
        <w:tc>
          <w:tcPr>
            <w:tcW w:w="3615" w:type="dxa"/>
          </w:tcPr>
          <w:p w14:paraId="32AF4AC4" w14:textId="77777777" w:rsidR="00071FC2" w:rsidRDefault="00CF19FB" w:rsidP="00C62FBB">
            <w:pPr>
              <w:rPr>
                <w:rFonts w:ascii="Arial" w:hAnsi="Arial" w:cs="Arial"/>
                <w:lang w:val="en-US"/>
              </w:rPr>
            </w:pPr>
            <w:r>
              <w:rPr>
                <w:rFonts w:ascii="Arial" w:hAnsi="Arial" w:cs="Arial"/>
                <w:lang w:val="en-US"/>
              </w:rPr>
              <w:t xml:space="preserve">The organisation's repository of documentary information.  </w:t>
            </w:r>
          </w:p>
          <w:p w14:paraId="270A8A19" w14:textId="77777777" w:rsidR="00071FC2" w:rsidRDefault="00071FC2" w:rsidP="00C62FBB">
            <w:pPr>
              <w:rPr>
                <w:rFonts w:ascii="Arial" w:hAnsi="Arial" w:cs="Arial"/>
                <w:lang w:val="en-US"/>
              </w:rPr>
            </w:pPr>
          </w:p>
          <w:p w14:paraId="7210E6EB" w14:textId="77777777" w:rsidR="00EB6D4E" w:rsidRDefault="00A574C6" w:rsidP="00C62FBB">
            <w:pPr>
              <w:rPr>
                <w:rFonts w:ascii="Arial" w:hAnsi="Arial" w:cs="Arial"/>
                <w:lang w:val="en-US"/>
              </w:rPr>
            </w:pPr>
            <w:r>
              <w:rPr>
                <w:rFonts w:ascii="Arial" w:hAnsi="Arial" w:cs="Arial"/>
                <w:lang w:val="en-US"/>
              </w:rPr>
              <w:t>Experiential knowledge held by the individual</w:t>
            </w:r>
            <w:r w:rsidR="00741B32">
              <w:rPr>
                <w:rFonts w:ascii="Arial" w:hAnsi="Arial" w:cs="Arial"/>
                <w:lang w:val="en-US"/>
              </w:rPr>
              <w:t xml:space="preserve"> practitioner</w:t>
            </w:r>
            <w:r>
              <w:rPr>
                <w:rFonts w:ascii="Arial" w:hAnsi="Arial" w:cs="Arial"/>
                <w:lang w:val="en-US"/>
              </w:rPr>
              <w:t>.</w:t>
            </w:r>
            <w:r w:rsidR="003F5BAE">
              <w:rPr>
                <w:rFonts w:ascii="Arial" w:hAnsi="Arial" w:cs="Arial"/>
                <w:lang w:val="en-US"/>
              </w:rPr>
              <w:t xml:space="preserve">  </w:t>
            </w:r>
          </w:p>
          <w:p w14:paraId="45485C91" w14:textId="77777777" w:rsidR="00EB6D4E" w:rsidRDefault="00EB6D4E" w:rsidP="00C62FBB">
            <w:pPr>
              <w:rPr>
                <w:rFonts w:ascii="Arial" w:hAnsi="Arial" w:cs="Arial"/>
                <w:lang w:val="en-US"/>
              </w:rPr>
            </w:pPr>
          </w:p>
          <w:p w14:paraId="581D0ABF" w14:textId="0D77BADD" w:rsidR="00E34990" w:rsidRDefault="003F5BAE" w:rsidP="00C62FBB">
            <w:pPr>
              <w:rPr>
                <w:rFonts w:ascii="Arial" w:hAnsi="Arial" w:cs="Arial"/>
                <w:lang w:val="en-US"/>
              </w:rPr>
            </w:pPr>
            <w:r>
              <w:rPr>
                <w:rFonts w:ascii="Arial" w:hAnsi="Arial" w:cs="Arial"/>
                <w:lang w:val="en-US"/>
              </w:rPr>
              <w:t>Cultural resources</w:t>
            </w:r>
            <w:r w:rsidR="00AF676B">
              <w:rPr>
                <w:rFonts w:ascii="Arial" w:hAnsi="Arial" w:cs="Arial"/>
                <w:lang w:val="en-US"/>
              </w:rPr>
              <w:t xml:space="preserve"> (Swidler, 1986) </w:t>
            </w:r>
            <w:r w:rsidR="00A60377">
              <w:rPr>
                <w:rFonts w:ascii="Arial" w:hAnsi="Arial" w:cs="Arial"/>
                <w:lang w:val="en-US"/>
              </w:rPr>
              <w:t>associ</w:t>
            </w:r>
            <w:r w:rsidR="00CF19FB">
              <w:rPr>
                <w:rFonts w:ascii="Arial" w:hAnsi="Arial" w:cs="Arial"/>
                <w:lang w:val="en-US"/>
              </w:rPr>
              <w:t>ated</w:t>
            </w:r>
            <w:r w:rsidR="00AF676B">
              <w:rPr>
                <w:rFonts w:ascii="Arial" w:hAnsi="Arial" w:cs="Arial"/>
                <w:lang w:val="en-US"/>
              </w:rPr>
              <w:t xml:space="preserve"> the focal organisation</w:t>
            </w:r>
            <w:r>
              <w:rPr>
                <w:rFonts w:ascii="Arial" w:hAnsi="Arial" w:cs="Arial"/>
                <w:lang w:val="en-US"/>
              </w:rPr>
              <w:t>.</w:t>
            </w:r>
          </w:p>
        </w:tc>
      </w:tr>
    </w:tbl>
    <w:p w14:paraId="7D059CB0" w14:textId="105E5821" w:rsidR="00E923C8" w:rsidRDefault="00E923C8" w:rsidP="005A6B52">
      <w:pPr>
        <w:spacing w:line="360" w:lineRule="auto"/>
        <w:rPr>
          <w:rFonts w:ascii="Arial" w:hAnsi="Arial" w:cs="Arial"/>
          <w:lang w:val="en-US"/>
        </w:rPr>
      </w:pPr>
    </w:p>
    <w:p w14:paraId="042D7C11" w14:textId="77777777" w:rsidR="00E923C8" w:rsidRDefault="00E923C8" w:rsidP="005A6B52">
      <w:pPr>
        <w:spacing w:line="360" w:lineRule="auto"/>
        <w:rPr>
          <w:rFonts w:ascii="Arial" w:hAnsi="Arial" w:cs="Arial"/>
          <w:lang w:val="en-US"/>
        </w:rPr>
      </w:pPr>
    </w:p>
    <w:p w14:paraId="0C8CF8E4" w14:textId="639A6093" w:rsidR="006E71BF" w:rsidRDefault="002410E0" w:rsidP="005A6B52">
      <w:pPr>
        <w:spacing w:line="360" w:lineRule="auto"/>
        <w:rPr>
          <w:rFonts w:ascii="Arial" w:hAnsi="Arial" w:cs="Arial"/>
          <w:lang w:val="en-US"/>
        </w:rPr>
      </w:pPr>
      <w:r>
        <w:rPr>
          <w:rFonts w:ascii="Arial" w:hAnsi="Arial" w:cs="Arial"/>
          <w:lang w:val="en-US"/>
        </w:rPr>
        <w:t>The "scholar</w:t>
      </w:r>
      <w:r w:rsidR="00364A16">
        <w:rPr>
          <w:rFonts w:ascii="Arial" w:hAnsi="Arial" w:cs="Arial"/>
          <w:lang w:val="en-US"/>
        </w:rPr>
        <w:t>ly</w:t>
      </w:r>
      <w:r>
        <w:rPr>
          <w:rFonts w:ascii="Arial" w:hAnsi="Arial" w:cs="Arial"/>
          <w:lang w:val="en-US"/>
        </w:rPr>
        <w:t xml:space="preserve">-practitioner" is neither of these </w:t>
      </w:r>
      <w:r w:rsidR="00E04298">
        <w:rPr>
          <w:rFonts w:ascii="Arial" w:hAnsi="Arial" w:cs="Arial"/>
          <w:lang w:val="en-US"/>
        </w:rPr>
        <w:t>categories</w:t>
      </w:r>
      <w:r>
        <w:rPr>
          <w:rFonts w:ascii="Arial" w:hAnsi="Arial" w:cs="Arial"/>
          <w:lang w:val="en-US"/>
        </w:rPr>
        <w:t xml:space="preserve"> (Table</w:t>
      </w:r>
      <w:r w:rsidR="00B41922">
        <w:rPr>
          <w:rFonts w:ascii="Arial" w:hAnsi="Arial" w:cs="Arial"/>
          <w:lang w:val="en-US"/>
        </w:rPr>
        <w:t xml:space="preserve"> 1).  Rather it</w:t>
      </w:r>
      <w:r w:rsidR="0026578B">
        <w:rPr>
          <w:rFonts w:ascii="Arial" w:hAnsi="Arial" w:cs="Arial"/>
          <w:lang w:val="en-US"/>
        </w:rPr>
        <w:t xml:space="preserve"> derives its ontology</w:t>
      </w:r>
      <w:r>
        <w:rPr>
          <w:rFonts w:ascii="Arial" w:hAnsi="Arial" w:cs="Arial"/>
          <w:lang w:val="en-US"/>
        </w:rPr>
        <w:t xml:space="preserve"> through </w:t>
      </w:r>
      <w:r w:rsidR="00E939A2">
        <w:rPr>
          <w:rFonts w:ascii="Arial" w:hAnsi="Arial" w:cs="Arial"/>
          <w:lang w:val="en-US"/>
        </w:rPr>
        <w:t xml:space="preserve">on-going </w:t>
      </w:r>
      <w:r>
        <w:rPr>
          <w:rFonts w:ascii="Arial" w:hAnsi="Arial" w:cs="Arial"/>
          <w:lang w:val="en-US"/>
        </w:rPr>
        <w:t>associations</w:t>
      </w:r>
      <w:r w:rsidR="0026578B">
        <w:rPr>
          <w:rFonts w:ascii="Arial" w:hAnsi="Arial" w:cs="Arial"/>
          <w:lang w:val="en-US"/>
        </w:rPr>
        <w:t xml:space="preserve"> and disassociations between </w:t>
      </w:r>
      <w:r w:rsidR="00E939A2">
        <w:rPr>
          <w:rFonts w:ascii="Arial" w:hAnsi="Arial" w:cs="Arial"/>
          <w:lang w:val="en-US"/>
        </w:rPr>
        <w:t>material</w:t>
      </w:r>
      <w:r w:rsidR="00EF5412">
        <w:rPr>
          <w:rFonts w:ascii="Arial" w:hAnsi="Arial" w:cs="Arial"/>
          <w:lang w:val="en-US"/>
        </w:rPr>
        <w:t xml:space="preserve"> artefacts</w:t>
      </w:r>
      <w:r w:rsidR="00E939A2">
        <w:rPr>
          <w:rFonts w:ascii="Arial" w:hAnsi="Arial" w:cs="Arial"/>
          <w:lang w:val="en-US"/>
        </w:rPr>
        <w:t xml:space="preserve"> and social </w:t>
      </w:r>
      <w:r w:rsidR="00EF5412">
        <w:rPr>
          <w:rFonts w:ascii="Arial" w:hAnsi="Arial" w:cs="Arial"/>
          <w:lang w:val="en-US"/>
        </w:rPr>
        <w:t xml:space="preserve">processes </w:t>
      </w:r>
      <w:r w:rsidR="00E939A2">
        <w:rPr>
          <w:rFonts w:ascii="Arial" w:hAnsi="Arial" w:cs="Arial"/>
          <w:lang w:val="en-US"/>
        </w:rPr>
        <w:t xml:space="preserve">that are </w:t>
      </w:r>
      <w:r w:rsidR="00C26A8D">
        <w:rPr>
          <w:rFonts w:ascii="Arial" w:hAnsi="Arial" w:cs="Arial"/>
          <w:lang w:val="en-US"/>
        </w:rPr>
        <w:t xml:space="preserve">identified with each category </w:t>
      </w:r>
      <w:r w:rsidR="006E71BF">
        <w:rPr>
          <w:rFonts w:ascii="Arial" w:hAnsi="Arial" w:cs="Arial"/>
          <w:lang w:val="en-US"/>
        </w:rPr>
        <w:t>(</w:t>
      </w:r>
      <w:r w:rsidR="00AF676B">
        <w:rPr>
          <w:rFonts w:ascii="Arial" w:hAnsi="Arial" w:cs="Arial"/>
          <w:lang w:val="en-US"/>
        </w:rPr>
        <w:t>Garud et al, 2010</w:t>
      </w:r>
      <w:r w:rsidR="00C26A8D">
        <w:rPr>
          <w:rFonts w:ascii="Arial" w:hAnsi="Arial" w:cs="Arial"/>
          <w:lang w:val="en-US"/>
        </w:rPr>
        <w:t>)</w:t>
      </w:r>
      <w:r w:rsidR="006E71BF">
        <w:rPr>
          <w:rFonts w:ascii="Arial" w:hAnsi="Arial" w:cs="Arial"/>
          <w:lang w:val="en-US"/>
        </w:rPr>
        <w:t>.  These entanglements become manifest</w:t>
      </w:r>
      <w:r w:rsidR="000C0004">
        <w:rPr>
          <w:rFonts w:ascii="Arial" w:hAnsi="Arial" w:cs="Arial"/>
          <w:lang w:val="en-US"/>
        </w:rPr>
        <w:t xml:space="preserve"> in action</w:t>
      </w:r>
      <w:r w:rsidR="006E71BF">
        <w:rPr>
          <w:rFonts w:ascii="Arial" w:hAnsi="Arial" w:cs="Arial"/>
          <w:lang w:val="en-US"/>
        </w:rPr>
        <w:t xml:space="preserve"> as the manager</w:t>
      </w:r>
      <w:r w:rsidR="002A4E3D">
        <w:rPr>
          <w:rFonts w:ascii="Arial" w:hAnsi="Arial" w:cs="Arial"/>
          <w:lang w:val="en-US"/>
        </w:rPr>
        <w:t xml:space="preserve"> (insider)</w:t>
      </w:r>
      <w:r w:rsidR="006E71BF">
        <w:rPr>
          <w:rFonts w:ascii="Arial" w:hAnsi="Arial" w:cs="Arial"/>
          <w:lang w:val="en-US"/>
        </w:rPr>
        <w:t xml:space="preserve"> deploys scholarly resources and/or practitioner resources in seeking to progress organizational change.  </w:t>
      </w:r>
      <w:r w:rsidR="00E939A2">
        <w:rPr>
          <w:rFonts w:ascii="Arial" w:hAnsi="Arial" w:cs="Arial"/>
          <w:lang w:val="en-US"/>
        </w:rPr>
        <w:t>At some point the category of "Scholar" may seem to dominate whereas at others it is the "Practitioner" that comes to the foreground.  This implies that the category "Scholar-Practition</w:t>
      </w:r>
      <w:r w:rsidR="00296E68">
        <w:rPr>
          <w:rFonts w:ascii="Arial" w:hAnsi="Arial" w:cs="Arial"/>
          <w:lang w:val="en-US"/>
        </w:rPr>
        <w:t>er" is never stable;</w:t>
      </w:r>
      <w:r w:rsidR="00E939A2">
        <w:rPr>
          <w:rFonts w:ascii="Arial" w:hAnsi="Arial" w:cs="Arial"/>
          <w:lang w:val="en-US"/>
        </w:rPr>
        <w:t xml:space="preserve"> rather</w:t>
      </w:r>
      <w:r w:rsidR="00296E68">
        <w:rPr>
          <w:rFonts w:ascii="Arial" w:hAnsi="Arial" w:cs="Arial"/>
          <w:lang w:val="en-US"/>
        </w:rPr>
        <w:t>, it is</w:t>
      </w:r>
      <w:r w:rsidR="00E939A2">
        <w:rPr>
          <w:rFonts w:ascii="Arial" w:hAnsi="Arial" w:cs="Arial"/>
          <w:lang w:val="en-US"/>
        </w:rPr>
        <w:t xml:space="preserve"> always in flux</w:t>
      </w:r>
      <w:r w:rsidR="0091539F">
        <w:rPr>
          <w:rFonts w:ascii="Arial" w:hAnsi="Arial" w:cs="Arial"/>
          <w:lang w:val="en-US"/>
        </w:rPr>
        <w:t>.</w:t>
      </w:r>
      <w:r w:rsidR="00CF28BE">
        <w:rPr>
          <w:rFonts w:ascii="Arial" w:hAnsi="Arial" w:cs="Arial"/>
          <w:lang w:val="en-US"/>
        </w:rPr>
        <w:t xml:space="preserve"> </w:t>
      </w:r>
    </w:p>
    <w:p w14:paraId="54791C59" w14:textId="454173C6" w:rsidR="0091539F" w:rsidRDefault="0091539F" w:rsidP="005A6B52">
      <w:pPr>
        <w:spacing w:line="360" w:lineRule="auto"/>
        <w:rPr>
          <w:rFonts w:ascii="Arial" w:hAnsi="Arial" w:cs="Arial"/>
          <w:lang w:val="en-US"/>
        </w:rPr>
      </w:pPr>
    </w:p>
    <w:p w14:paraId="328D8887" w14:textId="45DF8F4A" w:rsidR="00352F42" w:rsidRDefault="000C0004" w:rsidP="0091539F">
      <w:pPr>
        <w:spacing w:line="360" w:lineRule="auto"/>
        <w:rPr>
          <w:rFonts w:ascii="Arial" w:hAnsi="Arial" w:cs="Arial"/>
          <w:lang w:val="en-US"/>
        </w:rPr>
      </w:pPr>
      <w:r>
        <w:rPr>
          <w:rFonts w:ascii="Arial" w:hAnsi="Arial" w:cs="Arial"/>
          <w:lang w:val="en-US"/>
        </w:rPr>
        <w:t xml:space="preserve">In order to explain the learning that occurs during these categorical entanglements, I suggest a new reading of </w:t>
      </w:r>
      <w:r w:rsidR="0091539F">
        <w:rPr>
          <w:rFonts w:ascii="Arial" w:hAnsi="Arial" w:cs="Arial"/>
          <w:lang w:val="en-US"/>
        </w:rPr>
        <w:t>the classic equation of action learning: L = P + Q (</w:t>
      </w:r>
      <w:r w:rsidR="00D56435">
        <w:rPr>
          <w:rFonts w:ascii="Arial" w:hAnsi="Arial" w:cs="Arial"/>
          <w:lang w:val="en-US"/>
        </w:rPr>
        <w:t>Revans, 1982</w:t>
      </w:r>
      <w:r w:rsidR="0091539F">
        <w:rPr>
          <w:rFonts w:ascii="Arial" w:hAnsi="Arial" w:cs="Arial"/>
          <w:lang w:val="en-US"/>
        </w:rPr>
        <w:t xml:space="preserve">).  </w:t>
      </w:r>
      <w:r w:rsidR="00890D32">
        <w:rPr>
          <w:rFonts w:ascii="Arial" w:hAnsi="Arial" w:cs="Arial"/>
          <w:lang w:val="en-US"/>
        </w:rPr>
        <w:t xml:space="preserve">In this equation </w:t>
      </w:r>
      <w:r>
        <w:rPr>
          <w:rFonts w:ascii="Arial" w:hAnsi="Arial" w:cs="Arial"/>
          <w:lang w:val="en-US"/>
        </w:rPr>
        <w:t>Revans identified P</w:t>
      </w:r>
      <w:r w:rsidR="00890D32">
        <w:rPr>
          <w:rFonts w:ascii="Arial" w:hAnsi="Arial" w:cs="Arial"/>
          <w:lang w:val="en-US"/>
        </w:rPr>
        <w:t xml:space="preserve"> with the scholar</w:t>
      </w:r>
      <w:r w:rsidR="00352F42">
        <w:rPr>
          <w:rFonts w:ascii="Arial" w:hAnsi="Arial" w:cs="Arial"/>
          <w:lang w:val="en-US"/>
        </w:rPr>
        <w:t xml:space="preserve"> and the programmed knowledge evident in text-books, courses and research papers.  </w:t>
      </w:r>
      <w:r>
        <w:rPr>
          <w:rFonts w:ascii="Arial" w:hAnsi="Arial" w:cs="Arial"/>
          <w:lang w:val="en-US"/>
        </w:rPr>
        <w:t>He</w:t>
      </w:r>
      <w:r w:rsidR="00352F42">
        <w:rPr>
          <w:rFonts w:ascii="Arial" w:hAnsi="Arial" w:cs="Arial"/>
          <w:lang w:val="en-US"/>
        </w:rPr>
        <w:t xml:space="preserve"> held such claims </w:t>
      </w:r>
      <w:r w:rsidR="00352F42">
        <w:rPr>
          <w:rFonts w:ascii="Arial" w:hAnsi="Arial" w:cs="Arial"/>
          <w:lang w:val="en-US"/>
        </w:rPr>
        <w:lastRenderedPageBreak/>
        <w:t>to expertise in low regard, and advocated the questioning insight (Q) that could be brought to bear by a group of “comrades in adversity” working together to progress organisational problems, and learning from practical action toward improvement.  In this paper I propose an alternative reading of P and Q, that I suggest is more relevant to the process of becoming a scholarly-practitioner.</w:t>
      </w:r>
    </w:p>
    <w:p w14:paraId="55615429" w14:textId="11E695D8" w:rsidR="00352F42" w:rsidRDefault="00352F42" w:rsidP="0091539F">
      <w:pPr>
        <w:spacing w:line="360" w:lineRule="auto"/>
        <w:rPr>
          <w:rFonts w:ascii="Arial" w:hAnsi="Arial" w:cs="Arial"/>
          <w:lang w:val="en-US"/>
        </w:rPr>
      </w:pPr>
    </w:p>
    <w:p w14:paraId="5915D6BB" w14:textId="2AAAA92C" w:rsidR="000368BA" w:rsidRDefault="00352F42" w:rsidP="00364A16">
      <w:pPr>
        <w:spacing w:line="360" w:lineRule="auto"/>
        <w:rPr>
          <w:rFonts w:ascii="Arial" w:hAnsi="Arial" w:cs="Arial"/>
          <w:lang w:val="en-US"/>
        </w:rPr>
      </w:pPr>
      <w:r w:rsidRPr="00364A16">
        <w:rPr>
          <w:rFonts w:ascii="Arial" w:hAnsi="Arial" w:cs="Arial"/>
          <w:lang w:val="en-US"/>
        </w:rPr>
        <w:t>Programmed knowledge</w:t>
      </w:r>
      <w:r>
        <w:rPr>
          <w:rFonts w:ascii="Arial" w:hAnsi="Arial" w:cs="Arial"/>
          <w:lang w:val="en-US"/>
        </w:rPr>
        <w:t>, or P, is founded upon a claim to expertise that is, in some sense unjustified.</w:t>
      </w:r>
      <w:r w:rsidR="00942F0C">
        <w:rPr>
          <w:rFonts w:ascii="Arial" w:hAnsi="Arial" w:cs="Arial"/>
          <w:lang w:val="en-US"/>
        </w:rPr>
        <w:t xml:space="preserve">  Conventionally, it is identified </w:t>
      </w:r>
      <w:r w:rsidR="00C23147">
        <w:rPr>
          <w:rFonts w:ascii="Arial" w:hAnsi="Arial" w:cs="Arial"/>
          <w:lang w:val="en-US"/>
        </w:rPr>
        <w:t>with</w:t>
      </w:r>
      <w:r w:rsidR="00942F0C">
        <w:rPr>
          <w:rFonts w:ascii="Arial" w:hAnsi="Arial" w:cs="Arial"/>
          <w:lang w:val="en-US"/>
        </w:rPr>
        <w:t xml:space="preserve"> “Professors” whose generalizable knowledge claims are always likely to be inadequate when confronted by the intractable isues of a specific </w:t>
      </w:r>
      <w:r w:rsidR="00364A16">
        <w:rPr>
          <w:rFonts w:ascii="Arial" w:hAnsi="Arial" w:cs="Arial"/>
          <w:lang w:val="en-US"/>
        </w:rPr>
        <w:t xml:space="preserve">organisational </w:t>
      </w:r>
      <w:r w:rsidR="00942F0C">
        <w:rPr>
          <w:rFonts w:ascii="Arial" w:hAnsi="Arial" w:cs="Arial"/>
          <w:lang w:val="en-US"/>
        </w:rPr>
        <w:t>problem.  To the extent that P represents extant scholarship</w:t>
      </w:r>
      <w:r w:rsidR="003000D4">
        <w:rPr>
          <w:rFonts w:ascii="Arial" w:hAnsi="Arial" w:cs="Arial"/>
          <w:lang w:val="en-US"/>
        </w:rPr>
        <w:t xml:space="preserve"> and simplistic attempts to apply such scholarship as solutions to organisational problems</w:t>
      </w:r>
      <w:r w:rsidR="00942F0C">
        <w:rPr>
          <w:rFonts w:ascii="Arial" w:hAnsi="Arial" w:cs="Arial"/>
          <w:lang w:val="en-US"/>
        </w:rPr>
        <w:t>, then I agree with this conventional meaning.  However, in the transition</w:t>
      </w:r>
      <w:r w:rsidR="00364A16">
        <w:rPr>
          <w:rFonts w:ascii="Arial" w:hAnsi="Arial" w:cs="Arial"/>
          <w:lang w:val="en-US"/>
        </w:rPr>
        <w:t xml:space="preserve"> from Practitioner to Scholarly-Practitioner then </w:t>
      </w:r>
      <w:r w:rsidR="005F69A4">
        <w:rPr>
          <w:rFonts w:ascii="Arial" w:hAnsi="Arial" w:cs="Arial"/>
          <w:lang w:val="en-US"/>
        </w:rPr>
        <w:t xml:space="preserve">I argue that </w:t>
      </w:r>
      <w:r w:rsidR="00364A16">
        <w:rPr>
          <w:rFonts w:ascii="Arial" w:hAnsi="Arial" w:cs="Arial"/>
          <w:lang w:val="en-US"/>
        </w:rPr>
        <w:t xml:space="preserve">P also includes </w:t>
      </w:r>
      <w:r w:rsidR="0091539F">
        <w:rPr>
          <w:rFonts w:ascii="Arial" w:hAnsi="Arial" w:cs="Arial"/>
          <w:lang w:val="en-US"/>
        </w:rPr>
        <w:t xml:space="preserve">the practitioner resources inasmuch as these represent </w:t>
      </w:r>
      <w:r w:rsidR="00CF28BE">
        <w:rPr>
          <w:rFonts w:ascii="Arial" w:hAnsi="Arial" w:cs="Arial"/>
          <w:lang w:val="en-US"/>
        </w:rPr>
        <w:t>the (insider's)</w:t>
      </w:r>
      <w:r w:rsidR="0091539F">
        <w:rPr>
          <w:rFonts w:ascii="Arial" w:hAnsi="Arial" w:cs="Arial"/>
          <w:lang w:val="en-US"/>
        </w:rPr>
        <w:t xml:space="preserve"> knowledge </w:t>
      </w:r>
      <w:r w:rsidR="00C509A1">
        <w:rPr>
          <w:rFonts w:ascii="Arial" w:hAnsi="Arial" w:cs="Arial"/>
          <w:lang w:val="en-US"/>
        </w:rPr>
        <w:t>held</w:t>
      </w:r>
      <w:r w:rsidR="00C00632">
        <w:rPr>
          <w:rFonts w:ascii="Arial" w:hAnsi="Arial" w:cs="Arial"/>
          <w:lang w:val="en-US"/>
        </w:rPr>
        <w:t xml:space="preserve"> within the organisation and</w:t>
      </w:r>
      <w:r w:rsidR="007F7754">
        <w:rPr>
          <w:rFonts w:ascii="Arial" w:hAnsi="Arial" w:cs="Arial"/>
          <w:lang w:val="en-US"/>
        </w:rPr>
        <w:t xml:space="preserve"> by</w:t>
      </w:r>
      <w:r w:rsidR="00C00632">
        <w:rPr>
          <w:rFonts w:ascii="Arial" w:hAnsi="Arial" w:cs="Arial"/>
          <w:lang w:val="en-US"/>
        </w:rPr>
        <w:t xml:space="preserve"> its actors</w:t>
      </w:r>
      <w:r w:rsidR="00364A16">
        <w:rPr>
          <w:rFonts w:ascii="Arial" w:hAnsi="Arial" w:cs="Arial"/>
          <w:lang w:val="en-US"/>
        </w:rPr>
        <w:t>, at the outset of the change process</w:t>
      </w:r>
      <w:r w:rsidR="00BE067A">
        <w:rPr>
          <w:rFonts w:ascii="Arial" w:hAnsi="Arial" w:cs="Arial"/>
          <w:lang w:val="en-US"/>
        </w:rPr>
        <w:t>, and is considered by then insufficient to effect change.  This deficiency implies a motivation to pursue new insights.</w:t>
      </w:r>
      <w:r w:rsidR="0091539F">
        <w:rPr>
          <w:rFonts w:ascii="Arial" w:hAnsi="Arial" w:cs="Arial"/>
          <w:lang w:val="en-US"/>
        </w:rPr>
        <w:t xml:space="preserve">  </w:t>
      </w:r>
      <w:r w:rsidR="00BE067A">
        <w:rPr>
          <w:rFonts w:ascii="Arial" w:hAnsi="Arial" w:cs="Arial"/>
          <w:lang w:val="en-US"/>
        </w:rPr>
        <w:t xml:space="preserve">Therefore, </w:t>
      </w:r>
      <w:r w:rsidR="005F69A4">
        <w:rPr>
          <w:rFonts w:ascii="Arial" w:hAnsi="Arial" w:cs="Arial"/>
          <w:lang w:val="en-US"/>
        </w:rPr>
        <w:t xml:space="preserve">I identify </w:t>
      </w:r>
      <w:r w:rsidR="00364A16">
        <w:rPr>
          <w:rFonts w:ascii="Arial" w:hAnsi="Arial" w:cs="Arial"/>
          <w:lang w:val="en-US"/>
        </w:rPr>
        <w:t xml:space="preserve">P </w:t>
      </w:r>
      <w:r w:rsidR="00720F75">
        <w:rPr>
          <w:rFonts w:ascii="Arial" w:hAnsi="Arial" w:cs="Arial"/>
          <w:lang w:val="en-US"/>
        </w:rPr>
        <w:t>with</w:t>
      </w:r>
      <w:r w:rsidR="00364A16">
        <w:rPr>
          <w:rFonts w:ascii="Arial" w:hAnsi="Arial" w:cs="Arial"/>
          <w:lang w:val="en-US"/>
        </w:rPr>
        <w:t xml:space="preserve"> extant practititioner knowledge, </w:t>
      </w:r>
      <w:r w:rsidR="005F69A4">
        <w:rPr>
          <w:rFonts w:ascii="Arial" w:hAnsi="Arial" w:cs="Arial"/>
          <w:lang w:val="en-US"/>
        </w:rPr>
        <w:t>in order to draw</w:t>
      </w:r>
      <w:r w:rsidR="00364A16">
        <w:rPr>
          <w:rFonts w:ascii="Arial" w:hAnsi="Arial" w:cs="Arial"/>
          <w:lang w:val="en-US"/>
        </w:rPr>
        <w:t xml:space="preserve"> attention to </w:t>
      </w:r>
      <w:r w:rsidR="004E11E5">
        <w:rPr>
          <w:rFonts w:ascii="Arial" w:hAnsi="Arial" w:cs="Arial"/>
          <w:lang w:val="en-US"/>
        </w:rPr>
        <w:t xml:space="preserve">the Practititioner's emerging </w:t>
      </w:r>
      <w:r w:rsidR="00364A16" w:rsidRPr="005F69A4">
        <w:rPr>
          <w:rFonts w:ascii="Arial" w:hAnsi="Arial" w:cs="Arial"/>
          <w:i/>
          <w:lang w:val="en-US"/>
        </w:rPr>
        <w:t>scholarly-ness</w:t>
      </w:r>
      <w:r w:rsidR="005F69A4">
        <w:rPr>
          <w:rFonts w:ascii="Arial" w:hAnsi="Arial" w:cs="Arial"/>
          <w:lang w:val="en-US"/>
        </w:rPr>
        <w:t xml:space="preserve"> as the key</w:t>
      </w:r>
      <w:r w:rsidR="00364A16">
        <w:rPr>
          <w:rFonts w:ascii="Arial" w:hAnsi="Arial" w:cs="Arial"/>
          <w:lang w:val="en-US"/>
        </w:rPr>
        <w:t xml:space="preserve"> source of </w:t>
      </w:r>
      <w:r w:rsidR="0091539F">
        <w:rPr>
          <w:rFonts w:ascii="Arial" w:hAnsi="Arial" w:cs="Arial"/>
          <w:lang w:val="en-US"/>
        </w:rPr>
        <w:t xml:space="preserve"> "questioning insight" (Q).  The </w:t>
      </w:r>
      <w:r w:rsidR="0018027B">
        <w:rPr>
          <w:rFonts w:ascii="Arial" w:hAnsi="Arial" w:cs="Arial"/>
          <w:lang w:val="en-US"/>
        </w:rPr>
        <w:t>rigorous</w:t>
      </w:r>
      <w:r w:rsidR="0091539F">
        <w:rPr>
          <w:rFonts w:ascii="Arial" w:hAnsi="Arial" w:cs="Arial"/>
          <w:lang w:val="en-US"/>
        </w:rPr>
        <w:t xml:space="preserve"> research methodologies and critical orientation of the scholar hold out the potential to disrupt established ways of thinking and acting.</w:t>
      </w:r>
      <w:r w:rsidR="00C00632">
        <w:rPr>
          <w:rFonts w:ascii="Arial" w:hAnsi="Arial" w:cs="Arial"/>
          <w:lang w:val="en-US"/>
        </w:rPr>
        <w:t xml:space="preserve">  </w:t>
      </w:r>
      <w:r w:rsidR="0091539F">
        <w:rPr>
          <w:rFonts w:ascii="Arial" w:hAnsi="Arial" w:cs="Arial"/>
          <w:lang w:val="en-US"/>
        </w:rPr>
        <w:t>The "Learning" (L) of the scholar</w:t>
      </w:r>
      <w:r w:rsidR="004B5E9D">
        <w:rPr>
          <w:rFonts w:ascii="Arial" w:hAnsi="Arial" w:cs="Arial"/>
          <w:lang w:val="en-US"/>
        </w:rPr>
        <w:t>ly</w:t>
      </w:r>
      <w:r w:rsidR="0091539F">
        <w:rPr>
          <w:rFonts w:ascii="Arial" w:hAnsi="Arial" w:cs="Arial"/>
          <w:lang w:val="en-US"/>
        </w:rPr>
        <w:t xml:space="preserve">-practitioner can thus be understood as emerging from </w:t>
      </w:r>
      <w:r w:rsidR="00720F75">
        <w:rPr>
          <w:rFonts w:ascii="Arial" w:hAnsi="Arial" w:cs="Arial"/>
          <w:lang w:val="en-US"/>
        </w:rPr>
        <w:t>the entanglement of</w:t>
      </w:r>
      <w:r w:rsidR="004E11E5">
        <w:rPr>
          <w:rFonts w:ascii="Arial" w:hAnsi="Arial" w:cs="Arial"/>
          <w:lang w:val="en-US"/>
        </w:rPr>
        <w:t xml:space="preserve"> scholarly-ness</w:t>
      </w:r>
      <w:r w:rsidR="00C74D61">
        <w:rPr>
          <w:rFonts w:ascii="Arial" w:hAnsi="Arial" w:cs="Arial"/>
          <w:lang w:val="en-US"/>
        </w:rPr>
        <w:t xml:space="preserve"> (Q) </w:t>
      </w:r>
      <w:r w:rsidR="00720F75">
        <w:rPr>
          <w:rFonts w:ascii="Arial" w:hAnsi="Arial" w:cs="Arial"/>
          <w:lang w:val="en-US"/>
        </w:rPr>
        <w:t>and</w:t>
      </w:r>
      <w:r w:rsidR="00C74D61">
        <w:rPr>
          <w:rFonts w:ascii="Arial" w:hAnsi="Arial" w:cs="Arial"/>
          <w:lang w:val="en-US"/>
        </w:rPr>
        <w:t xml:space="preserve"> </w:t>
      </w:r>
      <w:r w:rsidR="00040A93">
        <w:rPr>
          <w:rFonts w:ascii="Arial" w:hAnsi="Arial" w:cs="Arial"/>
          <w:lang w:val="en-US"/>
        </w:rPr>
        <w:t>practitioner expertise (P)</w:t>
      </w:r>
      <w:r w:rsidR="004E11E5">
        <w:rPr>
          <w:rFonts w:ascii="Arial" w:hAnsi="Arial" w:cs="Arial"/>
          <w:lang w:val="en-US"/>
        </w:rPr>
        <w:t>.</w:t>
      </w:r>
      <w:r w:rsidR="00C543F0">
        <w:rPr>
          <w:rFonts w:ascii="Arial" w:hAnsi="Arial" w:cs="Arial"/>
          <w:lang w:val="en-US"/>
        </w:rPr>
        <w:t xml:space="preserve">  </w:t>
      </w:r>
    </w:p>
    <w:p w14:paraId="47880C59" w14:textId="77777777" w:rsidR="000368BA" w:rsidRDefault="000368BA" w:rsidP="0091539F">
      <w:pPr>
        <w:spacing w:line="360" w:lineRule="auto"/>
        <w:rPr>
          <w:rFonts w:ascii="Arial" w:hAnsi="Arial" w:cs="Arial"/>
          <w:lang w:val="en-US"/>
        </w:rPr>
      </w:pPr>
    </w:p>
    <w:p w14:paraId="67262EE4" w14:textId="739F3FE9" w:rsidR="0091539F" w:rsidRDefault="000368BA" w:rsidP="0091539F">
      <w:pPr>
        <w:spacing w:line="360" w:lineRule="auto"/>
        <w:rPr>
          <w:rFonts w:ascii="Arial" w:hAnsi="Arial" w:cs="Arial"/>
          <w:lang w:val="en-US"/>
        </w:rPr>
      </w:pPr>
      <w:r>
        <w:rPr>
          <w:rFonts w:ascii="Arial" w:hAnsi="Arial" w:cs="Arial"/>
          <w:lang w:val="en-US"/>
        </w:rPr>
        <w:t xml:space="preserve">In developing this argument </w:t>
      </w:r>
      <w:r w:rsidR="0059135D">
        <w:rPr>
          <w:rFonts w:ascii="Arial" w:hAnsi="Arial" w:cs="Arial"/>
          <w:lang w:val="en-US"/>
        </w:rPr>
        <w:t xml:space="preserve">we need to condider the nature of the "+ sign" in the classic action learning equation.  What are the mechanisms by which scholarly-ness provides questioning </w:t>
      </w:r>
      <w:r w:rsidR="00D42AEE">
        <w:rPr>
          <w:rFonts w:ascii="Arial" w:hAnsi="Arial" w:cs="Arial"/>
          <w:lang w:val="en-US"/>
        </w:rPr>
        <w:t>insight</w:t>
      </w:r>
      <w:r w:rsidR="00334174">
        <w:rPr>
          <w:rFonts w:ascii="Arial" w:hAnsi="Arial" w:cs="Arial"/>
          <w:lang w:val="en-US"/>
        </w:rPr>
        <w:t xml:space="preserve">? and how is such </w:t>
      </w:r>
      <w:r w:rsidR="00100764">
        <w:rPr>
          <w:rFonts w:ascii="Arial" w:hAnsi="Arial" w:cs="Arial"/>
          <w:lang w:val="en-US"/>
        </w:rPr>
        <w:t>scholarly-ness entangled with</w:t>
      </w:r>
      <w:r w:rsidR="0059135D">
        <w:rPr>
          <w:rFonts w:ascii="Arial" w:hAnsi="Arial" w:cs="Arial"/>
          <w:lang w:val="en-US"/>
        </w:rPr>
        <w:t xml:space="preserve"> </w:t>
      </w:r>
      <w:r w:rsidR="00BA7507">
        <w:rPr>
          <w:rFonts w:ascii="Arial" w:hAnsi="Arial" w:cs="Arial"/>
          <w:lang w:val="en-US"/>
        </w:rPr>
        <w:t>practitioner</w:t>
      </w:r>
      <w:r w:rsidR="00D42AEE">
        <w:rPr>
          <w:rFonts w:ascii="Arial" w:hAnsi="Arial" w:cs="Arial"/>
          <w:lang w:val="en-US"/>
        </w:rPr>
        <w:t xml:space="preserve"> expertise</w:t>
      </w:r>
      <w:r w:rsidR="00100764">
        <w:rPr>
          <w:rFonts w:ascii="Arial" w:hAnsi="Arial" w:cs="Arial"/>
          <w:lang w:val="en-US"/>
        </w:rPr>
        <w:t>?</w:t>
      </w:r>
      <w:r w:rsidR="0059135D">
        <w:rPr>
          <w:rFonts w:ascii="Arial" w:hAnsi="Arial" w:cs="Arial"/>
          <w:lang w:val="en-US"/>
        </w:rPr>
        <w:t xml:space="preserve">  To explain these mechanisms it</w:t>
      </w:r>
      <w:r>
        <w:rPr>
          <w:rFonts w:ascii="Arial" w:hAnsi="Arial" w:cs="Arial"/>
          <w:lang w:val="en-US"/>
        </w:rPr>
        <w:t xml:space="preserve"> is </w:t>
      </w:r>
      <w:r w:rsidR="00CE7C78">
        <w:rPr>
          <w:rFonts w:ascii="Arial" w:hAnsi="Arial" w:cs="Arial"/>
          <w:lang w:val="en-US"/>
        </w:rPr>
        <w:t>productive</w:t>
      </w:r>
      <w:r>
        <w:rPr>
          <w:rFonts w:ascii="Arial" w:hAnsi="Arial" w:cs="Arial"/>
          <w:lang w:val="en-US"/>
        </w:rPr>
        <w:t xml:space="preserve"> to consider different</w:t>
      </w:r>
      <w:r w:rsidR="0091539F">
        <w:rPr>
          <w:rFonts w:ascii="Arial" w:hAnsi="Arial" w:cs="Arial"/>
          <w:lang w:val="en-US"/>
        </w:rPr>
        <w:t xml:space="preserve"> </w:t>
      </w:r>
      <w:r w:rsidR="0059135D">
        <w:rPr>
          <w:rFonts w:ascii="Arial" w:hAnsi="Arial" w:cs="Arial"/>
          <w:lang w:val="en-US"/>
        </w:rPr>
        <w:t xml:space="preserve">underlying </w:t>
      </w:r>
      <w:r>
        <w:rPr>
          <w:rFonts w:ascii="Arial" w:hAnsi="Arial" w:cs="Arial"/>
          <w:lang w:val="en-US"/>
        </w:rPr>
        <w:t xml:space="preserve">processes of organisational change, </w:t>
      </w:r>
      <w:r w:rsidR="0059135D">
        <w:rPr>
          <w:rFonts w:ascii="Arial" w:hAnsi="Arial" w:cs="Arial"/>
          <w:lang w:val="en-US"/>
        </w:rPr>
        <w:t>that provide</w:t>
      </w:r>
      <w:r w:rsidR="008910A9">
        <w:rPr>
          <w:rFonts w:ascii="Arial" w:hAnsi="Arial" w:cs="Arial"/>
          <w:lang w:val="en-US"/>
        </w:rPr>
        <w:t xml:space="preserve"> the context for the tran</w:t>
      </w:r>
      <w:r w:rsidR="0059135D">
        <w:rPr>
          <w:rFonts w:ascii="Arial" w:hAnsi="Arial" w:cs="Arial"/>
          <w:lang w:val="en-US"/>
        </w:rPr>
        <w:t>sition from the Practitioner to the Scholarly-Practitioner</w:t>
      </w:r>
      <w:r w:rsidR="00A26F35">
        <w:rPr>
          <w:rFonts w:ascii="Arial" w:hAnsi="Arial" w:cs="Arial"/>
          <w:lang w:val="en-US"/>
        </w:rPr>
        <w:t xml:space="preserve">.  In </w:t>
      </w:r>
      <w:r w:rsidR="00424452">
        <w:rPr>
          <w:rFonts w:ascii="Arial" w:hAnsi="Arial" w:cs="Arial"/>
          <w:lang w:val="en-US"/>
        </w:rPr>
        <w:t>this,</w:t>
      </w:r>
      <w:r w:rsidR="00A26F35">
        <w:rPr>
          <w:rFonts w:ascii="Arial" w:hAnsi="Arial" w:cs="Arial"/>
          <w:lang w:val="en-US"/>
        </w:rPr>
        <w:t xml:space="preserve"> I draw upon Van de Ven and Poole's</w:t>
      </w:r>
      <w:r>
        <w:rPr>
          <w:rFonts w:ascii="Arial" w:hAnsi="Arial" w:cs="Arial"/>
          <w:lang w:val="en-US"/>
        </w:rPr>
        <w:t xml:space="preserve"> highly-cited typology</w:t>
      </w:r>
      <w:r w:rsidR="00A26F35">
        <w:rPr>
          <w:rFonts w:ascii="Arial" w:hAnsi="Arial" w:cs="Arial"/>
          <w:lang w:val="en-US"/>
        </w:rPr>
        <w:t xml:space="preserve"> of the processes of organisational change (1995).</w:t>
      </w:r>
      <w:r w:rsidR="00BA5FD1">
        <w:rPr>
          <w:rFonts w:ascii="Arial" w:hAnsi="Arial" w:cs="Arial"/>
          <w:lang w:val="en-US"/>
        </w:rPr>
        <w:t xml:space="preserve">  These authors argue that there are four basic theories that explain the processes of organisational change: </w:t>
      </w:r>
      <w:r w:rsidR="00BA5FD1" w:rsidRPr="00D67216">
        <w:rPr>
          <w:rFonts w:ascii="Arial" w:hAnsi="Arial" w:cs="Arial"/>
          <w:lang w:val="en-US"/>
        </w:rPr>
        <w:t>teleology; dialectic; life-cycle; and evolution.</w:t>
      </w:r>
      <w:r w:rsidR="00BA5FD1">
        <w:rPr>
          <w:rFonts w:ascii="Arial" w:hAnsi="Arial" w:cs="Arial"/>
          <w:lang w:val="en-US"/>
        </w:rPr>
        <w:t xml:space="preserve">  They present these theories as a 2x2 typology (Van de Ven &amp; Pool, 2005: 520) </w:t>
      </w:r>
      <w:r w:rsidR="00BA5FD1">
        <w:rPr>
          <w:rFonts w:ascii="Arial" w:hAnsi="Arial" w:cs="Arial"/>
          <w:lang w:val="en-US"/>
        </w:rPr>
        <w:lastRenderedPageBreak/>
        <w:t>based upon d</w:t>
      </w:r>
      <w:r w:rsidR="00CE7C78">
        <w:rPr>
          <w:rFonts w:ascii="Arial" w:hAnsi="Arial" w:cs="Arial"/>
          <w:lang w:val="en-US"/>
        </w:rPr>
        <w:t>imensions of the mode of change</w:t>
      </w:r>
      <w:r w:rsidR="00BA5FD1">
        <w:rPr>
          <w:rFonts w:ascii="Arial" w:hAnsi="Arial" w:cs="Arial"/>
          <w:lang w:val="en-US"/>
        </w:rPr>
        <w:t xml:space="preserve"> (whether it is prescribed or constructed) and the organisational level associated with the change (a single entity or multiple entities).  The authors identify the context of organisational change</w:t>
      </w:r>
      <w:r w:rsidR="002471F1">
        <w:rPr>
          <w:rFonts w:ascii="Arial" w:hAnsi="Arial" w:cs="Arial"/>
          <w:lang w:val="en-US"/>
        </w:rPr>
        <w:t xml:space="preserve"> in which each theory applies.</w:t>
      </w:r>
      <w:r w:rsidR="00417E25">
        <w:rPr>
          <w:rFonts w:ascii="Arial" w:hAnsi="Arial" w:cs="Arial"/>
          <w:lang w:val="en-US"/>
        </w:rPr>
        <w:t xml:space="preserve">  In the following </w:t>
      </w:r>
      <w:r w:rsidR="002471F1">
        <w:rPr>
          <w:rFonts w:ascii="Arial" w:hAnsi="Arial" w:cs="Arial"/>
          <w:lang w:val="en-US"/>
        </w:rPr>
        <w:t>paragraphs,</w:t>
      </w:r>
      <w:r w:rsidR="00417E25">
        <w:rPr>
          <w:rFonts w:ascii="Arial" w:hAnsi="Arial" w:cs="Arial"/>
          <w:lang w:val="en-US"/>
        </w:rPr>
        <w:t xml:space="preserve"> I explain Van de Ven and Poole's typology drawing attention</w:t>
      </w:r>
      <w:r w:rsidR="000C6C6F">
        <w:rPr>
          <w:rFonts w:ascii="Arial" w:hAnsi="Arial" w:cs="Arial"/>
          <w:lang w:val="en-US"/>
        </w:rPr>
        <w:t xml:space="preserve"> to the particular circumstances of organisational change.  I then elaborate the implications for the mechanism </w:t>
      </w:r>
      <w:r w:rsidR="00263E06">
        <w:rPr>
          <w:rFonts w:ascii="Arial" w:hAnsi="Arial" w:cs="Arial"/>
          <w:lang w:val="en-US"/>
        </w:rPr>
        <w:t>of scholarly-ness</w:t>
      </w:r>
      <w:r w:rsidR="000C6C6F">
        <w:rPr>
          <w:rFonts w:ascii="Arial" w:hAnsi="Arial" w:cs="Arial"/>
          <w:lang w:val="en-US"/>
        </w:rPr>
        <w:t>.</w:t>
      </w:r>
    </w:p>
    <w:p w14:paraId="17FD3E21" w14:textId="694542FE" w:rsidR="000C6C6F" w:rsidRDefault="000C6C6F" w:rsidP="0091539F">
      <w:pPr>
        <w:spacing w:line="360" w:lineRule="auto"/>
        <w:rPr>
          <w:rFonts w:ascii="Arial" w:hAnsi="Arial" w:cs="Arial"/>
          <w:lang w:val="en-US"/>
        </w:rPr>
      </w:pPr>
    </w:p>
    <w:p w14:paraId="18D1A08E" w14:textId="3192A4BF" w:rsidR="008B2BA7" w:rsidRDefault="00D378D3" w:rsidP="0091539F">
      <w:pPr>
        <w:spacing w:line="360" w:lineRule="auto"/>
        <w:rPr>
          <w:rFonts w:ascii="Arial" w:hAnsi="Arial" w:cs="Arial"/>
          <w:lang w:val="en-US"/>
        </w:rPr>
      </w:pPr>
      <w:r>
        <w:rPr>
          <w:rFonts w:ascii="Arial" w:hAnsi="Arial" w:cs="Arial"/>
          <w:lang w:val="en-US"/>
        </w:rPr>
        <w:t xml:space="preserve">The life-cycle process theory concerns </w:t>
      </w:r>
      <w:r w:rsidR="00DA2ABA">
        <w:rPr>
          <w:rFonts w:ascii="Arial" w:hAnsi="Arial" w:cs="Arial"/>
          <w:lang w:val="en-US"/>
        </w:rPr>
        <w:t>modes</w:t>
      </w:r>
      <w:r>
        <w:rPr>
          <w:rFonts w:ascii="Arial" w:hAnsi="Arial" w:cs="Arial"/>
          <w:lang w:val="en-US"/>
        </w:rPr>
        <w:t xml:space="preserve"> of organisational change that are prescribed in the sense of having to proceed through a necessary sequence of steps (ibid, 2005: 513). </w:t>
      </w:r>
      <w:r w:rsidR="00DA2ABA">
        <w:rPr>
          <w:rFonts w:ascii="Arial" w:hAnsi="Arial" w:cs="Arial"/>
          <w:lang w:val="en-US"/>
        </w:rPr>
        <w:t xml:space="preserve"> Such steps may be </w:t>
      </w:r>
      <w:r w:rsidR="00E80F0B">
        <w:rPr>
          <w:rFonts w:ascii="Arial" w:hAnsi="Arial" w:cs="Arial"/>
          <w:lang w:val="en-US"/>
        </w:rPr>
        <w:t>defined</w:t>
      </w:r>
      <w:r w:rsidR="00DA2ABA">
        <w:rPr>
          <w:rFonts w:ascii="Arial" w:hAnsi="Arial" w:cs="Arial"/>
          <w:lang w:val="en-US"/>
        </w:rPr>
        <w:t xml:space="preserve"> by an overarching institutional framework, for example the US Food and Drug Administration </w:t>
      </w:r>
      <w:r w:rsidR="00927F16">
        <w:rPr>
          <w:rFonts w:ascii="Arial" w:hAnsi="Arial" w:cs="Arial"/>
          <w:lang w:val="en-US"/>
        </w:rPr>
        <w:t>mandates</w:t>
      </w:r>
      <w:r w:rsidR="00DA2ABA">
        <w:rPr>
          <w:rFonts w:ascii="Arial" w:hAnsi="Arial" w:cs="Arial"/>
          <w:lang w:val="en-US"/>
        </w:rPr>
        <w:t xml:space="preserve"> the process and performance milestones that pharmaceutical companies are required to follow in developing new medicines.  Organisational change in such contexts is a process of "compliant adaptation" (ibid, 2005: </w:t>
      </w:r>
      <w:r w:rsidR="00A337EB">
        <w:rPr>
          <w:rFonts w:ascii="Arial" w:hAnsi="Arial" w:cs="Arial"/>
          <w:lang w:val="en-US"/>
        </w:rPr>
        <w:t>520).  The evolutionary process theory is also concerned with prescribed change, but in this case the underlying mechanism is one of environmental selection</w:t>
      </w:r>
      <w:r w:rsidR="00927F16">
        <w:rPr>
          <w:rFonts w:ascii="Arial" w:hAnsi="Arial" w:cs="Arial"/>
          <w:lang w:val="en-US"/>
        </w:rPr>
        <w:t xml:space="preserve"> acting upon a number of organisational entities</w:t>
      </w:r>
      <w:r w:rsidR="00A337EB">
        <w:rPr>
          <w:rFonts w:ascii="Arial" w:hAnsi="Arial" w:cs="Arial"/>
          <w:lang w:val="en-US"/>
        </w:rPr>
        <w:t xml:space="preserve">.  </w:t>
      </w:r>
      <w:r w:rsidR="00EC03DF">
        <w:rPr>
          <w:rFonts w:ascii="Arial" w:hAnsi="Arial" w:cs="Arial"/>
          <w:lang w:val="en-US"/>
        </w:rPr>
        <w:t xml:space="preserve">Organisations are not complete masters </w:t>
      </w:r>
      <w:r w:rsidR="00047910">
        <w:rPr>
          <w:rFonts w:ascii="Arial" w:hAnsi="Arial" w:cs="Arial"/>
          <w:lang w:val="en-US"/>
        </w:rPr>
        <w:t xml:space="preserve">of their future, as changes take place within their operating environment (e.g. new technologies, or demographic changes in the customer base) over which they have no control.  Whilst organisations might implement different strategies, "variations" in the external operating environment will act so as to "select" which strategies win.  Knowledge of the latter will induce organisations adapt their activities as part of their on-going stategy-making. </w:t>
      </w:r>
      <w:r w:rsidR="00A337EB">
        <w:rPr>
          <w:rFonts w:ascii="Arial" w:hAnsi="Arial" w:cs="Arial"/>
          <w:lang w:val="en-US"/>
        </w:rPr>
        <w:t>T</w:t>
      </w:r>
      <w:r w:rsidR="00047910">
        <w:rPr>
          <w:rFonts w:ascii="Arial" w:hAnsi="Arial" w:cs="Arial"/>
          <w:lang w:val="en-US"/>
        </w:rPr>
        <w:t>hus, t</w:t>
      </w:r>
      <w:r w:rsidR="00A337EB">
        <w:rPr>
          <w:rFonts w:ascii="Arial" w:hAnsi="Arial" w:cs="Arial"/>
          <w:lang w:val="en-US"/>
        </w:rPr>
        <w:t>he change process proceeds through an on-going cycle</w:t>
      </w:r>
      <w:r w:rsidR="00E80F0B">
        <w:rPr>
          <w:rFonts w:ascii="Arial" w:hAnsi="Arial" w:cs="Arial"/>
          <w:lang w:val="en-US"/>
        </w:rPr>
        <w:t xml:space="preserve"> of variation, selection and retention </w:t>
      </w:r>
      <w:r w:rsidR="002846A0">
        <w:rPr>
          <w:rFonts w:ascii="Arial" w:hAnsi="Arial" w:cs="Arial"/>
          <w:lang w:val="en-US"/>
        </w:rPr>
        <w:t>that result</w:t>
      </w:r>
      <w:r w:rsidR="00047910">
        <w:rPr>
          <w:rFonts w:ascii="Arial" w:hAnsi="Arial" w:cs="Arial"/>
          <w:lang w:val="en-US"/>
        </w:rPr>
        <w:t>s</w:t>
      </w:r>
      <w:r w:rsidR="00E80F0B">
        <w:rPr>
          <w:rFonts w:ascii="Arial" w:hAnsi="Arial" w:cs="Arial"/>
          <w:lang w:val="en-US"/>
        </w:rPr>
        <w:t xml:space="preserve">, over time, in an accumulation of small changes.  </w:t>
      </w:r>
      <w:r w:rsidR="009159ED">
        <w:rPr>
          <w:rFonts w:ascii="Arial" w:hAnsi="Arial" w:cs="Arial"/>
          <w:lang w:val="en-US"/>
        </w:rPr>
        <w:t>Indeed, to a first approximation both of these process theories are associated with incremental changes</w:t>
      </w:r>
      <w:r w:rsidR="00CB76A4">
        <w:rPr>
          <w:rFonts w:ascii="Arial" w:hAnsi="Arial" w:cs="Arial"/>
          <w:lang w:val="en-US"/>
        </w:rPr>
        <w:t xml:space="preserve"> in organisations</w:t>
      </w:r>
      <w:r w:rsidR="009159ED">
        <w:rPr>
          <w:rFonts w:ascii="Arial" w:hAnsi="Arial" w:cs="Arial"/>
          <w:lang w:val="en-US"/>
        </w:rPr>
        <w:t xml:space="preserve">.  </w:t>
      </w:r>
    </w:p>
    <w:p w14:paraId="409A5BEF" w14:textId="7CC5B889" w:rsidR="00CB76A4" w:rsidRDefault="00CB76A4" w:rsidP="0091539F">
      <w:pPr>
        <w:spacing w:line="360" w:lineRule="auto"/>
        <w:rPr>
          <w:rFonts w:ascii="Arial" w:hAnsi="Arial" w:cs="Arial"/>
          <w:lang w:val="en-US"/>
        </w:rPr>
      </w:pPr>
    </w:p>
    <w:p w14:paraId="4845625F" w14:textId="6BA06F84" w:rsidR="00CB76A4" w:rsidRDefault="00CB76A4" w:rsidP="0091539F">
      <w:pPr>
        <w:spacing w:line="360" w:lineRule="auto"/>
        <w:rPr>
          <w:rFonts w:ascii="Arial" w:hAnsi="Arial" w:cs="Arial"/>
          <w:lang w:val="en-US"/>
        </w:rPr>
      </w:pPr>
      <w:r>
        <w:rPr>
          <w:rFonts w:ascii="Arial" w:hAnsi="Arial" w:cs="Arial"/>
          <w:lang w:val="en-US"/>
        </w:rPr>
        <w:t>The teleological process model depicts organisational change as proceeding through the purposeful enactment of a cycle of: goal formulation; implementation; evaluation; and modification of goals (Van de Ven &amp; Poole, 2005: 515).  The associated change process proceeds by means of purposeful social construction involving actors within an organisation, who have in mind some future end state (e.g. level of organisational performance) that they are seeking to attain.</w:t>
      </w:r>
      <w:r w:rsidR="00B46361">
        <w:rPr>
          <w:rFonts w:ascii="Arial" w:hAnsi="Arial" w:cs="Arial"/>
          <w:lang w:val="en-US"/>
        </w:rPr>
        <w:t xml:space="preserve">  The organisation's resources or environment may place a constraint upon what can be achieved, but this theory of </w:t>
      </w:r>
      <w:r w:rsidR="00B46361">
        <w:rPr>
          <w:rFonts w:ascii="Arial" w:hAnsi="Arial" w:cs="Arial"/>
          <w:lang w:val="en-US"/>
        </w:rPr>
        <w:lastRenderedPageBreak/>
        <w:t>change suggests actors make use of the contraints in order to achieve their purpose.</w:t>
      </w:r>
      <w:r>
        <w:rPr>
          <w:rFonts w:ascii="Arial" w:hAnsi="Arial" w:cs="Arial"/>
          <w:lang w:val="en-US"/>
        </w:rPr>
        <w:t xml:space="preserve">  </w:t>
      </w:r>
      <w:r w:rsidR="00B46361">
        <w:rPr>
          <w:rFonts w:ascii="Arial" w:hAnsi="Arial" w:cs="Arial"/>
          <w:lang w:val="en-US"/>
        </w:rPr>
        <w:t xml:space="preserve"> </w:t>
      </w:r>
      <w:r>
        <w:rPr>
          <w:rFonts w:ascii="Arial" w:hAnsi="Arial" w:cs="Arial"/>
          <w:lang w:val="en-US"/>
        </w:rPr>
        <w:t xml:space="preserve">The dialectic process model also follows a constructed mode of change, but unlike the teleology theory, it relates to change involving multiple organisational entities (ibid, 2005: 517).  This process of change proceeds through a cycle that entails the confrontation of different viewpoints (i.e. thesis and antithesis), and their subsequent synthesis; which then becomes the thesis in the next cycle.  The particular circumstance </w:t>
      </w:r>
      <w:r w:rsidR="00D42AEE">
        <w:rPr>
          <w:rFonts w:ascii="Arial" w:hAnsi="Arial" w:cs="Arial"/>
          <w:lang w:val="en-US"/>
        </w:rPr>
        <w:t xml:space="preserve">of change </w:t>
      </w:r>
      <w:r>
        <w:rPr>
          <w:rFonts w:ascii="Arial" w:hAnsi="Arial" w:cs="Arial"/>
          <w:lang w:val="en-US"/>
        </w:rPr>
        <w:t>relevant to this theory is associated with a balance of power between different organisational entities or viewpoints.   The constructed mode of change</w:t>
      </w:r>
      <w:r w:rsidR="00B46361">
        <w:rPr>
          <w:rFonts w:ascii="Arial" w:hAnsi="Arial" w:cs="Arial"/>
          <w:lang w:val="en-US"/>
        </w:rPr>
        <w:t xml:space="preserve"> </w:t>
      </w:r>
      <w:r>
        <w:rPr>
          <w:rFonts w:ascii="Arial" w:hAnsi="Arial" w:cs="Arial"/>
          <w:lang w:val="en-US"/>
        </w:rPr>
        <w:t xml:space="preserve">, given the </w:t>
      </w:r>
      <w:r w:rsidR="00CA7500">
        <w:rPr>
          <w:rFonts w:ascii="Arial" w:hAnsi="Arial" w:cs="Arial"/>
          <w:lang w:val="en-US"/>
        </w:rPr>
        <w:t xml:space="preserve">reduced influence </w:t>
      </w:r>
      <w:r>
        <w:rPr>
          <w:rFonts w:ascii="Arial" w:hAnsi="Arial" w:cs="Arial"/>
          <w:lang w:val="en-US"/>
        </w:rPr>
        <w:t xml:space="preserve">of the constraints associated with the </w:t>
      </w:r>
      <w:r w:rsidR="002E12E7">
        <w:rPr>
          <w:rFonts w:ascii="Arial" w:hAnsi="Arial" w:cs="Arial"/>
          <w:lang w:val="en-US"/>
        </w:rPr>
        <w:t>prescribed</w:t>
      </w:r>
      <w:r w:rsidR="00CE7C78">
        <w:rPr>
          <w:rFonts w:ascii="Arial" w:hAnsi="Arial" w:cs="Arial"/>
          <w:lang w:val="en-US"/>
        </w:rPr>
        <w:t xml:space="preserve"> process</w:t>
      </w:r>
      <w:r w:rsidR="002E12E7">
        <w:rPr>
          <w:rFonts w:ascii="Arial" w:hAnsi="Arial" w:cs="Arial"/>
          <w:lang w:val="en-US"/>
        </w:rPr>
        <w:t xml:space="preserve">, can </w:t>
      </w:r>
      <w:r w:rsidR="00CE7C78">
        <w:rPr>
          <w:rFonts w:ascii="Arial" w:hAnsi="Arial" w:cs="Arial"/>
          <w:lang w:val="en-US"/>
        </w:rPr>
        <w:t xml:space="preserve">generate more extensive or </w:t>
      </w:r>
      <w:r w:rsidR="003A5C23">
        <w:rPr>
          <w:rFonts w:ascii="Arial" w:hAnsi="Arial" w:cs="Arial"/>
          <w:lang w:val="en-US"/>
        </w:rPr>
        <w:t>disruptive</w:t>
      </w:r>
      <w:r w:rsidR="00CE7C78">
        <w:rPr>
          <w:rFonts w:ascii="Arial" w:hAnsi="Arial" w:cs="Arial"/>
          <w:lang w:val="en-US"/>
        </w:rPr>
        <w:t xml:space="preserve"> organisational change.</w:t>
      </w:r>
    </w:p>
    <w:p w14:paraId="747D25D5" w14:textId="002155FE" w:rsidR="00227275" w:rsidRDefault="00227275" w:rsidP="0091539F">
      <w:pPr>
        <w:spacing w:line="360" w:lineRule="auto"/>
        <w:rPr>
          <w:rFonts w:ascii="Arial" w:hAnsi="Arial" w:cs="Arial"/>
          <w:lang w:val="en-US"/>
        </w:rPr>
      </w:pPr>
    </w:p>
    <w:p w14:paraId="6F43CDE4" w14:textId="412B012F" w:rsidR="00CE7C78" w:rsidRDefault="008910A9" w:rsidP="0091539F">
      <w:pPr>
        <w:spacing w:line="360" w:lineRule="auto"/>
        <w:rPr>
          <w:rFonts w:ascii="Arial" w:hAnsi="Arial" w:cs="Arial"/>
          <w:lang w:val="en-US"/>
        </w:rPr>
      </w:pPr>
      <w:r>
        <w:rPr>
          <w:rFonts w:ascii="Arial" w:hAnsi="Arial" w:cs="Arial"/>
          <w:lang w:val="en-US"/>
        </w:rPr>
        <w:t>The organisational change context for the transition from Practitioner to Scholarly-Practitioner could be understood in terms of</w:t>
      </w:r>
      <w:r w:rsidR="00BE067A">
        <w:rPr>
          <w:rFonts w:ascii="Arial" w:hAnsi="Arial" w:cs="Arial"/>
          <w:lang w:val="en-US"/>
        </w:rPr>
        <w:t xml:space="preserve"> one of</w:t>
      </w:r>
      <w:r>
        <w:rPr>
          <w:rFonts w:ascii="Arial" w:hAnsi="Arial" w:cs="Arial"/>
          <w:lang w:val="en-US"/>
        </w:rPr>
        <w:t xml:space="preserve"> Van de Ven and Poole's four "motors of change" (1995).  I </w:t>
      </w:r>
      <w:r w:rsidR="00076F7C">
        <w:rPr>
          <w:rFonts w:ascii="Arial" w:hAnsi="Arial" w:cs="Arial"/>
          <w:lang w:val="en-US"/>
        </w:rPr>
        <w:t>suggest</w:t>
      </w:r>
      <w:r>
        <w:rPr>
          <w:rFonts w:ascii="Arial" w:hAnsi="Arial" w:cs="Arial"/>
          <w:lang w:val="en-US"/>
        </w:rPr>
        <w:t xml:space="preserve"> that the mechanisms by which scholarly-ness provides questioning insight (Q) will be most effective if the</w:t>
      </w:r>
      <w:r w:rsidR="005F69A4">
        <w:rPr>
          <w:rFonts w:ascii="Arial" w:hAnsi="Arial" w:cs="Arial"/>
          <w:lang w:val="en-US"/>
        </w:rPr>
        <w:t>y</w:t>
      </w:r>
      <w:r w:rsidR="00076F7C">
        <w:rPr>
          <w:rFonts w:ascii="Arial" w:hAnsi="Arial" w:cs="Arial"/>
          <w:lang w:val="en-US"/>
        </w:rPr>
        <w:t xml:space="preserve"> are congruent with the</w:t>
      </w:r>
      <w:r>
        <w:rPr>
          <w:rFonts w:ascii="Arial" w:hAnsi="Arial" w:cs="Arial"/>
          <w:lang w:val="en-US"/>
        </w:rPr>
        <w:t xml:space="preserve"> underlying motor of change.  For example, if the organisational change context is driven by a teleology motor, then the scholarly-ness will be most effective if its mechanism is teleological in nature.  </w:t>
      </w:r>
      <w:r w:rsidR="00854B79">
        <w:rPr>
          <w:rFonts w:ascii="Arial" w:hAnsi="Arial" w:cs="Arial"/>
          <w:lang w:val="en-US"/>
        </w:rPr>
        <w:t>In the next section I discuss the literature touching on scholarly practice in order to propose the</w:t>
      </w:r>
      <w:r>
        <w:rPr>
          <w:rFonts w:ascii="Arial" w:hAnsi="Arial" w:cs="Arial"/>
          <w:lang w:val="en-US"/>
        </w:rPr>
        <w:t xml:space="preserve"> scholarly</w:t>
      </w:r>
      <w:r w:rsidR="00854B79">
        <w:rPr>
          <w:rFonts w:ascii="Arial" w:hAnsi="Arial" w:cs="Arial"/>
          <w:lang w:val="en-US"/>
        </w:rPr>
        <w:t xml:space="preserve"> mechanism associated with these four </w:t>
      </w:r>
      <w:r>
        <w:rPr>
          <w:rFonts w:ascii="Arial" w:hAnsi="Arial" w:cs="Arial"/>
          <w:lang w:val="en-US"/>
        </w:rPr>
        <w:t>motors of change</w:t>
      </w:r>
      <w:r w:rsidR="00BE067A">
        <w:rPr>
          <w:rFonts w:ascii="Arial" w:hAnsi="Arial" w:cs="Arial"/>
          <w:lang w:val="en-US"/>
        </w:rPr>
        <w:t>, and how the scholary-ness is entangled with practitioner knowledge</w:t>
      </w:r>
      <w:r w:rsidR="00854B79">
        <w:rPr>
          <w:rFonts w:ascii="Arial" w:hAnsi="Arial" w:cs="Arial"/>
          <w:lang w:val="en-US"/>
        </w:rPr>
        <w:t>.</w:t>
      </w:r>
    </w:p>
    <w:p w14:paraId="778903D9" w14:textId="6174DF7C" w:rsidR="0091539F" w:rsidRDefault="0091539F" w:rsidP="0091539F">
      <w:pPr>
        <w:spacing w:line="360" w:lineRule="auto"/>
        <w:rPr>
          <w:rFonts w:ascii="Arial" w:hAnsi="Arial" w:cs="Arial"/>
          <w:lang w:val="en-US"/>
        </w:rPr>
      </w:pPr>
    </w:p>
    <w:p w14:paraId="4B8B9E6C" w14:textId="77777777" w:rsidR="00C95565" w:rsidRDefault="00C95565" w:rsidP="005A6B52">
      <w:pPr>
        <w:spacing w:line="360" w:lineRule="auto"/>
        <w:rPr>
          <w:rFonts w:ascii="Arial" w:hAnsi="Arial" w:cs="Arial"/>
          <w:lang w:val="en-US"/>
        </w:rPr>
      </w:pPr>
    </w:p>
    <w:p w14:paraId="77FDDB05" w14:textId="4DD9FA7C" w:rsidR="0091539F" w:rsidRPr="0091539F" w:rsidRDefault="004E7148" w:rsidP="005F69A4">
      <w:pPr>
        <w:spacing w:line="360" w:lineRule="auto"/>
        <w:outlineLvl w:val="0"/>
        <w:rPr>
          <w:rFonts w:ascii="Arial" w:hAnsi="Arial" w:cs="Arial"/>
          <w:b/>
          <w:lang w:val="en-US"/>
        </w:rPr>
      </w:pPr>
      <w:r w:rsidRPr="00A62241">
        <w:rPr>
          <w:rFonts w:ascii="Arial" w:hAnsi="Arial" w:cs="Arial"/>
          <w:b/>
          <w:lang w:val="en-US"/>
        </w:rPr>
        <w:t xml:space="preserve">A </w:t>
      </w:r>
      <w:r w:rsidR="00A62241" w:rsidRPr="00A62241">
        <w:rPr>
          <w:rFonts w:ascii="Arial" w:hAnsi="Arial" w:cs="Arial"/>
          <w:b/>
          <w:lang w:val="en-US"/>
        </w:rPr>
        <w:t>c</w:t>
      </w:r>
      <w:r w:rsidRPr="00A62241">
        <w:rPr>
          <w:rFonts w:ascii="Arial" w:hAnsi="Arial" w:cs="Arial"/>
          <w:b/>
          <w:lang w:val="en-US"/>
        </w:rPr>
        <w:t xml:space="preserve">onceptual </w:t>
      </w:r>
      <w:r w:rsidR="00A62241" w:rsidRPr="00A62241">
        <w:rPr>
          <w:rFonts w:ascii="Arial" w:hAnsi="Arial" w:cs="Arial"/>
          <w:b/>
          <w:lang w:val="en-US"/>
        </w:rPr>
        <w:t>f</w:t>
      </w:r>
      <w:r w:rsidRPr="00A62241">
        <w:rPr>
          <w:rFonts w:ascii="Arial" w:hAnsi="Arial" w:cs="Arial"/>
          <w:b/>
          <w:lang w:val="en-US"/>
        </w:rPr>
        <w:t>ramework for</w:t>
      </w:r>
      <w:r w:rsidR="0091539F" w:rsidRPr="00A62241">
        <w:rPr>
          <w:rFonts w:ascii="Arial" w:hAnsi="Arial" w:cs="Arial"/>
          <w:b/>
          <w:lang w:val="en-US"/>
        </w:rPr>
        <w:t xml:space="preserve"> </w:t>
      </w:r>
      <w:r w:rsidR="00A62241" w:rsidRPr="00A62241">
        <w:rPr>
          <w:rFonts w:ascii="Arial" w:hAnsi="Arial" w:cs="Arial"/>
          <w:b/>
          <w:lang w:val="en-US"/>
        </w:rPr>
        <w:t>the categorical entanglements of s</w:t>
      </w:r>
      <w:r w:rsidRPr="00A62241">
        <w:rPr>
          <w:rFonts w:ascii="Arial" w:hAnsi="Arial" w:cs="Arial"/>
          <w:b/>
          <w:lang w:val="en-US"/>
        </w:rPr>
        <w:t xml:space="preserve">cholarly </w:t>
      </w:r>
      <w:r w:rsidR="00A62241" w:rsidRPr="00A62241">
        <w:rPr>
          <w:rFonts w:ascii="Arial" w:hAnsi="Arial" w:cs="Arial"/>
          <w:b/>
          <w:lang w:val="en-US"/>
        </w:rPr>
        <w:t>p</w:t>
      </w:r>
      <w:r w:rsidRPr="00A62241">
        <w:rPr>
          <w:rFonts w:ascii="Arial" w:hAnsi="Arial" w:cs="Arial"/>
          <w:b/>
          <w:lang w:val="en-US"/>
        </w:rPr>
        <w:t>ractice</w:t>
      </w:r>
    </w:p>
    <w:p w14:paraId="7204A1A2" w14:textId="755F5CD1" w:rsidR="0091539F" w:rsidRDefault="0091539F" w:rsidP="005A6B52">
      <w:pPr>
        <w:spacing w:line="360" w:lineRule="auto"/>
        <w:rPr>
          <w:rFonts w:ascii="Arial" w:hAnsi="Arial" w:cs="Arial"/>
          <w:lang w:val="en-US"/>
        </w:rPr>
      </w:pPr>
    </w:p>
    <w:p w14:paraId="32963768" w14:textId="29D94F2D" w:rsidR="00D91013" w:rsidRDefault="00C61572" w:rsidP="00D91013">
      <w:pPr>
        <w:spacing w:line="360" w:lineRule="auto"/>
        <w:rPr>
          <w:rFonts w:ascii="Arial" w:hAnsi="Arial" w:cs="Arial"/>
          <w:lang w:val="en-US"/>
        </w:rPr>
      </w:pPr>
      <w:r>
        <w:rPr>
          <w:rFonts w:ascii="Arial" w:hAnsi="Arial" w:cs="Arial"/>
          <w:lang w:val="en-US"/>
        </w:rPr>
        <w:t xml:space="preserve">In this </w:t>
      </w:r>
      <w:r w:rsidR="00E06ED6">
        <w:rPr>
          <w:rFonts w:ascii="Arial" w:hAnsi="Arial" w:cs="Arial"/>
          <w:lang w:val="en-US"/>
        </w:rPr>
        <w:t>section,</w:t>
      </w:r>
      <w:r>
        <w:rPr>
          <w:rFonts w:ascii="Arial" w:hAnsi="Arial" w:cs="Arial"/>
          <w:lang w:val="en-US"/>
        </w:rPr>
        <w:t xml:space="preserve"> I </w:t>
      </w:r>
      <w:r w:rsidR="004E7148">
        <w:rPr>
          <w:rFonts w:ascii="Arial" w:hAnsi="Arial" w:cs="Arial"/>
          <w:lang w:val="en-US"/>
        </w:rPr>
        <w:t xml:space="preserve">discuss notable contributions to the </w:t>
      </w:r>
      <w:r w:rsidR="000701AB">
        <w:rPr>
          <w:rFonts w:ascii="Arial" w:hAnsi="Arial" w:cs="Arial"/>
          <w:lang w:val="en-US"/>
        </w:rPr>
        <w:t>liter</w:t>
      </w:r>
      <w:r w:rsidR="00E260D9">
        <w:rPr>
          <w:rFonts w:ascii="Arial" w:hAnsi="Arial" w:cs="Arial"/>
          <w:lang w:val="en-US"/>
        </w:rPr>
        <w:t>ature touc</w:t>
      </w:r>
      <w:r w:rsidR="000701AB">
        <w:rPr>
          <w:rFonts w:ascii="Arial" w:hAnsi="Arial" w:cs="Arial"/>
          <w:lang w:val="en-US"/>
        </w:rPr>
        <w:t xml:space="preserve">hing upon </w:t>
      </w:r>
      <w:r w:rsidR="004E7148">
        <w:rPr>
          <w:rFonts w:ascii="Arial" w:hAnsi="Arial" w:cs="Arial"/>
          <w:lang w:val="en-US"/>
        </w:rPr>
        <w:t xml:space="preserve">scholarly practice and relate them to the </w:t>
      </w:r>
      <w:r w:rsidR="000701AB">
        <w:rPr>
          <w:rFonts w:ascii="Arial" w:hAnsi="Arial" w:cs="Arial"/>
          <w:lang w:val="en-US"/>
        </w:rPr>
        <w:t>earlier</w:t>
      </w:r>
      <w:r w:rsidR="00CE63DF">
        <w:rPr>
          <w:rFonts w:ascii="Arial" w:hAnsi="Arial" w:cs="Arial"/>
          <w:lang w:val="en-US"/>
        </w:rPr>
        <w:t xml:space="preserve"> discussion of motors of change</w:t>
      </w:r>
      <w:r w:rsidR="004E7148">
        <w:rPr>
          <w:rFonts w:ascii="Arial" w:hAnsi="Arial" w:cs="Arial"/>
          <w:lang w:val="en-US"/>
        </w:rPr>
        <w:t xml:space="preserve">.  </w:t>
      </w:r>
      <w:r w:rsidR="00D91013">
        <w:rPr>
          <w:rFonts w:ascii="Arial" w:hAnsi="Arial" w:cs="Arial"/>
          <w:lang w:val="en-US"/>
        </w:rPr>
        <w:t>At the outset i</w:t>
      </w:r>
      <w:r w:rsidR="000701AB">
        <w:rPr>
          <w:rFonts w:ascii="Arial" w:hAnsi="Arial" w:cs="Arial"/>
          <w:lang w:val="en-US"/>
        </w:rPr>
        <w:t>t</w:t>
      </w:r>
      <w:r w:rsidR="00D91013" w:rsidRPr="00D91013">
        <w:rPr>
          <w:rFonts w:ascii="Arial" w:hAnsi="Arial" w:cs="Arial"/>
          <w:lang w:val="en-US"/>
        </w:rPr>
        <w:t xml:space="preserve"> is important to emphasise that these different mechanisms seek to elicit questioning insight (Q) and not </w:t>
      </w:r>
      <w:r w:rsidR="00E260D9">
        <w:rPr>
          <w:rFonts w:ascii="Arial" w:hAnsi="Arial" w:cs="Arial"/>
          <w:lang w:val="en-US"/>
        </w:rPr>
        <w:t xml:space="preserve">(directly) </w:t>
      </w:r>
      <w:r w:rsidR="00D91013" w:rsidRPr="00D91013">
        <w:rPr>
          <w:rFonts w:ascii="Arial" w:hAnsi="Arial" w:cs="Arial"/>
          <w:lang w:val="en-US"/>
        </w:rPr>
        <w:t>solutions to the organisational problems.</w:t>
      </w:r>
      <w:r w:rsidR="004979A8">
        <w:rPr>
          <w:rFonts w:ascii="Arial" w:hAnsi="Arial" w:cs="Arial"/>
          <w:lang w:val="en-US"/>
        </w:rPr>
        <w:t xml:space="preserve">  The latter are the outcome of the entan</w:t>
      </w:r>
      <w:r w:rsidR="00076F7C">
        <w:rPr>
          <w:rFonts w:ascii="Arial" w:hAnsi="Arial" w:cs="Arial"/>
          <w:lang w:val="en-US"/>
        </w:rPr>
        <w:t>g</w:t>
      </w:r>
      <w:r w:rsidR="004979A8">
        <w:rPr>
          <w:rFonts w:ascii="Arial" w:hAnsi="Arial" w:cs="Arial"/>
          <w:lang w:val="en-US"/>
        </w:rPr>
        <w:t>lement between scholarly-ness and practititioner expert knowledge.</w:t>
      </w:r>
    </w:p>
    <w:p w14:paraId="427909BF" w14:textId="77777777" w:rsidR="00D91013" w:rsidRPr="00D91013" w:rsidRDefault="00D91013" w:rsidP="00D91013">
      <w:pPr>
        <w:spacing w:line="360" w:lineRule="auto"/>
        <w:rPr>
          <w:rFonts w:ascii="Arial" w:hAnsi="Arial" w:cs="Arial"/>
          <w:lang w:val="en-US"/>
        </w:rPr>
      </w:pPr>
    </w:p>
    <w:p w14:paraId="0FB73E01" w14:textId="0AAF99DE" w:rsidR="0091539F" w:rsidRDefault="003C2C25" w:rsidP="005A6B52">
      <w:pPr>
        <w:spacing w:line="360" w:lineRule="auto"/>
        <w:rPr>
          <w:rFonts w:ascii="Arial" w:hAnsi="Arial" w:cs="Arial"/>
          <w:lang w:val="en-US"/>
        </w:rPr>
      </w:pPr>
      <w:r>
        <w:rPr>
          <w:rFonts w:ascii="Arial" w:hAnsi="Arial" w:cs="Arial"/>
          <w:lang w:val="en-US"/>
        </w:rPr>
        <w:lastRenderedPageBreak/>
        <w:t>With their</w:t>
      </w:r>
      <w:r w:rsidR="0004663A">
        <w:rPr>
          <w:rFonts w:ascii="Arial" w:hAnsi="Arial" w:cs="Arial"/>
          <w:lang w:val="en-US"/>
        </w:rPr>
        <w:t xml:space="preserve"> </w:t>
      </w:r>
      <w:r>
        <w:rPr>
          <w:rFonts w:ascii="Arial" w:hAnsi="Arial" w:cs="Arial"/>
          <w:lang w:val="en-US"/>
        </w:rPr>
        <w:t>social-</w:t>
      </w:r>
      <w:r w:rsidR="0004663A">
        <w:rPr>
          <w:rFonts w:ascii="Arial" w:hAnsi="Arial" w:cs="Arial"/>
          <w:lang w:val="en-US"/>
        </w:rPr>
        <w:t xml:space="preserve">construction </w:t>
      </w:r>
      <w:r>
        <w:rPr>
          <w:rFonts w:ascii="Arial" w:hAnsi="Arial" w:cs="Arial"/>
          <w:lang w:val="en-US"/>
        </w:rPr>
        <w:t xml:space="preserve">mode </w:t>
      </w:r>
      <w:r w:rsidR="0004663A">
        <w:rPr>
          <w:rFonts w:ascii="Arial" w:hAnsi="Arial" w:cs="Arial"/>
          <w:lang w:val="en-US"/>
        </w:rPr>
        <w:t xml:space="preserve">of change, the teleological </w:t>
      </w:r>
      <w:r>
        <w:rPr>
          <w:rFonts w:ascii="Arial" w:hAnsi="Arial" w:cs="Arial"/>
          <w:lang w:val="en-US"/>
        </w:rPr>
        <w:t>and dialectical process theories</w:t>
      </w:r>
      <w:r w:rsidR="0004663A">
        <w:rPr>
          <w:rFonts w:ascii="Arial" w:hAnsi="Arial" w:cs="Arial"/>
          <w:lang w:val="en-US"/>
        </w:rPr>
        <w:t xml:space="preserve"> </w:t>
      </w:r>
      <w:r>
        <w:rPr>
          <w:rFonts w:ascii="Arial" w:hAnsi="Arial" w:cs="Arial"/>
          <w:lang w:val="en-US"/>
        </w:rPr>
        <w:t>are</w:t>
      </w:r>
      <w:r w:rsidR="0004663A">
        <w:rPr>
          <w:rFonts w:ascii="Arial" w:hAnsi="Arial" w:cs="Arial"/>
          <w:lang w:val="en-US"/>
        </w:rPr>
        <w:t xml:space="preserve"> the one</w:t>
      </w:r>
      <w:r>
        <w:rPr>
          <w:rFonts w:ascii="Arial" w:hAnsi="Arial" w:cs="Arial"/>
          <w:lang w:val="en-US"/>
        </w:rPr>
        <w:t>s</w:t>
      </w:r>
      <w:r w:rsidR="0004663A">
        <w:rPr>
          <w:rFonts w:ascii="Arial" w:hAnsi="Arial" w:cs="Arial"/>
          <w:lang w:val="en-US"/>
        </w:rPr>
        <w:t xml:space="preserve"> most </w:t>
      </w:r>
      <w:r w:rsidR="00853C42">
        <w:rPr>
          <w:rFonts w:ascii="Arial" w:hAnsi="Arial" w:cs="Arial"/>
          <w:lang w:val="en-US"/>
        </w:rPr>
        <w:t xml:space="preserve">thoroughly </w:t>
      </w:r>
      <w:r w:rsidR="00F133E3">
        <w:rPr>
          <w:rFonts w:ascii="Arial" w:hAnsi="Arial" w:cs="Arial"/>
          <w:lang w:val="en-US"/>
        </w:rPr>
        <w:t xml:space="preserve">evident </w:t>
      </w:r>
      <w:r w:rsidR="0004663A">
        <w:rPr>
          <w:rFonts w:ascii="Arial" w:hAnsi="Arial" w:cs="Arial"/>
          <w:lang w:val="en-US"/>
        </w:rPr>
        <w:t>in the literature of scholarly practice. Tenkasi and Hay (2004)</w:t>
      </w:r>
      <w:r w:rsidR="004D7FE7">
        <w:rPr>
          <w:rFonts w:ascii="Arial" w:hAnsi="Arial" w:cs="Arial"/>
          <w:lang w:val="en-US"/>
        </w:rPr>
        <w:t xml:space="preserve"> present </w:t>
      </w:r>
      <w:r w:rsidR="0004663A">
        <w:rPr>
          <w:rFonts w:ascii="Arial" w:hAnsi="Arial" w:cs="Arial"/>
          <w:lang w:val="en-US"/>
        </w:rPr>
        <w:t xml:space="preserve">a detailed account of how scholarly and practitioner resources (their term is "theory-practice linkages") are </w:t>
      </w:r>
      <w:r w:rsidR="0004663A" w:rsidRPr="00055BBF">
        <w:rPr>
          <w:rFonts w:ascii="Arial" w:hAnsi="Arial" w:cs="Arial"/>
          <w:i/>
          <w:lang w:val="en-US"/>
        </w:rPr>
        <w:t>integrated</w:t>
      </w:r>
      <w:r w:rsidR="0004663A">
        <w:rPr>
          <w:rFonts w:ascii="Arial" w:hAnsi="Arial" w:cs="Arial"/>
          <w:lang w:val="en-US"/>
        </w:rPr>
        <w:t xml:space="preserve"> throughout an organisational change project</w:t>
      </w:r>
      <w:r w:rsidR="00392BC6">
        <w:rPr>
          <w:rFonts w:ascii="Arial" w:hAnsi="Arial" w:cs="Arial"/>
          <w:lang w:val="en-US"/>
        </w:rPr>
        <w:t>, in which original scholarly research is conducted by a Practi</w:t>
      </w:r>
      <w:r w:rsidR="00663CD3">
        <w:rPr>
          <w:rFonts w:ascii="Arial" w:hAnsi="Arial" w:cs="Arial"/>
          <w:lang w:val="en-US"/>
        </w:rPr>
        <w:t>tioner</w:t>
      </w:r>
      <w:r w:rsidR="000964DE">
        <w:rPr>
          <w:rFonts w:ascii="Arial" w:hAnsi="Arial" w:cs="Arial"/>
          <w:lang w:val="en-US"/>
        </w:rPr>
        <w:t xml:space="preserve">.  </w:t>
      </w:r>
      <w:r w:rsidR="0004663A">
        <w:rPr>
          <w:rFonts w:ascii="Arial" w:hAnsi="Arial" w:cs="Arial"/>
          <w:lang w:val="en-US"/>
        </w:rPr>
        <w:t xml:space="preserve">They explain </w:t>
      </w:r>
      <w:r w:rsidR="009A7456">
        <w:rPr>
          <w:rFonts w:ascii="Arial" w:hAnsi="Arial" w:cs="Arial"/>
          <w:lang w:val="en-US"/>
        </w:rPr>
        <w:t>integration</w:t>
      </w:r>
      <w:r w:rsidR="000964DE">
        <w:rPr>
          <w:rFonts w:ascii="Arial" w:hAnsi="Arial" w:cs="Arial"/>
          <w:lang w:val="en-US"/>
        </w:rPr>
        <w:t xml:space="preserve"> of scholarly research findings and practitioner knowledge</w:t>
      </w:r>
      <w:r w:rsidR="009A7456">
        <w:rPr>
          <w:rFonts w:ascii="Arial" w:hAnsi="Arial" w:cs="Arial"/>
          <w:lang w:val="en-US"/>
        </w:rPr>
        <w:t xml:space="preserve"> </w:t>
      </w:r>
      <w:r w:rsidR="00853C42">
        <w:rPr>
          <w:rFonts w:ascii="Arial" w:hAnsi="Arial" w:cs="Arial"/>
          <w:lang w:val="en-US"/>
        </w:rPr>
        <w:t>as proceeding through the mechan</w:t>
      </w:r>
      <w:r w:rsidR="00A84728">
        <w:rPr>
          <w:rFonts w:ascii="Arial" w:hAnsi="Arial" w:cs="Arial"/>
          <w:lang w:val="en-US"/>
        </w:rPr>
        <w:t>isms</w:t>
      </w:r>
      <w:r w:rsidR="009A7456">
        <w:rPr>
          <w:rFonts w:ascii="Arial" w:hAnsi="Arial" w:cs="Arial"/>
          <w:lang w:val="en-US"/>
        </w:rPr>
        <w:t xml:space="preserve"> of "turns" and "s</w:t>
      </w:r>
      <w:r w:rsidR="00E06ED6">
        <w:rPr>
          <w:rFonts w:ascii="Arial" w:hAnsi="Arial" w:cs="Arial"/>
          <w:lang w:val="en-US"/>
        </w:rPr>
        <w:t>caffolding".</w:t>
      </w:r>
      <w:r w:rsidR="00B23751">
        <w:rPr>
          <w:rFonts w:ascii="Arial" w:hAnsi="Arial" w:cs="Arial"/>
          <w:lang w:val="en-US"/>
        </w:rPr>
        <w:t xml:space="preserve"> "Turns are reframing moves and tools that help make an element familiar, legitimate, and potentially more palatable to the concerned audience" (ibid, 2004: 197); and "Scaffolding typically involves the creation and/or use of a theory-based or practice-based platform at an earlier stage to influence its complement at a subsequent stage" (ibid, 2004: 198).</w:t>
      </w:r>
      <w:r w:rsidR="003D1062">
        <w:rPr>
          <w:rFonts w:ascii="Arial" w:hAnsi="Arial" w:cs="Arial"/>
          <w:lang w:val="en-US"/>
        </w:rPr>
        <w:t xml:space="preserve">  They emphasise an agentic ro</w:t>
      </w:r>
      <w:r w:rsidR="002A7CED">
        <w:rPr>
          <w:rFonts w:ascii="Arial" w:hAnsi="Arial" w:cs="Arial"/>
          <w:lang w:val="en-US"/>
        </w:rPr>
        <w:t>le for the scholar-practitioner, integrating original research with organisational practices and leading change that diverges from the existing order</w:t>
      </w:r>
      <w:r w:rsidR="0092342C">
        <w:rPr>
          <w:rFonts w:ascii="Arial" w:hAnsi="Arial" w:cs="Arial"/>
          <w:lang w:val="en-US"/>
        </w:rPr>
        <w:t>.</w:t>
      </w:r>
    </w:p>
    <w:p w14:paraId="1FCD1736" w14:textId="1A0036CE" w:rsidR="0007724B" w:rsidRDefault="0007724B" w:rsidP="005A6B52">
      <w:pPr>
        <w:spacing w:line="360" w:lineRule="auto"/>
        <w:rPr>
          <w:rFonts w:ascii="Arial" w:hAnsi="Arial" w:cs="Arial"/>
          <w:lang w:val="en-US"/>
        </w:rPr>
      </w:pPr>
    </w:p>
    <w:p w14:paraId="2DC570F3" w14:textId="7FD67DDC" w:rsidR="00FD50D8" w:rsidRDefault="0007724B" w:rsidP="005A6B52">
      <w:pPr>
        <w:spacing w:line="360" w:lineRule="auto"/>
        <w:rPr>
          <w:rFonts w:ascii="Arial" w:hAnsi="Arial" w:cs="Arial"/>
          <w:lang w:val="en-US"/>
        </w:rPr>
      </w:pPr>
      <w:r>
        <w:rPr>
          <w:rFonts w:ascii="Arial" w:hAnsi="Arial" w:cs="Arial"/>
          <w:lang w:val="en-US"/>
        </w:rPr>
        <w:t>Not all disruptive change requires the knowledge create</w:t>
      </w:r>
      <w:r w:rsidR="00B8560A">
        <w:rPr>
          <w:rFonts w:ascii="Arial" w:hAnsi="Arial" w:cs="Arial"/>
          <w:lang w:val="en-US"/>
        </w:rPr>
        <w:t>d</w:t>
      </w:r>
      <w:r>
        <w:rPr>
          <w:rFonts w:ascii="Arial" w:hAnsi="Arial" w:cs="Arial"/>
          <w:lang w:val="en-US"/>
        </w:rPr>
        <w:t xml:space="preserve"> through original scholarly research.  Paton et al (2014). describe how, in the context of an executive education programme they managed to disrupt the cu</w:t>
      </w:r>
      <w:r w:rsidR="00B8560A">
        <w:rPr>
          <w:rFonts w:ascii="Arial" w:hAnsi="Arial" w:cs="Arial"/>
          <w:lang w:val="en-US"/>
        </w:rPr>
        <w:t xml:space="preserve">rrent thinking of a group of executives by exposing them to extant research that offered counter-intuitive viewpoints.  The intention was not to apply (in some sense) this research to the organisation, but rather to create dissonances in the mind of the executives, and thereby prepare them for previously unconsidered avenues of change.  Facilitated using critical action learning practices (Trehan, 2011), these authors coin the term "relevating" for the mechanism of using </w:t>
      </w:r>
      <w:r w:rsidR="00FD50D8">
        <w:rPr>
          <w:rFonts w:ascii="Arial" w:hAnsi="Arial" w:cs="Arial"/>
          <w:lang w:val="en-US"/>
        </w:rPr>
        <w:t xml:space="preserve">(nominally irrelevant) </w:t>
      </w:r>
      <w:r w:rsidR="00B8560A">
        <w:rPr>
          <w:rFonts w:ascii="Arial" w:hAnsi="Arial" w:cs="Arial"/>
          <w:lang w:val="en-US"/>
        </w:rPr>
        <w:t xml:space="preserve">extant research </w:t>
      </w:r>
      <w:r w:rsidR="00FD50D8">
        <w:rPr>
          <w:rFonts w:ascii="Arial" w:hAnsi="Arial" w:cs="Arial"/>
          <w:lang w:val="en-US"/>
        </w:rPr>
        <w:t xml:space="preserve">to stimulate </w:t>
      </w:r>
      <w:r w:rsidR="00F133E3">
        <w:rPr>
          <w:rFonts w:ascii="Arial" w:hAnsi="Arial" w:cs="Arial"/>
          <w:lang w:val="en-US"/>
        </w:rPr>
        <w:t>new questions about organisational problems</w:t>
      </w:r>
      <w:r w:rsidR="00FD50D8">
        <w:rPr>
          <w:rFonts w:ascii="Arial" w:hAnsi="Arial" w:cs="Arial"/>
          <w:lang w:val="en-US"/>
        </w:rPr>
        <w:t xml:space="preserve">. </w:t>
      </w:r>
    </w:p>
    <w:p w14:paraId="0DBBABFB" w14:textId="77777777" w:rsidR="00FD50D8" w:rsidRDefault="00FD50D8" w:rsidP="005A6B52">
      <w:pPr>
        <w:spacing w:line="360" w:lineRule="auto"/>
        <w:rPr>
          <w:rFonts w:ascii="Arial" w:hAnsi="Arial" w:cs="Arial"/>
          <w:lang w:val="en-US"/>
        </w:rPr>
      </w:pPr>
    </w:p>
    <w:p w14:paraId="7B014930" w14:textId="63629A0C" w:rsidR="004128D1" w:rsidRDefault="00FD045A" w:rsidP="005A6B52">
      <w:pPr>
        <w:spacing w:line="360" w:lineRule="auto"/>
        <w:rPr>
          <w:rFonts w:ascii="Arial" w:hAnsi="Arial" w:cs="Arial"/>
          <w:lang w:val="en-US"/>
        </w:rPr>
      </w:pPr>
      <w:r>
        <w:rPr>
          <w:rFonts w:ascii="Arial" w:hAnsi="Arial" w:cs="Arial"/>
          <w:lang w:val="en-US"/>
        </w:rPr>
        <w:t xml:space="preserve">In having an inherent prescribed mode of change, the life-cycle and evolutionary </w:t>
      </w:r>
      <w:r w:rsidR="00897127">
        <w:rPr>
          <w:rFonts w:ascii="Arial" w:hAnsi="Arial" w:cs="Arial"/>
          <w:lang w:val="en-US"/>
        </w:rPr>
        <w:t>change</w:t>
      </w:r>
      <w:r>
        <w:rPr>
          <w:rFonts w:ascii="Arial" w:hAnsi="Arial" w:cs="Arial"/>
          <w:lang w:val="en-US"/>
        </w:rPr>
        <w:t xml:space="preserve"> models present different challenges for scholarly practice.  The ability of the manager to effect chang</w:t>
      </w:r>
      <w:r w:rsidR="00F95D2E">
        <w:rPr>
          <w:rFonts w:ascii="Arial" w:hAnsi="Arial" w:cs="Arial"/>
          <w:lang w:val="en-US"/>
        </w:rPr>
        <w:t>e in these contexts is</w:t>
      </w:r>
      <w:r>
        <w:rPr>
          <w:rFonts w:ascii="Arial" w:hAnsi="Arial" w:cs="Arial"/>
          <w:lang w:val="en-US"/>
        </w:rPr>
        <w:t xml:space="preserve"> constrained</w:t>
      </w:r>
      <w:r w:rsidR="00F95D2E">
        <w:rPr>
          <w:rFonts w:ascii="Arial" w:hAnsi="Arial" w:cs="Arial"/>
          <w:lang w:val="en-US"/>
        </w:rPr>
        <w:t xml:space="preserve"> by forces outside </w:t>
      </w:r>
      <w:r w:rsidR="00A8065D">
        <w:rPr>
          <w:rFonts w:ascii="Arial" w:hAnsi="Arial" w:cs="Arial"/>
          <w:lang w:val="en-US"/>
        </w:rPr>
        <w:t>anyone’s</w:t>
      </w:r>
      <w:r w:rsidR="00F95D2E">
        <w:rPr>
          <w:rFonts w:ascii="Arial" w:hAnsi="Arial" w:cs="Arial"/>
          <w:lang w:val="en-US"/>
        </w:rPr>
        <w:t xml:space="preserve"> control.  It could be that the </w:t>
      </w:r>
      <w:r w:rsidR="008819E7">
        <w:rPr>
          <w:rFonts w:ascii="Arial" w:hAnsi="Arial" w:cs="Arial"/>
          <w:lang w:val="en-US"/>
        </w:rPr>
        <w:t>practices described above that closely align with either the</w:t>
      </w:r>
      <w:r w:rsidR="00F95D2E">
        <w:rPr>
          <w:rFonts w:ascii="Arial" w:hAnsi="Arial" w:cs="Arial"/>
          <w:lang w:val="en-US"/>
        </w:rPr>
        <w:t xml:space="preserve"> teleological model</w:t>
      </w:r>
      <w:r w:rsidR="008819E7">
        <w:rPr>
          <w:rFonts w:ascii="Arial" w:hAnsi="Arial" w:cs="Arial"/>
          <w:lang w:val="en-US"/>
        </w:rPr>
        <w:t xml:space="preserve"> or the dialectical model </w:t>
      </w:r>
      <w:r w:rsidR="00F95D2E">
        <w:rPr>
          <w:rFonts w:ascii="Arial" w:hAnsi="Arial" w:cs="Arial"/>
          <w:lang w:val="en-US"/>
        </w:rPr>
        <w:t xml:space="preserve">might continue to prove a strategy for managing </w:t>
      </w:r>
      <w:r w:rsidR="004979A8">
        <w:rPr>
          <w:rFonts w:ascii="Arial" w:hAnsi="Arial" w:cs="Arial"/>
          <w:lang w:val="en-US"/>
        </w:rPr>
        <w:t xml:space="preserve">prescribed </w:t>
      </w:r>
      <w:r w:rsidR="00F95D2E">
        <w:rPr>
          <w:rFonts w:ascii="Arial" w:hAnsi="Arial" w:cs="Arial"/>
          <w:lang w:val="en-US"/>
        </w:rPr>
        <w:t>organisational change</w:t>
      </w:r>
      <w:r w:rsidR="00FD50D8">
        <w:rPr>
          <w:rFonts w:ascii="Arial" w:hAnsi="Arial" w:cs="Arial"/>
          <w:lang w:val="en-US"/>
        </w:rPr>
        <w:t>s</w:t>
      </w:r>
      <w:r w:rsidR="00F95D2E">
        <w:rPr>
          <w:rFonts w:ascii="Arial" w:hAnsi="Arial" w:cs="Arial"/>
          <w:lang w:val="en-US"/>
        </w:rPr>
        <w:t>.  However</w:t>
      </w:r>
      <w:r w:rsidR="008819E7">
        <w:rPr>
          <w:rFonts w:ascii="Arial" w:hAnsi="Arial" w:cs="Arial"/>
          <w:lang w:val="en-US"/>
        </w:rPr>
        <w:t>, another possibility is</w:t>
      </w:r>
      <w:r w:rsidR="00A8065D">
        <w:rPr>
          <w:rFonts w:ascii="Arial" w:hAnsi="Arial" w:cs="Arial"/>
          <w:lang w:val="en-US"/>
        </w:rPr>
        <w:t xml:space="preserve"> one that seeks to “ride the wave” of the forces prescribing the course of organisational change.  Such an approach to scholarly practice might be </w:t>
      </w:r>
      <w:r w:rsidR="009D2CD3">
        <w:rPr>
          <w:rFonts w:ascii="Arial" w:hAnsi="Arial" w:cs="Arial"/>
          <w:lang w:val="en-US"/>
        </w:rPr>
        <w:t xml:space="preserve">more </w:t>
      </w:r>
      <w:r w:rsidR="009D2CD3">
        <w:rPr>
          <w:rFonts w:ascii="Arial" w:hAnsi="Arial" w:cs="Arial"/>
          <w:lang w:val="en-US"/>
        </w:rPr>
        <w:lastRenderedPageBreak/>
        <w:t xml:space="preserve">responsive in nature, and contingent on the circumstances at a given point during the cycle of change.  </w:t>
      </w:r>
      <w:r w:rsidR="002878A1">
        <w:rPr>
          <w:rFonts w:ascii="Arial" w:hAnsi="Arial" w:cs="Arial"/>
          <w:lang w:val="en-US"/>
        </w:rPr>
        <w:t xml:space="preserve">In this scenario </w:t>
      </w:r>
      <w:r w:rsidR="00392BC6">
        <w:rPr>
          <w:rFonts w:ascii="Arial" w:hAnsi="Arial" w:cs="Arial"/>
          <w:lang w:val="en-US"/>
        </w:rPr>
        <w:t>scholarly-practice</w:t>
      </w:r>
      <w:r w:rsidR="002878A1">
        <w:rPr>
          <w:rFonts w:ascii="Arial" w:hAnsi="Arial" w:cs="Arial"/>
          <w:lang w:val="en-US"/>
        </w:rPr>
        <w:t xml:space="preserve"> is less a matter of purposeful </w:t>
      </w:r>
      <w:r w:rsidR="00F133E3">
        <w:rPr>
          <w:rFonts w:ascii="Arial" w:hAnsi="Arial" w:cs="Arial"/>
          <w:lang w:val="en-US"/>
        </w:rPr>
        <w:t>questioning</w:t>
      </w:r>
      <w:r w:rsidR="002B4B8C">
        <w:rPr>
          <w:rFonts w:ascii="Arial" w:hAnsi="Arial" w:cs="Arial"/>
          <w:lang w:val="en-US"/>
        </w:rPr>
        <w:t>, than</w:t>
      </w:r>
      <w:r w:rsidR="002878A1">
        <w:rPr>
          <w:rFonts w:ascii="Arial" w:hAnsi="Arial" w:cs="Arial"/>
          <w:lang w:val="en-US"/>
        </w:rPr>
        <w:t xml:space="preserve"> of </w:t>
      </w:r>
      <w:r w:rsidR="004979A8">
        <w:rPr>
          <w:rFonts w:ascii="Arial" w:hAnsi="Arial" w:cs="Arial"/>
          <w:lang w:val="en-US"/>
        </w:rPr>
        <w:t>responsive</w:t>
      </w:r>
      <w:r w:rsidR="002878A1">
        <w:rPr>
          <w:rFonts w:ascii="Arial" w:hAnsi="Arial" w:cs="Arial"/>
          <w:lang w:val="en-US"/>
        </w:rPr>
        <w:t xml:space="preserve"> </w:t>
      </w:r>
      <w:r w:rsidR="00F133E3">
        <w:rPr>
          <w:rFonts w:ascii="Arial" w:hAnsi="Arial" w:cs="Arial"/>
          <w:lang w:val="en-US"/>
        </w:rPr>
        <w:t>questioning</w:t>
      </w:r>
      <w:r w:rsidR="002878A1">
        <w:rPr>
          <w:rFonts w:ascii="Arial" w:hAnsi="Arial" w:cs="Arial"/>
          <w:lang w:val="en-US"/>
        </w:rPr>
        <w:t>.</w:t>
      </w:r>
    </w:p>
    <w:p w14:paraId="6160BB7C" w14:textId="5705677A" w:rsidR="00FD50D8" w:rsidRDefault="00FD50D8" w:rsidP="005A6B52">
      <w:pPr>
        <w:spacing w:line="360" w:lineRule="auto"/>
        <w:rPr>
          <w:rFonts w:ascii="Arial" w:hAnsi="Arial" w:cs="Arial"/>
          <w:lang w:val="en-US"/>
        </w:rPr>
      </w:pPr>
    </w:p>
    <w:p w14:paraId="23991877" w14:textId="1DC12455" w:rsidR="002E15E1" w:rsidRDefault="00FD50D8" w:rsidP="00FD50D8">
      <w:pPr>
        <w:spacing w:line="360" w:lineRule="auto"/>
        <w:rPr>
          <w:rFonts w:ascii="Arial" w:hAnsi="Arial" w:cs="Arial"/>
          <w:lang w:val="en-US"/>
        </w:rPr>
      </w:pPr>
      <w:r>
        <w:rPr>
          <w:rFonts w:ascii="Arial" w:hAnsi="Arial" w:cs="Arial"/>
          <w:lang w:val="en-US"/>
        </w:rPr>
        <w:t xml:space="preserve">In developing her ideas of a "scholarship of practice" </w:t>
      </w:r>
      <w:r w:rsidR="00897127">
        <w:rPr>
          <w:rFonts w:ascii="Arial" w:hAnsi="Arial" w:cs="Arial"/>
          <w:lang w:val="en-US"/>
        </w:rPr>
        <w:t xml:space="preserve">and </w:t>
      </w:r>
      <w:r>
        <w:rPr>
          <w:rFonts w:ascii="Arial" w:hAnsi="Arial" w:cs="Arial"/>
          <w:lang w:val="en-US"/>
        </w:rPr>
        <w:t xml:space="preserve">making a </w:t>
      </w:r>
      <w:r w:rsidR="008A5F59">
        <w:rPr>
          <w:rFonts w:ascii="Arial" w:hAnsi="Arial" w:cs="Arial"/>
          <w:lang w:val="en-US"/>
        </w:rPr>
        <w:t>provocative</w:t>
      </w:r>
      <w:r>
        <w:rPr>
          <w:rFonts w:ascii="Arial" w:hAnsi="Arial" w:cs="Arial"/>
          <w:lang w:val="en-US"/>
        </w:rPr>
        <w:t xml:space="preserve"> use of theory</w:t>
      </w:r>
      <w:r w:rsidR="00897127">
        <w:rPr>
          <w:rFonts w:ascii="Arial" w:hAnsi="Arial" w:cs="Arial"/>
          <w:lang w:val="en-US"/>
        </w:rPr>
        <w:t>,</w:t>
      </w:r>
      <w:r w:rsidR="008A5F59">
        <w:rPr>
          <w:rFonts w:ascii="Arial" w:hAnsi="Arial" w:cs="Arial"/>
          <w:lang w:val="en-US"/>
        </w:rPr>
        <w:t xml:space="preserve"> Ramsey (2011) explains how original scholarly research</w:t>
      </w:r>
      <w:r w:rsidR="00A74575">
        <w:rPr>
          <w:rFonts w:ascii="Arial" w:hAnsi="Arial" w:cs="Arial"/>
          <w:lang w:val="en-US"/>
        </w:rPr>
        <w:t xml:space="preserve"> should not be understood in simple terms of something that should be applied to the solving of organisational issues</w:t>
      </w:r>
      <w:r w:rsidR="00392BC6">
        <w:rPr>
          <w:rFonts w:ascii="Arial" w:hAnsi="Arial" w:cs="Arial"/>
          <w:lang w:val="en-US"/>
        </w:rPr>
        <w:t xml:space="preserve"> (cf. Revans definition of "P")</w:t>
      </w:r>
      <w:r w:rsidR="00A74575">
        <w:rPr>
          <w:rFonts w:ascii="Arial" w:hAnsi="Arial" w:cs="Arial"/>
          <w:lang w:val="en-US"/>
        </w:rPr>
        <w:t xml:space="preserve">.  Rather, she explains </w:t>
      </w:r>
      <w:r w:rsidR="00662FA7">
        <w:rPr>
          <w:rFonts w:ascii="Arial" w:hAnsi="Arial" w:cs="Arial"/>
          <w:lang w:val="en-US"/>
        </w:rPr>
        <w:t xml:space="preserve">how </w:t>
      </w:r>
      <w:r w:rsidR="00A74575">
        <w:rPr>
          <w:rFonts w:ascii="Arial" w:hAnsi="Arial" w:cs="Arial"/>
          <w:lang w:val="en-US"/>
        </w:rPr>
        <w:t>an on-going dialogue between original research</w:t>
      </w:r>
      <w:r w:rsidR="002E15E1">
        <w:rPr>
          <w:rFonts w:ascii="Arial" w:hAnsi="Arial" w:cs="Arial"/>
          <w:lang w:val="en-US"/>
        </w:rPr>
        <w:t xml:space="preserve"> </w:t>
      </w:r>
      <w:r w:rsidR="00662FA7">
        <w:rPr>
          <w:rFonts w:ascii="Arial" w:hAnsi="Arial" w:cs="Arial"/>
          <w:lang w:val="en-US"/>
        </w:rPr>
        <w:t>and practice can enable a constant testing of ideas that over time results in an accumulation of incremental changes.</w:t>
      </w:r>
      <w:r w:rsidR="003248D4">
        <w:rPr>
          <w:rFonts w:ascii="Arial" w:hAnsi="Arial" w:cs="Arial"/>
          <w:lang w:val="en-US"/>
        </w:rPr>
        <w:t xml:space="preserve"> </w:t>
      </w:r>
    </w:p>
    <w:p w14:paraId="755F8E1A" w14:textId="6F48DDBE" w:rsidR="002B4B8C" w:rsidRDefault="002B4B8C" w:rsidP="005A6B52">
      <w:pPr>
        <w:spacing w:line="360" w:lineRule="auto"/>
        <w:rPr>
          <w:rFonts w:ascii="Arial" w:hAnsi="Arial" w:cs="Arial"/>
          <w:lang w:val="en-US"/>
        </w:rPr>
      </w:pPr>
    </w:p>
    <w:p w14:paraId="043FABD6" w14:textId="762008AC" w:rsidR="00A80ADE" w:rsidRDefault="00072D2D" w:rsidP="005A6B52">
      <w:pPr>
        <w:spacing w:line="360" w:lineRule="auto"/>
        <w:rPr>
          <w:rFonts w:ascii="Arial" w:hAnsi="Arial" w:cs="Arial"/>
          <w:lang w:val="en-US"/>
        </w:rPr>
      </w:pPr>
      <w:r>
        <w:rPr>
          <w:rFonts w:ascii="Arial" w:hAnsi="Arial" w:cs="Arial"/>
          <w:lang w:val="en-US"/>
        </w:rPr>
        <w:t xml:space="preserve">In cases where the incremental change might unfold </w:t>
      </w:r>
      <w:r w:rsidR="00663CD3">
        <w:rPr>
          <w:rFonts w:ascii="Arial" w:hAnsi="Arial" w:cs="Arial"/>
          <w:lang w:val="en-US"/>
        </w:rPr>
        <w:t>following unexpected changes in the external environment</w:t>
      </w:r>
      <w:r>
        <w:rPr>
          <w:rFonts w:ascii="Arial" w:hAnsi="Arial" w:cs="Arial"/>
          <w:lang w:val="en-US"/>
        </w:rPr>
        <w:t xml:space="preserve"> (cf. evolutionary modes of change) then a dialogue </w:t>
      </w:r>
      <w:r w:rsidR="00663CD3">
        <w:rPr>
          <w:rFonts w:ascii="Arial" w:hAnsi="Arial" w:cs="Arial"/>
          <w:lang w:val="en-US"/>
        </w:rPr>
        <w:t>with</w:t>
      </w:r>
      <w:r>
        <w:rPr>
          <w:rFonts w:ascii="Arial" w:hAnsi="Arial" w:cs="Arial"/>
          <w:lang w:val="en-US"/>
        </w:rPr>
        <w:t xml:space="preserve"> a single piece of extant research may not </w:t>
      </w:r>
      <w:r w:rsidR="00663CD3">
        <w:rPr>
          <w:rFonts w:ascii="Arial" w:hAnsi="Arial" w:cs="Arial"/>
          <w:lang w:val="en-US"/>
        </w:rPr>
        <w:t>continue to be relevant</w:t>
      </w:r>
      <w:r>
        <w:rPr>
          <w:rFonts w:ascii="Arial" w:hAnsi="Arial" w:cs="Arial"/>
          <w:lang w:val="en-US"/>
        </w:rPr>
        <w:t>.  In such length</w:t>
      </w:r>
      <w:r w:rsidR="000D6047">
        <w:rPr>
          <w:rFonts w:ascii="Arial" w:hAnsi="Arial" w:cs="Arial"/>
          <w:lang w:val="en-US"/>
        </w:rPr>
        <w:t>y</w:t>
      </w:r>
      <w:r>
        <w:rPr>
          <w:rFonts w:ascii="Arial" w:hAnsi="Arial" w:cs="Arial"/>
          <w:lang w:val="en-US"/>
        </w:rPr>
        <w:t xml:space="preserve"> change processes </w:t>
      </w:r>
      <w:r w:rsidR="000D6047">
        <w:rPr>
          <w:rFonts w:ascii="Arial" w:hAnsi="Arial" w:cs="Arial"/>
          <w:lang w:val="en-US"/>
        </w:rPr>
        <w:t xml:space="preserve">the questioning insight ("Q") might require the use of multiple (extant) literatures.  Whilst not, to my knowledge, used in debates on scholarly practice, the mechanism of "bricolage" might be salient to explain the selection of extant literatures in these cases.  </w:t>
      </w:r>
      <w:r w:rsidR="002B4B8C">
        <w:rPr>
          <w:rFonts w:ascii="Arial" w:hAnsi="Arial" w:cs="Arial"/>
          <w:lang w:val="en-US"/>
        </w:rPr>
        <w:t xml:space="preserve">Levi-Strauss (1967) coined the term </w:t>
      </w:r>
      <w:r w:rsidR="000D6047">
        <w:rPr>
          <w:rFonts w:ascii="Arial" w:hAnsi="Arial" w:cs="Arial"/>
          <w:lang w:val="en-US"/>
        </w:rPr>
        <w:t>"bricolage" to denote the innovative</w:t>
      </w:r>
      <w:r w:rsidR="002B4B8C">
        <w:rPr>
          <w:rFonts w:ascii="Arial" w:hAnsi="Arial" w:cs="Arial"/>
          <w:lang w:val="en-US"/>
        </w:rPr>
        <w:t xml:space="preserve"> combination of </w:t>
      </w:r>
      <w:r w:rsidR="000D6047">
        <w:rPr>
          <w:rFonts w:ascii="Arial" w:hAnsi="Arial" w:cs="Arial"/>
          <w:lang w:val="en-US"/>
        </w:rPr>
        <w:t xml:space="preserve">existing resources </w:t>
      </w:r>
      <w:r w:rsidR="00A80ADE">
        <w:rPr>
          <w:rFonts w:ascii="Arial" w:hAnsi="Arial" w:cs="Arial"/>
          <w:lang w:val="en-US"/>
        </w:rPr>
        <w:t xml:space="preserve"> that are "</w:t>
      </w:r>
      <w:r w:rsidR="000D6047">
        <w:rPr>
          <w:rFonts w:ascii="Arial" w:hAnsi="Arial" w:cs="Arial"/>
          <w:lang w:val="en-US"/>
        </w:rPr>
        <w:t>at hand</w:t>
      </w:r>
      <w:r w:rsidR="00A80ADE">
        <w:rPr>
          <w:rFonts w:ascii="Arial" w:hAnsi="Arial" w:cs="Arial"/>
          <w:lang w:val="en-US"/>
        </w:rPr>
        <w:t>"</w:t>
      </w:r>
      <w:r w:rsidR="002B4B8C">
        <w:rPr>
          <w:rFonts w:ascii="Arial" w:hAnsi="Arial" w:cs="Arial"/>
          <w:lang w:val="en-US"/>
        </w:rPr>
        <w:t>.  It is an idea that has found extensive application in organisational studies (Duymedjian &amp; Ruling, 2010), particularly in relation t</w:t>
      </w:r>
      <w:r w:rsidR="009D63AD">
        <w:rPr>
          <w:rFonts w:ascii="Arial" w:hAnsi="Arial" w:cs="Arial"/>
          <w:lang w:val="en-US"/>
        </w:rPr>
        <w:t>o practices for developing</w:t>
      </w:r>
      <w:r w:rsidR="002B4B8C">
        <w:rPr>
          <w:rFonts w:ascii="Arial" w:hAnsi="Arial" w:cs="Arial"/>
          <w:lang w:val="en-US"/>
        </w:rPr>
        <w:t xml:space="preserve"> innovation</w:t>
      </w:r>
      <w:r w:rsidR="009D63AD">
        <w:rPr>
          <w:rFonts w:ascii="Arial" w:hAnsi="Arial" w:cs="Arial"/>
          <w:lang w:val="en-US"/>
        </w:rPr>
        <w:t>s</w:t>
      </w:r>
      <w:r w:rsidR="002B4B8C">
        <w:rPr>
          <w:rFonts w:ascii="Arial" w:hAnsi="Arial" w:cs="Arial"/>
          <w:lang w:val="en-US"/>
        </w:rPr>
        <w:t xml:space="preserve"> (e.g. Garud and Karnoe, 2003) or institutional transformation (e.g. Desa, 2011).  </w:t>
      </w:r>
      <w:r w:rsidR="002B4B8C" w:rsidRPr="000D6047">
        <w:rPr>
          <w:rFonts w:ascii="Arial" w:hAnsi="Arial" w:cs="Arial"/>
          <w:lang w:val="en-US"/>
        </w:rPr>
        <w:t xml:space="preserve">Invoking this idea is salient to </w:t>
      </w:r>
      <w:r w:rsidR="000D6047">
        <w:rPr>
          <w:rFonts w:ascii="Arial" w:hAnsi="Arial" w:cs="Arial"/>
          <w:lang w:val="en-US"/>
        </w:rPr>
        <w:t>organisational change effected by prescribed processes</w:t>
      </w:r>
      <w:r w:rsidR="00A80ADE">
        <w:rPr>
          <w:rFonts w:ascii="Arial" w:hAnsi="Arial" w:cs="Arial"/>
          <w:lang w:val="en-US"/>
        </w:rPr>
        <w:t xml:space="preserve"> as it allows for the</w:t>
      </w:r>
      <w:r w:rsidR="00392BC6">
        <w:rPr>
          <w:rFonts w:ascii="Arial" w:hAnsi="Arial" w:cs="Arial"/>
          <w:lang w:val="en-US"/>
        </w:rPr>
        <w:t xml:space="preserve"> Practitioner to</w:t>
      </w:r>
      <w:r w:rsidR="00445507">
        <w:rPr>
          <w:rFonts w:ascii="Arial" w:hAnsi="Arial" w:cs="Arial"/>
          <w:lang w:val="en-US"/>
        </w:rPr>
        <w:t xml:space="preserve"> use (in principle)</w:t>
      </w:r>
      <w:r w:rsidR="00A80ADE">
        <w:rPr>
          <w:rFonts w:ascii="Arial" w:hAnsi="Arial" w:cs="Arial"/>
          <w:lang w:val="en-US"/>
        </w:rPr>
        <w:t xml:space="preserve"> the entire body of management research in order to question some arena of practice that is itself changing due to evolutionary pressures.</w:t>
      </w:r>
      <w:r w:rsidR="0021031F" w:rsidRPr="000D6047">
        <w:rPr>
          <w:rFonts w:ascii="Arial" w:hAnsi="Arial" w:cs="Arial"/>
          <w:lang w:val="en-US"/>
        </w:rPr>
        <w:t xml:space="preserve"> </w:t>
      </w:r>
      <w:r w:rsidR="00C72B20">
        <w:rPr>
          <w:rFonts w:ascii="Arial" w:hAnsi="Arial" w:cs="Arial"/>
          <w:lang w:val="en-US"/>
        </w:rPr>
        <w:t xml:space="preserve"> </w:t>
      </w:r>
      <w:r w:rsidR="00A80ADE">
        <w:rPr>
          <w:rFonts w:ascii="Arial" w:hAnsi="Arial" w:cs="Arial"/>
          <w:lang w:val="en-US"/>
        </w:rPr>
        <w:t xml:space="preserve">The forgoing discussion of the mechanisms of </w:t>
      </w:r>
      <w:r w:rsidR="000363AD">
        <w:rPr>
          <w:rFonts w:ascii="Arial" w:hAnsi="Arial" w:cs="Arial"/>
          <w:lang w:val="en-US"/>
        </w:rPr>
        <w:t xml:space="preserve">generating questioning insight through </w:t>
      </w:r>
      <w:r w:rsidR="00A80ADE">
        <w:rPr>
          <w:rFonts w:ascii="Arial" w:hAnsi="Arial" w:cs="Arial"/>
          <w:lang w:val="en-US"/>
        </w:rPr>
        <w:t>scholarly</w:t>
      </w:r>
      <w:r w:rsidR="004979A8">
        <w:rPr>
          <w:rFonts w:ascii="Arial" w:hAnsi="Arial" w:cs="Arial"/>
          <w:lang w:val="en-US"/>
        </w:rPr>
        <w:t>-ness</w:t>
      </w:r>
      <w:r w:rsidR="000363AD">
        <w:rPr>
          <w:rFonts w:ascii="Arial" w:hAnsi="Arial" w:cs="Arial"/>
          <w:lang w:val="en-US"/>
        </w:rPr>
        <w:t xml:space="preserve">, and the proceeding entanglement with management practice </w:t>
      </w:r>
      <w:r w:rsidR="00A80ADE">
        <w:rPr>
          <w:rFonts w:ascii="Arial" w:hAnsi="Arial" w:cs="Arial"/>
          <w:lang w:val="en-US"/>
        </w:rPr>
        <w:t xml:space="preserve">is </w:t>
      </w:r>
      <w:r w:rsidR="00930DCB">
        <w:rPr>
          <w:rFonts w:ascii="Arial" w:hAnsi="Arial" w:cs="Arial"/>
          <w:lang w:val="en-US"/>
        </w:rPr>
        <w:t>summarised</w:t>
      </w:r>
      <w:r w:rsidR="00A80ADE">
        <w:rPr>
          <w:rFonts w:ascii="Arial" w:hAnsi="Arial" w:cs="Arial"/>
          <w:lang w:val="en-US"/>
        </w:rPr>
        <w:t xml:space="preserve"> in</w:t>
      </w:r>
      <w:r w:rsidR="00192085">
        <w:rPr>
          <w:rFonts w:ascii="Arial" w:hAnsi="Arial" w:cs="Arial"/>
          <w:lang w:val="en-US"/>
        </w:rPr>
        <w:t xml:space="preserve"> </w:t>
      </w:r>
      <w:r w:rsidR="000363AD">
        <w:rPr>
          <w:rFonts w:ascii="Arial" w:hAnsi="Arial" w:cs="Arial"/>
          <w:lang w:val="en-US"/>
        </w:rPr>
        <w:fldChar w:fldCharType="begin"/>
      </w:r>
      <w:r w:rsidR="000363AD">
        <w:rPr>
          <w:rFonts w:ascii="Arial" w:hAnsi="Arial" w:cs="Arial"/>
          <w:lang w:val="en-US"/>
        </w:rPr>
        <w:instrText xml:space="preserve"> REF _Ref514746218 \h </w:instrText>
      </w:r>
      <w:r w:rsidR="000363AD">
        <w:rPr>
          <w:rFonts w:ascii="Arial" w:hAnsi="Arial" w:cs="Arial"/>
          <w:lang w:val="en-US"/>
        </w:rPr>
      </w:r>
      <w:r w:rsidR="000363AD">
        <w:rPr>
          <w:rFonts w:ascii="Arial" w:hAnsi="Arial" w:cs="Arial"/>
          <w:lang w:val="en-US"/>
        </w:rPr>
        <w:fldChar w:fldCharType="separate"/>
      </w:r>
      <w:r w:rsidR="000363AD" w:rsidRPr="000363AD">
        <w:rPr>
          <w:rFonts w:ascii="Arial" w:hAnsi="Arial" w:cs="Arial"/>
        </w:rPr>
        <w:t xml:space="preserve">Table </w:t>
      </w:r>
      <w:r w:rsidR="000363AD" w:rsidRPr="000363AD">
        <w:rPr>
          <w:rFonts w:ascii="Arial" w:hAnsi="Arial" w:cs="Arial"/>
          <w:noProof/>
        </w:rPr>
        <w:t>2</w:t>
      </w:r>
      <w:r w:rsidR="000363AD">
        <w:rPr>
          <w:rFonts w:ascii="Arial" w:hAnsi="Arial" w:cs="Arial"/>
          <w:lang w:val="en-US"/>
        </w:rPr>
        <w:fldChar w:fldCharType="end"/>
      </w:r>
      <w:r w:rsidR="00192085">
        <w:rPr>
          <w:rFonts w:ascii="Arial" w:hAnsi="Arial" w:cs="Arial"/>
          <w:lang w:val="en-US"/>
        </w:rPr>
        <w:t>.</w:t>
      </w:r>
      <w:r w:rsidR="00837362">
        <w:rPr>
          <w:rFonts w:ascii="Arial" w:hAnsi="Arial" w:cs="Arial"/>
          <w:lang w:val="en-US"/>
        </w:rPr>
        <w:t xml:space="preserve">  </w:t>
      </w:r>
    </w:p>
    <w:p w14:paraId="45F99FA0" w14:textId="146DA1C2" w:rsidR="00445507" w:rsidRDefault="00445507" w:rsidP="005A6B52">
      <w:pPr>
        <w:spacing w:line="360" w:lineRule="auto"/>
        <w:rPr>
          <w:rFonts w:ascii="Arial" w:hAnsi="Arial" w:cs="Arial"/>
          <w:lang w:val="en-US"/>
        </w:rPr>
      </w:pPr>
    </w:p>
    <w:p w14:paraId="4CE340C7" w14:textId="77777777" w:rsidR="00445507" w:rsidRDefault="00445507" w:rsidP="005A6B52">
      <w:pPr>
        <w:spacing w:line="360" w:lineRule="auto"/>
        <w:rPr>
          <w:rFonts w:ascii="Arial" w:hAnsi="Arial" w:cs="Arial"/>
          <w:lang w:val="en-US"/>
        </w:rPr>
      </w:pPr>
    </w:p>
    <w:p w14:paraId="3EDBB48D" w14:textId="60BB2363" w:rsidR="00A80ADE" w:rsidRDefault="00A80ADE" w:rsidP="005A6B52">
      <w:pPr>
        <w:spacing w:line="360" w:lineRule="auto"/>
        <w:rPr>
          <w:rFonts w:ascii="Arial" w:hAnsi="Arial" w:cs="Arial"/>
          <w:lang w:val="en-US"/>
        </w:rPr>
      </w:pPr>
    </w:p>
    <w:p w14:paraId="0649653C" w14:textId="48BD6139" w:rsidR="00C40451" w:rsidRDefault="00C40451" w:rsidP="005A6B52">
      <w:pPr>
        <w:spacing w:line="360" w:lineRule="auto"/>
        <w:rPr>
          <w:rFonts w:ascii="Arial" w:hAnsi="Arial" w:cs="Arial"/>
          <w:lang w:val="en-US"/>
        </w:rPr>
      </w:pPr>
    </w:p>
    <w:p w14:paraId="2447AAEA" w14:textId="77777777" w:rsidR="00C40451" w:rsidRDefault="00C40451" w:rsidP="005A6B52">
      <w:pPr>
        <w:spacing w:line="360" w:lineRule="auto"/>
        <w:rPr>
          <w:rFonts w:ascii="Arial" w:hAnsi="Arial" w:cs="Arial"/>
          <w:lang w:val="en-US"/>
        </w:rPr>
      </w:pPr>
      <w:bookmarkStart w:id="1" w:name="_GoBack"/>
      <w:bookmarkEnd w:id="1"/>
    </w:p>
    <w:p w14:paraId="0BAE4E1D" w14:textId="7DB5EB82" w:rsidR="000363AD" w:rsidRPr="000363AD" w:rsidRDefault="000363AD" w:rsidP="000363AD">
      <w:pPr>
        <w:pStyle w:val="Caption"/>
        <w:keepNext/>
        <w:rPr>
          <w:rFonts w:ascii="Arial" w:hAnsi="Arial" w:cs="Arial"/>
          <w:i w:val="0"/>
          <w:color w:val="000000" w:themeColor="text1"/>
          <w:sz w:val="24"/>
          <w:szCs w:val="24"/>
        </w:rPr>
      </w:pPr>
      <w:bookmarkStart w:id="2" w:name="_Ref514746218"/>
      <w:r w:rsidRPr="000363AD">
        <w:rPr>
          <w:rFonts w:ascii="Arial" w:hAnsi="Arial" w:cs="Arial"/>
          <w:i w:val="0"/>
          <w:color w:val="000000" w:themeColor="text1"/>
          <w:sz w:val="24"/>
          <w:szCs w:val="24"/>
        </w:rPr>
        <w:lastRenderedPageBreak/>
        <w:t xml:space="preserve">Table </w:t>
      </w:r>
      <w:r w:rsidRPr="000363AD">
        <w:rPr>
          <w:rFonts w:ascii="Arial" w:hAnsi="Arial" w:cs="Arial"/>
          <w:i w:val="0"/>
          <w:color w:val="000000" w:themeColor="text1"/>
          <w:sz w:val="24"/>
          <w:szCs w:val="24"/>
        </w:rPr>
        <w:fldChar w:fldCharType="begin"/>
      </w:r>
      <w:r w:rsidRPr="000363AD">
        <w:rPr>
          <w:rFonts w:ascii="Arial" w:hAnsi="Arial" w:cs="Arial"/>
          <w:i w:val="0"/>
          <w:color w:val="000000" w:themeColor="text1"/>
          <w:sz w:val="24"/>
          <w:szCs w:val="24"/>
        </w:rPr>
        <w:instrText xml:space="preserve"> SEQ Table \* ARABIC </w:instrText>
      </w:r>
      <w:r w:rsidRPr="000363AD">
        <w:rPr>
          <w:rFonts w:ascii="Arial" w:hAnsi="Arial" w:cs="Arial"/>
          <w:i w:val="0"/>
          <w:color w:val="000000" w:themeColor="text1"/>
          <w:sz w:val="24"/>
          <w:szCs w:val="24"/>
        </w:rPr>
        <w:fldChar w:fldCharType="separate"/>
      </w:r>
      <w:r w:rsidRPr="000363AD">
        <w:rPr>
          <w:rFonts w:ascii="Arial" w:hAnsi="Arial" w:cs="Arial"/>
          <w:i w:val="0"/>
          <w:noProof/>
          <w:color w:val="000000" w:themeColor="text1"/>
          <w:sz w:val="24"/>
          <w:szCs w:val="24"/>
        </w:rPr>
        <w:t>2</w:t>
      </w:r>
      <w:r w:rsidRPr="000363AD">
        <w:rPr>
          <w:rFonts w:ascii="Arial" w:hAnsi="Arial" w:cs="Arial"/>
          <w:i w:val="0"/>
          <w:color w:val="000000" w:themeColor="text1"/>
          <w:sz w:val="24"/>
          <w:szCs w:val="24"/>
        </w:rPr>
        <w:fldChar w:fldCharType="end"/>
      </w:r>
      <w:bookmarkEnd w:id="2"/>
      <w:r w:rsidR="00A62241">
        <w:rPr>
          <w:rFonts w:ascii="Arial" w:hAnsi="Arial" w:cs="Arial"/>
          <w:i w:val="0"/>
          <w:color w:val="000000" w:themeColor="text1"/>
          <w:sz w:val="24"/>
          <w:szCs w:val="24"/>
        </w:rPr>
        <w:t xml:space="preserve"> - a conceptual framework for the categorical entanglements of scholarly-practice</w:t>
      </w:r>
    </w:p>
    <w:tbl>
      <w:tblPr>
        <w:tblStyle w:val="TableGrid"/>
        <w:tblW w:w="0" w:type="auto"/>
        <w:tblLook w:val="04A0" w:firstRow="1" w:lastRow="0" w:firstColumn="1" w:lastColumn="0" w:noHBand="0" w:noVBand="1"/>
      </w:tblPr>
      <w:tblGrid>
        <w:gridCol w:w="2547"/>
        <w:gridCol w:w="3459"/>
        <w:gridCol w:w="3004"/>
      </w:tblGrid>
      <w:tr w:rsidR="005613F0" w14:paraId="7E5FE45E" w14:textId="77777777" w:rsidTr="00804051">
        <w:tc>
          <w:tcPr>
            <w:tcW w:w="2547" w:type="dxa"/>
            <w:shd w:val="clear" w:color="auto" w:fill="D9D9D9" w:themeFill="background1" w:themeFillShade="D9"/>
          </w:tcPr>
          <w:p w14:paraId="11BD9138" w14:textId="10371379" w:rsidR="005613F0" w:rsidRPr="00085570" w:rsidRDefault="005613F0" w:rsidP="00804051">
            <w:pPr>
              <w:rPr>
                <w:b/>
              </w:rPr>
            </w:pPr>
            <w:r w:rsidRPr="00085570">
              <w:rPr>
                <w:b/>
              </w:rPr>
              <w:t>Motor of Change</w:t>
            </w:r>
          </w:p>
        </w:tc>
        <w:tc>
          <w:tcPr>
            <w:tcW w:w="3459" w:type="dxa"/>
            <w:shd w:val="clear" w:color="auto" w:fill="D9D9D9" w:themeFill="background1" w:themeFillShade="D9"/>
          </w:tcPr>
          <w:p w14:paraId="3078D0BC" w14:textId="77777777" w:rsidR="005613F0" w:rsidRPr="00085570" w:rsidRDefault="005613F0" w:rsidP="00804051">
            <w:pPr>
              <w:rPr>
                <w:b/>
              </w:rPr>
            </w:pPr>
            <w:r>
              <w:rPr>
                <w:b/>
              </w:rPr>
              <w:t xml:space="preserve">Mechanism of </w:t>
            </w:r>
            <w:r w:rsidRPr="00B73F06">
              <w:rPr>
                <w:b/>
                <w:i/>
              </w:rPr>
              <w:t>scholarly-ness</w:t>
            </w:r>
            <w:r>
              <w:rPr>
                <w:b/>
              </w:rPr>
              <w:t xml:space="preserve"> </w:t>
            </w:r>
            <w:r w:rsidRPr="00085570">
              <w:rPr>
                <w:b/>
              </w:rPr>
              <w:t>that generates Q</w:t>
            </w:r>
          </w:p>
        </w:tc>
        <w:tc>
          <w:tcPr>
            <w:tcW w:w="3004" w:type="dxa"/>
            <w:shd w:val="clear" w:color="auto" w:fill="D9D9D9" w:themeFill="background1" w:themeFillShade="D9"/>
          </w:tcPr>
          <w:p w14:paraId="25EC8966" w14:textId="77777777" w:rsidR="005613F0" w:rsidRPr="00085570" w:rsidRDefault="005613F0" w:rsidP="00804051">
            <w:pPr>
              <w:rPr>
                <w:b/>
              </w:rPr>
            </w:pPr>
            <w:r>
              <w:rPr>
                <w:b/>
              </w:rPr>
              <w:t xml:space="preserve">Entanglement with </w:t>
            </w:r>
            <w:r w:rsidRPr="00B73F06">
              <w:rPr>
                <w:b/>
                <w:i/>
              </w:rPr>
              <w:t>practice</w:t>
            </w:r>
          </w:p>
        </w:tc>
      </w:tr>
      <w:tr w:rsidR="005613F0" w14:paraId="00CCA335" w14:textId="77777777" w:rsidTr="00804051">
        <w:tc>
          <w:tcPr>
            <w:tcW w:w="2547" w:type="dxa"/>
          </w:tcPr>
          <w:p w14:paraId="3FC8F3F1" w14:textId="77777777" w:rsidR="005613F0" w:rsidRDefault="005613F0" w:rsidP="00804051">
            <w:r>
              <w:t>Teleology</w:t>
            </w:r>
          </w:p>
        </w:tc>
        <w:tc>
          <w:tcPr>
            <w:tcW w:w="3459" w:type="dxa"/>
          </w:tcPr>
          <w:p w14:paraId="1B433FE4" w14:textId="0FD52C32" w:rsidR="005613F0" w:rsidRDefault="008E1210" w:rsidP="00804051">
            <w:r>
              <w:rPr>
                <w:b/>
              </w:rPr>
              <w:t>Scholarly framing</w:t>
            </w:r>
            <w:r w:rsidR="005613F0">
              <w:t xml:space="preserve"> of the organisational change...to generate questions that...seek a scientific understanding of the change problem</w:t>
            </w:r>
          </w:p>
        </w:tc>
        <w:tc>
          <w:tcPr>
            <w:tcW w:w="3004" w:type="dxa"/>
          </w:tcPr>
          <w:p w14:paraId="7DF6D169" w14:textId="4CDCA205" w:rsidR="005613F0" w:rsidRDefault="00837362" w:rsidP="00804051">
            <w:r>
              <w:t xml:space="preserve">Original findings are integrated with extant practice through </w:t>
            </w:r>
            <w:r w:rsidR="005613F0">
              <w:t>"Turns" &amp; "Scaffolding" (Tenkasi &amp; Hay</w:t>
            </w:r>
            <w:r w:rsidR="008E1210">
              <w:t>, 2004</w:t>
            </w:r>
            <w:r w:rsidR="005613F0">
              <w:t>)</w:t>
            </w:r>
            <w:r>
              <w:t>.</w:t>
            </w:r>
          </w:p>
        </w:tc>
      </w:tr>
      <w:tr w:rsidR="005613F0" w14:paraId="34AC7F84" w14:textId="77777777" w:rsidTr="00804051">
        <w:tc>
          <w:tcPr>
            <w:tcW w:w="2547" w:type="dxa"/>
          </w:tcPr>
          <w:p w14:paraId="459DD7AF" w14:textId="77777777" w:rsidR="005613F0" w:rsidRDefault="005613F0" w:rsidP="00804051">
            <w:r>
              <w:t>Dialectic</w:t>
            </w:r>
          </w:p>
        </w:tc>
        <w:tc>
          <w:tcPr>
            <w:tcW w:w="3459" w:type="dxa"/>
          </w:tcPr>
          <w:p w14:paraId="53682D97" w14:textId="77777777" w:rsidR="005613F0" w:rsidRDefault="005613F0" w:rsidP="00804051">
            <w:r w:rsidRPr="00893DD3">
              <w:rPr>
                <w:b/>
              </w:rPr>
              <w:t>Provocative</w:t>
            </w:r>
            <w:r>
              <w:t xml:space="preserve"> use of extant scholarship...to generate questions that...originate from a completely different perspective on the change problem</w:t>
            </w:r>
          </w:p>
        </w:tc>
        <w:tc>
          <w:tcPr>
            <w:tcW w:w="3004" w:type="dxa"/>
          </w:tcPr>
          <w:p w14:paraId="5EA9D711" w14:textId="77777777" w:rsidR="005613F0" w:rsidRDefault="005613F0" w:rsidP="00804051">
            <w:r>
              <w:t>Disruption of existing thinking about practice to elicit radical ideas</w:t>
            </w:r>
          </w:p>
        </w:tc>
      </w:tr>
      <w:tr w:rsidR="005613F0" w14:paraId="07016B96" w14:textId="77777777" w:rsidTr="00804051">
        <w:tc>
          <w:tcPr>
            <w:tcW w:w="2547" w:type="dxa"/>
          </w:tcPr>
          <w:p w14:paraId="58A4CAB6" w14:textId="77777777" w:rsidR="005613F0" w:rsidRDefault="005613F0" w:rsidP="00804051">
            <w:r>
              <w:t>Lifecycle</w:t>
            </w:r>
          </w:p>
        </w:tc>
        <w:tc>
          <w:tcPr>
            <w:tcW w:w="3459" w:type="dxa"/>
          </w:tcPr>
          <w:p w14:paraId="45018734" w14:textId="77777777" w:rsidR="005613F0" w:rsidRDefault="005613F0" w:rsidP="00804051">
            <w:r w:rsidRPr="00893DD3">
              <w:rPr>
                <w:b/>
              </w:rPr>
              <w:t>Dialogue</w:t>
            </w:r>
            <w:r>
              <w:t xml:space="preserve"> with extant scholarship...to generate questions that...originate from a comparable perspective on the change problem</w:t>
            </w:r>
          </w:p>
        </w:tc>
        <w:tc>
          <w:tcPr>
            <w:tcW w:w="3004" w:type="dxa"/>
          </w:tcPr>
          <w:p w14:paraId="66AC9C9F" w14:textId="77777777" w:rsidR="005613F0" w:rsidRDefault="005613F0" w:rsidP="00804051">
            <w:r>
              <w:t>On-going testing of practice leading to an incremental accumulation of new ideas</w:t>
            </w:r>
          </w:p>
        </w:tc>
      </w:tr>
      <w:tr w:rsidR="005613F0" w14:paraId="0A8553FD" w14:textId="77777777" w:rsidTr="00804051">
        <w:tc>
          <w:tcPr>
            <w:tcW w:w="2547" w:type="dxa"/>
          </w:tcPr>
          <w:p w14:paraId="5C891B94" w14:textId="77777777" w:rsidR="005613F0" w:rsidRDefault="005613F0" w:rsidP="00804051">
            <w:r>
              <w:t>Evolutionary</w:t>
            </w:r>
          </w:p>
        </w:tc>
        <w:tc>
          <w:tcPr>
            <w:tcW w:w="3459" w:type="dxa"/>
          </w:tcPr>
          <w:p w14:paraId="12F3DE8D" w14:textId="77777777" w:rsidR="005613F0" w:rsidRDefault="005613F0" w:rsidP="00804051">
            <w:r w:rsidRPr="002B59DA">
              <w:rPr>
                <w:b/>
              </w:rPr>
              <w:t>Bricolage</w:t>
            </w:r>
            <w:r>
              <w:t xml:space="preserve"> with extant scholarship...to generate questions that...suggest possible solutions to the change problem</w:t>
            </w:r>
          </w:p>
        </w:tc>
        <w:tc>
          <w:tcPr>
            <w:tcW w:w="3004" w:type="dxa"/>
          </w:tcPr>
          <w:p w14:paraId="30AD7C46" w14:textId="77777777" w:rsidR="005613F0" w:rsidRDefault="005613F0" w:rsidP="00804051">
            <w:r>
              <w:rPr>
                <w:lang w:val="en-US"/>
              </w:rPr>
              <w:t>R</w:t>
            </w:r>
            <w:r w:rsidRPr="00770255">
              <w:rPr>
                <w:lang w:val="en-US"/>
              </w:rPr>
              <w:t>esourceful combination of elements</w:t>
            </w:r>
            <w:r w:rsidRPr="00770255">
              <w:t xml:space="preserve"> </w:t>
            </w:r>
            <w:r>
              <w:t>from extant scholarship and practitioner knowledge in a manner that adapts practice to external change</w:t>
            </w:r>
          </w:p>
        </w:tc>
      </w:tr>
    </w:tbl>
    <w:p w14:paraId="5D248DF0" w14:textId="5E661FD4" w:rsidR="00A80ADE" w:rsidRDefault="00A80ADE" w:rsidP="005A6B52">
      <w:pPr>
        <w:spacing w:line="360" w:lineRule="auto"/>
        <w:rPr>
          <w:rFonts w:ascii="Arial" w:hAnsi="Arial" w:cs="Arial"/>
          <w:lang w:val="en-US"/>
        </w:rPr>
      </w:pPr>
    </w:p>
    <w:p w14:paraId="36C443A0" w14:textId="77777777" w:rsidR="00445507" w:rsidRDefault="00445507" w:rsidP="005F69A4">
      <w:pPr>
        <w:outlineLvl w:val="0"/>
        <w:rPr>
          <w:rFonts w:ascii="Arial" w:hAnsi="Arial" w:cs="Arial"/>
          <w:b/>
          <w:lang w:val="en-US"/>
        </w:rPr>
      </w:pPr>
    </w:p>
    <w:p w14:paraId="4E15BE33" w14:textId="77777777" w:rsidR="00445507" w:rsidRDefault="00445507" w:rsidP="005F69A4">
      <w:pPr>
        <w:outlineLvl w:val="0"/>
        <w:rPr>
          <w:rFonts w:ascii="Arial" w:hAnsi="Arial" w:cs="Arial"/>
          <w:b/>
          <w:lang w:val="en-US"/>
        </w:rPr>
      </w:pPr>
    </w:p>
    <w:p w14:paraId="497C9452" w14:textId="2263147D" w:rsidR="00402409" w:rsidRPr="009273F2" w:rsidRDefault="00BE68E3" w:rsidP="005F69A4">
      <w:pPr>
        <w:outlineLvl w:val="0"/>
        <w:rPr>
          <w:rFonts w:ascii="Arial" w:hAnsi="Arial" w:cs="Arial"/>
          <w:b/>
          <w:lang w:val="en-US"/>
        </w:rPr>
      </w:pPr>
      <w:r>
        <w:rPr>
          <w:rFonts w:ascii="Arial" w:hAnsi="Arial" w:cs="Arial"/>
          <w:b/>
          <w:lang w:val="en-US"/>
        </w:rPr>
        <w:t>Concluding remarks and i</w:t>
      </w:r>
      <w:r w:rsidR="00CE65D4">
        <w:rPr>
          <w:rFonts w:ascii="Arial" w:hAnsi="Arial" w:cs="Arial"/>
          <w:b/>
          <w:lang w:val="en-US"/>
        </w:rPr>
        <w:t>mplications for researching scholarly practice</w:t>
      </w:r>
    </w:p>
    <w:p w14:paraId="15B5694C" w14:textId="11F8EA38" w:rsidR="00402409" w:rsidRDefault="00402409">
      <w:pPr>
        <w:rPr>
          <w:rFonts w:ascii="Arial" w:hAnsi="Arial" w:cs="Arial"/>
          <w:lang w:val="en-US"/>
        </w:rPr>
      </w:pPr>
    </w:p>
    <w:p w14:paraId="0491AC89" w14:textId="6394B751" w:rsidR="00402409" w:rsidRDefault="00402409">
      <w:pPr>
        <w:rPr>
          <w:rFonts w:ascii="Arial" w:hAnsi="Arial" w:cs="Arial"/>
          <w:lang w:val="en-US"/>
        </w:rPr>
      </w:pPr>
    </w:p>
    <w:p w14:paraId="5B499D6E" w14:textId="45357645" w:rsidR="00402409" w:rsidRDefault="00A308B9" w:rsidP="00A80ADE">
      <w:pPr>
        <w:spacing w:line="360" w:lineRule="auto"/>
        <w:rPr>
          <w:rFonts w:ascii="Arial" w:hAnsi="Arial" w:cs="Arial"/>
          <w:lang w:val="en-US"/>
        </w:rPr>
      </w:pPr>
      <w:r>
        <w:rPr>
          <w:rFonts w:ascii="Arial" w:hAnsi="Arial" w:cs="Arial"/>
          <w:lang w:val="en-US"/>
        </w:rPr>
        <w:t xml:space="preserve">My starting position in this paper is that </w:t>
      </w:r>
      <w:r w:rsidR="0018027B">
        <w:rPr>
          <w:rFonts w:ascii="Arial" w:hAnsi="Arial" w:cs="Arial"/>
          <w:lang w:val="en-US"/>
        </w:rPr>
        <w:t xml:space="preserve">we do not need to create a new category of the "scholar-practitioner" in order to account for the use of both scholarly and practitioner resources in solving organisational problems and effecting change.  </w:t>
      </w:r>
      <w:r>
        <w:rPr>
          <w:rFonts w:ascii="Arial" w:hAnsi="Arial" w:cs="Arial"/>
          <w:lang w:val="en-US"/>
        </w:rPr>
        <w:t xml:space="preserve">Rather, </w:t>
      </w:r>
      <w:r w:rsidR="00A80ADE">
        <w:rPr>
          <w:rFonts w:ascii="Arial" w:hAnsi="Arial" w:cs="Arial"/>
          <w:lang w:val="en-US"/>
        </w:rPr>
        <w:t xml:space="preserve"> I </w:t>
      </w:r>
      <w:r w:rsidR="00B337A2">
        <w:rPr>
          <w:rFonts w:ascii="Arial" w:hAnsi="Arial" w:cs="Arial"/>
          <w:lang w:val="en-US"/>
        </w:rPr>
        <w:t xml:space="preserve">argue that the "scholar-practitioner" is not a distinct and stable category.  </w:t>
      </w:r>
      <w:r>
        <w:rPr>
          <w:rFonts w:ascii="Arial" w:hAnsi="Arial" w:cs="Arial"/>
          <w:lang w:val="en-US"/>
        </w:rPr>
        <w:t>I</w:t>
      </w:r>
      <w:r w:rsidR="00B337A2">
        <w:rPr>
          <w:rFonts w:ascii="Arial" w:hAnsi="Arial" w:cs="Arial"/>
          <w:lang w:val="en-US"/>
        </w:rPr>
        <w:t xml:space="preserve">t has a relational ontology, and </w:t>
      </w:r>
      <w:r w:rsidR="00CF524E">
        <w:rPr>
          <w:rFonts w:ascii="Arial" w:hAnsi="Arial" w:cs="Arial"/>
          <w:lang w:val="en-US"/>
        </w:rPr>
        <w:t>implies that scholarly practice might be better understood in terms of the on-going</w:t>
      </w:r>
      <w:r w:rsidR="00CF524E" w:rsidRPr="00CF524E">
        <w:rPr>
          <w:rFonts w:ascii="Arial" w:hAnsi="Arial" w:cs="Arial"/>
          <w:i/>
          <w:lang w:val="en-US"/>
        </w:rPr>
        <w:t xml:space="preserve"> entanglements</w:t>
      </w:r>
      <w:r w:rsidR="00CF524E">
        <w:rPr>
          <w:rFonts w:ascii="Arial" w:hAnsi="Arial" w:cs="Arial"/>
          <w:lang w:val="en-US"/>
        </w:rPr>
        <w:t xml:space="preserve"> </w:t>
      </w:r>
      <w:r>
        <w:rPr>
          <w:rFonts w:ascii="Arial" w:hAnsi="Arial" w:cs="Arial"/>
          <w:lang w:val="en-US"/>
        </w:rPr>
        <w:t>between scholarly-ness</w:t>
      </w:r>
      <w:r w:rsidR="00CF524E">
        <w:rPr>
          <w:rFonts w:ascii="Arial" w:hAnsi="Arial" w:cs="Arial"/>
          <w:lang w:val="en-US"/>
        </w:rPr>
        <w:t xml:space="preserve"> </w:t>
      </w:r>
      <w:r>
        <w:rPr>
          <w:rFonts w:ascii="Arial" w:hAnsi="Arial" w:cs="Arial"/>
          <w:lang w:val="en-US"/>
        </w:rPr>
        <w:t>and practice</w:t>
      </w:r>
      <w:r w:rsidR="00CF524E">
        <w:rPr>
          <w:rFonts w:ascii="Arial" w:hAnsi="Arial" w:cs="Arial"/>
          <w:lang w:val="en-US"/>
        </w:rPr>
        <w:t>.</w:t>
      </w:r>
    </w:p>
    <w:p w14:paraId="6FE40D77" w14:textId="1AE5806C" w:rsidR="008E1210" w:rsidRDefault="008E1210" w:rsidP="00A80ADE">
      <w:pPr>
        <w:spacing w:line="360" w:lineRule="auto"/>
        <w:rPr>
          <w:rFonts w:ascii="Arial" w:hAnsi="Arial" w:cs="Arial"/>
          <w:lang w:val="en-US"/>
        </w:rPr>
      </w:pPr>
    </w:p>
    <w:p w14:paraId="717C822D" w14:textId="2A7B4D36" w:rsidR="008E1210" w:rsidRDefault="008E1210" w:rsidP="00A80ADE">
      <w:pPr>
        <w:spacing w:line="360" w:lineRule="auto"/>
        <w:rPr>
          <w:rFonts w:ascii="Arial" w:hAnsi="Arial" w:cs="Arial"/>
          <w:lang w:val="en-US"/>
        </w:rPr>
      </w:pPr>
      <w:r>
        <w:rPr>
          <w:rFonts w:ascii="Arial" w:hAnsi="Arial" w:cs="Arial"/>
          <w:lang w:val="en-US"/>
        </w:rPr>
        <w:t xml:space="preserve">I </w:t>
      </w:r>
      <w:r w:rsidR="00AD38EB">
        <w:rPr>
          <w:rFonts w:ascii="Arial" w:hAnsi="Arial" w:cs="Arial"/>
          <w:lang w:val="en-US"/>
        </w:rPr>
        <w:t>re-connect</w:t>
      </w:r>
      <w:r>
        <w:rPr>
          <w:rFonts w:ascii="Arial" w:hAnsi="Arial" w:cs="Arial"/>
          <w:lang w:val="en-US"/>
        </w:rPr>
        <w:t xml:space="preserve"> the classic action learning equation (L = P + Q) to better reflect the learning during an individual's transition from Practitioner to Scholarly-Practititioner.  In this I equate P with all claims to expertise</w:t>
      </w:r>
      <w:r w:rsidR="00AB0DFB">
        <w:rPr>
          <w:rFonts w:ascii="Arial" w:hAnsi="Arial" w:cs="Arial"/>
          <w:lang w:val="en-US"/>
        </w:rPr>
        <w:t xml:space="preserve"> (including practitioner knowledge), and </w:t>
      </w:r>
      <w:r w:rsidR="00AB0DFB">
        <w:rPr>
          <w:rFonts w:ascii="Arial" w:hAnsi="Arial" w:cs="Arial"/>
          <w:lang w:val="en-US"/>
        </w:rPr>
        <w:lastRenderedPageBreak/>
        <w:t>suggest that insighful questioning results from the new scholarly activitity being adopted by the Practitioner.  Learning results from</w:t>
      </w:r>
      <w:r w:rsidR="005443AD">
        <w:rPr>
          <w:rFonts w:ascii="Arial" w:hAnsi="Arial" w:cs="Arial"/>
          <w:lang w:val="en-US"/>
        </w:rPr>
        <w:t xml:space="preserve"> </w:t>
      </w:r>
      <w:r w:rsidR="003676FA">
        <w:rPr>
          <w:rFonts w:ascii="Arial" w:hAnsi="Arial" w:cs="Arial"/>
          <w:lang w:val="en-US"/>
        </w:rPr>
        <w:t xml:space="preserve">the on-going entanglements between </w:t>
      </w:r>
      <w:r w:rsidR="00AD38EB">
        <w:rPr>
          <w:rFonts w:ascii="Arial" w:hAnsi="Arial" w:cs="Arial"/>
          <w:lang w:val="en-US"/>
        </w:rPr>
        <w:t>extant pr</w:t>
      </w:r>
      <w:r w:rsidR="005443AD">
        <w:rPr>
          <w:rFonts w:ascii="Arial" w:hAnsi="Arial" w:cs="Arial"/>
          <w:lang w:val="en-US"/>
        </w:rPr>
        <w:t>actititioner knowledge, and the questioning insight derived from the scholarly</w:t>
      </w:r>
      <w:r w:rsidR="000D2862">
        <w:rPr>
          <w:rFonts w:ascii="Arial" w:hAnsi="Arial" w:cs="Arial"/>
          <w:lang w:val="en-US"/>
        </w:rPr>
        <w:t>-ness of the Practitioner.</w:t>
      </w:r>
    </w:p>
    <w:p w14:paraId="6061E9E1" w14:textId="2756372E" w:rsidR="00CF524E" w:rsidRDefault="00CF524E" w:rsidP="00A80ADE">
      <w:pPr>
        <w:spacing w:line="360" w:lineRule="auto"/>
        <w:rPr>
          <w:rFonts w:ascii="Arial" w:hAnsi="Arial" w:cs="Arial"/>
          <w:lang w:val="en-US"/>
        </w:rPr>
      </w:pPr>
    </w:p>
    <w:p w14:paraId="75C61467" w14:textId="046CBC09" w:rsidR="00B53C86" w:rsidRDefault="0081599E" w:rsidP="005406E6">
      <w:pPr>
        <w:spacing w:line="360" w:lineRule="auto"/>
        <w:rPr>
          <w:rFonts w:ascii="Arial" w:hAnsi="Arial" w:cs="Arial"/>
          <w:lang w:val="en-US"/>
        </w:rPr>
      </w:pPr>
      <w:r>
        <w:rPr>
          <w:rFonts w:ascii="Arial" w:hAnsi="Arial" w:cs="Arial"/>
          <w:lang w:val="en-US"/>
        </w:rPr>
        <w:t xml:space="preserve">Finally I </w:t>
      </w:r>
      <w:r w:rsidR="00040A93">
        <w:rPr>
          <w:rFonts w:ascii="Arial" w:hAnsi="Arial" w:cs="Arial"/>
          <w:lang w:val="en-US"/>
        </w:rPr>
        <w:t>propose a framework</w:t>
      </w:r>
      <w:r w:rsidR="007E7B10">
        <w:rPr>
          <w:rFonts w:ascii="Arial" w:hAnsi="Arial" w:cs="Arial"/>
          <w:lang w:val="en-US"/>
        </w:rPr>
        <w:t xml:space="preserve"> (</w:t>
      </w:r>
      <w:r w:rsidR="007E7B10">
        <w:rPr>
          <w:rFonts w:ascii="Arial" w:hAnsi="Arial" w:cs="Arial"/>
          <w:lang w:val="en-US"/>
        </w:rPr>
        <w:fldChar w:fldCharType="begin"/>
      </w:r>
      <w:r w:rsidR="007E7B10">
        <w:rPr>
          <w:rFonts w:ascii="Arial" w:hAnsi="Arial" w:cs="Arial"/>
          <w:lang w:val="en-US"/>
        </w:rPr>
        <w:instrText xml:space="preserve"> REF _Ref514746218 \h </w:instrText>
      </w:r>
      <w:r w:rsidR="007E7B10">
        <w:rPr>
          <w:rFonts w:ascii="Arial" w:hAnsi="Arial" w:cs="Arial"/>
          <w:lang w:val="en-US"/>
        </w:rPr>
      </w:r>
      <w:r w:rsidR="007E7B10">
        <w:rPr>
          <w:rFonts w:ascii="Arial" w:hAnsi="Arial" w:cs="Arial"/>
          <w:lang w:val="en-US"/>
        </w:rPr>
        <w:fldChar w:fldCharType="separate"/>
      </w:r>
      <w:r w:rsidR="007E7B10" w:rsidRPr="000363AD">
        <w:rPr>
          <w:rFonts w:ascii="Arial" w:hAnsi="Arial" w:cs="Arial"/>
          <w:color w:val="000000" w:themeColor="text1"/>
        </w:rPr>
        <w:t xml:space="preserve">Table </w:t>
      </w:r>
      <w:r w:rsidR="007E7B10" w:rsidRPr="000363AD">
        <w:rPr>
          <w:rFonts w:ascii="Arial" w:hAnsi="Arial" w:cs="Arial"/>
          <w:noProof/>
          <w:color w:val="000000" w:themeColor="text1"/>
        </w:rPr>
        <w:t>2</w:t>
      </w:r>
      <w:r w:rsidR="007E7B10">
        <w:rPr>
          <w:rFonts w:ascii="Arial" w:hAnsi="Arial" w:cs="Arial"/>
          <w:lang w:val="en-US"/>
        </w:rPr>
        <w:fldChar w:fldCharType="end"/>
      </w:r>
      <w:r w:rsidR="007E7B10">
        <w:rPr>
          <w:rFonts w:ascii="Arial" w:hAnsi="Arial" w:cs="Arial"/>
          <w:lang w:val="en-US"/>
        </w:rPr>
        <w:t>)</w:t>
      </w:r>
      <w:r w:rsidR="00040A93">
        <w:rPr>
          <w:rFonts w:ascii="Arial" w:hAnsi="Arial" w:cs="Arial"/>
          <w:lang w:val="en-US"/>
        </w:rPr>
        <w:t xml:space="preserve"> that relates the mechanisms by which scholarly-ness provides questioning insight (Q)</w:t>
      </w:r>
      <w:r w:rsidR="007E7B10">
        <w:rPr>
          <w:rFonts w:ascii="Arial" w:hAnsi="Arial" w:cs="Arial"/>
          <w:lang w:val="en-US"/>
        </w:rPr>
        <w:t>, and the subsequent entanglement with expert practitioner knowledge (P),</w:t>
      </w:r>
      <w:r w:rsidR="00040A93">
        <w:rPr>
          <w:rFonts w:ascii="Arial" w:hAnsi="Arial" w:cs="Arial"/>
          <w:lang w:val="en-US"/>
        </w:rPr>
        <w:t xml:space="preserve"> to differe</w:t>
      </w:r>
      <w:r w:rsidR="00181E05">
        <w:rPr>
          <w:rFonts w:ascii="Arial" w:hAnsi="Arial" w:cs="Arial"/>
          <w:lang w:val="en-US"/>
        </w:rPr>
        <w:t>nt process theories of change (</w:t>
      </w:r>
      <w:r w:rsidR="009D7006">
        <w:rPr>
          <w:rFonts w:ascii="Arial" w:hAnsi="Arial" w:cs="Arial"/>
          <w:lang w:val="en-US"/>
        </w:rPr>
        <w:t>Van de Ven</w:t>
      </w:r>
      <w:r w:rsidR="00040A93">
        <w:rPr>
          <w:rFonts w:ascii="Arial" w:hAnsi="Arial" w:cs="Arial"/>
          <w:lang w:val="en-US"/>
        </w:rPr>
        <w:t xml:space="preserve"> &amp; Pool, 1995)</w:t>
      </w:r>
      <w:r w:rsidR="00F13E27">
        <w:rPr>
          <w:rFonts w:ascii="Arial" w:hAnsi="Arial" w:cs="Arial"/>
          <w:lang w:val="en-US"/>
        </w:rPr>
        <w:t>.  I</w:t>
      </w:r>
      <w:r w:rsidR="00AD38EB">
        <w:rPr>
          <w:rFonts w:ascii="Arial" w:hAnsi="Arial" w:cs="Arial"/>
          <w:lang w:val="en-US"/>
        </w:rPr>
        <w:t>n</w:t>
      </w:r>
      <w:r w:rsidR="00F13E27">
        <w:rPr>
          <w:rFonts w:ascii="Arial" w:hAnsi="Arial" w:cs="Arial"/>
          <w:lang w:val="en-US"/>
        </w:rPr>
        <w:t xml:space="preserve"> this </w:t>
      </w:r>
      <w:r w:rsidR="00040A93">
        <w:rPr>
          <w:rFonts w:ascii="Arial" w:hAnsi="Arial" w:cs="Arial"/>
          <w:lang w:val="en-US"/>
        </w:rPr>
        <w:t>I posit that the mechanisms</w:t>
      </w:r>
      <w:r w:rsidR="007E7B10">
        <w:rPr>
          <w:rFonts w:ascii="Arial" w:hAnsi="Arial" w:cs="Arial"/>
          <w:lang w:val="en-US"/>
        </w:rPr>
        <w:t xml:space="preserve"> and entanglements</w:t>
      </w:r>
      <w:r w:rsidR="00445507">
        <w:rPr>
          <w:rFonts w:ascii="Arial" w:hAnsi="Arial" w:cs="Arial"/>
          <w:lang w:val="en-US"/>
        </w:rPr>
        <w:t xml:space="preserve"> will be most effective if they</w:t>
      </w:r>
      <w:r w:rsidR="00040A93">
        <w:rPr>
          <w:rFonts w:ascii="Arial" w:hAnsi="Arial" w:cs="Arial"/>
          <w:lang w:val="en-US"/>
        </w:rPr>
        <w:t xml:space="preserve"> are congruent with these underlying motor</w:t>
      </w:r>
      <w:r w:rsidR="00AD38EB">
        <w:rPr>
          <w:rFonts w:ascii="Arial" w:hAnsi="Arial" w:cs="Arial"/>
          <w:lang w:val="en-US"/>
        </w:rPr>
        <w:t>s</w:t>
      </w:r>
      <w:r w:rsidR="00040A93">
        <w:rPr>
          <w:rFonts w:ascii="Arial" w:hAnsi="Arial" w:cs="Arial"/>
          <w:lang w:val="en-US"/>
        </w:rPr>
        <w:t xml:space="preserve"> of change</w:t>
      </w:r>
      <w:r w:rsidR="00F13E27">
        <w:rPr>
          <w:rFonts w:ascii="Arial" w:hAnsi="Arial" w:cs="Arial"/>
          <w:lang w:val="en-US"/>
        </w:rPr>
        <w:t xml:space="preserve">.  </w:t>
      </w:r>
      <w:r w:rsidR="008C4CF5">
        <w:rPr>
          <w:rFonts w:ascii="Arial" w:hAnsi="Arial" w:cs="Arial"/>
          <w:lang w:val="en-US"/>
        </w:rPr>
        <w:t>This framework allows different</w:t>
      </w:r>
      <w:r w:rsidR="00213AA8">
        <w:rPr>
          <w:rFonts w:ascii="Arial" w:hAnsi="Arial" w:cs="Arial"/>
          <w:lang w:val="en-US"/>
        </w:rPr>
        <w:t xml:space="preserve"> </w:t>
      </w:r>
      <w:r w:rsidR="008C4CF5">
        <w:rPr>
          <w:rFonts w:ascii="Arial" w:hAnsi="Arial" w:cs="Arial"/>
          <w:lang w:val="en-US"/>
        </w:rPr>
        <w:t>threads of literature on scholarly practice</w:t>
      </w:r>
      <w:r w:rsidR="00AD38EB">
        <w:rPr>
          <w:rFonts w:ascii="Arial" w:hAnsi="Arial" w:cs="Arial"/>
          <w:lang w:val="en-US"/>
        </w:rPr>
        <w:t xml:space="preserve"> to be reconciled into one model</w:t>
      </w:r>
      <w:r w:rsidR="00F13E27">
        <w:rPr>
          <w:rFonts w:ascii="Arial" w:hAnsi="Arial" w:cs="Arial"/>
          <w:lang w:val="en-US"/>
        </w:rPr>
        <w:t>.</w:t>
      </w:r>
      <w:r w:rsidR="008C4CF5">
        <w:rPr>
          <w:rFonts w:ascii="Arial" w:hAnsi="Arial" w:cs="Arial"/>
          <w:lang w:val="en-US"/>
        </w:rPr>
        <w:t xml:space="preserve"> </w:t>
      </w:r>
      <w:r w:rsidR="00E802D0">
        <w:rPr>
          <w:rFonts w:ascii="Arial" w:hAnsi="Arial" w:cs="Arial"/>
          <w:lang w:val="en-US"/>
        </w:rPr>
        <w:br/>
      </w:r>
    </w:p>
    <w:p w14:paraId="6E71C933" w14:textId="6018C47A" w:rsidR="00400AC1" w:rsidRDefault="007A0A86" w:rsidP="007A0A86">
      <w:pPr>
        <w:spacing w:line="360" w:lineRule="auto"/>
        <w:rPr>
          <w:rFonts w:ascii="Arial" w:hAnsi="Arial" w:cs="Arial"/>
          <w:lang w:val="en-US"/>
        </w:rPr>
      </w:pPr>
      <w:r>
        <w:rPr>
          <w:rFonts w:ascii="Arial" w:hAnsi="Arial" w:cs="Arial"/>
          <w:lang w:val="en-US"/>
        </w:rPr>
        <w:t>There are a number of i</w:t>
      </w:r>
      <w:r w:rsidR="00B53C86">
        <w:rPr>
          <w:rFonts w:ascii="Arial" w:hAnsi="Arial" w:cs="Arial"/>
          <w:lang w:val="en-US"/>
        </w:rPr>
        <w:t>mplications for research</w:t>
      </w:r>
      <w:r>
        <w:rPr>
          <w:rFonts w:ascii="Arial" w:hAnsi="Arial" w:cs="Arial"/>
          <w:lang w:val="en-US"/>
        </w:rPr>
        <w:t xml:space="preserve"> on scholarly practice implied by the </w:t>
      </w:r>
      <w:r w:rsidR="00BE68E3">
        <w:rPr>
          <w:rFonts w:ascii="Arial" w:hAnsi="Arial" w:cs="Arial"/>
          <w:lang w:val="en-US"/>
        </w:rPr>
        <w:t>i</w:t>
      </w:r>
      <w:r>
        <w:rPr>
          <w:rFonts w:ascii="Arial" w:hAnsi="Arial" w:cs="Arial"/>
          <w:lang w:val="en-US"/>
        </w:rPr>
        <w:t>deas developed in this paper.  Firstly, m</w:t>
      </w:r>
      <w:r w:rsidR="00B53C86">
        <w:rPr>
          <w:rFonts w:ascii="Arial" w:hAnsi="Arial" w:cs="Arial"/>
          <w:lang w:val="en-US"/>
        </w:rPr>
        <w:t xml:space="preserve">ost of extant literature assumes a teleological motor for organisational change.  </w:t>
      </w:r>
      <w:r>
        <w:rPr>
          <w:rFonts w:ascii="Arial" w:hAnsi="Arial" w:cs="Arial"/>
          <w:lang w:val="en-US"/>
        </w:rPr>
        <w:t xml:space="preserve">That is, agency is assumed in the category of the "Scholar-Practitioner" with change proceeding by a process of </w:t>
      </w:r>
      <w:r w:rsidR="0018027B">
        <w:rPr>
          <w:rFonts w:ascii="Arial" w:hAnsi="Arial" w:cs="Arial"/>
          <w:lang w:val="en-US"/>
        </w:rPr>
        <w:t>purposeful</w:t>
      </w:r>
      <w:r>
        <w:rPr>
          <w:rFonts w:ascii="Arial" w:hAnsi="Arial" w:cs="Arial"/>
          <w:lang w:val="en-US"/>
        </w:rPr>
        <w:t xml:space="preserve"> social </w:t>
      </w:r>
      <w:r w:rsidR="0018027B">
        <w:rPr>
          <w:rFonts w:ascii="Arial" w:hAnsi="Arial" w:cs="Arial"/>
          <w:lang w:val="en-US"/>
        </w:rPr>
        <w:t>construction</w:t>
      </w:r>
      <w:r>
        <w:rPr>
          <w:rFonts w:ascii="Arial" w:hAnsi="Arial" w:cs="Arial"/>
          <w:lang w:val="en-US"/>
        </w:rPr>
        <w:t xml:space="preserve">.  </w:t>
      </w:r>
      <w:r w:rsidR="00B53C86">
        <w:rPr>
          <w:rFonts w:ascii="Arial" w:hAnsi="Arial" w:cs="Arial"/>
          <w:lang w:val="en-US"/>
        </w:rPr>
        <w:t xml:space="preserve">Real change is more complex involving </w:t>
      </w:r>
      <w:r>
        <w:rPr>
          <w:rFonts w:ascii="Arial" w:hAnsi="Arial" w:cs="Arial"/>
          <w:lang w:val="en-US"/>
        </w:rPr>
        <w:t>other</w:t>
      </w:r>
      <w:r w:rsidR="00B53C86">
        <w:rPr>
          <w:rFonts w:ascii="Arial" w:hAnsi="Arial" w:cs="Arial"/>
          <w:lang w:val="en-US"/>
        </w:rPr>
        <w:t xml:space="preserve"> </w:t>
      </w:r>
      <w:r>
        <w:rPr>
          <w:rFonts w:ascii="Arial" w:hAnsi="Arial" w:cs="Arial"/>
          <w:lang w:val="en-US"/>
        </w:rPr>
        <w:t xml:space="preserve">processes of change, and even combinations of different </w:t>
      </w:r>
      <w:r w:rsidR="0018027B">
        <w:rPr>
          <w:rFonts w:ascii="Arial" w:hAnsi="Arial" w:cs="Arial"/>
          <w:lang w:val="en-US"/>
        </w:rPr>
        <w:t>processes</w:t>
      </w:r>
      <w:r>
        <w:rPr>
          <w:rFonts w:ascii="Arial" w:hAnsi="Arial" w:cs="Arial"/>
          <w:lang w:val="en-US"/>
        </w:rPr>
        <w:t xml:space="preserve"> (</w:t>
      </w:r>
      <w:r w:rsidR="009D7006">
        <w:rPr>
          <w:rFonts w:ascii="Arial" w:hAnsi="Arial" w:cs="Arial"/>
          <w:lang w:val="en-US"/>
        </w:rPr>
        <w:t>Van</w:t>
      </w:r>
      <w:r>
        <w:rPr>
          <w:rFonts w:ascii="Arial" w:hAnsi="Arial" w:cs="Arial"/>
          <w:lang w:val="en-US"/>
        </w:rPr>
        <w:t xml:space="preserve"> de Ven &amp; Poole, 1995, </w:t>
      </w:r>
      <w:r w:rsidR="009936BC">
        <w:rPr>
          <w:rFonts w:ascii="Arial" w:hAnsi="Arial" w:cs="Arial"/>
          <w:lang w:val="en-US"/>
        </w:rPr>
        <w:t>528)</w:t>
      </w:r>
      <w:r w:rsidR="00B53C86">
        <w:rPr>
          <w:rFonts w:ascii="Arial" w:hAnsi="Arial" w:cs="Arial"/>
          <w:lang w:val="en-US"/>
        </w:rPr>
        <w:t>.  What is the nature of s</w:t>
      </w:r>
      <w:r w:rsidR="009936BC">
        <w:rPr>
          <w:rFonts w:ascii="Arial" w:hAnsi="Arial" w:cs="Arial"/>
          <w:lang w:val="en-US"/>
        </w:rPr>
        <w:t xml:space="preserve">cholarly practice in these other modes of change?  Secondly, I note </w:t>
      </w:r>
      <w:r w:rsidR="0018027B">
        <w:rPr>
          <w:rFonts w:ascii="Arial" w:hAnsi="Arial" w:cs="Arial"/>
          <w:lang w:val="en-US"/>
        </w:rPr>
        <w:t>that</w:t>
      </w:r>
      <w:r w:rsidR="009936BC">
        <w:rPr>
          <w:rFonts w:ascii="Arial" w:hAnsi="Arial" w:cs="Arial"/>
          <w:lang w:val="en-US"/>
        </w:rPr>
        <w:t xml:space="preserve"> much empirical research in this area is dominated </w:t>
      </w:r>
      <w:r w:rsidR="00B53C86">
        <w:rPr>
          <w:rFonts w:ascii="Arial" w:hAnsi="Arial" w:cs="Arial"/>
          <w:lang w:val="en-US"/>
        </w:rPr>
        <w:t xml:space="preserve">by </w:t>
      </w:r>
      <w:r w:rsidR="009936BC">
        <w:rPr>
          <w:rFonts w:ascii="Arial" w:hAnsi="Arial" w:cs="Arial"/>
          <w:lang w:val="en-US"/>
        </w:rPr>
        <w:t xml:space="preserve">samples involving </w:t>
      </w:r>
      <w:r w:rsidR="00B53C86">
        <w:rPr>
          <w:rFonts w:ascii="Arial" w:hAnsi="Arial" w:cs="Arial"/>
          <w:lang w:val="en-US"/>
        </w:rPr>
        <w:t xml:space="preserve">managers connected with business school programs.  </w:t>
      </w:r>
      <w:r w:rsidR="009936BC">
        <w:rPr>
          <w:rFonts w:ascii="Arial" w:hAnsi="Arial" w:cs="Arial"/>
          <w:lang w:val="en-US"/>
        </w:rPr>
        <w:t>M</w:t>
      </w:r>
      <w:r w:rsidR="00B53C86">
        <w:rPr>
          <w:rFonts w:ascii="Arial" w:hAnsi="Arial" w:cs="Arial"/>
          <w:lang w:val="en-US"/>
        </w:rPr>
        <w:t xml:space="preserve">ore research </w:t>
      </w:r>
      <w:r w:rsidR="009936BC">
        <w:rPr>
          <w:rFonts w:ascii="Arial" w:hAnsi="Arial" w:cs="Arial"/>
          <w:lang w:val="en-US"/>
        </w:rPr>
        <w:t>is needed that explores scholarly practice that is conducted</w:t>
      </w:r>
      <w:r w:rsidR="00CD56D6">
        <w:rPr>
          <w:rFonts w:ascii="Arial" w:hAnsi="Arial" w:cs="Arial"/>
          <w:lang w:val="en-US"/>
        </w:rPr>
        <w:t xml:space="preserve"> independent of business school programmes</w:t>
      </w:r>
      <w:r w:rsidR="009936BC">
        <w:rPr>
          <w:rFonts w:ascii="Arial" w:hAnsi="Arial" w:cs="Arial"/>
          <w:lang w:val="en-US"/>
        </w:rPr>
        <w:t>.  Such contexts may be very difficult to find, and one initial avenue could involve studying</w:t>
      </w:r>
      <w:r w:rsidR="00B53C86">
        <w:rPr>
          <w:rFonts w:ascii="Arial" w:hAnsi="Arial" w:cs="Arial"/>
          <w:lang w:val="en-US"/>
        </w:rPr>
        <w:t xml:space="preserve"> </w:t>
      </w:r>
      <w:r w:rsidR="00E802D0">
        <w:rPr>
          <w:rFonts w:ascii="Arial" w:hAnsi="Arial" w:cs="Arial"/>
          <w:lang w:val="en-US"/>
        </w:rPr>
        <w:t>the ways in which</w:t>
      </w:r>
      <w:r w:rsidR="00B53C86">
        <w:rPr>
          <w:rFonts w:ascii="Arial" w:hAnsi="Arial" w:cs="Arial"/>
          <w:lang w:val="en-US"/>
        </w:rPr>
        <w:t xml:space="preserve"> graduates of our programmes </w:t>
      </w:r>
      <w:r w:rsidR="00E802D0">
        <w:rPr>
          <w:rFonts w:ascii="Arial" w:hAnsi="Arial" w:cs="Arial"/>
          <w:lang w:val="en-US"/>
        </w:rPr>
        <w:t>deploy scho</w:t>
      </w:r>
      <w:r w:rsidR="009936BC">
        <w:rPr>
          <w:rFonts w:ascii="Arial" w:hAnsi="Arial" w:cs="Arial"/>
          <w:lang w:val="en-US"/>
        </w:rPr>
        <w:t xml:space="preserve">larly resources after they have graduated.  </w:t>
      </w:r>
    </w:p>
    <w:p w14:paraId="1C134384" w14:textId="77777777" w:rsidR="00832770" w:rsidRDefault="00832770" w:rsidP="007A0A86">
      <w:pPr>
        <w:spacing w:line="360" w:lineRule="auto"/>
        <w:rPr>
          <w:rFonts w:ascii="Arial" w:hAnsi="Arial" w:cs="Arial"/>
          <w:lang w:val="en-US"/>
        </w:rPr>
      </w:pPr>
    </w:p>
    <w:p w14:paraId="37133BF4" w14:textId="6A6EFA3A" w:rsidR="00400AC1" w:rsidRDefault="00832770" w:rsidP="009B775A">
      <w:pPr>
        <w:spacing w:line="360" w:lineRule="auto"/>
        <w:rPr>
          <w:rFonts w:ascii="Arial" w:hAnsi="Arial" w:cs="Arial"/>
          <w:lang w:val="en-US"/>
        </w:rPr>
      </w:pPr>
      <w:r>
        <w:rPr>
          <w:rFonts w:ascii="Arial" w:hAnsi="Arial" w:cs="Arial"/>
          <w:lang w:val="en-US"/>
        </w:rPr>
        <w:t>The subject of scholarly practice has acquired greater contemporary interest within business schools.  S</w:t>
      </w:r>
      <w:r w:rsidRPr="005A6B52">
        <w:rPr>
          <w:rFonts w:ascii="Arial" w:hAnsi="Arial" w:cs="Arial"/>
          <w:lang w:val="en-US"/>
        </w:rPr>
        <w:t xml:space="preserve">ince 2014 the Research Excellence Framework (REF) has placed significant emphasis on the impact of academic research.  The newly instituted Teaching Excellence Framework (TEF) will also require business schools to present the case for the impact of their teaching.  In the discourse surrounding the REF and TEF, a sharp division of academic work between research and teaching seems increasingly untenable.  </w:t>
      </w:r>
      <w:r>
        <w:rPr>
          <w:rFonts w:ascii="Arial" w:hAnsi="Arial" w:cs="Arial"/>
          <w:lang w:val="en-US"/>
        </w:rPr>
        <w:t>I suggest</w:t>
      </w:r>
      <w:r w:rsidRPr="005A6B52">
        <w:rPr>
          <w:rFonts w:ascii="Arial" w:hAnsi="Arial" w:cs="Arial"/>
          <w:lang w:val="en-US"/>
        </w:rPr>
        <w:t xml:space="preserve"> that these debates relating to research, </w:t>
      </w:r>
      <w:r>
        <w:rPr>
          <w:rFonts w:ascii="Arial" w:hAnsi="Arial" w:cs="Arial"/>
          <w:lang w:val="en-US"/>
        </w:rPr>
        <w:lastRenderedPageBreak/>
        <w:t>learning</w:t>
      </w:r>
      <w:r w:rsidRPr="005A6B52">
        <w:rPr>
          <w:rFonts w:ascii="Arial" w:hAnsi="Arial" w:cs="Arial"/>
          <w:lang w:val="en-US"/>
        </w:rPr>
        <w:t xml:space="preserve"> and professional practice </w:t>
      </w:r>
      <w:r>
        <w:rPr>
          <w:rFonts w:ascii="Arial" w:hAnsi="Arial" w:cs="Arial"/>
          <w:lang w:val="en-US"/>
        </w:rPr>
        <w:t xml:space="preserve">are integrated within the ideal of scholarly practice.  </w:t>
      </w:r>
      <w:r w:rsidR="008A43CD">
        <w:rPr>
          <w:rFonts w:ascii="Arial" w:hAnsi="Arial" w:cs="Arial"/>
          <w:lang w:val="en-US"/>
        </w:rPr>
        <w:t>It is for this reason that the on-going entanglement of scholarly insight with practitioner (insider) knowledge will remain an important feature of a modern management education (Anderson et al., 2017; Milano et al., 2015).</w:t>
      </w:r>
    </w:p>
    <w:p w14:paraId="4A57C1B9" w14:textId="23AFB6B7" w:rsidR="007F0945" w:rsidRDefault="007F0945" w:rsidP="009B775A">
      <w:pPr>
        <w:spacing w:line="360" w:lineRule="auto"/>
        <w:rPr>
          <w:rFonts w:ascii="Arial" w:hAnsi="Arial" w:cs="Arial"/>
          <w:lang w:val="en-US"/>
        </w:rPr>
      </w:pPr>
    </w:p>
    <w:p w14:paraId="4FD827B8" w14:textId="32789523" w:rsidR="00832770" w:rsidRDefault="00832770" w:rsidP="009B775A">
      <w:pPr>
        <w:spacing w:line="360" w:lineRule="auto"/>
        <w:rPr>
          <w:rFonts w:ascii="Arial" w:hAnsi="Arial" w:cs="Arial"/>
          <w:lang w:val="en-US"/>
        </w:rPr>
      </w:pPr>
    </w:p>
    <w:p w14:paraId="46AAFE8A" w14:textId="28F3BF4A" w:rsidR="00400AC1" w:rsidRDefault="00400AC1" w:rsidP="009B775A">
      <w:pPr>
        <w:spacing w:line="360" w:lineRule="auto"/>
        <w:rPr>
          <w:rFonts w:ascii="Arial" w:hAnsi="Arial" w:cs="Arial"/>
          <w:lang w:val="en-US"/>
        </w:rPr>
      </w:pPr>
    </w:p>
    <w:p w14:paraId="29FE347A" w14:textId="77777777" w:rsidR="00400AC1" w:rsidRPr="00400AC1" w:rsidRDefault="00400AC1" w:rsidP="00400AC1">
      <w:pPr>
        <w:rPr>
          <w:rFonts w:ascii="Arial" w:hAnsi="Arial" w:cs="Arial"/>
          <w:lang w:val="en-US"/>
        </w:rPr>
      </w:pPr>
    </w:p>
    <w:p w14:paraId="483929E4" w14:textId="749AC6B8" w:rsidR="00402409" w:rsidRPr="008D6451" w:rsidRDefault="00402409" w:rsidP="008D6451">
      <w:pPr>
        <w:pStyle w:val="ListParagraph"/>
        <w:numPr>
          <w:ilvl w:val="0"/>
          <w:numId w:val="1"/>
        </w:numPr>
        <w:rPr>
          <w:rFonts w:ascii="Arial" w:hAnsi="Arial" w:cs="Arial"/>
          <w:lang w:val="en-US"/>
        </w:rPr>
      </w:pPr>
      <w:r w:rsidRPr="008D6451">
        <w:rPr>
          <w:rFonts w:ascii="Arial" w:hAnsi="Arial" w:cs="Arial"/>
          <w:lang w:val="en-US"/>
        </w:rPr>
        <w:br w:type="page"/>
      </w:r>
    </w:p>
    <w:p w14:paraId="1C182EB2" w14:textId="596178FC" w:rsidR="00236C4B" w:rsidRPr="00EB22D3" w:rsidRDefault="005A6B52" w:rsidP="00EB22D3">
      <w:pPr>
        <w:spacing w:line="360" w:lineRule="auto"/>
        <w:outlineLvl w:val="0"/>
        <w:rPr>
          <w:rFonts w:ascii="Arial" w:hAnsi="Arial" w:cs="Arial"/>
          <w:b/>
          <w:lang w:val="en-US"/>
        </w:rPr>
      </w:pPr>
      <w:r w:rsidRPr="00741B32">
        <w:rPr>
          <w:rFonts w:ascii="Arial" w:hAnsi="Arial" w:cs="Arial"/>
          <w:b/>
          <w:lang w:val="en-US"/>
        </w:rPr>
        <w:lastRenderedPageBreak/>
        <w:t>References</w:t>
      </w:r>
    </w:p>
    <w:p w14:paraId="0DA31CF5" w14:textId="77777777" w:rsidR="00236C4B" w:rsidRDefault="00236C4B" w:rsidP="005A6B52">
      <w:pPr>
        <w:pStyle w:val="BodyA"/>
        <w:rPr>
          <w:rFonts w:ascii="Arial" w:hAnsi="Arial" w:cs="Arial"/>
          <w:sz w:val="24"/>
          <w:szCs w:val="24"/>
        </w:rPr>
      </w:pPr>
    </w:p>
    <w:p w14:paraId="5372708E" w14:textId="66C423ED" w:rsidR="006C22C6" w:rsidRDefault="006C22C6" w:rsidP="005A6B52">
      <w:pPr>
        <w:pStyle w:val="BodyA"/>
        <w:rPr>
          <w:rFonts w:ascii="Arial" w:hAnsi="Arial" w:cs="Arial"/>
          <w:sz w:val="24"/>
          <w:szCs w:val="24"/>
        </w:rPr>
      </w:pPr>
      <w:r>
        <w:rPr>
          <w:rFonts w:ascii="Arial" w:hAnsi="Arial" w:cs="Arial"/>
          <w:sz w:val="24"/>
          <w:szCs w:val="24"/>
        </w:rPr>
        <w:t>Anderson, L., Gold, J. (2015) "Becoming a Scholar-Practitioner" in Professional Doctorates in Business &amp; Management, (Eds) Anderson, L, Gold, J., Stewart, J. &amp; Thorpe, R., SAGE Publications, London</w:t>
      </w:r>
    </w:p>
    <w:p w14:paraId="47B5721D" w14:textId="0B6B340A" w:rsidR="00694F5F" w:rsidRDefault="00694F5F" w:rsidP="005A6B52">
      <w:pPr>
        <w:pStyle w:val="BodyA"/>
        <w:rPr>
          <w:rFonts w:ascii="Arial" w:hAnsi="Arial" w:cs="Arial"/>
          <w:sz w:val="24"/>
          <w:szCs w:val="24"/>
        </w:rPr>
      </w:pPr>
    </w:p>
    <w:p w14:paraId="4F21B824" w14:textId="0EBBFEFC" w:rsidR="00694F5F" w:rsidRPr="00694F5F" w:rsidRDefault="00694F5F" w:rsidP="005A6B52">
      <w:pPr>
        <w:pStyle w:val="BodyA"/>
        <w:rPr>
          <w:rFonts w:ascii="Arial" w:hAnsi="Arial" w:cs="Arial"/>
          <w:sz w:val="24"/>
          <w:szCs w:val="24"/>
          <w:lang w:val="en-GB"/>
        </w:rPr>
      </w:pPr>
      <w:r w:rsidRPr="00694F5F">
        <w:rPr>
          <w:rFonts w:ascii="Arial" w:hAnsi="Arial" w:cs="Arial"/>
          <w:sz w:val="24"/>
          <w:szCs w:val="24"/>
          <w:lang w:val="en-GB"/>
        </w:rPr>
        <w:t xml:space="preserve">Boyer, L. (1990). </w:t>
      </w:r>
      <w:r w:rsidRPr="00694F5F">
        <w:rPr>
          <w:rFonts w:ascii="Arial" w:hAnsi="Arial" w:cs="Arial"/>
          <w:i/>
          <w:sz w:val="24"/>
          <w:szCs w:val="24"/>
          <w:lang w:val="en-GB"/>
        </w:rPr>
        <w:t>Scholarship reconsidered: Priorities of the professoriate</w:t>
      </w:r>
      <w:r w:rsidRPr="00694F5F">
        <w:rPr>
          <w:rFonts w:ascii="Arial" w:hAnsi="Arial" w:cs="Arial"/>
          <w:sz w:val="24"/>
          <w:szCs w:val="24"/>
          <w:lang w:val="en-GB"/>
        </w:rPr>
        <w:t xml:space="preserve">. New York, NY: The Carnegie Foundation for the Advancement of Teaching. </w:t>
      </w:r>
    </w:p>
    <w:p w14:paraId="0D1904C2" w14:textId="579870A0" w:rsidR="00B11722" w:rsidRDefault="00B11722" w:rsidP="005A6B52">
      <w:pPr>
        <w:pStyle w:val="BodyA"/>
        <w:rPr>
          <w:rFonts w:ascii="Arial" w:hAnsi="Arial" w:cs="Arial"/>
          <w:sz w:val="24"/>
          <w:szCs w:val="24"/>
          <w:lang w:val="en-GB"/>
        </w:rPr>
      </w:pPr>
    </w:p>
    <w:p w14:paraId="670C3024" w14:textId="0CF8473E" w:rsidR="00B11722" w:rsidRDefault="00B11722" w:rsidP="005A6B52">
      <w:pPr>
        <w:pStyle w:val="BodyA"/>
        <w:rPr>
          <w:rFonts w:ascii="Arial" w:hAnsi="Arial" w:cs="Arial"/>
          <w:sz w:val="24"/>
          <w:szCs w:val="24"/>
          <w:lang w:val="en-GB"/>
        </w:rPr>
      </w:pPr>
      <w:r>
        <w:rPr>
          <w:rFonts w:ascii="Arial" w:hAnsi="Arial" w:cs="Arial"/>
          <w:sz w:val="24"/>
          <w:szCs w:val="24"/>
          <w:lang w:val="en-GB"/>
        </w:rPr>
        <w:t xml:space="preserve">Desa, G. (2012) "Resource Mobilization in International Social </w:t>
      </w:r>
      <w:r w:rsidR="0018027B">
        <w:rPr>
          <w:rFonts w:ascii="Arial" w:hAnsi="Arial" w:cs="Arial"/>
          <w:sz w:val="24"/>
          <w:szCs w:val="24"/>
          <w:lang w:val="en-GB"/>
        </w:rPr>
        <w:t>Entrepreneurship</w:t>
      </w:r>
      <w:r>
        <w:rPr>
          <w:rFonts w:ascii="Arial" w:hAnsi="Arial" w:cs="Arial"/>
          <w:sz w:val="24"/>
          <w:szCs w:val="24"/>
          <w:lang w:val="en-GB"/>
        </w:rPr>
        <w:t xml:space="preserve">: Bricolage as a Mechanism of Institutional Transformation", </w:t>
      </w:r>
      <w:r w:rsidR="0018027B">
        <w:rPr>
          <w:rFonts w:ascii="Arial" w:hAnsi="Arial" w:cs="Arial"/>
          <w:sz w:val="24"/>
          <w:szCs w:val="24"/>
          <w:lang w:val="en-GB"/>
        </w:rPr>
        <w:t>Entrepreneurship</w:t>
      </w:r>
      <w:r>
        <w:rPr>
          <w:rFonts w:ascii="Arial" w:hAnsi="Arial" w:cs="Arial"/>
          <w:sz w:val="24"/>
          <w:szCs w:val="24"/>
          <w:lang w:val="en-GB"/>
        </w:rPr>
        <w:t xml:space="preserve"> Theory and Practice, 727-</w:t>
      </w:r>
      <w:r w:rsidR="00D87334">
        <w:rPr>
          <w:rFonts w:ascii="Arial" w:hAnsi="Arial" w:cs="Arial"/>
          <w:sz w:val="24"/>
          <w:szCs w:val="24"/>
          <w:lang w:val="en-GB"/>
        </w:rPr>
        <w:t>751</w:t>
      </w:r>
    </w:p>
    <w:p w14:paraId="06D0CE7D" w14:textId="2AB82AF7" w:rsidR="00155832" w:rsidRDefault="00155832" w:rsidP="005A6B52">
      <w:pPr>
        <w:pStyle w:val="BodyA"/>
        <w:rPr>
          <w:rFonts w:ascii="Arial" w:hAnsi="Arial" w:cs="Arial"/>
          <w:sz w:val="24"/>
          <w:szCs w:val="24"/>
          <w:lang w:val="en-GB"/>
        </w:rPr>
      </w:pPr>
    </w:p>
    <w:p w14:paraId="554E7A9E" w14:textId="2402925A" w:rsidR="00155832" w:rsidRDefault="00155832" w:rsidP="005A6B52">
      <w:pPr>
        <w:pStyle w:val="BodyA"/>
        <w:rPr>
          <w:rFonts w:ascii="Arial" w:hAnsi="Arial" w:cs="Arial"/>
          <w:sz w:val="24"/>
          <w:szCs w:val="24"/>
          <w:lang w:val="en-GB"/>
        </w:rPr>
      </w:pPr>
      <w:r>
        <w:rPr>
          <w:rFonts w:ascii="Arial" w:hAnsi="Arial" w:cs="Arial"/>
          <w:sz w:val="24"/>
          <w:szCs w:val="24"/>
          <w:lang w:val="en-GB"/>
        </w:rPr>
        <w:t xml:space="preserve">Duymedjian, R., Ruling, C-C. (2010) "Towards a Foundation of Bricolage in Organization and Management Theory", </w:t>
      </w:r>
      <w:r w:rsidRPr="00155832">
        <w:rPr>
          <w:rFonts w:ascii="Arial" w:hAnsi="Arial" w:cs="Arial"/>
          <w:i/>
          <w:sz w:val="24"/>
          <w:szCs w:val="24"/>
          <w:lang w:val="en-GB"/>
        </w:rPr>
        <w:t>Organization Studies</w:t>
      </w:r>
      <w:r>
        <w:rPr>
          <w:rFonts w:ascii="Arial" w:hAnsi="Arial" w:cs="Arial"/>
          <w:sz w:val="24"/>
          <w:szCs w:val="24"/>
          <w:lang w:val="en-GB"/>
        </w:rPr>
        <w:t>, 31, 133-151</w:t>
      </w:r>
    </w:p>
    <w:p w14:paraId="11B5456A" w14:textId="7234A841" w:rsidR="00B11722" w:rsidRDefault="00B11722" w:rsidP="005A6B52">
      <w:pPr>
        <w:pStyle w:val="BodyA"/>
        <w:rPr>
          <w:rFonts w:ascii="Arial" w:hAnsi="Arial" w:cs="Arial"/>
          <w:sz w:val="24"/>
          <w:szCs w:val="24"/>
          <w:lang w:val="en-GB"/>
        </w:rPr>
      </w:pPr>
    </w:p>
    <w:p w14:paraId="6927C105" w14:textId="6066DCAC" w:rsidR="00B11722" w:rsidRDefault="00B11722" w:rsidP="005A6B52">
      <w:pPr>
        <w:pStyle w:val="BodyA"/>
        <w:rPr>
          <w:rFonts w:ascii="Arial" w:hAnsi="Arial" w:cs="Arial"/>
          <w:sz w:val="24"/>
          <w:szCs w:val="24"/>
          <w:lang w:val="en-GB"/>
        </w:rPr>
      </w:pPr>
      <w:r>
        <w:rPr>
          <w:rFonts w:ascii="Arial" w:hAnsi="Arial" w:cs="Arial"/>
          <w:sz w:val="24"/>
          <w:szCs w:val="24"/>
          <w:lang w:val="en-GB"/>
        </w:rPr>
        <w:t xml:space="preserve">Garud, R., Karnoe, P. (2003) "Bricolage versus breakthrough: distributed and embedded agency in technology entrepreneurship", </w:t>
      </w:r>
      <w:r w:rsidRPr="00B11722">
        <w:rPr>
          <w:rFonts w:ascii="Arial" w:hAnsi="Arial" w:cs="Arial"/>
          <w:i/>
          <w:sz w:val="24"/>
          <w:szCs w:val="24"/>
          <w:lang w:val="en-GB"/>
        </w:rPr>
        <w:t>Research Policy</w:t>
      </w:r>
      <w:r>
        <w:rPr>
          <w:rFonts w:ascii="Arial" w:hAnsi="Arial" w:cs="Arial"/>
          <w:sz w:val="24"/>
          <w:szCs w:val="24"/>
          <w:lang w:val="en-GB"/>
        </w:rPr>
        <w:t>, 32, 277-300</w:t>
      </w:r>
    </w:p>
    <w:p w14:paraId="652CA78F" w14:textId="7D24FED9" w:rsidR="00AF676B" w:rsidRDefault="00AF676B" w:rsidP="005A6B52">
      <w:pPr>
        <w:pStyle w:val="BodyA"/>
        <w:rPr>
          <w:rFonts w:ascii="Arial" w:hAnsi="Arial" w:cs="Arial"/>
          <w:sz w:val="24"/>
          <w:szCs w:val="24"/>
          <w:lang w:val="en-GB"/>
        </w:rPr>
      </w:pPr>
    </w:p>
    <w:p w14:paraId="0F51CC3D" w14:textId="4BC6A7A4" w:rsidR="00AF676B" w:rsidRPr="005A6B52" w:rsidRDefault="00AF676B" w:rsidP="00AF676B">
      <w:pPr>
        <w:pStyle w:val="BodyA"/>
        <w:rPr>
          <w:rFonts w:ascii="Arial" w:hAnsi="Arial" w:cs="Arial"/>
          <w:sz w:val="24"/>
          <w:szCs w:val="24"/>
        </w:rPr>
      </w:pPr>
      <w:r w:rsidRPr="00AF676B">
        <w:rPr>
          <w:rFonts w:ascii="Arial" w:hAnsi="Arial" w:cs="Arial"/>
          <w:sz w:val="24"/>
          <w:szCs w:val="24"/>
        </w:rPr>
        <w:t>Garud, R</w:t>
      </w:r>
      <w:r>
        <w:rPr>
          <w:rFonts w:ascii="Arial" w:hAnsi="Arial" w:cs="Arial"/>
          <w:sz w:val="24"/>
          <w:szCs w:val="24"/>
        </w:rPr>
        <w:t>., Gehman, J., Karnøe, P. (2010)</w:t>
      </w:r>
      <w:r w:rsidRPr="00AF676B">
        <w:rPr>
          <w:rFonts w:ascii="Arial" w:hAnsi="Arial" w:cs="Arial"/>
          <w:sz w:val="24"/>
          <w:szCs w:val="24"/>
        </w:rPr>
        <w:t xml:space="preserve">. </w:t>
      </w:r>
      <w:r>
        <w:rPr>
          <w:rFonts w:ascii="Arial" w:hAnsi="Arial" w:cs="Arial"/>
          <w:sz w:val="24"/>
          <w:szCs w:val="24"/>
        </w:rPr>
        <w:t>“</w:t>
      </w:r>
      <w:r w:rsidRPr="00AF676B">
        <w:rPr>
          <w:rFonts w:ascii="Arial" w:hAnsi="Arial" w:cs="Arial"/>
          <w:sz w:val="24"/>
          <w:szCs w:val="24"/>
        </w:rPr>
        <w:t xml:space="preserve">Categorization by </w:t>
      </w:r>
      <w:r>
        <w:rPr>
          <w:rFonts w:ascii="Arial" w:hAnsi="Arial" w:cs="Arial"/>
          <w:sz w:val="24"/>
          <w:szCs w:val="24"/>
        </w:rPr>
        <w:t xml:space="preserve">association: nuclear technology </w:t>
      </w:r>
      <w:r w:rsidRPr="00AF676B">
        <w:rPr>
          <w:rFonts w:ascii="Arial" w:hAnsi="Arial" w:cs="Arial"/>
          <w:sz w:val="24"/>
          <w:szCs w:val="24"/>
        </w:rPr>
        <w:t>and emission-free electricity</w:t>
      </w:r>
      <w:r>
        <w:rPr>
          <w:rFonts w:ascii="Arial" w:hAnsi="Arial" w:cs="Arial"/>
          <w:sz w:val="24"/>
          <w:szCs w:val="24"/>
        </w:rPr>
        <w:t>”</w:t>
      </w:r>
      <w:r w:rsidRPr="00AF676B">
        <w:rPr>
          <w:rFonts w:ascii="Arial" w:hAnsi="Arial" w:cs="Arial"/>
          <w:sz w:val="24"/>
          <w:szCs w:val="24"/>
        </w:rPr>
        <w:t>. In: Sine, W.D.</w:t>
      </w:r>
      <w:r>
        <w:rPr>
          <w:rFonts w:ascii="Arial" w:hAnsi="Arial" w:cs="Arial"/>
          <w:sz w:val="24"/>
          <w:szCs w:val="24"/>
        </w:rPr>
        <w:t xml:space="preserve">, David, R. (Eds.), </w:t>
      </w:r>
      <w:r w:rsidRPr="00AF676B">
        <w:rPr>
          <w:rFonts w:ascii="Arial" w:hAnsi="Arial" w:cs="Arial"/>
          <w:i/>
          <w:sz w:val="24"/>
          <w:szCs w:val="24"/>
        </w:rPr>
        <w:t>Research in the Sociology of Work</w:t>
      </w:r>
      <w:r w:rsidRPr="00AF676B">
        <w:rPr>
          <w:rFonts w:ascii="Arial" w:hAnsi="Arial" w:cs="Arial"/>
          <w:sz w:val="24"/>
          <w:szCs w:val="24"/>
        </w:rPr>
        <w:t>, vol. 21. Emerald, Bingley, pp. 51–93.</w:t>
      </w:r>
    </w:p>
    <w:p w14:paraId="793341C6" w14:textId="642E5B56" w:rsidR="00EF4852" w:rsidRDefault="00EF4852" w:rsidP="005A6B52">
      <w:pPr>
        <w:pStyle w:val="BodyA"/>
        <w:rPr>
          <w:rFonts w:ascii="Arial" w:hAnsi="Arial" w:cs="Arial"/>
          <w:sz w:val="24"/>
          <w:szCs w:val="24"/>
        </w:rPr>
      </w:pPr>
    </w:p>
    <w:p w14:paraId="3E6F4191" w14:textId="6E3AB75A" w:rsidR="00EF4852" w:rsidRDefault="00EF4852" w:rsidP="005A6B52">
      <w:pPr>
        <w:pStyle w:val="BodyA"/>
        <w:rPr>
          <w:rFonts w:ascii="Arial" w:hAnsi="Arial" w:cs="Arial"/>
          <w:sz w:val="24"/>
          <w:szCs w:val="24"/>
          <w:lang w:val="en-GB"/>
        </w:rPr>
      </w:pPr>
      <w:r w:rsidRPr="00EF4852">
        <w:rPr>
          <w:rFonts w:ascii="Arial" w:hAnsi="Arial" w:cs="Arial"/>
          <w:sz w:val="24"/>
          <w:szCs w:val="24"/>
          <w:lang w:val="en-GB"/>
        </w:rPr>
        <w:t xml:space="preserve">Kormanik, M., Lehner, R. D., &amp; Winnick, T.A. (2009). General competencies for developing the HRD scholar-practitioner: Perspectives from across the profession. </w:t>
      </w:r>
      <w:r w:rsidRPr="00EF4852">
        <w:rPr>
          <w:rFonts w:ascii="Arial" w:hAnsi="Arial" w:cs="Arial"/>
          <w:i/>
          <w:sz w:val="24"/>
          <w:szCs w:val="24"/>
          <w:lang w:val="en-GB"/>
        </w:rPr>
        <w:t xml:space="preserve">Advances in Developing Human Resources, </w:t>
      </w:r>
      <w:r w:rsidRPr="00EF4852">
        <w:rPr>
          <w:rFonts w:ascii="Arial" w:hAnsi="Arial" w:cs="Arial"/>
          <w:sz w:val="24"/>
          <w:szCs w:val="24"/>
          <w:lang w:val="en-GB"/>
        </w:rPr>
        <w:t>11 (4), 486–506.</w:t>
      </w:r>
    </w:p>
    <w:p w14:paraId="5D98E4B7" w14:textId="4D8B2569" w:rsidR="00EC5DB3" w:rsidRDefault="00EC5DB3" w:rsidP="005A6B52">
      <w:pPr>
        <w:pStyle w:val="BodyA"/>
        <w:rPr>
          <w:rFonts w:ascii="Arial" w:hAnsi="Arial" w:cs="Arial"/>
          <w:sz w:val="24"/>
          <w:szCs w:val="24"/>
          <w:lang w:val="en-GB"/>
        </w:rPr>
      </w:pPr>
    </w:p>
    <w:p w14:paraId="6E26FA51" w14:textId="71C3105D" w:rsidR="00EC5DB3" w:rsidRPr="005A6B52" w:rsidRDefault="00D56435" w:rsidP="005F69A4">
      <w:pPr>
        <w:pStyle w:val="BodyA"/>
        <w:outlineLvl w:val="0"/>
        <w:rPr>
          <w:rFonts w:ascii="Arial" w:hAnsi="Arial" w:cs="Arial"/>
          <w:sz w:val="24"/>
          <w:szCs w:val="24"/>
        </w:rPr>
      </w:pPr>
      <w:r>
        <w:rPr>
          <w:rFonts w:ascii="Arial" w:hAnsi="Arial" w:cs="Arial"/>
          <w:sz w:val="24"/>
          <w:szCs w:val="24"/>
          <w:lang w:val="en-GB"/>
        </w:rPr>
        <w:t xml:space="preserve">Levi-Strauss, C. (1967), </w:t>
      </w:r>
      <w:r w:rsidR="00EC5DB3" w:rsidRPr="00D56435">
        <w:rPr>
          <w:rFonts w:ascii="Arial" w:hAnsi="Arial" w:cs="Arial"/>
          <w:i/>
          <w:sz w:val="24"/>
          <w:szCs w:val="24"/>
          <w:lang w:val="en-GB"/>
        </w:rPr>
        <w:t>The Savage M</w:t>
      </w:r>
      <w:r w:rsidRPr="00D56435">
        <w:rPr>
          <w:rFonts w:ascii="Arial" w:hAnsi="Arial" w:cs="Arial"/>
          <w:i/>
          <w:sz w:val="24"/>
          <w:szCs w:val="24"/>
          <w:lang w:val="en-GB"/>
        </w:rPr>
        <w:t>ind</w:t>
      </w:r>
      <w:r w:rsidR="00EC5DB3">
        <w:rPr>
          <w:rFonts w:ascii="Arial" w:hAnsi="Arial" w:cs="Arial"/>
          <w:sz w:val="24"/>
          <w:szCs w:val="24"/>
          <w:lang w:val="en-GB"/>
        </w:rPr>
        <w:t>, University of Chicago Press, Chicago</w:t>
      </w:r>
    </w:p>
    <w:p w14:paraId="7C6F8989" w14:textId="77777777" w:rsidR="005A6B52" w:rsidRPr="005A6B52" w:rsidRDefault="005A6B52" w:rsidP="005A6B52">
      <w:pPr>
        <w:pStyle w:val="BodyA"/>
        <w:rPr>
          <w:rFonts w:ascii="Arial" w:hAnsi="Arial" w:cs="Arial"/>
          <w:sz w:val="24"/>
          <w:szCs w:val="24"/>
        </w:rPr>
      </w:pPr>
    </w:p>
    <w:p w14:paraId="5DFC57C3" w14:textId="757D7C7D" w:rsidR="005A6B52" w:rsidRDefault="005A6B52" w:rsidP="005A6B52">
      <w:pPr>
        <w:pStyle w:val="BodyA"/>
        <w:rPr>
          <w:rFonts w:ascii="Arial" w:hAnsi="Arial" w:cs="Arial"/>
          <w:sz w:val="24"/>
          <w:szCs w:val="24"/>
        </w:rPr>
      </w:pPr>
      <w:r w:rsidRPr="005A6B52">
        <w:rPr>
          <w:rFonts w:ascii="Arial" w:hAnsi="Arial" w:cs="Arial"/>
          <w:sz w:val="24"/>
          <w:szCs w:val="24"/>
        </w:rPr>
        <w:t xml:space="preserve">McClintock, C. (2004) “Scholar practitioner model.” In </w:t>
      </w:r>
      <w:r w:rsidRPr="005A6B52">
        <w:rPr>
          <w:rFonts w:ascii="Arial" w:hAnsi="Arial" w:cs="Arial"/>
          <w:i/>
          <w:iCs/>
          <w:sz w:val="24"/>
          <w:szCs w:val="24"/>
        </w:rPr>
        <w:t>Encyclopaedia of Distributed Learning</w:t>
      </w:r>
      <w:r w:rsidRPr="005A6B52">
        <w:rPr>
          <w:rFonts w:ascii="Arial" w:hAnsi="Arial" w:cs="Arial"/>
          <w:sz w:val="24"/>
          <w:szCs w:val="24"/>
        </w:rPr>
        <w:t>, (eds.) DiStefano, A., Rudestam, K.E., &amp; Silverman, R.J., Thousand Oaks, CA: Sage, pp. 393-396.</w:t>
      </w:r>
    </w:p>
    <w:p w14:paraId="6A1DACF0" w14:textId="0F8051D3" w:rsidR="00A07684" w:rsidRDefault="00A07684" w:rsidP="005A6B52">
      <w:pPr>
        <w:pStyle w:val="BodyA"/>
        <w:rPr>
          <w:rFonts w:ascii="Arial" w:hAnsi="Arial" w:cs="Arial"/>
          <w:sz w:val="24"/>
          <w:szCs w:val="24"/>
        </w:rPr>
      </w:pPr>
    </w:p>
    <w:p w14:paraId="7BEB7C6B" w14:textId="342B3A9D" w:rsidR="00A75745" w:rsidRDefault="00A75745" w:rsidP="005A6B52">
      <w:pPr>
        <w:pStyle w:val="BodyA"/>
        <w:rPr>
          <w:rFonts w:ascii="Arial" w:hAnsi="Arial" w:cs="Arial"/>
          <w:sz w:val="24"/>
          <w:szCs w:val="24"/>
        </w:rPr>
      </w:pPr>
      <w:r>
        <w:rPr>
          <w:rFonts w:ascii="Arial" w:hAnsi="Arial" w:cs="Arial"/>
          <w:sz w:val="24"/>
          <w:szCs w:val="24"/>
        </w:rPr>
        <w:t xml:space="preserve">Marsick, V.J., &amp; O’Neill, J. (1999), “The many Faces of Action Learning”, </w:t>
      </w:r>
      <w:r w:rsidRPr="006B451C">
        <w:rPr>
          <w:rFonts w:ascii="Arial" w:hAnsi="Arial" w:cs="Arial"/>
          <w:i/>
          <w:sz w:val="24"/>
          <w:szCs w:val="24"/>
        </w:rPr>
        <w:t>Management Learning</w:t>
      </w:r>
      <w:r>
        <w:rPr>
          <w:rFonts w:ascii="Arial" w:hAnsi="Arial" w:cs="Arial"/>
          <w:sz w:val="24"/>
          <w:szCs w:val="24"/>
        </w:rPr>
        <w:t>, 30(2), 159-176</w:t>
      </w:r>
    </w:p>
    <w:p w14:paraId="6C710218" w14:textId="77777777" w:rsidR="00A75745" w:rsidRDefault="00A75745" w:rsidP="005A6B52">
      <w:pPr>
        <w:pStyle w:val="BodyA"/>
        <w:rPr>
          <w:rFonts w:ascii="Arial" w:hAnsi="Arial" w:cs="Arial"/>
          <w:sz w:val="24"/>
          <w:szCs w:val="24"/>
        </w:rPr>
      </w:pPr>
    </w:p>
    <w:p w14:paraId="38264181" w14:textId="1411081D" w:rsidR="005A6B52" w:rsidRDefault="00A07684" w:rsidP="005A6B52">
      <w:pPr>
        <w:pStyle w:val="BodyA"/>
        <w:rPr>
          <w:rFonts w:ascii="Arial" w:hAnsi="Arial" w:cs="Arial"/>
          <w:sz w:val="24"/>
          <w:szCs w:val="24"/>
        </w:rPr>
      </w:pPr>
      <w:r>
        <w:rPr>
          <w:rFonts w:ascii="Arial" w:hAnsi="Arial" w:cs="Arial"/>
          <w:sz w:val="24"/>
          <w:szCs w:val="24"/>
        </w:rPr>
        <w:t xml:space="preserve">Mason, R.O., &amp; Mitroff, I.I. (1981) </w:t>
      </w:r>
      <w:r w:rsidRPr="00A07684">
        <w:rPr>
          <w:rFonts w:ascii="Arial" w:hAnsi="Arial" w:cs="Arial"/>
          <w:i/>
          <w:sz w:val="24"/>
          <w:szCs w:val="24"/>
        </w:rPr>
        <w:t>Challenging Strategic Planning Assumptions</w:t>
      </w:r>
      <w:r>
        <w:rPr>
          <w:rFonts w:ascii="Arial" w:hAnsi="Arial" w:cs="Arial"/>
          <w:sz w:val="24"/>
          <w:szCs w:val="24"/>
        </w:rPr>
        <w:t>, Chichester, Wiley</w:t>
      </w:r>
      <w:r w:rsidR="005A6B52" w:rsidRPr="005A6B52">
        <w:rPr>
          <w:rFonts w:ascii="Arial" w:hAnsi="Arial" w:cs="Arial"/>
          <w:sz w:val="24"/>
          <w:szCs w:val="24"/>
        </w:rPr>
        <w:t xml:space="preserve"> </w:t>
      </w:r>
    </w:p>
    <w:p w14:paraId="3B1EFB1E" w14:textId="2E948E2F" w:rsidR="00236C4B" w:rsidRDefault="00236C4B" w:rsidP="005A6B52">
      <w:pPr>
        <w:pStyle w:val="BodyA"/>
        <w:rPr>
          <w:rFonts w:ascii="Arial" w:hAnsi="Arial" w:cs="Arial"/>
          <w:sz w:val="24"/>
          <w:szCs w:val="24"/>
        </w:rPr>
      </w:pPr>
    </w:p>
    <w:p w14:paraId="141F6437" w14:textId="13543BDE" w:rsidR="00236C4B" w:rsidRDefault="00236C4B" w:rsidP="005A6B52">
      <w:pPr>
        <w:pStyle w:val="BodyA"/>
        <w:rPr>
          <w:rFonts w:ascii="Arial" w:hAnsi="Arial" w:cs="Arial"/>
          <w:sz w:val="24"/>
          <w:szCs w:val="24"/>
        </w:rPr>
      </w:pPr>
      <w:r w:rsidRPr="005A6B52">
        <w:rPr>
          <w:rFonts w:ascii="Arial" w:hAnsi="Arial" w:cs="Arial"/>
          <w:sz w:val="24"/>
          <w:szCs w:val="24"/>
        </w:rPr>
        <w:t xml:space="preserve">Milano, C., Lawless, A., &amp; Eades, E. (2015) “Insider research as part of a master's programme: opportunities lost and found within action learning sets”, </w:t>
      </w:r>
      <w:r w:rsidRPr="005A6B52">
        <w:rPr>
          <w:rFonts w:ascii="Arial" w:hAnsi="Arial" w:cs="Arial"/>
          <w:i/>
          <w:iCs/>
          <w:sz w:val="24"/>
          <w:szCs w:val="24"/>
        </w:rPr>
        <w:t>Action Learning: Research and Practice,</w:t>
      </w:r>
      <w:r w:rsidRPr="005A6B52">
        <w:rPr>
          <w:rFonts w:ascii="Arial" w:hAnsi="Arial" w:cs="Arial"/>
          <w:sz w:val="24"/>
          <w:szCs w:val="24"/>
        </w:rPr>
        <w:t xml:space="preserve"> </w:t>
      </w:r>
      <w:r w:rsidRPr="005A6B52">
        <w:rPr>
          <w:rFonts w:ascii="Arial" w:hAnsi="Arial" w:cs="Arial"/>
          <w:b/>
          <w:sz w:val="24"/>
          <w:szCs w:val="24"/>
        </w:rPr>
        <w:t>12</w:t>
      </w:r>
      <w:r w:rsidRPr="005A6B52">
        <w:rPr>
          <w:rFonts w:ascii="Arial" w:hAnsi="Arial" w:cs="Arial"/>
          <w:sz w:val="24"/>
          <w:szCs w:val="24"/>
        </w:rPr>
        <w:t>(3), 317-324.</w:t>
      </w:r>
    </w:p>
    <w:p w14:paraId="3F15B61F" w14:textId="3EF89FF3" w:rsidR="00055BBF" w:rsidRDefault="00055BBF" w:rsidP="005A6B52">
      <w:pPr>
        <w:pStyle w:val="BodyA"/>
        <w:rPr>
          <w:rFonts w:ascii="Arial" w:hAnsi="Arial" w:cs="Arial"/>
          <w:sz w:val="24"/>
          <w:szCs w:val="24"/>
        </w:rPr>
      </w:pPr>
    </w:p>
    <w:p w14:paraId="631CFB33" w14:textId="1F9E4BD9" w:rsidR="00055BBF" w:rsidRDefault="00055BBF" w:rsidP="005A6B52">
      <w:pPr>
        <w:pStyle w:val="BodyA"/>
        <w:rPr>
          <w:rFonts w:ascii="Arial" w:hAnsi="Arial" w:cs="Arial"/>
          <w:sz w:val="24"/>
          <w:szCs w:val="24"/>
        </w:rPr>
      </w:pPr>
      <w:r>
        <w:rPr>
          <w:rFonts w:ascii="Arial" w:hAnsi="Arial" w:cs="Arial"/>
          <w:sz w:val="24"/>
          <w:szCs w:val="24"/>
        </w:rPr>
        <w:t xml:space="preserve">Paton, S.R., Chia, R., Burt, G. (2014) "Relevance or "relevate"? How university business schools can add value through reflexively learning from strategic partnerships with business", </w:t>
      </w:r>
      <w:r w:rsidRPr="001129FB">
        <w:rPr>
          <w:rFonts w:ascii="Arial" w:hAnsi="Arial" w:cs="Arial"/>
          <w:i/>
          <w:sz w:val="24"/>
          <w:szCs w:val="24"/>
        </w:rPr>
        <w:t>Management Learning</w:t>
      </w:r>
      <w:r>
        <w:rPr>
          <w:rFonts w:ascii="Arial" w:hAnsi="Arial" w:cs="Arial"/>
          <w:sz w:val="24"/>
          <w:szCs w:val="24"/>
        </w:rPr>
        <w:t>, 45, 267-288</w:t>
      </w:r>
    </w:p>
    <w:p w14:paraId="2C9CECAD" w14:textId="1B306D42" w:rsidR="0022591C" w:rsidRDefault="0022591C" w:rsidP="005A6B52">
      <w:pPr>
        <w:pStyle w:val="BodyA"/>
        <w:rPr>
          <w:rFonts w:ascii="Arial" w:hAnsi="Arial" w:cs="Arial"/>
          <w:sz w:val="24"/>
          <w:szCs w:val="24"/>
        </w:rPr>
      </w:pPr>
    </w:p>
    <w:p w14:paraId="2BDC5099" w14:textId="0B21D602" w:rsidR="0022591C" w:rsidRDefault="0022591C" w:rsidP="005A6B52">
      <w:pPr>
        <w:pStyle w:val="BodyA"/>
        <w:rPr>
          <w:rFonts w:ascii="Arial" w:hAnsi="Arial" w:cs="Arial"/>
          <w:sz w:val="24"/>
          <w:szCs w:val="24"/>
        </w:rPr>
      </w:pPr>
      <w:r>
        <w:rPr>
          <w:rFonts w:ascii="Arial" w:hAnsi="Arial" w:cs="Arial"/>
          <w:sz w:val="24"/>
          <w:szCs w:val="24"/>
        </w:rPr>
        <w:t xml:space="preserve">Ramsey, C. (2011) "Provocative theory and a scholarship of practice", </w:t>
      </w:r>
      <w:r w:rsidRPr="001129FB">
        <w:rPr>
          <w:rFonts w:ascii="Arial" w:hAnsi="Arial" w:cs="Arial"/>
          <w:i/>
          <w:sz w:val="24"/>
          <w:szCs w:val="24"/>
        </w:rPr>
        <w:t>Management Learning</w:t>
      </w:r>
      <w:r>
        <w:rPr>
          <w:rFonts w:ascii="Arial" w:hAnsi="Arial" w:cs="Arial"/>
          <w:sz w:val="24"/>
          <w:szCs w:val="24"/>
        </w:rPr>
        <w:t>, 42 (5), 469-483</w:t>
      </w:r>
    </w:p>
    <w:p w14:paraId="51A62068" w14:textId="6D360D72" w:rsidR="00437A85" w:rsidRDefault="00437A85" w:rsidP="005A6B52">
      <w:pPr>
        <w:pStyle w:val="BodyA"/>
        <w:rPr>
          <w:rFonts w:ascii="Arial" w:hAnsi="Arial" w:cs="Arial"/>
          <w:sz w:val="24"/>
          <w:szCs w:val="24"/>
        </w:rPr>
      </w:pPr>
    </w:p>
    <w:p w14:paraId="0F274545" w14:textId="70991F96" w:rsidR="00D56435" w:rsidRDefault="00D56435" w:rsidP="005A6B52">
      <w:pPr>
        <w:pStyle w:val="BodyA"/>
        <w:rPr>
          <w:rFonts w:ascii="Arial" w:hAnsi="Arial" w:cs="Arial"/>
          <w:sz w:val="24"/>
          <w:szCs w:val="24"/>
        </w:rPr>
      </w:pPr>
    </w:p>
    <w:p w14:paraId="3D5DAE2F" w14:textId="30327284" w:rsidR="00D56435" w:rsidRDefault="00D56435" w:rsidP="005A6B52">
      <w:pPr>
        <w:pStyle w:val="BodyA"/>
        <w:rPr>
          <w:rFonts w:ascii="Arial" w:hAnsi="Arial" w:cs="Arial"/>
          <w:sz w:val="24"/>
          <w:szCs w:val="24"/>
        </w:rPr>
      </w:pPr>
      <w:r>
        <w:rPr>
          <w:rFonts w:ascii="Arial" w:hAnsi="Arial" w:cs="Arial"/>
          <w:sz w:val="24"/>
          <w:szCs w:val="24"/>
        </w:rPr>
        <w:t>Revans, R.</w:t>
      </w:r>
      <w:r w:rsidR="00701478">
        <w:rPr>
          <w:rFonts w:ascii="Arial" w:hAnsi="Arial" w:cs="Arial"/>
          <w:sz w:val="24"/>
          <w:szCs w:val="24"/>
        </w:rPr>
        <w:t xml:space="preserve">W. </w:t>
      </w:r>
      <w:r>
        <w:rPr>
          <w:rFonts w:ascii="Arial" w:hAnsi="Arial" w:cs="Arial"/>
          <w:sz w:val="24"/>
          <w:szCs w:val="24"/>
        </w:rPr>
        <w:t xml:space="preserve"> (1982) </w:t>
      </w:r>
      <w:r w:rsidRPr="00D56435">
        <w:rPr>
          <w:rFonts w:ascii="Arial" w:hAnsi="Arial" w:cs="Arial"/>
          <w:i/>
          <w:sz w:val="24"/>
          <w:szCs w:val="24"/>
        </w:rPr>
        <w:t>The Origins and Growth of Action Learning</w:t>
      </w:r>
      <w:r>
        <w:rPr>
          <w:rFonts w:ascii="Arial" w:hAnsi="Arial" w:cs="Arial"/>
          <w:sz w:val="24"/>
          <w:szCs w:val="24"/>
        </w:rPr>
        <w:t>, Bromley, Chartwell-Bratt</w:t>
      </w:r>
    </w:p>
    <w:p w14:paraId="1A600EF1" w14:textId="7229F6FC" w:rsidR="00701478" w:rsidRDefault="00701478" w:rsidP="005A6B52">
      <w:pPr>
        <w:pStyle w:val="BodyA"/>
        <w:rPr>
          <w:rFonts w:ascii="Arial" w:hAnsi="Arial" w:cs="Arial"/>
          <w:sz w:val="24"/>
          <w:szCs w:val="24"/>
        </w:rPr>
      </w:pPr>
    </w:p>
    <w:p w14:paraId="4EF50DAB" w14:textId="75460985" w:rsidR="00701478" w:rsidRDefault="00701478" w:rsidP="005A6B52">
      <w:pPr>
        <w:pStyle w:val="BodyA"/>
        <w:rPr>
          <w:rFonts w:ascii="Arial" w:hAnsi="Arial" w:cs="Arial"/>
          <w:sz w:val="24"/>
          <w:szCs w:val="24"/>
        </w:rPr>
      </w:pPr>
      <w:r>
        <w:rPr>
          <w:rFonts w:ascii="Arial" w:hAnsi="Arial" w:cs="Arial"/>
          <w:sz w:val="24"/>
          <w:szCs w:val="24"/>
        </w:rPr>
        <w:t>Revans, R.W. (2011), ABC of Action Learning, Gower Publishing Ltd</w:t>
      </w:r>
    </w:p>
    <w:p w14:paraId="4666AEBD" w14:textId="30938D28" w:rsidR="00655335" w:rsidRDefault="00655335" w:rsidP="005A6B52">
      <w:pPr>
        <w:pStyle w:val="BodyA"/>
        <w:rPr>
          <w:rFonts w:ascii="Arial" w:hAnsi="Arial" w:cs="Arial"/>
          <w:sz w:val="24"/>
          <w:szCs w:val="24"/>
        </w:rPr>
      </w:pPr>
    </w:p>
    <w:p w14:paraId="7C781CC1" w14:textId="1EBF6A5C" w:rsidR="00655335" w:rsidRDefault="00655335" w:rsidP="005A6B52">
      <w:pPr>
        <w:pStyle w:val="BodyA"/>
        <w:rPr>
          <w:rFonts w:ascii="Arial" w:hAnsi="Arial" w:cs="Arial"/>
          <w:sz w:val="24"/>
          <w:szCs w:val="24"/>
        </w:rPr>
      </w:pPr>
      <w:r>
        <w:rPr>
          <w:rFonts w:ascii="Arial" w:hAnsi="Arial" w:cs="Arial"/>
          <w:sz w:val="24"/>
          <w:szCs w:val="24"/>
        </w:rPr>
        <w:t xml:space="preserve">Tenkasi, R.V., Hay G.W. (2004) "Actionable Knowledge and Scholar-Practitioners: A process model of Theory-Practice Linkages", </w:t>
      </w:r>
      <w:r w:rsidRPr="001129FB">
        <w:rPr>
          <w:rFonts w:ascii="Arial" w:hAnsi="Arial" w:cs="Arial"/>
          <w:i/>
          <w:sz w:val="24"/>
          <w:szCs w:val="24"/>
        </w:rPr>
        <w:t>Systemic Practice and Action Research</w:t>
      </w:r>
      <w:r>
        <w:rPr>
          <w:rFonts w:ascii="Arial" w:hAnsi="Arial" w:cs="Arial"/>
          <w:sz w:val="24"/>
          <w:szCs w:val="24"/>
        </w:rPr>
        <w:t>, 17 (3), 177-206</w:t>
      </w:r>
    </w:p>
    <w:p w14:paraId="19731709" w14:textId="529EFDF7" w:rsidR="00F21B5A" w:rsidRDefault="00F21B5A" w:rsidP="005A6B52">
      <w:pPr>
        <w:pStyle w:val="BodyA"/>
        <w:rPr>
          <w:rFonts w:ascii="Arial" w:hAnsi="Arial" w:cs="Arial"/>
          <w:sz w:val="24"/>
          <w:szCs w:val="24"/>
        </w:rPr>
      </w:pPr>
    </w:p>
    <w:p w14:paraId="2349A634" w14:textId="72900892" w:rsidR="00F21B5A" w:rsidRDefault="00F21B5A" w:rsidP="005A6B52">
      <w:pPr>
        <w:pStyle w:val="BodyA"/>
        <w:rPr>
          <w:rFonts w:ascii="Arial" w:hAnsi="Arial" w:cs="Arial"/>
          <w:sz w:val="24"/>
          <w:szCs w:val="24"/>
        </w:rPr>
      </w:pPr>
      <w:r>
        <w:rPr>
          <w:rFonts w:ascii="Arial" w:hAnsi="Arial" w:cs="Arial"/>
          <w:sz w:val="24"/>
          <w:szCs w:val="24"/>
        </w:rPr>
        <w:t xml:space="preserve">Trehan, K. (2011), "Critical action learning", in Pedler, M. (ed.) Action </w:t>
      </w:r>
      <w:r w:rsidR="000071D4">
        <w:rPr>
          <w:rFonts w:ascii="Arial" w:hAnsi="Arial" w:cs="Arial"/>
          <w:sz w:val="24"/>
          <w:szCs w:val="24"/>
        </w:rPr>
        <w:t xml:space="preserve">Learning in Practice, 4th </w:t>
      </w:r>
      <w:r>
        <w:rPr>
          <w:rFonts w:ascii="Arial" w:hAnsi="Arial" w:cs="Arial"/>
          <w:sz w:val="24"/>
          <w:szCs w:val="24"/>
        </w:rPr>
        <w:t>edn, Farnham</w:t>
      </w:r>
      <w:r w:rsidR="00E65605">
        <w:rPr>
          <w:rFonts w:ascii="Arial" w:hAnsi="Arial" w:cs="Arial"/>
          <w:sz w:val="24"/>
          <w:szCs w:val="24"/>
        </w:rPr>
        <w:t>, Gower, 163-171</w:t>
      </w:r>
    </w:p>
    <w:p w14:paraId="1AA5B337" w14:textId="61D9074A" w:rsidR="00A26F35" w:rsidRDefault="00A26F35" w:rsidP="005A6B52">
      <w:pPr>
        <w:pStyle w:val="BodyA"/>
        <w:rPr>
          <w:rFonts w:ascii="Arial" w:hAnsi="Arial" w:cs="Arial"/>
          <w:sz w:val="24"/>
          <w:szCs w:val="24"/>
        </w:rPr>
      </w:pPr>
    </w:p>
    <w:p w14:paraId="712B5F64" w14:textId="279B14BE" w:rsidR="00A26F35" w:rsidRDefault="00A26F35" w:rsidP="00A26F35">
      <w:pPr>
        <w:pStyle w:val="BodyA"/>
        <w:rPr>
          <w:rFonts w:ascii="Arial" w:hAnsi="Arial" w:cs="Arial"/>
          <w:sz w:val="24"/>
          <w:szCs w:val="24"/>
        </w:rPr>
      </w:pPr>
      <w:bookmarkStart w:id="3" w:name="_ENREF_56"/>
      <w:r w:rsidRPr="00A26F35">
        <w:rPr>
          <w:rFonts w:ascii="Arial" w:hAnsi="Arial" w:cs="Arial"/>
          <w:sz w:val="24"/>
          <w:szCs w:val="24"/>
        </w:rPr>
        <w:t xml:space="preserve">Van de Ven AH and Poole MS. (1995) Explaining Development and Change in Organizations. </w:t>
      </w:r>
      <w:r w:rsidRPr="00A26F35">
        <w:rPr>
          <w:rFonts w:ascii="Arial" w:hAnsi="Arial" w:cs="Arial"/>
          <w:i/>
          <w:sz w:val="24"/>
          <w:szCs w:val="24"/>
        </w:rPr>
        <w:t>Academy of Management Review</w:t>
      </w:r>
      <w:r w:rsidRPr="00A26F35">
        <w:rPr>
          <w:rFonts w:ascii="Arial" w:hAnsi="Arial" w:cs="Arial"/>
          <w:sz w:val="24"/>
          <w:szCs w:val="24"/>
        </w:rPr>
        <w:t xml:space="preserve"> 20: 510-540.</w:t>
      </w:r>
      <w:bookmarkEnd w:id="3"/>
    </w:p>
    <w:p w14:paraId="0377955E" w14:textId="1DA9F08C" w:rsidR="003B0F44" w:rsidRDefault="003B0F44" w:rsidP="00A26F35">
      <w:pPr>
        <w:pStyle w:val="BodyA"/>
        <w:rPr>
          <w:rFonts w:ascii="Arial" w:hAnsi="Arial" w:cs="Arial"/>
          <w:sz w:val="24"/>
          <w:szCs w:val="24"/>
        </w:rPr>
      </w:pPr>
    </w:p>
    <w:p w14:paraId="5DF99891" w14:textId="77777777" w:rsidR="00A26F35" w:rsidRPr="005A6B52" w:rsidRDefault="00A26F35" w:rsidP="005A6B52">
      <w:pPr>
        <w:pStyle w:val="BodyA"/>
        <w:rPr>
          <w:rFonts w:ascii="Arial" w:hAnsi="Arial" w:cs="Arial"/>
        </w:rPr>
      </w:pPr>
    </w:p>
    <w:p w14:paraId="5D251F4E" w14:textId="77777777" w:rsidR="005A6B52" w:rsidRPr="005A6B52" w:rsidRDefault="005A6B52" w:rsidP="005A6B52">
      <w:pPr>
        <w:spacing w:line="360" w:lineRule="auto"/>
        <w:rPr>
          <w:rFonts w:ascii="Arial" w:hAnsi="Arial" w:cs="Arial"/>
          <w:lang w:val="en-US"/>
        </w:rPr>
      </w:pPr>
    </w:p>
    <w:p w14:paraId="4872F068" w14:textId="77777777" w:rsidR="005A6B52" w:rsidRPr="00FF08A6" w:rsidRDefault="005A6B52" w:rsidP="00FF48CA">
      <w:pPr>
        <w:spacing w:line="360" w:lineRule="auto"/>
        <w:rPr>
          <w:rFonts w:ascii="Arial" w:hAnsi="Arial" w:cs="Arial"/>
        </w:rPr>
      </w:pPr>
    </w:p>
    <w:sectPr w:rsidR="005A6B52" w:rsidRPr="00FF08A6" w:rsidSect="00C404B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DC6B" w14:textId="77777777" w:rsidR="00934339" w:rsidRDefault="00934339" w:rsidP="00C62FBB">
      <w:r>
        <w:separator/>
      </w:r>
    </w:p>
  </w:endnote>
  <w:endnote w:type="continuationSeparator" w:id="0">
    <w:p w14:paraId="783265EA" w14:textId="77777777" w:rsidR="00934339" w:rsidRDefault="00934339" w:rsidP="00C6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ADC6" w14:textId="77777777" w:rsidR="00934339" w:rsidRDefault="00934339" w:rsidP="00C62FBB">
      <w:r>
        <w:separator/>
      </w:r>
    </w:p>
  </w:footnote>
  <w:footnote w:type="continuationSeparator" w:id="0">
    <w:p w14:paraId="38FB90D7" w14:textId="77777777" w:rsidR="00934339" w:rsidRDefault="00934339" w:rsidP="00C6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55A"/>
    <w:multiLevelType w:val="hybridMultilevel"/>
    <w:tmpl w:val="B0CE7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4125E"/>
    <w:multiLevelType w:val="hybridMultilevel"/>
    <w:tmpl w:val="92681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74"/>
    <w:rsid w:val="000071D4"/>
    <w:rsid w:val="00012D74"/>
    <w:rsid w:val="000304F4"/>
    <w:rsid w:val="000318CF"/>
    <w:rsid w:val="000363AD"/>
    <w:rsid w:val="000368BA"/>
    <w:rsid w:val="00040A93"/>
    <w:rsid w:val="00041500"/>
    <w:rsid w:val="00044E41"/>
    <w:rsid w:val="0004663A"/>
    <w:rsid w:val="00047910"/>
    <w:rsid w:val="00054EEC"/>
    <w:rsid w:val="00055BBF"/>
    <w:rsid w:val="0006489F"/>
    <w:rsid w:val="00067989"/>
    <w:rsid w:val="000701AB"/>
    <w:rsid w:val="00071FC2"/>
    <w:rsid w:val="00072D2D"/>
    <w:rsid w:val="00075C1F"/>
    <w:rsid w:val="00076F7C"/>
    <w:rsid w:val="0007724B"/>
    <w:rsid w:val="000912C3"/>
    <w:rsid w:val="000964DE"/>
    <w:rsid w:val="000A3E6E"/>
    <w:rsid w:val="000A4178"/>
    <w:rsid w:val="000B0A23"/>
    <w:rsid w:val="000B4B0F"/>
    <w:rsid w:val="000C0004"/>
    <w:rsid w:val="000C6C6F"/>
    <w:rsid w:val="000D2862"/>
    <w:rsid w:val="000D6047"/>
    <w:rsid w:val="000D7FF9"/>
    <w:rsid w:val="000E6568"/>
    <w:rsid w:val="000F13BC"/>
    <w:rsid w:val="00100764"/>
    <w:rsid w:val="001020F1"/>
    <w:rsid w:val="001072B3"/>
    <w:rsid w:val="00107974"/>
    <w:rsid w:val="001108E0"/>
    <w:rsid w:val="001129FB"/>
    <w:rsid w:val="00113FEA"/>
    <w:rsid w:val="00114809"/>
    <w:rsid w:val="00115F50"/>
    <w:rsid w:val="00121BDB"/>
    <w:rsid w:val="00135569"/>
    <w:rsid w:val="0013783A"/>
    <w:rsid w:val="0014577F"/>
    <w:rsid w:val="00155832"/>
    <w:rsid w:val="00161827"/>
    <w:rsid w:val="00165058"/>
    <w:rsid w:val="00165A57"/>
    <w:rsid w:val="0018027B"/>
    <w:rsid w:val="00181E05"/>
    <w:rsid w:val="001835A6"/>
    <w:rsid w:val="00192085"/>
    <w:rsid w:val="001C5D50"/>
    <w:rsid w:val="001C78FF"/>
    <w:rsid w:val="0021031F"/>
    <w:rsid w:val="00213AA8"/>
    <w:rsid w:val="002156BD"/>
    <w:rsid w:val="00220520"/>
    <w:rsid w:val="002254E0"/>
    <w:rsid w:val="0022591C"/>
    <w:rsid w:val="00227275"/>
    <w:rsid w:val="00236C4B"/>
    <w:rsid w:val="00240FA3"/>
    <w:rsid w:val="002410E0"/>
    <w:rsid w:val="002453DE"/>
    <w:rsid w:val="002471F1"/>
    <w:rsid w:val="00247C68"/>
    <w:rsid w:val="002509FC"/>
    <w:rsid w:val="00251FBF"/>
    <w:rsid w:val="00263E06"/>
    <w:rsid w:val="0026578B"/>
    <w:rsid w:val="00270B8D"/>
    <w:rsid w:val="00271ED7"/>
    <w:rsid w:val="00272055"/>
    <w:rsid w:val="002723D6"/>
    <w:rsid w:val="00276579"/>
    <w:rsid w:val="002846A0"/>
    <w:rsid w:val="002878A1"/>
    <w:rsid w:val="00296E68"/>
    <w:rsid w:val="002A4E3D"/>
    <w:rsid w:val="002A7CED"/>
    <w:rsid w:val="002B4B8C"/>
    <w:rsid w:val="002C37F0"/>
    <w:rsid w:val="002D21BD"/>
    <w:rsid w:val="002D2BB8"/>
    <w:rsid w:val="002E12E7"/>
    <w:rsid w:val="002E15E1"/>
    <w:rsid w:val="002E1DB8"/>
    <w:rsid w:val="002E6ECD"/>
    <w:rsid w:val="002F1BC9"/>
    <w:rsid w:val="003000D4"/>
    <w:rsid w:val="003009E7"/>
    <w:rsid w:val="003039AF"/>
    <w:rsid w:val="00314F49"/>
    <w:rsid w:val="003238F6"/>
    <w:rsid w:val="003248D4"/>
    <w:rsid w:val="00334174"/>
    <w:rsid w:val="003374B7"/>
    <w:rsid w:val="00337776"/>
    <w:rsid w:val="00337CD5"/>
    <w:rsid w:val="00342A7F"/>
    <w:rsid w:val="00352197"/>
    <w:rsid w:val="00352F42"/>
    <w:rsid w:val="0035703E"/>
    <w:rsid w:val="003624EA"/>
    <w:rsid w:val="0036268A"/>
    <w:rsid w:val="00364A16"/>
    <w:rsid w:val="003676FA"/>
    <w:rsid w:val="00371F04"/>
    <w:rsid w:val="00381FEA"/>
    <w:rsid w:val="003859D7"/>
    <w:rsid w:val="00392BC6"/>
    <w:rsid w:val="00396E51"/>
    <w:rsid w:val="003A5C23"/>
    <w:rsid w:val="003A7B39"/>
    <w:rsid w:val="003B03CE"/>
    <w:rsid w:val="003B0F44"/>
    <w:rsid w:val="003C2C25"/>
    <w:rsid w:val="003C3499"/>
    <w:rsid w:val="003D1062"/>
    <w:rsid w:val="003E4E98"/>
    <w:rsid w:val="003F5BAE"/>
    <w:rsid w:val="00400AC1"/>
    <w:rsid w:val="00402409"/>
    <w:rsid w:val="00410672"/>
    <w:rsid w:val="004128D1"/>
    <w:rsid w:val="00417E25"/>
    <w:rsid w:val="0042325A"/>
    <w:rsid w:val="00423CE1"/>
    <w:rsid w:val="00424452"/>
    <w:rsid w:val="00437A85"/>
    <w:rsid w:val="00437F88"/>
    <w:rsid w:val="0044159C"/>
    <w:rsid w:val="00445507"/>
    <w:rsid w:val="00466AC6"/>
    <w:rsid w:val="004979A8"/>
    <w:rsid w:val="004B4FDD"/>
    <w:rsid w:val="004B5E9D"/>
    <w:rsid w:val="004B7F7D"/>
    <w:rsid w:val="004D13F3"/>
    <w:rsid w:val="004D7FE7"/>
    <w:rsid w:val="004E11E5"/>
    <w:rsid w:val="004E6FF7"/>
    <w:rsid w:val="004E7148"/>
    <w:rsid w:val="004F02E8"/>
    <w:rsid w:val="00506ED5"/>
    <w:rsid w:val="005227B4"/>
    <w:rsid w:val="00535349"/>
    <w:rsid w:val="00536D41"/>
    <w:rsid w:val="005406E6"/>
    <w:rsid w:val="00540F6A"/>
    <w:rsid w:val="005443AD"/>
    <w:rsid w:val="0055658C"/>
    <w:rsid w:val="005613F0"/>
    <w:rsid w:val="00561719"/>
    <w:rsid w:val="00577246"/>
    <w:rsid w:val="0057784A"/>
    <w:rsid w:val="00587D3F"/>
    <w:rsid w:val="0059135D"/>
    <w:rsid w:val="005A24E4"/>
    <w:rsid w:val="005A6B52"/>
    <w:rsid w:val="005C2005"/>
    <w:rsid w:val="005D06E5"/>
    <w:rsid w:val="005D4DA9"/>
    <w:rsid w:val="005F5DC4"/>
    <w:rsid w:val="005F67EE"/>
    <w:rsid w:val="005F695B"/>
    <w:rsid w:val="005F69A4"/>
    <w:rsid w:val="006244BB"/>
    <w:rsid w:val="00637F14"/>
    <w:rsid w:val="00640E55"/>
    <w:rsid w:val="00646689"/>
    <w:rsid w:val="006474ED"/>
    <w:rsid w:val="0065471F"/>
    <w:rsid w:val="00655335"/>
    <w:rsid w:val="00657FDD"/>
    <w:rsid w:val="00662FA7"/>
    <w:rsid w:val="00663CD3"/>
    <w:rsid w:val="006654BF"/>
    <w:rsid w:val="006700BE"/>
    <w:rsid w:val="00677481"/>
    <w:rsid w:val="0068243C"/>
    <w:rsid w:val="00683E2F"/>
    <w:rsid w:val="00694F5F"/>
    <w:rsid w:val="00697311"/>
    <w:rsid w:val="006A68D2"/>
    <w:rsid w:val="006B0976"/>
    <w:rsid w:val="006B451C"/>
    <w:rsid w:val="006C22C6"/>
    <w:rsid w:val="006C71ED"/>
    <w:rsid w:val="006D745C"/>
    <w:rsid w:val="006E5F54"/>
    <w:rsid w:val="006E71BF"/>
    <w:rsid w:val="006F3248"/>
    <w:rsid w:val="00701478"/>
    <w:rsid w:val="0070288F"/>
    <w:rsid w:val="007029D4"/>
    <w:rsid w:val="00703E40"/>
    <w:rsid w:val="00706FD8"/>
    <w:rsid w:val="007113C1"/>
    <w:rsid w:val="00720F75"/>
    <w:rsid w:val="00721BC3"/>
    <w:rsid w:val="00741B32"/>
    <w:rsid w:val="0075208B"/>
    <w:rsid w:val="007602F5"/>
    <w:rsid w:val="00771934"/>
    <w:rsid w:val="007723E6"/>
    <w:rsid w:val="00776FE3"/>
    <w:rsid w:val="007811D1"/>
    <w:rsid w:val="00781C97"/>
    <w:rsid w:val="007868B4"/>
    <w:rsid w:val="00795507"/>
    <w:rsid w:val="007A025F"/>
    <w:rsid w:val="007A0A86"/>
    <w:rsid w:val="007A6A2D"/>
    <w:rsid w:val="007B7702"/>
    <w:rsid w:val="007C65F2"/>
    <w:rsid w:val="007C6911"/>
    <w:rsid w:val="007D00C0"/>
    <w:rsid w:val="007D0AF1"/>
    <w:rsid w:val="007D0E91"/>
    <w:rsid w:val="007D2736"/>
    <w:rsid w:val="007E208B"/>
    <w:rsid w:val="007E2DF7"/>
    <w:rsid w:val="007E7B10"/>
    <w:rsid w:val="007F0945"/>
    <w:rsid w:val="007F7754"/>
    <w:rsid w:val="008047B7"/>
    <w:rsid w:val="00811156"/>
    <w:rsid w:val="00811167"/>
    <w:rsid w:val="0081599E"/>
    <w:rsid w:val="008217CA"/>
    <w:rsid w:val="0082665C"/>
    <w:rsid w:val="00827671"/>
    <w:rsid w:val="00827E06"/>
    <w:rsid w:val="00832770"/>
    <w:rsid w:val="0083337A"/>
    <w:rsid w:val="008336CB"/>
    <w:rsid w:val="00837362"/>
    <w:rsid w:val="00840243"/>
    <w:rsid w:val="00853C42"/>
    <w:rsid w:val="00854B79"/>
    <w:rsid w:val="00860C2D"/>
    <w:rsid w:val="008735ED"/>
    <w:rsid w:val="008819E7"/>
    <w:rsid w:val="00890D32"/>
    <w:rsid w:val="008910A9"/>
    <w:rsid w:val="008943E4"/>
    <w:rsid w:val="00897127"/>
    <w:rsid w:val="008A0826"/>
    <w:rsid w:val="008A43CD"/>
    <w:rsid w:val="008A5F59"/>
    <w:rsid w:val="008B2BA7"/>
    <w:rsid w:val="008C4CF5"/>
    <w:rsid w:val="008D6451"/>
    <w:rsid w:val="008E1210"/>
    <w:rsid w:val="008E3BA5"/>
    <w:rsid w:val="0091539F"/>
    <w:rsid w:val="009159ED"/>
    <w:rsid w:val="0092342C"/>
    <w:rsid w:val="009273F2"/>
    <w:rsid w:val="00927F16"/>
    <w:rsid w:val="00930DCB"/>
    <w:rsid w:val="00934339"/>
    <w:rsid w:val="00937338"/>
    <w:rsid w:val="0094182C"/>
    <w:rsid w:val="00941B60"/>
    <w:rsid w:val="00942F0C"/>
    <w:rsid w:val="00943A88"/>
    <w:rsid w:val="00946476"/>
    <w:rsid w:val="00961628"/>
    <w:rsid w:val="00971792"/>
    <w:rsid w:val="00973263"/>
    <w:rsid w:val="00986634"/>
    <w:rsid w:val="009872C6"/>
    <w:rsid w:val="009936BC"/>
    <w:rsid w:val="009A1464"/>
    <w:rsid w:val="009A7456"/>
    <w:rsid w:val="009B2129"/>
    <w:rsid w:val="009B4580"/>
    <w:rsid w:val="009B775A"/>
    <w:rsid w:val="009C1C06"/>
    <w:rsid w:val="009D2CD3"/>
    <w:rsid w:val="009D3F6F"/>
    <w:rsid w:val="009D63AD"/>
    <w:rsid w:val="009D7006"/>
    <w:rsid w:val="009E2C24"/>
    <w:rsid w:val="009E60E8"/>
    <w:rsid w:val="00A05F77"/>
    <w:rsid w:val="00A07684"/>
    <w:rsid w:val="00A11884"/>
    <w:rsid w:val="00A2026A"/>
    <w:rsid w:val="00A26F35"/>
    <w:rsid w:val="00A308B9"/>
    <w:rsid w:val="00A337EB"/>
    <w:rsid w:val="00A37E00"/>
    <w:rsid w:val="00A4728C"/>
    <w:rsid w:val="00A574C6"/>
    <w:rsid w:val="00A60377"/>
    <w:rsid w:val="00A62241"/>
    <w:rsid w:val="00A74575"/>
    <w:rsid w:val="00A75745"/>
    <w:rsid w:val="00A8065D"/>
    <w:rsid w:val="00A80ADE"/>
    <w:rsid w:val="00A82201"/>
    <w:rsid w:val="00A836CF"/>
    <w:rsid w:val="00A84728"/>
    <w:rsid w:val="00A90435"/>
    <w:rsid w:val="00AA03E0"/>
    <w:rsid w:val="00AB03DF"/>
    <w:rsid w:val="00AB0DFB"/>
    <w:rsid w:val="00AB56E0"/>
    <w:rsid w:val="00AD38EB"/>
    <w:rsid w:val="00AF676B"/>
    <w:rsid w:val="00B11722"/>
    <w:rsid w:val="00B20200"/>
    <w:rsid w:val="00B23751"/>
    <w:rsid w:val="00B312F5"/>
    <w:rsid w:val="00B337A2"/>
    <w:rsid w:val="00B41922"/>
    <w:rsid w:val="00B459C9"/>
    <w:rsid w:val="00B46138"/>
    <w:rsid w:val="00B46361"/>
    <w:rsid w:val="00B51391"/>
    <w:rsid w:val="00B53C86"/>
    <w:rsid w:val="00B61EE9"/>
    <w:rsid w:val="00B6205A"/>
    <w:rsid w:val="00B65621"/>
    <w:rsid w:val="00B8560A"/>
    <w:rsid w:val="00B92619"/>
    <w:rsid w:val="00B92C63"/>
    <w:rsid w:val="00BA5FD1"/>
    <w:rsid w:val="00BA7507"/>
    <w:rsid w:val="00BB1427"/>
    <w:rsid w:val="00BB5DA5"/>
    <w:rsid w:val="00BC0ECC"/>
    <w:rsid w:val="00BC7744"/>
    <w:rsid w:val="00BD1130"/>
    <w:rsid w:val="00BD4231"/>
    <w:rsid w:val="00BD4DEA"/>
    <w:rsid w:val="00BE04B7"/>
    <w:rsid w:val="00BE067A"/>
    <w:rsid w:val="00BE3716"/>
    <w:rsid w:val="00BE68E3"/>
    <w:rsid w:val="00C00632"/>
    <w:rsid w:val="00C07A69"/>
    <w:rsid w:val="00C10B7C"/>
    <w:rsid w:val="00C228DA"/>
    <w:rsid w:val="00C23147"/>
    <w:rsid w:val="00C26A8D"/>
    <w:rsid w:val="00C37910"/>
    <w:rsid w:val="00C40451"/>
    <w:rsid w:val="00C404B8"/>
    <w:rsid w:val="00C42632"/>
    <w:rsid w:val="00C509A1"/>
    <w:rsid w:val="00C542C5"/>
    <w:rsid w:val="00C543F0"/>
    <w:rsid w:val="00C56FFD"/>
    <w:rsid w:val="00C61572"/>
    <w:rsid w:val="00C62FBB"/>
    <w:rsid w:val="00C6664F"/>
    <w:rsid w:val="00C67062"/>
    <w:rsid w:val="00C72B20"/>
    <w:rsid w:val="00C7328F"/>
    <w:rsid w:val="00C74D61"/>
    <w:rsid w:val="00C9116C"/>
    <w:rsid w:val="00C91792"/>
    <w:rsid w:val="00C95565"/>
    <w:rsid w:val="00C97412"/>
    <w:rsid w:val="00CA1984"/>
    <w:rsid w:val="00CA598A"/>
    <w:rsid w:val="00CA5ECD"/>
    <w:rsid w:val="00CA7500"/>
    <w:rsid w:val="00CB76A4"/>
    <w:rsid w:val="00CC7F87"/>
    <w:rsid w:val="00CD48DE"/>
    <w:rsid w:val="00CD56D6"/>
    <w:rsid w:val="00CE63DF"/>
    <w:rsid w:val="00CE65D4"/>
    <w:rsid w:val="00CE7C78"/>
    <w:rsid w:val="00CF19FB"/>
    <w:rsid w:val="00CF28BE"/>
    <w:rsid w:val="00CF519A"/>
    <w:rsid w:val="00CF524E"/>
    <w:rsid w:val="00D22EF1"/>
    <w:rsid w:val="00D2387B"/>
    <w:rsid w:val="00D2737F"/>
    <w:rsid w:val="00D27E35"/>
    <w:rsid w:val="00D321EC"/>
    <w:rsid w:val="00D370B4"/>
    <w:rsid w:val="00D378D3"/>
    <w:rsid w:val="00D42AEE"/>
    <w:rsid w:val="00D4738F"/>
    <w:rsid w:val="00D47FE5"/>
    <w:rsid w:val="00D56435"/>
    <w:rsid w:val="00D63E3B"/>
    <w:rsid w:val="00D63EBC"/>
    <w:rsid w:val="00D67216"/>
    <w:rsid w:val="00D744CC"/>
    <w:rsid w:val="00D765B9"/>
    <w:rsid w:val="00D87334"/>
    <w:rsid w:val="00D91013"/>
    <w:rsid w:val="00D9456F"/>
    <w:rsid w:val="00DA2ABA"/>
    <w:rsid w:val="00DA393C"/>
    <w:rsid w:val="00DB3A16"/>
    <w:rsid w:val="00DB70E1"/>
    <w:rsid w:val="00DD1972"/>
    <w:rsid w:val="00DD1BB9"/>
    <w:rsid w:val="00DD4A83"/>
    <w:rsid w:val="00DE0764"/>
    <w:rsid w:val="00DE11BF"/>
    <w:rsid w:val="00DE5559"/>
    <w:rsid w:val="00DE638B"/>
    <w:rsid w:val="00E03757"/>
    <w:rsid w:val="00E04298"/>
    <w:rsid w:val="00E06ED6"/>
    <w:rsid w:val="00E12743"/>
    <w:rsid w:val="00E14C7D"/>
    <w:rsid w:val="00E25B77"/>
    <w:rsid w:val="00E260D9"/>
    <w:rsid w:val="00E31ED0"/>
    <w:rsid w:val="00E34990"/>
    <w:rsid w:val="00E41664"/>
    <w:rsid w:val="00E460DA"/>
    <w:rsid w:val="00E65605"/>
    <w:rsid w:val="00E75DF9"/>
    <w:rsid w:val="00E802D0"/>
    <w:rsid w:val="00E80F0B"/>
    <w:rsid w:val="00E83BE4"/>
    <w:rsid w:val="00E923C8"/>
    <w:rsid w:val="00E939A2"/>
    <w:rsid w:val="00E960A7"/>
    <w:rsid w:val="00EA28FB"/>
    <w:rsid w:val="00EA3BB0"/>
    <w:rsid w:val="00EB0B7B"/>
    <w:rsid w:val="00EB0E41"/>
    <w:rsid w:val="00EB22D3"/>
    <w:rsid w:val="00EB6D4E"/>
    <w:rsid w:val="00EC03DF"/>
    <w:rsid w:val="00EC5DB3"/>
    <w:rsid w:val="00ED5DF1"/>
    <w:rsid w:val="00ED74F4"/>
    <w:rsid w:val="00EF001B"/>
    <w:rsid w:val="00EF4852"/>
    <w:rsid w:val="00EF5412"/>
    <w:rsid w:val="00F00752"/>
    <w:rsid w:val="00F02994"/>
    <w:rsid w:val="00F0346C"/>
    <w:rsid w:val="00F133E3"/>
    <w:rsid w:val="00F13E27"/>
    <w:rsid w:val="00F21B5A"/>
    <w:rsid w:val="00F261B5"/>
    <w:rsid w:val="00F30F98"/>
    <w:rsid w:val="00F31761"/>
    <w:rsid w:val="00F33635"/>
    <w:rsid w:val="00F35AEC"/>
    <w:rsid w:val="00F450D1"/>
    <w:rsid w:val="00F60452"/>
    <w:rsid w:val="00F66DA9"/>
    <w:rsid w:val="00F74F95"/>
    <w:rsid w:val="00F82F77"/>
    <w:rsid w:val="00F8589F"/>
    <w:rsid w:val="00F95D2E"/>
    <w:rsid w:val="00FA0DFE"/>
    <w:rsid w:val="00FA1D76"/>
    <w:rsid w:val="00FA54C4"/>
    <w:rsid w:val="00FB0F36"/>
    <w:rsid w:val="00FC5882"/>
    <w:rsid w:val="00FC7524"/>
    <w:rsid w:val="00FD045A"/>
    <w:rsid w:val="00FD50D8"/>
    <w:rsid w:val="00FD7649"/>
    <w:rsid w:val="00FD7C59"/>
    <w:rsid w:val="00FE241F"/>
    <w:rsid w:val="00FF08A6"/>
    <w:rsid w:val="00FF48CA"/>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B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A6B5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table" w:styleId="TableGrid">
    <w:name w:val="Table Grid"/>
    <w:basedOn w:val="TableNormal"/>
    <w:uiPriority w:val="39"/>
    <w:rsid w:val="00E3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2FBB"/>
  </w:style>
  <w:style w:type="character" w:customStyle="1" w:styleId="FootnoteTextChar">
    <w:name w:val="Footnote Text Char"/>
    <w:basedOn w:val="DefaultParagraphFont"/>
    <w:link w:val="FootnoteText"/>
    <w:uiPriority w:val="99"/>
    <w:rsid w:val="00C62FBB"/>
  </w:style>
  <w:style w:type="character" w:styleId="FootnoteReference">
    <w:name w:val="footnote reference"/>
    <w:basedOn w:val="DefaultParagraphFont"/>
    <w:uiPriority w:val="99"/>
    <w:unhideWhenUsed/>
    <w:rsid w:val="00C62FBB"/>
    <w:rPr>
      <w:vertAlign w:val="superscript"/>
    </w:rPr>
  </w:style>
  <w:style w:type="paragraph" w:styleId="Caption">
    <w:name w:val="caption"/>
    <w:basedOn w:val="Normal"/>
    <w:next w:val="Normal"/>
    <w:uiPriority w:val="35"/>
    <w:unhideWhenUsed/>
    <w:qFormat/>
    <w:rsid w:val="005C200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41B32"/>
    <w:rPr>
      <w:sz w:val="16"/>
      <w:szCs w:val="16"/>
    </w:rPr>
  </w:style>
  <w:style w:type="paragraph" w:styleId="CommentText">
    <w:name w:val="annotation text"/>
    <w:basedOn w:val="Normal"/>
    <w:link w:val="CommentTextChar"/>
    <w:uiPriority w:val="99"/>
    <w:semiHidden/>
    <w:unhideWhenUsed/>
    <w:rsid w:val="00741B32"/>
    <w:rPr>
      <w:sz w:val="20"/>
      <w:szCs w:val="20"/>
    </w:rPr>
  </w:style>
  <w:style w:type="character" w:customStyle="1" w:styleId="CommentTextChar">
    <w:name w:val="Comment Text Char"/>
    <w:basedOn w:val="DefaultParagraphFont"/>
    <w:link w:val="CommentText"/>
    <w:uiPriority w:val="99"/>
    <w:semiHidden/>
    <w:rsid w:val="00741B32"/>
    <w:rPr>
      <w:sz w:val="20"/>
      <w:szCs w:val="20"/>
    </w:rPr>
  </w:style>
  <w:style w:type="paragraph" w:styleId="CommentSubject">
    <w:name w:val="annotation subject"/>
    <w:basedOn w:val="CommentText"/>
    <w:next w:val="CommentText"/>
    <w:link w:val="CommentSubjectChar"/>
    <w:uiPriority w:val="99"/>
    <w:semiHidden/>
    <w:unhideWhenUsed/>
    <w:rsid w:val="00741B32"/>
    <w:rPr>
      <w:b/>
      <w:bCs/>
    </w:rPr>
  </w:style>
  <w:style w:type="character" w:customStyle="1" w:styleId="CommentSubjectChar">
    <w:name w:val="Comment Subject Char"/>
    <w:basedOn w:val="CommentTextChar"/>
    <w:link w:val="CommentSubject"/>
    <w:uiPriority w:val="99"/>
    <w:semiHidden/>
    <w:rsid w:val="00741B32"/>
    <w:rPr>
      <w:b/>
      <w:bCs/>
      <w:sz w:val="20"/>
      <w:szCs w:val="20"/>
    </w:rPr>
  </w:style>
  <w:style w:type="paragraph" w:styleId="BalloonText">
    <w:name w:val="Balloon Text"/>
    <w:basedOn w:val="Normal"/>
    <w:link w:val="BalloonTextChar"/>
    <w:uiPriority w:val="99"/>
    <w:semiHidden/>
    <w:unhideWhenUsed/>
    <w:rsid w:val="00741B3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1B32"/>
    <w:rPr>
      <w:rFonts w:ascii="Times New Roman" w:hAnsi="Times New Roman" w:cs="Times New Roman"/>
      <w:sz w:val="26"/>
      <w:szCs w:val="26"/>
    </w:rPr>
  </w:style>
  <w:style w:type="paragraph" w:styleId="ListParagraph">
    <w:name w:val="List Paragraph"/>
    <w:basedOn w:val="Normal"/>
    <w:uiPriority w:val="34"/>
    <w:qFormat/>
    <w:rsid w:val="008D6451"/>
    <w:pPr>
      <w:ind w:left="720"/>
      <w:contextualSpacing/>
    </w:pPr>
  </w:style>
  <w:style w:type="paragraph" w:styleId="Revision">
    <w:name w:val="Revision"/>
    <w:hidden/>
    <w:uiPriority w:val="99"/>
    <w:semiHidden/>
    <w:rsid w:val="005F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C476-A5A8-3E45-903B-0F3B18F4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4304</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Ellwood, Paul</dc:creator>
  <cp:keywords/>
  <dc:description/>
  <cp:lastModifiedBy>Ellwood, Paul</cp:lastModifiedBy>
  <cp:revision>4</cp:revision>
  <cp:lastPrinted>2018-03-23T20:30:00Z</cp:lastPrinted>
  <dcterms:created xsi:type="dcterms:W3CDTF">2018-05-23T22:11:00Z</dcterms:created>
  <dcterms:modified xsi:type="dcterms:W3CDTF">2018-05-24T08:55:00Z</dcterms:modified>
  <cp:category/>
</cp:coreProperties>
</file>